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F776F" w14:paraId="13888F59" w14:textId="77777777" w:rsidTr="00EB4E9C">
        <w:tc>
          <w:tcPr>
            <w:tcW w:w="6522" w:type="dxa"/>
          </w:tcPr>
          <w:p w14:paraId="759A95CC" w14:textId="77777777" w:rsidR="00DC3802" w:rsidRPr="008F776F" w:rsidRDefault="00DC3802" w:rsidP="00AC2883">
            <w:pPr>
              <w:rPr>
                <w:lang w:val="es-ES_tradnl"/>
              </w:rPr>
            </w:pPr>
            <w:r w:rsidRPr="008F776F">
              <w:rPr>
                <w:noProof/>
              </w:rPr>
              <w:drawing>
                <wp:inline distT="0" distB="0" distL="0" distR="0" wp14:anchorId="5A6C95EF" wp14:editId="12C0E09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671B70F" w14:textId="77777777" w:rsidR="00DC3802" w:rsidRPr="008F776F" w:rsidRDefault="002E5944" w:rsidP="00AC2883">
            <w:pPr>
              <w:pStyle w:val="Lettrine"/>
              <w:rPr>
                <w:lang w:val="es-ES_tradnl"/>
              </w:rPr>
            </w:pPr>
            <w:r w:rsidRPr="008F776F">
              <w:rPr>
                <w:lang w:val="es-ES_tradnl"/>
              </w:rPr>
              <w:t>S</w:t>
            </w:r>
          </w:p>
        </w:tc>
      </w:tr>
      <w:tr w:rsidR="00DC3802" w:rsidRPr="008F776F" w14:paraId="430343BD" w14:textId="77777777" w:rsidTr="00645CA8">
        <w:trPr>
          <w:trHeight w:val="219"/>
        </w:trPr>
        <w:tc>
          <w:tcPr>
            <w:tcW w:w="6522" w:type="dxa"/>
          </w:tcPr>
          <w:p w14:paraId="78EFF516" w14:textId="77777777" w:rsidR="00DC3802" w:rsidRPr="008F776F" w:rsidRDefault="002E5944" w:rsidP="00BC0BD4">
            <w:pPr>
              <w:pStyle w:val="upove"/>
              <w:rPr>
                <w:lang w:val="es-ES_tradnl"/>
              </w:rPr>
            </w:pPr>
            <w:r w:rsidRPr="008F776F">
              <w:rPr>
                <w:lang w:val="es-ES_tradnl"/>
              </w:rPr>
              <w:t>Unión Internacional para la Protección de las Obtenciones Vegetales</w:t>
            </w:r>
          </w:p>
        </w:tc>
        <w:tc>
          <w:tcPr>
            <w:tcW w:w="3117" w:type="dxa"/>
          </w:tcPr>
          <w:p w14:paraId="289A5032" w14:textId="77777777" w:rsidR="00DC3802" w:rsidRPr="008F776F" w:rsidRDefault="00DC3802" w:rsidP="00DA4973">
            <w:pPr>
              <w:rPr>
                <w:lang w:val="es-ES_tradnl"/>
              </w:rPr>
            </w:pPr>
          </w:p>
        </w:tc>
      </w:tr>
    </w:tbl>
    <w:p w14:paraId="6F4A7EA0" w14:textId="77777777" w:rsidR="00DC3802" w:rsidRPr="008F776F" w:rsidRDefault="00DC3802" w:rsidP="00DC3802">
      <w:pPr>
        <w:rPr>
          <w:lang w:val="es-ES_tradnl"/>
        </w:rPr>
      </w:pPr>
    </w:p>
    <w:p w14:paraId="17E8BF95" w14:textId="77777777" w:rsidR="00DA4973" w:rsidRPr="008F776F"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F776F" w14:paraId="4DD9DF38" w14:textId="77777777" w:rsidTr="00EB4E9C">
        <w:tc>
          <w:tcPr>
            <w:tcW w:w="6512" w:type="dxa"/>
          </w:tcPr>
          <w:p w14:paraId="570A698E" w14:textId="77777777" w:rsidR="00EB4E9C" w:rsidRPr="001342BD" w:rsidRDefault="00EA65D2" w:rsidP="00AC2883">
            <w:pPr>
              <w:pStyle w:val="Sessiontc"/>
              <w:spacing w:line="240" w:lineRule="auto"/>
              <w:rPr>
                <w:lang w:val="es-ES_tradnl"/>
              </w:rPr>
            </w:pPr>
            <w:r w:rsidRPr="001342BD">
              <w:rPr>
                <w:lang w:val="es-ES_tradnl"/>
              </w:rPr>
              <w:t>Consejo</w:t>
            </w:r>
          </w:p>
          <w:p w14:paraId="45804FCA" w14:textId="77777777" w:rsidR="00CD004F" w:rsidRPr="001342BD" w:rsidRDefault="00EA65D2" w:rsidP="00313F48">
            <w:pPr>
              <w:pStyle w:val="Sessiontcplacedate"/>
              <w:rPr>
                <w:lang w:val="es-ES_tradnl"/>
              </w:rPr>
            </w:pPr>
            <w:r w:rsidRPr="001342BD">
              <w:rPr>
                <w:lang w:val="es-ES_tradnl"/>
              </w:rPr>
              <w:t xml:space="preserve">Quincuagésima </w:t>
            </w:r>
            <w:r w:rsidR="00313F48" w:rsidRPr="001342BD">
              <w:rPr>
                <w:lang w:val="es-ES_tradnl"/>
              </w:rPr>
              <w:t>s</w:t>
            </w:r>
            <w:r w:rsidR="007C190D" w:rsidRPr="001342BD">
              <w:rPr>
                <w:lang w:val="es-ES_tradnl"/>
              </w:rPr>
              <w:t>éptim</w:t>
            </w:r>
            <w:r w:rsidR="001A18EE" w:rsidRPr="001342BD">
              <w:rPr>
                <w:lang w:val="es-ES_tradnl"/>
              </w:rPr>
              <w:t xml:space="preserve">a </w:t>
            </w:r>
            <w:r w:rsidR="002E5944" w:rsidRPr="001342BD">
              <w:rPr>
                <w:lang w:val="es-ES_tradnl"/>
              </w:rPr>
              <w:t>sesión</w:t>
            </w:r>
            <w:r w:rsidRPr="001342BD">
              <w:rPr>
                <w:lang w:val="es-ES_tradnl"/>
              </w:rPr>
              <w:t xml:space="preserve"> ordinaria</w:t>
            </w:r>
          </w:p>
          <w:p w14:paraId="6681E51A" w14:textId="77777777" w:rsidR="00EB4E9C" w:rsidRPr="001342BD" w:rsidRDefault="002E5944" w:rsidP="007C190D">
            <w:pPr>
              <w:pStyle w:val="Sessiontcplacedate"/>
              <w:rPr>
                <w:sz w:val="22"/>
                <w:lang w:val="es-ES_tradnl"/>
              </w:rPr>
            </w:pPr>
            <w:r w:rsidRPr="001342BD">
              <w:rPr>
                <w:lang w:val="es-ES_tradnl"/>
              </w:rPr>
              <w:t>Ginebra</w:t>
            </w:r>
            <w:r w:rsidR="00EB4E9C" w:rsidRPr="001342BD">
              <w:rPr>
                <w:lang w:val="es-ES_tradnl"/>
              </w:rPr>
              <w:t xml:space="preserve">, </w:t>
            </w:r>
            <w:r w:rsidR="00313F48" w:rsidRPr="001342BD">
              <w:rPr>
                <w:lang w:val="es-ES_tradnl"/>
              </w:rPr>
              <w:t>2</w:t>
            </w:r>
            <w:r w:rsidR="007C190D" w:rsidRPr="001342BD">
              <w:rPr>
                <w:lang w:val="es-ES_tradnl"/>
              </w:rPr>
              <w:t>7</w:t>
            </w:r>
            <w:r w:rsidR="008364BE" w:rsidRPr="001342BD">
              <w:rPr>
                <w:lang w:val="es-ES_tradnl"/>
              </w:rPr>
              <w:t xml:space="preserve"> de octubre de </w:t>
            </w:r>
            <w:r w:rsidR="007C190D" w:rsidRPr="001342BD">
              <w:rPr>
                <w:lang w:val="es-ES_tradnl"/>
              </w:rPr>
              <w:t>2023</w:t>
            </w:r>
          </w:p>
        </w:tc>
        <w:tc>
          <w:tcPr>
            <w:tcW w:w="3127" w:type="dxa"/>
          </w:tcPr>
          <w:p w14:paraId="203F05CB" w14:textId="77777777" w:rsidR="00EB4E9C" w:rsidRPr="001342BD" w:rsidRDefault="008F776F" w:rsidP="003C7FBE">
            <w:pPr>
              <w:pStyle w:val="Doccode"/>
              <w:rPr>
                <w:lang w:val="es-ES_tradnl"/>
              </w:rPr>
            </w:pPr>
            <w:r w:rsidRPr="001342BD">
              <w:rPr>
                <w:lang w:val="es-ES_tradnl"/>
              </w:rPr>
              <w:t>C/57/4</w:t>
            </w:r>
          </w:p>
          <w:p w14:paraId="2CCDED14" w14:textId="77777777" w:rsidR="00EB4E9C" w:rsidRPr="001342BD" w:rsidRDefault="00EB4E9C" w:rsidP="003C7FBE">
            <w:pPr>
              <w:pStyle w:val="Docoriginal"/>
              <w:rPr>
                <w:lang w:val="es-ES_tradnl"/>
              </w:rPr>
            </w:pPr>
            <w:r w:rsidRPr="001342BD">
              <w:rPr>
                <w:lang w:val="es-ES_tradnl"/>
              </w:rPr>
              <w:t>Original:</w:t>
            </w:r>
            <w:r w:rsidRPr="001342BD">
              <w:rPr>
                <w:b w:val="0"/>
                <w:spacing w:val="0"/>
                <w:lang w:val="es-ES_tradnl"/>
              </w:rPr>
              <w:t xml:space="preserve">  </w:t>
            </w:r>
            <w:r w:rsidR="002E5944" w:rsidRPr="001342BD">
              <w:rPr>
                <w:b w:val="0"/>
                <w:spacing w:val="0"/>
                <w:lang w:val="es-ES_tradnl"/>
              </w:rPr>
              <w:t>Inglés</w:t>
            </w:r>
          </w:p>
          <w:p w14:paraId="730CD1CF" w14:textId="77777777" w:rsidR="00EB4E9C" w:rsidRPr="008F776F" w:rsidRDefault="002E5944" w:rsidP="00E4161B">
            <w:pPr>
              <w:pStyle w:val="Docoriginal"/>
              <w:rPr>
                <w:lang w:val="es-ES_tradnl"/>
              </w:rPr>
            </w:pPr>
            <w:r w:rsidRPr="001342BD">
              <w:rPr>
                <w:lang w:val="es-ES_tradnl"/>
              </w:rPr>
              <w:t>Fecha</w:t>
            </w:r>
            <w:r w:rsidR="00EB4E9C" w:rsidRPr="001342BD">
              <w:rPr>
                <w:lang w:val="es-ES_tradnl"/>
              </w:rPr>
              <w:t>:</w:t>
            </w:r>
            <w:r w:rsidR="00EB4E9C" w:rsidRPr="001342BD">
              <w:rPr>
                <w:b w:val="0"/>
                <w:spacing w:val="0"/>
                <w:lang w:val="es-ES_tradnl"/>
              </w:rPr>
              <w:t xml:space="preserve">  </w:t>
            </w:r>
            <w:r w:rsidR="001342BD" w:rsidRPr="001342BD">
              <w:rPr>
                <w:b w:val="0"/>
                <w:spacing w:val="0"/>
                <w:lang w:val="es-ES_tradnl"/>
              </w:rPr>
              <w:t>14</w:t>
            </w:r>
            <w:r w:rsidR="00E4161B" w:rsidRPr="001342BD">
              <w:rPr>
                <w:b w:val="0"/>
                <w:spacing w:val="0"/>
                <w:lang w:val="es-ES_tradnl"/>
              </w:rPr>
              <w:t xml:space="preserve"> de agosto </w:t>
            </w:r>
            <w:r w:rsidRPr="001342BD">
              <w:rPr>
                <w:b w:val="0"/>
                <w:spacing w:val="0"/>
                <w:lang w:val="es-ES_tradnl"/>
              </w:rPr>
              <w:t xml:space="preserve">de </w:t>
            </w:r>
            <w:r w:rsidR="00EB4E9C" w:rsidRPr="001342BD">
              <w:rPr>
                <w:b w:val="0"/>
                <w:spacing w:val="0"/>
                <w:lang w:val="es-ES_tradnl"/>
              </w:rPr>
              <w:t>20</w:t>
            </w:r>
            <w:r w:rsidR="001A18EE" w:rsidRPr="001342BD">
              <w:rPr>
                <w:b w:val="0"/>
                <w:spacing w:val="0"/>
                <w:lang w:val="es-ES_tradnl"/>
              </w:rPr>
              <w:t>2</w:t>
            </w:r>
            <w:r w:rsidR="000976E2" w:rsidRPr="001342BD">
              <w:rPr>
                <w:b w:val="0"/>
                <w:spacing w:val="0"/>
                <w:lang w:val="es-ES_tradnl"/>
              </w:rPr>
              <w:t>3</w:t>
            </w:r>
          </w:p>
        </w:tc>
      </w:tr>
    </w:tbl>
    <w:p w14:paraId="3A554C46" w14:textId="42AD978F" w:rsidR="008F776F" w:rsidRPr="008F776F" w:rsidRDefault="00775143" w:rsidP="008F776F">
      <w:pPr>
        <w:spacing w:before="600" w:after="240"/>
        <w:jc w:val="left"/>
        <w:rPr>
          <w:b/>
          <w:caps/>
          <w:lang w:val="es-ES_tradnl"/>
        </w:rPr>
      </w:pPr>
      <w:r>
        <w:rPr>
          <w:b/>
          <w:caps/>
          <w:lang w:val="es-ES_tradnl"/>
        </w:rPr>
        <w:t>P</w:t>
      </w:r>
      <w:r w:rsidR="008F776F" w:rsidRPr="008F776F">
        <w:rPr>
          <w:b/>
          <w:caps/>
          <w:lang w:val="es-ES_tradnl"/>
        </w:rPr>
        <w:t>rograma y presupuesto para el bienio 2024-2025</w:t>
      </w:r>
    </w:p>
    <w:p w14:paraId="755BE69A" w14:textId="77777777" w:rsidR="008F776F" w:rsidRPr="008F776F" w:rsidRDefault="008F776F" w:rsidP="008F776F">
      <w:pPr>
        <w:spacing w:after="240"/>
        <w:jc w:val="left"/>
        <w:rPr>
          <w:i/>
          <w:iCs/>
          <w:lang w:val="es-ES_tradnl"/>
        </w:rPr>
      </w:pPr>
      <w:r w:rsidRPr="008F776F">
        <w:rPr>
          <w:i/>
          <w:iCs/>
          <w:lang w:val="es-ES_tradnl"/>
        </w:rPr>
        <w:t>Documento preparado por la Oficina de la Unión</w:t>
      </w:r>
    </w:p>
    <w:p w14:paraId="61AAA598" w14:textId="77777777" w:rsidR="008F776F" w:rsidRPr="008F776F" w:rsidRDefault="008F776F" w:rsidP="008F776F">
      <w:pPr>
        <w:spacing w:after="600"/>
        <w:jc w:val="left"/>
        <w:rPr>
          <w:i/>
          <w:iCs/>
          <w:color w:val="A6A6A6"/>
          <w:lang w:val="es-ES_tradnl"/>
        </w:rPr>
      </w:pPr>
      <w:r w:rsidRPr="008F776F">
        <w:rPr>
          <w:i/>
          <w:iCs/>
          <w:color w:val="A6A6A6"/>
          <w:lang w:val="es-ES_tradnl"/>
        </w:rPr>
        <w:t>Descargo de responsabilidad: el presente documento no constituye un documento de política u orientación de la UPOV</w:t>
      </w:r>
    </w:p>
    <w:p w14:paraId="6A9F979A" w14:textId="77777777" w:rsidR="008F776F" w:rsidRPr="008F776F" w:rsidRDefault="008F776F" w:rsidP="008F776F">
      <w:pPr>
        <w:rPr>
          <w:lang w:val="es-ES_tradnl"/>
        </w:rPr>
      </w:pPr>
      <w:r w:rsidRPr="008F776F">
        <w:rPr>
          <w:lang w:val="es-ES_tradnl"/>
        </w:rPr>
        <w:t>RESUMEN</w:t>
      </w:r>
    </w:p>
    <w:p w14:paraId="0787D18E" w14:textId="77777777" w:rsidR="008F776F" w:rsidRPr="008F776F" w:rsidRDefault="008F776F" w:rsidP="008F776F">
      <w:pPr>
        <w:rPr>
          <w:lang w:val="es-ES_tradnl"/>
        </w:rPr>
      </w:pPr>
    </w:p>
    <w:p w14:paraId="007EE990"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r>
      <w:r w:rsidRPr="008F776F">
        <w:rPr>
          <w:spacing w:val="-2"/>
          <w:lang w:val="es-ES_tradnl"/>
        </w:rPr>
        <w:t>De conformidad con el Convenio de la UPOV (artículo 23.2) del Convenio de 1961 y del Acta de 1978</w:t>
      </w:r>
      <w:r w:rsidRPr="008F776F">
        <w:rPr>
          <w:lang w:val="es-ES_tradnl"/>
        </w:rPr>
        <w:t>, y artículo 27.2) del Acta de 1991) y el Reglamento Financiero y la Reglamentación Financiera de la UPOV (documento UPOV/INF/4/6), se presenta para su aprobación por el Consejo el proyecto de programa y presupuesto para el bienio 2024-2025.</w:t>
      </w:r>
    </w:p>
    <w:p w14:paraId="1FD2FCE6" w14:textId="77777777" w:rsidR="008F776F" w:rsidRPr="008F776F" w:rsidRDefault="008F776F" w:rsidP="008F776F">
      <w:pPr>
        <w:rPr>
          <w:lang w:val="es-ES_tradnl"/>
        </w:rPr>
      </w:pPr>
    </w:p>
    <w:p w14:paraId="7C3CD73F"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El proyecto de programa y presupuesto para el bienio 2024-2025 figura en el Anexo del presente documento.</w:t>
      </w:r>
    </w:p>
    <w:p w14:paraId="451A9378" w14:textId="77777777" w:rsidR="008F776F" w:rsidRPr="008F776F" w:rsidRDefault="008F776F" w:rsidP="008F776F">
      <w:pPr>
        <w:rPr>
          <w:lang w:val="es-ES_tradnl"/>
        </w:rPr>
      </w:pPr>
    </w:p>
    <w:p w14:paraId="27984354" w14:textId="77777777" w:rsidR="008F776F" w:rsidRPr="008F776F" w:rsidRDefault="008F776F" w:rsidP="008F776F">
      <w:pPr>
        <w:tabs>
          <w:tab w:val="left" w:pos="5387"/>
          <w:tab w:val="left" w:pos="5954"/>
        </w:tabs>
        <w:ind w:left="4820"/>
        <w:rPr>
          <w:i/>
          <w:lang w:val="es-ES_tradnl"/>
        </w:rPr>
      </w:pPr>
      <w:r w:rsidRPr="008F776F">
        <w:rPr>
          <w:i/>
          <w:lang w:val="es-ES_tradnl"/>
        </w:rPr>
        <w:fldChar w:fldCharType="begin"/>
      </w:r>
      <w:r w:rsidRPr="008F776F">
        <w:rPr>
          <w:i/>
          <w:lang w:val="es-ES_tradnl"/>
        </w:rPr>
        <w:instrText xml:space="preserve"> AUTONUM  </w:instrText>
      </w:r>
      <w:r w:rsidRPr="008F776F">
        <w:rPr>
          <w:i/>
          <w:lang w:val="es-ES_tradnl"/>
        </w:rPr>
        <w:fldChar w:fldCharType="end"/>
      </w:r>
      <w:r w:rsidRPr="008F776F">
        <w:rPr>
          <w:i/>
          <w:lang w:val="es-ES_tradnl"/>
        </w:rPr>
        <w:tab/>
        <w:t>Se invita al Consejo a aprobar el proyecto de programa y presupuesto de la Unión para el bienio 2024-2025, tal como figura en el Anexo del presente documento, que incluye:</w:t>
      </w:r>
    </w:p>
    <w:p w14:paraId="175BB41A" w14:textId="77777777" w:rsidR="008F776F" w:rsidRPr="008F776F" w:rsidRDefault="008F776F" w:rsidP="008F776F">
      <w:pPr>
        <w:tabs>
          <w:tab w:val="left" w:pos="5387"/>
          <w:tab w:val="left" w:pos="5954"/>
        </w:tabs>
        <w:ind w:left="4820"/>
        <w:rPr>
          <w:i/>
          <w:lang w:val="es-ES_tradnl"/>
        </w:rPr>
      </w:pPr>
    </w:p>
    <w:p w14:paraId="341900F8" w14:textId="77777777" w:rsidR="008F776F" w:rsidRPr="008F776F" w:rsidRDefault="008F776F" w:rsidP="008F776F">
      <w:pPr>
        <w:tabs>
          <w:tab w:val="left" w:pos="5387"/>
          <w:tab w:val="left" w:pos="5954"/>
        </w:tabs>
        <w:ind w:left="4820"/>
        <w:rPr>
          <w:i/>
          <w:lang w:val="es-ES_tradnl"/>
        </w:rPr>
      </w:pPr>
      <w:r w:rsidRPr="008F776F">
        <w:rPr>
          <w:i/>
          <w:lang w:val="es-ES_tradnl"/>
        </w:rPr>
        <w:tab/>
        <w:t>i)</w:t>
      </w:r>
      <w:r w:rsidRPr="008F776F">
        <w:rPr>
          <w:i/>
          <w:lang w:val="es-ES_tradnl"/>
        </w:rPr>
        <w:tab/>
        <w:t>el importe de las contribuciones de los miembros de la Unión;</w:t>
      </w:r>
    </w:p>
    <w:p w14:paraId="3E46F46C" w14:textId="77777777" w:rsidR="008F776F" w:rsidRPr="008F776F" w:rsidRDefault="008F776F" w:rsidP="008F776F">
      <w:pPr>
        <w:tabs>
          <w:tab w:val="left" w:pos="5387"/>
          <w:tab w:val="left" w:pos="5954"/>
        </w:tabs>
        <w:ind w:left="4820"/>
        <w:rPr>
          <w:i/>
          <w:lang w:val="es-ES_tradnl"/>
        </w:rPr>
      </w:pPr>
    </w:p>
    <w:p w14:paraId="431BB444" w14:textId="77777777" w:rsidR="008F776F" w:rsidRPr="008F776F" w:rsidRDefault="008F776F" w:rsidP="008F776F">
      <w:pPr>
        <w:tabs>
          <w:tab w:val="left" w:pos="5387"/>
          <w:tab w:val="left" w:pos="5954"/>
        </w:tabs>
        <w:ind w:left="4820"/>
        <w:rPr>
          <w:i/>
          <w:lang w:val="es-ES_tradnl"/>
        </w:rPr>
      </w:pPr>
      <w:r w:rsidRPr="008F776F">
        <w:rPr>
          <w:i/>
          <w:lang w:val="es-ES_tradnl"/>
        </w:rPr>
        <w:tab/>
      </w:r>
      <w:proofErr w:type="spellStart"/>
      <w:r w:rsidRPr="008F776F">
        <w:rPr>
          <w:i/>
          <w:lang w:val="es-ES_tradnl"/>
        </w:rPr>
        <w:t>ii</w:t>
      </w:r>
      <w:proofErr w:type="spellEnd"/>
      <w:r w:rsidRPr="008F776F">
        <w:rPr>
          <w:i/>
          <w:lang w:val="es-ES_tradnl"/>
        </w:rPr>
        <w:t>)</w:t>
      </w:r>
      <w:r w:rsidRPr="008F776F">
        <w:rPr>
          <w:i/>
          <w:lang w:val="es-ES_tradnl"/>
        </w:rPr>
        <w:tab/>
        <w:t xml:space="preserve">el límite máximo propuesto de gastos </w:t>
      </w:r>
      <w:r w:rsidRPr="008F776F">
        <w:rPr>
          <w:i/>
          <w:lang w:val="es-ES_tradnl"/>
        </w:rPr>
        <w:br/>
        <w:t>del presupuesto ordinario, a saber, 7.901.307 francos suizos, o los ingresos recibidos en el bienio, si esta cifra es inferior; y</w:t>
      </w:r>
    </w:p>
    <w:p w14:paraId="18DF7729" w14:textId="77777777" w:rsidR="008F776F" w:rsidRPr="008F776F" w:rsidRDefault="008F776F" w:rsidP="008F776F">
      <w:pPr>
        <w:tabs>
          <w:tab w:val="left" w:pos="5387"/>
          <w:tab w:val="left" w:pos="5954"/>
        </w:tabs>
        <w:ind w:left="4820"/>
        <w:rPr>
          <w:i/>
          <w:lang w:val="es-ES_tradnl"/>
        </w:rPr>
      </w:pPr>
    </w:p>
    <w:p w14:paraId="4FEB2D4B" w14:textId="77777777" w:rsidR="008F776F" w:rsidRPr="008F776F" w:rsidRDefault="008F776F" w:rsidP="008F776F">
      <w:pPr>
        <w:tabs>
          <w:tab w:val="left" w:pos="5387"/>
          <w:tab w:val="left" w:pos="5954"/>
        </w:tabs>
        <w:ind w:left="4820"/>
        <w:rPr>
          <w:i/>
          <w:lang w:val="es-ES_tradnl"/>
        </w:rPr>
      </w:pPr>
      <w:r w:rsidRPr="008F776F">
        <w:rPr>
          <w:i/>
          <w:lang w:val="es-ES_tradnl"/>
        </w:rPr>
        <w:tab/>
      </w:r>
      <w:proofErr w:type="spellStart"/>
      <w:r w:rsidRPr="008F776F">
        <w:rPr>
          <w:i/>
          <w:lang w:val="es-ES_tradnl"/>
        </w:rPr>
        <w:t>iii</w:t>
      </w:r>
      <w:proofErr w:type="spellEnd"/>
      <w:r w:rsidRPr="008F776F">
        <w:rPr>
          <w:i/>
          <w:lang w:val="es-ES_tradnl"/>
        </w:rPr>
        <w:t>)</w:t>
      </w:r>
      <w:r w:rsidRPr="008F776F">
        <w:rPr>
          <w:i/>
          <w:lang w:val="es-ES_tradnl"/>
        </w:rPr>
        <w:tab/>
        <w:t>el número total de puestos.</w:t>
      </w:r>
    </w:p>
    <w:p w14:paraId="0C358871" w14:textId="77777777" w:rsidR="008F776F" w:rsidRPr="008F776F" w:rsidRDefault="008F776F" w:rsidP="008F776F">
      <w:pPr>
        <w:jc w:val="left"/>
        <w:rPr>
          <w:rFonts w:cs="Arial"/>
          <w:szCs w:val="19"/>
          <w:lang w:val="es-ES_tradnl"/>
        </w:rPr>
      </w:pPr>
    </w:p>
    <w:p w14:paraId="7CC003A1" w14:textId="77777777" w:rsidR="008F776F" w:rsidRPr="008F776F" w:rsidRDefault="008F776F" w:rsidP="008F776F">
      <w:pPr>
        <w:jc w:val="left"/>
        <w:rPr>
          <w:rFonts w:cs="Arial"/>
          <w:szCs w:val="19"/>
          <w:lang w:val="es-ES_tradnl"/>
        </w:rPr>
      </w:pPr>
    </w:p>
    <w:p w14:paraId="6D583A9C" w14:textId="77777777" w:rsidR="008F776F" w:rsidRPr="008F776F" w:rsidRDefault="008F776F" w:rsidP="008F776F">
      <w:pPr>
        <w:jc w:val="left"/>
        <w:rPr>
          <w:rFonts w:cs="Arial"/>
          <w:szCs w:val="19"/>
          <w:lang w:val="es-ES_tradnl"/>
        </w:rPr>
      </w:pPr>
    </w:p>
    <w:p w14:paraId="6CCD6E14" w14:textId="77777777" w:rsidR="008F776F" w:rsidRPr="008F776F" w:rsidRDefault="008F776F" w:rsidP="008F776F">
      <w:pPr>
        <w:jc w:val="right"/>
        <w:rPr>
          <w:rFonts w:cs="Arial"/>
          <w:szCs w:val="19"/>
          <w:lang w:val="es-ES_tradnl"/>
        </w:rPr>
      </w:pPr>
      <w:r w:rsidRPr="008F776F">
        <w:rPr>
          <w:rFonts w:cs="Arial"/>
          <w:szCs w:val="19"/>
          <w:lang w:val="es-ES_tradnl"/>
        </w:rPr>
        <w:t>[Sigue el Anexo]</w:t>
      </w:r>
    </w:p>
    <w:p w14:paraId="2004D567" w14:textId="77777777" w:rsidR="00202E38" w:rsidRPr="008F776F" w:rsidRDefault="00202E38">
      <w:pPr>
        <w:jc w:val="left"/>
        <w:rPr>
          <w:lang w:val="es-ES_tradnl"/>
        </w:rPr>
      </w:pPr>
    </w:p>
    <w:p w14:paraId="747B85B0" w14:textId="77777777" w:rsidR="008F776F" w:rsidRPr="008F776F" w:rsidRDefault="008F776F">
      <w:pPr>
        <w:jc w:val="left"/>
        <w:rPr>
          <w:lang w:val="es-ES_tradnl"/>
        </w:rPr>
        <w:sectPr w:rsidR="008F776F" w:rsidRPr="008F776F" w:rsidSect="00906DDC">
          <w:headerReference w:type="default" r:id="rId8"/>
          <w:pgSz w:w="11907" w:h="16840" w:code="9"/>
          <w:pgMar w:top="510" w:right="1134" w:bottom="1134" w:left="1134" w:header="510" w:footer="680" w:gutter="0"/>
          <w:cols w:space="720"/>
          <w:titlePg/>
        </w:sectPr>
      </w:pPr>
    </w:p>
    <w:p w14:paraId="41C4B6C2" w14:textId="36548F0F" w:rsidR="008F776F" w:rsidRPr="008F776F" w:rsidRDefault="00775143" w:rsidP="008F776F">
      <w:pPr>
        <w:pStyle w:val="Titleofdoc0"/>
        <w:tabs>
          <w:tab w:val="left" w:pos="1276"/>
        </w:tabs>
        <w:spacing w:before="0" w:after="0"/>
        <w:ind w:left="1276" w:hanging="1276"/>
        <w:rPr>
          <w:caps w:val="0"/>
          <w:color w:val="194C33" w:themeColor="accent1" w:themeShade="80"/>
          <w:sz w:val="32"/>
          <w:szCs w:val="32"/>
          <w:lang w:val="es-ES_tradnl"/>
        </w:rPr>
      </w:pPr>
      <w:r>
        <w:rPr>
          <w:caps w:val="0"/>
          <w:color w:val="194C33" w:themeColor="accent1" w:themeShade="80"/>
          <w:sz w:val="32"/>
          <w:szCs w:val="32"/>
          <w:lang w:val="es-ES_tradnl"/>
        </w:rPr>
        <w:lastRenderedPageBreak/>
        <w:t>P</w:t>
      </w:r>
      <w:r w:rsidR="008F776F" w:rsidRPr="008F776F">
        <w:rPr>
          <w:caps w:val="0"/>
          <w:color w:val="194C33" w:themeColor="accent1" w:themeShade="80"/>
          <w:sz w:val="32"/>
          <w:szCs w:val="32"/>
          <w:lang w:val="es-ES_tradnl"/>
        </w:rPr>
        <w:t>rograma y presupuesto para el bienio 2024</w:t>
      </w:r>
      <w:r w:rsidR="008F776F" w:rsidRPr="008F776F">
        <w:rPr>
          <w:caps w:val="0"/>
          <w:color w:val="194C33" w:themeColor="accent1" w:themeShade="80"/>
          <w:sz w:val="32"/>
          <w:szCs w:val="32"/>
          <w:lang w:val="es-ES_tradnl"/>
        </w:rPr>
        <w:noBreakHyphen/>
        <w:t>2025</w:t>
      </w:r>
    </w:p>
    <w:p w14:paraId="32A41A34" w14:textId="77777777" w:rsidR="008F776F" w:rsidRPr="008F776F" w:rsidRDefault="008F776F" w:rsidP="008F776F">
      <w:pPr>
        <w:jc w:val="left"/>
        <w:rPr>
          <w:lang w:val="es-ES_tradnl"/>
        </w:rPr>
      </w:pPr>
    </w:p>
    <w:sdt>
      <w:sdtPr>
        <w:rPr>
          <w:b/>
          <w:bCs/>
          <w:lang w:val="es-ES_tradnl"/>
        </w:rPr>
        <w:id w:val="-1719118402"/>
        <w:docPartObj>
          <w:docPartGallery w:val="Table of Contents"/>
          <w:docPartUnique/>
        </w:docPartObj>
      </w:sdtPr>
      <w:sdtEndPr>
        <w:rPr>
          <w:b w:val="0"/>
          <w:bCs w:val="0"/>
        </w:rPr>
      </w:sdtEndPr>
      <w:sdtContent>
        <w:p w14:paraId="5C8DFBAE" w14:textId="77777777" w:rsidR="008F776F" w:rsidRPr="008F776F" w:rsidRDefault="008F776F" w:rsidP="008F776F">
          <w:pPr>
            <w:rPr>
              <w:b/>
              <w:color w:val="26724C" w:themeColor="accent1" w:themeShade="BF"/>
              <w:lang w:val="es-ES_tradnl"/>
            </w:rPr>
          </w:pPr>
          <w:r w:rsidRPr="008F776F">
            <w:rPr>
              <w:b/>
              <w:color w:val="26724C" w:themeColor="accent1" w:themeShade="BF"/>
              <w:lang w:val="es-ES_tradnl"/>
            </w:rPr>
            <w:t>Contenido</w:t>
          </w:r>
        </w:p>
        <w:p w14:paraId="4DFD244B" w14:textId="77777777" w:rsidR="009C3021" w:rsidRDefault="008F776F">
          <w:pPr>
            <w:pStyle w:val="TOC1"/>
            <w:rPr>
              <w:rFonts w:asciiTheme="minorHAnsi" w:eastAsiaTheme="minorEastAsia" w:hAnsiTheme="minorHAnsi" w:cstheme="minorBidi"/>
              <w:bCs w:val="0"/>
              <w:noProof/>
              <w:sz w:val="22"/>
              <w:szCs w:val="22"/>
              <w:lang w:val="en-US"/>
            </w:rPr>
          </w:pPr>
          <w:r w:rsidRPr="008F776F">
            <w:fldChar w:fldCharType="begin"/>
          </w:r>
          <w:r w:rsidRPr="008F776F">
            <w:instrText xml:space="preserve"> TOC \o "1-3" \u \t "Heading 9,4" </w:instrText>
          </w:r>
          <w:r w:rsidRPr="008F776F">
            <w:fldChar w:fldCharType="separate"/>
          </w:r>
          <w:r w:rsidR="009C3021" w:rsidRPr="00181B65">
            <w:rPr>
              <w:noProof/>
            </w:rPr>
            <w:t>I.</w:t>
          </w:r>
          <w:r w:rsidR="009C3021">
            <w:rPr>
              <w:rFonts w:asciiTheme="minorHAnsi" w:eastAsiaTheme="minorEastAsia" w:hAnsiTheme="minorHAnsi" w:cstheme="minorBidi"/>
              <w:bCs w:val="0"/>
              <w:noProof/>
              <w:sz w:val="22"/>
              <w:szCs w:val="22"/>
              <w:lang w:val="en-US"/>
            </w:rPr>
            <w:tab/>
          </w:r>
          <w:r w:rsidR="009C3021" w:rsidRPr="00181B65">
            <w:rPr>
              <w:noProof/>
            </w:rPr>
            <w:t>CONTEXTO GENERAL</w:t>
          </w:r>
          <w:r w:rsidR="009C3021">
            <w:rPr>
              <w:noProof/>
            </w:rPr>
            <w:tab/>
          </w:r>
          <w:r w:rsidR="009C3021">
            <w:rPr>
              <w:noProof/>
            </w:rPr>
            <w:fldChar w:fldCharType="begin"/>
          </w:r>
          <w:r w:rsidR="009C3021">
            <w:rPr>
              <w:noProof/>
            </w:rPr>
            <w:instrText xml:space="preserve"> PAGEREF _Toc141978847 \h </w:instrText>
          </w:r>
          <w:r w:rsidR="009C3021">
            <w:rPr>
              <w:noProof/>
            </w:rPr>
          </w:r>
          <w:r w:rsidR="009C3021">
            <w:rPr>
              <w:noProof/>
            </w:rPr>
            <w:fldChar w:fldCharType="separate"/>
          </w:r>
          <w:r w:rsidR="009C3021">
            <w:rPr>
              <w:noProof/>
            </w:rPr>
            <w:t>2</w:t>
          </w:r>
          <w:r w:rsidR="009C3021">
            <w:rPr>
              <w:noProof/>
            </w:rPr>
            <w:fldChar w:fldCharType="end"/>
          </w:r>
        </w:p>
        <w:p w14:paraId="0366222C" w14:textId="77777777" w:rsidR="009C3021" w:rsidRDefault="009C3021">
          <w:pPr>
            <w:pStyle w:val="TOC1"/>
            <w:rPr>
              <w:rFonts w:asciiTheme="minorHAnsi" w:eastAsiaTheme="minorEastAsia" w:hAnsiTheme="minorHAnsi" w:cstheme="minorBidi"/>
              <w:bCs w:val="0"/>
              <w:noProof/>
              <w:sz w:val="22"/>
              <w:szCs w:val="22"/>
              <w:lang w:val="en-US"/>
            </w:rPr>
          </w:pPr>
          <w:r w:rsidRPr="00181B65">
            <w:rPr>
              <w:noProof/>
            </w:rPr>
            <w:t>II.</w:t>
          </w:r>
          <w:r>
            <w:rPr>
              <w:rFonts w:asciiTheme="minorHAnsi" w:eastAsiaTheme="minorEastAsia" w:hAnsiTheme="minorHAnsi" w:cstheme="minorBidi"/>
              <w:bCs w:val="0"/>
              <w:noProof/>
              <w:sz w:val="22"/>
              <w:szCs w:val="22"/>
              <w:lang w:val="en-US"/>
            </w:rPr>
            <w:tab/>
          </w:r>
          <w:r w:rsidRPr="00181B65">
            <w:rPr>
              <w:noProof/>
            </w:rPr>
            <w:t>PANORAMA GENERAL DEL PROGRAMA Y PRESUPUESTO</w:t>
          </w:r>
          <w:r>
            <w:rPr>
              <w:noProof/>
            </w:rPr>
            <w:tab/>
          </w:r>
          <w:r>
            <w:rPr>
              <w:noProof/>
            </w:rPr>
            <w:fldChar w:fldCharType="begin"/>
          </w:r>
          <w:r>
            <w:rPr>
              <w:noProof/>
            </w:rPr>
            <w:instrText xml:space="preserve"> PAGEREF _Toc141978848 \h </w:instrText>
          </w:r>
          <w:r>
            <w:rPr>
              <w:noProof/>
            </w:rPr>
          </w:r>
          <w:r>
            <w:rPr>
              <w:noProof/>
            </w:rPr>
            <w:fldChar w:fldCharType="separate"/>
          </w:r>
          <w:r>
            <w:rPr>
              <w:noProof/>
            </w:rPr>
            <w:t>4</w:t>
          </w:r>
          <w:r>
            <w:rPr>
              <w:noProof/>
            </w:rPr>
            <w:fldChar w:fldCharType="end"/>
          </w:r>
        </w:p>
        <w:p w14:paraId="0039AC0F" w14:textId="77777777" w:rsidR="009C3021" w:rsidRDefault="009C3021">
          <w:pPr>
            <w:pStyle w:val="TOC2"/>
            <w:rPr>
              <w:rFonts w:asciiTheme="minorHAnsi" w:eastAsiaTheme="minorEastAsia" w:hAnsiTheme="minorHAnsi" w:cstheme="minorBidi"/>
              <w:iCs w:val="0"/>
              <w:noProof/>
              <w:sz w:val="22"/>
              <w:szCs w:val="22"/>
              <w:lang w:val="en-US"/>
            </w:rPr>
          </w:pPr>
          <w:r w:rsidRPr="00181B65">
            <w:rPr>
              <w:noProof/>
            </w:rPr>
            <w:t>Panorama financiero</w:t>
          </w:r>
          <w:r>
            <w:rPr>
              <w:noProof/>
            </w:rPr>
            <w:tab/>
          </w:r>
          <w:r>
            <w:rPr>
              <w:noProof/>
            </w:rPr>
            <w:fldChar w:fldCharType="begin"/>
          </w:r>
          <w:r>
            <w:rPr>
              <w:noProof/>
            </w:rPr>
            <w:instrText xml:space="preserve"> PAGEREF _Toc141978849 \h </w:instrText>
          </w:r>
          <w:r>
            <w:rPr>
              <w:noProof/>
            </w:rPr>
          </w:r>
          <w:r>
            <w:rPr>
              <w:noProof/>
            </w:rPr>
            <w:fldChar w:fldCharType="separate"/>
          </w:r>
          <w:r>
            <w:rPr>
              <w:noProof/>
            </w:rPr>
            <w:t>4</w:t>
          </w:r>
          <w:r>
            <w:rPr>
              <w:noProof/>
            </w:rPr>
            <w:fldChar w:fldCharType="end"/>
          </w:r>
        </w:p>
        <w:p w14:paraId="3F8A6629" w14:textId="77777777" w:rsidR="009C3021" w:rsidRDefault="009C3021">
          <w:pPr>
            <w:pStyle w:val="TOC3"/>
            <w:rPr>
              <w:rFonts w:asciiTheme="minorHAnsi" w:eastAsiaTheme="minorEastAsia" w:hAnsiTheme="minorHAnsi" w:cstheme="minorBidi"/>
              <w:i w:val="0"/>
              <w:noProof/>
              <w:sz w:val="22"/>
              <w:szCs w:val="22"/>
              <w:lang w:val="en-US"/>
            </w:rPr>
          </w:pPr>
          <w:r>
            <w:rPr>
              <w:noProof/>
            </w:rPr>
            <w:t>Ingresos</w:t>
          </w:r>
          <w:r>
            <w:rPr>
              <w:noProof/>
            </w:rPr>
            <w:tab/>
          </w:r>
          <w:r>
            <w:rPr>
              <w:noProof/>
            </w:rPr>
            <w:fldChar w:fldCharType="begin"/>
          </w:r>
          <w:r>
            <w:rPr>
              <w:noProof/>
            </w:rPr>
            <w:instrText xml:space="preserve"> PAGEREF _Toc141978850 \h </w:instrText>
          </w:r>
          <w:r>
            <w:rPr>
              <w:noProof/>
            </w:rPr>
          </w:r>
          <w:r>
            <w:rPr>
              <w:noProof/>
            </w:rPr>
            <w:fldChar w:fldCharType="separate"/>
          </w:r>
          <w:r>
            <w:rPr>
              <w:noProof/>
            </w:rPr>
            <w:t>4</w:t>
          </w:r>
          <w:r>
            <w:rPr>
              <w:noProof/>
            </w:rPr>
            <w:fldChar w:fldCharType="end"/>
          </w:r>
        </w:p>
        <w:p w14:paraId="3B7DFAE7" w14:textId="77777777" w:rsidR="009C3021" w:rsidRDefault="009C3021">
          <w:pPr>
            <w:pStyle w:val="TOC3"/>
            <w:rPr>
              <w:rFonts w:asciiTheme="minorHAnsi" w:eastAsiaTheme="minorEastAsia" w:hAnsiTheme="minorHAnsi" w:cstheme="minorBidi"/>
              <w:i w:val="0"/>
              <w:noProof/>
              <w:sz w:val="22"/>
              <w:szCs w:val="22"/>
              <w:lang w:val="en-US"/>
            </w:rPr>
          </w:pPr>
          <w:r>
            <w:rPr>
              <w:noProof/>
            </w:rPr>
            <w:t>Plan de dotación de recursos</w:t>
          </w:r>
          <w:r>
            <w:rPr>
              <w:noProof/>
            </w:rPr>
            <w:tab/>
          </w:r>
          <w:r>
            <w:rPr>
              <w:noProof/>
            </w:rPr>
            <w:fldChar w:fldCharType="begin"/>
          </w:r>
          <w:r>
            <w:rPr>
              <w:noProof/>
            </w:rPr>
            <w:instrText xml:space="preserve"> PAGEREF _Toc141978851 \h </w:instrText>
          </w:r>
          <w:r>
            <w:rPr>
              <w:noProof/>
            </w:rPr>
          </w:r>
          <w:r>
            <w:rPr>
              <w:noProof/>
            </w:rPr>
            <w:fldChar w:fldCharType="separate"/>
          </w:r>
          <w:r>
            <w:rPr>
              <w:noProof/>
            </w:rPr>
            <w:t>5</w:t>
          </w:r>
          <w:r>
            <w:rPr>
              <w:noProof/>
            </w:rPr>
            <w:fldChar w:fldCharType="end"/>
          </w:r>
        </w:p>
        <w:p w14:paraId="6B0F4722" w14:textId="77777777" w:rsidR="009C3021" w:rsidRDefault="009C3021">
          <w:pPr>
            <w:pStyle w:val="TOC3"/>
            <w:rPr>
              <w:rFonts w:asciiTheme="minorHAnsi" w:eastAsiaTheme="minorEastAsia" w:hAnsiTheme="minorHAnsi" w:cstheme="minorBidi"/>
              <w:i w:val="0"/>
              <w:noProof/>
              <w:sz w:val="22"/>
              <w:szCs w:val="22"/>
              <w:lang w:val="en-US"/>
            </w:rPr>
          </w:pPr>
          <w:r>
            <w:rPr>
              <w:noProof/>
            </w:rPr>
            <w:t>Gastos</w:t>
          </w:r>
          <w:r>
            <w:rPr>
              <w:noProof/>
            </w:rPr>
            <w:tab/>
          </w:r>
          <w:r>
            <w:rPr>
              <w:noProof/>
            </w:rPr>
            <w:fldChar w:fldCharType="begin"/>
          </w:r>
          <w:r>
            <w:rPr>
              <w:noProof/>
            </w:rPr>
            <w:instrText xml:space="preserve"> PAGEREF _Toc141978852 \h </w:instrText>
          </w:r>
          <w:r>
            <w:rPr>
              <w:noProof/>
            </w:rPr>
          </w:r>
          <w:r>
            <w:rPr>
              <w:noProof/>
            </w:rPr>
            <w:fldChar w:fldCharType="separate"/>
          </w:r>
          <w:r>
            <w:rPr>
              <w:noProof/>
            </w:rPr>
            <w:t>6</w:t>
          </w:r>
          <w:r>
            <w:rPr>
              <w:noProof/>
            </w:rPr>
            <w:fldChar w:fldCharType="end"/>
          </w:r>
        </w:p>
        <w:p w14:paraId="4428CDAD" w14:textId="77777777" w:rsidR="009C3021" w:rsidRDefault="009C3021">
          <w:pPr>
            <w:pStyle w:val="TOC3"/>
            <w:rPr>
              <w:rFonts w:asciiTheme="minorHAnsi" w:eastAsiaTheme="minorEastAsia" w:hAnsiTheme="minorHAnsi" w:cstheme="minorBidi"/>
              <w:i w:val="0"/>
              <w:noProof/>
              <w:sz w:val="22"/>
              <w:szCs w:val="22"/>
              <w:lang w:val="en-US"/>
            </w:rPr>
          </w:pPr>
          <w:r>
            <w:rPr>
              <w:noProof/>
            </w:rPr>
            <w:t>Dotación de personal</w:t>
          </w:r>
          <w:r>
            <w:rPr>
              <w:noProof/>
            </w:rPr>
            <w:tab/>
          </w:r>
          <w:r>
            <w:rPr>
              <w:noProof/>
            </w:rPr>
            <w:fldChar w:fldCharType="begin"/>
          </w:r>
          <w:r>
            <w:rPr>
              <w:noProof/>
            </w:rPr>
            <w:instrText xml:space="preserve"> PAGEREF _Toc141978853 \h </w:instrText>
          </w:r>
          <w:r>
            <w:rPr>
              <w:noProof/>
            </w:rPr>
          </w:r>
          <w:r>
            <w:rPr>
              <w:noProof/>
            </w:rPr>
            <w:fldChar w:fldCharType="separate"/>
          </w:r>
          <w:r>
            <w:rPr>
              <w:noProof/>
            </w:rPr>
            <w:t>8</w:t>
          </w:r>
          <w:r>
            <w:rPr>
              <w:noProof/>
            </w:rPr>
            <w:fldChar w:fldCharType="end"/>
          </w:r>
        </w:p>
        <w:p w14:paraId="6C673618" w14:textId="77777777" w:rsidR="009C3021" w:rsidRDefault="009C3021">
          <w:pPr>
            <w:pStyle w:val="TOC1"/>
            <w:rPr>
              <w:rFonts w:asciiTheme="minorHAnsi" w:eastAsiaTheme="minorEastAsia" w:hAnsiTheme="minorHAnsi" w:cstheme="minorBidi"/>
              <w:bCs w:val="0"/>
              <w:noProof/>
              <w:sz w:val="22"/>
              <w:szCs w:val="22"/>
              <w:lang w:val="en-US"/>
            </w:rPr>
          </w:pPr>
          <w:r w:rsidRPr="00181B65">
            <w:rPr>
              <w:noProof/>
            </w:rPr>
            <w:t>III.</w:t>
          </w:r>
          <w:r>
            <w:rPr>
              <w:rFonts w:asciiTheme="minorHAnsi" w:eastAsiaTheme="minorEastAsia" w:hAnsiTheme="minorHAnsi" w:cstheme="minorBidi"/>
              <w:bCs w:val="0"/>
              <w:noProof/>
              <w:sz w:val="22"/>
              <w:szCs w:val="22"/>
              <w:lang w:val="en-US"/>
            </w:rPr>
            <w:tab/>
          </w:r>
          <w:r w:rsidRPr="00181B65">
            <w:rPr>
              <w:noProof/>
            </w:rPr>
            <w:t>Objetivos y resultados previstos</w:t>
          </w:r>
          <w:r>
            <w:rPr>
              <w:noProof/>
            </w:rPr>
            <w:tab/>
          </w:r>
          <w:r>
            <w:rPr>
              <w:noProof/>
            </w:rPr>
            <w:fldChar w:fldCharType="begin"/>
          </w:r>
          <w:r>
            <w:rPr>
              <w:noProof/>
            </w:rPr>
            <w:instrText xml:space="preserve"> PAGEREF _Toc141978854 \h </w:instrText>
          </w:r>
          <w:r>
            <w:rPr>
              <w:noProof/>
            </w:rPr>
          </w:r>
          <w:r>
            <w:rPr>
              <w:noProof/>
            </w:rPr>
            <w:fldChar w:fldCharType="separate"/>
          </w:r>
          <w:r>
            <w:rPr>
              <w:noProof/>
            </w:rPr>
            <w:t>9</w:t>
          </w:r>
          <w:r>
            <w:rPr>
              <w:noProof/>
            </w:rPr>
            <w:fldChar w:fldCharType="end"/>
          </w:r>
        </w:p>
        <w:p w14:paraId="4E93252A" w14:textId="77777777" w:rsidR="009C3021" w:rsidRDefault="009C3021">
          <w:pPr>
            <w:pStyle w:val="TOC2"/>
            <w:rPr>
              <w:rFonts w:asciiTheme="minorHAnsi" w:eastAsiaTheme="minorEastAsia" w:hAnsiTheme="minorHAnsi" w:cstheme="minorBidi"/>
              <w:iCs w:val="0"/>
              <w:noProof/>
              <w:sz w:val="22"/>
              <w:szCs w:val="22"/>
              <w:lang w:val="en-US"/>
            </w:rPr>
          </w:pPr>
          <w:r w:rsidRPr="00181B65">
            <w:rPr>
              <w:noProof/>
            </w:rPr>
            <w:t>Introducción</w:t>
          </w:r>
          <w:r>
            <w:rPr>
              <w:noProof/>
            </w:rPr>
            <w:tab/>
          </w:r>
          <w:r>
            <w:rPr>
              <w:noProof/>
            </w:rPr>
            <w:fldChar w:fldCharType="begin"/>
          </w:r>
          <w:r>
            <w:rPr>
              <w:noProof/>
            </w:rPr>
            <w:instrText xml:space="preserve"> PAGEREF _Toc141978855 \h </w:instrText>
          </w:r>
          <w:r>
            <w:rPr>
              <w:noProof/>
            </w:rPr>
          </w:r>
          <w:r>
            <w:rPr>
              <w:noProof/>
            </w:rPr>
            <w:fldChar w:fldCharType="separate"/>
          </w:r>
          <w:r>
            <w:rPr>
              <w:noProof/>
            </w:rPr>
            <w:t>9</w:t>
          </w:r>
          <w:r>
            <w:rPr>
              <w:noProof/>
            </w:rPr>
            <w:fldChar w:fldCharType="end"/>
          </w:r>
        </w:p>
        <w:p w14:paraId="7E058C34" w14:textId="77777777" w:rsidR="009C3021" w:rsidRDefault="009C3021">
          <w:pPr>
            <w:pStyle w:val="TOC2"/>
            <w:rPr>
              <w:rFonts w:asciiTheme="minorHAnsi" w:eastAsiaTheme="minorEastAsia" w:hAnsiTheme="minorHAnsi" w:cstheme="minorBidi"/>
              <w:iCs w:val="0"/>
              <w:noProof/>
              <w:sz w:val="22"/>
              <w:szCs w:val="22"/>
              <w:lang w:val="en-US"/>
            </w:rPr>
          </w:pPr>
          <w:r w:rsidRPr="00181B65">
            <w:rPr>
              <w:noProof/>
            </w:rPr>
            <w:t>Pilar 1: Reunir a las partes interesadas para que contribuyan a dar forma al sistema de la UPOV</w:t>
          </w:r>
          <w:r>
            <w:rPr>
              <w:noProof/>
            </w:rPr>
            <w:tab/>
          </w:r>
          <w:r>
            <w:rPr>
              <w:noProof/>
            </w:rPr>
            <w:fldChar w:fldCharType="begin"/>
          </w:r>
          <w:r>
            <w:rPr>
              <w:noProof/>
            </w:rPr>
            <w:instrText xml:space="preserve"> PAGEREF _Toc141978856 \h </w:instrText>
          </w:r>
          <w:r>
            <w:rPr>
              <w:noProof/>
            </w:rPr>
          </w:r>
          <w:r>
            <w:rPr>
              <w:noProof/>
            </w:rPr>
            <w:fldChar w:fldCharType="separate"/>
          </w:r>
          <w:r>
            <w:rPr>
              <w:noProof/>
            </w:rPr>
            <w:t>10</w:t>
          </w:r>
          <w:r>
            <w:rPr>
              <w:noProof/>
            </w:rPr>
            <w:fldChar w:fldCharType="end"/>
          </w:r>
        </w:p>
        <w:p w14:paraId="35E09FD3" w14:textId="77777777" w:rsidR="009C3021" w:rsidRDefault="009C3021">
          <w:pPr>
            <w:pStyle w:val="TOC3"/>
            <w:rPr>
              <w:rFonts w:asciiTheme="minorHAnsi" w:eastAsiaTheme="minorEastAsia" w:hAnsiTheme="minorHAnsi" w:cstheme="minorBidi"/>
              <w:i w:val="0"/>
              <w:noProof/>
              <w:sz w:val="22"/>
              <w:szCs w:val="22"/>
              <w:lang w:val="en-US"/>
            </w:rPr>
          </w:pPr>
          <w:r>
            <w:rPr>
              <w:noProof/>
            </w:rPr>
            <w:t>Estrategia para lograr los resultados previstos</w:t>
          </w:r>
          <w:r>
            <w:rPr>
              <w:noProof/>
            </w:rPr>
            <w:tab/>
          </w:r>
          <w:r>
            <w:rPr>
              <w:noProof/>
            </w:rPr>
            <w:fldChar w:fldCharType="begin"/>
          </w:r>
          <w:r>
            <w:rPr>
              <w:noProof/>
            </w:rPr>
            <w:instrText xml:space="preserve"> PAGEREF _Toc141978857 \h </w:instrText>
          </w:r>
          <w:r>
            <w:rPr>
              <w:noProof/>
            </w:rPr>
          </w:r>
          <w:r>
            <w:rPr>
              <w:noProof/>
            </w:rPr>
            <w:fldChar w:fldCharType="separate"/>
          </w:r>
          <w:r>
            <w:rPr>
              <w:noProof/>
            </w:rPr>
            <w:t>10</w:t>
          </w:r>
          <w:r>
            <w:rPr>
              <w:noProof/>
            </w:rPr>
            <w:fldChar w:fldCharType="end"/>
          </w:r>
        </w:p>
        <w:p w14:paraId="05604217" w14:textId="77777777" w:rsidR="009C3021" w:rsidRDefault="009C3021">
          <w:pPr>
            <w:pStyle w:val="TOC3"/>
            <w:rPr>
              <w:rFonts w:asciiTheme="minorHAnsi" w:eastAsiaTheme="minorEastAsia" w:hAnsiTheme="minorHAnsi" w:cstheme="minorBidi"/>
              <w:i w:val="0"/>
              <w:noProof/>
              <w:sz w:val="22"/>
              <w:szCs w:val="22"/>
              <w:lang w:val="en-US"/>
            </w:rPr>
          </w:pPr>
          <w:r>
            <w:rPr>
              <w:noProof/>
            </w:rPr>
            <w:t>Resultados previstos e indicadores de rendimiento</w:t>
          </w:r>
          <w:r>
            <w:rPr>
              <w:noProof/>
            </w:rPr>
            <w:tab/>
          </w:r>
          <w:r>
            <w:rPr>
              <w:noProof/>
            </w:rPr>
            <w:fldChar w:fldCharType="begin"/>
          </w:r>
          <w:r>
            <w:rPr>
              <w:noProof/>
            </w:rPr>
            <w:instrText xml:space="preserve"> PAGEREF _Toc141978858 \h </w:instrText>
          </w:r>
          <w:r>
            <w:rPr>
              <w:noProof/>
            </w:rPr>
          </w:r>
          <w:r>
            <w:rPr>
              <w:noProof/>
            </w:rPr>
            <w:fldChar w:fldCharType="separate"/>
          </w:r>
          <w:r>
            <w:rPr>
              <w:noProof/>
            </w:rPr>
            <w:t>10</w:t>
          </w:r>
          <w:r>
            <w:rPr>
              <w:noProof/>
            </w:rPr>
            <w:fldChar w:fldCharType="end"/>
          </w:r>
        </w:p>
        <w:p w14:paraId="58D41710" w14:textId="77777777" w:rsidR="009C3021" w:rsidRDefault="009C3021">
          <w:pPr>
            <w:pStyle w:val="TOC2"/>
            <w:rPr>
              <w:rFonts w:asciiTheme="minorHAnsi" w:eastAsiaTheme="minorEastAsia" w:hAnsiTheme="minorHAnsi" w:cstheme="minorBidi"/>
              <w:iCs w:val="0"/>
              <w:noProof/>
              <w:sz w:val="22"/>
              <w:szCs w:val="22"/>
              <w:lang w:val="en-US"/>
            </w:rPr>
          </w:pPr>
          <w:r w:rsidRPr="00181B65">
            <w:rPr>
              <w:noProof/>
            </w:rPr>
            <w:t>Pilar 2: Proporcionar orientación y asistencia y facilitar la cooperación para la puesta en práctica del sistema de la UPOV</w:t>
          </w:r>
          <w:r>
            <w:rPr>
              <w:noProof/>
            </w:rPr>
            <w:tab/>
          </w:r>
          <w:r>
            <w:rPr>
              <w:noProof/>
            </w:rPr>
            <w:fldChar w:fldCharType="begin"/>
          </w:r>
          <w:r>
            <w:rPr>
              <w:noProof/>
            </w:rPr>
            <w:instrText xml:space="preserve"> PAGEREF _Toc141978859 \h </w:instrText>
          </w:r>
          <w:r>
            <w:rPr>
              <w:noProof/>
            </w:rPr>
          </w:r>
          <w:r>
            <w:rPr>
              <w:noProof/>
            </w:rPr>
            <w:fldChar w:fldCharType="separate"/>
          </w:r>
          <w:r>
            <w:rPr>
              <w:noProof/>
            </w:rPr>
            <w:t>11</w:t>
          </w:r>
          <w:r>
            <w:rPr>
              <w:noProof/>
            </w:rPr>
            <w:fldChar w:fldCharType="end"/>
          </w:r>
        </w:p>
        <w:p w14:paraId="5B85AF2E" w14:textId="77777777" w:rsidR="009C3021" w:rsidRDefault="009C3021">
          <w:pPr>
            <w:pStyle w:val="TOC3"/>
            <w:rPr>
              <w:rFonts w:asciiTheme="minorHAnsi" w:eastAsiaTheme="minorEastAsia" w:hAnsiTheme="minorHAnsi" w:cstheme="minorBidi"/>
              <w:i w:val="0"/>
              <w:noProof/>
              <w:sz w:val="22"/>
              <w:szCs w:val="22"/>
              <w:lang w:val="en-US"/>
            </w:rPr>
          </w:pPr>
          <w:r>
            <w:rPr>
              <w:noProof/>
            </w:rPr>
            <w:t>Estrategia para lograr los resultados previstos</w:t>
          </w:r>
          <w:r>
            <w:rPr>
              <w:noProof/>
            </w:rPr>
            <w:tab/>
          </w:r>
          <w:r>
            <w:rPr>
              <w:noProof/>
            </w:rPr>
            <w:fldChar w:fldCharType="begin"/>
          </w:r>
          <w:r>
            <w:rPr>
              <w:noProof/>
            </w:rPr>
            <w:instrText xml:space="preserve"> PAGEREF _Toc141978860 \h </w:instrText>
          </w:r>
          <w:r>
            <w:rPr>
              <w:noProof/>
            </w:rPr>
          </w:r>
          <w:r>
            <w:rPr>
              <w:noProof/>
            </w:rPr>
            <w:fldChar w:fldCharType="separate"/>
          </w:r>
          <w:r>
            <w:rPr>
              <w:noProof/>
            </w:rPr>
            <w:t>11</w:t>
          </w:r>
          <w:r>
            <w:rPr>
              <w:noProof/>
            </w:rPr>
            <w:fldChar w:fldCharType="end"/>
          </w:r>
        </w:p>
        <w:p w14:paraId="329E66E8" w14:textId="77777777" w:rsidR="009C3021" w:rsidRDefault="009C3021">
          <w:pPr>
            <w:pStyle w:val="TOC3"/>
            <w:rPr>
              <w:rFonts w:asciiTheme="minorHAnsi" w:eastAsiaTheme="minorEastAsia" w:hAnsiTheme="minorHAnsi" w:cstheme="minorBidi"/>
              <w:i w:val="0"/>
              <w:noProof/>
              <w:sz w:val="22"/>
              <w:szCs w:val="22"/>
              <w:lang w:val="en-US"/>
            </w:rPr>
          </w:pPr>
          <w:r>
            <w:rPr>
              <w:noProof/>
            </w:rPr>
            <w:t>Resultados previstos e indicadores de rendimiento</w:t>
          </w:r>
          <w:r>
            <w:rPr>
              <w:noProof/>
            </w:rPr>
            <w:tab/>
          </w:r>
          <w:r>
            <w:rPr>
              <w:noProof/>
            </w:rPr>
            <w:fldChar w:fldCharType="begin"/>
          </w:r>
          <w:r>
            <w:rPr>
              <w:noProof/>
            </w:rPr>
            <w:instrText xml:space="preserve"> PAGEREF _Toc141978861 \h </w:instrText>
          </w:r>
          <w:r>
            <w:rPr>
              <w:noProof/>
            </w:rPr>
          </w:r>
          <w:r>
            <w:rPr>
              <w:noProof/>
            </w:rPr>
            <w:fldChar w:fldCharType="separate"/>
          </w:r>
          <w:r>
            <w:rPr>
              <w:noProof/>
            </w:rPr>
            <w:t>13</w:t>
          </w:r>
          <w:r>
            <w:rPr>
              <w:noProof/>
            </w:rPr>
            <w:fldChar w:fldCharType="end"/>
          </w:r>
        </w:p>
        <w:p w14:paraId="01DE9B0A" w14:textId="77777777" w:rsidR="009C3021" w:rsidRDefault="009C3021">
          <w:pPr>
            <w:pStyle w:val="TOC2"/>
            <w:rPr>
              <w:rFonts w:asciiTheme="minorHAnsi" w:eastAsiaTheme="minorEastAsia" w:hAnsiTheme="minorHAnsi" w:cstheme="minorBidi"/>
              <w:iCs w:val="0"/>
              <w:noProof/>
              <w:sz w:val="22"/>
              <w:szCs w:val="22"/>
              <w:lang w:val="en-US"/>
            </w:rPr>
          </w:pPr>
          <w:r w:rsidRPr="00181B65">
            <w:rPr>
              <w:noProof/>
            </w:rPr>
            <w:t>Pilar 3: Proporcionar servicios de alta calidad a los miembros de la UPOV y a los usuarios del sistema de la UPOV</w:t>
          </w:r>
          <w:r>
            <w:rPr>
              <w:noProof/>
            </w:rPr>
            <w:tab/>
          </w:r>
          <w:r>
            <w:rPr>
              <w:noProof/>
            </w:rPr>
            <w:fldChar w:fldCharType="begin"/>
          </w:r>
          <w:r>
            <w:rPr>
              <w:noProof/>
            </w:rPr>
            <w:instrText xml:space="preserve"> PAGEREF _Toc141978862 \h </w:instrText>
          </w:r>
          <w:r>
            <w:rPr>
              <w:noProof/>
            </w:rPr>
          </w:r>
          <w:r>
            <w:rPr>
              <w:noProof/>
            </w:rPr>
            <w:fldChar w:fldCharType="separate"/>
          </w:r>
          <w:r>
            <w:rPr>
              <w:noProof/>
            </w:rPr>
            <w:t>14</w:t>
          </w:r>
          <w:r>
            <w:rPr>
              <w:noProof/>
            </w:rPr>
            <w:fldChar w:fldCharType="end"/>
          </w:r>
        </w:p>
        <w:p w14:paraId="53EE906B" w14:textId="77777777" w:rsidR="009C3021" w:rsidRDefault="009C3021">
          <w:pPr>
            <w:pStyle w:val="TOC3"/>
            <w:rPr>
              <w:rFonts w:asciiTheme="minorHAnsi" w:eastAsiaTheme="minorEastAsia" w:hAnsiTheme="minorHAnsi" w:cstheme="minorBidi"/>
              <w:i w:val="0"/>
              <w:noProof/>
              <w:sz w:val="22"/>
              <w:szCs w:val="22"/>
              <w:lang w:val="en-US"/>
            </w:rPr>
          </w:pPr>
          <w:r>
            <w:rPr>
              <w:noProof/>
            </w:rPr>
            <w:t>Estrategia para lograr los resultados previstos</w:t>
          </w:r>
          <w:r>
            <w:rPr>
              <w:noProof/>
            </w:rPr>
            <w:tab/>
          </w:r>
          <w:r>
            <w:rPr>
              <w:noProof/>
            </w:rPr>
            <w:fldChar w:fldCharType="begin"/>
          </w:r>
          <w:r>
            <w:rPr>
              <w:noProof/>
            </w:rPr>
            <w:instrText xml:space="preserve"> PAGEREF _Toc141978863 \h </w:instrText>
          </w:r>
          <w:r>
            <w:rPr>
              <w:noProof/>
            </w:rPr>
          </w:r>
          <w:r>
            <w:rPr>
              <w:noProof/>
            </w:rPr>
            <w:fldChar w:fldCharType="separate"/>
          </w:r>
          <w:r>
            <w:rPr>
              <w:noProof/>
            </w:rPr>
            <w:t>14</w:t>
          </w:r>
          <w:r>
            <w:rPr>
              <w:noProof/>
            </w:rPr>
            <w:fldChar w:fldCharType="end"/>
          </w:r>
        </w:p>
        <w:p w14:paraId="02274526" w14:textId="77777777" w:rsidR="009C3021" w:rsidRDefault="009C3021">
          <w:pPr>
            <w:pStyle w:val="TOC3"/>
            <w:rPr>
              <w:rFonts w:asciiTheme="minorHAnsi" w:eastAsiaTheme="minorEastAsia" w:hAnsiTheme="minorHAnsi" w:cstheme="minorBidi"/>
              <w:i w:val="0"/>
              <w:noProof/>
              <w:sz w:val="22"/>
              <w:szCs w:val="22"/>
              <w:lang w:val="en-US"/>
            </w:rPr>
          </w:pPr>
          <w:r>
            <w:rPr>
              <w:noProof/>
            </w:rPr>
            <w:t>Resultados previstos e indicadores de rendimiento</w:t>
          </w:r>
          <w:r>
            <w:rPr>
              <w:noProof/>
            </w:rPr>
            <w:tab/>
          </w:r>
          <w:r>
            <w:rPr>
              <w:noProof/>
            </w:rPr>
            <w:fldChar w:fldCharType="begin"/>
          </w:r>
          <w:r>
            <w:rPr>
              <w:noProof/>
            </w:rPr>
            <w:instrText xml:space="preserve"> PAGEREF _Toc141978864 \h </w:instrText>
          </w:r>
          <w:r>
            <w:rPr>
              <w:noProof/>
            </w:rPr>
          </w:r>
          <w:r>
            <w:rPr>
              <w:noProof/>
            </w:rPr>
            <w:fldChar w:fldCharType="separate"/>
          </w:r>
          <w:r>
            <w:rPr>
              <w:noProof/>
            </w:rPr>
            <w:t>15</w:t>
          </w:r>
          <w:r>
            <w:rPr>
              <w:noProof/>
            </w:rPr>
            <w:fldChar w:fldCharType="end"/>
          </w:r>
        </w:p>
        <w:p w14:paraId="379478FB" w14:textId="77777777" w:rsidR="009C3021" w:rsidRDefault="009C3021">
          <w:pPr>
            <w:pStyle w:val="TOC2"/>
            <w:rPr>
              <w:rFonts w:asciiTheme="minorHAnsi" w:eastAsiaTheme="minorEastAsia" w:hAnsiTheme="minorHAnsi" w:cstheme="minorBidi"/>
              <w:iCs w:val="0"/>
              <w:noProof/>
              <w:sz w:val="22"/>
              <w:szCs w:val="22"/>
              <w:lang w:val="en-US"/>
            </w:rPr>
          </w:pPr>
          <w:r w:rsidRPr="00181B65">
            <w:rPr>
              <w:noProof/>
            </w:rPr>
            <w:t>Fundamento: Velar por que nuestro personal disponga de los medios para trabajar de forma eficaz, colaborativa e innovadora, y proporcionarle los recursos, la formación y el entorno adecuados para ese fin</w:t>
          </w:r>
          <w:r>
            <w:rPr>
              <w:noProof/>
            </w:rPr>
            <w:tab/>
          </w:r>
          <w:r>
            <w:rPr>
              <w:noProof/>
            </w:rPr>
            <w:fldChar w:fldCharType="begin"/>
          </w:r>
          <w:r>
            <w:rPr>
              <w:noProof/>
            </w:rPr>
            <w:instrText xml:space="preserve"> PAGEREF _Toc141978865 \h </w:instrText>
          </w:r>
          <w:r>
            <w:rPr>
              <w:noProof/>
            </w:rPr>
          </w:r>
          <w:r>
            <w:rPr>
              <w:noProof/>
            </w:rPr>
            <w:fldChar w:fldCharType="separate"/>
          </w:r>
          <w:r>
            <w:rPr>
              <w:noProof/>
            </w:rPr>
            <w:t>15</w:t>
          </w:r>
          <w:r>
            <w:rPr>
              <w:noProof/>
            </w:rPr>
            <w:fldChar w:fldCharType="end"/>
          </w:r>
        </w:p>
        <w:p w14:paraId="55F1F52C" w14:textId="77777777" w:rsidR="009C3021" w:rsidRDefault="009C3021">
          <w:pPr>
            <w:pStyle w:val="TOC3"/>
            <w:rPr>
              <w:rFonts w:asciiTheme="minorHAnsi" w:eastAsiaTheme="minorEastAsia" w:hAnsiTheme="minorHAnsi" w:cstheme="minorBidi"/>
              <w:i w:val="0"/>
              <w:noProof/>
              <w:sz w:val="22"/>
              <w:szCs w:val="22"/>
              <w:lang w:val="en-US"/>
            </w:rPr>
          </w:pPr>
          <w:r>
            <w:rPr>
              <w:noProof/>
            </w:rPr>
            <w:t>Estrategia para lograr los resultados previstos</w:t>
          </w:r>
          <w:r>
            <w:rPr>
              <w:noProof/>
            </w:rPr>
            <w:tab/>
          </w:r>
          <w:r>
            <w:rPr>
              <w:noProof/>
            </w:rPr>
            <w:fldChar w:fldCharType="begin"/>
          </w:r>
          <w:r>
            <w:rPr>
              <w:noProof/>
            </w:rPr>
            <w:instrText xml:space="preserve"> PAGEREF _Toc141978866 \h </w:instrText>
          </w:r>
          <w:r>
            <w:rPr>
              <w:noProof/>
            </w:rPr>
          </w:r>
          <w:r>
            <w:rPr>
              <w:noProof/>
            </w:rPr>
            <w:fldChar w:fldCharType="separate"/>
          </w:r>
          <w:r>
            <w:rPr>
              <w:noProof/>
            </w:rPr>
            <w:t>15</w:t>
          </w:r>
          <w:r>
            <w:rPr>
              <w:noProof/>
            </w:rPr>
            <w:fldChar w:fldCharType="end"/>
          </w:r>
        </w:p>
        <w:p w14:paraId="3E578E79" w14:textId="77777777" w:rsidR="009C3021" w:rsidRDefault="009C3021">
          <w:pPr>
            <w:pStyle w:val="TOC3"/>
            <w:rPr>
              <w:rFonts w:asciiTheme="minorHAnsi" w:eastAsiaTheme="minorEastAsia" w:hAnsiTheme="minorHAnsi" w:cstheme="minorBidi"/>
              <w:i w:val="0"/>
              <w:noProof/>
              <w:sz w:val="22"/>
              <w:szCs w:val="22"/>
              <w:lang w:val="en-US"/>
            </w:rPr>
          </w:pPr>
          <w:r>
            <w:rPr>
              <w:noProof/>
            </w:rPr>
            <w:t>Resultados previstos e indicadores de rendimiento</w:t>
          </w:r>
          <w:r>
            <w:rPr>
              <w:noProof/>
            </w:rPr>
            <w:tab/>
          </w:r>
          <w:r>
            <w:rPr>
              <w:noProof/>
            </w:rPr>
            <w:fldChar w:fldCharType="begin"/>
          </w:r>
          <w:r>
            <w:rPr>
              <w:noProof/>
            </w:rPr>
            <w:instrText xml:space="preserve"> PAGEREF _Toc141978867 \h </w:instrText>
          </w:r>
          <w:r>
            <w:rPr>
              <w:noProof/>
            </w:rPr>
          </w:r>
          <w:r>
            <w:rPr>
              <w:noProof/>
            </w:rPr>
            <w:fldChar w:fldCharType="separate"/>
          </w:r>
          <w:r>
            <w:rPr>
              <w:noProof/>
            </w:rPr>
            <w:t>17</w:t>
          </w:r>
          <w:r>
            <w:rPr>
              <w:noProof/>
            </w:rPr>
            <w:fldChar w:fldCharType="end"/>
          </w:r>
        </w:p>
        <w:p w14:paraId="40018A9A" w14:textId="77777777" w:rsidR="009C3021" w:rsidRDefault="009C3021">
          <w:pPr>
            <w:pStyle w:val="TOC1"/>
            <w:rPr>
              <w:rFonts w:asciiTheme="minorHAnsi" w:eastAsiaTheme="minorEastAsia" w:hAnsiTheme="minorHAnsi" w:cstheme="minorBidi"/>
              <w:bCs w:val="0"/>
              <w:noProof/>
              <w:sz w:val="22"/>
              <w:szCs w:val="22"/>
              <w:lang w:val="en-US"/>
            </w:rPr>
          </w:pPr>
          <w:r w:rsidRPr="00181B65">
            <w:rPr>
              <w:noProof/>
            </w:rPr>
            <w:t>IV.</w:t>
          </w:r>
          <w:r>
            <w:rPr>
              <w:rFonts w:asciiTheme="minorHAnsi" w:eastAsiaTheme="minorEastAsia" w:hAnsiTheme="minorHAnsi" w:cstheme="minorBidi"/>
              <w:bCs w:val="0"/>
              <w:noProof/>
              <w:sz w:val="22"/>
              <w:szCs w:val="22"/>
              <w:lang w:val="en-US"/>
            </w:rPr>
            <w:tab/>
          </w:r>
          <w:r w:rsidRPr="00181B65">
            <w:rPr>
              <w:noProof/>
            </w:rPr>
            <w:t>INDICADORES FINANCIEROS CORRESPONDIENTES AL PERÍODO 2017-2026</w:t>
          </w:r>
          <w:r>
            <w:rPr>
              <w:noProof/>
            </w:rPr>
            <w:tab/>
          </w:r>
          <w:r>
            <w:rPr>
              <w:noProof/>
            </w:rPr>
            <w:fldChar w:fldCharType="begin"/>
          </w:r>
          <w:r>
            <w:rPr>
              <w:noProof/>
            </w:rPr>
            <w:instrText xml:space="preserve"> PAGEREF _Toc141978868 \h </w:instrText>
          </w:r>
          <w:r>
            <w:rPr>
              <w:noProof/>
            </w:rPr>
          </w:r>
          <w:r>
            <w:rPr>
              <w:noProof/>
            </w:rPr>
            <w:fldChar w:fldCharType="separate"/>
          </w:r>
          <w:r>
            <w:rPr>
              <w:noProof/>
            </w:rPr>
            <w:t>18</w:t>
          </w:r>
          <w:r>
            <w:rPr>
              <w:noProof/>
            </w:rPr>
            <w:fldChar w:fldCharType="end"/>
          </w:r>
        </w:p>
        <w:p w14:paraId="162F1D33" w14:textId="77777777" w:rsidR="009C3021" w:rsidRDefault="009C3021">
          <w:pPr>
            <w:pStyle w:val="TOC1"/>
            <w:rPr>
              <w:rFonts w:asciiTheme="minorHAnsi" w:eastAsiaTheme="minorEastAsia" w:hAnsiTheme="minorHAnsi" w:cstheme="minorBidi"/>
              <w:bCs w:val="0"/>
              <w:noProof/>
              <w:sz w:val="22"/>
              <w:szCs w:val="22"/>
              <w:lang w:val="en-US"/>
            </w:rPr>
          </w:pPr>
          <w:r w:rsidRPr="00181B65">
            <w:rPr>
              <w:noProof/>
            </w:rPr>
            <w:t>V.</w:t>
          </w:r>
          <w:r>
            <w:rPr>
              <w:rFonts w:asciiTheme="minorHAnsi" w:eastAsiaTheme="minorEastAsia" w:hAnsiTheme="minorHAnsi" w:cstheme="minorBidi"/>
              <w:bCs w:val="0"/>
              <w:noProof/>
              <w:sz w:val="22"/>
              <w:szCs w:val="22"/>
              <w:lang w:val="en-US"/>
            </w:rPr>
            <w:tab/>
          </w:r>
          <w:r w:rsidRPr="00181B65">
            <w:rPr>
              <w:noProof/>
            </w:rPr>
            <w:t>APÉNDICES</w:t>
          </w:r>
          <w:r>
            <w:rPr>
              <w:noProof/>
            </w:rPr>
            <w:tab/>
          </w:r>
          <w:r>
            <w:rPr>
              <w:noProof/>
            </w:rPr>
            <w:fldChar w:fldCharType="begin"/>
          </w:r>
          <w:r>
            <w:rPr>
              <w:noProof/>
            </w:rPr>
            <w:instrText xml:space="preserve"> PAGEREF _Toc141978869 \h </w:instrText>
          </w:r>
          <w:r>
            <w:rPr>
              <w:noProof/>
            </w:rPr>
          </w:r>
          <w:r>
            <w:rPr>
              <w:noProof/>
            </w:rPr>
            <w:fldChar w:fldCharType="separate"/>
          </w:r>
          <w:r>
            <w:rPr>
              <w:noProof/>
            </w:rPr>
            <w:t>19</w:t>
          </w:r>
          <w:r>
            <w:rPr>
              <w:noProof/>
            </w:rPr>
            <w:fldChar w:fldCharType="end"/>
          </w:r>
        </w:p>
        <w:p w14:paraId="287FEC8B" w14:textId="77777777" w:rsidR="009C3021" w:rsidRDefault="009C3021">
          <w:pPr>
            <w:pStyle w:val="TOC4"/>
            <w:rPr>
              <w:rFonts w:eastAsiaTheme="minorEastAsia" w:cstheme="minorBidi"/>
              <w:noProof/>
              <w:sz w:val="22"/>
              <w:szCs w:val="22"/>
              <w:lang w:val="en-US"/>
            </w:rPr>
          </w:pPr>
          <w:r w:rsidRPr="00181B65">
            <w:rPr>
              <w:noProof/>
            </w:rPr>
            <w:t>APÉNDICE I</w:t>
          </w:r>
          <w:r>
            <w:rPr>
              <w:rFonts w:eastAsiaTheme="minorEastAsia" w:cstheme="minorBidi"/>
              <w:noProof/>
              <w:sz w:val="22"/>
              <w:szCs w:val="22"/>
              <w:lang w:val="en-US"/>
            </w:rPr>
            <w:tab/>
          </w:r>
          <w:r w:rsidRPr="00181B65">
            <w:rPr>
              <w:noProof/>
            </w:rPr>
            <w:t>Situación respecto de la Unión Internacional para  la Protección de las Obtenciones Vegetales (UPOV)  al 1 de enero de 2023</w:t>
          </w:r>
          <w:r>
            <w:rPr>
              <w:noProof/>
            </w:rPr>
            <w:tab/>
          </w:r>
          <w:r>
            <w:rPr>
              <w:noProof/>
            </w:rPr>
            <w:fldChar w:fldCharType="begin"/>
          </w:r>
          <w:r>
            <w:rPr>
              <w:noProof/>
            </w:rPr>
            <w:instrText xml:space="preserve"> PAGEREF _Toc141978870 \h </w:instrText>
          </w:r>
          <w:r>
            <w:rPr>
              <w:noProof/>
            </w:rPr>
          </w:r>
          <w:r>
            <w:rPr>
              <w:noProof/>
            </w:rPr>
            <w:fldChar w:fldCharType="separate"/>
          </w:r>
          <w:r>
            <w:rPr>
              <w:noProof/>
            </w:rPr>
            <w:t>19</w:t>
          </w:r>
          <w:r>
            <w:rPr>
              <w:noProof/>
            </w:rPr>
            <w:fldChar w:fldCharType="end"/>
          </w:r>
        </w:p>
        <w:p w14:paraId="4EA2611E" w14:textId="77777777" w:rsidR="009C3021" w:rsidRDefault="009C3021">
          <w:pPr>
            <w:pStyle w:val="TOC4"/>
            <w:rPr>
              <w:rFonts w:eastAsiaTheme="minorEastAsia" w:cstheme="minorBidi"/>
              <w:noProof/>
              <w:sz w:val="22"/>
              <w:szCs w:val="22"/>
              <w:lang w:val="en-US"/>
            </w:rPr>
          </w:pPr>
          <w:r w:rsidRPr="00181B65">
            <w:rPr>
              <w:noProof/>
            </w:rPr>
            <w:t>APÉNDICE II</w:t>
          </w:r>
          <w:r>
            <w:rPr>
              <w:rFonts w:eastAsiaTheme="minorEastAsia" w:cstheme="minorBidi"/>
              <w:noProof/>
              <w:sz w:val="22"/>
              <w:szCs w:val="22"/>
              <w:lang w:val="en-US"/>
            </w:rPr>
            <w:tab/>
          </w:r>
          <w:r w:rsidRPr="00181B65">
            <w:rPr>
              <w:noProof/>
              <w:spacing w:val="-6"/>
            </w:rPr>
            <w:t>Contribuciones de los miembros al 31 de diciembre de 2022</w:t>
          </w:r>
          <w:r>
            <w:rPr>
              <w:noProof/>
            </w:rPr>
            <w:tab/>
          </w:r>
          <w:r>
            <w:rPr>
              <w:noProof/>
            </w:rPr>
            <w:fldChar w:fldCharType="begin"/>
          </w:r>
          <w:r>
            <w:rPr>
              <w:noProof/>
            </w:rPr>
            <w:instrText xml:space="preserve"> PAGEREF _Toc141978871 \h </w:instrText>
          </w:r>
          <w:r>
            <w:rPr>
              <w:noProof/>
            </w:rPr>
          </w:r>
          <w:r>
            <w:rPr>
              <w:noProof/>
            </w:rPr>
            <w:fldChar w:fldCharType="separate"/>
          </w:r>
          <w:r>
            <w:rPr>
              <w:noProof/>
            </w:rPr>
            <w:t>20</w:t>
          </w:r>
          <w:r>
            <w:rPr>
              <w:noProof/>
            </w:rPr>
            <w:fldChar w:fldCharType="end"/>
          </w:r>
        </w:p>
        <w:p w14:paraId="4674A6D2" w14:textId="77777777" w:rsidR="009C3021" w:rsidRDefault="009C3021">
          <w:pPr>
            <w:pStyle w:val="TOC4"/>
            <w:rPr>
              <w:rFonts w:eastAsiaTheme="minorEastAsia" w:cstheme="minorBidi"/>
              <w:noProof/>
              <w:sz w:val="22"/>
              <w:szCs w:val="22"/>
              <w:lang w:val="en-US"/>
            </w:rPr>
          </w:pPr>
          <w:r w:rsidRPr="00181B65">
            <w:rPr>
              <w:noProof/>
            </w:rPr>
            <w:t>APÉNDICE III</w:t>
          </w:r>
          <w:r>
            <w:rPr>
              <w:rFonts w:eastAsiaTheme="minorEastAsia" w:cstheme="minorBidi"/>
              <w:noProof/>
              <w:sz w:val="22"/>
              <w:szCs w:val="22"/>
              <w:lang w:val="en-US"/>
            </w:rPr>
            <w:tab/>
          </w:r>
          <w:r w:rsidRPr="00181B65">
            <w:rPr>
              <w:noProof/>
              <w:spacing w:val="-4"/>
            </w:rPr>
            <w:t>Definición de las fuentes de ingresos y categorías de gasto</w:t>
          </w:r>
          <w:r>
            <w:rPr>
              <w:noProof/>
            </w:rPr>
            <w:tab/>
          </w:r>
          <w:r>
            <w:rPr>
              <w:noProof/>
            </w:rPr>
            <w:fldChar w:fldCharType="begin"/>
          </w:r>
          <w:r>
            <w:rPr>
              <w:noProof/>
            </w:rPr>
            <w:instrText xml:space="preserve"> PAGEREF _Toc141978872 \h </w:instrText>
          </w:r>
          <w:r>
            <w:rPr>
              <w:noProof/>
            </w:rPr>
          </w:r>
          <w:r>
            <w:rPr>
              <w:noProof/>
            </w:rPr>
            <w:fldChar w:fldCharType="separate"/>
          </w:r>
          <w:r>
            <w:rPr>
              <w:noProof/>
            </w:rPr>
            <w:t>22</w:t>
          </w:r>
          <w:r>
            <w:rPr>
              <w:noProof/>
            </w:rPr>
            <w:fldChar w:fldCharType="end"/>
          </w:r>
        </w:p>
        <w:p w14:paraId="0430A7DA" w14:textId="77777777" w:rsidR="008F776F" w:rsidRPr="008F776F" w:rsidRDefault="008F776F" w:rsidP="008F776F">
          <w:pPr>
            <w:rPr>
              <w:lang w:val="es-ES_tradnl"/>
            </w:rPr>
          </w:pPr>
          <w:r w:rsidRPr="008F776F">
            <w:rPr>
              <w:rFonts w:cstheme="minorHAnsi"/>
              <w:lang w:val="es-ES_tradnl"/>
            </w:rPr>
            <w:fldChar w:fldCharType="end"/>
          </w:r>
        </w:p>
      </w:sdtContent>
    </w:sdt>
    <w:p w14:paraId="59A3F657" w14:textId="77777777" w:rsidR="008F776F" w:rsidRPr="008F776F" w:rsidRDefault="008F776F" w:rsidP="008F776F">
      <w:pPr>
        <w:pStyle w:val="Heading1"/>
        <w:pageBreakBefore/>
        <w:numPr>
          <w:ilvl w:val="0"/>
          <w:numId w:val="1"/>
        </w:numPr>
        <w:ind w:left="567" w:hanging="567"/>
        <w:rPr>
          <w:lang w:val="es-ES_tradnl"/>
        </w:rPr>
      </w:pPr>
      <w:bookmarkStart w:id="0" w:name="_Toc63091087"/>
      <w:bookmarkStart w:id="1" w:name="_Toc63091284"/>
      <w:bookmarkStart w:id="2" w:name="_Toc63091814"/>
      <w:bookmarkStart w:id="3" w:name="_Toc63177676"/>
      <w:bookmarkStart w:id="4" w:name="_Toc63177802"/>
      <w:bookmarkStart w:id="5" w:name="_Toc63178431"/>
      <w:bookmarkStart w:id="6" w:name="_Toc63182523"/>
      <w:bookmarkStart w:id="7" w:name="_Toc63091088"/>
      <w:bookmarkStart w:id="8" w:name="_Toc63091285"/>
      <w:bookmarkStart w:id="9" w:name="_Toc63091815"/>
      <w:bookmarkStart w:id="10" w:name="_Toc63177677"/>
      <w:bookmarkStart w:id="11" w:name="_Toc63177803"/>
      <w:bookmarkStart w:id="12" w:name="_Toc63178432"/>
      <w:bookmarkStart w:id="13" w:name="_Toc63182524"/>
      <w:bookmarkStart w:id="14" w:name="_Toc63177678"/>
      <w:bookmarkStart w:id="15" w:name="_Toc63177804"/>
      <w:bookmarkStart w:id="16" w:name="_Toc63178433"/>
      <w:bookmarkStart w:id="17" w:name="_Toc63182525"/>
      <w:bookmarkStart w:id="18" w:name="_Toc63177679"/>
      <w:bookmarkStart w:id="19" w:name="_Toc63177805"/>
      <w:bookmarkStart w:id="20" w:name="_Toc63178434"/>
      <w:bookmarkStart w:id="21" w:name="_Toc63182526"/>
      <w:bookmarkStart w:id="22" w:name="_Toc63177680"/>
      <w:bookmarkStart w:id="23" w:name="_Toc63177806"/>
      <w:bookmarkStart w:id="24" w:name="_Toc63178435"/>
      <w:bookmarkStart w:id="25" w:name="_Toc63182527"/>
      <w:bookmarkStart w:id="26" w:name="_Toc63177681"/>
      <w:bookmarkStart w:id="27" w:name="_Toc63177807"/>
      <w:bookmarkStart w:id="28" w:name="_Toc63178436"/>
      <w:bookmarkStart w:id="29" w:name="_Toc63182528"/>
      <w:bookmarkStart w:id="30" w:name="_Toc63177682"/>
      <w:bookmarkStart w:id="31" w:name="_Toc63177808"/>
      <w:bookmarkStart w:id="32" w:name="_Toc63178437"/>
      <w:bookmarkStart w:id="33" w:name="_Toc63182529"/>
      <w:bookmarkStart w:id="34" w:name="_Toc63177683"/>
      <w:bookmarkStart w:id="35" w:name="_Toc63177809"/>
      <w:bookmarkStart w:id="36" w:name="_Toc63178438"/>
      <w:bookmarkStart w:id="37" w:name="_Toc63182530"/>
      <w:bookmarkStart w:id="38" w:name="_Toc63177684"/>
      <w:bookmarkStart w:id="39" w:name="_Toc63177810"/>
      <w:bookmarkStart w:id="40" w:name="_Toc63178439"/>
      <w:bookmarkStart w:id="41" w:name="_Toc63182531"/>
      <w:bookmarkStart w:id="42" w:name="_Toc63177685"/>
      <w:bookmarkStart w:id="43" w:name="_Toc63177811"/>
      <w:bookmarkStart w:id="44" w:name="_Toc63178440"/>
      <w:bookmarkStart w:id="45" w:name="_Toc63182532"/>
      <w:bookmarkStart w:id="46" w:name="_Toc63177686"/>
      <w:bookmarkStart w:id="47" w:name="_Toc63177812"/>
      <w:bookmarkStart w:id="48" w:name="_Toc63178441"/>
      <w:bookmarkStart w:id="49" w:name="_Toc63182533"/>
      <w:bookmarkStart w:id="50" w:name="_Toc63177687"/>
      <w:bookmarkStart w:id="51" w:name="_Toc63177813"/>
      <w:bookmarkStart w:id="52" w:name="_Toc63178442"/>
      <w:bookmarkStart w:id="53" w:name="_Toc63182534"/>
      <w:bookmarkStart w:id="54" w:name="_Toc63177688"/>
      <w:bookmarkStart w:id="55" w:name="_Toc63177814"/>
      <w:bookmarkStart w:id="56" w:name="_Toc63178443"/>
      <w:bookmarkStart w:id="57" w:name="_Toc63182535"/>
      <w:bookmarkStart w:id="58" w:name="_Toc63177689"/>
      <w:bookmarkStart w:id="59" w:name="_Toc63177815"/>
      <w:bookmarkStart w:id="60" w:name="_Toc63178444"/>
      <w:bookmarkStart w:id="61" w:name="_Toc63182536"/>
      <w:bookmarkStart w:id="62" w:name="_Toc63177690"/>
      <w:bookmarkStart w:id="63" w:name="_Toc63177816"/>
      <w:bookmarkStart w:id="64" w:name="_Toc63178445"/>
      <w:bookmarkStart w:id="65" w:name="_Toc63182537"/>
      <w:bookmarkStart w:id="66" w:name="_Toc63177691"/>
      <w:bookmarkStart w:id="67" w:name="_Toc63177817"/>
      <w:bookmarkStart w:id="68" w:name="_Toc63178446"/>
      <w:bookmarkStart w:id="69" w:name="_Toc63182538"/>
      <w:bookmarkStart w:id="70" w:name="_Toc63177692"/>
      <w:bookmarkStart w:id="71" w:name="_Toc63177818"/>
      <w:bookmarkStart w:id="72" w:name="_Toc63178447"/>
      <w:bookmarkStart w:id="73" w:name="_Toc63182539"/>
      <w:bookmarkStart w:id="74" w:name="_Toc63177693"/>
      <w:bookmarkStart w:id="75" w:name="_Toc63177819"/>
      <w:bookmarkStart w:id="76" w:name="_Toc63178448"/>
      <w:bookmarkStart w:id="77" w:name="_Toc63182540"/>
      <w:bookmarkStart w:id="78" w:name="_Toc63177694"/>
      <w:bookmarkStart w:id="79" w:name="_Toc63177820"/>
      <w:bookmarkStart w:id="80" w:name="_Toc63178449"/>
      <w:bookmarkStart w:id="81" w:name="_Toc63182541"/>
      <w:bookmarkStart w:id="82" w:name="_Toc63177695"/>
      <w:bookmarkStart w:id="83" w:name="_Toc63177821"/>
      <w:bookmarkStart w:id="84" w:name="_Toc63178450"/>
      <w:bookmarkStart w:id="85" w:name="_Toc63182542"/>
      <w:bookmarkStart w:id="86" w:name="_Toc63177696"/>
      <w:bookmarkStart w:id="87" w:name="_Toc63177822"/>
      <w:bookmarkStart w:id="88" w:name="_Toc63178451"/>
      <w:bookmarkStart w:id="89" w:name="_Toc63182543"/>
      <w:bookmarkStart w:id="90" w:name="_Toc63177697"/>
      <w:bookmarkStart w:id="91" w:name="_Toc63177823"/>
      <w:bookmarkStart w:id="92" w:name="_Toc63178452"/>
      <w:bookmarkStart w:id="93" w:name="_Toc63182544"/>
      <w:bookmarkStart w:id="94" w:name="_Toc63177698"/>
      <w:bookmarkStart w:id="95" w:name="_Toc63177824"/>
      <w:bookmarkStart w:id="96" w:name="_Toc63178453"/>
      <w:bookmarkStart w:id="97" w:name="_Toc63182545"/>
      <w:bookmarkStart w:id="98" w:name="_Toc63177699"/>
      <w:bookmarkStart w:id="99" w:name="_Toc63177825"/>
      <w:bookmarkStart w:id="100" w:name="_Toc63178454"/>
      <w:bookmarkStart w:id="101" w:name="_Toc63182546"/>
      <w:bookmarkStart w:id="102" w:name="_Toc63177700"/>
      <w:bookmarkStart w:id="103" w:name="_Toc63177826"/>
      <w:bookmarkStart w:id="104" w:name="_Toc63178455"/>
      <w:bookmarkStart w:id="105" w:name="_Toc63182547"/>
      <w:bookmarkStart w:id="106" w:name="_Toc63177701"/>
      <w:bookmarkStart w:id="107" w:name="_Toc63177827"/>
      <w:bookmarkStart w:id="108" w:name="_Toc63178456"/>
      <w:bookmarkStart w:id="109" w:name="_Toc63182548"/>
      <w:bookmarkStart w:id="110" w:name="_Toc63177702"/>
      <w:bookmarkStart w:id="111" w:name="_Toc63177828"/>
      <w:bookmarkStart w:id="112" w:name="_Toc63178457"/>
      <w:bookmarkStart w:id="113" w:name="_Toc63182549"/>
      <w:bookmarkStart w:id="114" w:name="_Toc63177703"/>
      <w:bookmarkStart w:id="115" w:name="_Toc63177829"/>
      <w:bookmarkStart w:id="116" w:name="_Toc63178458"/>
      <w:bookmarkStart w:id="117" w:name="_Toc63182550"/>
      <w:bookmarkStart w:id="118" w:name="_Toc63177704"/>
      <w:bookmarkStart w:id="119" w:name="_Toc63177830"/>
      <w:bookmarkStart w:id="120" w:name="_Toc63178459"/>
      <w:bookmarkStart w:id="121" w:name="_Toc63182551"/>
      <w:bookmarkStart w:id="122" w:name="_Toc63177705"/>
      <w:bookmarkStart w:id="123" w:name="_Toc63177831"/>
      <w:bookmarkStart w:id="124" w:name="_Toc63178460"/>
      <w:bookmarkStart w:id="125" w:name="_Toc63182552"/>
      <w:bookmarkStart w:id="126" w:name="_Toc63177706"/>
      <w:bookmarkStart w:id="127" w:name="_Toc63177832"/>
      <w:bookmarkStart w:id="128" w:name="_Toc63178461"/>
      <w:bookmarkStart w:id="129" w:name="_Toc63182553"/>
      <w:bookmarkStart w:id="130" w:name="_Toc63177707"/>
      <w:bookmarkStart w:id="131" w:name="_Toc63177833"/>
      <w:bookmarkStart w:id="132" w:name="_Toc63178462"/>
      <w:bookmarkStart w:id="133" w:name="_Toc63182554"/>
      <w:bookmarkStart w:id="134" w:name="_Toc63177708"/>
      <w:bookmarkStart w:id="135" w:name="_Toc63177834"/>
      <w:bookmarkStart w:id="136" w:name="_Toc63178463"/>
      <w:bookmarkStart w:id="137" w:name="_Toc63182555"/>
      <w:bookmarkStart w:id="138" w:name="_Toc63177709"/>
      <w:bookmarkStart w:id="139" w:name="_Toc63177835"/>
      <w:bookmarkStart w:id="140" w:name="_Toc63178464"/>
      <w:bookmarkStart w:id="141" w:name="_Toc63182556"/>
      <w:bookmarkStart w:id="142" w:name="_Toc63177710"/>
      <w:bookmarkStart w:id="143" w:name="_Toc63177836"/>
      <w:bookmarkStart w:id="144" w:name="_Toc63178465"/>
      <w:bookmarkStart w:id="145" w:name="_Toc63182557"/>
      <w:bookmarkStart w:id="146" w:name="_Toc63177711"/>
      <w:bookmarkStart w:id="147" w:name="_Toc63177837"/>
      <w:bookmarkStart w:id="148" w:name="_Toc63178466"/>
      <w:bookmarkStart w:id="149" w:name="_Toc63182558"/>
      <w:bookmarkStart w:id="150" w:name="_Toc63177712"/>
      <w:bookmarkStart w:id="151" w:name="_Toc63177838"/>
      <w:bookmarkStart w:id="152" w:name="_Toc63178467"/>
      <w:bookmarkStart w:id="153" w:name="_Toc63182559"/>
      <w:bookmarkStart w:id="154" w:name="_Toc63177713"/>
      <w:bookmarkStart w:id="155" w:name="_Toc63177839"/>
      <w:bookmarkStart w:id="156" w:name="_Toc63178468"/>
      <w:bookmarkStart w:id="157" w:name="_Toc63182560"/>
      <w:bookmarkStart w:id="158" w:name="_Toc63177714"/>
      <w:bookmarkStart w:id="159" w:name="_Toc63177840"/>
      <w:bookmarkStart w:id="160" w:name="_Toc63178469"/>
      <w:bookmarkStart w:id="161" w:name="_Toc63182561"/>
      <w:bookmarkStart w:id="162" w:name="_Toc63177715"/>
      <w:bookmarkStart w:id="163" w:name="_Toc63177841"/>
      <w:bookmarkStart w:id="164" w:name="_Toc63178470"/>
      <w:bookmarkStart w:id="165" w:name="_Toc63182562"/>
      <w:bookmarkStart w:id="166" w:name="_Toc63177716"/>
      <w:bookmarkStart w:id="167" w:name="_Toc63177842"/>
      <w:bookmarkStart w:id="168" w:name="_Toc63178471"/>
      <w:bookmarkStart w:id="169" w:name="_Toc63182563"/>
      <w:bookmarkStart w:id="170" w:name="_Toc63177717"/>
      <w:bookmarkStart w:id="171" w:name="_Toc63177843"/>
      <w:bookmarkStart w:id="172" w:name="_Toc63178472"/>
      <w:bookmarkStart w:id="173" w:name="_Toc63182564"/>
      <w:bookmarkStart w:id="174" w:name="_Toc63177718"/>
      <w:bookmarkStart w:id="175" w:name="_Toc63177844"/>
      <w:bookmarkStart w:id="176" w:name="_Toc63178473"/>
      <w:bookmarkStart w:id="177" w:name="_Toc63182565"/>
      <w:bookmarkStart w:id="178" w:name="_Toc63177719"/>
      <w:bookmarkStart w:id="179" w:name="_Toc63177845"/>
      <w:bookmarkStart w:id="180" w:name="_Toc63178474"/>
      <w:bookmarkStart w:id="181" w:name="_Toc63182566"/>
      <w:bookmarkStart w:id="182" w:name="_Toc63177720"/>
      <w:bookmarkStart w:id="183" w:name="_Toc63177846"/>
      <w:bookmarkStart w:id="184" w:name="_Toc63178475"/>
      <w:bookmarkStart w:id="185" w:name="_Toc63182567"/>
      <w:bookmarkStart w:id="186" w:name="_Toc63177721"/>
      <w:bookmarkStart w:id="187" w:name="_Toc63177847"/>
      <w:bookmarkStart w:id="188" w:name="_Toc63178476"/>
      <w:bookmarkStart w:id="189" w:name="_Toc63182568"/>
      <w:bookmarkStart w:id="190" w:name="_Toc63177722"/>
      <w:bookmarkStart w:id="191" w:name="_Toc63177848"/>
      <w:bookmarkStart w:id="192" w:name="_Toc63178477"/>
      <w:bookmarkStart w:id="193" w:name="_Toc63182569"/>
      <w:bookmarkStart w:id="194" w:name="_Toc63177723"/>
      <w:bookmarkStart w:id="195" w:name="_Toc63177849"/>
      <w:bookmarkStart w:id="196" w:name="_Toc63178478"/>
      <w:bookmarkStart w:id="197" w:name="_Toc63182570"/>
      <w:bookmarkStart w:id="198" w:name="_Toc63177724"/>
      <w:bookmarkStart w:id="199" w:name="_Toc63177850"/>
      <w:bookmarkStart w:id="200" w:name="_Toc63178479"/>
      <w:bookmarkStart w:id="201" w:name="_Toc63182571"/>
      <w:bookmarkStart w:id="202" w:name="_Toc63177725"/>
      <w:bookmarkStart w:id="203" w:name="_Toc63177851"/>
      <w:bookmarkStart w:id="204" w:name="_Toc63178480"/>
      <w:bookmarkStart w:id="205" w:name="_Toc63182572"/>
      <w:bookmarkStart w:id="206" w:name="_Toc63177726"/>
      <w:bookmarkStart w:id="207" w:name="_Toc63177852"/>
      <w:bookmarkStart w:id="208" w:name="_Toc63178481"/>
      <w:bookmarkStart w:id="209" w:name="_Toc63182573"/>
      <w:bookmarkStart w:id="210" w:name="_Toc63177727"/>
      <w:bookmarkStart w:id="211" w:name="_Toc63177853"/>
      <w:bookmarkStart w:id="212" w:name="_Toc63178482"/>
      <w:bookmarkStart w:id="213" w:name="_Toc63182574"/>
      <w:bookmarkStart w:id="214" w:name="_Toc63177728"/>
      <w:bookmarkStart w:id="215" w:name="_Toc63177854"/>
      <w:bookmarkStart w:id="216" w:name="_Toc63178483"/>
      <w:bookmarkStart w:id="217" w:name="_Toc63182575"/>
      <w:bookmarkStart w:id="218" w:name="_Toc63177729"/>
      <w:bookmarkStart w:id="219" w:name="_Toc63177855"/>
      <w:bookmarkStart w:id="220" w:name="_Toc63178484"/>
      <w:bookmarkStart w:id="221" w:name="_Toc63182576"/>
      <w:bookmarkStart w:id="222" w:name="_Toc63177730"/>
      <w:bookmarkStart w:id="223" w:name="_Toc63177856"/>
      <w:bookmarkStart w:id="224" w:name="_Toc63178485"/>
      <w:bookmarkStart w:id="225" w:name="_Toc63182577"/>
      <w:bookmarkStart w:id="226" w:name="_Toc63177731"/>
      <w:bookmarkStart w:id="227" w:name="_Toc63177857"/>
      <w:bookmarkStart w:id="228" w:name="_Toc63178486"/>
      <w:bookmarkStart w:id="229" w:name="_Toc63182578"/>
      <w:bookmarkStart w:id="230" w:name="_Toc63177732"/>
      <w:bookmarkStart w:id="231" w:name="_Toc63177858"/>
      <w:bookmarkStart w:id="232" w:name="_Toc63178487"/>
      <w:bookmarkStart w:id="233" w:name="_Toc63182579"/>
      <w:bookmarkStart w:id="234" w:name="_Toc63177733"/>
      <w:bookmarkStart w:id="235" w:name="_Toc63177859"/>
      <w:bookmarkStart w:id="236" w:name="_Toc63178488"/>
      <w:bookmarkStart w:id="237" w:name="_Toc63182580"/>
      <w:bookmarkStart w:id="238" w:name="_Toc63177734"/>
      <w:bookmarkStart w:id="239" w:name="_Toc63177860"/>
      <w:bookmarkStart w:id="240" w:name="_Toc63178489"/>
      <w:bookmarkStart w:id="241" w:name="_Toc63182581"/>
      <w:bookmarkStart w:id="242" w:name="_Toc63177735"/>
      <w:bookmarkStart w:id="243" w:name="_Toc63177861"/>
      <w:bookmarkStart w:id="244" w:name="_Toc63178490"/>
      <w:bookmarkStart w:id="245" w:name="_Toc63182582"/>
      <w:bookmarkStart w:id="246" w:name="_Toc63177736"/>
      <w:bookmarkStart w:id="247" w:name="_Toc63177862"/>
      <w:bookmarkStart w:id="248" w:name="_Toc63178491"/>
      <w:bookmarkStart w:id="249" w:name="_Toc63182583"/>
      <w:bookmarkStart w:id="250" w:name="_Toc63177737"/>
      <w:bookmarkStart w:id="251" w:name="_Toc63177863"/>
      <w:bookmarkStart w:id="252" w:name="_Toc63178492"/>
      <w:bookmarkStart w:id="253" w:name="_Toc63182584"/>
      <w:bookmarkStart w:id="254" w:name="_Toc63177738"/>
      <w:bookmarkStart w:id="255" w:name="_Toc63177864"/>
      <w:bookmarkStart w:id="256" w:name="_Toc63178493"/>
      <w:bookmarkStart w:id="257" w:name="_Toc63182585"/>
      <w:bookmarkStart w:id="258" w:name="_Toc63177739"/>
      <w:bookmarkStart w:id="259" w:name="_Toc63177865"/>
      <w:bookmarkStart w:id="260" w:name="_Toc63178494"/>
      <w:bookmarkStart w:id="261" w:name="_Toc63182586"/>
      <w:bookmarkStart w:id="262" w:name="_Toc63177740"/>
      <w:bookmarkStart w:id="263" w:name="_Toc63177866"/>
      <w:bookmarkStart w:id="264" w:name="_Toc63178495"/>
      <w:bookmarkStart w:id="265" w:name="_Toc63182587"/>
      <w:bookmarkStart w:id="266" w:name="_Toc63177741"/>
      <w:bookmarkStart w:id="267" w:name="_Toc63177867"/>
      <w:bookmarkStart w:id="268" w:name="_Toc63178496"/>
      <w:bookmarkStart w:id="269" w:name="_Toc63182588"/>
      <w:bookmarkStart w:id="270" w:name="_Toc63177742"/>
      <w:bookmarkStart w:id="271" w:name="_Toc63177868"/>
      <w:bookmarkStart w:id="272" w:name="_Toc63178497"/>
      <w:bookmarkStart w:id="273" w:name="_Toc63182589"/>
      <w:bookmarkStart w:id="274" w:name="_Toc63177743"/>
      <w:bookmarkStart w:id="275" w:name="_Toc63177869"/>
      <w:bookmarkStart w:id="276" w:name="_Toc63178498"/>
      <w:bookmarkStart w:id="277" w:name="_Toc63182590"/>
      <w:bookmarkStart w:id="278" w:name="_Toc63177744"/>
      <w:bookmarkStart w:id="279" w:name="_Toc63177870"/>
      <w:bookmarkStart w:id="280" w:name="_Toc63178499"/>
      <w:bookmarkStart w:id="281" w:name="_Toc63182591"/>
      <w:bookmarkStart w:id="282" w:name="_Toc63177745"/>
      <w:bookmarkStart w:id="283" w:name="_Toc63177871"/>
      <w:bookmarkStart w:id="284" w:name="_Toc63178500"/>
      <w:bookmarkStart w:id="285" w:name="_Toc63182592"/>
      <w:bookmarkStart w:id="286" w:name="_Toc63177746"/>
      <w:bookmarkStart w:id="287" w:name="_Toc63177872"/>
      <w:bookmarkStart w:id="288" w:name="_Toc63178501"/>
      <w:bookmarkStart w:id="289" w:name="_Toc63182593"/>
      <w:bookmarkStart w:id="290" w:name="_Toc63177747"/>
      <w:bookmarkStart w:id="291" w:name="_Toc63177873"/>
      <w:bookmarkStart w:id="292" w:name="_Toc63178502"/>
      <w:bookmarkStart w:id="293" w:name="_Toc63182594"/>
      <w:bookmarkStart w:id="294" w:name="_Toc63177748"/>
      <w:bookmarkStart w:id="295" w:name="_Toc63177874"/>
      <w:bookmarkStart w:id="296" w:name="_Toc63178503"/>
      <w:bookmarkStart w:id="297" w:name="_Toc63182595"/>
      <w:bookmarkStart w:id="298" w:name="_Toc63177749"/>
      <w:bookmarkStart w:id="299" w:name="_Toc63177875"/>
      <w:bookmarkStart w:id="300" w:name="_Toc63178504"/>
      <w:bookmarkStart w:id="301" w:name="_Toc63182596"/>
      <w:bookmarkStart w:id="302" w:name="_Toc63177750"/>
      <w:bookmarkStart w:id="303" w:name="_Toc63177876"/>
      <w:bookmarkStart w:id="304" w:name="_Toc63178505"/>
      <w:bookmarkStart w:id="305" w:name="_Toc63182597"/>
      <w:bookmarkStart w:id="306" w:name="_Toc63177751"/>
      <w:bookmarkStart w:id="307" w:name="_Toc63177877"/>
      <w:bookmarkStart w:id="308" w:name="_Toc63178506"/>
      <w:bookmarkStart w:id="309" w:name="_Toc63182598"/>
      <w:bookmarkStart w:id="310" w:name="_Toc63177752"/>
      <w:bookmarkStart w:id="311" w:name="_Toc63177878"/>
      <w:bookmarkStart w:id="312" w:name="_Toc63178507"/>
      <w:bookmarkStart w:id="313" w:name="_Toc63182599"/>
      <w:bookmarkStart w:id="314" w:name="_Toc63177753"/>
      <w:bookmarkStart w:id="315" w:name="_Toc63177879"/>
      <w:bookmarkStart w:id="316" w:name="_Toc63178508"/>
      <w:bookmarkStart w:id="317" w:name="_Toc63182600"/>
      <w:bookmarkStart w:id="318" w:name="_Toc63177754"/>
      <w:bookmarkStart w:id="319" w:name="_Toc63177880"/>
      <w:bookmarkStart w:id="320" w:name="_Toc63178509"/>
      <w:bookmarkStart w:id="321" w:name="_Toc63182601"/>
      <w:bookmarkStart w:id="322" w:name="_Toc63177755"/>
      <w:bookmarkStart w:id="323" w:name="_Toc63177881"/>
      <w:bookmarkStart w:id="324" w:name="_Toc63178510"/>
      <w:bookmarkStart w:id="325" w:name="_Toc63182602"/>
      <w:bookmarkStart w:id="326" w:name="_Toc63177756"/>
      <w:bookmarkStart w:id="327" w:name="_Toc63177882"/>
      <w:bookmarkStart w:id="328" w:name="_Toc63178511"/>
      <w:bookmarkStart w:id="329" w:name="_Toc63182603"/>
      <w:bookmarkStart w:id="330" w:name="_Toc63177757"/>
      <w:bookmarkStart w:id="331" w:name="_Toc63177883"/>
      <w:bookmarkStart w:id="332" w:name="_Toc63178512"/>
      <w:bookmarkStart w:id="333" w:name="_Toc63182604"/>
      <w:bookmarkStart w:id="334" w:name="_Toc63177758"/>
      <w:bookmarkStart w:id="335" w:name="_Toc63177884"/>
      <w:bookmarkStart w:id="336" w:name="_Toc63178513"/>
      <w:bookmarkStart w:id="337" w:name="_Toc63182605"/>
      <w:bookmarkStart w:id="338" w:name="_Toc63177759"/>
      <w:bookmarkStart w:id="339" w:name="_Toc63177885"/>
      <w:bookmarkStart w:id="340" w:name="_Toc63178514"/>
      <w:bookmarkStart w:id="341" w:name="_Toc63182606"/>
      <w:bookmarkStart w:id="342" w:name="_Toc63177760"/>
      <w:bookmarkStart w:id="343" w:name="_Toc63177886"/>
      <w:bookmarkStart w:id="344" w:name="_Toc63178515"/>
      <w:bookmarkStart w:id="345" w:name="_Toc63182607"/>
      <w:bookmarkStart w:id="346" w:name="_Toc63177761"/>
      <w:bookmarkStart w:id="347" w:name="_Toc63177887"/>
      <w:bookmarkStart w:id="348" w:name="_Toc63178516"/>
      <w:bookmarkStart w:id="349" w:name="_Toc63182608"/>
      <w:bookmarkStart w:id="350" w:name="_Toc63177762"/>
      <w:bookmarkStart w:id="351" w:name="_Toc63177888"/>
      <w:bookmarkStart w:id="352" w:name="_Toc63178517"/>
      <w:bookmarkStart w:id="353" w:name="_Toc63182609"/>
      <w:bookmarkStart w:id="354" w:name="_Toc63177763"/>
      <w:bookmarkStart w:id="355" w:name="_Toc63177889"/>
      <w:bookmarkStart w:id="356" w:name="_Toc63178518"/>
      <w:bookmarkStart w:id="357" w:name="_Toc63182610"/>
      <w:bookmarkStart w:id="358" w:name="_Toc63177764"/>
      <w:bookmarkStart w:id="359" w:name="_Toc63177890"/>
      <w:bookmarkStart w:id="360" w:name="_Toc63178519"/>
      <w:bookmarkStart w:id="361" w:name="_Toc63182611"/>
      <w:bookmarkStart w:id="362" w:name="_Toc63177765"/>
      <w:bookmarkStart w:id="363" w:name="_Toc63177891"/>
      <w:bookmarkStart w:id="364" w:name="_Toc63178520"/>
      <w:bookmarkStart w:id="365" w:name="_Toc63182612"/>
      <w:bookmarkStart w:id="366" w:name="_Toc63177766"/>
      <w:bookmarkStart w:id="367" w:name="_Toc63177892"/>
      <w:bookmarkStart w:id="368" w:name="_Toc63178521"/>
      <w:bookmarkStart w:id="369" w:name="_Toc63182613"/>
      <w:bookmarkStart w:id="370" w:name="_Toc63177767"/>
      <w:bookmarkStart w:id="371" w:name="_Toc63177893"/>
      <w:bookmarkStart w:id="372" w:name="_Toc63178522"/>
      <w:bookmarkStart w:id="373" w:name="_Toc63182614"/>
      <w:bookmarkStart w:id="374" w:name="_Toc63177768"/>
      <w:bookmarkStart w:id="375" w:name="_Toc63177894"/>
      <w:bookmarkStart w:id="376" w:name="_Toc63178523"/>
      <w:bookmarkStart w:id="377" w:name="_Toc63182615"/>
      <w:bookmarkStart w:id="378" w:name="_Toc63177769"/>
      <w:bookmarkStart w:id="379" w:name="_Toc63177895"/>
      <w:bookmarkStart w:id="380" w:name="_Toc63178524"/>
      <w:bookmarkStart w:id="381" w:name="_Toc63182616"/>
      <w:bookmarkStart w:id="382" w:name="_Toc63177770"/>
      <w:bookmarkStart w:id="383" w:name="_Toc63177896"/>
      <w:bookmarkStart w:id="384" w:name="_Toc63178525"/>
      <w:bookmarkStart w:id="385" w:name="_Toc63182617"/>
      <w:bookmarkStart w:id="386" w:name="_Toc63177771"/>
      <w:bookmarkStart w:id="387" w:name="_Toc63177897"/>
      <w:bookmarkStart w:id="388" w:name="_Toc63178526"/>
      <w:bookmarkStart w:id="389" w:name="_Toc63182618"/>
      <w:bookmarkStart w:id="390" w:name="_Toc63177772"/>
      <w:bookmarkStart w:id="391" w:name="_Toc63177898"/>
      <w:bookmarkStart w:id="392" w:name="_Toc63178527"/>
      <w:bookmarkStart w:id="393" w:name="_Toc63182619"/>
      <w:bookmarkStart w:id="394" w:name="_Toc63177773"/>
      <w:bookmarkStart w:id="395" w:name="_Toc63177899"/>
      <w:bookmarkStart w:id="396" w:name="_Toc63178528"/>
      <w:bookmarkStart w:id="397" w:name="_Toc63182620"/>
      <w:bookmarkStart w:id="398" w:name="_Toc63177774"/>
      <w:bookmarkStart w:id="399" w:name="_Toc63177900"/>
      <w:bookmarkStart w:id="400" w:name="_Toc63178529"/>
      <w:bookmarkStart w:id="401" w:name="_Toc63182621"/>
      <w:bookmarkStart w:id="402" w:name="_Toc63177775"/>
      <w:bookmarkStart w:id="403" w:name="_Toc63177901"/>
      <w:bookmarkStart w:id="404" w:name="_Toc63178530"/>
      <w:bookmarkStart w:id="405" w:name="_Toc63182622"/>
      <w:bookmarkStart w:id="406" w:name="_Toc63177776"/>
      <w:bookmarkStart w:id="407" w:name="_Toc63177902"/>
      <w:bookmarkStart w:id="408" w:name="_Toc63178531"/>
      <w:bookmarkStart w:id="409" w:name="_Toc63182623"/>
      <w:bookmarkStart w:id="410" w:name="_Toc63177777"/>
      <w:bookmarkStart w:id="411" w:name="_Toc63177903"/>
      <w:bookmarkStart w:id="412" w:name="_Toc63178532"/>
      <w:bookmarkStart w:id="413" w:name="_Toc63182624"/>
      <w:bookmarkStart w:id="414" w:name="_Toc63177778"/>
      <w:bookmarkStart w:id="415" w:name="_Toc63177904"/>
      <w:bookmarkStart w:id="416" w:name="_Toc63178533"/>
      <w:bookmarkStart w:id="417" w:name="_Toc63182625"/>
      <w:bookmarkStart w:id="418" w:name="_Toc14197884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8F776F">
        <w:rPr>
          <w:lang w:val="es-ES_tradnl"/>
        </w:rPr>
        <w:lastRenderedPageBreak/>
        <w:t>CONTEXTO GENERAL</w:t>
      </w:r>
      <w:bookmarkEnd w:id="418"/>
    </w:p>
    <w:p w14:paraId="022E3E87" w14:textId="77777777" w:rsidR="008F776F" w:rsidRPr="008F776F" w:rsidRDefault="008F776F" w:rsidP="008F776F">
      <w:pPr>
        <w:rPr>
          <w:b/>
          <w:color w:val="26724C" w:themeColor="accent1" w:themeShade="BF"/>
          <w:lang w:val="es-ES_tradnl"/>
        </w:rPr>
      </w:pPr>
    </w:p>
    <w:p w14:paraId="43216921" w14:textId="77777777" w:rsidR="008F776F" w:rsidRPr="008F776F" w:rsidRDefault="008F776F" w:rsidP="008F776F">
      <w:pPr>
        <w:rPr>
          <w:bCs/>
          <w:color w:val="000000" w:themeColor="text1"/>
          <w:lang w:val="es-ES_tradnl"/>
        </w:rPr>
      </w:pPr>
      <w:r w:rsidRPr="008F776F">
        <w:rPr>
          <w:bCs/>
          <w:color w:val="000000" w:themeColor="text1"/>
          <w:lang w:val="es-ES_tradnl"/>
        </w:rPr>
        <w:fldChar w:fldCharType="begin"/>
      </w:r>
      <w:r w:rsidRPr="008F776F">
        <w:rPr>
          <w:bCs/>
          <w:color w:val="000000" w:themeColor="text1"/>
          <w:lang w:val="es-ES_tradnl"/>
        </w:rPr>
        <w:instrText xml:space="preserve"> AUTONUM  </w:instrText>
      </w:r>
      <w:r w:rsidRPr="008F776F">
        <w:rPr>
          <w:bCs/>
          <w:color w:val="000000" w:themeColor="text1"/>
          <w:lang w:val="es-ES_tradnl"/>
        </w:rPr>
        <w:fldChar w:fldCharType="end"/>
      </w:r>
      <w:r w:rsidRPr="008F776F">
        <w:rPr>
          <w:bCs/>
          <w:color w:val="000000" w:themeColor="text1"/>
          <w:lang w:val="es-ES_tradnl"/>
        </w:rPr>
        <w:tab/>
      </w:r>
      <w:r w:rsidRPr="008F776F">
        <w:rPr>
          <w:lang w:val="es-ES_tradnl"/>
        </w:rPr>
        <w:t>La misión de la UPOV consiste en proporcionar y fomentar un sistema eficaz de protección de las obtenciones vegetales con miras al desarrollo de nuevas variedades vegetales en beneficio de la sociedad</w:t>
      </w:r>
      <w:r w:rsidRPr="008F776F">
        <w:rPr>
          <w:bCs/>
          <w:color w:val="000000" w:themeColor="text1"/>
          <w:lang w:val="es-ES_tradnl"/>
        </w:rPr>
        <w:t xml:space="preserve">. </w:t>
      </w:r>
    </w:p>
    <w:p w14:paraId="73CAF7A5" w14:textId="77777777" w:rsidR="008F776F" w:rsidRPr="008F776F" w:rsidRDefault="008F776F" w:rsidP="008F776F">
      <w:pPr>
        <w:rPr>
          <w:bCs/>
          <w:color w:val="000000" w:themeColor="text1"/>
          <w:lang w:val="es-ES_tradnl"/>
        </w:rPr>
      </w:pPr>
    </w:p>
    <w:p w14:paraId="4C8B71EC" w14:textId="77777777" w:rsidR="008F776F" w:rsidRPr="008F776F" w:rsidRDefault="008F776F" w:rsidP="008F776F">
      <w:pPr>
        <w:rPr>
          <w:bCs/>
          <w:color w:val="000000" w:themeColor="text1"/>
          <w:lang w:val="es-ES_tradnl"/>
        </w:rPr>
      </w:pPr>
      <w:r w:rsidRPr="008F776F">
        <w:rPr>
          <w:bCs/>
          <w:color w:val="000000" w:themeColor="text1"/>
          <w:lang w:val="es-ES_tradnl"/>
        </w:rPr>
        <w:fldChar w:fldCharType="begin"/>
      </w:r>
      <w:r w:rsidRPr="008F776F">
        <w:rPr>
          <w:bCs/>
          <w:color w:val="000000" w:themeColor="text1"/>
          <w:lang w:val="es-ES_tradnl"/>
        </w:rPr>
        <w:instrText xml:space="preserve"> AUTONUM  </w:instrText>
      </w:r>
      <w:r w:rsidRPr="008F776F">
        <w:rPr>
          <w:bCs/>
          <w:color w:val="000000" w:themeColor="text1"/>
          <w:lang w:val="es-ES_tradnl"/>
        </w:rPr>
        <w:fldChar w:fldCharType="end"/>
      </w:r>
      <w:r w:rsidRPr="008F776F">
        <w:rPr>
          <w:bCs/>
          <w:color w:val="000000" w:themeColor="text1"/>
          <w:lang w:val="es-ES_tradnl"/>
        </w:rPr>
        <w:tab/>
      </w:r>
      <w:r w:rsidRPr="008F776F">
        <w:rPr>
          <w:lang w:val="es-ES_tradnl"/>
        </w:rPr>
        <w:t>El sistema de la UPOV de protección de las obtenciones vegetales supone un apoyo a la inversión a largo plazo en fitomejoramiento y proporciona un marco para la inversión en el suministro de semillas y demás material de reproducción o multiplicación de variedades adaptadas a las necesidades de los agricultores. La UPOV se creó en 1961 y ha demostrado su eficacia como sistema de apoyo a distintos tipos de obtentores: los obtentores por cuenta propia, los agricultores, las pequeñas y medianas empresas y los institutos y empresas de mayor tamaño dedicados al fitomejoramiento, tanto en el sector privado como en el público. También ha sentado las bases para la colaboración, en particular, entre entidades públicas y privadas. Desde sus comienzos, el sistema de la UPOV ha tenido por finalidad lograr el máximo progreso en el ámbito del fitomejoramiento a fin de garantizar los avances en la agricultura en beneficio de los agricultores y de la sociedad en su conjunto. Este principio se ampara en la “exención del obtentor”, una característica fundamental del sistema de la UPOV y una característica propia de la propiedad intelectual que aplica el concepto de “código abierto”. Esta exención permite que todos los obtentores tengan acceso a las variedades vegetales protegidas con el fin de crear nuevas variedades, en reconocimiento de que el acceso a los recursos genéticos es un requisito indispensable para todo tipo de fitomejoramiento (véase la pregunta “</w:t>
      </w:r>
      <w:hyperlink r:id="rId9" w:anchor="QS11" w:history="1">
        <w:r w:rsidRPr="008F776F">
          <w:rPr>
            <w:rStyle w:val="Hyperlink"/>
            <w:bCs/>
            <w:lang w:val="es-ES_tradnl"/>
          </w:rPr>
          <w:t>¿Cómo contribuye el sistema de la UPOV al desarrollo sostenible?</w:t>
        </w:r>
      </w:hyperlink>
      <w:r w:rsidRPr="008F776F">
        <w:rPr>
          <w:bCs/>
          <w:color w:val="000000" w:themeColor="text1"/>
          <w:lang w:val="es-ES_tradnl"/>
        </w:rPr>
        <w:t>“ en el apartado de preguntas frecuentes).</w:t>
      </w:r>
    </w:p>
    <w:p w14:paraId="1C9E43AD" w14:textId="77777777" w:rsidR="008F776F" w:rsidRPr="008F776F" w:rsidRDefault="008F776F" w:rsidP="008F776F">
      <w:pPr>
        <w:rPr>
          <w:bCs/>
          <w:color w:val="000000" w:themeColor="text1"/>
          <w:lang w:val="es-ES_tradnl"/>
        </w:rPr>
      </w:pPr>
    </w:p>
    <w:p w14:paraId="7E970E9F" w14:textId="77777777" w:rsidR="008F776F" w:rsidRPr="008F776F" w:rsidRDefault="008F776F" w:rsidP="008F776F">
      <w:pPr>
        <w:rPr>
          <w:bCs/>
          <w:color w:val="000000" w:themeColor="text1"/>
          <w:lang w:val="es-ES_tradnl"/>
        </w:rPr>
      </w:pPr>
      <w:r w:rsidRPr="008F776F">
        <w:rPr>
          <w:bCs/>
          <w:color w:val="000000" w:themeColor="text1"/>
          <w:lang w:val="es-ES_tradnl"/>
        </w:rPr>
        <w:fldChar w:fldCharType="begin"/>
      </w:r>
      <w:r w:rsidRPr="008F776F">
        <w:rPr>
          <w:bCs/>
          <w:color w:val="000000" w:themeColor="text1"/>
          <w:lang w:val="es-ES_tradnl"/>
        </w:rPr>
        <w:instrText xml:space="preserve"> AUTONUM  </w:instrText>
      </w:r>
      <w:r w:rsidRPr="008F776F">
        <w:rPr>
          <w:bCs/>
          <w:color w:val="000000" w:themeColor="text1"/>
          <w:lang w:val="es-ES_tradnl"/>
        </w:rPr>
        <w:fldChar w:fldCharType="end"/>
      </w:r>
      <w:r w:rsidRPr="008F776F">
        <w:rPr>
          <w:bCs/>
          <w:color w:val="000000" w:themeColor="text1"/>
          <w:lang w:val="es-ES_tradnl"/>
        </w:rPr>
        <w:tab/>
        <w:t>Cada vez hay mayor conciencia de la relevancia de la misión de la UPOV y del beneficio que aporta a la sociedad en el contexto mundial, y ello se resume en la pregunta “¿Qué beneficios aportan las obtenciones vegetales a la sociedad?” del apartado de preguntas frecuentas sobre la UPOV:</w:t>
      </w:r>
    </w:p>
    <w:p w14:paraId="0418F49C" w14:textId="77777777" w:rsidR="008F776F" w:rsidRPr="008F776F" w:rsidRDefault="008F776F" w:rsidP="008F776F">
      <w:pPr>
        <w:rPr>
          <w:bCs/>
          <w:color w:val="000000" w:themeColor="text1"/>
          <w:lang w:val="es-ES_tradnl"/>
        </w:rPr>
      </w:pPr>
    </w:p>
    <w:p w14:paraId="4C6CA81D" w14:textId="77777777" w:rsidR="008F776F" w:rsidRPr="008F776F" w:rsidRDefault="008F776F" w:rsidP="008F776F">
      <w:pPr>
        <w:ind w:left="567" w:right="567"/>
        <w:rPr>
          <w:bCs/>
          <w:i/>
          <w:color w:val="000000" w:themeColor="text1"/>
          <w:sz w:val="18"/>
          <w:lang w:val="es-ES_tradnl"/>
        </w:rPr>
      </w:pPr>
      <w:r w:rsidRPr="008F776F">
        <w:rPr>
          <w:bCs/>
          <w:i/>
          <w:color w:val="000000" w:themeColor="text1"/>
          <w:sz w:val="18"/>
          <w:lang w:val="es-ES_tradnl"/>
        </w:rPr>
        <w:t>“Alimentar al mundo</w:t>
      </w:r>
    </w:p>
    <w:p w14:paraId="7F7A3726" w14:textId="77777777" w:rsidR="008F776F" w:rsidRPr="008F776F" w:rsidRDefault="008F776F" w:rsidP="008F776F">
      <w:pPr>
        <w:ind w:left="567" w:right="567"/>
        <w:rPr>
          <w:bCs/>
          <w:i/>
          <w:color w:val="000000" w:themeColor="text1"/>
          <w:sz w:val="18"/>
          <w:lang w:val="es-ES_tradnl"/>
        </w:rPr>
      </w:pPr>
    </w:p>
    <w:p w14:paraId="0EA2AC1C" w14:textId="77777777" w:rsidR="008F776F" w:rsidRPr="008F776F" w:rsidRDefault="008F776F" w:rsidP="008F776F">
      <w:pPr>
        <w:ind w:left="567" w:right="567"/>
        <w:rPr>
          <w:bCs/>
          <w:i/>
          <w:color w:val="000000" w:themeColor="text1"/>
          <w:sz w:val="18"/>
          <w:lang w:val="es-ES_tradnl"/>
        </w:rPr>
      </w:pPr>
      <w:r w:rsidRPr="008F776F">
        <w:rPr>
          <w:bCs/>
          <w:i/>
          <w:color w:val="000000" w:themeColor="text1"/>
          <w:sz w:val="18"/>
          <w:lang w:val="es-ES_tradnl"/>
        </w:rPr>
        <w:t>Las obtenciones vegetales mejoradas son un medio importante y sostenible para conseguir la seguridad alimentaria en el contexto del aumento de población y el cambio climático. Las obtenciones vegetales adaptadas al entorno en que se cultivan implican un aumento de las opciones de alimentos saludables, sabrosos y nutritivos, al tiempo que proporcionan ingresos adecuados a los agricultores.</w:t>
      </w:r>
    </w:p>
    <w:p w14:paraId="11B17907" w14:textId="77777777" w:rsidR="008F776F" w:rsidRPr="008F776F" w:rsidRDefault="008F776F" w:rsidP="008F776F">
      <w:pPr>
        <w:ind w:left="567" w:right="567"/>
        <w:rPr>
          <w:bCs/>
          <w:i/>
          <w:color w:val="000000" w:themeColor="text1"/>
          <w:sz w:val="18"/>
          <w:lang w:val="es-ES_tradnl"/>
        </w:rPr>
      </w:pPr>
    </w:p>
    <w:p w14:paraId="607CC6A0" w14:textId="77777777" w:rsidR="008F776F" w:rsidRPr="008F776F" w:rsidRDefault="008F776F" w:rsidP="008F776F">
      <w:pPr>
        <w:ind w:left="567" w:right="567"/>
        <w:rPr>
          <w:bCs/>
          <w:i/>
          <w:color w:val="000000" w:themeColor="text1"/>
          <w:sz w:val="18"/>
          <w:lang w:val="es-ES_tradnl"/>
        </w:rPr>
      </w:pPr>
      <w:r w:rsidRPr="008F776F">
        <w:rPr>
          <w:bCs/>
          <w:i/>
          <w:color w:val="000000" w:themeColor="text1"/>
          <w:sz w:val="18"/>
          <w:lang w:val="es-ES_tradnl"/>
        </w:rPr>
        <w:t>Mejorar la vida en las zonas rurales y urbanas y contribuir al desarrollo económico</w:t>
      </w:r>
    </w:p>
    <w:p w14:paraId="2DDCD419" w14:textId="77777777" w:rsidR="008F776F" w:rsidRPr="008F776F" w:rsidRDefault="008F776F" w:rsidP="008F776F">
      <w:pPr>
        <w:ind w:left="567" w:right="567"/>
        <w:rPr>
          <w:bCs/>
          <w:i/>
          <w:color w:val="000000" w:themeColor="text1"/>
          <w:sz w:val="18"/>
          <w:lang w:val="es-ES_tradnl"/>
        </w:rPr>
      </w:pPr>
    </w:p>
    <w:p w14:paraId="0BC1931C" w14:textId="77777777" w:rsidR="008F776F" w:rsidRPr="008F776F" w:rsidRDefault="008F776F" w:rsidP="008F776F">
      <w:pPr>
        <w:ind w:left="567" w:right="567"/>
        <w:rPr>
          <w:bCs/>
          <w:i/>
          <w:color w:val="000000" w:themeColor="text1"/>
          <w:sz w:val="18"/>
          <w:lang w:val="es-ES_tradnl"/>
        </w:rPr>
      </w:pPr>
      <w:r w:rsidRPr="008F776F">
        <w:rPr>
          <w:bCs/>
          <w:i/>
          <w:color w:val="000000" w:themeColor="text1"/>
          <w:sz w:val="18"/>
          <w:lang w:val="es-ES_tradnl"/>
        </w:rPr>
        <w:t>La innovación en agricultura y horticultura es importante para el desarrollo económico. La producción de variedades frutales, hortícolas y ornamentales diversas y de gran calidad proporciona mayores ingresos a los agricultores y empleo a millones de personas de todo el mundo. Las obtenciones vegetales pueden ser cruciales en el acceso de los países en desarrollo a los mercados y el comercio internacionales. A su vez, las obtenciones vegetales pueden ayudar a desarrollar la agricultura urbana y el cultivo de plantas, arbustos y árboles ornamentales que contribuyen a mejorar la vida de las personas en un entorno urbano en expansión.</w:t>
      </w:r>
    </w:p>
    <w:p w14:paraId="1C354C5A" w14:textId="77777777" w:rsidR="008F776F" w:rsidRPr="008F776F" w:rsidRDefault="008F776F" w:rsidP="008F776F">
      <w:pPr>
        <w:ind w:left="567" w:right="567"/>
        <w:rPr>
          <w:bCs/>
          <w:i/>
          <w:color w:val="000000" w:themeColor="text1"/>
          <w:sz w:val="18"/>
          <w:lang w:val="es-ES_tradnl"/>
        </w:rPr>
      </w:pPr>
    </w:p>
    <w:p w14:paraId="43BECE7E" w14:textId="77777777" w:rsidR="008F776F" w:rsidRPr="008F776F" w:rsidRDefault="008F776F" w:rsidP="008F776F">
      <w:pPr>
        <w:ind w:left="567" w:right="567"/>
        <w:rPr>
          <w:bCs/>
          <w:i/>
          <w:color w:val="000000" w:themeColor="text1"/>
          <w:sz w:val="18"/>
          <w:lang w:val="es-ES_tradnl"/>
        </w:rPr>
      </w:pPr>
      <w:r w:rsidRPr="008F776F">
        <w:rPr>
          <w:bCs/>
          <w:i/>
          <w:color w:val="000000" w:themeColor="text1"/>
          <w:sz w:val="18"/>
          <w:lang w:val="es-ES_tradnl"/>
        </w:rPr>
        <w:t>Respetar el entorno natural</w:t>
      </w:r>
    </w:p>
    <w:p w14:paraId="0A04A1A7" w14:textId="77777777" w:rsidR="008F776F" w:rsidRPr="008F776F" w:rsidRDefault="008F776F" w:rsidP="008F776F">
      <w:pPr>
        <w:ind w:left="567" w:right="567"/>
        <w:rPr>
          <w:bCs/>
          <w:i/>
          <w:color w:val="000000" w:themeColor="text1"/>
          <w:sz w:val="18"/>
          <w:lang w:val="es-ES_tradnl"/>
        </w:rPr>
      </w:pPr>
    </w:p>
    <w:p w14:paraId="6EBA2A07" w14:textId="77777777" w:rsidR="008F776F" w:rsidRPr="008F776F" w:rsidRDefault="008F776F" w:rsidP="008F776F">
      <w:pPr>
        <w:ind w:left="567" w:right="567"/>
        <w:rPr>
          <w:bCs/>
          <w:i/>
          <w:color w:val="000000" w:themeColor="text1"/>
          <w:sz w:val="18"/>
          <w:lang w:val="es-ES_tradnl"/>
        </w:rPr>
      </w:pPr>
      <w:r w:rsidRPr="008F776F">
        <w:rPr>
          <w:bCs/>
          <w:i/>
          <w:color w:val="000000" w:themeColor="text1"/>
          <w:sz w:val="18"/>
          <w:lang w:val="es-ES_tradnl"/>
        </w:rPr>
        <w:t>El aumento de la productividad sin perjudicar el entorno natural es un imperativo en el contexto del crecimiento de la población y el cambio climático. La obtención de variedades vegetales caracterizadas por un mayor rendimiento, un uso más eficiente de los nutrientes, resistencia a las plagas y enfermedades, tolerancia a la sal y las sequías o una mayor adaptación al estrés climático permite incrementar de manera sostenible la productividad y la calidad de los productos agrícolas, hortícolas y forestales, y a la vez minimizar la incidencia en el entorno natural.”</w:t>
      </w:r>
    </w:p>
    <w:p w14:paraId="76EB4EBE" w14:textId="77777777" w:rsidR="008F776F" w:rsidRPr="008F776F" w:rsidRDefault="008F776F" w:rsidP="008F776F">
      <w:pPr>
        <w:jc w:val="left"/>
        <w:rPr>
          <w:bCs/>
          <w:color w:val="000000" w:themeColor="text1"/>
          <w:lang w:val="es-ES_tradnl"/>
        </w:rPr>
      </w:pPr>
    </w:p>
    <w:p w14:paraId="3C38C722" w14:textId="77777777" w:rsidR="008F776F" w:rsidRPr="008F776F" w:rsidRDefault="008F776F" w:rsidP="008F776F">
      <w:pPr>
        <w:rPr>
          <w:bCs/>
          <w:color w:val="000000" w:themeColor="text1"/>
          <w:lang w:val="es-ES_tradnl"/>
        </w:rPr>
      </w:pPr>
      <w:r w:rsidRPr="008F776F">
        <w:rPr>
          <w:bCs/>
          <w:color w:val="000000" w:themeColor="text1"/>
          <w:lang w:val="es-ES_tradnl"/>
        </w:rPr>
        <w:fldChar w:fldCharType="begin"/>
      </w:r>
      <w:r w:rsidRPr="008F776F">
        <w:rPr>
          <w:bCs/>
          <w:color w:val="000000" w:themeColor="text1"/>
          <w:lang w:val="es-ES_tradnl"/>
        </w:rPr>
        <w:instrText xml:space="preserve"> AUTONUM  </w:instrText>
      </w:r>
      <w:r w:rsidRPr="008F776F">
        <w:rPr>
          <w:bCs/>
          <w:color w:val="000000" w:themeColor="text1"/>
          <w:lang w:val="es-ES_tradnl"/>
        </w:rPr>
        <w:fldChar w:fldCharType="end"/>
      </w:r>
      <w:r w:rsidRPr="008F776F">
        <w:rPr>
          <w:bCs/>
          <w:color w:val="000000" w:themeColor="text1"/>
          <w:lang w:val="es-ES_tradnl"/>
        </w:rPr>
        <w:tab/>
        <w:t xml:space="preserve">La pertinencia de esa pregunta fue afirmada en el “Seminario sobre estrategias para abordar políticas relativas al fitomejoramiento y a la protección de las obtenciones vegetales”, celebrado el 20 de octubre de 2021. En el seminario se destacó el papel clave que la protección de las obtenciones vegetales debe desempeñar en la seguridad alimentaria, en la transformación de la producción de alimentos teniendo en cuenta el cambio climático, en el impulso del desarrollo económico y en el acceso a la innovación y la transferencia de tecnología para los agricultores. </w:t>
      </w:r>
    </w:p>
    <w:p w14:paraId="693C43C8" w14:textId="77777777" w:rsidR="008F776F" w:rsidRPr="008F776F" w:rsidRDefault="008F776F" w:rsidP="008F776F">
      <w:pPr>
        <w:rPr>
          <w:bCs/>
          <w:color w:val="000000" w:themeColor="text1"/>
          <w:lang w:val="es-ES_tradnl"/>
        </w:rPr>
      </w:pPr>
    </w:p>
    <w:p w14:paraId="48014717" w14:textId="77777777" w:rsidR="008F776F" w:rsidRPr="008F776F" w:rsidRDefault="008F776F" w:rsidP="008F776F">
      <w:pPr>
        <w:rPr>
          <w:bCs/>
          <w:color w:val="000000" w:themeColor="text1"/>
          <w:lang w:val="es-ES_tradnl"/>
        </w:rPr>
      </w:pPr>
      <w:r w:rsidRPr="008F776F">
        <w:rPr>
          <w:bCs/>
          <w:color w:val="000000" w:themeColor="text1"/>
          <w:lang w:val="es-ES_tradnl"/>
        </w:rPr>
        <w:fldChar w:fldCharType="begin"/>
      </w:r>
      <w:r w:rsidRPr="008F776F">
        <w:rPr>
          <w:bCs/>
          <w:color w:val="000000" w:themeColor="text1"/>
          <w:lang w:val="es-ES_tradnl"/>
        </w:rPr>
        <w:instrText xml:space="preserve"> AUTONUM  </w:instrText>
      </w:r>
      <w:r w:rsidRPr="008F776F">
        <w:rPr>
          <w:bCs/>
          <w:color w:val="000000" w:themeColor="text1"/>
          <w:lang w:val="es-ES_tradnl"/>
        </w:rPr>
        <w:fldChar w:fldCharType="end"/>
      </w:r>
      <w:r w:rsidRPr="008F776F">
        <w:rPr>
          <w:bCs/>
          <w:color w:val="000000" w:themeColor="text1"/>
          <w:lang w:val="es-ES_tradnl"/>
        </w:rPr>
        <w:tab/>
        <w:t>La importancia del sistema de protección de las obtenciones vegetales de la UPOV en el contexto del cambio climático se puso de relieve en el “Seminario sobre la importancia del fitomejoramiento y la protección de las obtenciones vegetales a la hora de propiciar que la agricultura mitigue los efectos del cambio climático y se adapte a éste”, organizado por la UPOV en octubre de 2022. El presidente del Consejo, Sr. Marien </w:t>
      </w:r>
      <w:proofErr w:type="spellStart"/>
      <w:r w:rsidRPr="008F776F">
        <w:rPr>
          <w:bCs/>
          <w:color w:val="000000" w:themeColor="text1"/>
          <w:lang w:val="es-ES_tradnl"/>
        </w:rPr>
        <w:t>Valstar</w:t>
      </w:r>
      <w:proofErr w:type="spellEnd"/>
      <w:r w:rsidRPr="008F776F">
        <w:rPr>
          <w:bCs/>
          <w:color w:val="000000" w:themeColor="text1"/>
          <w:lang w:val="es-ES_tradnl"/>
        </w:rPr>
        <w:t>, formuló las siguientes conclusiones:</w:t>
      </w:r>
    </w:p>
    <w:p w14:paraId="74112BB9" w14:textId="77777777" w:rsidR="008F776F" w:rsidRPr="008F776F" w:rsidRDefault="008F776F" w:rsidP="008F776F">
      <w:pPr>
        <w:rPr>
          <w:bCs/>
          <w:color w:val="000000" w:themeColor="text1"/>
          <w:lang w:val="es-ES_tradnl"/>
        </w:rPr>
      </w:pPr>
    </w:p>
    <w:p w14:paraId="51C74766" w14:textId="77777777" w:rsidR="008F776F" w:rsidRPr="008F776F" w:rsidRDefault="008F776F" w:rsidP="008F776F">
      <w:pPr>
        <w:pStyle w:val="Default"/>
        <w:keepNext/>
        <w:numPr>
          <w:ilvl w:val="0"/>
          <w:numId w:val="2"/>
        </w:numPr>
        <w:spacing w:after="120"/>
        <w:ind w:left="714" w:hanging="357"/>
        <w:rPr>
          <w:rFonts w:asciiTheme="minorHAnsi" w:hAnsiTheme="minorHAnsi" w:cstheme="minorHAnsi"/>
          <w:color w:val="auto"/>
          <w:sz w:val="20"/>
          <w:szCs w:val="20"/>
          <w:lang w:val="es-ES_tradnl"/>
        </w:rPr>
      </w:pPr>
      <w:r w:rsidRPr="008F776F">
        <w:rPr>
          <w:rFonts w:asciiTheme="minorHAnsi" w:hAnsiTheme="minorHAnsi" w:cstheme="minorHAnsi"/>
          <w:color w:val="auto"/>
          <w:sz w:val="20"/>
          <w:szCs w:val="20"/>
          <w:lang w:val="es-ES_tradnl"/>
        </w:rPr>
        <w:lastRenderedPageBreak/>
        <w:t>El cambio climático nos afecta cada vez más a todos en todo el mundo: agricultores, obtentores y consumidores. Los efectos son bióticos (nuevas plagas y enfermedades) y abióticos (calor, sequía, lluvia y cambios estacionales).</w:t>
      </w:r>
    </w:p>
    <w:p w14:paraId="650B032C" w14:textId="77777777" w:rsidR="008F776F" w:rsidRPr="008F776F" w:rsidRDefault="008F776F" w:rsidP="008F776F">
      <w:pPr>
        <w:pStyle w:val="Default"/>
        <w:keepNext/>
        <w:numPr>
          <w:ilvl w:val="0"/>
          <w:numId w:val="2"/>
        </w:numPr>
        <w:spacing w:after="120"/>
        <w:ind w:left="714" w:hanging="357"/>
        <w:rPr>
          <w:rFonts w:asciiTheme="minorHAnsi" w:hAnsiTheme="minorHAnsi" w:cstheme="minorHAnsi"/>
          <w:color w:val="auto"/>
          <w:sz w:val="20"/>
          <w:szCs w:val="20"/>
          <w:lang w:val="es-ES_tradnl"/>
        </w:rPr>
      </w:pPr>
      <w:r w:rsidRPr="008F776F">
        <w:rPr>
          <w:rFonts w:asciiTheme="minorHAnsi" w:hAnsiTheme="minorHAnsi" w:cstheme="minorHAnsi"/>
          <w:color w:val="auto"/>
          <w:sz w:val="20"/>
          <w:szCs w:val="20"/>
          <w:lang w:val="es-ES_tradnl"/>
        </w:rPr>
        <w:t>Para reaccionar a estos efectos se necesitan varias estrategias. El fitomejoramiento debe tener un papel fundamental en estas estrategias; los agricultores necesitan obtenciones vegetales para hacer frente al cambio climático, pero también para aumentar la productividad de manera sostenible a fin de reducir el cambio climático.</w:t>
      </w:r>
    </w:p>
    <w:p w14:paraId="72859722" w14:textId="77777777" w:rsidR="008F776F" w:rsidRPr="008F776F" w:rsidRDefault="008F776F" w:rsidP="008F776F">
      <w:pPr>
        <w:pStyle w:val="Default"/>
        <w:keepNext/>
        <w:numPr>
          <w:ilvl w:val="0"/>
          <w:numId w:val="2"/>
        </w:numPr>
        <w:spacing w:after="120"/>
        <w:ind w:left="714" w:hanging="357"/>
        <w:rPr>
          <w:rFonts w:asciiTheme="minorHAnsi" w:hAnsiTheme="minorHAnsi" w:cstheme="minorHAnsi"/>
          <w:color w:val="auto"/>
          <w:sz w:val="20"/>
          <w:szCs w:val="20"/>
          <w:lang w:val="es-ES_tradnl"/>
        </w:rPr>
      </w:pPr>
      <w:r w:rsidRPr="008F776F">
        <w:rPr>
          <w:rFonts w:asciiTheme="minorHAnsi" w:hAnsiTheme="minorHAnsi" w:cstheme="minorHAnsi"/>
          <w:color w:val="auto"/>
          <w:sz w:val="20"/>
          <w:szCs w:val="20"/>
          <w:lang w:val="es-ES_tradnl"/>
        </w:rPr>
        <w:t>El fitomejoramiento es un proceso muy prolongado para el que es necesario que las instituciones públicas y las empresas privadas inviertan a largo plazo. Los obtentores necesitan un marco jurídico que promueva la innovación y respalde la conservación y utilización de los recursos genéticos.</w:t>
      </w:r>
    </w:p>
    <w:p w14:paraId="0A03DFA0" w14:textId="77777777" w:rsidR="008F776F" w:rsidRPr="008F776F" w:rsidRDefault="008F776F" w:rsidP="008F776F">
      <w:pPr>
        <w:pStyle w:val="Default"/>
        <w:numPr>
          <w:ilvl w:val="0"/>
          <w:numId w:val="2"/>
        </w:numPr>
        <w:rPr>
          <w:rFonts w:asciiTheme="minorHAnsi" w:hAnsiTheme="minorHAnsi" w:cstheme="minorHAnsi"/>
          <w:color w:val="auto"/>
          <w:sz w:val="20"/>
          <w:szCs w:val="20"/>
          <w:lang w:val="es-ES_tradnl"/>
        </w:rPr>
      </w:pPr>
      <w:r w:rsidRPr="008F776F">
        <w:rPr>
          <w:rFonts w:asciiTheme="minorHAnsi" w:hAnsiTheme="minorHAnsi" w:cstheme="minorHAnsi"/>
          <w:color w:val="auto"/>
          <w:sz w:val="20"/>
          <w:szCs w:val="20"/>
          <w:lang w:val="es-ES_tradnl"/>
        </w:rPr>
        <w:t>El sistema de la UPOV hace posible que los obtentores proporcionen a los agricultores las variedades que necesitan para alimentar el mundo a pesar del cambio climático.</w:t>
      </w:r>
    </w:p>
    <w:p w14:paraId="51A6C2BC" w14:textId="77777777" w:rsidR="008F776F" w:rsidRPr="008F776F" w:rsidRDefault="008F776F" w:rsidP="008F776F">
      <w:pPr>
        <w:rPr>
          <w:bCs/>
          <w:color w:val="000000" w:themeColor="text1"/>
          <w:lang w:val="es-ES_tradnl"/>
        </w:rPr>
      </w:pPr>
    </w:p>
    <w:p w14:paraId="05897653" w14:textId="77777777" w:rsidR="008F776F" w:rsidRPr="008F776F" w:rsidRDefault="008F776F" w:rsidP="008F776F">
      <w:pPr>
        <w:rPr>
          <w:bCs/>
          <w:color w:val="000000" w:themeColor="text1"/>
          <w:lang w:val="es-ES_tradnl"/>
        </w:rPr>
      </w:pPr>
    </w:p>
    <w:p w14:paraId="058D0155" w14:textId="77777777" w:rsidR="008F776F" w:rsidRPr="008F776F" w:rsidRDefault="008F776F" w:rsidP="008F776F">
      <w:pPr>
        <w:pStyle w:val="Heading1"/>
        <w:pageBreakBefore/>
        <w:numPr>
          <w:ilvl w:val="0"/>
          <w:numId w:val="1"/>
        </w:numPr>
        <w:ind w:left="567" w:hanging="567"/>
        <w:rPr>
          <w:lang w:val="es-ES_tradnl"/>
        </w:rPr>
      </w:pPr>
      <w:bookmarkStart w:id="419" w:name="_Toc141978848"/>
      <w:r w:rsidRPr="008F776F">
        <w:rPr>
          <w:lang w:val="es-ES_tradnl"/>
        </w:rPr>
        <w:lastRenderedPageBreak/>
        <w:t>PANORAMA GENERAL DEL PROGRAMA Y PRESUPUESTO</w:t>
      </w:r>
      <w:bookmarkEnd w:id="419"/>
    </w:p>
    <w:p w14:paraId="0D78CFAE" w14:textId="77777777" w:rsidR="008F776F" w:rsidRPr="008F776F" w:rsidRDefault="008F776F" w:rsidP="008F776F">
      <w:pPr>
        <w:rPr>
          <w:lang w:val="es-ES_tradnl"/>
        </w:rPr>
      </w:pPr>
    </w:p>
    <w:p w14:paraId="6EC409B8" w14:textId="77777777" w:rsidR="008F776F" w:rsidRPr="008F776F" w:rsidRDefault="008F776F" w:rsidP="008F776F">
      <w:pPr>
        <w:pStyle w:val="Heading2"/>
        <w:rPr>
          <w:lang w:val="es-ES_tradnl"/>
        </w:rPr>
      </w:pPr>
      <w:bookmarkStart w:id="420" w:name="_Toc141978849"/>
      <w:r w:rsidRPr="008F776F">
        <w:rPr>
          <w:lang w:val="es-ES_tradnl"/>
        </w:rPr>
        <w:t>Panorama financiero</w:t>
      </w:r>
      <w:bookmarkEnd w:id="420"/>
    </w:p>
    <w:p w14:paraId="71B5CAEE" w14:textId="77777777" w:rsidR="008F776F" w:rsidRPr="008F776F" w:rsidRDefault="008F776F" w:rsidP="008F776F">
      <w:pPr>
        <w:rPr>
          <w:lang w:val="es-ES_tradnl"/>
        </w:rPr>
      </w:pPr>
    </w:p>
    <w:p w14:paraId="66370CA9" w14:textId="650108D7" w:rsidR="008F776F" w:rsidRPr="008F776F" w:rsidRDefault="008F776F" w:rsidP="008F776F">
      <w:pPr>
        <w:rPr>
          <w:spacing w:val="-2"/>
          <w:szCs w:val="24"/>
          <w:lang w:val="es-ES_tradnl"/>
        </w:rPr>
      </w:pPr>
      <w:r w:rsidRPr="008F776F">
        <w:rPr>
          <w:lang w:val="es-ES_tradnl"/>
        </w:rPr>
        <w:t>El presupuesto</w:t>
      </w:r>
      <w:r w:rsidRPr="008F776F">
        <w:rPr>
          <w:rStyle w:val="FootnoteReference"/>
          <w:lang w:val="es-ES_tradnl"/>
        </w:rPr>
        <w:footnoteReference w:id="2"/>
      </w:r>
      <w:r w:rsidRPr="008F776F">
        <w:rPr>
          <w:lang w:val="es-ES_tradnl"/>
        </w:rPr>
        <w:t xml:space="preserve"> para el bienio </w:t>
      </w:r>
      <w:r w:rsidRPr="008F776F">
        <w:rPr>
          <w:snapToGrid w:val="0"/>
          <w:lang w:val="es-ES_tradnl"/>
        </w:rPr>
        <w:t>2024</w:t>
      </w:r>
      <w:r w:rsidRPr="008F776F">
        <w:rPr>
          <w:snapToGrid w:val="0"/>
          <w:lang w:val="es-ES_tradnl"/>
        </w:rPr>
        <w:noBreakHyphen/>
        <w:t>2025</w:t>
      </w:r>
      <w:r w:rsidRPr="008F776F">
        <w:rPr>
          <w:lang w:val="es-ES_tradnl"/>
        </w:rPr>
        <w:t xml:space="preserve"> prevé unos ingresos de 7.901.307 francos suizos frente a los 7.634.500 francos suizos del presupuesto de 2022­2023. Se estima que los gastos estén al mismo nivel que los ingresos previstos (véase el cuadro 1)</w:t>
      </w:r>
      <w:r w:rsidRPr="008F776F">
        <w:rPr>
          <w:spacing w:val="-2"/>
          <w:szCs w:val="24"/>
          <w:lang w:val="es-ES_tradnl"/>
        </w:rPr>
        <w:t xml:space="preserve">. </w:t>
      </w:r>
    </w:p>
    <w:p w14:paraId="68EDA781" w14:textId="77777777" w:rsidR="008F776F" w:rsidRPr="008F776F" w:rsidRDefault="008F776F" w:rsidP="008F776F">
      <w:pPr>
        <w:rPr>
          <w:lang w:val="es-ES_tradnl"/>
        </w:rPr>
      </w:pPr>
    </w:p>
    <w:p w14:paraId="003FE03A" w14:textId="77777777" w:rsidR="008F776F" w:rsidRPr="008F776F" w:rsidRDefault="008F776F" w:rsidP="008F776F">
      <w:pPr>
        <w:jc w:val="center"/>
        <w:rPr>
          <w:lang w:val="es-ES_tradnl"/>
        </w:rPr>
      </w:pPr>
    </w:p>
    <w:p w14:paraId="2D89B4D0" w14:textId="77777777" w:rsidR="008F776F" w:rsidRPr="008F776F" w:rsidRDefault="008F776F" w:rsidP="008F776F">
      <w:pPr>
        <w:jc w:val="center"/>
        <w:rPr>
          <w:b/>
          <w:color w:val="26724C" w:themeColor="accent1" w:themeShade="BF"/>
          <w:lang w:val="es-ES_tradnl"/>
        </w:rPr>
      </w:pPr>
      <w:r w:rsidRPr="008F776F">
        <w:rPr>
          <w:b/>
          <w:color w:val="26724C" w:themeColor="accent1" w:themeShade="BF"/>
          <w:lang w:val="es-ES_tradnl"/>
        </w:rPr>
        <w:t>Cuadro 1: Ingresos y gastos correspondientes a los bienios 2020-2021, 2022-2023 y 2024</w:t>
      </w:r>
      <w:r w:rsidRPr="008F776F">
        <w:rPr>
          <w:b/>
          <w:color w:val="26724C" w:themeColor="accent1" w:themeShade="BF"/>
          <w:lang w:val="es-ES_tradnl"/>
        </w:rPr>
        <w:noBreakHyphen/>
        <w:t>2025</w:t>
      </w:r>
    </w:p>
    <w:p w14:paraId="16EA5BB2" w14:textId="77777777" w:rsidR="008F776F" w:rsidRPr="008F776F" w:rsidRDefault="008F776F" w:rsidP="008F776F">
      <w:pPr>
        <w:jc w:val="center"/>
        <w:rPr>
          <w:i/>
          <w:sz w:val="18"/>
          <w:lang w:val="es-ES_tradnl"/>
        </w:rPr>
      </w:pPr>
      <w:r w:rsidRPr="008F776F">
        <w:rPr>
          <w:i/>
          <w:sz w:val="18"/>
          <w:lang w:val="es-ES_tradnl"/>
        </w:rPr>
        <w:t>(en miles de francos suizos)</w:t>
      </w:r>
    </w:p>
    <w:p w14:paraId="37CC6C25" w14:textId="77777777" w:rsidR="008F776F" w:rsidRPr="008F776F" w:rsidRDefault="008F776F" w:rsidP="008F776F">
      <w:pPr>
        <w:rPr>
          <w:spacing w:val="-2"/>
          <w:szCs w:val="24"/>
          <w:lang w:val="es-ES_tradnl"/>
        </w:rPr>
      </w:pPr>
    </w:p>
    <w:tbl>
      <w:tblPr>
        <w:tblW w:w="9560" w:type="dxa"/>
        <w:tblLook w:val="04A0" w:firstRow="1" w:lastRow="0" w:firstColumn="1" w:lastColumn="0" w:noHBand="0" w:noVBand="1"/>
      </w:tblPr>
      <w:tblGrid>
        <w:gridCol w:w="3800"/>
        <w:gridCol w:w="1134"/>
        <w:gridCol w:w="1283"/>
        <w:gridCol w:w="700"/>
        <w:gridCol w:w="983"/>
        <w:gridCol w:w="1660"/>
      </w:tblGrid>
      <w:tr w:rsidR="008F776F" w:rsidRPr="00FD4BBE" w14:paraId="6B8D1C95" w14:textId="77777777" w:rsidTr="00DB6666">
        <w:trPr>
          <w:trHeight w:val="255"/>
        </w:trPr>
        <w:tc>
          <w:tcPr>
            <w:tcW w:w="3800" w:type="dxa"/>
            <w:tcBorders>
              <w:top w:val="nil"/>
              <w:left w:val="nil"/>
              <w:bottom w:val="nil"/>
              <w:right w:val="nil"/>
            </w:tcBorders>
            <w:shd w:val="clear" w:color="000000" w:fill="C7CFD8"/>
            <w:hideMark/>
          </w:tcPr>
          <w:p w14:paraId="385D8EEC" w14:textId="77777777" w:rsidR="008F776F" w:rsidRPr="00FD4BBE" w:rsidRDefault="008F776F" w:rsidP="00DB6666">
            <w:pPr>
              <w:ind w:firstLineChars="100" w:firstLine="181"/>
              <w:jc w:val="left"/>
              <w:rPr>
                <w:rFonts w:ascii="Arial Narrow" w:hAnsi="Arial Narrow" w:cs="Arial"/>
                <w:b/>
                <w:bCs/>
                <w:i/>
                <w:iCs/>
                <w:sz w:val="18"/>
                <w:szCs w:val="18"/>
                <w:lang w:val="es-ES_tradnl"/>
              </w:rPr>
            </w:pPr>
            <w:r w:rsidRPr="00FD4BBE">
              <w:rPr>
                <w:rFonts w:ascii="Arial Narrow" w:hAnsi="Arial Narrow" w:cs="Arial"/>
                <w:b/>
                <w:bCs/>
                <w:i/>
                <w:iCs/>
                <w:sz w:val="18"/>
                <w:szCs w:val="18"/>
                <w:lang w:val="es-ES_tradnl"/>
              </w:rPr>
              <w:t> </w:t>
            </w:r>
          </w:p>
        </w:tc>
        <w:tc>
          <w:tcPr>
            <w:tcW w:w="1180" w:type="dxa"/>
            <w:tcBorders>
              <w:top w:val="nil"/>
              <w:left w:val="nil"/>
              <w:bottom w:val="nil"/>
              <w:right w:val="nil"/>
            </w:tcBorders>
            <w:shd w:val="clear" w:color="000000" w:fill="C7CFD8"/>
            <w:vAlign w:val="center"/>
            <w:hideMark/>
          </w:tcPr>
          <w:p w14:paraId="7840D883"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 xml:space="preserve">2020-2021 </w:t>
            </w:r>
          </w:p>
        </w:tc>
        <w:tc>
          <w:tcPr>
            <w:tcW w:w="1180" w:type="dxa"/>
            <w:tcBorders>
              <w:top w:val="nil"/>
              <w:left w:val="nil"/>
              <w:bottom w:val="nil"/>
              <w:right w:val="nil"/>
            </w:tcBorders>
            <w:shd w:val="clear" w:color="000000" w:fill="C7CFD8"/>
            <w:vAlign w:val="center"/>
            <w:hideMark/>
          </w:tcPr>
          <w:p w14:paraId="6ABEFF31"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 xml:space="preserve">2022-2023 </w:t>
            </w:r>
          </w:p>
        </w:tc>
        <w:tc>
          <w:tcPr>
            <w:tcW w:w="1740" w:type="dxa"/>
            <w:gridSpan w:val="2"/>
            <w:vMerge w:val="restart"/>
            <w:tcBorders>
              <w:top w:val="nil"/>
              <w:left w:val="nil"/>
              <w:bottom w:val="single" w:sz="4" w:space="0" w:color="748B9E"/>
              <w:right w:val="nil"/>
            </w:tcBorders>
            <w:shd w:val="clear" w:color="000000" w:fill="C7CFD8"/>
            <w:vAlign w:val="center"/>
            <w:hideMark/>
          </w:tcPr>
          <w:p w14:paraId="3C50E054"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Variación</w:t>
            </w:r>
          </w:p>
        </w:tc>
        <w:tc>
          <w:tcPr>
            <w:tcW w:w="1660" w:type="dxa"/>
            <w:tcBorders>
              <w:top w:val="nil"/>
              <w:left w:val="nil"/>
              <w:bottom w:val="nil"/>
              <w:right w:val="nil"/>
            </w:tcBorders>
            <w:shd w:val="clear" w:color="000000" w:fill="C7CFD8"/>
            <w:vAlign w:val="center"/>
            <w:hideMark/>
          </w:tcPr>
          <w:p w14:paraId="05BAD514"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2024-2025</w:t>
            </w:r>
          </w:p>
        </w:tc>
      </w:tr>
      <w:tr w:rsidR="008F776F" w:rsidRPr="00FD4BBE" w14:paraId="31EAE807" w14:textId="77777777" w:rsidTr="00DB6666">
        <w:trPr>
          <w:trHeight w:val="260"/>
        </w:trPr>
        <w:tc>
          <w:tcPr>
            <w:tcW w:w="3800" w:type="dxa"/>
            <w:tcBorders>
              <w:top w:val="nil"/>
              <w:left w:val="nil"/>
              <w:bottom w:val="nil"/>
              <w:right w:val="nil"/>
            </w:tcBorders>
            <w:shd w:val="clear" w:color="000000" w:fill="C7CFD8"/>
            <w:hideMark/>
          </w:tcPr>
          <w:p w14:paraId="1F8E6270" w14:textId="77777777" w:rsidR="008F776F" w:rsidRPr="00FD4BBE" w:rsidRDefault="008F776F" w:rsidP="00DB6666">
            <w:pPr>
              <w:ind w:firstLineChars="100" w:firstLine="181"/>
              <w:jc w:val="left"/>
              <w:rPr>
                <w:rFonts w:ascii="Arial Narrow" w:hAnsi="Arial Narrow" w:cs="Arial"/>
                <w:b/>
                <w:bCs/>
                <w:i/>
                <w:iCs/>
                <w:sz w:val="18"/>
                <w:szCs w:val="18"/>
                <w:lang w:val="es-ES_tradnl"/>
              </w:rPr>
            </w:pPr>
            <w:r w:rsidRPr="00FD4BBE">
              <w:rPr>
                <w:rFonts w:ascii="Arial Narrow" w:hAnsi="Arial Narrow" w:cs="Arial"/>
                <w:b/>
                <w:bCs/>
                <w:i/>
                <w:iCs/>
                <w:sz w:val="18"/>
                <w:szCs w:val="18"/>
                <w:lang w:val="es-ES_tradnl"/>
              </w:rPr>
              <w:t> </w:t>
            </w:r>
          </w:p>
        </w:tc>
        <w:tc>
          <w:tcPr>
            <w:tcW w:w="1180" w:type="dxa"/>
            <w:tcBorders>
              <w:top w:val="nil"/>
              <w:left w:val="nil"/>
              <w:bottom w:val="nil"/>
              <w:right w:val="nil"/>
            </w:tcBorders>
            <w:shd w:val="clear" w:color="000000" w:fill="C7CFD8"/>
            <w:vAlign w:val="center"/>
            <w:hideMark/>
          </w:tcPr>
          <w:p w14:paraId="34632227"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 xml:space="preserve">Real </w:t>
            </w:r>
          </w:p>
        </w:tc>
        <w:tc>
          <w:tcPr>
            <w:tcW w:w="1180" w:type="dxa"/>
            <w:tcBorders>
              <w:top w:val="nil"/>
              <w:left w:val="nil"/>
              <w:bottom w:val="nil"/>
              <w:right w:val="nil"/>
            </w:tcBorders>
            <w:shd w:val="clear" w:color="000000" w:fill="C7CFD8"/>
            <w:vAlign w:val="center"/>
            <w:hideMark/>
          </w:tcPr>
          <w:p w14:paraId="5A22063C"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Presupuestado</w:t>
            </w:r>
          </w:p>
        </w:tc>
        <w:tc>
          <w:tcPr>
            <w:tcW w:w="1740" w:type="dxa"/>
            <w:gridSpan w:val="2"/>
            <w:vMerge/>
            <w:tcBorders>
              <w:top w:val="nil"/>
              <w:left w:val="nil"/>
              <w:bottom w:val="nil"/>
              <w:right w:val="nil"/>
            </w:tcBorders>
            <w:vAlign w:val="center"/>
            <w:hideMark/>
          </w:tcPr>
          <w:p w14:paraId="6656245B" w14:textId="77777777" w:rsidR="008F776F" w:rsidRPr="00FD4BBE" w:rsidRDefault="008F776F" w:rsidP="00DB6666">
            <w:pPr>
              <w:jc w:val="left"/>
              <w:rPr>
                <w:rFonts w:ascii="Arial Narrow" w:hAnsi="Arial Narrow" w:cs="Arial"/>
                <w:b/>
                <w:bCs/>
                <w:sz w:val="18"/>
                <w:szCs w:val="18"/>
                <w:lang w:val="es-ES_tradnl"/>
              </w:rPr>
            </w:pPr>
          </w:p>
        </w:tc>
        <w:tc>
          <w:tcPr>
            <w:tcW w:w="1660" w:type="dxa"/>
            <w:tcBorders>
              <w:top w:val="nil"/>
              <w:left w:val="nil"/>
              <w:bottom w:val="nil"/>
              <w:right w:val="nil"/>
            </w:tcBorders>
            <w:shd w:val="clear" w:color="000000" w:fill="C7CFD8"/>
            <w:vAlign w:val="center"/>
            <w:hideMark/>
          </w:tcPr>
          <w:p w14:paraId="11BD9ADE"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 xml:space="preserve">Propuesto </w:t>
            </w:r>
          </w:p>
        </w:tc>
      </w:tr>
      <w:tr w:rsidR="008F776F" w:rsidRPr="00FD4BBE" w14:paraId="5907A205" w14:textId="77777777" w:rsidTr="00DB6666">
        <w:trPr>
          <w:trHeight w:val="260"/>
        </w:trPr>
        <w:tc>
          <w:tcPr>
            <w:tcW w:w="3800" w:type="dxa"/>
            <w:tcBorders>
              <w:top w:val="nil"/>
              <w:left w:val="nil"/>
              <w:bottom w:val="nil"/>
              <w:right w:val="nil"/>
            </w:tcBorders>
            <w:shd w:val="clear" w:color="000000" w:fill="C7CFD8"/>
            <w:vAlign w:val="bottom"/>
            <w:hideMark/>
          </w:tcPr>
          <w:p w14:paraId="1BD422EC" w14:textId="77777777" w:rsidR="008F776F" w:rsidRPr="00FD4BBE" w:rsidRDefault="008F776F" w:rsidP="00DB6666">
            <w:pPr>
              <w:ind w:firstLineChars="100" w:firstLine="181"/>
              <w:jc w:val="left"/>
              <w:rPr>
                <w:rFonts w:ascii="Arial Narrow" w:hAnsi="Arial Narrow" w:cs="Arial"/>
                <w:b/>
                <w:bCs/>
                <w:i/>
                <w:iCs/>
                <w:sz w:val="18"/>
                <w:szCs w:val="18"/>
                <w:lang w:val="es-ES_tradnl"/>
              </w:rPr>
            </w:pPr>
            <w:r w:rsidRPr="00FD4BBE">
              <w:rPr>
                <w:rFonts w:ascii="Arial Narrow" w:hAnsi="Arial Narrow" w:cs="Arial"/>
                <w:b/>
                <w:bCs/>
                <w:i/>
                <w:iCs/>
                <w:sz w:val="18"/>
                <w:szCs w:val="18"/>
                <w:lang w:val="es-ES_tradnl"/>
              </w:rPr>
              <w:t> </w:t>
            </w:r>
          </w:p>
        </w:tc>
        <w:tc>
          <w:tcPr>
            <w:tcW w:w="1180" w:type="dxa"/>
            <w:tcBorders>
              <w:top w:val="nil"/>
              <w:left w:val="nil"/>
              <w:bottom w:val="nil"/>
              <w:right w:val="nil"/>
            </w:tcBorders>
            <w:shd w:val="clear" w:color="000000" w:fill="C7CFD8"/>
            <w:vAlign w:val="center"/>
            <w:hideMark/>
          </w:tcPr>
          <w:p w14:paraId="344C6B10"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 xml:space="preserve">A </w:t>
            </w:r>
          </w:p>
        </w:tc>
        <w:tc>
          <w:tcPr>
            <w:tcW w:w="1180" w:type="dxa"/>
            <w:tcBorders>
              <w:top w:val="nil"/>
              <w:left w:val="nil"/>
              <w:bottom w:val="nil"/>
              <w:right w:val="nil"/>
            </w:tcBorders>
            <w:shd w:val="clear" w:color="000000" w:fill="C7CFD8"/>
            <w:noWrap/>
            <w:vAlign w:val="center"/>
            <w:hideMark/>
          </w:tcPr>
          <w:p w14:paraId="72B4088B"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 xml:space="preserve">B </w:t>
            </w:r>
          </w:p>
        </w:tc>
        <w:tc>
          <w:tcPr>
            <w:tcW w:w="720" w:type="dxa"/>
            <w:tcBorders>
              <w:top w:val="nil"/>
              <w:left w:val="nil"/>
              <w:bottom w:val="nil"/>
              <w:right w:val="nil"/>
            </w:tcBorders>
            <w:shd w:val="clear" w:color="000000" w:fill="C7CFD8"/>
            <w:vAlign w:val="center"/>
            <w:hideMark/>
          </w:tcPr>
          <w:p w14:paraId="7FB8C47D"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 xml:space="preserve">C </w:t>
            </w:r>
          </w:p>
        </w:tc>
        <w:tc>
          <w:tcPr>
            <w:tcW w:w="1020" w:type="dxa"/>
            <w:tcBorders>
              <w:top w:val="nil"/>
              <w:left w:val="nil"/>
              <w:bottom w:val="nil"/>
              <w:right w:val="nil"/>
            </w:tcBorders>
            <w:shd w:val="clear" w:color="000000" w:fill="C7CFD8"/>
            <w:vAlign w:val="center"/>
            <w:hideMark/>
          </w:tcPr>
          <w:p w14:paraId="6E56E352"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C/B</w:t>
            </w:r>
          </w:p>
        </w:tc>
        <w:tc>
          <w:tcPr>
            <w:tcW w:w="1660" w:type="dxa"/>
            <w:tcBorders>
              <w:top w:val="nil"/>
              <w:left w:val="nil"/>
              <w:bottom w:val="nil"/>
              <w:right w:val="nil"/>
            </w:tcBorders>
            <w:shd w:val="clear" w:color="000000" w:fill="C7CFD8"/>
            <w:noWrap/>
            <w:vAlign w:val="center"/>
            <w:hideMark/>
          </w:tcPr>
          <w:p w14:paraId="165BC0FF"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 xml:space="preserve">D=B+C </w:t>
            </w:r>
          </w:p>
        </w:tc>
      </w:tr>
      <w:tr w:rsidR="008F776F" w:rsidRPr="00FD4BBE" w14:paraId="0DF32118" w14:textId="77777777" w:rsidTr="00DB6666">
        <w:trPr>
          <w:trHeight w:val="330"/>
        </w:trPr>
        <w:tc>
          <w:tcPr>
            <w:tcW w:w="3800" w:type="dxa"/>
            <w:tcBorders>
              <w:top w:val="nil"/>
              <w:left w:val="nil"/>
              <w:bottom w:val="nil"/>
              <w:right w:val="nil"/>
            </w:tcBorders>
            <w:shd w:val="clear" w:color="auto" w:fill="auto"/>
            <w:vAlign w:val="center"/>
            <w:hideMark/>
          </w:tcPr>
          <w:p w14:paraId="14DF7A2D" w14:textId="77777777" w:rsidR="008F776F" w:rsidRPr="00FD4BBE" w:rsidRDefault="008F776F" w:rsidP="00DB6666">
            <w:pPr>
              <w:jc w:val="left"/>
              <w:rPr>
                <w:rFonts w:ascii="Arial Narrow" w:hAnsi="Arial Narrow" w:cs="Arial"/>
                <w:b/>
                <w:bCs/>
                <w:sz w:val="18"/>
                <w:szCs w:val="18"/>
                <w:lang w:val="es-ES_tradnl"/>
              </w:rPr>
            </w:pPr>
            <w:r w:rsidRPr="00FD4BBE">
              <w:rPr>
                <w:rFonts w:ascii="Arial Narrow" w:hAnsi="Arial Narrow" w:cs="Arial"/>
                <w:b/>
                <w:bCs/>
                <w:sz w:val="18"/>
                <w:szCs w:val="18"/>
                <w:lang w:val="es-ES_tradnl"/>
              </w:rPr>
              <w:t>1. Ingresos</w:t>
            </w:r>
          </w:p>
        </w:tc>
        <w:tc>
          <w:tcPr>
            <w:tcW w:w="1180" w:type="dxa"/>
            <w:tcBorders>
              <w:top w:val="nil"/>
              <w:left w:val="nil"/>
              <w:bottom w:val="nil"/>
              <w:right w:val="nil"/>
            </w:tcBorders>
            <w:shd w:val="clear" w:color="auto" w:fill="auto"/>
            <w:vAlign w:val="center"/>
            <w:hideMark/>
          </w:tcPr>
          <w:p w14:paraId="5C5EDA73"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7.404</w:t>
            </w:r>
          </w:p>
        </w:tc>
        <w:tc>
          <w:tcPr>
            <w:tcW w:w="1180" w:type="dxa"/>
            <w:tcBorders>
              <w:top w:val="nil"/>
              <w:left w:val="nil"/>
              <w:bottom w:val="nil"/>
              <w:right w:val="nil"/>
            </w:tcBorders>
            <w:shd w:val="clear" w:color="auto" w:fill="auto"/>
            <w:vAlign w:val="center"/>
            <w:hideMark/>
          </w:tcPr>
          <w:p w14:paraId="3DEF6045"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7.635</w:t>
            </w:r>
          </w:p>
        </w:tc>
        <w:tc>
          <w:tcPr>
            <w:tcW w:w="720" w:type="dxa"/>
            <w:tcBorders>
              <w:top w:val="nil"/>
              <w:left w:val="nil"/>
              <w:bottom w:val="nil"/>
              <w:right w:val="nil"/>
            </w:tcBorders>
            <w:shd w:val="clear" w:color="auto" w:fill="auto"/>
            <w:vAlign w:val="center"/>
            <w:hideMark/>
          </w:tcPr>
          <w:p w14:paraId="234CFF86"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267</w:t>
            </w:r>
          </w:p>
        </w:tc>
        <w:tc>
          <w:tcPr>
            <w:tcW w:w="1020" w:type="dxa"/>
            <w:tcBorders>
              <w:top w:val="nil"/>
              <w:left w:val="nil"/>
              <w:bottom w:val="nil"/>
              <w:right w:val="nil"/>
            </w:tcBorders>
            <w:shd w:val="clear" w:color="auto" w:fill="auto"/>
            <w:vAlign w:val="center"/>
            <w:hideMark/>
          </w:tcPr>
          <w:p w14:paraId="5BF383F5" w14:textId="77777777" w:rsidR="008F776F" w:rsidRPr="00FD4BBE" w:rsidRDefault="008F776F" w:rsidP="00DB6666">
            <w:pPr>
              <w:jc w:val="right"/>
              <w:rPr>
                <w:rFonts w:ascii="Arial Narrow" w:hAnsi="Arial Narrow" w:cs="Arial"/>
                <w:b/>
                <w:bCs/>
                <w:sz w:val="18"/>
                <w:szCs w:val="18"/>
                <w:lang w:val="es-ES_tradnl"/>
              </w:rPr>
            </w:pPr>
            <w:r w:rsidRPr="00FD4BBE">
              <w:rPr>
                <w:rFonts w:ascii="Arial Narrow" w:hAnsi="Arial Narrow" w:cs="Arial"/>
                <w:b/>
                <w:bCs/>
                <w:sz w:val="18"/>
                <w:szCs w:val="18"/>
                <w:lang w:val="es-ES_tradnl"/>
              </w:rPr>
              <w:t>3,5%</w:t>
            </w:r>
          </w:p>
        </w:tc>
        <w:tc>
          <w:tcPr>
            <w:tcW w:w="1660" w:type="dxa"/>
            <w:tcBorders>
              <w:top w:val="nil"/>
              <w:left w:val="nil"/>
              <w:bottom w:val="nil"/>
              <w:right w:val="nil"/>
            </w:tcBorders>
            <w:shd w:val="clear" w:color="auto" w:fill="auto"/>
            <w:vAlign w:val="center"/>
            <w:hideMark/>
          </w:tcPr>
          <w:p w14:paraId="281A2466"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 xml:space="preserve">7.901 </w:t>
            </w:r>
          </w:p>
        </w:tc>
      </w:tr>
      <w:tr w:rsidR="008F776F" w:rsidRPr="00FD4BBE" w14:paraId="5CCF18C5" w14:textId="77777777" w:rsidTr="00DB6666">
        <w:trPr>
          <w:trHeight w:val="330"/>
        </w:trPr>
        <w:tc>
          <w:tcPr>
            <w:tcW w:w="3800" w:type="dxa"/>
            <w:tcBorders>
              <w:top w:val="nil"/>
              <w:left w:val="nil"/>
              <w:bottom w:val="single" w:sz="4" w:space="0" w:color="AAB8C4"/>
              <w:right w:val="nil"/>
            </w:tcBorders>
            <w:shd w:val="clear" w:color="auto" w:fill="auto"/>
            <w:noWrap/>
            <w:vAlign w:val="center"/>
            <w:hideMark/>
          </w:tcPr>
          <w:p w14:paraId="4349467F" w14:textId="77777777" w:rsidR="008F776F" w:rsidRPr="00FD4BBE" w:rsidRDefault="008F776F" w:rsidP="00DB6666">
            <w:pPr>
              <w:jc w:val="left"/>
              <w:rPr>
                <w:rFonts w:ascii="Arial Narrow" w:hAnsi="Arial Narrow" w:cs="Arial"/>
                <w:b/>
                <w:bCs/>
                <w:sz w:val="18"/>
                <w:szCs w:val="18"/>
                <w:lang w:val="es-ES_tradnl"/>
              </w:rPr>
            </w:pPr>
            <w:r w:rsidRPr="00FD4BBE">
              <w:rPr>
                <w:rFonts w:ascii="Arial Narrow" w:hAnsi="Arial Narrow" w:cs="Arial"/>
                <w:b/>
                <w:bCs/>
                <w:sz w:val="18"/>
                <w:szCs w:val="18"/>
                <w:lang w:val="es-ES_tradnl"/>
              </w:rPr>
              <w:t>2. Gastos</w:t>
            </w:r>
          </w:p>
        </w:tc>
        <w:tc>
          <w:tcPr>
            <w:tcW w:w="1180" w:type="dxa"/>
            <w:tcBorders>
              <w:top w:val="nil"/>
              <w:left w:val="nil"/>
              <w:bottom w:val="single" w:sz="4" w:space="0" w:color="BFBFBF"/>
              <w:right w:val="nil"/>
            </w:tcBorders>
            <w:shd w:val="clear" w:color="auto" w:fill="auto"/>
            <w:vAlign w:val="center"/>
            <w:hideMark/>
          </w:tcPr>
          <w:p w14:paraId="6D22597D"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7.071</w:t>
            </w:r>
          </w:p>
        </w:tc>
        <w:tc>
          <w:tcPr>
            <w:tcW w:w="1180" w:type="dxa"/>
            <w:tcBorders>
              <w:top w:val="nil"/>
              <w:left w:val="nil"/>
              <w:bottom w:val="single" w:sz="4" w:space="0" w:color="AAB8C4"/>
              <w:right w:val="nil"/>
            </w:tcBorders>
            <w:shd w:val="clear" w:color="auto" w:fill="auto"/>
            <w:vAlign w:val="center"/>
            <w:hideMark/>
          </w:tcPr>
          <w:p w14:paraId="59D00B11"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7.635</w:t>
            </w:r>
          </w:p>
        </w:tc>
        <w:tc>
          <w:tcPr>
            <w:tcW w:w="720" w:type="dxa"/>
            <w:tcBorders>
              <w:top w:val="nil"/>
              <w:left w:val="nil"/>
              <w:bottom w:val="single" w:sz="4" w:space="0" w:color="AAB8C4"/>
              <w:right w:val="nil"/>
            </w:tcBorders>
            <w:shd w:val="clear" w:color="auto" w:fill="auto"/>
            <w:vAlign w:val="center"/>
            <w:hideMark/>
          </w:tcPr>
          <w:p w14:paraId="1D45725B"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267</w:t>
            </w:r>
          </w:p>
        </w:tc>
        <w:tc>
          <w:tcPr>
            <w:tcW w:w="1020" w:type="dxa"/>
            <w:tcBorders>
              <w:top w:val="nil"/>
              <w:left w:val="nil"/>
              <w:bottom w:val="single" w:sz="4" w:space="0" w:color="BFBFBF"/>
              <w:right w:val="nil"/>
            </w:tcBorders>
            <w:shd w:val="clear" w:color="auto" w:fill="auto"/>
            <w:vAlign w:val="center"/>
            <w:hideMark/>
          </w:tcPr>
          <w:p w14:paraId="0C40C51C" w14:textId="77777777" w:rsidR="008F776F" w:rsidRPr="00FD4BBE" w:rsidRDefault="008F776F" w:rsidP="00DB6666">
            <w:pPr>
              <w:jc w:val="right"/>
              <w:rPr>
                <w:rFonts w:ascii="Arial Narrow" w:hAnsi="Arial Narrow" w:cs="Arial"/>
                <w:b/>
                <w:bCs/>
                <w:sz w:val="18"/>
                <w:szCs w:val="18"/>
                <w:lang w:val="es-ES_tradnl"/>
              </w:rPr>
            </w:pPr>
            <w:r w:rsidRPr="00FD4BBE">
              <w:rPr>
                <w:rFonts w:ascii="Arial Narrow" w:hAnsi="Arial Narrow" w:cs="Arial"/>
                <w:b/>
                <w:bCs/>
                <w:sz w:val="18"/>
                <w:szCs w:val="18"/>
                <w:lang w:val="es-ES_tradnl"/>
              </w:rPr>
              <w:t>3,5%</w:t>
            </w:r>
          </w:p>
        </w:tc>
        <w:tc>
          <w:tcPr>
            <w:tcW w:w="1660" w:type="dxa"/>
            <w:tcBorders>
              <w:top w:val="nil"/>
              <w:left w:val="nil"/>
              <w:bottom w:val="single" w:sz="4" w:space="0" w:color="AAB8C4"/>
              <w:right w:val="nil"/>
            </w:tcBorders>
            <w:shd w:val="clear" w:color="auto" w:fill="auto"/>
            <w:vAlign w:val="center"/>
            <w:hideMark/>
          </w:tcPr>
          <w:p w14:paraId="2BD6718E"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 xml:space="preserve">7.901 </w:t>
            </w:r>
          </w:p>
        </w:tc>
      </w:tr>
      <w:tr w:rsidR="008F776F" w:rsidRPr="00FD4BBE" w14:paraId="585CCFC6" w14:textId="77777777" w:rsidTr="00DB6666">
        <w:trPr>
          <w:trHeight w:val="330"/>
        </w:trPr>
        <w:tc>
          <w:tcPr>
            <w:tcW w:w="3800" w:type="dxa"/>
            <w:tcBorders>
              <w:top w:val="nil"/>
              <w:left w:val="nil"/>
              <w:bottom w:val="nil"/>
              <w:right w:val="nil"/>
            </w:tcBorders>
            <w:shd w:val="clear" w:color="auto" w:fill="auto"/>
            <w:vAlign w:val="bottom"/>
            <w:hideMark/>
          </w:tcPr>
          <w:p w14:paraId="0FF622A6" w14:textId="77777777" w:rsidR="008F776F" w:rsidRPr="00FD4BBE" w:rsidRDefault="008F776F" w:rsidP="00DB6666">
            <w:pPr>
              <w:ind w:firstLineChars="100" w:firstLine="180"/>
              <w:jc w:val="left"/>
              <w:rPr>
                <w:rFonts w:ascii="Arial Narrow" w:hAnsi="Arial Narrow" w:cs="Arial"/>
                <w:i/>
                <w:iCs/>
                <w:sz w:val="18"/>
                <w:szCs w:val="18"/>
                <w:lang w:val="es-ES_tradnl"/>
              </w:rPr>
            </w:pPr>
            <w:r w:rsidRPr="00FD4BBE">
              <w:rPr>
                <w:rFonts w:ascii="Arial Narrow" w:hAnsi="Arial Narrow" w:cs="Arial"/>
                <w:i/>
                <w:iCs/>
                <w:sz w:val="18"/>
                <w:szCs w:val="18"/>
                <w:lang w:val="es-ES_tradnl"/>
              </w:rPr>
              <w:t xml:space="preserve">Diferencia </w:t>
            </w:r>
          </w:p>
        </w:tc>
        <w:tc>
          <w:tcPr>
            <w:tcW w:w="1180" w:type="dxa"/>
            <w:tcBorders>
              <w:top w:val="nil"/>
              <w:left w:val="nil"/>
              <w:bottom w:val="nil"/>
              <w:right w:val="nil"/>
            </w:tcBorders>
            <w:shd w:val="clear" w:color="auto" w:fill="auto"/>
            <w:vAlign w:val="bottom"/>
            <w:hideMark/>
          </w:tcPr>
          <w:p w14:paraId="709BEF0D"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334</w:t>
            </w:r>
          </w:p>
        </w:tc>
        <w:tc>
          <w:tcPr>
            <w:tcW w:w="1180" w:type="dxa"/>
            <w:tcBorders>
              <w:top w:val="nil"/>
              <w:left w:val="nil"/>
              <w:bottom w:val="nil"/>
              <w:right w:val="nil"/>
            </w:tcBorders>
            <w:shd w:val="clear" w:color="auto" w:fill="auto"/>
            <w:vAlign w:val="bottom"/>
            <w:hideMark/>
          </w:tcPr>
          <w:p w14:paraId="292EC122"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w:t>
            </w:r>
          </w:p>
        </w:tc>
        <w:tc>
          <w:tcPr>
            <w:tcW w:w="720" w:type="dxa"/>
            <w:tcBorders>
              <w:top w:val="nil"/>
              <w:left w:val="nil"/>
              <w:bottom w:val="nil"/>
              <w:right w:val="nil"/>
            </w:tcBorders>
            <w:shd w:val="clear" w:color="auto" w:fill="auto"/>
            <w:vAlign w:val="bottom"/>
          </w:tcPr>
          <w:p w14:paraId="01B3EF20"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w:t>
            </w:r>
          </w:p>
        </w:tc>
        <w:tc>
          <w:tcPr>
            <w:tcW w:w="1020" w:type="dxa"/>
            <w:tcBorders>
              <w:top w:val="nil"/>
              <w:left w:val="nil"/>
              <w:bottom w:val="nil"/>
              <w:right w:val="nil"/>
            </w:tcBorders>
            <w:shd w:val="clear" w:color="auto" w:fill="auto"/>
            <w:vAlign w:val="bottom"/>
          </w:tcPr>
          <w:p w14:paraId="6EE953D2"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w:t>
            </w:r>
          </w:p>
        </w:tc>
        <w:tc>
          <w:tcPr>
            <w:tcW w:w="1660" w:type="dxa"/>
            <w:tcBorders>
              <w:top w:val="nil"/>
              <w:left w:val="nil"/>
              <w:bottom w:val="nil"/>
              <w:right w:val="nil"/>
            </w:tcBorders>
            <w:shd w:val="clear" w:color="auto" w:fill="auto"/>
            <w:vAlign w:val="bottom"/>
          </w:tcPr>
          <w:p w14:paraId="08419E26"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w:t>
            </w:r>
          </w:p>
        </w:tc>
      </w:tr>
      <w:tr w:rsidR="008F776F" w:rsidRPr="00FD4BBE" w14:paraId="069850F1" w14:textId="77777777" w:rsidTr="00DB6666">
        <w:trPr>
          <w:trHeight w:val="260"/>
        </w:trPr>
        <w:tc>
          <w:tcPr>
            <w:tcW w:w="3800" w:type="dxa"/>
            <w:tcBorders>
              <w:top w:val="nil"/>
              <w:left w:val="nil"/>
              <w:bottom w:val="nil"/>
              <w:right w:val="nil"/>
            </w:tcBorders>
            <w:shd w:val="clear" w:color="auto" w:fill="auto"/>
            <w:vAlign w:val="bottom"/>
            <w:hideMark/>
          </w:tcPr>
          <w:p w14:paraId="7B9BD311" w14:textId="77777777" w:rsidR="008F776F" w:rsidRPr="00FD4BBE" w:rsidRDefault="008F776F" w:rsidP="00DB6666">
            <w:pPr>
              <w:jc w:val="left"/>
              <w:rPr>
                <w:rFonts w:ascii="Arial Narrow" w:hAnsi="Arial Narrow" w:cs="Arial"/>
                <w:i/>
                <w:iCs/>
                <w:color w:val="000000"/>
                <w:sz w:val="18"/>
                <w:szCs w:val="18"/>
                <w:lang w:val="es-ES_tradnl"/>
              </w:rPr>
            </w:pPr>
          </w:p>
        </w:tc>
        <w:tc>
          <w:tcPr>
            <w:tcW w:w="1180" w:type="dxa"/>
            <w:tcBorders>
              <w:top w:val="nil"/>
              <w:left w:val="nil"/>
              <w:bottom w:val="nil"/>
              <w:right w:val="nil"/>
            </w:tcBorders>
            <w:shd w:val="clear" w:color="auto" w:fill="auto"/>
            <w:vAlign w:val="bottom"/>
            <w:hideMark/>
          </w:tcPr>
          <w:p w14:paraId="23FD21D9" w14:textId="77777777" w:rsidR="008F776F" w:rsidRPr="00FD4BBE" w:rsidRDefault="008F776F" w:rsidP="00DB6666">
            <w:pPr>
              <w:jc w:val="right"/>
              <w:rPr>
                <w:rFonts w:ascii="Arial Narrow" w:hAnsi="Arial Narrow"/>
                <w:sz w:val="18"/>
                <w:szCs w:val="18"/>
                <w:lang w:val="es-ES_tradnl"/>
              </w:rPr>
            </w:pPr>
          </w:p>
        </w:tc>
        <w:tc>
          <w:tcPr>
            <w:tcW w:w="1180" w:type="dxa"/>
            <w:tcBorders>
              <w:top w:val="nil"/>
              <w:left w:val="nil"/>
              <w:bottom w:val="nil"/>
              <w:right w:val="nil"/>
            </w:tcBorders>
            <w:shd w:val="clear" w:color="auto" w:fill="auto"/>
            <w:vAlign w:val="bottom"/>
            <w:hideMark/>
          </w:tcPr>
          <w:p w14:paraId="4108403F" w14:textId="77777777" w:rsidR="008F776F" w:rsidRPr="00FD4BBE" w:rsidRDefault="008F776F" w:rsidP="00DB6666">
            <w:pPr>
              <w:jc w:val="right"/>
              <w:rPr>
                <w:rFonts w:ascii="Arial Narrow" w:hAnsi="Arial Narrow"/>
                <w:sz w:val="18"/>
                <w:szCs w:val="18"/>
                <w:lang w:val="es-ES_tradnl"/>
              </w:rPr>
            </w:pPr>
          </w:p>
        </w:tc>
        <w:tc>
          <w:tcPr>
            <w:tcW w:w="720" w:type="dxa"/>
            <w:tcBorders>
              <w:top w:val="nil"/>
              <w:left w:val="nil"/>
              <w:bottom w:val="nil"/>
              <w:right w:val="nil"/>
            </w:tcBorders>
            <w:shd w:val="clear" w:color="auto" w:fill="auto"/>
            <w:vAlign w:val="bottom"/>
            <w:hideMark/>
          </w:tcPr>
          <w:p w14:paraId="7495967D" w14:textId="77777777" w:rsidR="008F776F" w:rsidRPr="00FD4BBE" w:rsidRDefault="008F776F" w:rsidP="00DB6666">
            <w:pPr>
              <w:jc w:val="right"/>
              <w:rPr>
                <w:rFonts w:ascii="Arial Narrow" w:hAnsi="Arial Narrow"/>
                <w:sz w:val="18"/>
                <w:szCs w:val="18"/>
                <w:lang w:val="es-ES_tradnl"/>
              </w:rPr>
            </w:pPr>
          </w:p>
        </w:tc>
        <w:tc>
          <w:tcPr>
            <w:tcW w:w="1020" w:type="dxa"/>
            <w:tcBorders>
              <w:top w:val="nil"/>
              <w:left w:val="nil"/>
              <w:bottom w:val="nil"/>
              <w:right w:val="nil"/>
            </w:tcBorders>
            <w:shd w:val="clear" w:color="auto" w:fill="auto"/>
            <w:vAlign w:val="bottom"/>
            <w:hideMark/>
          </w:tcPr>
          <w:p w14:paraId="29BB1EF1" w14:textId="77777777" w:rsidR="008F776F" w:rsidRPr="00FD4BBE" w:rsidRDefault="008F776F" w:rsidP="00DB6666">
            <w:pPr>
              <w:jc w:val="right"/>
              <w:rPr>
                <w:rFonts w:ascii="Arial Narrow" w:hAnsi="Arial Narrow"/>
                <w:sz w:val="18"/>
                <w:szCs w:val="18"/>
                <w:lang w:val="es-ES_tradnl"/>
              </w:rPr>
            </w:pPr>
          </w:p>
        </w:tc>
        <w:tc>
          <w:tcPr>
            <w:tcW w:w="1660" w:type="dxa"/>
            <w:tcBorders>
              <w:top w:val="nil"/>
              <w:left w:val="nil"/>
              <w:bottom w:val="nil"/>
              <w:right w:val="nil"/>
            </w:tcBorders>
            <w:shd w:val="clear" w:color="auto" w:fill="auto"/>
            <w:vAlign w:val="bottom"/>
            <w:hideMark/>
          </w:tcPr>
          <w:p w14:paraId="0A9EBBD3" w14:textId="77777777" w:rsidR="008F776F" w:rsidRPr="00FD4BBE" w:rsidRDefault="008F776F" w:rsidP="00DB6666">
            <w:pPr>
              <w:jc w:val="right"/>
              <w:rPr>
                <w:rFonts w:ascii="Arial Narrow" w:hAnsi="Arial Narrow"/>
                <w:sz w:val="18"/>
                <w:szCs w:val="18"/>
                <w:lang w:val="es-ES_tradnl"/>
              </w:rPr>
            </w:pPr>
          </w:p>
        </w:tc>
      </w:tr>
      <w:tr w:rsidR="008F776F" w:rsidRPr="00FD4BBE" w14:paraId="17F23AE4" w14:textId="77777777" w:rsidTr="00DB6666">
        <w:trPr>
          <w:trHeight w:val="330"/>
        </w:trPr>
        <w:tc>
          <w:tcPr>
            <w:tcW w:w="3800" w:type="dxa"/>
            <w:tcBorders>
              <w:top w:val="single" w:sz="4" w:space="0" w:color="AAB8C4"/>
              <w:left w:val="nil"/>
              <w:bottom w:val="single" w:sz="8" w:space="0" w:color="AAB8C4"/>
              <w:right w:val="nil"/>
            </w:tcBorders>
            <w:shd w:val="clear" w:color="auto" w:fill="auto"/>
            <w:vAlign w:val="bottom"/>
            <w:hideMark/>
          </w:tcPr>
          <w:p w14:paraId="1C65E560" w14:textId="77777777" w:rsidR="008F776F" w:rsidRPr="00FD4BBE" w:rsidRDefault="008F776F" w:rsidP="00DB6666">
            <w:pPr>
              <w:jc w:val="left"/>
              <w:rPr>
                <w:rFonts w:ascii="Arial Narrow" w:hAnsi="Arial Narrow" w:cs="Arial"/>
                <w:b/>
                <w:bCs/>
                <w:sz w:val="18"/>
                <w:szCs w:val="18"/>
                <w:lang w:val="es-ES_tradnl"/>
              </w:rPr>
            </w:pPr>
            <w:r w:rsidRPr="00FD4BBE">
              <w:rPr>
                <w:rFonts w:ascii="Arial Narrow" w:hAnsi="Arial Narrow" w:cs="Arial"/>
                <w:b/>
                <w:bCs/>
                <w:sz w:val="18"/>
                <w:szCs w:val="18"/>
                <w:lang w:val="es-ES_tradnl"/>
              </w:rPr>
              <w:t>3. Fondo de operaciones</w:t>
            </w:r>
          </w:p>
        </w:tc>
        <w:tc>
          <w:tcPr>
            <w:tcW w:w="1180" w:type="dxa"/>
            <w:tcBorders>
              <w:top w:val="single" w:sz="4" w:space="0" w:color="AAB8C4"/>
              <w:left w:val="nil"/>
              <w:bottom w:val="single" w:sz="8" w:space="0" w:color="AAB8C4"/>
              <w:right w:val="nil"/>
            </w:tcBorders>
            <w:shd w:val="clear" w:color="auto" w:fill="auto"/>
            <w:vAlign w:val="bottom"/>
            <w:hideMark/>
          </w:tcPr>
          <w:p w14:paraId="0C1D53B8"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575</w:t>
            </w:r>
          </w:p>
        </w:tc>
        <w:tc>
          <w:tcPr>
            <w:tcW w:w="1180" w:type="dxa"/>
            <w:tcBorders>
              <w:top w:val="single" w:sz="4" w:space="0" w:color="AAB8C4"/>
              <w:left w:val="nil"/>
              <w:bottom w:val="single" w:sz="8" w:space="0" w:color="AAB8C4"/>
              <w:right w:val="nil"/>
            </w:tcBorders>
            <w:shd w:val="clear" w:color="auto" w:fill="auto"/>
            <w:vAlign w:val="bottom"/>
            <w:hideMark/>
          </w:tcPr>
          <w:p w14:paraId="5C216407"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578</w:t>
            </w:r>
          </w:p>
        </w:tc>
        <w:tc>
          <w:tcPr>
            <w:tcW w:w="720" w:type="dxa"/>
            <w:tcBorders>
              <w:top w:val="single" w:sz="4" w:space="0" w:color="AAB8C4"/>
              <w:left w:val="nil"/>
              <w:bottom w:val="single" w:sz="8" w:space="0" w:color="AAB8C4"/>
              <w:right w:val="nil"/>
            </w:tcBorders>
            <w:shd w:val="clear" w:color="auto" w:fill="auto"/>
            <w:vAlign w:val="bottom"/>
            <w:hideMark/>
          </w:tcPr>
          <w:p w14:paraId="08074480"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5</w:t>
            </w:r>
          </w:p>
        </w:tc>
        <w:tc>
          <w:tcPr>
            <w:tcW w:w="1020" w:type="dxa"/>
            <w:tcBorders>
              <w:top w:val="single" w:sz="4" w:space="0" w:color="BFBFBF"/>
              <w:left w:val="nil"/>
              <w:bottom w:val="single" w:sz="8" w:space="0" w:color="BFBFBF"/>
              <w:right w:val="nil"/>
            </w:tcBorders>
            <w:shd w:val="clear" w:color="auto" w:fill="auto"/>
            <w:vAlign w:val="bottom"/>
            <w:hideMark/>
          </w:tcPr>
          <w:p w14:paraId="19DBA1D1" w14:textId="77777777" w:rsidR="008F776F" w:rsidRPr="00FD4BBE" w:rsidRDefault="008F776F" w:rsidP="00DB6666">
            <w:pPr>
              <w:jc w:val="right"/>
              <w:rPr>
                <w:rFonts w:ascii="Arial Narrow" w:hAnsi="Arial Narrow" w:cs="Arial"/>
                <w:b/>
                <w:bCs/>
                <w:sz w:val="18"/>
                <w:szCs w:val="18"/>
                <w:lang w:val="es-ES_tradnl"/>
              </w:rPr>
            </w:pPr>
            <w:r w:rsidRPr="00FD4BBE">
              <w:rPr>
                <w:rFonts w:ascii="Arial Narrow" w:hAnsi="Arial Narrow" w:cs="Arial"/>
                <w:b/>
                <w:bCs/>
                <w:sz w:val="18"/>
                <w:szCs w:val="18"/>
                <w:lang w:val="es-ES_tradnl"/>
              </w:rPr>
              <w:t>0,9%</w:t>
            </w:r>
          </w:p>
        </w:tc>
        <w:tc>
          <w:tcPr>
            <w:tcW w:w="1660" w:type="dxa"/>
            <w:tcBorders>
              <w:top w:val="single" w:sz="4" w:space="0" w:color="AAB8C4"/>
              <w:left w:val="nil"/>
              <w:bottom w:val="single" w:sz="8" w:space="0" w:color="AAB8C4"/>
              <w:right w:val="nil"/>
            </w:tcBorders>
            <w:shd w:val="clear" w:color="auto" w:fill="auto"/>
            <w:vAlign w:val="bottom"/>
            <w:hideMark/>
          </w:tcPr>
          <w:p w14:paraId="19DB9510" w14:textId="77777777" w:rsidR="008F776F" w:rsidRPr="00FD4BBE" w:rsidRDefault="008F776F" w:rsidP="00DB6666">
            <w:pPr>
              <w:jc w:val="right"/>
              <w:rPr>
                <w:rFonts w:ascii="Arial Narrow" w:hAnsi="Arial Narrow" w:cs="Arial"/>
                <w:b/>
                <w:bCs/>
                <w:sz w:val="18"/>
                <w:szCs w:val="18"/>
                <w:lang w:val="es-ES_tradnl"/>
              </w:rPr>
            </w:pPr>
            <w:r w:rsidRPr="00FD4BBE">
              <w:rPr>
                <w:rFonts w:ascii="Arial Narrow" w:hAnsi="Arial Narrow" w:cs="Arial"/>
                <w:b/>
                <w:bCs/>
                <w:sz w:val="18"/>
                <w:szCs w:val="18"/>
                <w:lang w:val="es-ES_tradnl"/>
              </w:rPr>
              <w:t>583</w:t>
            </w:r>
          </w:p>
        </w:tc>
      </w:tr>
    </w:tbl>
    <w:p w14:paraId="42C9F985" w14:textId="77777777" w:rsidR="008F776F" w:rsidRPr="008F776F" w:rsidRDefault="008F776F" w:rsidP="008F776F">
      <w:pPr>
        <w:rPr>
          <w:spacing w:val="-2"/>
          <w:szCs w:val="24"/>
          <w:lang w:val="es-ES_tradnl"/>
        </w:rPr>
      </w:pPr>
    </w:p>
    <w:p w14:paraId="59764219" w14:textId="77777777" w:rsidR="008F776F" w:rsidRPr="008F776F" w:rsidRDefault="008F776F" w:rsidP="008F776F">
      <w:pPr>
        <w:rPr>
          <w:spacing w:val="-2"/>
          <w:szCs w:val="24"/>
          <w:lang w:val="es-ES_tradnl"/>
        </w:rPr>
      </w:pPr>
    </w:p>
    <w:p w14:paraId="28D2B0AB" w14:textId="77777777" w:rsidR="008F776F" w:rsidRPr="008F776F" w:rsidRDefault="008F776F" w:rsidP="008F776F">
      <w:pPr>
        <w:rPr>
          <w:spacing w:val="-2"/>
          <w:szCs w:val="24"/>
          <w:lang w:val="es-ES_tradnl"/>
        </w:rPr>
      </w:pPr>
      <w:r w:rsidRPr="008F776F">
        <w:rPr>
          <w:spacing w:val="-2"/>
          <w:szCs w:val="24"/>
          <w:lang w:val="es-ES_tradnl"/>
        </w:rPr>
        <w:t xml:space="preserve">Con respecto al fondo de reserva, cabe recordar que en el artículo 4.6 del “Reglamento Financiero y Reglamentación Financiera de la UPOV” (documento UPOV/INF/4/6) se prevé lo siguiente: “[…] Si, tras el cierre del ejercicio económico, el importe del fondo de reserva supera el 15 por ciento de los ingresos totales del ejercicio económico, el Consejo decidirá sobre la utilización de los ingresos que excedan de los gastos del ejercicio económico”. Se efectuarán los preparativos necesarios a fin de que el Comité Consultivo y el Consejo consideren si es aplicable esa situación al cierre del ejercicio bienal 2024-2025. </w:t>
      </w:r>
    </w:p>
    <w:p w14:paraId="35D06611" w14:textId="77777777" w:rsidR="008F776F" w:rsidRPr="008F776F" w:rsidRDefault="008F776F" w:rsidP="008F776F">
      <w:pPr>
        <w:rPr>
          <w:spacing w:val="-2"/>
          <w:szCs w:val="24"/>
          <w:lang w:val="es-ES_tradnl"/>
        </w:rPr>
      </w:pPr>
    </w:p>
    <w:p w14:paraId="16E85AC4" w14:textId="77777777" w:rsidR="008F776F" w:rsidRPr="008F776F" w:rsidRDefault="008F776F" w:rsidP="008F776F">
      <w:pPr>
        <w:rPr>
          <w:spacing w:val="-2"/>
          <w:szCs w:val="24"/>
          <w:lang w:val="es-ES_tradnl"/>
        </w:rPr>
      </w:pPr>
    </w:p>
    <w:p w14:paraId="6AEEDAB5" w14:textId="77777777" w:rsidR="008F776F" w:rsidRPr="008F776F" w:rsidRDefault="008F776F" w:rsidP="008F776F">
      <w:pPr>
        <w:pStyle w:val="Heading3"/>
      </w:pPr>
      <w:bookmarkStart w:id="421" w:name="_Toc141978850"/>
      <w:r w:rsidRPr="008F776F">
        <w:t>Ingresos</w:t>
      </w:r>
      <w:bookmarkEnd w:id="421"/>
    </w:p>
    <w:p w14:paraId="684932DC" w14:textId="77777777" w:rsidR="008F776F" w:rsidRPr="008F776F" w:rsidRDefault="008F776F" w:rsidP="008F776F">
      <w:pPr>
        <w:rPr>
          <w:spacing w:val="-2"/>
          <w:szCs w:val="24"/>
          <w:lang w:val="es-ES_tradnl"/>
        </w:rPr>
      </w:pPr>
    </w:p>
    <w:p w14:paraId="5B310B58" w14:textId="77777777" w:rsidR="008F776F" w:rsidRPr="008F776F" w:rsidRDefault="008F776F" w:rsidP="008F776F">
      <w:pPr>
        <w:rPr>
          <w:lang w:val="es-ES_tradnl"/>
        </w:rPr>
      </w:pPr>
      <w:r w:rsidRPr="008F776F">
        <w:rPr>
          <w:lang w:val="es-ES_tradnl"/>
        </w:rPr>
        <w:t>Los ingresos previstos en el presupuesto ordinario para el bienio 2024-2025 se estiman en 7.901.307 francos suizos, es decir, 266.807 francos suizos (3,5%) más que los ingresos estimados para el bienio 2022-2023 (7.634.500 francos suizos) (véase el cuadro 2). La estimación de ingresos del bienio 2024-2025 se basa en 66,95 unidades de contribución en 2024 y 67,15 unidades de contribución en 2025, sin modificar el valor de la unidad de contribución, que se propone mantener en 53.641 francos suizos en el bienio 2024-2025.</w:t>
      </w:r>
    </w:p>
    <w:p w14:paraId="038D1E9E" w14:textId="77777777" w:rsidR="008F776F" w:rsidRPr="008F776F" w:rsidRDefault="008F776F" w:rsidP="008F776F">
      <w:pPr>
        <w:rPr>
          <w:lang w:val="es-ES_tradnl"/>
        </w:rPr>
      </w:pPr>
    </w:p>
    <w:p w14:paraId="57DC393C" w14:textId="77777777" w:rsidR="008F776F" w:rsidRPr="008F776F" w:rsidRDefault="008F776F" w:rsidP="008F776F">
      <w:pPr>
        <w:rPr>
          <w:lang w:val="es-ES_tradnl"/>
        </w:rPr>
      </w:pPr>
      <w:r w:rsidRPr="008F776F">
        <w:rPr>
          <w:lang w:val="es-ES_tradnl"/>
        </w:rPr>
        <w:t>Los ingresos obtenidos de las contribuciones se han calculado a partir del supuesto de que cada año haya un nuevo miembro de la Unión con una contribución de 0,2 unidades al presupuesto (y 1.667 francos suizos al fondo de operaciones). En su vigésima tercera sesión extraordinaria, celebrada el 7 de abril de 2006 en Ginebra, el Consejo decidió que “los miembros de la Unión no ajusten a la baja el número de unidades de contribución sin tener en cuenta las consecuencias que ello tendría para la UPOV y la forma en que dicha reducción tendría que ser compensada por otros miembros de la Unión. En particular, los miembros de la Unión no deben proceder a una reducción del número de sus unidades de contribución mientras esté vigente el ejercicio financiero aprobado por el Consejo, salvo en casos excepcionales e inevitables” (véase el Anexo III del documento C(</w:t>
      </w:r>
      <w:proofErr w:type="spellStart"/>
      <w:r w:rsidRPr="008F776F">
        <w:rPr>
          <w:lang w:val="es-ES_tradnl"/>
        </w:rPr>
        <w:t>Extr</w:t>
      </w:r>
      <w:proofErr w:type="spellEnd"/>
      <w:r w:rsidRPr="008F776F">
        <w:rPr>
          <w:lang w:val="es-ES_tradnl"/>
        </w:rPr>
        <w:t>.)/23/5). En vista de ello, no se prevén reducciones en el número de unidades de contribución de los miembros de la Unión en el bienio 2024-2025.</w:t>
      </w:r>
    </w:p>
    <w:p w14:paraId="368CA896" w14:textId="77777777" w:rsidR="008F776F" w:rsidRPr="008F776F" w:rsidRDefault="008F776F" w:rsidP="008F776F">
      <w:pPr>
        <w:rPr>
          <w:lang w:val="es-ES_tradnl"/>
        </w:rPr>
      </w:pPr>
    </w:p>
    <w:p w14:paraId="4D2C4AA6" w14:textId="77777777" w:rsidR="008F776F" w:rsidRPr="008F776F" w:rsidRDefault="008F776F" w:rsidP="008F776F">
      <w:pPr>
        <w:tabs>
          <w:tab w:val="left" w:pos="567"/>
        </w:tabs>
        <w:rPr>
          <w:lang w:val="es-ES_tradnl"/>
        </w:rPr>
      </w:pPr>
      <w:r w:rsidRPr="008F776F">
        <w:rPr>
          <w:lang w:val="es-ES_tradnl"/>
        </w:rPr>
        <w:t>Además de las contribuciones de los miembros de la Unión, se prevén ingresos en concepto de tasas por uso de las herramientas y los servicios informáticos de la UPOV (508.425 francos suizos) e ingresos diversos</w:t>
      </w:r>
      <w:r w:rsidR="00FD4BBE">
        <w:rPr>
          <w:lang w:val="es-ES_tradnl"/>
        </w:rPr>
        <w:t>. Los ingresos diversos se estiman en</w:t>
      </w:r>
      <w:r w:rsidRPr="008F776F">
        <w:rPr>
          <w:lang w:val="es-ES_tradnl"/>
        </w:rPr>
        <w:t xml:space="preserve"> 199.646 francos suizos, entre ellos: i) costo de administración de los fondos fiduciarios (119.646 francos suizos); y </w:t>
      </w:r>
      <w:proofErr w:type="spellStart"/>
      <w:r w:rsidRPr="008F776F">
        <w:rPr>
          <w:lang w:val="es-ES_tradnl"/>
        </w:rPr>
        <w:t>ii</w:t>
      </w:r>
      <w:proofErr w:type="spellEnd"/>
      <w:r w:rsidRPr="008F776F">
        <w:rPr>
          <w:lang w:val="es-ES_tradnl"/>
        </w:rPr>
        <w:t>) tasas obtenidas del programa de enseñan</w:t>
      </w:r>
      <w:r w:rsidR="00FD4BBE">
        <w:rPr>
          <w:lang w:val="es-ES_tradnl"/>
        </w:rPr>
        <w:t>za a distancia (80.000 </w:t>
      </w:r>
      <w:r w:rsidRPr="008F776F">
        <w:rPr>
          <w:lang w:val="es-ES_tradnl"/>
        </w:rPr>
        <w:t>francos suizos). Las fuentes de ingresos distintas de las contribuciones representan el 9</w:t>
      </w:r>
      <w:r w:rsidR="00FD4BBE">
        <w:rPr>
          <w:lang w:val="es-ES_tradnl"/>
        </w:rPr>
        <w:t> </w:t>
      </w:r>
      <w:r w:rsidRPr="008F776F">
        <w:rPr>
          <w:spacing w:val="-2"/>
          <w:szCs w:val="24"/>
          <w:lang w:val="es-ES_tradnl"/>
        </w:rPr>
        <w:t>%</w:t>
      </w:r>
      <w:r w:rsidRPr="008F776F">
        <w:rPr>
          <w:lang w:val="es-ES_tradnl"/>
        </w:rPr>
        <w:t xml:space="preserve"> de los ingresos estimados para </w:t>
      </w:r>
      <w:r w:rsidRPr="008F776F">
        <w:rPr>
          <w:snapToGrid w:val="0"/>
          <w:lang w:val="es-ES_tradnl"/>
        </w:rPr>
        <w:t>2024</w:t>
      </w:r>
      <w:r w:rsidRPr="008F776F">
        <w:rPr>
          <w:snapToGrid w:val="0"/>
          <w:lang w:val="es-ES_tradnl"/>
        </w:rPr>
        <w:noBreakHyphen/>
        <w:t>2025</w:t>
      </w:r>
      <w:r w:rsidRPr="008F776F">
        <w:rPr>
          <w:lang w:val="es-ES_tradnl"/>
        </w:rPr>
        <w:t xml:space="preserve">. </w:t>
      </w:r>
    </w:p>
    <w:p w14:paraId="37389913" w14:textId="77777777" w:rsidR="008F776F" w:rsidRPr="008F776F" w:rsidRDefault="008F776F" w:rsidP="008F776F">
      <w:pPr>
        <w:rPr>
          <w:spacing w:val="-2"/>
          <w:szCs w:val="24"/>
          <w:lang w:val="es-ES_tradnl"/>
        </w:rPr>
      </w:pPr>
    </w:p>
    <w:p w14:paraId="11552E6B" w14:textId="77777777" w:rsidR="008F776F" w:rsidRPr="008F776F" w:rsidRDefault="008F776F" w:rsidP="008F776F">
      <w:pPr>
        <w:rPr>
          <w:spacing w:val="-2"/>
          <w:szCs w:val="24"/>
          <w:lang w:val="es-ES_tradnl"/>
        </w:rPr>
      </w:pPr>
    </w:p>
    <w:p w14:paraId="0BE28169" w14:textId="77777777" w:rsidR="008F776F" w:rsidRPr="008F776F" w:rsidRDefault="008F776F" w:rsidP="008F776F">
      <w:pPr>
        <w:keepNext/>
        <w:jc w:val="center"/>
        <w:rPr>
          <w:rFonts w:cs="Arial"/>
          <w:i/>
          <w:iCs/>
          <w:lang w:val="es-ES_tradnl"/>
        </w:rPr>
      </w:pPr>
      <w:r w:rsidRPr="008F776F">
        <w:rPr>
          <w:rFonts w:cs="Arial"/>
          <w:b/>
          <w:bCs/>
          <w:color w:val="26724C" w:themeColor="accent1" w:themeShade="BF"/>
          <w:lang w:val="es-ES_tradnl"/>
        </w:rPr>
        <w:lastRenderedPageBreak/>
        <w:t>Cuadro 2: Ingresos correspondientes a los bienios 2022</w:t>
      </w:r>
      <w:r w:rsidRPr="008F776F">
        <w:rPr>
          <w:rFonts w:cs="Arial"/>
          <w:b/>
          <w:bCs/>
          <w:color w:val="26724C" w:themeColor="accent1" w:themeShade="BF"/>
          <w:lang w:val="es-ES_tradnl"/>
        </w:rPr>
        <w:noBreakHyphen/>
        <w:t>2023 y 2024</w:t>
      </w:r>
      <w:r w:rsidRPr="008F776F">
        <w:rPr>
          <w:rFonts w:cs="Arial"/>
          <w:b/>
          <w:bCs/>
          <w:color w:val="26724C" w:themeColor="accent1" w:themeShade="BF"/>
          <w:lang w:val="es-ES_tradnl"/>
        </w:rPr>
        <w:noBreakHyphen/>
        <w:t>2025</w:t>
      </w:r>
      <w:r w:rsidRPr="008F776F" w:rsidDel="00DB24D8">
        <w:rPr>
          <w:rFonts w:cs="Arial"/>
          <w:b/>
          <w:bCs/>
          <w:color w:val="26724C" w:themeColor="accent1" w:themeShade="BF"/>
          <w:lang w:val="es-ES_tradnl"/>
        </w:rPr>
        <w:t xml:space="preserve"> </w:t>
      </w:r>
      <w:r w:rsidRPr="008F776F">
        <w:rPr>
          <w:rFonts w:cs="Arial"/>
          <w:b/>
          <w:bCs/>
          <w:lang w:val="es-ES_tradnl"/>
        </w:rPr>
        <w:br/>
      </w:r>
      <w:r w:rsidRPr="008F776F">
        <w:rPr>
          <w:rFonts w:cs="Arial"/>
          <w:i/>
          <w:iCs/>
          <w:sz w:val="18"/>
          <w:szCs w:val="18"/>
          <w:lang w:val="es-ES_tradnl"/>
        </w:rPr>
        <w:t>(en miles de francos suizos)</w:t>
      </w:r>
    </w:p>
    <w:p w14:paraId="0B8B5803" w14:textId="77777777" w:rsidR="008F776F" w:rsidRPr="008F776F" w:rsidRDefault="008F776F" w:rsidP="008F776F">
      <w:pPr>
        <w:keepNext/>
        <w:rPr>
          <w:rFonts w:cs="Arial"/>
          <w:i/>
          <w:iCs/>
          <w:lang w:val="es-ES_tradnl"/>
        </w:rPr>
      </w:pPr>
    </w:p>
    <w:tbl>
      <w:tblPr>
        <w:tblW w:w="9587" w:type="dxa"/>
        <w:tblLook w:val="04A0" w:firstRow="1" w:lastRow="0" w:firstColumn="1" w:lastColumn="0" w:noHBand="0" w:noVBand="1"/>
      </w:tblPr>
      <w:tblGrid>
        <w:gridCol w:w="3402"/>
        <w:gridCol w:w="1276"/>
        <w:gridCol w:w="1418"/>
        <w:gridCol w:w="1134"/>
        <w:gridCol w:w="1114"/>
        <w:gridCol w:w="1243"/>
      </w:tblGrid>
      <w:tr w:rsidR="008F776F" w:rsidRPr="00FD4BBE" w14:paraId="03316538" w14:textId="77777777" w:rsidTr="00DB6666">
        <w:trPr>
          <w:trHeight w:val="317"/>
        </w:trPr>
        <w:tc>
          <w:tcPr>
            <w:tcW w:w="3402" w:type="dxa"/>
            <w:tcBorders>
              <w:top w:val="nil"/>
              <w:left w:val="nil"/>
              <w:bottom w:val="nil"/>
              <w:right w:val="nil"/>
            </w:tcBorders>
            <w:shd w:val="clear" w:color="000000" w:fill="C7CFD8"/>
            <w:hideMark/>
          </w:tcPr>
          <w:p w14:paraId="7BBC2DC6" w14:textId="77777777" w:rsidR="008F776F" w:rsidRPr="00FD4BBE" w:rsidRDefault="008F776F" w:rsidP="00DB6666">
            <w:pPr>
              <w:ind w:firstLineChars="100" w:firstLine="181"/>
              <w:jc w:val="left"/>
              <w:rPr>
                <w:rFonts w:ascii="Arial Narrow" w:hAnsi="Arial Narrow" w:cs="Arial"/>
                <w:b/>
                <w:bCs/>
                <w:i/>
                <w:iCs/>
                <w:sz w:val="18"/>
                <w:szCs w:val="18"/>
                <w:lang w:val="es-ES_tradnl"/>
              </w:rPr>
            </w:pPr>
          </w:p>
        </w:tc>
        <w:tc>
          <w:tcPr>
            <w:tcW w:w="1276" w:type="dxa"/>
            <w:tcBorders>
              <w:top w:val="nil"/>
              <w:left w:val="nil"/>
              <w:bottom w:val="nil"/>
              <w:right w:val="nil"/>
            </w:tcBorders>
            <w:shd w:val="clear" w:color="000000" w:fill="C7CFD8"/>
            <w:vAlign w:val="center"/>
            <w:hideMark/>
          </w:tcPr>
          <w:p w14:paraId="7D34F817"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2020-2021</w:t>
            </w:r>
          </w:p>
        </w:tc>
        <w:tc>
          <w:tcPr>
            <w:tcW w:w="1418" w:type="dxa"/>
            <w:tcBorders>
              <w:top w:val="nil"/>
              <w:left w:val="nil"/>
              <w:bottom w:val="nil"/>
              <w:right w:val="nil"/>
            </w:tcBorders>
            <w:shd w:val="clear" w:color="000000" w:fill="C7CFD8"/>
            <w:vAlign w:val="center"/>
            <w:hideMark/>
          </w:tcPr>
          <w:p w14:paraId="741E9199"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 xml:space="preserve">2022-2023 </w:t>
            </w:r>
          </w:p>
        </w:tc>
        <w:tc>
          <w:tcPr>
            <w:tcW w:w="2248" w:type="dxa"/>
            <w:gridSpan w:val="2"/>
            <w:vMerge w:val="restart"/>
            <w:tcBorders>
              <w:top w:val="nil"/>
              <w:left w:val="nil"/>
              <w:bottom w:val="single" w:sz="4" w:space="0" w:color="748B9E"/>
              <w:right w:val="nil"/>
            </w:tcBorders>
            <w:shd w:val="clear" w:color="000000" w:fill="C7CFD8"/>
            <w:vAlign w:val="center"/>
            <w:hideMark/>
          </w:tcPr>
          <w:p w14:paraId="53C4958A"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Variación</w:t>
            </w:r>
          </w:p>
        </w:tc>
        <w:tc>
          <w:tcPr>
            <w:tcW w:w="1243" w:type="dxa"/>
            <w:tcBorders>
              <w:top w:val="nil"/>
              <w:left w:val="nil"/>
              <w:bottom w:val="nil"/>
              <w:right w:val="nil"/>
            </w:tcBorders>
            <w:shd w:val="clear" w:color="000000" w:fill="C7CFD8"/>
            <w:vAlign w:val="center"/>
            <w:hideMark/>
          </w:tcPr>
          <w:p w14:paraId="37A9ABD2"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2024-2025</w:t>
            </w:r>
          </w:p>
        </w:tc>
      </w:tr>
      <w:tr w:rsidR="008F776F" w:rsidRPr="00FD4BBE" w14:paraId="3C57BA29" w14:textId="77777777" w:rsidTr="00DB6666">
        <w:trPr>
          <w:trHeight w:val="272"/>
        </w:trPr>
        <w:tc>
          <w:tcPr>
            <w:tcW w:w="3402" w:type="dxa"/>
            <w:tcBorders>
              <w:top w:val="nil"/>
              <w:left w:val="nil"/>
              <w:bottom w:val="nil"/>
              <w:right w:val="nil"/>
            </w:tcBorders>
            <w:shd w:val="clear" w:color="000000" w:fill="C7CFD8"/>
            <w:hideMark/>
          </w:tcPr>
          <w:p w14:paraId="1904C53A" w14:textId="77777777" w:rsidR="008F776F" w:rsidRPr="00FD4BBE" w:rsidRDefault="008F776F" w:rsidP="00DB6666">
            <w:pPr>
              <w:ind w:firstLineChars="100" w:firstLine="181"/>
              <w:jc w:val="left"/>
              <w:rPr>
                <w:rFonts w:ascii="Arial Narrow" w:hAnsi="Arial Narrow" w:cs="Arial"/>
                <w:b/>
                <w:bCs/>
                <w:sz w:val="18"/>
                <w:szCs w:val="18"/>
                <w:lang w:val="es-ES_tradnl"/>
              </w:rPr>
            </w:pPr>
            <w:r w:rsidRPr="00FD4BBE">
              <w:rPr>
                <w:rFonts w:ascii="Arial Narrow" w:hAnsi="Arial Narrow" w:cs="Arial"/>
                <w:b/>
                <w:bCs/>
                <w:sz w:val="18"/>
                <w:szCs w:val="18"/>
                <w:lang w:val="es-ES_tradnl"/>
              </w:rPr>
              <w:t>Fuente</w:t>
            </w:r>
          </w:p>
        </w:tc>
        <w:tc>
          <w:tcPr>
            <w:tcW w:w="1276" w:type="dxa"/>
            <w:tcBorders>
              <w:top w:val="nil"/>
              <w:left w:val="nil"/>
              <w:bottom w:val="nil"/>
              <w:right w:val="nil"/>
            </w:tcBorders>
            <w:shd w:val="clear" w:color="000000" w:fill="C7CFD8"/>
            <w:vAlign w:val="center"/>
            <w:hideMark/>
          </w:tcPr>
          <w:p w14:paraId="670EF82B"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Real</w:t>
            </w:r>
            <w:r w:rsidRPr="00FD4BBE">
              <w:rPr>
                <w:rFonts w:ascii="Arial Narrow" w:hAnsi="Arial Narrow" w:cs="Arial"/>
                <w:b/>
                <w:bCs/>
                <w:i/>
                <w:iCs/>
                <w:color w:val="000000"/>
                <w:sz w:val="18"/>
                <w:szCs w:val="18"/>
                <w:vertAlign w:val="superscript"/>
                <w:lang w:val="es-ES_tradnl"/>
              </w:rPr>
              <w:t>1</w:t>
            </w:r>
          </w:p>
        </w:tc>
        <w:tc>
          <w:tcPr>
            <w:tcW w:w="1418" w:type="dxa"/>
            <w:tcBorders>
              <w:top w:val="nil"/>
              <w:left w:val="nil"/>
              <w:bottom w:val="nil"/>
              <w:right w:val="nil"/>
            </w:tcBorders>
            <w:shd w:val="clear" w:color="000000" w:fill="C7CFD8"/>
            <w:vAlign w:val="center"/>
            <w:hideMark/>
          </w:tcPr>
          <w:p w14:paraId="44538002"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Aprobado</w:t>
            </w:r>
          </w:p>
        </w:tc>
        <w:tc>
          <w:tcPr>
            <w:tcW w:w="2248" w:type="dxa"/>
            <w:gridSpan w:val="2"/>
            <w:vMerge/>
            <w:tcBorders>
              <w:top w:val="nil"/>
              <w:left w:val="nil"/>
              <w:bottom w:val="nil"/>
              <w:right w:val="nil"/>
            </w:tcBorders>
            <w:vAlign w:val="center"/>
            <w:hideMark/>
          </w:tcPr>
          <w:p w14:paraId="5262A644" w14:textId="77777777" w:rsidR="008F776F" w:rsidRPr="00FD4BBE" w:rsidRDefault="008F776F" w:rsidP="00DB6666">
            <w:pPr>
              <w:jc w:val="left"/>
              <w:rPr>
                <w:rFonts w:ascii="Arial Narrow" w:hAnsi="Arial Narrow" w:cs="Arial"/>
                <w:b/>
                <w:bCs/>
                <w:sz w:val="18"/>
                <w:szCs w:val="18"/>
                <w:lang w:val="es-ES_tradnl"/>
              </w:rPr>
            </w:pPr>
          </w:p>
        </w:tc>
        <w:tc>
          <w:tcPr>
            <w:tcW w:w="1243" w:type="dxa"/>
            <w:tcBorders>
              <w:top w:val="nil"/>
              <w:left w:val="nil"/>
              <w:bottom w:val="nil"/>
              <w:right w:val="nil"/>
            </w:tcBorders>
            <w:shd w:val="clear" w:color="000000" w:fill="C7CFD8"/>
            <w:vAlign w:val="center"/>
            <w:hideMark/>
          </w:tcPr>
          <w:p w14:paraId="2D915ADE"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 xml:space="preserve">Propuesto </w:t>
            </w:r>
          </w:p>
        </w:tc>
      </w:tr>
      <w:tr w:rsidR="008F776F" w:rsidRPr="00FD4BBE" w14:paraId="3801F977" w14:textId="77777777" w:rsidTr="00DB6666">
        <w:trPr>
          <w:trHeight w:val="287"/>
        </w:trPr>
        <w:tc>
          <w:tcPr>
            <w:tcW w:w="3402" w:type="dxa"/>
            <w:tcBorders>
              <w:top w:val="nil"/>
              <w:left w:val="nil"/>
              <w:bottom w:val="nil"/>
              <w:right w:val="nil"/>
            </w:tcBorders>
            <w:shd w:val="clear" w:color="000000" w:fill="C7CFD8"/>
            <w:vAlign w:val="bottom"/>
            <w:hideMark/>
          </w:tcPr>
          <w:p w14:paraId="0C8D83A0" w14:textId="77777777" w:rsidR="008F776F" w:rsidRPr="00FD4BBE" w:rsidRDefault="008F776F" w:rsidP="00DB6666">
            <w:pPr>
              <w:ind w:firstLineChars="100" w:firstLine="181"/>
              <w:jc w:val="left"/>
              <w:rPr>
                <w:rFonts w:ascii="Arial Narrow" w:hAnsi="Arial Narrow" w:cs="Arial"/>
                <w:b/>
                <w:bCs/>
                <w:i/>
                <w:iCs/>
                <w:sz w:val="18"/>
                <w:szCs w:val="18"/>
                <w:lang w:val="es-ES_tradnl"/>
              </w:rPr>
            </w:pPr>
          </w:p>
        </w:tc>
        <w:tc>
          <w:tcPr>
            <w:tcW w:w="1276" w:type="dxa"/>
            <w:tcBorders>
              <w:top w:val="nil"/>
              <w:left w:val="nil"/>
              <w:bottom w:val="nil"/>
              <w:right w:val="nil"/>
            </w:tcBorders>
            <w:shd w:val="clear" w:color="000000" w:fill="C7CFD8"/>
            <w:vAlign w:val="center"/>
            <w:hideMark/>
          </w:tcPr>
          <w:p w14:paraId="2BFF449A"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A</w:t>
            </w:r>
          </w:p>
        </w:tc>
        <w:tc>
          <w:tcPr>
            <w:tcW w:w="1418" w:type="dxa"/>
            <w:tcBorders>
              <w:top w:val="nil"/>
              <w:left w:val="nil"/>
              <w:bottom w:val="nil"/>
              <w:right w:val="nil"/>
            </w:tcBorders>
            <w:shd w:val="clear" w:color="000000" w:fill="C7CFD8"/>
            <w:noWrap/>
            <w:vAlign w:val="center"/>
            <w:hideMark/>
          </w:tcPr>
          <w:p w14:paraId="7AF7999D"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B</w:t>
            </w:r>
          </w:p>
        </w:tc>
        <w:tc>
          <w:tcPr>
            <w:tcW w:w="1134" w:type="dxa"/>
            <w:tcBorders>
              <w:top w:val="nil"/>
              <w:left w:val="nil"/>
              <w:bottom w:val="nil"/>
              <w:right w:val="nil"/>
            </w:tcBorders>
            <w:shd w:val="clear" w:color="000000" w:fill="C7CFD8"/>
            <w:vAlign w:val="center"/>
            <w:hideMark/>
          </w:tcPr>
          <w:p w14:paraId="07CD1BCB"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C</w:t>
            </w:r>
          </w:p>
        </w:tc>
        <w:tc>
          <w:tcPr>
            <w:tcW w:w="1114" w:type="dxa"/>
            <w:tcBorders>
              <w:top w:val="nil"/>
              <w:left w:val="nil"/>
              <w:bottom w:val="nil"/>
              <w:right w:val="nil"/>
            </w:tcBorders>
            <w:shd w:val="clear" w:color="000000" w:fill="C7CFD8"/>
            <w:vAlign w:val="center"/>
            <w:hideMark/>
          </w:tcPr>
          <w:p w14:paraId="62AFE2AE"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C/B(%)</w:t>
            </w:r>
          </w:p>
        </w:tc>
        <w:tc>
          <w:tcPr>
            <w:tcW w:w="1243" w:type="dxa"/>
            <w:tcBorders>
              <w:top w:val="nil"/>
              <w:left w:val="nil"/>
              <w:bottom w:val="nil"/>
              <w:right w:val="nil"/>
            </w:tcBorders>
            <w:shd w:val="clear" w:color="000000" w:fill="C7CFD8"/>
            <w:noWrap/>
            <w:vAlign w:val="center"/>
            <w:hideMark/>
          </w:tcPr>
          <w:p w14:paraId="1098264C"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 xml:space="preserve">D=B+C </w:t>
            </w:r>
          </w:p>
        </w:tc>
      </w:tr>
      <w:tr w:rsidR="008F776F" w:rsidRPr="00FD4BBE" w14:paraId="59717D4B" w14:textId="77777777" w:rsidTr="00DB6666">
        <w:trPr>
          <w:trHeight w:val="362"/>
        </w:trPr>
        <w:tc>
          <w:tcPr>
            <w:tcW w:w="3402" w:type="dxa"/>
            <w:tcBorders>
              <w:top w:val="nil"/>
              <w:left w:val="nil"/>
              <w:bottom w:val="nil"/>
              <w:right w:val="nil"/>
            </w:tcBorders>
            <w:shd w:val="clear" w:color="auto" w:fill="auto"/>
            <w:vAlign w:val="bottom"/>
            <w:hideMark/>
          </w:tcPr>
          <w:p w14:paraId="3ECC2B7D" w14:textId="77777777" w:rsidR="008F776F" w:rsidRPr="00FD4BBE" w:rsidRDefault="008F776F" w:rsidP="00DB6666">
            <w:pPr>
              <w:jc w:val="lef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Contribuciones</w:t>
            </w:r>
          </w:p>
        </w:tc>
        <w:tc>
          <w:tcPr>
            <w:tcW w:w="1276" w:type="dxa"/>
            <w:tcBorders>
              <w:top w:val="nil"/>
              <w:left w:val="nil"/>
              <w:bottom w:val="nil"/>
              <w:right w:val="nil"/>
            </w:tcBorders>
            <w:shd w:val="clear" w:color="auto" w:fill="auto"/>
            <w:vAlign w:val="bottom"/>
            <w:hideMark/>
          </w:tcPr>
          <w:p w14:paraId="39AD2B69"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7.097</w:t>
            </w:r>
          </w:p>
        </w:tc>
        <w:tc>
          <w:tcPr>
            <w:tcW w:w="1418" w:type="dxa"/>
            <w:tcBorders>
              <w:top w:val="nil"/>
              <w:left w:val="nil"/>
              <w:bottom w:val="nil"/>
              <w:right w:val="nil"/>
            </w:tcBorders>
            <w:shd w:val="clear" w:color="auto" w:fill="auto"/>
            <w:vAlign w:val="bottom"/>
            <w:hideMark/>
          </w:tcPr>
          <w:p w14:paraId="43671C2F"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7.129</w:t>
            </w:r>
          </w:p>
        </w:tc>
        <w:tc>
          <w:tcPr>
            <w:tcW w:w="1134" w:type="dxa"/>
            <w:tcBorders>
              <w:top w:val="nil"/>
              <w:left w:val="nil"/>
              <w:bottom w:val="nil"/>
              <w:right w:val="nil"/>
            </w:tcBorders>
            <w:shd w:val="clear" w:color="auto" w:fill="auto"/>
            <w:vAlign w:val="bottom"/>
            <w:hideMark/>
          </w:tcPr>
          <w:p w14:paraId="65B10406"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64</w:t>
            </w:r>
          </w:p>
        </w:tc>
        <w:tc>
          <w:tcPr>
            <w:tcW w:w="1114" w:type="dxa"/>
            <w:tcBorders>
              <w:top w:val="nil"/>
              <w:left w:val="nil"/>
              <w:bottom w:val="nil"/>
              <w:right w:val="nil"/>
            </w:tcBorders>
            <w:shd w:val="clear" w:color="auto" w:fill="auto"/>
            <w:vAlign w:val="bottom"/>
            <w:hideMark/>
          </w:tcPr>
          <w:p w14:paraId="52F448EC"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0,9%</w:t>
            </w:r>
          </w:p>
        </w:tc>
        <w:tc>
          <w:tcPr>
            <w:tcW w:w="1243" w:type="dxa"/>
            <w:tcBorders>
              <w:top w:val="nil"/>
              <w:left w:val="nil"/>
              <w:bottom w:val="nil"/>
              <w:right w:val="nil"/>
            </w:tcBorders>
            <w:shd w:val="clear" w:color="auto" w:fill="auto"/>
            <w:vAlign w:val="bottom"/>
            <w:hideMark/>
          </w:tcPr>
          <w:p w14:paraId="009E7169"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7.193</w:t>
            </w:r>
          </w:p>
        </w:tc>
      </w:tr>
      <w:tr w:rsidR="008F776F" w:rsidRPr="00FD4BBE" w14:paraId="6B805FCF" w14:textId="77777777" w:rsidTr="00FD4BBE">
        <w:trPr>
          <w:trHeight w:val="545"/>
        </w:trPr>
        <w:tc>
          <w:tcPr>
            <w:tcW w:w="3402" w:type="dxa"/>
            <w:tcBorders>
              <w:top w:val="nil"/>
              <w:left w:val="nil"/>
              <w:bottom w:val="nil"/>
              <w:right w:val="nil"/>
            </w:tcBorders>
            <w:shd w:val="clear" w:color="auto" w:fill="auto"/>
            <w:vAlign w:val="bottom"/>
            <w:hideMark/>
          </w:tcPr>
          <w:p w14:paraId="71E09045" w14:textId="77777777" w:rsidR="008F776F" w:rsidRPr="00FD4BBE" w:rsidRDefault="008F776F" w:rsidP="00DB6666">
            <w:pPr>
              <w:jc w:val="lef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Tasas por uso de las herramientas y servicios informáticos de la UPOV</w:t>
            </w:r>
          </w:p>
        </w:tc>
        <w:tc>
          <w:tcPr>
            <w:tcW w:w="1276" w:type="dxa"/>
            <w:tcBorders>
              <w:top w:val="nil"/>
              <w:left w:val="nil"/>
              <w:bottom w:val="nil"/>
              <w:right w:val="nil"/>
            </w:tcBorders>
            <w:shd w:val="clear" w:color="auto" w:fill="auto"/>
            <w:vAlign w:val="bottom"/>
            <w:hideMark/>
          </w:tcPr>
          <w:p w14:paraId="4F0B8D31"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209</w:t>
            </w:r>
          </w:p>
        </w:tc>
        <w:tc>
          <w:tcPr>
            <w:tcW w:w="1418" w:type="dxa"/>
            <w:tcBorders>
              <w:top w:val="nil"/>
              <w:left w:val="nil"/>
              <w:bottom w:val="nil"/>
              <w:right w:val="nil"/>
            </w:tcBorders>
            <w:shd w:val="clear" w:color="auto" w:fill="auto"/>
            <w:vAlign w:val="bottom"/>
            <w:hideMark/>
          </w:tcPr>
          <w:p w14:paraId="093480D2"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331</w:t>
            </w:r>
          </w:p>
        </w:tc>
        <w:tc>
          <w:tcPr>
            <w:tcW w:w="1134" w:type="dxa"/>
            <w:tcBorders>
              <w:top w:val="nil"/>
              <w:left w:val="nil"/>
              <w:bottom w:val="nil"/>
              <w:right w:val="nil"/>
            </w:tcBorders>
            <w:shd w:val="clear" w:color="auto" w:fill="auto"/>
            <w:vAlign w:val="bottom"/>
            <w:hideMark/>
          </w:tcPr>
          <w:p w14:paraId="3E3EC0F8"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177</w:t>
            </w:r>
          </w:p>
        </w:tc>
        <w:tc>
          <w:tcPr>
            <w:tcW w:w="1114" w:type="dxa"/>
            <w:tcBorders>
              <w:top w:val="nil"/>
              <w:left w:val="nil"/>
              <w:bottom w:val="nil"/>
              <w:right w:val="nil"/>
            </w:tcBorders>
            <w:shd w:val="clear" w:color="auto" w:fill="auto"/>
            <w:vAlign w:val="bottom"/>
            <w:hideMark/>
          </w:tcPr>
          <w:p w14:paraId="087DCB48"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53,5%</w:t>
            </w:r>
          </w:p>
        </w:tc>
        <w:tc>
          <w:tcPr>
            <w:tcW w:w="1243" w:type="dxa"/>
            <w:tcBorders>
              <w:top w:val="nil"/>
              <w:left w:val="nil"/>
              <w:bottom w:val="nil"/>
              <w:right w:val="nil"/>
            </w:tcBorders>
            <w:shd w:val="clear" w:color="auto" w:fill="auto"/>
            <w:vAlign w:val="bottom"/>
            <w:hideMark/>
          </w:tcPr>
          <w:p w14:paraId="5CEC2CD2"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508</w:t>
            </w:r>
          </w:p>
        </w:tc>
      </w:tr>
      <w:tr w:rsidR="008F776F" w:rsidRPr="00FD4BBE" w14:paraId="6052B4C7" w14:textId="77777777" w:rsidTr="00DB6666">
        <w:trPr>
          <w:trHeight w:val="347"/>
        </w:trPr>
        <w:tc>
          <w:tcPr>
            <w:tcW w:w="3402" w:type="dxa"/>
            <w:tcBorders>
              <w:top w:val="nil"/>
              <w:left w:val="nil"/>
              <w:bottom w:val="nil"/>
              <w:right w:val="nil"/>
            </w:tcBorders>
            <w:shd w:val="clear" w:color="auto" w:fill="auto"/>
            <w:vAlign w:val="bottom"/>
            <w:hideMark/>
          </w:tcPr>
          <w:p w14:paraId="36E87B24" w14:textId="77777777" w:rsidR="008F776F" w:rsidRPr="00FD4BBE" w:rsidRDefault="008F776F" w:rsidP="00DB6666">
            <w:pPr>
              <w:jc w:val="lef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Ingresos diversos</w:t>
            </w:r>
          </w:p>
        </w:tc>
        <w:tc>
          <w:tcPr>
            <w:tcW w:w="1276" w:type="dxa"/>
            <w:tcBorders>
              <w:top w:val="nil"/>
              <w:left w:val="nil"/>
              <w:bottom w:val="nil"/>
              <w:right w:val="nil"/>
            </w:tcBorders>
            <w:shd w:val="clear" w:color="auto" w:fill="auto"/>
            <w:vAlign w:val="bottom"/>
            <w:hideMark/>
          </w:tcPr>
          <w:p w14:paraId="0FC8E022"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99</w:t>
            </w:r>
          </w:p>
        </w:tc>
        <w:tc>
          <w:tcPr>
            <w:tcW w:w="1418" w:type="dxa"/>
            <w:tcBorders>
              <w:top w:val="nil"/>
              <w:left w:val="nil"/>
              <w:bottom w:val="nil"/>
              <w:right w:val="nil"/>
            </w:tcBorders>
            <w:shd w:val="clear" w:color="auto" w:fill="auto"/>
            <w:vAlign w:val="bottom"/>
            <w:hideMark/>
          </w:tcPr>
          <w:p w14:paraId="284B39D7"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174</w:t>
            </w:r>
          </w:p>
        </w:tc>
        <w:tc>
          <w:tcPr>
            <w:tcW w:w="1134" w:type="dxa"/>
            <w:tcBorders>
              <w:top w:val="nil"/>
              <w:left w:val="nil"/>
              <w:bottom w:val="nil"/>
              <w:right w:val="nil"/>
            </w:tcBorders>
            <w:shd w:val="clear" w:color="auto" w:fill="auto"/>
            <w:vAlign w:val="bottom"/>
            <w:hideMark/>
          </w:tcPr>
          <w:p w14:paraId="68F6BD80"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25</w:t>
            </w:r>
          </w:p>
        </w:tc>
        <w:tc>
          <w:tcPr>
            <w:tcW w:w="1114" w:type="dxa"/>
            <w:tcBorders>
              <w:top w:val="nil"/>
              <w:left w:val="nil"/>
              <w:bottom w:val="nil"/>
              <w:right w:val="nil"/>
            </w:tcBorders>
            <w:shd w:val="clear" w:color="auto" w:fill="auto"/>
            <w:vAlign w:val="bottom"/>
            <w:hideMark/>
          </w:tcPr>
          <w:p w14:paraId="5CD0D3E1"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14,5%</w:t>
            </w:r>
          </w:p>
        </w:tc>
        <w:tc>
          <w:tcPr>
            <w:tcW w:w="1243" w:type="dxa"/>
            <w:tcBorders>
              <w:top w:val="nil"/>
              <w:left w:val="nil"/>
              <w:bottom w:val="nil"/>
              <w:right w:val="nil"/>
            </w:tcBorders>
            <w:shd w:val="clear" w:color="auto" w:fill="auto"/>
            <w:vAlign w:val="bottom"/>
            <w:hideMark/>
          </w:tcPr>
          <w:p w14:paraId="525D4CA8" w14:textId="77777777" w:rsidR="008F776F" w:rsidRPr="00FD4BBE" w:rsidRDefault="008F776F" w:rsidP="00DB6666">
            <w:pPr>
              <w:jc w:val="right"/>
              <w:rPr>
                <w:rFonts w:ascii="Arial Narrow" w:hAnsi="Arial Narrow" w:cs="Arial"/>
                <w:b/>
                <w:bCs/>
                <w:sz w:val="18"/>
                <w:szCs w:val="18"/>
                <w:lang w:val="es-ES_tradnl"/>
              </w:rPr>
            </w:pPr>
            <w:r w:rsidRPr="00FD4BBE">
              <w:rPr>
                <w:rFonts w:ascii="Arial Narrow" w:hAnsi="Arial Narrow" w:cs="Arial"/>
                <w:b/>
                <w:bCs/>
                <w:sz w:val="18"/>
                <w:szCs w:val="18"/>
                <w:lang w:val="es-ES_tradnl"/>
              </w:rPr>
              <w:t>200</w:t>
            </w:r>
          </w:p>
        </w:tc>
      </w:tr>
      <w:tr w:rsidR="008F776F" w:rsidRPr="00FD4BBE" w14:paraId="1AB0E46E" w14:textId="77777777" w:rsidTr="00DB6666">
        <w:trPr>
          <w:trHeight w:val="347"/>
        </w:trPr>
        <w:tc>
          <w:tcPr>
            <w:tcW w:w="3402" w:type="dxa"/>
            <w:tcBorders>
              <w:top w:val="nil"/>
              <w:left w:val="nil"/>
              <w:bottom w:val="nil"/>
              <w:right w:val="nil"/>
            </w:tcBorders>
            <w:shd w:val="clear" w:color="auto" w:fill="auto"/>
            <w:vAlign w:val="bottom"/>
            <w:hideMark/>
          </w:tcPr>
          <w:p w14:paraId="5FEE17C6" w14:textId="77777777" w:rsidR="008F776F" w:rsidRPr="00FD4BBE" w:rsidRDefault="008F776F" w:rsidP="00DB6666">
            <w:pPr>
              <w:ind w:firstLineChars="200" w:firstLine="360"/>
              <w:jc w:val="lef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 xml:space="preserve">Costos de apoyo administrativo </w:t>
            </w:r>
            <w:r w:rsidRPr="00FD4BBE">
              <w:rPr>
                <w:rFonts w:ascii="Arial Narrow" w:hAnsi="Arial Narrow" w:cs="Arial"/>
                <w:iCs/>
                <w:color w:val="000000"/>
                <w:sz w:val="18"/>
                <w:szCs w:val="18"/>
                <w:lang w:val="es-ES_tradnl"/>
              </w:rPr>
              <w:t>–</w:t>
            </w:r>
          </w:p>
          <w:p w14:paraId="4C12ECD5" w14:textId="77777777" w:rsidR="008F776F" w:rsidRPr="00FD4BBE" w:rsidRDefault="008F776F" w:rsidP="00DB6666">
            <w:pPr>
              <w:ind w:firstLineChars="200" w:firstLine="360"/>
              <w:jc w:val="lef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Fondos fiduciarios</w:t>
            </w:r>
          </w:p>
        </w:tc>
        <w:tc>
          <w:tcPr>
            <w:tcW w:w="1276" w:type="dxa"/>
            <w:tcBorders>
              <w:top w:val="nil"/>
              <w:left w:val="nil"/>
              <w:bottom w:val="nil"/>
              <w:right w:val="nil"/>
            </w:tcBorders>
            <w:shd w:val="clear" w:color="auto" w:fill="auto"/>
            <w:vAlign w:val="bottom"/>
            <w:hideMark/>
          </w:tcPr>
          <w:p w14:paraId="0D14826C"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74</w:t>
            </w:r>
          </w:p>
        </w:tc>
        <w:tc>
          <w:tcPr>
            <w:tcW w:w="1418" w:type="dxa"/>
            <w:tcBorders>
              <w:top w:val="nil"/>
              <w:left w:val="nil"/>
              <w:bottom w:val="nil"/>
              <w:right w:val="nil"/>
            </w:tcBorders>
            <w:shd w:val="clear" w:color="auto" w:fill="auto"/>
            <w:vAlign w:val="bottom"/>
            <w:hideMark/>
          </w:tcPr>
          <w:p w14:paraId="66DC10F2"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125</w:t>
            </w:r>
          </w:p>
        </w:tc>
        <w:tc>
          <w:tcPr>
            <w:tcW w:w="1134" w:type="dxa"/>
            <w:tcBorders>
              <w:top w:val="nil"/>
              <w:left w:val="nil"/>
              <w:bottom w:val="nil"/>
              <w:right w:val="nil"/>
            </w:tcBorders>
            <w:shd w:val="clear" w:color="auto" w:fill="auto"/>
            <w:vAlign w:val="bottom"/>
            <w:hideMark/>
          </w:tcPr>
          <w:p w14:paraId="2382F818"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(6)</w:t>
            </w:r>
          </w:p>
        </w:tc>
        <w:tc>
          <w:tcPr>
            <w:tcW w:w="1114" w:type="dxa"/>
            <w:tcBorders>
              <w:top w:val="nil"/>
              <w:left w:val="nil"/>
              <w:bottom w:val="nil"/>
              <w:right w:val="nil"/>
            </w:tcBorders>
            <w:shd w:val="clear" w:color="auto" w:fill="auto"/>
            <w:vAlign w:val="bottom"/>
            <w:hideMark/>
          </w:tcPr>
          <w:p w14:paraId="727484EF"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-4,7%</w:t>
            </w:r>
          </w:p>
        </w:tc>
        <w:tc>
          <w:tcPr>
            <w:tcW w:w="1243" w:type="dxa"/>
            <w:tcBorders>
              <w:top w:val="nil"/>
              <w:left w:val="nil"/>
              <w:bottom w:val="nil"/>
              <w:right w:val="nil"/>
            </w:tcBorders>
            <w:shd w:val="clear" w:color="auto" w:fill="auto"/>
            <w:vAlign w:val="bottom"/>
            <w:hideMark/>
          </w:tcPr>
          <w:p w14:paraId="7B1CCB51"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120</w:t>
            </w:r>
          </w:p>
        </w:tc>
      </w:tr>
      <w:tr w:rsidR="008F776F" w:rsidRPr="00FD4BBE" w14:paraId="41BBBA20" w14:textId="77777777" w:rsidTr="00DB6666">
        <w:trPr>
          <w:trHeight w:val="347"/>
        </w:trPr>
        <w:tc>
          <w:tcPr>
            <w:tcW w:w="3402" w:type="dxa"/>
            <w:tcBorders>
              <w:top w:val="nil"/>
              <w:left w:val="nil"/>
              <w:bottom w:val="nil"/>
              <w:right w:val="nil"/>
            </w:tcBorders>
            <w:shd w:val="clear" w:color="auto" w:fill="auto"/>
            <w:vAlign w:val="center"/>
            <w:hideMark/>
          </w:tcPr>
          <w:p w14:paraId="0F380922" w14:textId="77777777" w:rsidR="008F776F" w:rsidRPr="00FD4BBE" w:rsidRDefault="008F776F" w:rsidP="00DB6666">
            <w:pPr>
              <w:ind w:firstLineChars="200" w:firstLine="360"/>
              <w:jc w:val="lef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Programa de Enseñanza a Distancia</w:t>
            </w:r>
          </w:p>
        </w:tc>
        <w:tc>
          <w:tcPr>
            <w:tcW w:w="1276" w:type="dxa"/>
            <w:tcBorders>
              <w:top w:val="nil"/>
              <w:left w:val="nil"/>
              <w:bottom w:val="nil"/>
              <w:right w:val="nil"/>
            </w:tcBorders>
            <w:shd w:val="clear" w:color="auto" w:fill="auto"/>
            <w:vAlign w:val="bottom"/>
            <w:hideMark/>
          </w:tcPr>
          <w:p w14:paraId="73C32787"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41</w:t>
            </w:r>
          </w:p>
        </w:tc>
        <w:tc>
          <w:tcPr>
            <w:tcW w:w="1418" w:type="dxa"/>
            <w:tcBorders>
              <w:top w:val="nil"/>
              <w:left w:val="nil"/>
              <w:bottom w:val="nil"/>
              <w:right w:val="nil"/>
            </w:tcBorders>
            <w:shd w:val="clear" w:color="auto" w:fill="auto"/>
            <w:vAlign w:val="bottom"/>
            <w:hideMark/>
          </w:tcPr>
          <w:p w14:paraId="20D05F81"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49</w:t>
            </w:r>
          </w:p>
        </w:tc>
        <w:tc>
          <w:tcPr>
            <w:tcW w:w="1134" w:type="dxa"/>
            <w:tcBorders>
              <w:top w:val="nil"/>
              <w:left w:val="nil"/>
              <w:bottom w:val="nil"/>
              <w:right w:val="nil"/>
            </w:tcBorders>
            <w:shd w:val="clear" w:color="auto" w:fill="auto"/>
            <w:vAlign w:val="bottom"/>
            <w:hideMark/>
          </w:tcPr>
          <w:p w14:paraId="74EC9C45"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31</w:t>
            </w:r>
          </w:p>
        </w:tc>
        <w:tc>
          <w:tcPr>
            <w:tcW w:w="1114" w:type="dxa"/>
            <w:tcBorders>
              <w:top w:val="nil"/>
              <w:left w:val="nil"/>
              <w:bottom w:val="nil"/>
              <w:right w:val="nil"/>
            </w:tcBorders>
            <w:shd w:val="clear" w:color="auto" w:fill="auto"/>
            <w:vAlign w:val="bottom"/>
            <w:hideMark/>
          </w:tcPr>
          <w:p w14:paraId="3433FD0D"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63,4%</w:t>
            </w:r>
          </w:p>
        </w:tc>
        <w:tc>
          <w:tcPr>
            <w:tcW w:w="1243" w:type="dxa"/>
            <w:tcBorders>
              <w:top w:val="nil"/>
              <w:left w:val="nil"/>
              <w:bottom w:val="nil"/>
              <w:right w:val="nil"/>
            </w:tcBorders>
            <w:shd w:val="clear" w:color="auto" w:fill="auto"/>
            <w:vAlign w:val="bottom"/>
            <w:hideMark/>
          </w:tcPr>
          <w:p w14:paraId="497FAA79"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80</w:t>
            </w:r>
          </w:p>
        </w:tc>
      </w:tr>
      <w:tr w:rsidR="008F776F" w:rsidRPr="00FD4BBE" w14:paraId="61E899E8" w14:textId="77777777" w:rsidTr="00DB6666">
        <w:trPr>
          <w:trHeight w:val="347"/>
        </w:trPr>
        <w:tc>
          <w:tcPr>
            <w:tcW w:w="3402" w:type="dxa"/>
            <w:tcBorders>
              <w:top w:val="nil"/>
              <w:left w:val="nil"/>
              <w:bottom w:val="nil"/>
              <w:right w:val="nil"/>
            </w:tcBorders>
            <w:shd w:val="clear" w:color="auto" w:fill="auto"/>
            <w:vAlign w:val="bottom"/>
            <w:hideMark/>
          </w:tcPr>
          <w:p w14:paraId="59E0331E" w14:textId="77777777" w:rsidR="008F776F" w:rsidRPr="00FD4BBE" w:rsidRDefault="008F776F" w:rsidP="00DB6666">
            <w:pPr>
              <w:ind w:firstLineChars="200" w:firstLine="360"/>
              <w:jc w:val="lef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 xml:space="preserve">Otros </w:t>
            </w:r>
          </w:p>
        </w:tc>
        <w:tc>
          <w:tcPr>
            <w:tcW w:w="1276" w:type="dxa"/>
            <w:tcBorders>
              <w:top w:val="nil"/>
              <w:left w:val="nil"/>
              <w:bottom w:val="nil"/>
              <w:right w:val="nil"/>
            </w:tcBorders>
            <w:shd w:val="clear" w:color="auto" w:fill="auto"/>
            <w:vAlign w:val="bottom"/>
            <w:hideMark/>
          </w:tcPr>
          <w:p w14:paraId="0915E968"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-16</w:t>
            </w:r>
          </w:p>
        </w:tc>
        <w:tc>
          <w:tcPr>
            <w:tcW w:w="1418" w:type="dxa"/>
            <w:tcBorders>
              <w:top w:val="nil"/>
              <w:left w:val="nil"/>
              <w:bottom w:val="nil"/>
              <w:right w:val="nil"/>
            </w:tcBorders>
            <w:shd w:val="clear" w:color="auto" w:fill="auto"/>
            <w:vAlign w:val="bottom"/>
            <w:hideMark/>
          </w:tcPr>
          <w:p w14:paraId="28A7F6A7"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w:t>
            </w:r>
          </w:p>
        </w:tc>
        <w:tc>
          <w:tcPr>
            <w:tcW w:w="1134" w:type="dxa"/>
            <w:tcBorders>
              <w:top w:val="nil"/>
              <w:left w:val="nil"/>
              <w:bottom w:val="nil"/>
              <w:right w:val="nil"/>
            </w:tcBorders>
            <w:shd w:val="clear" w:color="auto" w:fill="auto"/>
            <w:vAlign w:val="bottom"/>
            <w:hideMark/>
          </w:tcPr>
          <w:p w14:paraId="4EAE1D2A"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w:t>
            </w:r>
          </w:p>
        </w:tc>
        <w:tc>
          <w:tcPr>
            <w:tcW w:w="1114" w:type="dxa"/>
            <w:tcBorders>
              <w:top w:val="nil"/>
              <w:left w:val="nil"/>
              <w:bottom w:val="nil"/>
              <w:right w:val="nil"/>
            </w:tcBorders>
            <w:shd w:val="clear" w:color="auto" w:fill="auto"/>
            <w:vAlign w:val="bottom"/>
            <w:hideMark/>
          </w:tcPr>
          <w:p w14:paraId="08A1AC74" w14:textId="77777777" w:rsidR="008F776F" w:rsidRPr="00FD4BBE" w:rsidRDefault="008F776F" w:rsidP="00DB6666">
            <w:pPr>
              <w:jc w:val="right"/>
              <w:rPr>
                <w:rFonts w:ascii="Arial Narrow" w:hAnsi="Arial Narrow" w:cs="Arial"/>
                <w:i/>
                <w:iCs/>
                <w:color w:val="000000"/>
                <w:sz w:val="18"/>
                <w:szCs w:val="18"/>
                <w:lang w:val="es-ES_tradnl"/>
              </w:rPr>
            </w:pPr>
            <w:r w:rsidRPr="00FD4BBE">
              <w:rPr>
                <w:rFonts w:ascii="Arial Narrow" w:hAnsi="Arial Narrow" w:cs="Arial"/>
                <w:i/>
                <w:iCs/>
                <w:color w:val="000000"/>
                <w:sz w:val="18"/>
                <w:szCs w:val="18"/>
                <w:lang w:val="es-ES_tradnl"/>
              </w:rPr>
              <w:t>-</w:t>
            </w:r>
          </w:p>
        </w:tc>
        <w:tc>
          <w:tcPr>
            <w:tcW w:w="1243" w:type="dxa"/>
            <w:tcBorders>
              <w:top w:val="nil"/>
              <w:left w:val="nil"/>
              <w:bottom w:val="nil"/>
              <w:right w:val="nil"/>
            </w:tcBorders>
            <w:shd w:val="clear" w:color="auto" w:fill="auto"/>
            <w:vAlign w:val="bottom"/>
            <w:hideMark/>
          </w:tcPr>
          <w:p w14:paraId="3D618999"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w:t>
            </w:r>
          </w:p>
        </w:tc>
      </w:tr>
      <w:tr w:rsidR="008F776F" w:rsidRPr="00FD4BBE" w14:paraId="6E5E9C6C" w14:textId="77777777" w:rsidTr="00DB6666">
        <w:trPr>
          <w:trHeight w:val="181"/>
        </w:trPr>
        <w:tc>
          <w:tcPr>
            <w:tcW w:w="3402" w:type="dxa"/>
            <w:tcBorders>
              <w:top w:val="nil"/>
              <w:left w:val="nil"/>
              <w:bottom w:val="nil"/>
              <w:right w:val="nil"/>
            </w:tcBorders>
            <w:shd w:val="clear" w:color="auto" w:fill="auto"/>
            <w:vAlign w:val="bottom"/>
            <w:hideMark/>
          </w:tcPr>
          <w:p w14:paraId="336545A1" w14:textId="77777777" w:rsidR="008F776F" w:rsidRPr="00FD4BBE" w:rsidRDefault="008F776F" w:rsidP="00DB6666">
            <w:pPr>
              <w:jc w:val="right"/>
              <w:rPr>
                <w:rFonts w:ascii="Arial Narrow" w:hAnsi="Arial Narrow" w:cs="Arial"/>
                <w:b/>
                <w:bCs/>
                <w:color w:val="000000"/>
                <w:sz w:val="18"/>
                <w:szCs w:val="18"/>
                <w:lang w:val="es-ES_tradnl"/>
              </w:rPr>
            </w:pPr>
          </w:p>
        </w:tc>
        <w:tc>
          <w:tcPr>
            <w:tcW w:w="1276" w:type="dxa"/>
            <w:tcBorders>
              <w:top w:val="nil"/>
              <w:left w:val="nil"/>
              <w:bottom w:val="nil"/>
              <w:right w:val="nil"/>
            </w:tcBorders>
            <w:shd w:val="clear" w:color="auto" w:fill="auto"/>
            <w:vAlign w:val="bottom"/>
            <w:hideMark/>
          </w:tcPr>
          <w:p w14:paraId="4F2CFDFD" w14:textId="77777777" w:rsidR="008F776F" w:rsidRPr="00FD4BBE" w:rsidRDefault="008F776F" w:rsidP="00DB6666">
            <w:pPr>
              <w:ind w:firstLineChars="200" w:firstLine="360"/>
              <w:jc w:val="left"/>
              <w:rPr>
                <w:rFonts w:ascii="Arial Narrow" w:hAnsi="Arial Narrow"/>
                <w:sz w:val="18"/>
                <w:szCs w:val="18"/>
                <w:lang w:val="es-ES_tradnl"/>
              </w:rPr>
            </w:pPr>
          </w:p>
        </w:tc>
        <w:tc>
          <w:tcPr>
            <w:tcW w:w="1418" w:type="dxa"/>
            <w:tcBorders>
              <w:top w:val="nil"/>
              <w:left w:val="nil"/>
              <w:bottom w:val="nil"/>
              <w:right w:val="nil"/>
            </w:tcBorders>
            <w:shd w:val="clear" w:color="auto" w:fill="auto"/>
            <w:vAlign w:val="bottom"/>
            <w:hideMark/>
          </w:tcPr>
          <w:p w14:paraId="0C18BE36" w14:textId="77777777" w:rsidR="008F776F" w:rsidRPr="00FD4BBE" w:rsidRDefault="008F776F" w:rsidP="00DB6666">
            <w:pPr>
              <w:jc w:val="right"/>
              <w:rPr>
                <w:rFonts w:ascii="Arial Narrow" w:hAnsi="Arial Narrow"/>
                <w:sz w:val="18"/>
                <w:szCs w:val="18"/>
                <w:lang w:val="es-ES_tradnl"/>
              </w:rPr>
            </w:pPr>
          </w:p>
        </w:tc>
        <w:tc>
          <w:tcPr>
            <w:tcW w:w="1134" w:type="dxa"/>
            <w:tcBorders>
              <w:top w:val="nil"/>
              <w:left w:val="nil"/>
              <w:bottom w:val="nil"/>
              <w:right w:val="nil"/>
            </w:tcBorders>
            <w:shd w:val="clear" w:color="auto" w:fill="auto"/>
            <w:vAlign w:val="bottom"/>
            <w:hideMark/>
          </w:tcPr>
          <w:p w14:paraId="2C45D54A" w14:textId="77777777" w:rsidR="008F776F" w:rsidRPr="00FD4BBE" w:rsidRDefault="008F776F" w:rsidP="00DB6666">
            <w:pPr>
              <w:jc w:val="right"/>
              <w:rPr>
                <w:rFonts w:ascii="Arial Narrow" w:hAnsi="Arial Narrow"/>
                <w:sz w:val="18"/>
                <w:szCs w:val="18"/>
                <w:lang w:val="es-ES_tradnl"/>
              </w:rPr>
            </w:pPr>
          </w:p>
        </w:tc>
        <w:tc>
          <w:tcPr>
            <w:tcW w:w="1114" w:type="dxa"/>
            <w:tcBorders>
              <w:top w:val="nil"/>
              <w:left w:val="nil"/>
              <w:bottom w:val="nil"/>
              <w:right w:val="nil"/>
            </w:tcBorders>
            <w:shd w:val="clear" w:color="auto" w:fill="auto"/>
            <w:vAlign w:val="bottom"/>
            <w:hideMark/>
          </w:tcPr>
          <w:p w14:paraId="0E145027" w14:textId="77777777" w:rsidR="008F776F" w:rsidRPr="00FD4BBE" w:rsidRDefault="008F776F" w:rsidP="00DB6666">
            <w:pPr>
              <w:jc w:val="right"/>
              <w:rPr>
                <w:rFonts w:ascii="Arial Narrow" w:hAnsi="Arial Narrow"/>
                <w:sz w:val="18"/>
                <w:szCs w:val="18"/>
                <w:lang w:val="es-ES_tradnl"/>
              </w:rPr>
            </w:pPr>
          </w:p>
        </w:tc>
        <w:tc>
          <w:tcPr>
            <w:tcW w:w="1243" w:type="dxa"/>
            <w:tcBorders>
              <w:top w:val="nil"/>
              <w:left w:val="nil"/>
              <w:bottom w:val="nil"/>
              <w:right w:val="nil"/>
            </w:tcBorders>
            <w:shd w:val="clear" w:color="auto" w:fill="auto"/>
            <w:vAlign w:val="bottom"/>
            <w:hideMark/>
          </w:tcPr>
          <w:p w14:paraId="3C539A98" w14:textId="77777777" w:rsidR="008F776F" w:rsidRPr="00FD4BBE" w:rsidRDefault="008F776F" w:rsidP="00DB6666">
            <w:pPr>
              <w:jc w:val="right"/>
              <w:rPr>
                <w:rFonts w:ascii="Arial Narrow" w:hAnsi="Arial Narrow"/>
                <w:sz w:val="18"/>
                <w:szCs w:val="18"/>
                <w:lang w:val="es-ES_tradnl"/>
              </w:rPr>
            </w:pPr>
          </w:p>
        </w:tc>
      </w:tr>
      <w:tr w:rsidR="008F776F" w:rsidRPr="00FD4BBE" w14:paraId="74A190EE" w14:textId="77777777" w:rsidTr="00DB6666">
        <w:trPr>
          <w:trHeight w:val="423"/>
        </w:trPr>
        <w:tc>
          <w:tcPr>
            <w:tcW w:w="3402" w:type="dxa"/>
            <w:tcBorders>
              <w:top w:val="single" w:sz="4" w:space="0" w:color="AAB8C4"/>
              <w:left w:val="nil"/>
              <w:bottom w:val="single" w:sz="8" w:space="0" w:color="AAB8C4"/>
              <w:right w:val="nil"/>
            </w:tcBorders>
            <w:shd w:val="clear" w:color="auto" w:fill="auto"/>
            <w:vAlign w:val="center"/>
            <w:hideMark/>
          </w:tcPr>
          <w:p w14:paraId="3EA3C7F5" w14:textId="77777777" w:rsidR="008F776F" w:rsidRPr="00FD4BBE" w:rsidRDefault="008F776F" w:rsidP="00DB6666">
            <w:pPr>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Total</w:t>
            </w:r>
          </w:p>
        </w:tc>
        <w:tc>
          <w:tcPr>
            <w:tcW w:w="1276" w:type="dxa"/>
            <w:tcBorders>
              <w:top w:val="single" w:sz="4" w:space="0" w:color="AAB8C4"/>
              <w:left w:val="nil"/>
              <w:bottom w:val="single" w:sz="8" w:space="0" w:color="AAB8C4"/>
              <w:right w:val="nil"/>
            </w:tcBorders>
            <w:shd w:val="clear" w:color="auto" w:fill="auto"/>
            <w:vAlign w:val="center"/>
            <w:hideMark/>
          </w:tcPr>
          <w:p w14:paraId="2C3ACB0F"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7.404</w:t>
            </w:r>
          </w:p>
        </w:tc>
        <w:tc>
          <w:tcPr>
            <w:tcW w:w="1418" w:type="dxa"/>
            <w:tcBorders>
              <w:top w:val="single" w:sz="4" w:space="0" w:color="AAB8C4"/>
              <w:left w:val="nil"/>
              <w:bottom w:val="single" w:sz="8" w:space="0" w:color="AAB8C4"/>
              <w:right w:val="nil"/>
            </w:tcBorders>
            <w:shd w:val="clear" w:color="auto" w:fill="auto"/>
            <w:vAlign w:val="center"/>
            <w:hideMark/>
          </w:tcPr>
          <w:p w14:paraId="668CDC1C"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7.635</w:t>
            </w:r>
          </w:p>
        </w:tc>
        <w:tc>
          <w:tcPr>
            <w:tcW w:w="1134" w:type="dxa"/>
            <w:tcBorders>
              <w:top w:val="single" w:sz="4" w:space="0" w:color="AAB8C4"/>
              <w:left w:val="nil"/>
              <w:bottom w:val="single" w:sz="8" w:space="0" w:color="AAB8C4"/>
              <w:right w:val="nil"/>
            </w:tcBorders>
            <w:shd w:val="clear" w:color="auto" w:fill="auto"/>
            <w:vAlign w:val="center"/>
            <w:hideMark/>
          </w:tcPr>
          <w:p w14:paraId="44E4F9F6"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267</w:t>
            </w:r>
          </w:p>
        </w:tc>
        <w:tc>
          <w:tcPr>
            <w:tcW w:w="1114" w:type="dxa"/>
            <w:tcBorders>
              <w:top w:val="single" w:sz="4" w:space="0" w:color="AAB8C4"/>
              <w:left w:val="nil"/>
              <w:bottom w:val="single" w:sz="8" w:space="0" w:color="AAB8C4"/>
              <w:right w:val="nil"/>
            </w:tcBorders>
            <w:shd w:val="clear" w:color="auto" w:fill="auto"/>
            <w:vAlign w:val="center"/>
            <w:hideMark/>
          </w:tcPr>
          <w:p w14:paraId="1F561967"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3,5%</w:t>
            </w:r>
          </w:p>
        </w:tc>
        <w:tc>
          <w:tcPr>
            <w:tcW w:w="1243" w:type="dxa"/>
            <w:tcBorders>
              <w:top w:val="single" w:sz="4" w:space="0" w:color="AAB8C4"/>
              <w:left w:val="nil"/>
              <w:bottom w:val="single" w:sz="8" w:space="0" w:color="AAB8C4"/>
              <w:right w:val="nil"/>
            </w:tcBorders>
            <w:shd w:val="clear" w:color="auto" w:fill="auto"/>
            <w:vAlign w:val="center"/>
            <w:hideMark/>
          </w:tcPr>
          <w:p w14:paraId="45193F63" w14:textId="77777777" w:rsidR="008F776F" w:rsidRPr="00FD4BBE" w:rsidRDefault="008F776F" w:rsidP="00DB6666">
            <w:pPr>
              <w:jc w:val="right"/>
              <w:rPr>
                <w:rFonts w:ascii="Arial Narrow" w:hAnsi="Arial Narrow" w:cs="Arial"/>
                <w:b/>
                <w:bCs/>
                <w:color w:val="000000"/>
                <w:sz w:val="18"/>
                <w:szCs w:val="18"/>
                <w:lang w:val="es-ES_tradnl"/>
              </w:rPr>
            </w:pPr>
            <w:r w:rsidRPr="00FD4BBE">
              <w:rPr>
                <w:rFonts w:ascii="Arial Narrow" w:hAnsi="Arial Narrow" w:cs="Arial"/>
                <w:b/>
                <w:bCs/>
                <w:color w:val="000000"/>
                <w:sz w:val="18"/>
                <w:szCs w:val="18"/>
                <w:lang w:val="es-ES_tradnl"/>
              </w:rPr>
              <w:t>7.901</w:t>
            </w:r>
          </w:p>
        </w:tc>
      </w:tr>
    </w:tbl>
    <w:p w14:paraId="7541DDBD" w14:textId="77777777" w:rsidR="008F776F" w:rsidRPr="008F776F" w:rsidRDefault="008F776F" w:rsidP="008F776F">
      <w:pPr>
        <w:keepNext/>
        <w:spacing w:before="120"/>
        <w:rPr>
          <w:rFonts w:cs="Arial"/>
          <w:i/>
          <w:iCs/>
          <w:sz w:val="16"/>
          <w:szCs w:val="16"/>
          <w:lang w:val="es-ES_tradnl"/>
        </w:rPr>
      </w:pPr>
      <w:r w:rsidRPr="008F776F">
        <w:rPr>
          <w:rFonts w:cs="Arial"/>
          <w:i/>
          <w:iCs/>
          <w:sz w:val="16"/>
          <w:szCs w:val="16"/>
          <w:vertAlign w:val="superscript"/>
          <w:lang w:val="es-ES_tradnl"/>
        </w:rPr>
        <w:t xml:space="preserve">1 </w:t>
      </w:r>
      <w:r w:rsidRPr="008F776F">
        <w:rPr>
          <w:rFonts w:cs="Arial"/>
          <w:i/>
          <w:iCs/>
          <w:sz w:val="16"/>
          <w:szCs w:val="16"/>
          <w:lang w:val="es-ES_tradnl"/>
        </w:rPr>
        <w:t>En el bienio 2020-2021, los ingresos diversos representan principalmente ganancias (o pérdidas) de divisas no realizadas debido al proceso de reevaluación del efectivo y otras cuentas de activos y pasivos (divisas distintas de los francos suizos.).</w:t>
      </w:r>
    </w:p>
    <w:p w14:paraId="7AE48F6C" w14:textId="77777777" w:rsidR="008F776F" w:rsidRPr="008F776F" w:rsidRDefault="008F776F" w:rsidP="008F776F">
      <w:pPr>
        <w:rPr>
          <w:lang w:val="es-ES_tradnl"/>
        </w:rPr>
      </w:pPr>
    </w:p>
    <w:p w14:paraId="2D5F1480" w14:textId="77777777" w:rsidR="008F776F" w:rsidRPr="008F776F" w:rsidRDefault="008F776F" w:rsidP="008F776F">
      <w:pPr>
        <w:jc w:val="left"/>
        <w:rPr>
          <w:sz w:val="18"/>
          <w:szCs w:val="16"/>
          <w:lang w:val="es-ES_tradnl"/>
        </w:rPr>
      </w:pPr>
    </w:p>
    <w:p w14:paraId="33A24C7D" w14:textId="77777777" w:rsidR="008F776F" w:rsidRPr="008F776F" w:rsidRDefault="008F776F" w:rsidP="008F776F">
      <w:pPr>
        <w:rPr>
          <w:lang w:val="es-ES_tradnl"/>
        </w:rPr>
      </w:pPr>
      <w:r w:rsidRPr="008F776F">
        <w:rPr>
          <w:lang w:val="es-ES_tradnl"/>
        </w:rPr>
        <w:t xml:space="preserve">A </w:t>
      </w:r>
      <w:proofErr w:type="gramStart"/>
      <w:r w:rsidRPr="008F776F">
        <w:rPr>
          <w:lang w:val="es-ES_tradnl"/>
        </w:rPr>
        <w:t>continuación</w:t>
      </w:r>
      <w:proofErr w:type="gramEnd"/>
      <w:r w:rsidRPr="008F776F">
        <w:rPr>
          <w:lang w:val="es-ES_tradnl"/>
        </w:rPr>
        <w:t xml:space="preserve"> figuran los ingresos presupuestados para las tasas por uso de las herramientas y servicios informáticos de la UPOV:</w:t>
      </w:r>
    </w:p>
    <w:p w14:paraId="745D3704" w14:textId="77777777" w:rsidR="008F776F" w:rsidRPr="008F776F" w:rsidRDefault="008F776F" w:rsidP="008F776F">
      <w:pPr>
        <w:rPr>
          <w:lang w:val="es-ES_tradnl"/>
        </w:rPr>
      </w:pPr>
    </w:p>
    <w:tbl>
      <w:tblPr>
        <w:tblW w:w="9733" w:type="dxa"/>
        <w:jc w:val="center"/>
        <w:tblLayout w:type="fixed"/>
        <w:tblLook w:val="04A0" w:firstRow="1" w:lastRow="0" w:firstColumn="1" w:lastColumn="0" w:noHBand="0" w:noVBand="1"/>
      </w:tblPr>
      <w:tblGrid>
        <w:gridCol w:w="2570"/>
        <w:gridCol w:w="1399"/>
        <w:gridCol w:w="993"/>
        <w:gridCol w:w="992"/>
        <w:gridCol w:w="992"/>
        <w:gridCol w:w="834"/>
        <w:gridCol w:w="976"/>
        <w:gridCol w:w="977"/>
      </w:tblGrid>
      <w:tr w:rsidR="008F776F" w:rsidRPr="00FD4BBE" w14:paraId="0B5BFD42" w14:textId="77777777" w:rsidTr="00DB6666">
        <w:trPr>
          <w:cantSplit/>
          <w:trHeight w:val="240"/>
          <w:jc w:val="center"/>
        </w:trPr>
        <w:tc>
          <w:tcPr>
            <w:tcW w:w="2570" w:type="dxa"/>
            <w:vMerge w:val="restart"/>
            <w:tcBorders>
              <w:top w:val="nil"/>
              <w:left w:val="nil"/>
              <w:bottom w:val="nil"/>
              <w:right w:val="nil"/>
            </w:tcBorders>
            <w:shd w:val="clear" w:color="000000" w:fill="C7CFD8"/>
            <w:vAlign w:val="bottom"/>
          </w:tcPr>
          <w:p w14:paraId="37148BF7" w14:textId="77777777" w:rsidR="008F776F" w:rsidRPr="00FD4BBE" w:rsidRDefault="008F776F" w:rsidP="00DB6666">
            <w:pPr>
              <w:rPr>
                <w:rFonts w:ascii="Arial Narrow" w:hAnsi="Arial Narrow"/>
                <w:sz w:val="18"/>
                <w:szCs w:val="18"/>
                <w:lang w:val="es-ES_tradnl"/>
              </w:rPr>
            </w:pPr>
          </w:p>
        </w:tc>
        <w:tc>
          <w:tcPr>
            <w:tcW w:w="1399" w:type="dxa"/>
            <w:vMerge w:val="restart"/>
            <w:tcBorders>
              <w:top w:val="nil"/>
              <w:left w:val="nil"/>
              <w:bottom w:val="nil"/>
              <w:right w:val="nil"/>
            </w:tcBorders>
            <w:shd w:val="clear" w:color="000000" w:fill="C7CFD8"/>
            <w:vAlign w:val="center"/>
            <w:hideMark/>
          </w:tcPr>
          <w:p w14:paraId="2A4A51C8"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Tasa de presentación /suscripción</w:t>
            </w:r>
          </w:p>
        </w:tc>
        <w:tc>
          <w:tcPr>
            <w:tcW w:w="2977" w:type="dxa"/>
            <w:gridSpan w:val="3"/>
            <w:tcBorders>
              <w:top w:val="nil"/>
              <w:left w:val="nil"/>
              <w:bottom w:val="single" w:sz="4" w:space="0" w:color="BFBFBF"/>
              <w:right w:val="nil"/>
            </w:tcBorders>
            <w:shd w:val="clear" w:color="000000" w:fill="C7CFD8"/>
            <w:vAlign w:val="center"/>
            <w:hideMark/>
          </w:tcPr>
          <w:p w14:paraId="00303157"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Previsión de presentaciones/suscriptores</w:t>
            </w:r>
          </w:p>
        </w:tc>
        <w:tc>
          <w:tcPr>
            <w:tcW w:w="2787" w:type="dxa"/>
            <w:gridSpan w:val="3"/>
            <w:tcBorders>
              <w:top w:val="nil"/>
              <w:left w:val="nil"/>
              <w:bottom w:val="single" w:sz="4" w:space="0" w:color="BFBFBF"/>
              <w:right w:val="nil"/>
            </w:tcBorders>
            <w:shd w:val="clear" w:color="000000" w:fill="C7CFD8"/>
            <w:vAlign w:val="center"/>
            <w:hideMark/>
          </w:tcPr>
          <w:p w14:paraId="53E17540"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Ingresos por presentaciones/subscriptores</w:t>
            </w:r>
          </w:p>
        </w:tc>
      </w:tr>
      <w:tr w:rsidR="008F776F" w:rsidRPr="00FD4BBE" w14:paraId="0D988DEE" w14:textId="77777777" w:rsidTr="00DB6666">
        <w:trPr>
          <w:cantSplit/>
          <w:trHeight w:val="358"/>
          <w:jc w:val="center"/>
        </w:trPr>
        <w:tc>
          <w:tcPr>
            <w:tcW w:w="2570" w:type="dxa"/>
            <w:vMerge/>
            <w:tcBorders>
              <w:top w:val="nil"/>
              <w:left w:val="nil"/>
              <w:bottom w:val="nil"/>
              <w:right w:val="nil"/>
            </w:tcBorders>
            <w:vAlign w:val="center"/>
            <w:hideMark/>
          </w:tcPr>
          <w:p w14:paraId="630F8924" w14:textId="77777777" w:rsidR="008F776F" w:rsidRPr="00FD4BBE" w:rsidRDefault="008F776F" w:rsidP="00DB6666">
            <w:pPr>
              <w:jc w:val="left"/>
              <w:rPr>
                <w:rFonts w:ascii="Arial Narrow" w:hAnsi="Arial Narrow" w:cs="Arial"/>
                <w:b/>
                <w:bCs/>
                <w:color w:val="00B050"/>
                <w:sz w:val="18"/>
                <w:szCs w:val="18"/>
                <w:lang w:val="es-ES_tradnl"/>
              </w:rPr>
            </w:pPr>
          </w:p>
        </w:tc>
        <w:tc>
          <w:tcPr>
            <w:tcW w:w="1399" w:type="dxa"/>
            <w:vMerge/>
            <w:tcBorders>
              <w:top w:val="nil"/>
              <w:left w:val="nil"/>
              <w:bottom w:val="nil"/>
              <w:right w:val="nil"/>
            </w:tcBorders>
            <w:vAlign w:val="center"/>
            <w:hideMark/>
          </w:tcPr>
          <w:p w14:paraId="660D24CF" w14:textId="77777777" w:rsidR="008F776F" w:rsidRPr="00FD4BBE" w:rsidRDefault="008F776F" w:rsidP="00DB6666">
            <w:pPr>
              <w:jc w:val="left"/>
              <w:rPr>
                <w:rFonts w:ascii="Arial Narrow" w:hAnsi="Arial Narrow" w:cs="Arial"/>
                <w:b/>
                <w:bCs/>
                <w:sz w:val="18"/>
                <w:szCs w:val="18"/>
                <w:lang w:val="es-ES_tradnl"/>
              </w:rPr>
            </w:pPr>
          </w:p>
        </w:tc>
        <w:tc>
          <w:tcPr>
            <w:tcW w:w="993" w:type="dxa"/>
            <w:tcBorders>
              <w:top w:val="nil"/>
              <w:left w:val="nil"/>
              <w:bottom w:val="nil"/>
              <w:right w:val="nil"/>
            </w:tcBorders>
            <w:shd w:val="clear" w:color="000000" w:fill="C7CFD8"/>
            <w:vAlign w:val="center"/>
            <w:hideMark/>
          </w:tcPr>
          <w:p w14:paraId="214A0745"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2024</w:t>
            </w:r>
          </w:p>
        </w:tc>
        <w:tc>
          <w:tcPr>
            <w:tcW w:w="992" w:type="dxa"/>
            <w:tcBorders>
              <w:top w:val="nil"/>
              <w:left w:val="nil"/>
              <w:bottom w:val="nil"/>
              <w:right w:val="nil"/>
            </w:tcBorders>
            <w:shd w:val="clear" w:color="000000" w:fill="C7CFD8"/>
            <w:vAlign w:val="center"/>
            <w:hideMark/>
          </w:tcPr>
          <w:p w14:paraId="3005B563"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2025</w:t>
            </w:r>
          </w:p>
        </w:tc>
        <w:tc>
          <w:tcPr>
            <w:tcW w:w="992" w:type="dxa"/>
            <w:tcBorders>
              <w:top w:val="nil"/>
              <w:left w:val="nil"/>
              <w:bottom w:val="nil"/>
              <w:right w:val="nil"/>
            </w:tcBorders>
            <w:shd w:val="clear" w:color="000000" w:fill="C7CFD8"/>
            <w:vAlign w:val="center"/>
            <w:hideMark/>
          </w:tcPr>
          <w:p w14:paraId="660C7034"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Total</w:t>
            </w:r>
          </w:p>
        </w:tc>
        <w:tc>
          <w:tcPr>
            <w:tcW w:w="834" w:type="dxa"/>
            <w:tcBorders>
              <w:top w:val="nil"/>
              <w:left w:val="single" w:sz="4" w:space="0" w:color="BFBFBF"/>
              <w:bottom w:val="nil"/>
              <w:right w:val="nil"/>
            </w:tcBorders>
            <w:shd w:val="clear" w:color="000000" w:fill="C7CFD8"/>
            <w:vAlign w:val="center"/>
            <w:hideMark/>
          </w:tcPr>
          <w:p w14:paraId="0639618C"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2024</w:t>
            </w:r>
          </w:p>
        </w:tc>
        <w:tc>
          <w:tcPr>
            <w:tcW w:w="976" w:type="dxa"/>
            <w:tcBorders>
              <w:top w:val="nil"/>
              <w:left w:val="nil"/>
              <w:bottom w:val="nil"/>
              <w:right w:val="nil"/>
            </w:tcBorders>
            <w:shd w:val="clear" w:color="000000" w:fill="C7CFD8"/>
            <w:vAlign w:val="center"/>
            <w:hideMark/>
          </w:tcPr>
          <w:p w14:paraId="625FE57D"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2025</w:t>
            </w:r>
          </w:p>
        </w:tc>
        <w:tc>
          <w:tcPr>
            <w:tcW w:w="977" w:type="dxa"/>
            <w:tcBorders>
              <w:top w:val="nil"/>
              <w:left w:val="nil"/>
              <w:bottom w:val="nil"/>
              <w:right w:val="nil"/>
            </w:tcBorders>
            <w:shd w:val="clear" w:color="000000" w:fill="C7CFD8"/>
            <w:vAlign w:val="center"/>
            <w:hideMark/>
          </w:tcPr>
          <w:p w14:paraId="13F3DE01" w14:textId="77777777" w:rsidR="008F776F" w:rsidRPr="00FD4BBE" w:rsidRDefault="008F776F" w:rsidP="00DB6666">
            <w:pPr>
              <w:jc w:val="center"/>
              <w:rPr>
                <w:rFonts w:ascii="Arial Narrow" w:hAnsi="Arial Narrow" w:cs="Arial"/>
                <w:b/>
                <w:bCs/>
                <w:sz w:val="18"/>
                <w:szCs w:val="18"/>
                <w:lang w:val="es-ES_tradnl"/>
              </w:rPr>
            </w:pPr>
            <w:r w:rsidRPr="00FD4BBE">
              <w:rPr>
                <w:rFonts w:ascii="Arial Narrow" w:hAnsi="Arial Narrow" w:cs="Arial"/>
                <w:b/>
                <w:bCs/>
                <w:sz w:val="18"/>
                <w:szCs w:val="18"/>
                <w:lang w:val="es-ES_tradnl"/>
              </w:rPr>
              <w:t>Total</w:t>
            </w:r>
          </w:p>
        </w:tc>
      </w:tr>
      <w:tr w:rsidR="008F776F" w:rsidRPr="00FD4BBE" w14:paraId="2FD48E78" w14:textId="77777777" w:rsidTr="00DB6666">
        <w:trPr>
          <w:cantSplit/>
          <w:trHeight w:val="362"/>
          <w:jc w:val="center"/>
        </w:trPr>
        <w:tc>
          <w:tcPr>
            <w:tcW w:w="2570" w:type="dxa"/>
            <w:tcBorders>
              <w:top w:val="nil"/>
              <w:left w:val="nil"/>
              <w:bottom w:val="nil"/>
              <w:right w:val="nil"/>
            </w:tcBorders>
            <w:shd w:val="clear" w:color="auto" w:fill="auto"/>
            <w:vAlign w:val="center"/>
            <w:hideMark/>
          </w:tcPr>
          <w:p w14:paraId="30899477" w14:textId="77777777" w:rsidR="008F776F" w:rsidRPr="00FD4BBE" w:rsidRDefault="008F776F" w:rsidP="00DB6666">
            <w:pPr>
              <w:jc w:val="left"/>
              <w:rPr>
                <w:rFonts w:ascii="Arial Narrow" w:hAnsi="Arial Narrow" w:cs="Arial"/>
                <w:sz w:val="18"/>
                <w:szCs w:val="18"/>
                <w:lang w:val="es-ES_tradnl"/>
              </w:rPr>
            </w:pPr>
            <w:r w:rsidRPr="00FD4BBE">
              <w:rPr>
                <w:rFonts w:ascii="Arial Narrow" w:hAnsi="Arial Narrow" w:cs="Arial"/>
                <w:sz w:val="18"/>
                <w:szCs w:val="18"/>
                <w:lang w:val="es-ES_tradnl"/>
              </w:rPr>
              <w:t>UPOV PRISMA</w:t>
            </w:r>
          </w:p>
        </w:tc>
        <w:tc>
          <w:tcPr>
            <w:tcW w:w="1399" w:type="dxa"/>
            <w:tcBorders>
              <w:top w:val="nil"/>
              <w:left w:val="nil"/>
              <w:bottom w:val="nil"/>
              <w:right w:val="nil"/>
            </w:tcBorders>
            <w:shd w:val="clear" w:color="auto" w:fill="auto"/>
            <w:noWrap/>
            <w:vAlign w:val="center"/>
            <w:hideMark/>
          </w:tcPr>
          <w:p w14:paraId="29116B21" w14:textId="77777777" w:rsidR="008F776F" w:rsidRPr="00FD4BBE" w:rsidRDefault="008F776F" w:rsidP="00DB6666">
            <w:pPr>
              <w:jc w:val="right"/>
              <w:rPr>
                <w:rFonts w:ascii="Arial Narrow" w:hAnsi="Arial Narrow" w:cs="Arial"/>
                <w:sz w:val="18"/>
                <w:szCs w:val="18"/>
                <w:lang w:val="es-ES_tradnl"/>
              </w:rPr>
            </w:pPr>
            <w:r w:rsidRPr="00FD4BBE">
              <w:rPr>
                <w:rFonts w:ascii="Arial Narrow" w:hAnsi="Arial Narrow" w:cs="Arial"/>
                <w:sz w:val="18"/>
                <w:szCs w:val="18"/>
                <w:lang w:val="es-ES_tradnl"/>
              </w:rPr>
              <w:t>90</w:t>
            </w:r>
          </w:p>
        </w:tc>
        <w:tc>
          <w:tcPr>
            <w:tcW w:w="993" w:type="dxa"/>
            <w:tcBorders>
              <w:top w:val="nil"/>
              <w:left w:val="nil"/>
              <w:bottom w:val="nil"/>
              <w:right w:val="nil"/>
            </w:tcBorders>
            <w:shd w:val="clear" w:color="auto" w:fill="auto"/>
            <w:noWrap/>
            <w:vAlign w:val="center"/>
            <w:hideMark/>
          </w:tcPr>
          <w:p w14:paraId="1C4798EC" w14:textId="77777777" w:rsidR="008F776F" w:rsidRPr="00FD4BBE" w:rsidRDefault="008F776F" w:rsidP="00DB6666">
            <w:pPr>
              <w:jc w:val="right"/>
              <w:rPr>
                <w:rFonts w:ascii="Arial Narrow" w:hAnsi="Arial Narrow" w:cs="Arial"/>
                <w:sz w:val="18"/>
                <w:szCs w:val="18"/>
                <w:highlight w:val="cyan"/>
                <w:lang w:val="es-ES_tradnl"/>
              </w:rPr>
            </w:pPr>
            <w:r w:rsidRPr="00FD4BBE">
              <w:rPr>
                <w:rFonts w:ascii="Arial Narrow" w:hAnsi="Arial Narrow" w:cs="Arial"/>
                <w:sz w:val="18"/>
                <w:szCs w:val="18"/>
                <w:lang w:val="es-ES_tradnl"/>
              </w:rPr>
              <w:t>2.000</w:t>
            </w:r>
          </w:p>
        </w:tc>
        <w:tc>
          <w:tcPr>
            <w:tcW w:w="992" w:type="dxa"/>
            <w:tcBorders>
              <w:top w:val="nil"/>
              <w:left w:val="nil"/>
              <w:bottom w:val="nil"/>
              <w:right w:val="nil"/>
            </w:tcBorders>
            <w:shd w:val="clear" w:color="auto" w:fill="auto"/>
            <w:noWrap/>
            <w:vAlign w:val="center"/>
            <w:hideMark/>
          </w:tcPr>
          <w:p w14:paraId="01C2579A" w14:textId="77777777" w:rsidR="008F776F" w:rsidRPr="00FD4BBE" w:rsidRDefault="008F776F" w:rsidP="00DB6666">
            <w:pPr>
              <w:jc w:val="right"/>
              <w:rPr>
                <w:rFonts w:ascii="Arial Narrow" w:hAnsi="Arial Narrow" w:cs="Arial"/>
                <w:sz w:val="18"/>
                <w:szCs w:val="18"/>
                <w:highlight w:val="cyan"/>
                <w:lang w:val="es-ES_tradnl"/>
              </w:rPr>
            </w:pPr>
            <w:r w:rsidRPr="00FD4BBE">
              <w:rPr>
                <w:rFonts w:ascii="Arial Narrow" w:hAnsi="Arial Narrow" w:cs="Arial"/>
                <w:sz w:val="18"/>
                <w:szCs w:val="18"/>
                <w:lang w:val="es-ES_tradnl"/>
              </w:rPr>
              <w:t>2.400</w:t>
            </w:r>
          </w:p>
        </w:tc>
        <w:tc>
          <w:tcPr>
            <w:tcW w:w="992" w:type="dxa"/>
            <w:tcBorders>
              <w:top w:val="nil"/>
              <w:left w:val="nil"/>
              <w:bottom w:val="nil"/>
              <w:right w:val="nil"/>
            </w:tcBorders>
            <w:shd w:val="clear" w:color="auto" w:fill="auto"/>
            <w:noWrap/>
            <w:vAlign w:val="center"/>
            <w:hideMark/>
          </w:tcPr>
          <w:p w14:paraId="17A75576" w14:textId="77777777" w:rsidR="008F776F" w:rsidRPr="00FD4BBE" w:rsidRDefault="008F776F" w:rsidP="00DB6666">
            <w:pPr>
              <w:jc w:val="right"/>
              <w:rPr>
                <w:rFonts w:ascii="Arial Narrow" w:hAnsi="Arial Narrow" w:cs="Arial"/>
                <w:sz w:val="18"/>
                <w:szCs w:val="18"/>
                <w:highlight w:val="cyan"/>
                <w:lang w:val="es-ES_tradnl"/>
              </w:rPr>
            </w:pPr>
            <w:r w:rsidRPr="00FD4BBE">
              <w:rPr>
                <w:rFonts w:ascii="Arial Narrow" w:hAnsi="Arial Narrow" w:cs="Arial"/>
                <w:sz w:val="18"/>
                <w:szCs w:val="18"/>
                <w:lang w:val="es-ES_tradnl"/>
              </w:rPr>
              <w:t>4.399</w:t>
            </w:r>
          </w:p>
        </w:tc>
        <w:tc>
          <w:tcPr>
            <w:tcW w:w="834" w:type="dxa"/>
            <w:tcBorders>
              <w:top w:val="nil"/>
              <w:left w:val="single" w:sz="4" w:space="0" w:color="BFBFBF"/>
              <w:bottom w:val="nil"/>
              <w:right w:val="nil"/>
            </w:tcBorders>
            <w:shd w:val="clear" w:color="auto" w:fill="auto"/>
            <w:noWrap/>
            <w:vAlign w:val="center"/>
            <w:hideMark/>
          </w:tcPr>
          <w:p w14:paraId="09865149" w14:textId="77777777" w:rsidR="008F776F" w:rsidRPr="00FD4BBE" w:rsidRDefault="008F776F" w:rsidP="00DB6666">
            <w:pPr>
              <w:jc w:val="right"/>
              <w:rPr>
                <w:rFonts w:ascii="Arial Narrow" w:hAnsi="Arial Narrow" w:cs="Arial"/>
                <w:sz w:val="18"/>
                <w:szCs w:val="18"/>
                <w:highlight w:val="cyan"/>
                <w:lang w:val="es-ES_tradnl"/>
              </w:rPr>
            </w:pPr>
            <w:r w:rsidRPr="00FD4BBE">
              <w:rPr>
                <w:rFonts w:ascii="Arial Narrow" w:hAnsi="Arial Narrow" w:cs="Arial"/>
                <w:sz w:val="18"/>
                <w:szCs w:val="18"/>
                <w:lang w:val="es-ES_tradnl"/>
              </w:rPr>
              <w:t>179.966</w:t>
            </w:r>
          </w:p>
        </w:tc>
        <w:tc>
          <w:tcPr>
            <w:tcW w:w="976" w:type="dxa"/>
            <w:tcBorders>
              <w:top w:val="nil"/>
              <w:left w:val="nil"/>
              <w:bottom w:val="nil"/>
              <w:right w:val="nil"/>
            </w:tcBorders>
            <w:shd w:val="clear" w:color="auto" w:fill="auto"/>
            <w:noWrap/>
            <w:vAlign w:val="center"/>
            <w:hideMark/>
          </w:tcPr>
          <w:p w14:paraId="00E91798" w14:textId="77777777" w:rsidR="008F776F" w:rsidRPr="00FD4BBE" w:rsidRDefault="008F776F" w:rsidP="00DB6666">
            <w:pPr>
              <w:jc w:val="right"/>
              <w:rPr>
                <w:rFonts w:ascii="Arial Narrow" w:hAnsi="Arial Narrow" w:cs="Arial"/>
                <w:sz w:val="18"/>
                <w:szCs w:val="18"/>
                <w:highlight w:val="cyan"/>
                <w:lang w:val="es-ES_tradnl"/>
              </w:rPr>
            </w:pPr>
            <w:r w:rsidRPr="00FD4BBE">
              <w:rPr>
                <w:rFonts w:ascii="Arial Narrow" w:hAnsi="Arial Narrow" w:cs="Arial"/>
                <w:sz w:val="18"/>
                <w:szCs w:val="18"/>
                <w:lang w:val="es-ES_tradnl"/>
              </w:rPr>
              <w:t>215.959</w:t>
            </w:r>
          </w:p>
        </w:tc>
        <w:tc>
          <w:tcPr>
            <w:tcW w:w="977" w:type="dxa"/>
            <w:tcBorders>
              <w:top w:val="nil"/>
              <w:left w:val="nil"/>
              <w:bottom w:val="nil"/>
              <w:right w:val="nil"/>
            </w:tcBorders>
            <w:shd w:val="clear" w:color="auto" w:fill="auto"/>
            <w:noWrap/>
            <w:vAlign w:val="center"/>
            <w:hideMark/>
          </w:tcPr>
          <w:p w14:paraId="093ACCEE" w14:textId="77777777" w:rsidR="008F776F" w:rsidRPr="00FD4BBE" w:rsidRDefault="008F776F" w:rsidP="00DB6666">
            <w:pPr>
              <w:jc w:val="right"/>
              <w:rPr>
                <w:rFonts w:ascii="Arial Narrow" w:hAnsi="Arial Narrow" w:cs="Arial"/>
                <w:sz w:val="18"/>
                <w:szCs w:val="18"/>
                <w:highlight w:val="cyan"/>
                <w:lang w:val="es-ES_tradnl"/>
              </w:rPr>
            </w:pPr>
            <w:r w:rsidRPr="00FD4BBE">
              <w:rPr>
                <w:rFonts w:ascii="Arial Narrow" w:hAnsi="Arial Narrow" w:cs="Arial"/>
                <w:sz w:val="18"/>
                <w:szCs w:val="18"/>
                <w:lang w:val="es-ES_tradnl"/>
              </w:rPr>
              <w:t>395.925</w:t>
            </w:r>
          </w:p>
        </w:tc>
      </w:tr>
      <w:tr w:rsidR="008F776F" w:rsidRPr="00FD4BBE" w14:paraId="62056E4E" w14:textId="77777777" w:rsidTr="00DB6666">
        <w:trPr>
          <w:cantSplit/>
          <w:trHeight w:val="362"/>
          <w:jc w:val="center"/>
        </w:trPr>
        <w:tc>
          <w:tcPr>
            <w:tcW w:w="2570" w:type="dxa"/>
            <w:tcBorders>
              <w:top w:val="nil"/>
              <w:left w:val="nil"/>
              <w:bottom w:val="nil"/>
              <w:right w:val="nil"/>
            </w:tcBorders>
            <w:shd w:val="clear" w:color="auto" w:fill="auto"/>
            <w:vAlign w:val="center"/>
            <w:hideMark/>
          </w:tcPr>
          <w:p w14:paraId="086A65EE" w14:textId="77777777" w:rsidR="008F776F" w:rsidRPr="00FD4BBE" w:rsidRDefault="008F776F" w:rsidP="00DB6666">
            <w:pPr>
              <w:jc w:val="left"/>
              <w:rPr>
                <w:rFonts w:ascii="Arial Narrow" w:hAnsi="Arial Narrow" w:cs="Arial"/>
                <w:sz w:val="18"/>
                <w:szCs w:val="18"/>
                <w:lang w:val="es-ES_tradnl"/>
              </w:rPr>
            </w:pPr>
            <w:r w:rsidRPr="00FD4BBE">
              <w:rPr>
                <w:rFonts w:ascii="Arial Narrow" w:hAnsi="Arial Narrow" w:cs="Arial"/>
                <w:sz w:val="18"/>
                <w:szCs w:val="18"/>
                <w:lang w:val="es-ES_tradnl"/>
              </w:rPr>
              <w:t>PLUTO</w:t>
            </w:r>
          </w:p>
        </w:tc>
        <w:tc>
          <w:tcPr>
            <w:tcW w:w="1399" w:type="dxa"/>
            <w:tcBorders>
              <w:top w:val="nil"/>
              <w:left w:val="nil"/>
              <w:bottom w:val="nil"/>
              <w:right w:val="nil"/>
            </w:tcBorders>
            <w:shd w:val="clear" w:color="auto" w:fill="auto"/>
            <w:noWrap/>
            <w:vAlign w:val="center"/>
            <w:hideMark/>
          </w:tcPr>
          <w:p w14:paraId="74D50C80" w14:textId="77777777" w:rsidR="008F776F" w:rsidRPr="00FD4BBE" w:rsidRDefault="008F776F" w:rsidP="00DB6666">
            <w:pPr>
              <w:jc w:val="right"/>
              <w:rPr>
                <w:rFonts w:ascii="Arial Narrow" w:hAnsi="Arial Narrow" w:cs="Arial"/>
                <w:sz w:val="18"/>
                <w:szCs w:val="18"/>
                <w:lang w:val="es-ES_tradnl"/>
              </w:rPr>
            </w:pPr>
            <w:r w:rsidRPr="00FD4BBE">
              <w:rPr>
                <w:rFonts w:ascii="Arial Narrow" w:hAnsi="Arial Narrow" w:cs="Arial"/>
                <w:sz w:val="18"/>
                <w:szCs w:val="18"/>
                <w:lang w:val="es-ES_tradnl"/>
              </w:rPr>
              <w:t>750</w:t>
            </w:r>
          </w:p>
        </w:tc>
        <w:tc>
          <w:tcPr>
            <w:tcW w:w="993" w:type="dxa"/>
            <w:tcBorders>
              <w:top w:val="nil"/>
              <w:left w:val="nil"/>
              <w:bottom w:val="nil"/>
              <w:right w:val="nil"/>
            </w:tcBorders>
            <w:shd w:val="clear" w:color="auto" w:fill="auto"/>
            <w:noWrap/>
            <w:vAlign w:val="center"/>
            <w:hideMark/>
          </w:tcPr>
          <w:p w14:paraId="2C4D7310" w14:textId="77777777" w:rsidR="008F776F" w:rsidRPr="00FD4BBE" w:rsidRDefault="008F776F" w:rsidP="00DB6666">
            <w:pPr>
              <w:jc w:val="right"/>
              <w:rPr>
                <w:rFonts w:ascii="Arial Narrow" w:hAnsi="Arial Narrow" w:cs="Arial"/>
                <w:sz w:val="18"/>
                <w:szCs w:val="18"/>
                <w:highlight w:val="cyan"/>
                <w:lang w:val="es-ES_tradnl"/>
              </w:rPr>
            </w:pPr>
            <w:r w:rsidRPr="00FD4BBE">
              <w:rPr>
                <w:rFonts w:ascii="Arial Narrow" w:hAnsi="Arial Narrow" w:cs="Arial"/>
                <w:sz w:val="18"/>
                <w:szCs w:val="18"/>
                <w:lang w:val="es-ES_tradnl"/>
              </w:rPr>
              <w:t>70</w:t>
            </w:r>
          </w:p>
        </w:tc>
        <w:tc>
          <w:tcPr>
            <w:tcW w:w="992" w:type="dxa"/>
            <w:tcBorders>
              <w:top w:val="nil"/>
              <w:left w:val="nil"/>
              <w:bottom w:val="nil"/>
              <w:right w:val="nil"/>
            </w:tcBorders>
            <w:shd w:val="clear" w:color="auto" w:fill="auto"/>
            <w:noWrap/>
            <w:vAlign w:val="center"/>
            <w:hideMark/>
          </w:tcPr>
          <w:p w14:paraId="324405E7" w14:textId="77777777" w:rsidR="008F776F" w:rsidRPr="00FD4BBE" w:rsidRDefault="008F776F" w:rsidP="00DB6666">
            <w:pPr>
              <w:jc w:val="right"/>
              <w:rPr>
                <w:rFonts w:ascii="Arial Narrow" w:hAnsi="Arial Narrow" w:cs="Arial"/>
                <w:sz w:val="18"/>
                <w:szCs w:val="18"/>
                <w:highlight w:val="cyan"/>
                <w:lang w:val="es-ES_tradnl"/>
              </w:rPr>
            </w:pPr>
            <w:r w:rsidRPr="00FD4BBE">
              <w:rPr>
                <w:rFonts w:ascii="Arial Narrow" w:hAnsi="Arial Narrow" w:cs="Arial"/>
                <w:sz w:val="18"/>
                <w:szCs w:val="18"/>
                <w:lang w:val="es-ES_tradnl"/>
              </w:rPr>
              <w:t>80</w:t>
            </w:r>
          </w:p>
        </w:tc>
        <w:tc>
          <w:tcPr>
            <w:tcW w:w="992" w:type="dxa"/>
            <w:tcBorders>
              <w:top w:val="nil"/>
              <w:left w:val="nil"/>
              <w:bottom w:val="nil"/>
              <w:right w:val="nil"/>
            </w:tcBorders>
            <w:shd w:val="clear" w:color="auto" w:fill="auto"/>
            <w:noWrap/>
            <w:vAlign w:val="center"/>
            <w:hideMark/>
          </w:tcPr>
          <w:p w14:paraId="76A347A1" w14:textId="77777777" w:rsidR="008F776F" w:rsidRPr="00FD4BBE" w:rsidRDefault="008F776F" w:rsidP="00DB6666">
            <w:pPr>
              <w:jc w:val="right"/>
              <w:rPr>
                <w:rFonts w:ascii="Arial Narrow" w:hAnsi="Arial Narrow" w:cs="Arial"/>
                <w:sz w:val="18"/>
                <w:szCs w:val="18"/>
                <w:highlight w:val="cyan"/>
                <w:lang w:val="es-ES_tradnl"/>
              </w:rPr>
            </w:pPr>
            <w:r w:rsidRPr="00FD4BBE">
              <w:rPr>
                <w:rFonts w:ascii="Arial Narrow" w:hAnsi="Arial Narrow" w:cs="Arial"/>
                <w:sz w:val="18"/>
                <w:szCs w:val="18"/>
                <w:lang w:val="es-ES_tradnl"/>
              </w:rPr>
              <w:t>150</w:t>
            </w:r>
          </w:p>
        </w:tc>
        <w:tc>
          <w:tcPr>
            <w:tcW w:w="834" w:type="dxa"/>
            <w:tcBorders>
              <w:top w:val="nil"/>
              <w:left w:val="single" w:sz="4" w:space="0" w:color="BFBFBF"/>
              <w:bottom w:val="single" w:sz="4" w:space="0" w:color="BFBFBF"/>
              <w:right w:val="nil"/>
            </w:tcBorders>
            <w:shd w:val="clear" w:color="auto" w:fill="auto"/>
            <w:noWrap/>
            <w:vAlign w:val="center"/>
            <w:hideMark/>
          </w:tcPr>
          <w:p w14:paraId="70FFEE16" w14:textId="77777777" w:rsidR="008F776F" w:rsidRPr="00FD4BBE" w:rsidRDefault="008F776F" w:rsidP="00DB6666">
            <w:pPr>
              <w:jc w:val="right"/>
              <w:rPr>
                <w:rFonts w:ascii="Arial Narrow" w:hAnsi="Arial Narrow" w:cs="Arial"/>
                <w:sz w:val="18"/>
                <w:szCs w:val="18"/>
                <w:highlight w:val="cyan"/>
                <w:lang w:val="es-ES_tradnl"/>
              </w:rPr>
            </w:pPr>
            <w:r w:rsidRPr="00FD4BBE">
              <w:rPr>
                <w:rFonts w:ascii="Arial Narrow" w:hAnsi="Arial Narrow" w:cs="Arial"/>
                <w:sz w:val="18"/>
                <w:szCs w:val="18"/>
                <w:lang w:val="es-ES_tradnl"/>
              </w:rPr>
              <w:t>52.500</w:t>
            </w:r>
          </w:p>
        </w:tc>
        <w:tc>
          <w:tcPr>
            <w:tcW w:w="976" w:type="dxa"/>
            <w:tcBorders>
              <w:top w:val="nil"/>
              <w:left w:val="nil"/>
              <w:bottom w:val="nil"/>
              <w:right w:val="nil"/>
            </w:tcBorders>
            <w:shd w:val="clear" w:color="auto" w:fill="auto"/>
            <w:noWrap/>
            <w:vAlign w:val="center"/>
            <w:hideMark/>
          </w:tcPr>
          <w:p w14:paraId="255DB2E9" w14:textId="77777777" w:rsidR="008F776F" w:rsidRPr="00FD4BBE" w:rsidRDefault="008F776F" w:rsidP="00DB6666">
            <w:pPr>
              <w:jc w:val="right"/>
              <w:rPr>
                <w:rFonts w:ascii="Arial Narrow" w:hAnsi="Arial Narrow" w:cs="Arial"/>
                <w:sz w:val="18"/>
                <w:szCs w:val="18"/>
                <w:highlight w:val="cyan"/>
                <w:lang w:val="es-ES_tradnl"/>
              </w:rPr>
            </w:pPr>
            <w:r w:rsidRPr="00FD4BBE">
              <w:rPr>
                <w:rFonts w:ascii="Arial Narrow" w:hAnsi="Arial Narrow" w:cs="Arial"/>
                <w:sz w:val="18"/>
                <w:szCs w:val="18"/>
                <w:lang w:val="es-ES_tradnl"/>
              </w:rPr>
              <w:t>60.000</w:t>
            </w:r>
          </w:p>
        </w:tc>
        <w:tc>
          <w:tcPr>
            <w:tcW w:w="977" w:type="dxa"/>
            <w:tcBorders>
              <w:top w:val="nil"/>
              <w:left w:val="nil"/>
              <w:bottom w:val="nil"/>
              <w:right w:val="nil"/>
            </w:tcBorders>
            <w:shd w:val="clear" w:color="auto" w:fill="auto"/>
            <w:noWrap/>
            <w:vAlign w:val="center"/>
            <w:hideMark/>
          </w:tcPr>
          <w:p w14:paraId="16A5644C" w14:textId="77777777" w:rsidR="008F776F" w:rsidRPr="00FD4BBE" w:rsidRDefault="008F776F" w:rsidP="00DB6666">
            <w:pPr>
              <w:jc w:val="right"/>
              <w:rPr>
                <w:rFonts w:ascii="Arial Narrow" w:hAnsi="Arial Narrow" w:cs="Arial"/>
                <w:sz w:val="18"/>
                <w:szCs w:val="18"/>
                <w:highlight w:val="cyan"/>
                <w:lang w:val="es-ES_tradnl"/>
              </w:rPr>
            </w:pPr>
            <w:r w:rsidRPr="00FD4BBE">
              <w:rPr>
                <w:rFonts w:ascii="Arial Narrow" w:hAnsi="Arial Narrow" w:cs="Arial"/>
                <w:sz w:val="18"/>
                <w:szCs w:val="18"/>
                <w:lang w:val="es-ES_tradnl"/>
              </w:rPr>
              <w:t>112.500</w:t>
            </w:r>
          </w:p>
        </w:tc>
      </w:tr>
      <w:tr w:rsidR="008F776F" w:rsidRPr="00FD4BBE" w14:paraId="1C025711" w14:textId="77777777" w:rsidTr="00DB6666">
        <w:trPr>
          <w:cantSplit/>
          <w:trHeight w:val="384"/>
          <w:jc w:val="center"/>
        </w:trPr>
        <w:tc>
          <w:tcPr>
            <w:tcW w:w="2570" w:type="dxa"/>
            <w:tcBorders>
              <w:top w:val="single" w:sz="4" w:space="0" w:color="BFBFBF"/>
              <w:left w:val="nil"/>
              <w:bottom w:val="single" w:sz="8" w:space="0" w:color="BFBFBF"/>
              <w:right w:val="nil"/>
            </w:tcBorders>
            <w:shd w:val="clear" w:color="auto" w:fill="auto"/>
            <w:vAlign w:val="center"/>
            <w:hideMark/>
          </w:tcPr>
          <w:p w14:paraId="0565971B" w14:textId="77777777" w:rsidR="008F776F" w:rsidRPr="00FD4BBE" w:rsidRDefault="00FD4BBE" w:rsidP="00FD4BBE">
            <w:pPr>
              <w:jc w:val="left"/>
              <w:rPr>
                <w:rFonts w:ascii="Arial Narrow" w:hAnsi="Arial Narrow" w:cs="Arial"/>
                <w:b/>
                <w:bCs/>
                <w:sz w:val="18"/>
                <w:szCs w:val="18"/>
                <w:lang w:val="es-ES_tradnl"/>
              </w:rPr>
            </w:pPr>
            <w:r>
              <w:rPr>
                <w:rFonts w:ascii="Arial Narrow" w:hAnsi="Arial Narrow" w:cs="Arial"/>
                <w:b/>
                <w:bCs/>
                <w:sz w:val="18"/>
                <w:szCs w:val="18"/>
                <w:lang w:val="es-ES_tradnl"/>
              </w:rPr>
              <w:t>Total</w:t>
            </w:r>
          </w:p>
        </w:tc>
        <w:tc>
          <w:tcPr>
            <w:tcW w:w="1399" w:type="dxa"/>
            <w:tcBorders>
              <w:top w:val="single" w:sz="4" w:space="0" w:color="BFBFBF"/>
              <w:left w:val="nil"/>
              <w:bottom w:val="single" w:sz="8" w:space="0" w:color="BFBFBF"/>
              <w:right w:val="nil"/>
            </w:tcBorders>
            <w:shd w:val="clear" w:color="auto" w:fill="auto"/>
            <w:vAlign w:val="center"/>
            <w:hideMark/>
          </w:tcPr>
          <w:p w14:paraId="2562A873" w14:textId="77777777" w:rsidR="008F776F" w:rsidRPr="00FD4BBE" w:rsidRDefault="008F776F" w:rsidP="00DB6666">
            <w:pPr>
              <w:jc w:val="right"/>
              <w:rPr>
                <w:rFonts w:ascii="Arial Narrow" w:hAnsi="Arial Narrow" w:cs="Arial"/>
                <w:b/>
                <w:bCs/>
                <w:sz w:val="18"/>
                <w:szCs w:val="18"/>
                <w:lang w:val="es-ES_tradnl"/>
              </w:rPr>
            </w:pPr>
          </w:p>
        </w:tc>
        <w:tc>
          <w:tcPr>
            <w:tcW w:w="993" w:type="dxa"/>
            <w:tcBorders>
              <w:top w:val="single" w:sz="4" w:space="0" w:color="BFBFBF"/>
              <w:left w:val="nil"/>
              <w:bottom w:val="single" w:sz="8" w:space="0" w:color="BFBFBF"/>
              <w:right w:val="nil"/>
            </w:tcBorders>
            <w:shd w:val="clear" w:color="auto" w:fill="auto"/>
            <w:noWrap/>
            <w:vAlign w:val="center"/>
            <w:hideMark/>
          </w:tcPr>
          <w:p w14:paraId="54E4FBBF" w14:textId="77777777" w:rsidR="008F776F" w:rsidRPr="00FD4BBE" w:rsidRDefault="008F776F" w:rsidP="00DB6666">
            <w:pPr>
              <w:jc w:val="right"/>
              <w:rPr>
                <w:rFonts w:ascii="Arial Narrow" w:hAnsi="Arial Narrow" w:cs="Arial"/>
                <w:b/>
                <w:bCs/>
                <w:sz w:val="18"/>
                <w:szCs w:val="18"/>
                <w:lang w:val="es-ES_tradnl"/>
              </w:rPr>
            </w:pPr>
          </w:p>
        </w:tc>
        <w:tc>
          <w:tcPr>
            <w:tcW w:w="992" w:type="dxa"/>
            <w:tcBorders>
              <w:top w:val="single" w:sz="4" w:space="0" w:color="BFBFBF"/>
              <w:left w:val="nil"/>
              <w:bottom w:val="single" w:sz="8" w:space="0" w:color="BFBFBF"/>
              <w:right w:val="nil"/>
            </w:tcBorders>
            <w:shd w:val="clear" w:color="auto" w:fill="auto"/>
            <w:noWrap/>
            <w:vAlign w:val="center"/>
            <w:hideMark/>
          </w:tcPr>
          <w:p w14:paraId="6F9AC286" w14:textId="77777777" w:rsidR="008F776F" w:rsidRPr="00FD4BBE" w:rsidRDefault="008F776F" w:rsidP="00DB6666">
            <w:pPr>
              <w:jc w:val="right"/>
              <w:rPr>
                <w:rFonts w:ascii="Arial Narrow" w:hAnsi="Arial Narrow" w:cs="Arial"/>
                <w:b/>
                <w:bCs/>
                <w:sz w:val="18"/>
                <w:szCs w:val="18"/>
                <w:lang w:val="es-ES_tradnl"/>
              </w:rPr>
            </w:pPr>
          </w:p>
        </w:tc>
        <w:tc>
          <w:tcPr>
            <w:tcW w:w="992" w:type="dxa"/>
            <w:tcBorders>
              <w:top w:val="single" w:sz="4" w:space="0" w:color="BFBFBF"/>
              <w:left w:val="nil"/>
              <w:bottom w:val="single" w:sz="8" w:space="0" w:color="BFBFBF"/>
              <w:right w:val="nil"/>
            </w:tcBorders>
            <w:shd w:val="clear" w:color="auto" w:fill="auto"/>
            <w:noWrap/>
            <w:vAlign w:val="center"/>
            <w:hideMark/>
          </w:tcPr>
          <w:p w14:paraId="1F257D5A" w14:textId="77777777" w:rsidR="008F776F" w:rsidRPr="00FD4BBE" w:rsidRDefault="008F776F" w:rsidP="00DB6666">
            <w:pPr>
              <w:jc w:val="right"/>
              <w:rPr>
                <w:rFonts w:ascii="Arial Narrow" w:hAnsi="Arial Narrow" w:cs="Arial"/>
                <w:b/>
                <w:bCs/>
                <w:sz w:val="18"/>
                <w:szCs w:val="18"/>
                <w:lang w:val="es-ES_tradnl"/>
              </w:rPr>
            </w:pPr>
          </w:p>
        </w:tc>
        <w:tc>
          <w:tcPr>
            <w:tcW w:w="834" w:type="dxa"/>
            <w:tcBorders>
              <w:top w:val="single" w:sz="4" w:space="0" w:color="BFBFBF"/>
              <w:left w:val="nil"/>
              <w:bottom w:val="single" w:sz="8" w:space="0" w:color="BFBFBF"/>
              <w:right w:val="nil"/>
            </w:tcBorders>
            <w:shd w:val="clear" w:color="auto" w:fill="auto"/>
            <w:noWrap/>
            <w:vAlign w:val="center"/>
            <w:hideMark/>
          </w:tcPr>
          <w:p w14:paraId="7C46A41B" w14:textId="77777777" w:rsidR="008F776F" w:rsidRPr="00FD4BBE" w:rsidRDefault="008F776F" w:rsidP="00DB6666">
            <w:pPr>
              <w:jc w:val="right"/>
              <w:rPr>
                <w:rFonts w:ascii="Arial Narrow" w:hAnsi="Arial Narrow" w:cs="Arial"/>
                <w:b/>
                <w:bCs/>
                <w:sz w:val="18"/>
                <w:szCs w:val="18"/>
                <w:lang w:val="es-ES_tradnl"/>
              </w:rPr>
            </w:pPr>
            <w:r w:rsidRPr="00FD4BBE">
              <w:rPr>
                <w:rFonts w:ascii="Arial Narrow" w:hAnsi="Arial Narrow" w:cs="Arial"/>
                <w:b/>
                <w:bCs/>
                <w:sz w:val="18"/>
                <w:szCs w:val="18"/>
                <w:lang w:val="es-ES_tradnl"/>
              </w:rPr>
              <w:t>232.466</w:t>
            </w:r>
          </w:p>
        </w:tc>
        <w:tc>
          <w:tcPr>
            <w:tcW w:w="976" w:type="dxa"/>
            <w:tcBorders>
              <w:top w:val="single" w:sz="4" w:space="0" w:color="BFBFBF"/>
              <w:left w:val="nil"/>
              <w:bottom w:val="single" w:sz="8" w:space="0" w:color="BFBFBF"/>
              <w:right w:val="nil"/>
            </w:tcBorders>
            <w:shd w:val="clear" w:color="auto" w:fill="auto"/>
            <w:noWrap/>
            <w:vAlign w:val="center"/>
            <w:hideMark/>
          </w:tcPr>
          <w:p w14:paraId="3D12ABC6" w14:textId="77777777" w:rsidR="008F776F" w:rsidRPr="00FD4BBE" w:rsidRDefault="008F776F" w:rsidP="00DB6666">
            <w:pPr>
              <w:jc w:val="right"/>
              <w:rPr>
                <w:rFonts w:ascii="Arial Narrow" w:hAnsi="Arial Narrow" w:cs="Arial"/>
                <w:b/>
                <w:bCs/>
                <w:sz w:val="18"/>
                <w:szCs w:val="18"/>
                <w:lang w:val="es-ES_tradnl"/>
              </w:rPr>
            </w:pPr>
            <w:r w:rsidRPr="00FD4BBE">
              <w:rPr>
                <w:rFonts w:ascii="Arial Narrow" w:hAnsi="Arial Narrow" w:cs="Arial"/>
                <w:b/>
                <w:bCs/>
                <w:sz w:val="18"/>
                <w:szCs w:val="18"/>
                <w:lang w:val="es-ES_tradnl"/>
              </w:rPr>
              <w:t>275.959</w:t>
            </w:r>
          </w:p>
        </w:tc>
        <w:tc>
          <w:tcPr>
            <w:tcW w:w="977" w:type="dxa"/>
            <w:tcBorders>
              <w:top w:val="single" w:sz="4" w:space="0" w:color="BFBFBF"/>
              <w:left w:val="nil"/>
              <w:bottom w:val="single" w:sz="8" w:space="0" w:color="BFBFBF"/>
              <w:right w:val="nil"/>
            </w:tcBorders>
            <w:shd w:val="clear" w:color="auto" w:fill="auto"/>
            <w:noWrap/>
            <w:vAlign w:val="center"/>
            <w:hideMark/>
          </w:tcPr>
          <w:p w14:paraId="1054B076" w14:textId="77777777" w:rsidR="008F776F" w:rsidRPr="00FD4BBE" w:rsidRDefault="008F776F" w:rsidP="00DB6666">
            <w:pPr>
              <w:jc w:val="right"/>
              <w:rPr>
                <w:rFonts w:ascii="Arial Narrow" w:hAnsi="Arial Narrow" w:cs="Arial"/>
                <w:b/>
                <w:bCs/>
                <w:sz w:val="18"/>
                <w:szCs w:val="18"/>
                <w:lang w:val="es-ES_tradnl"/>
              </w:rPr>
            </w:pPr>
            <w:r w:rsidRPr="00FD4BBE">
              <w:rPr>
                <w:rFonts w:ascii="Arial Narrow" w:hAnsi="Arial Narrow" w:cs="Arial"/>
                <w:b/>
                <w:bCs/>
                <w:sz w:val="18"/>
                <w:szCs w:val="18"/>
                <w:lang w:val="es-ES_tradnl"/>
              </w:rPr>
              <w:t>508.425</w:t>
            </w:r>
          </w:p>
        </w:tc>
      </w:tr>
    </w:tbl>
    <w:p w14:paraId="20D2E37F" w14:textId="77777777" w:rsidR="008F776F" w:rsidRPr="008F776F" w:rsidRDefault="008F776F" w:rsidP="008F776F">
      <w:pPr>
        <w:spacing w:after="120"/>
        <w:ind w:left="426" w:hanging="426"/>
        <w:jc w:val="left"/>
        <w:rPr>
          <w:i/>
          <w:sz w:val="18"/>
          <w:szCs w:val="16"/>
          <w:lang w:val="es-ES_tradnl"/>
        </w:rPr>
      </w:pPr>
    </w:p>
    <w:p w14:paraId="556E3B14" w14:textId="77777777" w:rsidR="008F776F" w:rsidRPr="008F776F" w:rsidRDefault="008F776F" w:rsidP="008F776F">
      <w:pPr>
        <w:rPr>
          <w:lang w:val="es-ES_tradnl"/>
        </w:rPr>
      </w:pPr>
      <w:r w:rsidRPr="008F776F">
        <w:rPr>
          <w:lang w:val="es-ES_tradnl"/>
        </w:rPr>
        <w:t xml:space="preserve">Las cifras para UPOV PRISMA se basan en las previsiones del documento CC/99/4 “Financiación de UPOV PRISMA”, actualizadas respecto de las cifras reales </w:t>
      </w:r>
      <w:r w:rsidR="00FD4BBE">
        <w:rPr>
          <w:lang w:val="es-ES_tradnl"/>
        </w:rPr>
        <w:t>en</w:t>
      </w:r>
      <w:r w:rsidRPr="008F776F">
        <w:rPr>
          <w:lang w:val="es-ES_tradnl"/>
        </w:rPr>
        <w:t xml:space="preserve"> 2022. </w:t>
      </w:r>
    </w:p>
    <w:p w14:paraId="00DD5419" w14:textId="77777777" w:rsidR="008F776F" w:rsidRPr="008F776F" w:rsidRDefault="008F776F" w:rsidP="008F776F">
      <w:pPr>
        <w:rPr>
          <w:lang w:val="es-ES_tradnl"/>
        </w:rPr>
      </w:pPr>
    </w:p>
    <w:p w14:paraId="45EFF0CA" w14:textId="77777777" w:rsidR="008F776F" w:rsidRPr="008F776F" w:rsidRDefault="008F776F" w:rsidP="008F776F">
      <w:pPr>
        <w:rPr>
          <w:lang w:val="es-ES_tradnl"/>
        </w:rPr>
      </w:pPr>
    </w:p>
    <w:p w14:paraId="20F54795" w14:textId="77777777" w:rsidR="008F776F" w:rsidRPr="008F776F" w:rsidRDefault="008F776F" w:rsidP="008F776F">
      <w:pPr>
        <w:pStyle w:val="Heading3"/>
      </w:pPr>
      <w:bookmarkStart w:id="422" w:name="_Toc141978851"/>
      <w:r w:rsidRPr="008F776F">
        <w:t>Plan de dotación de recursos</w:t>
      </w:r>
      <w:bookmarkEnd w:id="422"/>
    </w:p>
    <w:p w14:paraId="7CC7E808" w14:textId="77777777" w:rsidR="008F776F" w:rsidRPr="008F776F" w:rsidRDefault="008F776F" w:rsidP="008F776F">
      <w:pPr>
        <w:rPr>
          <w:sz w:val="18"/>
          <w:szCs w:val="16"/>
          <w:lang w:val="es-ES_tradnl"/>
        </w:rPr>
      </w:pPr>
    </w:p>
    <w:p w14:paraId="1C1D70FF" w14:textId="77777777" w:rsidR="008F776F" w:rsidRPr="008F776F" w:rsidRDefault="008F776F" w:rsidP="008F776F">
      <w:pPr>
        <w:rPr>
          <w:lang w:val="es-ES_tradnl"/>
        </w:rPr>
      </w:pPr>
      <w:r w:rsidRPr="008F776F">
        <w:rPr>
          <w:lang w:val="es-ES_tradnl"/>
        </w:rPr>
        <w:t>Para el programa de actividades que realizará la UPOV en el bienio 2024-2025, el total de los recursos asciende a 8.821.661</w:t>
      </w:r>
      <w:r w:rsidRPr="008F776F">
        <w:rPr>
          <w:spacing w:val="-2"/>
          <w:szCs w:val="24"/>
          <w:lang w:val="es-ES_tradnl"/>
        </w:rPr>
        <w:t> </w:t>
      </w:r>
      <w:r w:rsidRPr="008F776F">
        <w:rPr>
          <w:szCs w:val="24"/>
          <w:lang w:val="es-ES_tradnl"/>
        </w:rPr>
        <w:t>francos suizos (véase el cuadro 3)</w:t>
      </w:r>
      <w:r w:rsidRPr="008F776F">
        <w:rPr>
          <w:lang w:val="es-ES_tradnl"/>
        </w:rPr>
        <w:t>. Este importe incluye 7.901.307</w:t>
      </w:r>
      <w:r w:rsidRPr="008F776F">
        <w:rPr>
          <w:szCs w:val="24"/>
          <w:lang w:val="es-ES_tradnl"/>
        </w:rPr>
        <w:t xml:space="preserve"> francos suizos</w:t>
      </w:r>
      <w:r w:rsidRPr="008F776F">
        <w:rPr>
          <w:lang w:val="es-ES_tradnl"/>
        </w:rPr>
        <w:t xml:space="preserve"> previstos en el presupuesto ordinario (véase el cuadro 1), y una estimación de 920.354</w:t>
      </w:r>
      <w:r w:rsidRPr="008F776F">
        <w:rPr>
          <w:szCs w:val="24"/>
          <w:lang w:val="es-ES_tradnl"/>
        </w:rPr>
        <w:t xml:space="preserve"> francos suizos </w:t>
      </w:r>
      <w:r w:rsidRPr="008F776F">
        <w:rPr>
          <w:lang w:val="es-ES_tradnl"/>
        </w:rPr>
        <w:t>financiados mediante fondos fiduciarios.</w:t>
      </w:r>
    </w:p>
    <w:p w14:paraId="3084A44E" w14:textId="77777777" w:rsidR="008F776F" w:rsidRPr="008F776F" w:rsidRDefault="008F776F" w:rsidP="008F776F">
      <w:pPr>
        <w:tabs>
          <w:tab w:val="left" w:pos="567"/>
        </w:tabs>
        <w:rPr>
          <w:lang w:val="es-ES_tradnl"/>
        </w:rPr>
      </w:pPr>
    </w:p>
    <w:p w14:paraId="6BA00A9E" w14:textId="77777777" w:rsidR="008F776F" w:rsidRPr="008F776F" w:rsidRDefault="008F776F" w:rsidP="008F776F">
      <w:pPr>
        <w:keepLines/>
        <w:tabs>
          <w:tab w:val="left" w:pos="567"/>
        </w:tabs>
        <w:rPr>
          <w:lang w:val="es-ES_tradnl"/>
        </w:rPr>
      </w:pPr>
      <w:r w:rsidRPr="008F776F">
        <w:rPr>
          <w:lang w:val="es-ES_tradnl"/>
        </w:rPr>
        <w:t>En el bienio 2024-2025 se prevé que los ingresos y los gastos del presupuesto ordinario estén equilibrados.</w:t>
      </w:r>
    </w:p>
    <w:p w14:paraId="75C437C5" w14:textId="77777777" w:rsidR="008F776F" w:rsidRPr="008F776F" w:rsidRDefault="008F776F" w:rsidP="008F776F">
      <w:pPr>
        <w:tabs>
          <w:tab w:val="left" w:pos="567"/>
        </w:tabs>
        <w:rPr>
          <w:lang w:val="es-ES_tradnl"/>
        </w:rPr>
      </w:pPr>
    </w:p>
    <w:p w14:paraId="039C81D2" w14:textId="77777777" w:rsidR="008F776F" w:rsidRPr="008F776F" w:rsidRDefault="008F776F" w:rsidP="008F776F">
      <w:pPr>
        <w:tabs>
          <w:tab w:val="left" w:pos="567"/>
        </w:tabs>
        <w:rPr>
          <w:spacing w:val="-2"/>
          <w:szCs w:val="24"/>
          <w:lang w:val="es-ES_tradnl"/>
        </w:rPr>
      </w:pPr>
      <w:r w:rsidRPr="008F776F">
        <w:rPr>
          <w:lang w:val="es-ES_tradnl"/>
        </w:rPr>
        <w:t>Los fondos fiduciarios son fondos financieros que por lo general algún miembro de la Unión ofrece voluntariamente a la UPOV para un determinado programa de actividades acordado mutuamente entre la Oficina de la Unión y el miembro en cuestión. Sin perjuicio de las decisiones de competencia exclusiva de los donantes de fondos, se espera que el importe total de esos fondos fiduciarios para el bienio </w:t>
      </w:r>
      <w:r w:rsidRPr="008F776F">
        <w:rPr>
          <w:spacing w:val="-2"/>
          <w:szCs w:val="24"/>
          <w:lang w:val="es-ES_tradnl"/>
        </w:rPr>
        <w:t>2024</w:t>
      </w:r>
      <w:r w:rsidRPr="008F776F">
        <w:rPr>
          <w:snapToGrid w:val="0"/>
          <w:spacing w:val="-2"/>
          <w:szCs w:val="24"/>
          <w:lang w:val="es-ES_tradnl"/>
        </w:rPr>
        <w:noBreakHyphen/>
        <w:t xml:space="preserve">2025 </w:t>
      </w:r>
      <w:r w:rsidRPr="008F776F">
        <w:rPr>
          <w:lang w:val="es-ES_tradnl"/>
        </w:rPr>
        <w:t xml:space="preserve">alcance los </w:t>
      </w:r>
      <w:r w:rsidRPr="008F776F">
        <w:rPr>
          <w:spacing w:val="-2"/>
          <w:szCs w:val="24"/>
          <w:lang w:val="es-ES_tradnl"/>
        </w:rPr>
        <w:t>920.354 francos suizos. Cabe observar que el apoyo financiero (por ejemplo,</w:t>
      </w:r>
      <w:r w:rsidRPr="008F776F">
        <w:rPr>
          <w:lang w:val="es-ES_tradnl"/>
        </w:rPr>
        <w:t xml:space="preserve"> los fondos fiduciarios) y el apoyo no financiero (en especie), en particular para las actividades de asistencia técnica y formación, no se contabilizan en el presupuesto </w:t>
      </w:r>
      <w:r w:rsidR="00ED4FEA">
        <w:rPr>
          <w:lang w:val="es-ES_tradnl"/>
        </w:rPr>
        <w:t xml:space="preserve">ordinario </w:t>
      </w:r>
      <w:r w:rsidRPr="008F776F">
        <w:rPr>
          <w:lang w:val="es-ES_tradnl"/>
        </w:rPr>
        <w:t>de la UPOV.</w:t>
      </w:r>
    </w:p>
    <w:p w14:paraId="262D1581" w14:textId="77777777" w:rsidR="008F776F" w:rsidRPr="008F776F" w:rsidRDefault="008F776F" w:rsidP="008F776F">
      <w:pPr>
        <w:rPr>
          <w:spacing w:val="-2"/>
          <w:szCs w:val="24"/>
          <w:lang w:val="es-ES_tradnl"/>
        </w:rPr>
      </w:pPr>
    </w:p>
    <w:p w14:paraId="2A9EC2E4" w14:textId="77777777" w:rsidR="008F776F" w:rsidRPr="008F776F" w:rsidRDefault="008F776F" w:rsidP="008F776F">
      <w:pPr>
        <w:rPr>
          <w:spacing w:val="-2"/>
          <w:szCs w:val="24"/>
          <w:lang w:val="es-ES_tradnl"/>
        </w:rPr>
      </w:pPr>
    </w:p>
    <w:p w14:paraId="27A7742E" w14:textId="77777777" w:rsidR="008F776F" w:rsidRPr="008F776F" w:rsidRDefault="008F776F" w:rsidP="008F776F">
      <w:pPr>
        <w:jc w:val="left"/>
        <w:rPr>
          <w:rFonts w:cs="Arial"/>
          <w:b/>
          <w:bCs/>
          <w:color w:val="26724C" w:themeColor="accent1" w:themeShade="BF"/>
          <w:lang w:val="es-ES_tradnl"/>
        </w:rPr>
      </w:pPr>
      <w:r w:rsidRPr="008F776F">
        <w:rPr>
          <w:rFonts w:cs="Arial"/>
          <w:b/>
          <w:bCs/>
          <w:color w:val="26724C" w:themeColor="accent1" w:themeShade="BF"/>
          <w:lang w:val="es-ES_tradnl"/>
        </w:rPr>
        <w:br w:type="page"/>
      </w:r>
    </w:p>
    <w:p w14:paraId="5E20C9E6" w14:textId="77777777" w:rsidR="008F776F" w:rsidRPr="008F776F" w:rsidRDefault="008F776F" w:rsidP="008F776F">
      <w:pPr>
        <w:jc w:val="center"/>
        <w:rPr>
          <w:color w:val="26724C" w:themeColor="accent1" w:themeShade="BF"/>
          <w:spacing w:val="-2"/>
          <w:szCs w:val="24"/>
          <w:lang w:val="es-ES_tradnl"/>
        </w:rPr>
      </w:pPr>
      <w:r w:rsidRPr="008F776F">
        <w:rPr>
          <w:rFonts w:cs="Arial"/>
          <w:b/>
          <w:bCs/>
          <w:color w:val="26724C" w:themeColor="accent1" w:themeShade="BF"/>
          <w:lang w:val="es-ES_tradnl"/>
        </w:rPr>
        <w:lastRenderedPageBreak/>
        <w:t xml:space="preserve">Cuadro 3: </w:t>
      </w:r>
      <w:r w:rsidRPr="008F776F">
        <w:rPr>
          <w:b/>
          <w:color w:val="26724C" w:themeColor="accent1" w:themeShade="BF"/>
          <w:spacing w:val="-2"/>
          <w:szCs w:val="24"/>
          <w:lang w:val="es-ES_tradnl"/>
        </w:rPr>
        <w:t xml:space="preserve">Plan de dotación de recursos correspondiente a los bienios </w:t>
      </w:r>
      <w:r w:rsidRPr="008F776F">
        <w:rPr>
          <w:rFonts w:cs="Arial"/>
          <w:b/>
          <w:bCs/>
          <w:color w:val="26724C" w:themeColor="accent1" w:themeShade="BF"/>
          <w:lang w:val="es-ES_tradnl"/>
        </w:rPr>
        <w:t>2022-2023 y 2024</w:t>
      </w:r>
      <w:r w:rsidRPr="008F776F">
        <w:rPr>
          <w:rFonts w:cs="Arial"/>
          <w:b/>
          <w:bCs/>
          <w:color w:val="26724C" w:themeColor="accent1" w:themeShade="BF"/>
          <w:lang w:val="es-ES_tradnl"/>
        </w:rPr>
        <w:noBreakHyphen/>
        <w:t>2025</w:t>
      </w:r>
    </w:p>
    <w:p w14:paraId="2AEE5772" w14:textId="77777777" w:rsidR="008F776F" w:rsidRPr="008F776F" w:rsidRDefault="008F776F" w:rsidP="008F776F">
      <w:pPr>
        <w:jc w:val="center"/>
        <w:rPr>
          <w:rFonts w:cs="Arial"/>
          <w:i/>
          <w:iCs/>
          <w:sz w:val="18"/>
          <w:lang w:val="es-ES_tradnl"/>
        </w:rPr>
      </w:pPr>
      <w:r w:rsidRPr="008F776F">
        <w:rPr>
          <w:rFonts w:cs="Arial"/>
          <w:i/>
          <w:iCs/>
          <w:sz w:val="18"/>
          <w:lang w:val="es-ES_tradnl"/>
        </w:rPr>
        <w:t>(en miles de francos suizos)</w:t>
      </w:r>
    </w:p>
    <w:p w14:paraId="149D708E" w14:textId="77777777" w:rsidR="008F776F" w:rsidRPr="008F776F" w:rsidRDefault="008F776F" w:rsidP="008F776F">
      <w:pPr>
        <w:jc w:val="center"/>
        <w:rPr>
          <w:spacing w:val="-2"/>
          <w:szCs w:val="24"/>
          <w:lang w:val="es-ES_tradnl"/>
        </w:rPr>
      </w:pPr>
    </w:p>
    <w:tbl>
      <w:tblPr>
        <w:tblW w:w="9729" w:type="dxa"/>
        <w:tblLook w:val="04A0" w:firstRow="1" w:lastRow="0" w:firstColumn="1" w:lastColumn="0" w:noHBand="0" w:noVBand="1"/>
      </w:tblPr>
      <w:tblGrid>
        <w:gridCol w:w="482"/>
        <w:gridCol w:w="3837"/>
        <w:gridCol w:w="1727"/>
        <w:gridCol w:w="1778"/>
        <w:gridCol w:w="1905"/>
      </w:tblGrid>
      <w:tr w:rsidR="008F776F" w:rsidRPr="00ED4FEA" w14:paraId="7976BDEC" w14:textId="77777777" w:rsidTr="00DB6666">
        <w:trPr>
          <w:trHeight w:val="431"/>
        </w:trPr>
        <w:tc>
          <w:tcPr>
            <w:tcW w:w="4319" w:type="dxa"/>
            <w:gridSpan w:val="2"/>
            <w:vMerge w:val="restart"/>
            <w:tcBorders>
              <w:top w:val="nil"/>
              <w:left w:val="nil"/>
              <w:bottom w:val="nil"/>
              <w:right w:val="nil"/>
            </w:tcBorders>
            <w:shd w:val="clear" w:color="000000" w:fill="C7CFD8"/>
            <w:vAlign w:val="center"/>
            <w:hideMark/>
          </w:tcPr>
          <w:p w14:paraId="76F3BDA4"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Presupuesto y disponibilidad de recursos</w:t>
            </w:r>
          </w:p>
        </w:tc>
        <w:tc>
          <w:tcPr>
            <w:tcW w:w="1727" w:type="dxa"/>
            <w:tcBorders>
              <w:top w:val="nil"/>
              <w:left w:val="nil"/>
              <w:bottom w:val="nil"/>
              <w:right w:val="nil"/>
            </w:tcBorders>
            <w:shd w:val="clear" w:color="000000" w:fill="C7CFD8"/>
            <w:vAlign w:val="center"/>
            <w:hideMark/>
          </w:tcPr>
          <w:p w14:paraId="7FBF3668"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Presupuesto ordinario</w:t>
            </w:r>
          </w:p>
        </w:tc>
        <w:tc>
          <w:tcPr>
            <w:tcW w:w="1778" w:type="dxa"/>
            <w:tcBorders>
              <w:top w:val="nil"/>
              <w:left w:val="nil"/>
              <w:bottom w:val="nil"/>
              <w:right w:val="nil"/>
            </w:tcBorders>
            <w:shd w:val="clear" w:color="000000" w:fill="C7CFD8"/>
            <w:vAlign w:val="center"/>
            <w:hideMark/>
          </w:tcPr>
          <w:p w14:paraId="65974178"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xml:space="preserve">Fondos fiduciarios* </w:t>
            </w:r>
          </w:p>
        </w:tc>
        <w:tc>
          <w:tcPr>
            <w:tcW w:w="1905" w:type="dxa"/>
            <w:tcBorders>
              <w:top w:val="nil"/>
              <w:left w:val="nil"/>
              <w:bottom w:val="nil"/>
              <w:right w:val="nil"/>
            </w:tcBorders>
            <w:shd w:val="clear" w:color="000000" w:fill="C7CFD8"/>
            <w:vAlign w:val="center"/>
            <w:hideMark/>
          </w:tcPr>
          <w:p w14:paraId="76B78503" w14:textId="77777777" w:rsidR="008F776F" w:rsidRPr="00ED4FEA" w:rsidRDefault="008F776F" w:rsidP="00DB6666">
            <w:pPr>
              <w:jc w:val="center"/>
              <w:rPr>
                <w:rFonts w:ascii="Arial Narrow" w:hAnsi="Arial Narrow" w:cs="Arial"/>
                <w:b/>
                <w:bCs/>
                <w:sz w:val="18"/>
                <w:szCs w:val="18"/>
                <w:lang w:val="es-ES_tradnl"/>
              </w:rPr>
            </w:pPr>
            <w:proofErr w:type="gramStart"/>
            <w:r w:rsidRPr="00ED4FEA">
              <w:rPr>
                <w:rFonts w:ascii="Arial Narrow" w:hAnsi="Arial Narrow" w:cs="Arial"/>
                <w:b/>
                <w:bCs/>
                <w:sz w:val="18"/>
                <w:szCs w:val="18"/>
                <w:lang w:val="es-ES_tradnl"/>
              </w:rPr>
              <w:t>Total</w:t>
            </w:r>
            <w:proofErr w:type="gramEnd"/>
            <w:r w:rsidRPr="00ED4FEA">
              <w:rPr>
                <w:rFonts w:ascii="Arial Narrow" w:hAnsi="Arial Narrow" w:cs="Arial"/>
                <w:b/>
                <w:bCs/>
                <w:sz w:val="18"/>
                <w:szCs w:val="18"/>
                <w:lang w:val="es-ES_tradnl"/>
              </w:rPr>
              <w:t xml:space="preserve"> de recursos </w:t>
            </w:r>
          </w:p>
        </w:tc>
      </w:tr>
      <w:tr w:rsidR="008F776F" w:rsidRPr="00ED4FEA" w14:paraId="050A8A56" w14:textId="77777777" w:rsidTr="00DB6666">
        <w:trPr>
          <w:trHeight w:val="70"/>
        </w:trPr>
        <w:tc>
          <w:tcPr>
            <w:tcW w:w="4319" w:type="dxa"/>
            <w:gridSpan w:val="2"/>
            <w:vMerge/>
            <w:tcBorders>
              <w:top w:val="nil"/>
              <w:left w:val="nil"/>
              <w:bottom w:val="nil"/>
              <w:right w:val="nil"/>
            </w:tcBorders>
            <w:vAlign w:val="center"/>
            <w:hideMark/>
          </w:tcPr>
          <w:p w14:paraId="5B60EE0F" w14:textId="77777777" w:rsidR="008F776F" w:rsidRPr="00ED4FEA" w:rsidRDefault="008F776F" w:rsidP="00DB6666">
            <w:pPr>
              <w:jc w:val="left"/>
              <w:rPr>
                <w:rFonts w:ascii="Arial Narrow" w:hAnsi="Arial Narrow" w:cs="Arial"/>
                <w:b/>
                <w:bCs/>
                <w:sz w:val="18"/>
                <w:szCs w:val="18"/>
                <w:lang w:val="es-ES_tradnl"/>
              </w:rPr>
            </w:pPr>
          </w:p>
        </w:tc>
        <w:tc>
          <w:tcPr>
            <w:tcW w:w="1727" w:type="dxa"/>
            <w:tcBorders>
              <w:top w:val="nil"/>
              <w:left w:val="nil"/>
              <w:bottom w:val="nil"/>
              <w:right w:val="nil"/>
            </w:tcBorders>
            <w:shd w:val="clear" w:color="000000" w:fill="C7CFD8"/>
            <w:noWrap/>
            <w:vAlign w:val="center"/>
            <w:hideMark/>
          </w:tcPr>
          <w:p w14:paraId="3099A1DF"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xml:space="preserve">A </w:t>
            </w:r>
          </w:p>
        </w:tc>
        <w:tc>
          <w:tcPr>
            <w:tcW w:w="1778" w:type="dxa"/>
            <w:tcBorders>
              <w:top w:val="nil"/>
              <w:left w:val="nil"/>
              <w:bottom w:val="nil"/>
              <w:right w:val="nil"/>
            </w:tcBorders>
            <w:shd w:val="clear" w:color="000000" w:fill="C7CFD8"/>
            <w:vAlign w:val="center"/>
            <w:hideMark/>
          </w:tcPr>
          <w:p w14:paraId="10E3BB7C" w14:textId="77777777" w:rsidR="008F776F" w:rsidRPr="00ED4FEA" w:rsidRDefault="008F776F" w:rsidP="00DB6666">
            <w:pPr>
              <w:jc w:val="center"/>
              <w:rPr>
                <w:rFonts w:ascii="Arial Narrow" w:hAnsi="Arial Narrow" w:cs="Arial"/>
                <w:b/>
                <w:bCs/>
                <w:i/>
                <w:iCs/>
                <w:sz w:val="18"/>
                <w:szCs w:val="18"/>
                <w:lang w:val="es-ES_tradnl"/>
              </w:rPr>
            </w:pPr>
            <w:r w:rsidRPr="00ED4FEA">
              <w:rPr>
                <w:rFonts w:ascii="Arial Narrow" w:hAnsi="Arial Narrow" w:cs="Arial"/>
                <w:b/>
                <w:bCs/>
                <w:i/>
                <w:iCs/>
                <w:sz w:val="18"/>
                <w:szCs w:val="18"/>
                <w:lang w:val="es-ES_tradnl"/>
              </w:rPr>
              <w:t>B</w:t>
            </w:r>
          </w:p>
        </w:tc>
        <w:tc>
          <w:tcPr>
            <w:tcW w:w="1905" w:type="dxa"/>
            <w:tcBorders>
              <w:top w:val="nil"/>
              <w:left w:val="nil"/>
              <w:bottom w:val="nil"/>
              <w:right w:val="nil"/>
            </w:tcBorders>
            <w:shd w:val="clear" w:color="000000" w:fill="C7CFD8"/>
            <w:vAlign w:val="center"/>
            <w:hideMark/>
          </w:tcPr>
          <w:p w14:paraId="0B9C44DD" w14:textId="77777777" w:rsidR="008F776F" w:rsidRPr="00ED4FEA" w:rsidRDefault="008F776F" w:rsidP="00DB6666">
            <w:pPr>
              <w:jc w:val="center"/>
              <w:rPr>
                <w:rFonts w:ascii="Arial Narrow" w:hAnsi="Arial Narrow" w:cs="Arial"/>
                <w:b/>
                <w:bCs/>
                <w:i/>
                <w:iCs/>
                <w:sz w:val="18"/>
                <w:szCs w:val="18"/>
                <w:lang w:val="es-ES_tradnl"/>
              </w:rPr>
            </w:pPr>
            <w:r w:rsidRPr="00ED4FEA">
              <w:rPr>
                <w:rFonts w:ascii="Arial Narrow" w:hAnsi="Arial Narrow" w:cs="Arial"/>
                <w:b/>
                <w:bCs/>
                <w:i/>
                <w:iCs/>
                <w:sz w:val="18"/>
                <w:szCs w:val="18"/>
                <w:lang w:val="es-ES_tradnl"/>
              </w:rPr>
              <w:t>C = A+B</w:t>
            </w:r>
          </w:p>
        </w:tc>
      </w:tr>
      <w:tr w:rsidR="008F776F" w:rsidRPr="00ED4FEA" w14:paraId="7267B6DD" w14:textId="77777777" w:rsidTr="00DB6666">
        <w:trPr>
          <w:trHeight w:val="263"/>
        </w:trPr>
        <w:tc>
          <w:tcPr>
            <w:tcW w:w="4319" w:type="dxa"/>
            <w:gridSpan w:val="2"/>
            <w:tcBorders>
              <w:top w:val="nil"/>
              <w:left w:val="nil"/>
              <w:bottom w:val="nil"/>
              <w:right w:val="nil"/>
            </w:tcBorders>
            <w:shd w:val="clear" w:color="auto" w:fill="auto"/>
            <w:hideMark/>
          </w:tcPr>
          <w:p w14:paraId="0069B3A1" w14:textId="77777777" w:rsidR="008F776F" w:rsidRPr="00ED4FEA" w:rsidRDefault="008F776F" w:rsidP="00DB6666">
            <w:pPr>
              <w:jc w:val="center"/>
              <w:rPr>
                <w:rFonts w:ascii="Arial Narrow" w:hAnsi="Arial Narrow" w:cs="Arial"/>
                <w:b/>
                <w:bCs/>
                <w:i/>
                <w:iCs/>
                <w:sz w:val="18"/>
                <w:szCs w:val="18"/>
                <w:lang w:val="es-ES_tradnl"/>
              </w:rPr>
            </w:pPr>
          </w:p>
        </w:tc>
        <w:tc>
          <w:tcPr>
            <w:tcW w:w="1727" w:type="dxa"/>
            <w:tcBorders>
              <w:top w:val="nil"/>
              <w:left w:val="nil"/>
              <w:bottom w:val="nil"/>
              <w:right w:val="nil"/>
            </w:tcBorders>
            <w:shd w:val="clear" w:color="auto" w:fill="auto"/>
            <w:hideMark/>
          </w:tcPr>
          <w:p w14:paraId="721CC54F" w14:textId="77777777" w:rsidR="008F776F" w:rsidRPr="00ED4FEA" w:rsidRDefault="008F776F" w:rsidP="00DB6666">
            <w:pPr>
              <w:rPr>
                <w:rFonts w:ascii="Arial Narrow" w:hAnsi="Arial Narrow"/>
                <w:sz w:val="18"/>
                <w:szCs w:val="18"/>
                <w:lang w:val="es-ES_tradnl"/>
              </w:rPr>
            </w:pPr>
          </w:p>
        </w:tc>
        <w:tc>
          <w:tcPr>
            <w:tcW w:w="1778" w:type="dxa"/>
            <w:tcBorders>
              <w:top w:val="nil"/>
              <w:left w:val="nil"/>
              <w:bottom w:val="nil"/>
              <w:right w:val="nil"/>
            </w:tcBorders>
            <w:shd w:val="clear" w:color="auto" w:fill="auto"/>
            <w:hideMark/>
          </w:tcPr>
          <w:p w14:paraId="54CA4CC7" w14:textId="77777777" w:rsidR="008F776F" w:rsidRPr="00ED4FEA" w:rsidRDefault="008F776F" w:rsidP="00DB6666">
            <w:pPr>
              <w:rPr>
                <w:rFonts w:ascii="Arial Narrow" w:hAnsi="Arial Narrow"/>
                <w:sz w:val="18"/>
                <w:szCs w:val="18"/>
                <w:lang w:val="es-ES_tradnl"/>
              </w:rPr>
            </w:pPr>
          </w:p>
        </w:tc>
        <w:tc>
          <w:tcPr>
            <w:tcW w:w="1905" w:type="dxa"/>
            <w:tcBorders>
              <w:top w:val="nil"/>
              <w:left w:val="nil"/>
              <w:bottom w:val="nil"/>
              <w:right w:val="nil"/>
            </w:tcBorders>
            <w:shd w:val="clear" w:color="auto" w:fill="auto"/>
            <w:hideMark/>
          </w:tcPr>
          <w:p w14:paraId="6FF057DD" w14:textId="77777777" w:rsidR="008F776F" w:rsidRPr="00ED4FEA" w:rsidRDefault="008F776F" w:rsidP="00DB6666">
            <w:pPr>
              <w:jc w:val="left"/>
              <w:rPr>
                <w:rFonts w:ascii="Arial Narrow" w:hAnsi="Arial Narrow"/>
                <w:sz w:val="18"/>
                <w:szCs w:val="18"/>
                <w:lang w:val="es-ES_tradnl"/>
              </w:rPr>
            </w:pPr>
          </w:p>
        </w:tc>
      </w:tr>
      <w:tr w:rsidR="008F776F" w:rsidRPr="00ED4FEA" w14:paraId="60E763F2" w14:textId="77777777" w:rsidTr="00DB6666">
        <w:trPr>
          <w:trHeight w:val="318"/>
        </w:trPr>
        <w:tc>
          <w:tcPr>
            <w:tcW w:w="4319" w:type="dxa"/>
            <w:gridSpan w:val="2"/>
            <w:tcBorders>
              <w:top w:val="nil"/>
              <w:left w:val="nil"/>
              <w:bottom w:val="nil"/>
              <w:right w:val="nil"/>
            </w:tcBorders>
            <w:shd w:val="clear" w:color="auto" w:fill="auto"/>
            <w:hideMark/>
          </w:tcPr>
          <w:p w14:paraId="0FDF269D" w14:textId="77777777" w:rsidR="008F776F" w:rsidRPr="00ED4FEA" w:rsidRDefault="008F776F" w:rsidP="00DB6666">
            <w:pPr>
              <w:rPr>
                <w:rFonts w:ascii="Arial Narrow" w:hAnsi="Arial Narrow" w:cs="Arial"/>
                <w:b/>
                <w:bCs/>
                <w:color w:val="000000"/>
                <w:sz w:val="18"/>
                <w:szCs w:val="18"/>
                <w:lang w:val="es-ES_tradnl"/>
              </w:rPr>
            </w:pPr>
            <w:r w:rsidRPr="00ED4FEA">
              <w:rPr>
                <w:rFonts w:ascii="Arial Narrow" w:hAnsi="Arial Narrow" w:cs="Arial"/>
                <w:b/>
                <w:bCs/>
                <w:color w:val="000000"/>
                <w:sz w:val="18"/>
                <w:szCs w:val="18"/>
                <w:lang w:val="es-ES_tradnl"/>
              </w:rPr>
              <w:t>Disponibilidad de recursos 2022-2023</w:t>
            </w:r>
          </w:p>
        </w:tc>
        <w:tc>
          <w:tcPr>
            <w:tcW w:w="1727" w:type="dxa"/>
            <w:tcBorders>
              <w:top w:val="nil"/>
              <w:left w:val="nil"/>
              <w:bottom w:val="nil"/>
              <w:right w:val="nil"/>
            </w:tcBorders>
            <w:shd w:val="clear" w:color="auto" w:fill="auto"/>
            <w:noWrap/>
            <w:vAlign w:val="bottom"/>
            <w:hideMark/>
          </w:tcPr>
          <w:p w14:paraId="7ED8FEEB" w14:textId="77777777" w:rsidR="008F776F" w:rsidRPr="00ED4FEA" w:rsidRDefault="008F776F" w:rsidP="00DB6666">
            <w:pPr>
              <w:jc w:val="right"/>
              <w:rPr>
                <w:rFonts w:ascii="Arial Narrow" w:hAnsi="Arial Narrow" w:cs="Arial"/>
                <w:b/>
                <w:bCs/>
                <w:color w:val="000000"/>
                <w:sz w:val="18"/>
                <w:szCs w:val="18"/>
                <w:lang w:val="es-ES_tradnl"/>
              </w:rPr>
            </w:pPr>
          </w:p>
        </w:tc>
        <w:tc>
          <w:tcPr>
            <w:tcW w:w="1778" w:type="dxa"/>
            <w:tcBorders>
              <w:top w:val="nil"/>
              <w:left w:val="nil"/>
              <w:bottom w:val="nil"/>
              <w:right w:val="nil"/>
            </w:tcBorders>
            <w:shd w:val="clear" w:color="auto" w:fill="auto"/>
            <w:hideMark/>
          </w:tcPr>
          <w:p w14:paraId="65B86BD0" w14:textId="77777777" w:rsidR="008F776F" w:rsidRPr="00ED4FEA" w:rsidRDefault="008F776F" w:rsidP="00DB6666">
            <w:pPr>
              <w:jc w:val="right"/>
              <w:rPr>
                <w:rFonts w:ascii="Arial Narrow" w:hAnsi="Arial Narrow"/>
                <w:sz w:val="18"/>
                <w:szCs w:val="18"/>
                <w:lang w:val="es-ES_tradnl"/>
              </w:rPr>
            </w:pPr>
          </w:p>
        </w:tc>
        <w:tc>
          <w:tcPr>
            <w:tcW w:w="1905" w:type="dxa"/>
            <w:tcBorders>
              <w:top w:val="nil"/>
              <w:left w:val="nil"/>
              <w:bottom w:val="nil"/>
              <w:right w:val="nil"/>
            </w:tcBorders>
            <w:shd w:val="clear" w:color="auto" w:fill="auto"/>
            <w:hideMark/>
          </w:tcPr>
          <w:p w14:paraId="6F0D00DF" w14:textId="77777777" w:rsidR="008F776F" w:rsidRPr="00ED4FEA" w:rsidRDefault="008F776F" w:rsidP="00DB6666">
            <w:pPr>
              <w:jc w:val="right"/>
              <w:rPr>
                <w:rFonts w:ascii="Arial Narrow" w:hAnsi="Arial Narrow"/>
                <w:sz w:val="18"/>
                <w:szCs w:val="18"/>
                <w:lang w:val="es-ES_tradnl"/>
              </w:rPr>
            </w:pPr>
          </w:p>
        </w:tc>
      </w:tr>
      <w:tr w:rsidR="008F776F" w:rsidRPr="00ED4FEA" w14:paraId="1F0BE773" w14:textId="77777777" w:rsidTr="00DB6666">
        <w:trPr>
          <w:trHeight w:val="349"/>
        </w:trPr>
        <w:tc>
          <w:tcPr>
            <w:tcW w:w="482" w:type="dxa"/>
            <w:tcBorders>
              <w:top w:val="nil"/>
              <w:left w:val="nil"/>
              <w:bottom w:val="nil"/>
              <w:right w:val="nil"/>
            </w:tcBorders>
            <w:shd w:val="clear" w:color="auto" w:fill="auto"/>
            <w:vAlign w:val="center"/>
            <w:hideMark/>
          </w:tcPr>
          <w:p w14:paraId="27F21B59"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1</w:t>
            </w:r>
          </w:p>
        </w:tc>
        <w:tc>
          <w:tcPr>
            <w:tcW w:w="3837" w:type="dxa"/>
            <w:tcBorders>
              <w:top w:val="nil"/>
              <w:left w:val="nil"/>
              <w:bottom w:val="nil"/>
              <w:right w:val="nil"/>
            </w:tcBorders>
            <w:shd w:val="clear" w:color="auto" w:fill="auto"/>
            <w:vAlign w:val="center"/>
            <w:hideMark/>
          </w:tcPr>
          <w:p w14:paraId="0E0FF668" w14:textId="77777777" w:rsidR="008F776F" w:rsidRPr="00ED4FEA" w:rsidRDefault="008F776F" w:rsidP="00DB6666">
            <w:pPr>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Ingresos</w:t>
            </w:r>
          </w:p>
        </w:tc>
        <w:tc>
          <w:tcPr>
            <w:tcW w:w="1727" w:type="dxa"/>
            <w:tcBorders>
              <w:top w:val="nil"/>
              <w:left w:val="nil"/>
              <w:bottom w:val="nil"/>
              <w:right w:val="nil"/>
            </w:tcBorders>
            <w:shd w:val="clear" w:color="auto" w:fill="auto"/>
            <w:vAlign w:val="center"/>
            <w:hideMark/>
          </w:tcPr>
          <w:p w14:paraId="156CBBCA"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7.635</w:t>
            </w:r>
          </w:p>
        </w:tc>
        <w:tc>
          <w:tcPr>
            <w:tcW w:w="1778" w:type="dxa"/>
            <w:tcBorders>
              <w:top w:val="nil"/>
              <w:left w:val="nil"/>
              <w:bottom w:val="nil"/>
              <w:right w:val="nil"/>
            </w:tcBorders>
            <w:shd w:val="clear" w:color="auto" w:fill="auto"/>
            <w:vAlign w:val="center"/>
            <w:hideMark/>
          </w:tcPr>
          <w:p w14:paraId="076CFD38"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965</w:t>
            </w:r>
          </w:p>
        </w:tc>
        <w:tc>
          <w:tcPr>
            <w:tcW w:w="1905" w:type="dxa"/>
            <w:tcBorders>
              <w:top w:val="nil"/>
              <w:left w:val="nil"/>
              <w:bottom w:val="nil"/>
              <w:right w:val="nil"/>
            </w:tcBorders>
            <w:shd w:val="clear" w:color="auto" w:fill="auto"/>
            <w:vAlign w:val="center"/>
            <w:hideMark/>
          </w:tcPr>
          <w:p w14:paraId="7B3AEFBC"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8.600</w:t>
            </w:r>
          </w:p>
        </w:tc>
      </w:tr>
      <w:tr w:rsidR="008F776F" w:rsidRPr="00ED4FEA" w14:paraId="5B24F9DE" w14:textId="77777777" w:rsidTr="00DB6666">
        <w:trPr>
          <w:trHeight w:val="349"/>
        </w:trPr>
        <w:tc>
          <w:tcPr>
            <w:tcW w:w="482" w:type="dxa"/>
            <w:tcBorders>
              <w:top w:val="nil"/>
              <w:left w:val="nil"/>
              <w:bottom w:val="nil"/>
              <w:right w:val="nil"/>
            </w:tcBorders>
            <w:shd w:val="clear" w:color="auto" w:fill="auto"/>
            <w:vAlign w:val="center"/>
            <w:hideMark/>
          </w:tcPr>
          <w:p w14:paraId="26BAECD6"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2</w:t>
            </w:r>
          </w:p>
        </w:tc>
        <w:tc>
          <w:tcPr>
            <w:tcW w:w="3837" w:type="dxa"/>
            <w:tcBorders>
              <w:top w:val="nil"/>
              <w:left w:val="nil"/>
              <w:bottom w:val="nil"/>
              <w:right w:val="nil"/>
            </w:tcBorders>
            <w:shd w:val="clear" w:color="auto" w:fill="auto"/>
            <w:vAlign w:val="center"/>
            <w:hideMark/>
          </w:tcPr>
          <w:p w14:paraId="6C1CA136" w14:textId="77777777" w:rsidR="008F776F" w:rsidRPr="00ED4FEA" w:rsidRDefault="008F776F" w:rsidP="00DB6666">
            <w:pPr>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 Transferencias hacia/desde reservas</w:t>
            </w:r>
          </w:p>
        </w:tc>
        <w:tc>
          <w:tcPr>
            <w:tcW w:w="1727" w:type="dxa"/>
            <w:tcBorders>
              <w:top w:val="nil"/>
              <w:left w:val="nil"/>
              <w:bottom w:val="nil"/>
              <w:right w:val="nil"/>
            </w:tcBorders>
            <w:shd w:val="clear" w:color="auto" w:fill="auto"/>
            <w:vAlign w:val="center"/>
            <w:hideMark/>
          </w:tcPr>
          <w:p w14:paraId="21617BCC"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w:t>
            </w:r>
          </w:p>
        </w:tc>
        <w:tc>
          <w:tcPr>
            <w:tcW w:w="1778" w:type="dxa"/>
            <w:tcBorders>
              <w:top w:val="nil"/>
              <w:left w:val="nil"/>
              <w:bottom w:val="nil"/>
              <w:right w:val="nil"/>
            </w:tcBorders>
            <w:shd w:val="clear" w:color="auto" w:fill="auto"/>
            <w:vAlign w:val="center"/>
            <w:hideMark/>
          </w:tcPr>
          <w:p w14:paraId="33D6F93B"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w:t>
            </w:r>
          </w:p>
        </w:tc>
        <w:tc>
          <w:tcPr>
            <w:tcW w:w="1905" w:type="dxa"/>
            <w:tcBorders>
              <w:top w:val="nil"/>
              <w:left w:val="nil"/>
              <w:bottom w:val="nil"/>
              <w:right w:val="nil"/>
            </w:tcBorders>
            <w:shd w:val="clear" w:color="auto" w:fill="auto"/>
            <w:vAlign w:val="center"/>
            <w:hideMark/>
          </w:tcPr>
          <w:p w14:paraId="59242825"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w:t>
            </w:r>
          </w:p>
        </w:tc>
      </w:tr>
      <w:tr w:rsidR="008F776F" w:rsidRPr="00ED4FEA" w14:paraId="7F3ECE39" w14:textId="77777777" w:rsidTr="00DB6666">
        <w:trPr>
          <w:trHeight w:val="349"/>
        </w:trPr>
        <w:tc>
          <w:tcPr>
            <w:tcW w:w="482" w:type="dxa"/>
            <w:tcBorders>
              <w:top w:val="single" w:sz="4" w:space="0" w:color="AAB8C4"/>
              <w:left w:val="nil"/>
              <w:bottom w:val="single" w:sz="8" w:space="0" w:color="AAB8C4"/>
              <w:right w:val="nil"/>
            </w:tcBorders>
            <w:shd w:val="clear" w:color="auto" w:fill="auto"/>
            <w:vAlign w:val="center"/>
            <w:hideMark/>
          </w:tcPr>
          <w:p w14:paraId="34929F1A"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3</w:t>
            </w:r>
          </w:p>
        </w:tc>
        <w:tc>
          <w:tcPr>
            <w:tcW w:w="3837" w:type="dxa"/>
            <w:tcBorders>
              <w:top w:val="single" w:sz="4" w:space="0" w:color="AAB8C4"/>
              <w:left w:val="nil"/>
              <w:bottom w:val="single" w:sz="8" w:space="0" w:color="AAB8C4"/>
              <w:right w:val="nil"/>
            </w:tcBorders>
            <w:shd w:val="clear" w:color="auto" w:fill="auto"/>
            <w:vAlign w:val="center"/>
            <w:hideMark/>
          </w:tcPr>
          <w:p w14:paraId="77EE8009" w14:textId="77777777" w:rsidR="008F776F" w:rsidRPr="00ED4FEA" w:rsidRDefault="008F776F" w:rsidP="00DB6666">
            <w:pPr>
              <w:rPr>
                <w:rFonts w:ascii="Arial Narrow" w:hAnsi="Arial Narrow" w:cs="Arial"/>
                <w:color w:val="000000"/>
                <w:sz w:val="18"/>
                <w:szCs w:val="18"/>
                <w:lang w:val="es-ES_tradnl"/>
              </w:rPr>
            </w:pPr>
            <w:proofErr w:type="gramStart"/>
            <w:r w:rsidRPr="00ED4FEA">
              <w:rPr>
                <w:rFonts w:ascii="Arial Narrow" w:hAnsi="Arial Narrow" w:cs="Arial"/>
                <w:color w:val="000000"/>
                <w:sz w:val="18"/>
                <w:szCs w:val="18"/>
                <w:lang w:val="es-ES_tradnl"/>
              </w:rPr>
              <w:t>Total</w:t>
            </w:r>
            <w:proofErr w:type="gramEnd"/>
            <w:r w:rsidRPr="00ED4FEA">
              <w:rPr>
                <w:rFonts w:ascii="Arial Narrow" w:hAnsi="Arial Narrow" w:cs="Arial"/>
                <w:color w:val="000000"/>
                <w:sz w:val="18"/>
                <w:szCs w:val="18"/>
                <w:lang w:val="es-ES_tradnl"/>
              </w:rPr>
              <w:t xml:space="preserve"> de recursos</w:t>
            </w:r>
          </w:p>
        </w:tc>
        <w:tc>
          <w:tcPr>
            <w:tcW w:w="1727" w:type="dxa"/>
            <w:tcBorders>
              <w:top w:val="single" w:sz="4" w:space="0" w:color="AAB8C4"/>
              <w:left w:val="nil"/>
              <w:bottom w:val="single" w:sz="8" w:space="0" w:color="AAB8C4"/>
              <w:right w:val="nil"/>
            </w:tcBorders>
            <w:shd w:val="clear" w:color="auto" w:fill="auto"/>
            <w:vAlign w:val="center"/>
            <w:hideMark/>
          </w:tcPr>
          <w:p w14:paraId="13B2C013"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7.635</w:t>
            </w:r>
          </w:p>
        </w:tc>
        <w:tc>
          <w:tcPr>
            <w:tcW w:w="1778" w:type="dxa"/>
            <w:tcBorders>
              <w:top w:val="single" w:sz="4" w:space="0" w:color="AAB8C4"/>
              <w:left w:val="nil"/>
              <w:bottom w:val="single" w:sz="8" w:space="0" w:color="AAB8C4"/>
              <w:right w:val="nil"/>
            </w:tcBorders>
            <w:shd w:val="clear" w:color="auto" w:fill="auto"/>
            <w:vAlign w:val="center"/>
            <w:hideMark/>
          </w:tcPr>
          <w:p w14:paraId="4B7F5478"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965</w:t>
            </w:r>
          </w:p>
        </w:tc>
        <w:tc>
          <w:tcPr>
            <w:tcW w:w="1905" w:type="dxa"/>
            <w:tcBorders>
              <w:top w:val="single" w:sz="4" w:space="0" w:color="AAB8C4"/>
              <w:left w:val="nil"/>
              <w:bottom w:val="single" w:sz="8" w:space="0" w:color="AAB8C4"/>
              <w:right w:val="nil"/>
            </w:tcBorders>
            <w:shd w:val="clear" w:color="auto" w:fill="auto"/>
            <w:vAlign w:val="center"/>
            <w:hideMark/>
          </w:tcPr>
          <w:p w14:paraId="6ED868F1"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8.600</w:t>
            </w:r>
          </w:p>
        </w:tc>
      </w:tr>
      <w:tr w:rsidR="008F776F" w:rsidRPr="00ED4FEA" w14:paraId="347CB1DF" w14:textId="77777777" w:rsidTr="00DB6666">
        <w:trPr>
          <w:trHeight w:val="263"/>
        </w:trPr>
        <w:tc>
          <w:tcPr>
            <w:tcW w:w="482" w:type="dxa"/>
            <w:tcBorders>
              <w:top w:val="nil"/>
              <w:left w:val="nil"/>
              <w:bottom w:val="nil"/>
              <w:right w:val="nil"/>
            </w:tcBorders>
            <w:shd w:val="clear" w:color="auto" w:fill="auto"/>
            <w:vAlign w:val="center"/>
            <w:hideMark/>
          </w:tcPr>
          <w:p w14:paraId="277A5778" w14:textId="77777777" w:rsidR="008F776F" w:rsidRPr="00ED4FEA" w:rsidRDefault="008F776F" w:rsidP="00DB6666">
            <w:pPr>
              <w:jc w:val="right"/>
              <w:rPr>
                <w:rFonts w:ascii="Arial Narrow" w:hAnsi="Arial Narrow" w:cs="Arial"/>
                <w:color w:val="000000"/>
                <w:sz w:val="18"/>
                <w:szCs w:val="18"/>
                <w:lang w:val="es-ES_tradnl"/>
              </w:rPr>
            </w:pPr>
          </w:p>
        </w:tc>
        <w:tc>
          <w:tcPr>
            <w:tcW w:w="3837" w:type="dxa"/>
            <w:tcBorders>
              <w:top w:val="nil"/>
              <w:left w:val="nil"/>
              <w:bottom w:val="nil"/>
              <w:right w:val="nil"/>
            </w:tcBorders>
            <w:shd w:val="clear" w:color="auto" w:fill="auto"/>
            <w:vAlign w:val="center"/>
            <w:hideMark/>
          </w:tcPr>
          <w:p w14:paraId="1B7A6CB0" w14:textId="77777777" w:rsidR="008F776F" w:rsidRPr="00ED4FEA" w:rsidRDefault="008F776F" w:rsidP="00DB6666">
            <w:pPr>
              <w:jc w:val="right"/>
              <w:rPr>
                <w:rFonts w:ascii="Arial Narrow" w:hAnsi="Arial Narrow"/>
                <w:sz w:val="18"/>
                <w:szCs w:val="18"/>
                <w:lang w:val="es-ES_tradnl"/>
              </w:rPr>
            </w:pPr>
          </w:p>
        </w:tc>
        <w:tc>
          <w:tcPr>
            <w:tcW w:w="1727" w:type="dxa"/>
            <w:tcBorders>
              <w:top w:val="nil"/>
              <w:left w:val="nil"/>
              <w:bottom w:val="nil"/>
              <w:right w:val="nil"/>
            </w:tcBorders>
            <w:shd w:val="clear" w:color="auto" w:fill="auto"/>
            <w:vAlign w:val="center"/>
            <w:hideMark/>
          </w:tcPr>
          <w:p w14:paraId="42A86A76" w14:textId="77777777" w:rsidR="008F776F" w:rsidRPr="00ED4FEA" w:rsidRDefault="008F776F" w:rsidP="00DB6666">
            <w:pPr>
              <w:jc w:val="right"/>
              <w:rPr>
                <w:rFonts w:ascii="Arial Narrow" w:hAnsi="Arial Narrow"/>
                <w:sz w:val="18"/>
                <w:szCs w:val="18"/>
                <w:lang w:val="es-ES_tradnl"/>
              </w:rPr>
            </w:pPr>
          </w:p>
        </w:tc>
        <w:tc>
          <w:tcPr>
            <w:tcW w:w="1778" w:type="dxa"/>
            <w:tcBorders>
              <w:top w:val="nil"/>
              <w:left w:val="nil"/>
              <w:bottom w:val="nil"/>
              <w:right w:val="nil"/>
            </w:tcBorders>
            <w:shd w:val="clear" w:color="auto" w:fill="auto"/>
            <w:vAlign w:val="center"/>
            <w:hideMark/>
          </w:tcPr>
          <w:p w14:paraId="5209187E" w14:textId="77777777" w:rsidR="008F776F" w:rsidRPr="00ED4FEA" w:rsidRDefault="008F776F" w:rsidP="00DB6666">
            <w:pPr>
              <w:jc w:val="right"/>
              <w:rPr>
                <w:rFonts w:ascii="Arial Narrow" w:hAnsi="Arial Narrow"/>
                <w:sz w:val="18"/>
                <w:szCs w:val="18"/>
                <w:lang w:val="es-ES_tradnl"/>
              </w:rPr>
            </w:pPr>
          </w:p>
        </w:tc>
        <w:tc>
          <w:tcPr>
            <w:tcW w:w="1905" w:type="dxa"/>
            <w:tcBorders>
              <w:top w:val="nil"/>
              <w:left w:val="nil"/>
              <w:bottom w:val="nil"/>
              <w:right w:val="nil"/>
            </w:tcBorders>
            <w:shd w:val="clear" w:color="auto" w:fill="auto"/>
            <w:vAlign w:val="center"/>
            <w:hideMark/>
          </w:tcPr>
          <w:p w14:paraId="41FD7BA1" w14:textId="77777777" w:rsidR="008F776F" w:rsidRPr="00ED4FEA" w:rsidRDefault="008F776F" w:rsidP="00DB6666">
            <w:pPr>
              <w:jc w:val="right"/>
              <w:rPr>
                <w:rFonts w:ascii="Arial Narrow" w:hAnsi="Arial Narrow"/>
                <w:sz w:val="18"/>
                <w:szCs w:val="18"/>
                <w:lang w:val="es-ES_tradnl"/>
              </w:rPr>
            </w:pPr>
          </w:p>
        </w:tc>
      </w:tr>
      <w:tr w:rsidR="008F776F" w:rsidRPr="00ED4FEA" w14:paraId="29C0331B" w14:textId="77777777" w:rsidTr="00DB6666">
        <w:trPr>
          <w:trHeight w:val="349"/>
        </w:trPr>
        <w:tc>
          <w:tcPr>
            <w:tcW w:w="4319" w:type="dxa"/>
            <w:gridSpan w:val="2"/>
            <w:tcBorders>
              <w:top w:val="nil"/>
              <w:left w:val="nil"/>
              <w:bottom w:val="nil"/>
              <w:right w:val="nil"/>
            </w:tcBorders>
            <w:shd w:val="clear" w:color="auto" w:fill="auto"/>
            <w:vAlign w:val="center"/>
            <w:hideMark/>
          </w:tcPr>
          <w:p w14:paraId="2EC07E72" w14:textId="77777777" w:rsidR="008F776F" w:rsidRPr="00ED4FEA" w:rsidRDefault="008F776F" w:rsidP="00DB6666">
            <w:pPr>
              <w:rPr>
                <w:rFonts w:ascii="Arial Narrow" w:hAnsi="Arial Narrow" w:cs="Arial"/>
                <w:b/>
                <w:bCs/>
                <w:color w:val="000000"/>
                <w:sz w:val="18"/>
                <w:szCs w:val="18"/>
                <w:lang w:val="es-ES_tradnl"/>
              </w:rPr>
            </w:pPr>
            <w:r w:rsidRPr="00ED4FEA">
              <w:rPr>
                <w:rFonts w:ascii="Arial Narrow" w:hAnsi="Arial Narrow" w:cs="Arial"/>
                <w:b/>
                <w:bCs/>
                <w:color w:val="000000"/>
                <w:sz w:val="18"/>
                <w:szCs w:val="18"/>
                <w:lang w:val="es-ES_tradnl"/>
              </w:rPr>
              <w:t>Disponibilidad de recursos 2024</w:t>
            </w:r>
            <w:r w:rsidRPr="00ED4FEA">
              <w:rPr>
                <w:rFonts w:ascii="Arial Narrow" w:hAnsi="Arial Narrow" w:cs="Arial"/>
                <w:b/>
                <w:bCs/>
                <w:color w:val="000000"/>
                <w:sz w:val="18"/>
                <w:szCs w:val="18"/>
                <w:lang w:val="es-ES_tradnl"/>
              </w:rPr>
              <w:noBreakHyphen/>
              <w:t>2025</w:t>
            </w:r>
          </w:p>
        </w:tc>
        <w:tc>
          <w:tcPr>
            <w:tcW w:w="1727" w:type="dxa"/>
            <w:tcBorders>
              <w:top w:val="nil"/>
              <w:left w:val="nil"/>
              <w:bottom w:val="nil"/>
              <w:right w:val="nil"/>
            </w:tcBorders>
            <w:shd w:val="clear" w:color="auto" w:fill="auto"/>
            <w:vAlign w:val="center"/>
            <w:hideMark/>
          </w:tcPr>
          <w:p w14:paraId="29BFAB5D" w14:textId="77777777" w:rsidR="008F776F" w:rsidRPr="00ED4FEA" w:rsidRDefault="008F776F" w:rsidP="00DB6666">
            <w:pPr>
              <w:jc w:val="right"/>
              <w:rPr>
                <w:rFonts w:ascii="Arial Narrow" w:hAnsi="Arial Narrow" w:cs="Arial"/>
                <w:b/>
                <w:bCs/>
                <w:color w:val="000000"/>
                <w:sz w:val="18"/>
                <w:szCs w:val="18"/>
                <w:lang w:val="es-ES_tradnl"/>
              </w:rPr>
            </w:pPr>
          </w:p>
        </w:tc>
        <w:tc>
          <w:tcPr>
            <w:tcW w:w="1778" w:type="dxa"/>
            <w:tcBorders>
              <w:top w:val="nil"/>
              <w:left w:val="nil"/>
              <w:bottom w:val="nil"/>
              <w:right w:val="nil"/>
            </w:tcBorders>
            <w:shd w:val="clear" w:color="auto" w:fill="auto"/>
            <w:vAlign w:val="center"/>
            <w:hideMark/>
          </w:tcPr>
          <w:p w14:paraId="391DE15B" w14:textId="77777777" w:rsidR="008F776F" w:rsidRPr="00ED4FEA" w:rsidRDefault="008F776F" w:rsidP="00DB6666">
            <w:pPr>
              <w:jc w:val="right"/>
              <w:rPr>
                <w:rFonts w:ascii="Arial Narrow" w:hAnsi="Arial Narrow"/>
                <w:sz w:val="18"/>
                <w:szCs w:val="18"/>
                <w:lang w:val="es-ES_tradnl"/>
              </w:rPr>
            </w:pPr>
          </w:p>
        </w:tc>
        <w:tc>
          <w:tcPr>
            <w:tcW w:w="1905" w:type="dxa"/>
            <w:tcBorders>
              <w:top w:val="nil"/>
              <w:left w:val="nil"/>
              <w:bottom w:val="nil"/>
              <w:right w:val="nil"/>
            </w:tcBorders>
            <w:shd w:val="clear" w:color="auto" w:fill="auto"/>
            <w:vAlign w:val="center"/>
            <w:hideMark/>
          </w:tcPr>
          <w:p w14:paraId="4A5B4057" w14:textId="77777777" w:rsidR="008F776F" w:rsidRPr="00ED4FEA" w:rsidRDefault="008F776F" w:rsidP="00DB6666">
            <w:pPr>
              <w:jc w:val="right"/>
              <w:rPr>
                <w:rFonts w:ascii="Arial Narrow" w:hAnsi="Arial Narrow"/>
                <w:sz w:val="18"/>
                <w:szCs w:val="18"/>
                <w:lang w:val="es-ES_tradnl"/>
              </w:rPr>
            </w:pPr>
          </w:p>
        </w:tc>
      </w:tr>
      <w:tr w:rsidR="008F776F" w:rsidRPr="00ED4FEA" w14:paraId="1A8E15AA" w14:textId="77777777" w:rsidTr="00DB6666">
        <w:trPr>
          <w:trHeight w:val="349"/>
        </w:trPr>
        <w:tc>
          <w:tcPr>
            <w:tcW w:w="482" w:type="dxa"/>
            <w:tcBorders>
              <w:top w:val="nil"/>
              <w:left w:val="nil"/>
              <w:bottom w:val="nil"/>
              <w:right w:val="nil"/>
            </w:tcBorders>
            <w:shd w:val="clear" w:color="auto" w:fill="auto"/>
            <w:vAlign w:val="center"/>
            <w:hideMark/>
          </w:tcPr>
          <w:p w14:paraId="4D75630E"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4</w:t>
            </w:r>
          </w:p>
        </w:tc>
        <w:tc>
          <w:tcPr>
            <w:tcW w:w="3837" w:type="dxa"/>
            <w:tcBorders>
              <w:top w:val="nil"/>
              <w:left w:val="nil"/>
              <w:bottom w:val="nil"/>
              <w:right w:val="nil"/>
            </w:tcBorders>
            <w:shd w:val="clear" w:color="auto" w:fill="auto"/>
            <w:vAlign w:val="center"/>
            <w:hideMark/>
          </w:tcPr>
          <w:p w14:paraId="2B65FE88" w14:textId="77777777" w:rsidR="008F776F" w:rsidRPr="00ED4FEA" w:rsidRDefault="008F776F" w:rsidP="00DB6666">
            <w:pPr>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Ingresos</w:t>
            </w:r>
          </w:p>
        </w:tc>
        <w:tc>
          <w:tcPr>
            <w:tcW w:w="1727" w:type="dxa"/>
            <w:tcBorders>
              <w:top w:val="nil"/>
              <w:left w:val="nil"/>
              <w:bottom w:val="nil"/>
              <w:right w:val="nil"/>
            </w:tcBorders>
            <w:shd w:val="clear" w:color="auto" w:fill="auto"/>
            <w:vAlign w:val="center"/>
            <w:hideMark/>
          </w:tcPr>
          <w:p w14:paraId="02E27735"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7.901</w:t>
            </w:r>
          </w:p>
        </w:tc>
        <w:tc>
          <w:tcPr>
            <w:tcW w:w="1778" w:type="dxa"/>
            <w:tcBorders>
              <w:top w:val="nil"/>
              <w:left w:val="nil"/>
              <w:bottom w:val="nil"/>
              <w:right w:val="nil"/>
            </w:tcBorders>
            <w:shd w:val="clear" w:color="auto" w:fill="auto"/>
            <w:vAlign w:val="center"/>
            <w:hideMark/>
          </w:tcPr>
          <w:p w14:paraId="4503F0E3"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920</w:t>
            </w:r>
          </w:p>
        </w:tc>
        <w:tc>
          <w:tcPr>
            <w:tcW w:w="1905" w:type="dxa"/>
            <w:tcBorders>
              <w:top w:val="nil"/>
              <w:left w:val="nil"/>
              <w:bottom w:val="nil"/>
              <w:right w:val="nil"/>
            </w:tcBorders>
            <w:shd w:val="clear" w:color="auto" w:fill="auto"/>
            <w:vAlign w:val="center"/>
            <w:hideMark/>
          </w:tcPr>
          <w:p w14:paraId="433D1CFE"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8.822</w:t>
            </w:r>
          </w:p>
        </w:tc>
      </w:tr>
      <w:tr w:rsidR="008F776F" w:rsidRPr="00ED4FEA" w14:paraId="6C3F4026" w14:textId="77777777" w:rsidTr="00DB6666">
        <w:trPr>
          <w:trHeight w:val="349"/>
        </w:trPr>
        <w:tc>
          <w:tcPr>
            <w:tcW w:w="482" w:type="dxa"/>
            <w:tcBorders>
              <w:top w:val="nil"/>
              <w:left w:val="nil"/>
              <w:bottom w:val="nil"/>
              <w:right w:val="nil"/>
            </w:tcBorders>
            <w:shd w:val="clear" w:color="auto" w:fill="auto"/>
            <w:vAlign w:val="center"/>
            <w:hideMark/>
          </w:tcPr>
          <w:p w14:paraId="57E1E8FB"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5</w:t>
            </w:r>
          </w:p>
        </w:tc>
        <w:tc>
          <w:tcPr>
            <w:tcW w:w="3837" w:type="dxa"/>
            <w:tcBorders>
              <w:top w:val="nil"/>
              <w:left w:val="nil"/>
              <w:bottom w:val="nil"/>
              <w:right w:val="nil"/>
            </w:tcBorders>
            <w:shd w:val="clear" w:color="auto" w:fill="auto"/>
            <w:vAlign w:val="center"/>
            <w:hideMark/>
          </w:tcPr>
          <w:p w14:paraId="10B3D74D" w14:textId="77777777" w:rsidR="008F776F" w:rsidRPr="00ED4FEA" w:rsidRDefault="008F776F" w:rsidP="00DB6666">
            <w:pPr>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 Transferencias hacia/desde reservas</w:t>
            </w:r>
          </w:p>
        </w:tc>
        <w:tc>
          <w:tcPr>
            <w:tcW w:w="1727" w:type="dxa"/>
            <w:tcBorders>
              <w:top w:val="nil"/>
              <w:left w:val="nil"/>
              <w:bottom w:val="nil"/>
              <w:right w:val="nil"/>
            </w:tcBorders>
            <w:shd w:val="clear" w:color="auto" w:fill="auto"/>
            <w:vAlign w:val="center"/>
            <w:hideMark/>
          </w:tcPr>
          <w:p w14:paraId="5E5770F3"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w:t>
            </w:r>
          </w:p>
        </w:tc>
        <w:tc>
          <w:tcPr>
            <w:tcW w:w="1778" w:type="dxa"/>
            <w:tcBorders>
              <w:top w:val="nil"/>
              <w:left w:val="nil"/>
              <w:bottom w:val="nil"/>
              <w:right w:val="nil"/>
            </w:tcBorders>
            <w:shd w:val="clear" w:color="auto" w:fill="auto"/>
            <w:vAlign w:val="center"/>
            <w:hideMark/>
          </w:tcPr>
          <w:p w14:paraId="5B94FB29"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w:t>
            </w:r>
          </w:p>
        </w:tc>
        <w:tc>
          <w:tcPr>
            <w:tcW w:w="1905" w:type="dxa"/>
            <w:tcBorders>
              <w:top w:val="nil"/>
              <w:left w:val="nil"/>
              <w:bottom w:val="nil"/>
              <w:right w:val="nil"/>
            </w:tcBorders>
            <w:shd w:val="clear" w:color="auto" w:fill="auto"/>
            <w:vAlign w:val="center"/>
            <w:hideMark/>
          </w:tcPr>
          <w:p w14:paraId="7D742869" w14:textId="77777777" w:rsidR="008F776F" w:rsidRPr="00ED4FEA" w:rsidRDefault="008F776F" w:rsidP="00DB6666">
            <w:pPr>
              <w:jc w:val="right"/>
              <w:rPr>
                <w:rFonts w:ascii="Arial Narrow" w:hAnsi="Arial Narrow" w:cs="Arial"/>
                <w:color w:val="000000"/>
                <w:sz w:val="18"/>
                <w:szCs w:val="18"/>
                <w:lang w:val="es-ES_tradnl"/>
              </w:rPr>
            </w:pPr>
            <w:r w:rsidRPr="00ED4FEA">
              <w:rPr>
                <w:rFonts w:ascii="Arial Narrow" w:hAnsi="Arial Narrow" w:cs="Arial"/>
                <w:color w:val="000000"/>
                <w:sz w:val="18"/>
                <w:szCs w:val="18"/>
                <w:lang w:val="es-ES_tradnl"/>
              </w:rPr>
              <w:t>-</w:t>
            </w:r>
          </w:p>
        </w:tc>
      </w:tr>
      <w:tr w:rsidR="008F776F" w:rsidRPr="00ED4FEA" w14:paraId="76431690" w14:textId="77777777" w:rsidTr="00DB6666">
        <w:trPr>
          <w:trHeight w:val="379"/>
        </w:trPr>
        <w:tc>
          <w:tcPr>
            <w:tcW w:w="482" w:type="dxa"/>
            <w:tcBorders>
              <w:top w:val="single" w:sz="4" w:space="0" w:color="AAB8C4"/>
              <w:left w:val="nil"/>
              <w:bottom w:val="single" w:sz="8" w:space="0" w:color="AAB8C4"/>
              <w:right w:val="nil"/>
            </w:tcBorders>
            <w:shd w:val="clear" w:color="auto" w:fill="auto"/>
            <w:vAlign w:val="center"/>
            <w:hideMark/>
          </w:tcPr>
          <w:p w14:paraId="518CE352" w14:textId="77777777" w:rsidR="008F776F" w:rsidRPr="00ED4FEA" w:rsidRDefault="008F776F" w:rsidP="00DB6666">
            <w:pPr>
              <w:jc w:val="right"/>
              <w:rPr>
                <w:rFonts w:ascii="Arial Narrow" w:hAnsi="Arial Narrow" w:cs="Arial"/>
                <w:b/>
                <w:bCs/>
                <w:color w:val="000000"/>
                <w:sz w:val="18"/>
                <w:szCs w:val="18"/>
                <w:lang w:val="es-ES_tradnl"/>
              </w:rPr>
            </w:pPr>
            <w:r w:rsidRPr="00ED4FEA">
              <w:rPr>
                <w:rFonts w:ascii="Arial Narrow" w:hAnsi="Arial Narrow" w:cs="Arial"/>
                <w:b/>
                <w:bCs/>
                <w:color w:val="000000"/>
                <w:sz w:val="18"/>
                <w:szCs w:val="18"/>
                <w:lang w:val="es-ES_tradnl"/>
              </w:rPr>
              <w:t>6</w:t>
            </w:r>
          </w:p>
        </w:tc>
        <w:tc>
          <w:tcPr>
            <w:tcW w:w="3837" w:type="dxa"/>
            <w:tcBorders>
              <w:top w:val="single" w:sz="4" w:space="0" w:color="AAB8C4"/>
              <w:left w:val="nil"/>
              <w:bottom w:val="single" w:sz="8" w:space="0" w:color="AAB8C4"/>
              <w:right w:val="nil"/>
            </w:tcBorders>
            <w:shd w:val="clear" w:color="auto" w:fill="auto"/>
            <w:vAlign w:val="center"/>
            <w:hideMark/>
          </w:tcPr>
          <w:p w14:paraId="24F9A1D3" w14:textId="77777777" w:rsidR="008F776F" w:rsidRPr="00ED4FEA" w:rsidRDefault="008F776F" w:rsidP="00DB6666">
            <w:pPr>
              <w:rPr>
                <w:rFonts w:ascii="Arial Narrow" w:hAnsi="Arial Narrow" w:cs="Arial"/>
                <w:b/>
                <w:bCs/>
                <w:color w:val="000000"/>
                <w:sz w:val="18"/>
                <w:szCs w:val="18"/>
                <w:lang w:val="es-ES_tradnl"/>
              </w:rPr>
            </w:pPr>
            <w:r w:rsidRPr="00ED4FEA">
              <w:rPr>
                <w:rFonts w:ascii="Arial Narrow" w:hAnsi="Arial Narrow" w:cs="Arial"/>
                <w:b/>
                <w:bCs/>
                <w:color w:val="000000"/>
                <w:sz w:val="18"/>
                <w:szCs w:val="18"/>
                <w:lang w:val="es-ES_tradnl"/>
              </w:rPr>
              <w:t>Total, recursos</w:t>
            </w:r>
          </w:p>
        </w:tc>
        <w:tc>
          <w:tcPr>
            <w:tcW w:w="1727" w:type="dxa"/>
            <w:tcBorders>
              <w:top w:val="single" w:sz="4" w:space="0" w:color="AAB8C4"/>
              <w:left w:val="nil"/>
              <w:bottom w:val="single" w:sz="8" w:space="0" w:color="AAB8C4"/>
              <w:right w:val="nil"/>
            </w:tcBorders>
            <w:shd w:val="clear" w:color="auto" w:fill="auto"/>
            <w:vAlign w:val="center"/>
            <w:hideMark/>
          </w:tcPr>
          <w:p w14:paraId="17C1D7BF" w14:textId="77777777" w:rsidR="008F776F" w:rsidRPr="00ED4FEA" w:rsidRDefault="008F776F" w:rsidP="00DB6666">
            <w:pPr>
              <w:jc w:val="right"/>
              <w:rPr>
                <w:rFonts w:ascii="Arial Narrow" w:hAnsi="Arial Narrow" w:cs="Arial"/>
                <w:b/>
                <w:bCs/>
                <w:color w:val="000000"/>
                <w:sz w:val="18"/>
                <w:szCs w:val="18"/>
                <w:lang w:val="es-ES_tradnl"/>
              </w:rPr>
            </w:pPr>
            <w:r w:rsidRPr="00ED4FEA">
              <w:rPr>
                <w:rFonts w:ascii="Arial Narrow" w:hAnsi="Arial Narrow" w:cs="Arial"/>
                <w:b/>
                <w:bCs/>
                <w:color w:val="000000"/>
                <w:sz w:val="18"/>
                <w:szCs w:val="18"/>
                <w:lang w:val="es-ES_tradnl"/>
              </w:rPr>
              <w:t>7.901</w:t>
            </w:r>
          </w:p>
        </w:tc>
        <w:tc>
          <w:tcPr>
            <w:tcW w:w="1778" w:type="dxa"/>
            <w:tcBorders>
              <w:top w:val="single" w:sz="4" w:space="0" w:color="AAB8C4"/>
              <w:left w:val="nil"/>
              <w:bottom w:val="single" w:sz="8" w:space="0" w:color="AAB8C4"/>
              <w:right w:val="nil"/>
            </w:tcBorders>
            <w:shd w:val="clear" w:color="auto" w:fill="auto"/>
            <w:vAlign w:val="center"/>
            <w:hideMark/>
          </w:tcPr>
          <w:p w14:paraId="027E87CB" w14:textId="77777777" w:rsidR="008F776F" w:rsidRPr="00ED4FEA" w:rsidRDefault="008F776F" w:rsidP="00DB6666">
            <w:pPr>
              <w:jc w:val="right"/>
              <w:rPr>
                <w:rFonts w:ascii="Arial Narrow" w:hAnsi="Arial Narrow" w:cs="Arial"/>
                <w:b/>
                <w:bCs/>
                <w:color w:val="000000"/>
                <w:sz w:val="18"/>
                <w:szCs w:val="18"/>
                <w:lang w:val="es-ES_tradnl"/>
              </w:rPr>
            </w:pPr>
            <w:r w:rsidRPr="00ED4FEA">
              <w:rPr>
                <w:rFonts w:ascii="Arial Narrow" w:hAnsi="Arial Narrow" w:cs="Arial"/>
                <w:b/>
                <w:bCs/>
                <w:color w:val="000000"/>
                <w:sz w:val="18"/>
                <w:szCs w:val="18"/>
                <w:lang w:val="es-ES_tradnl"/>
              </w:rPr>
              <w:t>920</w:t>
            </w:r>
          </w:p>
        </w:tc>
        <w:tc>
          <w:tcPr>
            <w:tcW w:w="1905" w:type="dxa"/>
            <w:tcBorders>
              <w:top w:val="single" w:sz="4" w:space="0" w:color="AAB8C4"/>
              <w:left w:val="nil"/>
              <w:bottom w:val="single" w:sz="8" w:space="0" w:color="AAB8C4"/>
              <w:right w:val="nil"/>
            </w:tcBorders>
            <w:shd w:val="clear" w:color="auto" w:fill="auto"/>
            <w:vAlign w:val="center"/>
            <w:hideMark/>
          </w:tcPr>
          <w:p w14:paraId="4B2C1C36" w14:textId="77777777" w:rsidR="008F776F" w:rsidRPr="00ED4FEA" w:rsidRDefault="008F776F" w:rsidP="00DB6666">
            <w:pPr>
              <w:jc w:val="right"/>
              <w:rPr>
                <w:rFonts w:ascii="Arial Narrow" w:hAnsi="Arial Narrow" w:cs="Arial"/>
                <w:b/>
                <w:bCs/>
                <w:color w:val="000000"/>
                <w:sz w:val="18"/>
                <w:szCs w:val="18"/>
                <w:lang w:val="es-ES_tradnl"/>
              </w:rPr>
            </w:pPr>
            <w:r w:rsidRPr="00ED4FEA">
              <w:rPr>
                <w:rFonts w:ascii="Arial Narrow" w:hAnsi="Arial Narrow" w:cs="Arial"/>
                <w:b/>
                <w:bCs/>
                <w:color w:val="000000"/>
                <w:sz w:val="18"/>
                <w:szCs w:val="18"/>
                <w:lang w:val="es-ES_tradnl"/>
              </w:rPr>
              <w:t>8.822</w:t>
            </w:r>
          </w:p>
        </w:tc>
      </w:tr>
      <w:tr w:rsidR="008F776F" w:rsidRPr="00ED4FEA" w14:paraId="67E6FE1B" w14:textId="77777777" w:rsidTr="00DB6666">
        <w:trPr>
          <w:trHeight w:val="334"/>
        </w:trPr>
        <w:tc>
          <w:tcPr>
            <w:tcW w:w="482" w:type="dxa"/>
            <w:tcBorders>
              <w:top w:val="nil"/>
              <w:left w:val="nil"/>
              <w:bottom w:val="nil"/>
              <w:right w:val="nil"/>
            </w:tcBorders>
            <w:shd w:val="clear" w:color="auto" w:fill="auto"/>
            <w:hideMark/>
          </w:tcPr>
          <w:p w14:paraId="06C58615" w14:textId="77777777" w:rsidR="008F776F" w:rsidRPr="00ED4FEA" w:rsidRDefault="008F776F" w:rsidP="00DB6666">
            <w:pPr>
              <w:jc w:val="right"/>
              <w:rPr>
                <w:rFonts w:ascii="Arial Narrow" w:hAnsi="Arial Narrow" w:cs="Arial"/>
                <w:b/>
                <w:bCs/>
                <w:color w:val="000000"/>
                <w:sz w:val="18"/>
                <w:szCs w:val="18"/>
                <w:lang w:val="es-ES_tradnl"/>
              </w:rPr>
            </w:pPr>
          </w:p>
        </w:tc>
        <w:tc>
          <w:tcPr>
            <w:tcW w:w="3837" w:type="dxa"/>
            <w:tcBorders>
              <w:top w:val="nil"/>
              <w:left w:val="nil"/>
              <w:bottom w:val="nil"/>
              <w:right w:val="nil"/>
            </w:tcBorders>
            <w:shd w:val="clear" w:color="auto" w:fill="auto"/>
            <w:vAlign w:val="center"/>
            <w:hideMark/>
          </w:tcPr>
          <w:p w14:paraId="62B5792B" w14:textId="77777777" w:rsidR="008F776F" w:rsidRPr="00ED4FEA" w:rsidRDefault="008F776F" w:rsidP="00DB6666">
            <w:pPr>
              <w:rPr>
                <w:rFonts w:ascii="Arial Narrow" w:hAnsi="Arial Narrow" w:cs="Arial"/>
                <w:i/>
                <w:iCs/>
                <w:color w:val="000000"/>
                <w:sz w:val="18"/>
                <w:szCs w:val="18"/>
                <w:lang w:val="es-ES_tradnl"/>
              </w:rPr>
            </w:pPr>
            <w:r w:rsidRPr="00ED4FEA">
              <w:rPr>
                <w:rFonts w:ascii="Arial Narrow" w:hAnsi="Arial Narrow" w:cs="Arial"/>
                <w:i/>
                <w:iCs/>
                <w:color w:val="000000"/>
                <w:sz w:val="18"/>
                <w:szCs w:val="18"/>
                <w:lang w:val="es-ES_tradnl"/>
              </w:rPr>
              <w:t>Variación</w:t>
            </w:r>
          </w:p>
        </w:tc>
        <w:tc>
          <w:tcPr>
            <w:tcW w:w="1727" w:type="dxa"/>
            <w:tcBorders>
              <w:top w:val="nil"/>
              <w:left w:val="nil"/>
              <w:bottom w:val="nil"/>
              <w:right w:val="nil"/>
            </w:tcBorders>
            <w:shd w:val="clear" w:color="auto" w:fill="auto"/>
            <w:vAlign w:val="center"/>
            <w:hideMark/>
          </w:tcPr>
          <w:p w14:paraId="66F64088" w14:textId="77777777" w:rsidR="008F776F" w:rsidRPr="00ED4FEA" w:rsidRDefault="008F776F" w:rsidP="00DB6666">
            <w:pPr>
              <w:jc w:val="right"/>
              <w:rPr>
                <w:rFonts w:ascii="Arial Narrow" w:hAnsi="Arial Narrow" w:cs="Arial"/>
                <w:i/>
                <w:iCs/>
                <w:color w:val="000000"/>
                <w:sz w:val="18"/>
                <w:szCs w:val="18"/>
                <w:lang w:val="es-ES_tradnl"/>
              </w:rPr>
            </w:pPr>
            <w:r w:rsidRPr="00ED4FEA">
              <w:rPr>
                <w:rFonts w:ascii="Arial Narrow" w:hAnsi="Arial Narrow" w:cs="Arial"/>
                <w:i/>
                <w:iCs/>
                <w:color w:val="000000"/>
                <w:sz w:val="18"/>
                <w:szCs w:val="18"/>
                <w:lang w:val="es-ES_tradnl"/>
              </w:rPr>
              <w:t>3,5%</w:t>
            </w:r>
          </w:p>
        </w:tc>
        <w:tc>
          <w:tcPr>
            <w:tcW w:w="1778" w:type="dxa"/>
            <w:tcBorders>
              <w:top w:val="nil"/>
              <w:left w:val="nil"/>
              <w:bottom w:val="nil"/>
              <w:right w:val="nil"/>
            </w:tcBorders>
            <w:shd w:val="clear" w:color="auto" w:fill="auto"/>
            <w:vAlign w:val="center"/>
            <w:hideMark/>
          </w:tcPr>
          <w:p w14:paraId="1016A06A" w14:textId="77777777" w:rsidR="008F776F" w:rsidRPr="00ED4FEA" w:rsidRDefault="008F776F" w:rsidP="00DB6666">
            <w:pPr>
              <w:jc w:val="right"/>
              <w:rPr>
                <w:rFonts w:ascii="Arial Narrow" w:hAnsi="Arial Narrow" w:cs="Arial"/>
                <w:i/>
                <w:iCs/>
                <w:color w:val="000000"/>
                <w:sz w:val="18"/>
                <w:szCs w:val="18"/>
                <w:lang w:val="es-ES_tradnl"/>
              </w:rPr>
            </w:pPr>
          </w:p>
        </w:tc>
        <w:tc>
          <w:tcPr>
            <w:tcW w:w="1905" w:type="dxa"/>
            <w:tcBorders>
              <w:top w:val="nil"/>
              <w:left w:val="nil"/>
              <w:bottom w:val="nil"/>
              <w:right w:val="nil"/>
            </w:tcBorders>
            <w:shd w:val="clear" w:color="auto" w:fill="auto"/>
            <w:vAlign w:val="center"/>
            <w:hideMark/>
          </w:tcPr>
          <w:p w14:paraId="4F14B16A" w14:textId="77777777" w:rsidR="008F776F" w:rsidRPr="00ED4FEA" w:rsidRDefault="008F776F" w:rsidP="00DB6666">
            <w:pPr>
              <w:jc w:val="right"/>
              <w:rPr>
                <w:rFonts w:ascii="Arial Narrow" w:hAnsi="Arial Narrow" w:cs="Arial"/>
                <w:i/>
                <w:iCs/>
                <w:color w:val="000000"/>
                <w:sz w:val="18"/>
                <w:szCs w:val="18"/>
                <w:lang w:val="es-ES_tradnl"/>
              </w:rPr>
            </w:pPr>
            <w:r w:rsidRPr="00ED4FEA">
              <w:rPr>
                <w:rFonts w:ascii="Arial Narrow" w:hAnsi="Arial Narrow" w:cs="Arial"/>
                <w:i/>
                <w:iCs/>
                <w:color w:val="000000"/>
                <w:sz w:val="18"/>
                <w:szCs w:val="18"/>
                <w:lang w:val="es-ES_tradnl"/>
              </w:rPr>
              <w:t>2,6%</w:t>
            </w:r>
          </w:p>
        </w:tc>
      </w:tr>
    </w:tbl>
    <w:p w14:paraId="23AF4068" w14:textId="77777777" w:rsidR="008F776F" w:rsidRPr="008F776F" w:rsidRDefault="008F776F" w:rsidP="008F776F">
      <w:pPr>
        <w:tabs>
          <w:tab w:val="left" w:pos="284"/>
        </w:tabs>
        <w:spacing w:before="120"/>
        <w:rPr>
          <w:sz w:val="16"/>
          <w:lang w:val="es-ES_tradnl"/>
        </w:rPr>
      </w:pPr>
      <w:r w:rsidRPr="008F776F">
        <w:rPr>
          <w:sz w:val="16"/>
          <w:lang w:val="es-ES_tradnl"/>
        </w:rPr>
        <w:t>* Excluidos los gastos de apoyo administrativo del 13% en el marco de los fondos fiduciarios</w:t>
      </w:r>
    </w:p>
    <w:p w14:paraId="15468D28" w14:textId="77777777" w:rsidR="008F776F" w:rsidRPr="008F776F" w:rsidRDefault="008F776F" w:rsidP="008F776F">
      <w:pPr>
        <w:rPr>
          <w:lang w:val="es-ES_tradnl"/>
        </w:rPr>
      </w:pPr>
    </w:p>
    <w:p w14:paraId="4EA1F3EC" w14:textId="77777777" w:rsidR="008F776F" w:rsidRPr="008F776F" w:rsidRDefault="008F776F" w:rsidP="008F776F">
      <w:pPr>
        <w:rPr>
          <w:lang w:val="es-ES_tradnl"/>
        </w:rPr>
      </w:pPr>
    </w:p>
    <w:p w14:paraId="36178E02" w14:textId="77777777" w:rsidR="008F776F" w:rsidRPr="008F776F" w:rsidRDefault="008F776F" w:rsidP="008F776F">
      <w:pPr>
        <w:pStyle w:val="Heading3"/>
      </w:pPr>
      <w:bookmarkStart w:id="423" w:name="_Toc141978852"/>
      <w:r w:rsidRPr="008F776F">
        <w:t>Gastos</w:t>
      </w:r>
      <w:bookmarkEnd w:id="423"/>
    </w:p>
    <w:p w14:paraId="40AFC46F" w14:textId="77777777" w:rsidR="008F776F" w:rsidRPr="008F776F" w:rsidRDefault="008F776F" w:rsidP="008F776F">
      <w:pPr>
        <w:tabs>
          <w:tab w:val="left" w:pos="567"/>
        </w:tabs>
        <w:rPr>
          <w:b/>
          <w:lang w:val="es-ES_tradnl"/>
        </w:rPr>
      </w:pPr>
    </w:p>
    <w:p w14:paraId="320FAAC5" w14:textId="77777777" w:rsidR="008F776F" w:rsidRPr="008F776F" w:rsidRDefault="008F776F" w:rsidP="008F776F">
      <w:pPr>
        <w:tabs>
          <w:tab w:val="left" w:pos="567"/>
        </w:tabs>
        <w:rPr>
          <w:lang w:val="es-ES_tradnl"/>
        </w:rPr>
      </w:pPr>
      <w:r w:rsidRPr="008F776F">
        <w:rPr>
          <w:lang w:val="es-ES_tradnl"/>
        </w:rPr>
        <w:t>El presupuesto propuesto para 2024-2025 asciende a 7.901.307 francos suizos, lo que representa un aumento de 266.807 francos suizos, es decir, un 3,5%, en comparación con el presupuesto para 2022-2023 (véase el Cuadro 4).</w:t>
      </w:r>
    </w:p>
    <w:p w14:paraId="1E17163E" w14:textId="77777777" w:rsidR="008F776F" w:rsidRPr="008F776F" w:rsidRDefault="008F776F" w:rsidP="008F776F">
      <w:pPr>
        <w:tabs>
          <w:tab w:val="left" w:pos="567"/>
        </w:tabs>
        <w:rPr>
          <w:lang w:val="es-ES_tradnl"/>
        </w:rPr>
      </w:pPr>
    </w:p>
    <w:p w14:paraId="76BD17B8" w14:textId="77777777" w:rsidR="008F776F" w:rsidRPr="008F776F" w:rsidRDefault="008F776F" w:rsidP="008F776F">
      <w:pPr>
        <w:tabs>
          <w:tab w:val="left" w:pos="567"/>
        </w:tabs>
        <w:rPr>
          <w:lang w:val="es-ES_tradnl"/>
        </w:rPr>
      </w:pPr>
      <w:r w:rsidRPr="008F776F">
        <w:rPr>
          <w:lang w:val="es-ES_tradnl"/>
        </w:rPr>
        <w:t>El paso a la “nueva normalidad” tras la COVID-19 se refleja en el presupuesto, en particular, en el mayor uso de herramientas de reunión virtuales/híbridas, lo que se traduce en una reducción del tiempo y los gastos de viaje en comparación con los programas anteriores a la COVID.</w:t>
      </w:r>
    </w:p>
    <w:p w14:paraId="4F43EDD2" w14:textId="77777777" w:rsidR="008F776F" w:rsidRPr="008F776F" w:rsidRDefault="008F776F" w:rsidP="008F776F">
      <w:pPr>
        <w:pStyle w:val="ListParagraph"/>
        <w:tabs>
          <w:tab w:val="left" w:pos="851"/>
        </w:tabs>
        <w:ind w:left="0"/>
        <w:contextualSpacing w:val="0"/>
        <w:rPr>
          <w:lang w:val="es-ES_tradnl"/>
        </w:rPr>
      </w:pPr>
    </w:p>
    <w:p w14:paraId="7C07746A" w14:textId="77777777" w:rsidR="008F776F" w:rsidRPr="008F776F" w:rsidRDefault="008F776F" w:rsidP="008F776F">
      <w:pPr>
        <w:pStyle w:val="ListParagraph"/>
        <w:tabs>
          <w:tab w:val="left" w:pos="851"/>
        </w:tabs>
        <w:ind w:left="0"/>
        <w:contextualSpacing w:val="0"/>
        <w:rPr>
          <w:lang w:val="es-ES_tradnl"/>
        </w:rPr>
      </w:pPr>
      <w:r w:rsidRPr="008F776F">
        <w:rPr>
          <w:lang w:val="es-ES_tradnl"/>
        </w:rPr>
        <w:t>El uso sistemático de tecnologías de traducción automática para la traducción de documentos y otras medidas de ahorro permitirán contener los gastos de funcionamiento al nivel de los bienios anteriores.</w:t>
      </w:r>
    </w:p>
    <w:p w14:paraId="450A12A0" w14:textId="77777777" w:rsidR="008F776F" w:rsidRPr="008F776F" w:rsidRDefault="008F776F" w:rsidP="008F776F">
      <w:pPr>
        <w:pStyle w:val="ListParagraph"/>
        <w:tabs>
          <w:tab w:val="left" w:pos="851"/>
        </w:tabs>
        <w:ind w:left="0"/>
        <w:contextualSpacing w:val="0"/>
        <w:rPr>
          <w:lang w:val="es-ES_tradnl"/>
        </w:rPr>
      </w:pPr>
    </w:p>
    <w:p w14:paraId="2E795161" w14:textId="77777777" w:rsidR="008F776F" w:rsidRPr="008F776F" w:rsidRDefault="008F776F" w:rsidP="008F776F">
      <w:pPr>
        <w:pStyle w:val="ListParagraph"/>
        <w:tabs>
          <w:tab w:val="left" w:pos="851"/>
        </w:tabs>
        <w:ind w:left="0"/>
        <w:contextualSpacing w:val="0"/>
        <w:rPr>
          <w:lang w:val="es-ES_tradnl"/>
        </w:rPr>
      </w:pPr>
    </w:p>
    <w:p w14:paraId="7F33B420" w14:textId="77777777" w:rsidR="008F776F" w:rsidRPr="008F776F" w:rsidRDefault="008F776F" w:rsidP="008F776F">
      <w:pPr>
        <w:jc w:val="left"/>
        <w:rPr>
          <w:rFonts w:cs="Arial"/>
          <w:b/>
          <w:bCs/>
          <w:color w:val="26724C" w:themeColor="accent1" w:themeShade="BF"/>
          <w:lang w:val="es-ES_tradnl"/>
        </w:rPr>
      </w:pPr>
      <w:r w:rsidRPr="008F776F">
        <w:rPr>
          <w:rFonts w:cs="Arial"/>
          <w:b/>
          <w:bCs/>
          <w:color w:val="26724C" w:themeColor="accent1" w:themeShade="BF"/>
          <w:lang w:val="es-ES_tradnl"/>
        </w:rPr>
        <w:br w:type="page"/>
      </w:r>
    </w:p>
    <w:p w14:paraId="7D92312C" w14:textId="77777777" w:rsidR="008F776F" w:rsidRPr="008F776F" w:rsidRDefault="008F776F" w:rsidP="008F776F">
      <w:pPr>
        <w:keepNext/>
        <w:jc w:val="center"/>
        <w:rPr>
          <w:rFonts w:cs="Arial"/>
          <w:b/>
          <w:bCs/>
          <w:color w:val="26724C" w:themeColor="accent1" w:themeShade="BF"/>
          <w:lang w:val="es-ES_tradnl"/>
        </w:rPr>
      </w:pPr>
      <w:r w:rsidRPr="008F776F">
        <w:rPr>
          <w:rFonts w:cs="Arial"/>
          <w:b/>
          <w:bCs/>
          <w:color w:val="26724C" w:themeColor="accent1" w:themeShade="BF"/>
          <w:lang w:val="es-ES_tradnl"/>
        </w:rPr>
        <w:lastRenderedPageBreak/>
        <w:t>Cuadro 4: Propuesta de presupuesto para 2024</w:t>
      </w:r>
      <w:r w:rsidRPr="008F776F">
        <w:rPr>
          <w:rFonts w:cs="Arial"/>
          <w:b/>
          <w:bCs/>
          <w:color w:val="26724C" w:themeColor="accent1" w:themeShade="BF"/>
          <w:lang w:val="es-ES_tradnl"/>
        </w:rPr>
        <w:noBreakHyphen/>
        <w:t>2025, por categoría de gasto</w:t>
      </w:r>
    </w:p>
    <w:p w14:paraId="6C75676F" w14:textId="77777777" w:rsidR="008F776F" w:rsidRPr="008F776F" w:rsidRDefault="008F776F" w:rsidP="008F776F">
      <w:pPr>
        <w:keepNext/>
        <w:jc w:val="center"/>
        <w:rPr>
          <w:rFonts w:cs="Arial"/>
          <w:i/>
          <w:iCs/>
          <w:sz w:val="18"/>
          <w:szCs w:val="18"/>
          <w:lang w:val="es-ES_tradnl"/>
        </w:rPr>
      </w:pPr>
      <w:r w:rsidRPr="008F776F">
        <w:rPr>
          <w:rFonts w:cs="Arial"/>
          <w:i/>
          <w:iCs/>
          <w:sz w:val="18"/>
          <w:szCs w:val="18"/>
          <w:lang w:val="es-ES_tradnl"/>
        </w:rPr>
        <w:t>(en miles de francos suizos)</w:t>
      </w:r>
    </w:p>
    <w:p w14:paraId="6F0DF04D" w14:textId="77777777" w:rsidR="008F776F" w:rsidRPr="008F776F" w:rsidRDefault="008F776F" w:rsidP="008F776F">
      <w:pPr>
        <w:keepNext/>
        <w:rPr>
          <w:rFonts w:cs="Arial"/>
          <w:i/>
          <w:iCs/>
          <w:lang w:val="es-ES_tradnl"/>
        </w:rPr>
      </w:pPr>
    </w:p>
    <w:tbl>
      <w:tblPr>
        <w:tblW w:w="9136" w:type="dxa"/>
        <w:jc w:val="center"/>
        <w:tblLook w:val="04A0" w:firstRow="1" w:lastRow="0" w:firstColumn="1" w:lastColumn="0" w:noHBand="0" w:noVBand="1"/>
      </w:tblPr>
      <w:tblGrid>
        <w:gridCol w:w="320"/>
        <w:gridCol w:w="3297"/>
        <w:gridCol w:w="1108"/>
        <w:gridCol w:w="1283"/>
        <w:gridCol w:w="946"/>
        <w:gridCol w:w="963"/>
        <w:gridCol w:w="1219"/>
      </w:tblGrid>
      <w:tr w:rsidR="008F776F" w:rsidRPr="00ED4FEA" w14:paraId="185D8589" w14:textId="77777777" w:rsidTr="00DB6666">
        <w:trPr>
          <w:trHeight w:val="488"/>
          <w:jc w:val="center"/>
        </w:trPr>
        <w:tc>
          <w:tcPr>
            <w:tcW w:w="320" w:type="dxa"/>
            <w:vMerge w:val="restart"/>
            <w:tcBorders>
              <w:top w:val="nil"/>
              <w:left w:val="nil"/>
              <w:bottom w:val="single" w:sz="4" w:space="0" w:color="BFBFBF"/>
              <w:right w:val="nil"/>
            </w:tcBorders>
            <w:shd w:val="clear" w:color="000000" w:fill="C7CFD8"/>
            <w:vAlign w:val="bottom"/>
            <w:hideMark/>
          </w:tcPr>
          <w:p w14:paraId="04C8B83B" w14:textId="77777777" w:rsidR="008F776F" w:rsidRPr="00ED4FEA" w:rsidRDefault="008F776F" w:rsidP="00DB6666">
            <w:pPr>
              <w:keepNext/>
              <w:jc w:val="center"/>
              <w:rPr>
                <w:rFonts w:ascii="Arial Narrow" w:hAnsi="Arial Narrow" w:cs="Arial"/>
                <w:b/>
                <w:bCs/>
                <w:sz w:val="18"/>
                <w:szCs w:val="18"/>
                <w:lang w:val="es-ES_tradnl"/>
              </w:rPr>
            </w:pPr>
          </w:p>
        </w:tc>
        <w:tc>
          <w:tcPr>
            <w:tcW w:w="3297" w:type="dxa"/>
            <w:vMerge w:val="restart"/>
            <w:tcBorders>
              <w:top w:val="nil"/>
              <w:left w:val="nil"/>
              <w:bottom w:val="single" w:sz="4" w:space="0" w:color="BFBFBF"/>
              <w:right w:val="nil"/>
            </w:tcBorders>
            <w:shd w:val="clear" w:color="000000" w:fill="C7CFD8"/>
            <w:vAlign w:val="bottom"/>
            <w:hideMark/>
          </w:tcPr>
          <w:p w14:paraId="23506575" w14:textId="77777777" w:rsidR="008F776F" w:rsidRPr="00ED4FEA" w:rsidRDefault="008F776F" w:rsidP="00DB6666">
            <w:pPr>
              <w:keepNext/>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xml:space="preserve"> </w:t>
            </w:r>
          </w:p>
        </w:tc>
        <w:tc>
          <w:tcPr>
            <w:tcW w:w="1108" w:type="dxa"/>
            <w:vMerge w:val="restart"/>
            <w:tcBorders>
              <w:top w:val="single" w:sz="4" w:space="0" w:color="BFBFBF"/>
              <w:left w:val="nil"/>
              <w:bottom w:val="nil"/>
              <w:right w:val="nil"/>
            </w:tcBorders>
            <w:shd w:val="clear" w:color="000000" w:fill="C7CFD8"/>
            <w:vAlign w:val="center"/>
            <w:hideMark/>
          </w:tcPr>
          <w:p w14:paraId="5E5111EB" w14:textId="77777777" w:rsidR="008F776F" w:rsidRPr="00ED4FEA" w:rsidRDefault="008F776F" w:rsidP="00DB6666">
            <w:pPr>
              <w:keepNext/>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2020-2021</w:t>
            </w:r>
            <w:r w:rsidRPr="00ED4FEA">
              <w:rPr>
                <w:rFonts w:ascii="Arial Narrow" w:hAnsi="Arial Narrow" w:cs="Arial"/>
                <w:b/>
                <w:bCs/>
                <w:sz w:val="18"/>
                <w:szCs w:val="18"/>
                <w:lang w:val="es-ES_tradnl"/>
              </w:rPr>
              <w:br/>
              <w:t xml:space="preserve">Real </w:t>
            </w:r>
          </w:p>
        </w:tc>
        <w:tc>
          <w:tcPr>
            <w:tcW w:w="1283" w:type="dxa"/>
            <w:vMerge w:val="restart"/>
            <w:tcBorders>
              <w:top w:val="single" w:sz="4" w:space="0" w:color="BFBFBF"/>
              <w:left w:val="nil"/>
              <w:bottom w:val="nil"/>
              <w:right w:val="nil"/>
            </w:tcBorders>
            <w:shd w:val="clear" w:color="000000" w:fill="C7CFD8"/>
            <w:vAlign w:val="center"/>
            <w:hideMark/>
          </w:tcPr>
          <w:p w14:paraId="67294B19" w14:textId="77777777" w:rsidR="008F776F" w:rsidRPr="00ED4FEA" w:rsidRDefault="008F776F" w:rsidP="00DB6666">
            <w:pPr>
              <w:keepNext/>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xml:space="preserve">2022-2023 </w:t>
            </w:r>
            <w:r w:rsidRPr="00ED4FEA">
              <w:rPr>
                <w:rFonts w:ascii="Arial Narrow" w:hAnsi="Arial Narrow" w:cs="Arial"/>
                <w:b/>
                <w:bCs/>
                <w:sz w:val="18"/>
                <w:szCs w:val="18"/>
                <w:lang w:val="es-ES_tradnl"/>
              </w:rPr>
              <w:br/>
              <w:t xml:space="preserve">Presupuestado </w:t>
            </w:r>
          </w:p>
        </w:tc>
        <w:tc>
          <w:tcPr>
            <w:tcW w:w="1909" w:type="dxa"/>
            <w:gridSpan w:val="2"/>
            <w:tcBorders>
              <w:top w:val="single" w:sz="4" w:space="0" w:color="BFBFBF"/>
              <w:left w:val="nil"/>
              <w:bottom w:val="nil"/>
              <w:right w:val="nil"/>
            </w:tcBorders>
            <w:shd w:val="clear" w:color="000000" w:fill="C7CFD8"/>
            <w:vAlign w:val="center"/>
            <w:hideMark/>
          </w:tcPr>
          <w:p w14:paraId="3632D90C" w14:textId="77777777" w:rsidR="008F776F" w:rsidRPr="00ED4FEA" w:rsidRDefault="008F776F" w:rsidP="00DB6666">
            <w:pPr>
              <w:keepNext/>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xml:space="preserve">Variación </w:t>
            </w:r>
          </w:p>
        </w:tc>
        <w:tc>
          <w:tcPr>
            <w:tcW w:w="1219" w:type="dxa"/>
            <w:tcBorders>
              <w:top w:val="single" w:sz="4" w:space="0" w:color="BFBFBF"/>
              <w:left w:val="nil"/>
              <w:bottom w:val="single" w:sz="4" w:space="0" w:color="BFBFBF"/>
              <w:right w:val="nil"/>
            </w:tcBorders>
            <w:shd w:val="clear" w:color="000000" w:fill="C7CFD8"/>
            <w:vAlign w:val="center"/>
            <w:hideMark/>
          </w:tcPr>
          <w:p w14:paraId="57BD6877" w14:textId="77777777" w:rsidR="008F776F" w:rsidRPr="00ED4FEA" w:rsidRDefault="008F776F" w:rsidP="00DB6666">
            <w:pPr>
              <w:keepNext/>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2024</w:t>
            </w:r>
            <w:r w:rsidRPr="00ED4FEA">
              <w:rPr>
                <w:rFonts w:ascii="Arial Narrow" w:hAnsi="Arial Narrow" w:cs="Arial"/>
                <w:b/>
                <w:bCs/>
                <w:sz w:val="18"/>
                <w:szCs w:val="18"/>
                <w:lang w:val="es-ES_tradnl"/>
              </w:rPr>
              <w:noBreakHyphen/>
              <w:t>2025 Propuesto</w:t>
            </w:r>
          </w:p>
        </w:tc>
      </w:tr>
      <w:tr w:rsidR="008F776F" w:rsidRPr="00ED4FEA" w14:paraId="0E9515CE" w14:textId="77777777" w:rsidTr="00DB6666">
        <w:trPr>
          <w:trHeight w:val="301"/>
          <w:jc w:val="center"/>
        </w:trPr>
        <w:tc>
          <w:tcPr>
            <w:tcW w:w="320" w:type="dxa"/>
            <w:vMerge/>
            <w:tcBorders>
              <w:top w:val="nil"/>
              <w:left w:val="nil"/>
              <w:bottom w:val="single" w:sz="4" w:space="0" w:color="BFBFBF"/>
              <w:right w:val="nil"/>
            </w:tcBorders>
            <w:vAlign w:val="center"/>
            <w:hideMark/>
          </w:tcPr>
          <w:p w14:paraId="56D88640" w14:textId="77777777" w:rsidR="008F776F" w:rsidRPr="00ED4FEA" w:rsidRDefault="008F776F" w:rsidP="00DB6666">
            <w:pPr>
              <w:jc w:val="left"/>
              <w:rPr>
                <w:rFonts w:ascii="Arial Narrow" w:hAnsi="Arial Narrow" w:cs="Arial"/>
                <w:b/>
                <w:bCs/>
                <w:sz w:val="18"/>
                <w:szCs w:val="18"/>
                <w:lang w:val="es-ES_tradnl"/>
              </w:rPr>
            </w:pPr>
          </w:p>
        </w:tc>
        <w:tc>
          <w:tcPr>
            <w:tcW w:w="3297" w:type="dxa"/>
            <w:vMerge/>
            <w:tcBorders>
              <w:top w:val="nil"/>
              <w:left w:val="nil"/>
              <w:bottom w:val="single" w:sz="4" w:space="0" w:color="BFBFBF"/>
              <w:right w:val="nil"/>
            </w:tcBorders>
            <w:vAlign w:val="center"/>
            <w:hideMark/>
          </w:tcPr>
          <w:p w14:paraId="4BA328E7" w14:textId="77777777" w:rsidR="008F776F" w:rsidRPr="00ED4FEA" w:rsidRDefault="008F776F" w:rsidP="00DB6666">
            <w:pPr>
              <w:jc w:val="left"/>
              <w:rPr>
                <w:rFonts w:ascii="Arial Narrow" w:hAnsi="Arial Narrow" w:cs="Arial"/>
                <w:b/>
                <w:bCs/>
                <w:sz w:val="18"/>
                <w:szCs w:val="18"/>
                <w:lang w:val="es-ES_tradnl"/>
              </w:rPr>
            </w:pPr>
          </w:p>
        </w:tc>
        <w:tc>
          <w:tcPr>
            <w:tcW w:w="1108" w:type="dxa"/>
            <w:vMerge/>
            <w:tcBorders>
              <w:top w:val="single" w:sz="4" w:space="0" w:color="BFBFBF"/>
              <w:left w:val="nil"/>
              <w:bottom w:val="nil"/>
              <w:right w:val="nil"/>
            </w:tcBorders>
            <w:vAlign w:val="center"/>
            <w:hideMark/>
          </w:tcPr>
          <w:p w14:paraId="4D651616" w14:textId="77777777" w:rsidR="008F776F" w:rsidRPr="00ED4FEA" w:rsidRDefault="008F776F" w:rsidP="00DB6666">
            <w:pPr>
              <w:jc w:val="left"/>
              <w:rPr>
                <w:rFonts w:ascii="Arial Narrow" w:hAnsi="Arial Narrow" w:cs="Arial"/>
                <w:b/>
                <w:bCs/>
                <w:sz w:val="18"/>
                <w:szCs w:val="18"/>
                <w:lang w:val="es-ES_tradnl"/>
              </w:rPr>
            </w:pPr>
          </w:p>
        </w:tc>
        <w:tc>
          <w:tcPr>
            <w:tcW w:w="1283" w:type="dxa"/>
            <w:vMerge/>
            <w:tcBorders>
              <w:top w:val="single" w:sz="4" w:space="0" w:color="BFBFBF"/>
              <w:left w:val="nil"/>
              <w:bottom w:val="nil"/>
              <w:right w:val="nil"/>
            </w:tcBorders>
            <w:vAlign w:val="center"/>
            <w:hideMark/>
          </w:tcPr>
          <w:p w14:paraId="3A0D209C" w14:textId="77777777" w:rsidR="008F776F" w:rsidRPr="00ED4FEA" w:rsidRDefault="008F776F" w:rsidP="00DB6666">
            <w:pPr>
              <w:jc w:val="left"/>
              <w:rPr>
                <w:rFonts w:ascii="Arial Narrow" w:hAnsi="Arial Narrow" w:cs="Arial"/>
                <w:b/>
                <w:bCs/>
                <w:sz w:val="18"/>
                <w:szCs w:val="18"/>
                <w:lang w:val="es-ES_tradnl"/>
              </w:rPr>
            </w:pPr>
          </w:p>
        </w:tc>
        <w:tc>
          <w:tcPr>
            <w:tcW w:w="946" w:type="dxa"/>
            <w:tcBorders>
              <w:top w:val="single" w:sz="4" w:space="0" w:color="748B9E"/>
              <w:left w:val="nil"/>
              <w:bottom w:val="nil"/>
              <w:right w:val="nil"/>
            </w:tcBorders>
            <w:shd w:val="clear" w:color="000000" w:fill="C7CFD8"/>
            <w:vAlign w:val="center"/>
            <w:hideMark/>
          </w:tcPr>
          <w:p w14:paraId="24A8D99D"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Importe</w:t>
            </w:r>
          </w:p>
        </w:tc>
        <w:tc>
          <w:tcPr>
            <w:tcW w:w="963" w:type="dxa"/>
            <w:tcBorders>
              <w:top w:val="single" w:sz="4" w:space="0" w:color="748B9E"/>
              <w:left w:val="nil"/>
              <w:bottom w:val="nil"/>
              <w:right w:val="nil"/>
            </w:tcBorders>
            <w:shd w:val="clear" w:color="000000" w:fill="C7CFD8"/>
            <w:vAlign w:val="center"/>
            <w:hideMark/>
          </w:tcPr>
          <w:p w14:paraId="7CB126CF"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xml:space="preserve">% </w:t>
            </w:r>
          </w:p>
        </w:tc>
        <w:tc>
          <w:tcPr>
            <w:tcW w:w="1219" w:type="dxa"/>
            <w:tcBorders>
              <w:top w:val="single" w:sz="4" w:space="0" w:color="BFBFBF"/>
              <w:left w:val="nil"/>
              <w:bottom w:val="nil"/>
              <w:right w:val="nil"/>
            </w:tcBorders>
            <w:shd w:val="clear" w:color="auto" w:fill="C7CFD8"/>
            <w:vAlign w:val="center"/>
            <w:hideMark/>
          </w:tcPr>
          <w:p w14:paraId="332ADE0B" w14:textId="77777777" w:rsidR="008F776F" w:rsidRPr="00ED4FEA" w:rsidRDefault="008F776F" w:rsidP="00DB6666">
            <w:pPr>
              <w:jc w:val="left"/>
              <w:rPr>
                <w:rFonts w:ascii="Arial Narrow" w:hAnsi="Arial Narrow" w:cs="Arial"/>
                <w:b/>
                <w:bCs/>
                <w:sz w:val="18"/>
                <w:szCs w:val="18"/>
                <w:lang w:val="es-ES_tradnl"/>
              </w:rPr>
            </w:pPr>
          </w:p>
        </w:tc>
      </w:tr>
      <w:tr w:rsidR="008F776F" w:rsidRPr="00ED4FEA" w14:paraId="2584E726" w14:textId="77777777" w:rsidTr="00DB6666">
        <w:trPr>
          <w:trHeight w:val="227"/>
          <w:jc w:val="center"/>
        </w:trPr>
        <w:tc>
          <w:tcPr>
            <w:tcW w:w="320" w:type="dxa"/>
            <w:vMerge/>
            <w:tcBorders>
              <w:top w:val="nil"/>
              <w:left w:val="nil"/>
              <w:bottom w:val="single" w:sz="4" w:space="0" w:color="BFBFBF"/>
              <w:right w:val="nil"/>
            </w:tcBorders>
            <w:vAlign w:val="center"/>
            <w:hideMark/>
          </w:tcPr>
          <w:p w14:paraId="08723018" w14:textId="77777777" w:rsidR="008F776F" w:rsidRPr="00ED4FEA" w:rsidRDefault="008F776F" w:rsidP="00DB6666">
            <w:pPr>
              <w:jc w:val="left"/>
              <w:rPr>
                <w:rFonts w:ascii="Arial Narrow" w:hAnsi="Arial Narrow" w:cs="Arial"/>
                <w:b/>
                <w:bCs/>
                <w:sz w:val="18"/>
                <w:szCs w:val="18"/>
                <w:lang w:val="es-ES_tradnl"/>
              </w:rPr>
            </w:pPr>
          </w:p>
        </w:tc>
        <w:tc>
          <w:tcPr>
            <w:tcW w:w="3297" w:type="dxa"/>
            <w:vMerge/>
            <w:tcBorders>
              <w:top w:val="nil"/>
              <w:left w:val="nil"/>
              <w:bottom w:val="single" w:sz="4" w:space="0" w:color="BFBFBF"/>
              <w:right w:val="nil"/>
            </w:tcBorders>
            <w:vAlign w:val="center"/>
            <w:hideMark/>
          </w:tcPr>
          <w:p w14:paraId="1FABBB4C" w14:textId="77777777" w:rsidR="008F776F" w:rsidRPr="00ED4FEA" w:rsidRDefault="008F776F" w:rsidP="00DB6666">
            <w:pPr>
              <w:jc w:val="left"/>
              <w:rPr>
                <w:rFonts w:ascii="Arial Narrow" w:hAnsi="Arial Narrow" w:cs="Arial"/>
                <w:b/>
                <w:bCs/>
                <w:sz w:val="18"/>
                <w:szCs w:val="18"/>
                <w:lang w:val="es-ES_tradnl"/>
              </w:rPr>
            </w:pPr>
          </w:p>
        </w:tc>
        <w:tc>
          <w:tcPr>
            <w:tcW w:w="1108" w:type="dxa"/>
            <w:tcBorders>
              <w:top w:val="nil"/>
              <w:left w:val="nil"/>
              <w:bottom w:val="nil"/>
              <w:right w:val="nil"/>
            </w:tcBorders>
            <w:shd w:val="clear" w:color="000000" w:fill="C7CFD8"/>
            <w:vAlign w:val="center"/>
            <w:hideMark/>
          </w:tcPr>
          <w:p w14:paraId="1A3D1D64"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xml:space="preserve">A </w:t>
            </w:r>
          </w:p>
        </w:tc>
        <w:tc>
          <w:tcPr>
            <w:tcW w:w="1283" w:type="dxa"/>
            <w:tcBorders>
              <w:top w:val="nil"/>
              <w:left w:val="nil"/>
              <w:bottom w:val="nil"/>
              <w:right w:val="nil"/>
            </w:tcBorders>
            <w:shd w:val="clear" w:color="000000" w:fill="C7CFD8"/>
            <w:noWrap/>
            <w:vAlign w:val="center"/>
            <w:hideMark/>
          </w:tcPr>
          <w:p w14:paraId="359D4372"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xml:space="preserve">B </w:t>
            </w:r>
          </w:p>
        </w:tc>
        <w:tc>
          <w:tcPr>
            <w:tcW w:w="946" w:type="dxa"/>
            <w:tcBorders>
              <w:top w:val="nil"/>
              <w:left w:val="nil"/>
              <w:bottom w:val="nil"/>
              <w:right w:val="nil"/>
            </w:tcBorders>
            <w:shd w:val="clear" w:color="000000" w:fill="C7CFD8"/>
            <w:vAlign w:val="center"/>
            <w:hideMark/>
          </w:tcPr>
          <w:p w14:paraId="6D313624"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xml:space="preserve">C </w:t>
            </w:r>
          </w:p>
        </w:tc>
        <w:tc>
          <w:tcPr>
            <w:tcW w:w="963" w:type="dxa"/>
            <w:tcBorders>
              <w:top w:val="nil"/>
              <w:left w:val="nil"/>
              <w:bottom w:val="nil"/>
              <w:right w:val="nil"/>
            </w:tcBorders>
            <w:shd w:val="clear" w:color="000000" w:fill="C7CFD8"/>
            <w:vAlign w:val="center"/>
            <w:hideMark/>
          </w:tcPr>
          <w:p w14:paraId="13F6F918"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C/B</w:t>
            </w:r>
          </w:p>
        </w:tc>
        <w:tc>
          <w:tcPr>
            <w:tcW w:w="1219" w:type="dxa"/>
            <w:tcBorders>
              <w:top w:val="nil"/>
              <w:left w:val="nil"/>
              <w:bottom w:val="nil"/>
              <w:right w:val="nil"/>
            </w:tcBorders>
            <w:shd w:val="clear" w:color="000000" w:fill="C7CFD8"/>
            <w:noWrap/>
            <w:vAlign w:val="center"/>
            <w:hideMark/>
          </w:tcPr>
          <w:p w14:paraId="04BEC47F"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xml:space="preserve">D=B+C </w:t>
            </w:r>
          </w:p>
        </w:tc>
      </w:tr>
      <w:tr w:rsidR="008F776F" w:rsidRPr="00ED4FEA" w14:paraId="40657F02" w14:textId="77777777" w:rsidTr="00DB6666">
        <w:trPr>
          <w:trHeight w:val="192"/>
          <w:jc w:val="center"/>
        </w:trPr>
        <w:tc>
          <w:tcPr>
            <w:tcW w:w="320" w:type="dxa"/>
            <w:tcBorders>
              <w:top w:val="nil"/>
              <w:left w:val="nil"/>
              <w:bottom w:val="nil"/>
              <w:right w:val="nil"/>
            </w:tcBorders>
            <w:shd w:val="clear" w:color="auto" w:fill="auto"/>
            <w:noWrap/>
            <w:vAlign w:val="bottom"/>
            <w:hideMark/>
          </w:tcPr>
          <w:p w14:paraId="76A45A51" w14:textId="77777777" w:rsidR="008F776F" w:rsidRPr="00ED4FEA" w:rsidRDefault="008F776F" w:rsidP="00DB6666">
            <w:pPr>
              <w:jc w:val="center"/>
              <w:rPr>
                <w:rFonts w:ascii="Arial Narrow" w:hAnsi="Arial Narrow" w:cs="Arial"/>
                <w:b/>
                <w:bCs/>
                <w:sz w:val="18"/>
                <w:szCs w:val="18"/>
                <w:lang w:val="es-ES_tradnl"/>
              </w:rPr>
            </w:pPr>
          </w:p>
        </w:tc>
        <w:tc>
          <w:tcPr>
            <w:tcW w:w="3297" w:type="dxa"/>
            <w:tcBorders>
              <w:top w:val="nil"/>
              <w:left w:val="nil"/>
              <w:bottom w:val="nil"/>
              <w:right w:val="nil"/>
            </w:tcBorders>
            <w:shd w:val="clear" w:color="auto" w:fill="auto"/>
            <w:vAlign w:val="bottom"/>
            <w:hideMark/>
          </w:tcPr>
          <w:p w14:paraId="1A29DA80" w14:textId="77777777" w:rsidR="008F776F" w:rsidRPr="00ED4FEA" w:rsidRDefault="008F776F" w:rsidP="00DB6666">
            <w:pPr>
              <w:jc w:val="left"/>
              <w:rPr>
                <w:rFonts w:ascii="Arial Narrow" w:hAnsi="Arial Narrow"/>
                <w:sz w:val="18"/>
                <w:szCs w:val="18"/>
                <w:lang w:val="es-ES_tradnl"/>
              </w:rPr>
            </w:pPr>
          </w:p>
        </w:tc>
        <w:tc>
          <w:tcPr>
            <w:tcW w:w="1108" w:type="dxa"/>
            <w:tcBorders>
              <w:top w:val="single" w:sz="4" w:space="0" w:color="BFBFBF"/>
              <w:left w:val="nil"/>
              <w:bottom w:val="nil"/>
              <w:right w:val="nil"/>
            </w:tcBorders>
            <w:shd w:val="clear" w:color="auto" w:fill="auto"/>
            <w:vAlign w:val="bottom"/>
            <w:hideMark/>
          </w:tcPr>
          <w:p w14:paraId="52B02AC1"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w:t>
            </w:r>
          </w:p>
        </w:tc>
        <w:tc>
          <w:tcPr>
            <w:tcW w:w="1283" w:type="dxa"/>
            <w:tcBorders>
              <w:top w:val="single" w:sz="4" w:space="0" w:color="BFBFBF"/>
              <w:left w:val="nil"/>
              <w:bottom w:val="nil"/>
              <w:right w:val="nil"/>
            </w:tcBorders>
            <w:shd w:val="clear" w:color="auto" w:fill="auto"/>
            <w:vAlign w:val="bottom"/>
            <w:hideMark/>
          </w:tcPr>
          <w:p w14:paraId="4B65082D"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w:t>
            </w:r>
          </w:p>
        </w:tc>
        <w:tc>
          <w:tcPr>
            <w:tcW w:w="946" w:type="dxa"/>
            <w:tcBorders>
              <w:top w:val="single" w:sz="4" w:space="0" w:color="BFBFBF"/>
              <w:left w:val="nil"/>
              <w:bottom w:val="nil"/>
              <w:right w:val="nil"/>
            </w:tcBorders>
            <w:shd w:val="clear" w:color="auto" w:fill="auto"/>
            <w:vAlign w:val="bottom"/>
            <w:hideMark/>
          </w:tcPr>
          <w:p w14:paraId="7DF78CEC"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w:t>
            </w:r>
          </w:p>
        </w:tc>
        <w:tc>
          <w:tcPr>
            <w:tcW w:w="963" w:type="dxa"/>
            <w:tcBorders>
              <w:top w:val="single" w:sz="4" w:space="0" w:color="BFBFBF"/>
              <w:left w:val="nil"/>
              <w:bottom w:val="nil"/>
              <w:right w:val="nil"/>
            </w:tcBorders>
            <w:shd w:val="clear" w:color="auto" w:fill="auto"/>
            <w:vAlign w:val="bottom"/>
            <w:hideMark/>
          </w:tcPr>
          <w:p w14:paraId="1CE62D20"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w:t>
            </w:r>
          </w:p>
        </w:tc>
        <w:tc>
          <w:tcPr>
            <w:tcW w:w="1219" w:type="dxa"/>
            <w:tcBorders>
              <w:top w:val="single" w:sz="4" w:space="0" w:color="BFBFBF"/>
              <w:left w:val="nil"/>
              <w:bottom w:val="nil"/>
              <w:right w:val="nil"/>
            </w:tcBorders>
            <w:shd w:val="clear" w:color="auto" w:fill="auto"/>
            <w:vAlign w:val="bottom"/>
            <w:hideMark/>
          </w:tcPr>
          <w:p w14:paraId="455DF3F9"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w:t>
            </w:r>
          </w:p>
        </w:tc>
      </w:tr>
      <w:tr w:rsidR="008F776F" w:rsidRPr="00ED4FEA" w14:paraId="6A6D8991" w14:textId="77777777" w:rsidTr="00DB6666">
        <w:trPr>
          <w:trHeight w:val="301"/>
          <w:jc w:val="center"/>
        </w:trPr>
        <w:tc>
          <w:tcPr>
            <w:tcW w:w="3617" w:type="dxa"/>
            <w:gridSpan w:val="2"/>
            <w:tcBorders>
              <w:top w:val="nil"/>
              <w:left w:val="nil"/>
              <w:bottom w:val="nil"/>
              <w:right w:val="nil"/>
            </w:tcBorders>
            <w:shd w:val="clear" w:color="auto" w:fill="auto"/>
            <w:noWrap/>
            <w:vAlign w:val="center"/>
            <w:hideMark/>
          </w:tcPr>
          <w:p w14:paraId="10C64A9E"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A. Recursos de personal</w:t>
            </w:r>
          </w:p>
        </w:tc>
        <w:tc>
          <w:tcPr>
            <w:tcW w:w="1108" w:type="dxa"/>
            <w:tcBorders>
              <w:top w:val="nil"/>
              <w:left w:val="nil"/>
              <w:bottom w:val="nil"/>
              <w:right w:val="nil"/>
            </w:tcBorders>
            <w:shd w:val="clear" w:color="auto" w:fill="auto"/>
            <w:vAlign w:val="center"/>
            <w:hideMark/>
          </w:tcPr>
          <w:p w14:paraId="22294F8A" w14:textId="77777777" w:rsidR="008F776F" w:rsidRPr="00ED4FEA" w:rsidRDefault="008F776F" w:rsidP="00DB6666">
            <w:pPr>
              <w:jc w:val="right"/>
              <w:rPr>
                <w:rFonts w:ascii="Arial Narrow" w:hAnsi="Arial Narrow" w:cs="Arial"/>
                <w:b/>
                <w:bCs/>
                <w:sz w:val="18"/>
                <w:szCs w:val="18"/>
                <w:lang w:val="es-ES_tradnl"/>
              </w:rPr>
            </w:pPr>
          </w:p>
        </w:tc>
        <w:tc>
          <w:tcPr>
            <w:tcW w:w="1283" w:type="dxa"/>
            <w:tcBorders>
              <w:top w:val="nil"/>
              <w:left w:val="nil"/>
              <w:bottom w:val="nil"/>
              <w:right w:val="nil"/>
            </w:tcBorders>
            <w:shd w:val="clear" w:color="auto" w:fill="auto"/>
            <w:vAlign w:val="center"/>
            <w:hideMark/>
          </w:tcPr>
          <w:p w14:paraId="25DD2731" w14:textId="77777777" w:rsidR="008F776F" w:rsidRPr="00ED4FEA" w:rsidRDefault="008F776F" w:rsidP="00DB6666">
            <w:pPr>
              <w:jc w:val="right"/>
              <w:rPr>
                <w:rFonts w:ascii="Arial Narrow" w:hAnsi="Arial Narrow"/>
                <w:sz w:val="18"/>
                <w:szCs w:val="18"/>
                <w:lang w:val="es-ES_tradnl"/>
              </w:rPr>
            </w:pPr>
          </w:p>
        </w:tc>
        <w:tc>
          <w:tcPr>
            <w:tcW w:w="946" w:type="dxa"/>
            <w:tcBorders>
              <w:top w:val="nil"/>
              <w:left w:val="nil"/>
              <w:bottom w:val="nil"/>
              <w:right w:val="nil"/>
            </w:tcBorders>
            <w:shd w:val="clear" w:color="auto" w:fill="auto"/>
            <w:vAlign w:val="center"/>
            <w:hideMark/>
          </w:tcPr>
          <w:p w14:paraId="30355646" w14:textId="77777777" w:rsidR="008F776F" w:rsidRPr="00ED4FEA" w:rsidRDefault="008F776F" w:rsidP="00DB6666">
            <w:pPr>
              <w:jc w:val="right"/>
              <w:rPr>
                <w:rFonts w:ascii="Arial Narrow" w:hAnsi="Arial Narrow"/>
                <w:sz w:val="18"/>
                <w:szCs w:val="18"/>
                <w:lang w:val="es-ES_tradnl"/>
              </w:rPr>
            </w:pPr>
          </w:p>
        </w:tc>
        <w:tc>
          <w:tcPr>
            <w:tcW w:w="963" w:type="dxa"/>
            <w:tcBorders>
              <w:top w:val="nil"/>
              <w:left w:val="nil"/>
              <w:bottom w:val="nil"/>
              <w:right w:val="nil"/>
            </w:tcBorders>
            <w:shd w:val="clear" w:color="auto" w:fill="auto"/>
            <w:vAlign w:val="center"/>
            <w:hideMark/>
          </w:tcPr>
          <w:p w14:paraId="093B7C3F" w14:textId="77777777" w:rsidR="008F776F" w:rsidRPr="00ED4FEA" w:rsidRDefault="008F776F" w:rsidP="00DB6666">
            <w:pPr>
              <w:jc w:val="right"/>
              <w:rPr>
                <w:rFonts w:ascii="Arial Narrow" w:hAnsi="Arial Narrow"/>
                <w:sz w:val="18"/>
                <w:szCs w:val="18"/>
                <w:lang w:val="es-ES_tradnl"/>
              </w:rPr>
            </w:pPr>
          </w:p>
        </w:tc>
        <w:tc>
          <w:tcPr>
            <w:tcW w:w="1219" w:type="dxa"/>
            <w:tcBorders>
              <w:top w:val="nil"/>
              <w:left w:val="nil"/>
              <w:bottom w:val="nil"/>
              <w:right w:val="nil"/>
            </w:tcBorders>
            <w:shd w:val="clear" w:color="auto" w:fill="auto"/>
            <w:vAlign w:val="center"/>
            <w:hideMark/>
          </w:tcPr>
          <w:p w14:paraId="4A1A34EF" w14:textId="77777777" w:rsidR="008F776F" w:rsidRPr="00ED4FEA" w:rsidRDefault="008F776F" w:rsidP="00DB6666">
            <w:pPr>
              <w:jc w:val="right"/>
              <w:rPr>
                <w:rFonts w:ascii="Arial Narrow" w:hAnsi="Arial Narrow"/>
                <w:sz w:val="18"/>
                <w:szCs w:val="18"/>
                <w:lang w:val="es-ES_tradnl"/>
              </w:rPr>
            </w:pPr>
          </w:p>
        </w:tc>
      </w:tr>
      <w:tr w:rsidR="008F776F" w:rsidRPr="00ED4FEA" w14:paraId="604AB704" w14:textId="77777777" w:rsidTr="00DB6666">
        <w:trPr>
          <w:trHeight w:val="355"/>
          <w:jc w:val="center"/>
        </w:trPr>
        <w:tc>
          <w:tcPr>
            <w:tcW w:w="320" w:type="dxa"/>
            <w:tcBorders>
              <w:top w:val="nil"/>
              <w:left w:val="nil"/>
              <w:bottom w:val="nil"/>
              <w:right w:val="nil"/>
            </w:tcBorders>
            <w:shd w:val="clear" w:color="auto" w:fill="auto"/>
            <w:noWrap/>
            <w:vAlign w:val="bottom"/>
            <w:hideMark/>
          </w:tcPr>
          <w:p w14:paraId="07436A3A" w14:textId="77777777" w:rsidR="008F776F" w:rsidRPr="00ED4FEA" w:rsidRDefault="008F776F" w:rsidP="00DB6666">
            <w:pPr>
              <w:jc w:val="left"/>
              <w:rPr>
                <w:rFonts w:ascii="Arial Narrow" w:hAnsi="Arial Narrow"/>
                <w:sz w:val="18"/>
                <w:szCs w:val="18"/>
                <w:lang w:val="es-ES_tradnl"/>
              </w:rPr>
            </w:pPr>
          </w:p>
        </w:tc>
        <w:tc>
          <w:tcPr>
            <w:tcW w:w="3297" w:type="dxa"/>
            <w:tcBorders>
              <w:top w:val="nil"/>
              <w:left w:val="nil"/>
              <w:bottom w:val="nil"/>
              <w:right w:val="nil"/>
            </w:tcBorders>
            <w:shd w:val="clear" w:color="auto" w:fill="auto"/>
            <w:vAlign w:val="center"/>
            <w:hideMark/>
          </w:tcPr>
          <w:p w14:paraId="404EF1C9" w14:textId="77777777" w:rsidR="008F776F" w:rsidRPr="00ED4FEA" w:rsidRDefault="008F776F" w:rsidP="00DB6666">
            <w:pPr>
              <w:ind w:firstLineChars="200" w:firstLine="360"/>
              <w:jc w:val="left"/>
              <w:rPr>
                <w:rFonts w:ascii="Arial Narrow" w:hAnsi="Arial Narrow" w:cs="Arial"/>
                <w:i/>
                <w:iCs/>
                <w:color w:val="000000"/>
                <w:sz w:val="18"/>
                <w:szCs w:val="18"/>
                <w:lang w:val="es-ES_tradnl"/>
              </w:rPr>
            </w:pPr>
            <w:r w:rsidRPr="00ED4FEA">
              <w:rPr>
                <w:rFonts w:ascii="Arial Narrow" w:hAnsi="Arial Narrow" w:cs="Arial"/>
                <w:i/>
                <w:iCs/>
                <w:color w:val="000000"/>
                <w:sz w:val="18"/>
                <w:szCs w:val="18"/>
                <w:lang w:val="es-ES_tradnl"/>
              </w:rPr>
              <w:t>Puestos</w:t>
            </w:r>
          </w:p>
        </w:tc>
        <w:tc>
          <w:tcPr>
            <w:tcW w:w="1108" w:type="dxa"/>
            <w:tcBorders>
              <w:top w:val="nil"/>
              <w:left w:val="nil"/>
              <w:bottom w:val="nil"/>
              <w:right w:val="nil"/>
            </w:tcBorders>
            <w:shd w:val="clear" w:color="auto" w:fill="auto"/>
            <w:vAlign w:val="center"/>
            <w:hideMark/>
          </w:tcPr>
          <w:p w14:paraId="2F9E8722"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4.363</w:t>
            </w:r>
          </w:p>
        </w:tc>
        <w:tc>
          <w:tcPr>
            <w:tcW w:w="1283" w:type="dxa"/>
            <w:tcBorders>
              <w:top w:val="nil"/>
              <w:left w:val="nil"/>
              <w:bottom w:val="nil"/>
              <w:right w:val="nil"/>
            </w:tcBorders>
            <w:shd w:val="clear" w:color="auto" w:fill="auto"/>
            <w:vAlign w:val="center"/>
            <w:hideMark/>
          </w:tcPr>
          <w:p w14:paraId="6FB2F865"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4.792</w:t>
            </w:r>
          </w:p>
        </w:tc>
        <w:tc>
          <w:tcPr>
            <w:tcW w:w="946" w:type="dxa"/>
            <w:tcBorders>
              <w:top w:val="nil"/>
              <w:left w:val="nil"/>
              <w:bottom w:val="nil"/>
              <w:right w:val="nil"/>
            </w:tcBorders>
            <w:shd w:val="clear" w:color="auto" w:fill="auto"/>
            <w:vAlign w:val="center"/>
            <w:hideMark/>
          </w:tcPr>
          <w:p w14:paraId="3FF01AC0"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393</w:t>
            </w:r>
          </w:p>
        </w:tc>
        <w:tc>
          <w:tcPr>
            <w:tcW w:w="963" w:type="dxa"/>
            <w:tcBorders>
              <w:top w:val="nil"/>
              <w:left w:val="nil"/>
              <w:bottom w:val="nil"/>
              <w:right w:val="nil"/>
            </w:tcBorders>
            <w:shd w:val="clear" w:color="auto" w:fill="auto"/>
            <w:vAlign w:val="center"/>
            <w:hideMark/>
          </w:tcPr>
          <w:p w14:paraId="793F0C7E"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8%</w:t>
            </w:r>
          </w:p>
        </w:tc>
        <w:tc>
          <w:tcPr>
            <w:tcW w:w="1219" w:type="dxa"/>
            <w:tcBorders>
              <w:top w:val="nil"/>
              <w:left w:val="nil"/>
              <w:bottom w:val="nil"/>
              <w:right w:val="nil"/>
            </w:tcBorders>
            <w:shd w:val="clear" w:color="auto" w:fill="auto"/>
            <w:vAlign w:val="center"/>
            <w:hideMark/>
          </w:tcPr>
          <w:p w14:paraId="02CF2853"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5.186</w:t>
            </w:r>
          </w:p>
        </w:tc>
      </w:tr>
      <w:tr w:rsidR="008F776F" w:rsidRPr="00ED4FEA" w14:paraId="38D46D5E" w14:textId="77777777" w:rsidTr="00DB6666">
        <w:trPr>
          <w:trHeight w:val="342"/>
          <w:jc w:val="center"/>
        </w:trPr>
        <w:tc>
          <w:tcPr>
            <w:tcW w:w="320" w:type="dxa"/>
            <w:tcBorders>
              <w:top w:val="nil"/>
              <w:left w:val="nil"/>
              <w:bottom w:val="nil"/>
              <w:right w:val="nil"/>
            </w:tcBorders>
            <w:shd w:val="clear" w:color="auto" w:fill="auto"/>
            <w:noWrap/>
            <w:vAlign w:val="bottom"/>
            <w:hideMark/>
          </w:tcPr>
          <w:p w14:paraId="2D5BFD82" w14:textId="77777777" w:rsidR="008F776F" w:rsidRPr="00ED4FEA" w:rsidRDefault="008F776F" w:rsidP="00DB6666">
            <w:pPr>
              <w:jc w:val="right"/>
              <w:rPr>
                <w:rFonts w:ascii="Arial Narrow" w:hAnsi="Arial Narrow" w:cs="Arial"/>
                <w:sz w:val="18"/>
                <w:szCs w:val="18"/>
                <w:lang w:val="es-ES_tradnl"/>
              </w:rPr>
            </w:pPr>
          </w:p>
        </w:tc>
        <w:tc>
          <w:tcPr>
            <w:tcW w:w="3297" w:type="dxa"/>
            <w:tcBorders>
              <w:top w:val="nil"/>
              <w:left w:val="nil"/>
              <w:bottom w:val="nil"/>
              <w:right w:val="nil"/>
            </w:tcBorders>
            <w:shd w:val="clear" w:color="auto" w:fill="auto"/>
            <w:vAlign w:val="center"/>
            <w:hideMark/>
          </w:tcPr>
          <w:p w14:paraId="3D1921AB" w14:textId="77777777" w:rsidR="008F776F" w:rsidRPr="00ED4FEA" w:rsidRDefault="008F776F" w:rsidP="00DB6666">
            <w:pPr>
              <w:ind w:firstLineChars="200" w:firstLine="360"/>
              <w:jc w:val="left"/>
              <w:rPr>
                <w:rFonts w:ascii="Arial Narrow" w:hAnsi="Arial Narrow" w:cs="Arial"/>
                <w:i/>
                <w:iCs/>
                <w:color w:val="000000"/>
                <w:sz w:val="18"/>
                <w:szCs w:val="18"/>
                <w:lang w:val="es-ES_tradnl"/>
              </w:rPr>
            </w:pPr>
            <w:r w:rsidRPr="00ED4FEA">
              <w:rPr>
                <w:rFonts w:ascii="Arial Narrow" w:hAnsi="Arial Narrow" w:cs="Arial"/>
                <w:i/>
                <w:iCs/>
                <w:color w:val="000000"/>
                <w:sz w:val="18"/>
                <w:szCs w:val="18"/>
                <w:lang w:val="es-ES_tradnl"/>
              </w:rPr>
              <w:t>Personal temporal</w:t>
            </w:r>
          </w:p>
        </w:tc>
        <w:tc>
          <w:tcPr>
            <w:tcW w:w="1108" w:type="dxa"/>
            <w:tcBorders>
              <w:top w:val="nil"/>
              <w:left w:val="nil"/>
              <w:bottom w:val="nil"/>
              <w:right w:val="nil"/>
            </w:tcBorders>
            <w:shd w:val="clear" w:color="auto" w:fill="auto"/>
            <w:vAlign w:val="center"/>
            <w:hideMark/>
          </w:tcPr>
          <w:p w14:paraId="082D74DE"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188</w:t>
            </w:r>
          </w:p>
        </w:tc>
        <w:tc>
          <w:tcPr>
            <w:tcW w:w="1283" w:type="dxa"/>
            <w:tcBorders>
              <w:top w:val="nil"/>
              <w:left w:val="nil"/>
              <w:bottom w:val="nil"/>
              <w:right w:val="nil"/>
            </w:tcBorders>
            <w:shd w:val="clear" w:color="auto" w:fill="auto"/>
            <w:vAlign w:val="center"/>
            <w:hideMark/>
          </w:tcPr>
          <w:p w14:paraId="52E910A9"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526</w:t>
            </w:r>
          </w:p>
        </w:tc>
        <w:tc>
          <w:tcPr>
            <w:tcW w:w="946" w:type="dxa"/>
            <w:tcBorders>
              <w:top w:val="nil"/>
              <w:left w:val="nil"/>
              <w:bottom w:val="nil"/>
              <w:right w:val="nil"/>
            </w:tcBorders>
            <w:shd w:val="clear" w:color="auto" w:fill="auto"/>
            <w:vAlign w:val="center"/>
            <w:hideMark/>
          </w:tcPr>
          <w:p w14:paraId="5230FD15"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43</w:t>
            </w:r>
          </w:p>
        </w:tc>
        <w:tc>
          <w:tcPr>
            <w:tcW w:w="963" w:type="dxa"/>
            <w:tcBorders>
              <w:top w:val="nil"/>
              <w:left w:val="nil"/>
              <w:bottom w:val="nil"/>
              <w:right w:val="nil"/>
            </w:tcBorders>
            <w:shd w:val="clear" w:color="auto" w:fill="auto"/>
            <w:vAlign w:val="center"/>
            <w:hideMark/>
          </w:tcPr>
          <w:p w14:paraId="3C69F8BA"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8%</w:t>
            </w:r>
          </w:p>
        </w:tc>
        <w:tc>
          <w:tcPr>
            <w:tcW w:w="1219" w:type="dxa"/>
            <w:tcBorders>
              <w:top w:val="nil"/>
              <w:left w:val="nil"/>
              <w:bottom w:val="nil"/>
              <w:right w:val="nil"/>
            </w:tcBorders>
            <w:shd w:val="clear" w:color="auto" w:fill="auto"/>
            <w:vAlign w:val="center"/>
            <w:hideMark/>
          </w:tcPr>
          <w:p w14:paraId="4877D934"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569</w:t>
            </w:r>
          </w:p>
        </w:tc>
      </w:tr>
      <w:tr w:rsidR="008F776F" w:rsidRPr="00ED4FEA" w14:paraId="3583FE64" w14:textId="77777777" w:rsidTr="00DB6666">
        <w:trPr>
          <w:trHeight w:val="342"/>
          <w:jc w:val="center"/>
        </w:trPr>
        <w:tc>
          <w:tcPr>
            <w:tcW w:w="320" w:type="dxa"/>
            <w:tcBorders>
              <w:top w:val="nil"/>
              <w:left w:val="nil"/>
              <w:bottom w:val="nil"/>
              <w:right w:val="nil"/>
            </w:tcBorders>
            <w:shd w:val="clear" w:color="auto" w:fill="auto"/>
            <w:noWrap/>
            <w:vAlign w:val="bottom"/>
            <w:hideMark/>
          </w:tcPr>
          <w:p w14:paraId="487481F2" w14:textId="77777777" w:rsidR="008F776F" w:rsidRPr="00ED4FEA" w:rsidRDefault="008F776F" w:rsidP="00DB6666">
            <w:pPr>
              <w:jc w:val="right"/>
              <w:rPr>
                <w:rFonts w:ascii="Arial Narrow" w:hAnsi="Arial Narrow" w:cs="Arial"/>
                <w:sz w:val="18"/>
                <w:szCs w:val="18"/>
                <w:lang w:val="es-ES_tradnl"/>
              </w:rPr>
            </w:pPr>
          </w:p>
        </w:tc>
        <w:tc>
          <w:tcPr>
            <w:tcW w:w="3297" w:type="dxa"/>
            <w:tcBorders>
              <w:top w:val="nil"/>
              <w:left w:val="nil"/>
              <w:bottom w:val="nil"/>
              <w:right w:val="nil"/>
            </w:tcBorders>
            <w:shd w:val="clear" w:color="auto" w:fill="auto"/>
            <w:vAlign w:val="center"/>
            <w:hideMark/>
          </w:tcPr>
          <w:p w14:paraId="38A9EFBD" w14:textId="77777777" w:rsidR="008F776F" w:rsidRPr="00ED4FEA" w:rsidRDefault="008F776F" w:rsidP="00DB6666">
            <w:pPr>
              <w:ind w:firstLineChars="200" w:firstLine="360"/>
              <w:jc w:val="left"/>
              <w:rPr>
                <w:rFonts w:ascii="Arial Narrow" w:hAnsi="Arial Narrow" w:cs="Arial"/>
                <w:i/>
                <w:iCs/>
                <w:color w:val="000000"/>
                <w:sz w:val="18"/>
                <w:szCs w:val="18"/>
                <w:lang w:val="es-ES_tradnl"/>
              </w:rPr>
            </w:pPr>
            <w:r w:rsidRPr="00ED4FEA">
              <w:rPr>
                <w:rFonts w:ascii="Arial Narrow" w:hAnsi="Arial Narrow" w:cs="Arial"/>
                <w:i/>
                <w:iCs/>
                <w:color w:val="000000"/>
                <w:sz w:val="18"/>
                <w:szCs w:val="18"/>
                <w:lang w:val="es-ES_tradnl"/>
              </w:rPr>
              <w:t>Otros costos de personal</w:t>
            </w:r>
          </w:p>
        </w:tc>
        <w:tc>
          <w:tcPr>
            <w:tcW w:w="1108" w:type="dxa"/>
            <w:tcBorders>
              <w:top w:val="nil"/>
              <w:left w:val="nil"/>
              <w:bottom w:val="nil"/>
              <w:right w:val="nil"/>
            </w:tcBorders>
            <w:shd w:val="clear" w:color="auto" w:fill="auto"/>
            <w:vAlign w:val="center"/>
            <w:hideMark/>
          </w:tcPr>
          <w:p w14:paraId="6A5F02CB"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w:t>
            </w:r>
          </w:p>
        </w:tc>
        <w:tc>
          <w:tcPr>
            <w:tcW w:w="1283" w:type="dxa"/>
            <w:tcBorders>
              <w:top w:val="nil"/>
              <w:left w:val="nil"/>
              <w:bottom w:val="nil"/>
              <w:right w:val="nil"/>
            </w:tcBorders>
            <w:shd w:val="clear" w:color="auto" w:fill="auto"/>
            <w:vAlign w:val="center"/>
            <w:hideMark/>
          </w:tcPr>
          <w:p w14:paraId="59FB1D7B"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w:t>
            </w:r>
          </w:p>
        </w:tc>
        <w:tc>
          <w:tcPr>
            <w:tcW w:w="946" w:type="dxa"/>
            <w:tcBorders>
              <w:top w:val="nil"/>
              <w:left w:val="nil"/>
              <w:bottom w:val="nil"/>
              <w:right w:val="nil"/>
            </w:tcBorders>
            <w:shd w:val="clear" w:color="auto" w:fill="auto"/>
            <w:vAlign w:val="center"/>
            <w:hideMark/>
          </w:tcPr>
          <w:p w14:paraId="11A6DB91"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w:t>
            </w:r>
          </w:p>
        </w:tc>
        <w:tc>
          <w:tcPr>
            <w:tcW w:w="963" w:type="dxa"/>
            <w:tcBorders>
              <w:top w:val="nil"/>
              <w:left w:val="nil"/>
              <w:bottom w:val="single" w:sz="4" w:space="0" w:color="BFBFBF"/>
              <w:right w:val="nil"/>
            </w:tcBorders>
            <w:shd w:val="clear" w:color="auto" w:fill="auto"/>
            <w:vAlign w:val="center"/>
            <w:hideMark/>
          </w:tcPr>
          <w:p w14:paraId="49420206"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w:t>
            </w:r>
          </w:p>
        </w:tc>
        <w:tc>
          <w:tcPr>
            <w:tcW w:w="1219" w:type="dxa"/>
            <w:tcBorders>
              <w:top w:val="nil"/>
              <w:left w:val="nil"/>
              <w:bottom w:val="nil"/>
              <w:right w:val="nil"/>
            </w:tcBorders>
            <w:shd w:val="clear" w:color="auto" w:fill="auto"/>
            <w:vAlign w:val="center"/>
            <w:hideMark/>
          </w:tcPr>
          <w:p w14:paraId="04546A70"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w:t>
            </w:r>
          </w:p>
        </w:tc>
      </w:tr>
      <w:tr w:rsidR="008F776F" w:rsidRPr="00ED4FEA" w14:paraId="36CA5EA3" w14:textId="77777777" w:rsidTr="00DB6666">
        <w:trPr>
          <w:trHeight w:val="314"/>
          <w:jc w:val="center"/>
        </w:trPr>
        <w:tc>
          <w:tcPr>
            <w:tcW w:w="320" w:type="dxa"/>
            <w:tcBorders>
              <w:top w:val="single" w:sz="4" w:space="0" w:color="AAB8C4"/>
              <w:left w:val="nil"/>
              <w:bottom w:val="single" w:sz="8" w:space="0" w:color="AAB8C4"/>
              <w:right w:val="nil"/>
            </w:tcBorders>
            <w:shd w:val="clear" w:color="auto" w:fill="auto"/>
            <w:noWrap/>
            <w:vAlign w:val="bottom"/>
            <w:hideMark/>
          </w:tcPr>
          <w:p w14:paraId="23C3028B"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 </w:t>
            </w:r>
          </w:p>
        </w:tc>
        <w:tc>
          <w:tcPr>
            <w:tcW w:w="3297" w:type="dxa"/>
            <w:tcBorders>
              <w:top w:val="single" w:sz="4" w:space="0" w:color="AAB8C4"/>
              <w:left w:val="nil"/>
              <w:bottom w:val="single" w:sz="8" w:space="0" w:color="AAB8C4"/>
              <w:right w:val="nil"/>
            </w:tcBorders>
            <w:shd w:val="clear" w:color="auto" w:fill="auto"/>
            <w:vAlign w:val="center"/>
            <w:hideMark/>
          </w:tcPr>
          <w:p w14:paraId="0B455B87" w14:textId="77777777" w:rsidR="008F776F" w:rsidRPr="00ED4FEA" w:rsidRDefault="008F776F" w:rsidP="00DB6666">
            <w:pPr>
              <w:jc w:val="left"/>
              <w:rPr>
                <w:rFonts w:ascii="Arial Narrow" w:hAnsi="Arial Narrow" w:cs="Arial"/>
                <w:b/>
                <w:bCs/>
                <w:color w:val="000000"/>
                <w:sz w:val="18"/>
                <w:szCs w:val="18"/>
                <w:lang w:val="es-ES_tradnl"/>
              </w:rPr>
            </w:pPr>
            <w:r w:rsidRPr="00ED4FEA">
              <w:rPr>
                <w:rFonts w:ascii="Arial Narrow" w:hAnsi="Arial Narrow" w:cs="Arial"/>
                <w:b/>
                <w:bCs/>
                <w:color w:val="000000"/>
                <w:sz w:val="18"/>
                <w:szCs w:val="18"/>
                <w:lang w:val="es-ES_tradnl"/>
              </w:rPr>
              <w:t>Total, A</w:t>
            </w:r>
          </w:p>
        </w:tc>
        <w:tc>
          <w:tcPr>
            <w:tcW w:w="1108" w:type="dxa"/>
            <w:tcBorders>
              <w:top w:val="single" w:sz="4" w:space="0" w:color="AAB8C4"/>
              <w:left w:val="nil"/>
              <w:bottom w:val="single" w:sz="8" w:space="0" w:color="AAB8C4"/>
              <w:right w:val="nil"/>
            </w:tcBorders>
            <w:shd w:val="clear" w:color="auto" w:fill="auto"/>
            <w:vAlign w:val="center"/>
            <w:hideMark/>
          </w:tcPr>
          <w:p w14:paraId="7ED4F306"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4.552</w:t>
            </w:r>
          </w:p>
        </w:tc>
        <w:tc>
          <w:tcPr>
            <w:tcW w:w="1283" w:type="dxa"/>
            <w:tcBorders>
              <w:top w:val="single" w:sz="4" w:space="0" w:color="AAB8C4"/>
              <w:left w:val="nil"/>
              <w:bottom w:val="single" w:sz="8" w:space="0" w:color="AAB8C4"/>
              <w:right w:val="nil"/>
            </w:tcBorders>
            <w:shd w:val="clear" w:color="auto" w:fill="auto"/>
            <w:vAlign w:val="center"/>
            <w:hideMark/>
          </w:tcPr>
          <w:p w14:paraId="4A7C3B18"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5.319</w:t>
            </w:r>
          </w:p>
        </w:tc>
        <w:tc>
          <w:tcPr>
            <w:tcW w:w="946" w:type="dxa"/>
            <w:tcBorders>
              <w:top w:val="single" w:sz="4" w:space="0" w:color="BFBFBF"/>
              <w:left w:val="nil"/>
              <w:bottom w:val="single" w:sz="8" w:space="0" w:color="BFBFBF"/>
              <w:right w:val="nil"/>
            </w:tcBorders>
            <w:shd w:val="clear" w:color="auto" w:fill="auto"/>
            <w:vAlign w:val="center"/>
            <w:hideMark/>
          </w:tcPr>
          <w:p w14:paraId="1AF3E2C2"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436</w:t>
            </w:r>
          </w:p>
        </w:tc>
        <w:tc>
          <w:tcPr>
            <w:tcW w:w="963" w:type="dxa"/>
            <w:tcBorders>
              <w:top w:val="nil"/>
              <w:left w:val="nil"/>
              <w:bottom w:val="single" w:sz="8" w:space="0" w:color="BFBFBF"/>
              <w:right w:val="nil"/>
            </w:tcBorders>
            <w:shd w:val="clear" w:color="auto" w:fill="auto"/>
            <w:vAlign w:val="center"/>
            <w:hideMark/>
          </w:tcPr>
          <w:p w14:paraId="194EFA8E"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8%</w:t>
            </w:r>
          </w:p>
        </w:tc>
        <w:tc>
          <w:tcPr>
            <w:tcW w:w="1219" w:type="dxa"/>
            <w:tcBorders>
              <w:top w:val="single" w:sz="4" w:space="0" w:color="AAB8C4"/>
              <w:left w:val="nil"/>
              <w:bottom w:val="single" w:sz="8" w:space="0" w:color="AAB8C4"/>
              <w:right w:val="nil"/>
            </w:tcBorders>
            <w:shd w:val="clear" w:color="auto" w:fill="auto"/>
            <w:vAlign w:val="center"/>
            <w:hideMark/>
          </w:tcPr>
          <w:p w14:paraId="05EED768"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5.755</w:t>
            </w:r>
          </w:p>
        </w:tc>
      </w:tr>
      <w:tr w:rsidR="008F776F" w:rsidRPr="00ED4FEA" w14:paraId="5DA62F18" w14:textId="77777777" w:rsidTr="00DB6666">
        <w:trPr>
          <w:trHeight w:val="141"/>
          <w:jc w:val="center"/>
        </w:trPr>
        <w:tc>
          <w:tcPr>
            <w:tcW w:w="320" w:type="dxa"/>
            <w:tcBorders>
              <w:top w:val="nil"/>
              <w:left w:val="nil"/>
              <w:bottom w:val="nil"/>
              <w:right w:val="nil"/>
            </w:tcBorders>
            <w:shd w:val="clear" w:color="auto" w:fill="auto"/>
            <w:noWrap/>
            <w:vAlign w:val="bottom"/>
            <w:hideMark/>
          </w:tcPr>
          <w:p w14:paraId="0C9D735A" w14:textId="77777777" w:rsidR="008F776F" w:rsidRPr="00ED4FEA" w:rsidRDefault="008F776F" w:rsidP="00DB6666">
            <w:pPr>
              <w:jc w:val="left"/>
              <w:rPr>
                <w:rFonts w:ascii="Arial Narrow" w:hAnsi="Arial Narrow" w:cs="Arial"/>
                <w:b/>
                <w:bCs/>
                <w:sz w:val="18"/>
                <w:szCs w:val="18"/>
                <w:lang w:val="es-ES_tradnl"/>
              </w:rPr>
            </w:pPr>
          </w:p>
        </w:tc>
        <w:tc>
          <w:tcPr>
            <w:tcW w:w="3297" w:type="dxa"/>
            <w:tcBorders>
              <w:top w:val="nil"/>
              <w:left w:val="nil"/>
              <w:bottom w:val="nil"/>
              <w:right w:val="nil"/>
            </w:tcBorders>
            <w:shd w:val="clear" w:color="auto" w:fill="auto"/>
            <w:vAlign w:val="bottom"/>
            <w:hideMark/>
          </w:tcPr>
          <w:p w14:paraId="0F5EF8E6" w14:textId="77777777" w:rsidR="008F776F" w:rsidRPr="00ED4FEA" w:rsidRDefault="008F776F" w:rsidP="00DB6666">
            <w:pPr>
              <w:jc w:val="left"/>
              <w:rPr>
                <w:rFonts w:ascii="Arial Narrow" w:hAnsi="Arial Narrow"/>
                <w:sz w:val="18"/>
                <w:szCs w:val="18"/>
                <w:lang w:val="es-ES_tradnl"/>
              </w:rPr>
            </w:pPr>
          </w:p>
        </w:tc>
        <w:tc>
          <w:tcPr>
            <w:tcW w:w="1108" w:type="dxa"/>
            <w:tcBorders>
              <w:top w:val="nil"/>
              <w:left w:val="nil"/>
              <w:bottom w:val="nil"/>
              <w:right w:val="nil"/>
            </w:tcBorders>
            <w:shd w:val="clear" w:color="auto" w:fill="auto"/>
            <w:vAlign w:val="bottom"/>
            <w:hideMark/>
          </w:tcPr>
          <w:p w14:paraId="497F41AE" w14:textId="77777777" w:rsidR="008F776F" w:rsidRPr="00ED4FEA" w:rsidRDefault="008F776F" w:rsidP="00DB6666">
            <w:pPr>
              <w:jc w:val="right"/>
              <w:rPr>
                <w:rFonts w:ascii="Arial Narrow" w:hAnsi="Arial Narrow"/>
                <w:sz w:val="18"/>
                <w:szCs w:val="18"/>
                <w:lang w:val="es-ES_tradnl"/>
              </w:rPr>
            </w:pPr>
          </w:p>
        </w:tc>
        <w:tc>
          <w:tcPr>
            <w:tcW w:w="1283" w:type="dxa"/>
            <w:tcBorders>
              <w:top w:val="nil"/>
              <w:left w:val="nil"/>
              <w:bottom w:val="nil"/>
              <w:right w:val="nil"/>
            </w:tcBorders>
            <w:shd w:val="clear" w:color="auto" w:fill="auto"/>
            <w:vAlign w:val="bottom"/>
            <w:hideMark/>
          </w:tcPr>
          <w:p w14:paraId="32079DE8" w14:textId="77777777" w:rsidR="008F776F" w:rsidRPr="00ED4FEA" w:rsidRDefault="008F776F" w:rsidP="00DB6666">
            <w:pPr>
              <w:jc w:val="right"/>
              <w:rPr>
                <w:rFonts w:ascii="Arial Narrow" w:hAnsi="Arial Narrow"/>
                <w:sz w:val="18"/>
                <w:szCs w:val="18"/>
                <w:lang w:val="es-ES_tradnl"/>
              </w:rPr>
            </w:pPr>
          </w:p>
        </w:tc>
        <w:tc>
          <w:tcPr>
            <w:tcW w:w="946" w:type="dxa"/>
            <w:tcBorders>
              <w:top w:val="nil"/>
              <w:left w:val="nil"/>
              <w:bottom w:val="nil"/>
              <w:right w:val="nil"/>
            </w:tcBorders>
            <w:shd w:val="clear" w:color="auto" w:fill="auto"/>
            <w:vAlign w:val="bottom"/>
            <w:hideMark/>
          </w:tcPr>
          <w:p w14:paraId="6941A41F" w14:textId="77777777" w:rsidR="008F776F" w:rsidRPr="00ED4FEA" w:rsidRDefault="008F776F" w:rsidP="00DB6666">
            <w:pPr>
              <w:jc w:val="right"/>
              <w:rPr>
                <w:rFonts w:ascii="Arial Narrow" w:hAnsi="Arial Narrow"/>
                <w:sz w:val="18"/>
                <w:szCs w:val="18"/>
                <w:lang w:val="es-ES_tradnl"/>
              </w:rPr>
            </w:pPr>
          </w:p>
        </w:tc>
        <w:tc>
          <w:tcPr>
            <w:tcW w:w="963" w:type="dxa"/>
            <w:tcBorders>
              <w:top w:val="nil"/>
              <w:left w:val="nil"/>
              <w:bottom w:val="nil"/>
              <w:right w:val="nil"/>
            </w:tcBorders>
            <w:shd w:val="clear" w:color="auto" w:fill="auto"/>
            <w:vAlign w:val="bottom"/>
            <w:hideMark/>
          </w:tcPr>
          <w:p w14:paraId="1642271C" w14:textId="77777777" w:rsidR="008F776F" w:rsidRPr="00ED4FEA" w:rsidRDefault="008F776F" w:rsidP="00DB6666">
            <w:pPr>
              <w:jc w:val="right"/>
              <w:rPr>
                <w:rFonts w:ascii="Arial Narrow" w:hAnsi="Arial Narrow"/>
                <w:sz w:val="18"/>
                <w:szCs w:val="18"/>
                <w:lang w:val="es-ES_tradnl"/>
              </w:rPr>
            </w:pPr>
          </w:p>
        </w:tc>
        <w:tc>
          <w:tcPr>
            <w:tcW w:w="1219" w:type="dxa"/>
            <w:tcBorders>
              <w:top w:val="nil"/>
              <w:left w:val="nil"/>
              <w:bottom w:val="nil"/>
              <w:right w:val="nil"/>
            </w:tcBorders>
            <w:shd w:val="clear" w:color="auto" w:fill="auto"/>
            <w:vAlign w:val="bottom"/>
            <w:hideMark/>
          </w:tcPr>
          <w:p w14:paraId="02E31B97" w14:textId="77777777" w:rsidR="008F776F" w:rsidRPr="00ED4FEA" w:rsidRDefault="008F776F" w:rsidP="00DB6666">
            <w:pPr>
              <w:jc w:val="right"/>
              <w:rPr>
                <w:rFonts w:ascii="Arial Narrow" w:hAnsi="Arial Narrow"/>
                <w:sz w:val="18"/>
                <w:szCs w:val="18"/>
                <w:lang w:val="es-ES_tradnl"/>
              </w:rPr>
            </w:pPr>
          </w:p>
        </w:tc>
      </w:tr>
      <w:tr w:rsidR="008F776F" w:rsidRPr="00ED4FEA" w14:paraId="70379795" w14:textId="77777777" w:rsidTr="00DB6666">
        <w:trPr>
          <w:trHeight w:val="342"/>
          <w:jc w:val="center"/>
        </w:trPr>
        <w:tc>
          <w:tcPr>
            <w:tcW w:w="3617" w:type="dxa"/>
            <w:gridSpan w:val="2"/>
            <w:tcBorders>
              <w:top w:val="nil"/>
              <w:left w:val="nil"/>
              <w:bottom w:val="nil"/>
              <w:right w:val="nil"/>
            </w:tcBorders>
            <w:shd w:val="clear" w:color="auto" w:fill="auto"/>
            <w:noWrap/>
            <w:vAlign w:val="center"/>
            <w:hideMark/>
          </w:tcPr>
          <w:p w14:paraId="4B699140"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B. Recursos no relativos a personal</w:t>
            </w:r>
          </w:p>
        </w:tc>
        <w:tc>
          <w:tcPr>
            <w:tcW w:w="1108" w:type="dxa"/>
            <w:tcBorders>
              <w:top w:val="nil"/>
              <w:left w:val="nil"/>
              <w:bottom w:val="nil"/>
              <w:right w:val="nil"/>
            </w:tcBorders>
            <w:shd w:val="clear" w:color="auto" w:fill="auto"/>
            <w:vAlign w:val="center"/>
            <w:hideMark/>
          </w:tcPr>
          <w:p w14:paraId="2BF61373" w14:textId="77777777" w:rsidR="008F776F" w:rsidRPr="00ED4FEA" w:rsidRDefault="008F776F" w:rsidP="00DB6666">
            <w:pPr>
              <w:jc w:val="right"/>
              <w:rPr>
                <w:rFonts w:ascii="Arial Narrow" w:hAnsi="Arial Narrow" w:cs="Arial"/>
                <w:b/>
                <w:bCs/>
                <w:sz w:val="18"/>
                <w:szCs w:val="18"/>
                <w:lang w:val="es-ES_tradnl"/>
              </w:rPr>
            </w:pPr>
          </w:p>
        </w:tc>
        <w:tc>
          <w:tcPr>
            <w:tcW w:w="1283" w:type="dxa"/>
            <w:tcBorders>
              <w:top w:val="nil"/>
              <w:left w:val="nil"/>
              <w:bottom w:val="nil"/>
              <w:right w:val="nil"/>
            </w:tcBorders>
            <w:shd w:val="clear" w:color="auto" w:fill="auto"/>
            <w:vAlign w:val="center"/>
            <w:hideMark/>
          </w:tcPr>
          <w:p w14:paraId="1A54FC65" w14:textId="77777777" w:rsidR="008F776F" w:rsidRPr="00ED4FEA" w:rsidRDefault="008F776F" w:rsidP="00DB6666">
            <w:pPr>
              <w:jc w:val="right"/>
              <w:rPr>
                <w:rFonts w:ascii="Arial Narrow" w:hAnsi="Arial Narrow"/>
                <w:sz w:val="18"/>
                <w:szCs w:val="18"/>
                <w:lang w:val="es-ES_tradnl"/>
              </w:rPr>
            </w:pPr>
          </w:p>
        </w:tc>
        <w:tc>
          <w:tcPr>
            <w:tcW w:w="946" w:type="dxa"/>
            <w:tcBorders>
              <w:top w:val="nil"/>
              <w:left w:val="nil"/>
              <w:bottom w:val="nil"/>
              <w:right w:val="nil"/>
            </w:tcBorders>
            <w:shd w:val="clear" w:color="auto" w:fill="auto"/>
            <w:vAlign w:val="center"/>
            <w:hideMark/>
          </w:tcPr>
          <w:p w14:paraId="49636B75" w14:textId="77777777" w:rsidR="008F776F" w:rsidRPr="00ED4FEA" w:rsidRDefault="008F776F" w:rsidP="00DB6666">
            <w:pPr>
              <w:jc w:val="right"/>
              <w:rPr>
                <w:rFonts w:ascii="Arial Narrow" w:hAnsi="Arial Narrow"/>
                <w:sz w:val="18"/>
                <w:szCs w:val="18"/>
                <w:lang w:val="es-ES_tradnl"/>
              </w:rPr>
            </w:pPr>
          </w:p>
        </w:tc>
        <w:tc>
          <w:tcPr>
            <w:tcW w:w="963" w:type="dxa"/>
            <w:tcBorders>
              <w:top w:val="nil"/>
              <w:left w:val="nil"/>
              <w:bottom w:val="nil"/>
              <w:right w:val="nil"/>
            </w:tcBorders>
            <w:shd w:val="clear" w:color="auto" w:fill="auto"/>
            <w:vAlign w:val="center"/>
            <w:hideMark/>
          </w:tcPr>
          <w:p w14:paraId="061E4D43" w14:textId="77777777" w:rsidR="008F776F" w:rsidRPr="00ED4FEA" w:rsidRDefault="008F776F" w:rsidP="00DB6666">
            <w:pPr>
              <w:jc w:val="right"/>
              <w:rPr>
                <w:rFonts w:ascii="Arial Narrow" w:hAnsi="Arial Narrow"/>
                <w:sz w:val="18"/>
                <w:szCs w:val="18"/>
                <w:lang w:val="es-ES_tradnl"/>
              </w:rPr>
            </w:pPr>
          </w:p>
        </w:tc>
        <w:tc>
          <w:tcPr>
            <w:tcW w:w="1219" w:type="dxa"/>
            <w:tcBorders>
              <w:top w:val="nil"/>
              <w:left w:val="nil"/>
              <w:bottom w:val="nil"/>
              <w:right w:val="nil"/>
            </w:tcBorders>
            <w:shd w:val="clear" w:color="auto" w:fill="auto"/>
            <w:vAlign w:val="center"/>
            <w:hideMark/>
          </w:tcPr>
          <w:p w14:paraId="5386AA14" w14:textId="77777777" w:rsidR="008F776F" w:rsidRPr="00ED4FEA" w:rsidRDefault="008F776F" w:rsidP="00DB6666">
            <w:pPr>
              <w:jc w:val="right"/>
              <w:rPr>
                <w:rFonts w:ascii="Arial Narrow" w:hAnsi="Arial Narrow"/>
                <w:sz w:val="18"/>
                <w:szCs w:val="18"/>
                <w:lang w:val="es-ES_tradnl"/>
              </w:rPr>
            </w:pPr>
          </w:p>
        </w:tc>
      </w:tr>
      <w:tr w:rsidR="008F776F" w:rsidRPr="00ED4FEA" w14:paraId="1BD41F33"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1FBF1290" w14:textId="77777777" w:rsidR="008F776F" w:rsidRPr="00ED4FEA" w:rsidRDefault="008F776F" w:rsidP="00DB6666">
            <w:pPr>
              <w:jc w:val="left"/>
              <w:rPr>
                <w:rFonts w:ascii="Arial Narrow" w:hAnsi="Arial Narrow"/>
                <w:sz w:val="18"/>
                <w:szCs w:val="18"/>
                <w:lang w:val="es-ES_tradnl"/>
              </w:rPr>
            </w:pPr>
          </w:p>
        </w:tc>
        <w:tc>
          <w:tcPr>
            <w:tcW w:w="3297" w:type="dxa"/>
            <w:tcBorders>
              <w:top w:val="nil"/>
              <w:left w:val="nil"/>
              <w:bottom w:val="nil"/>
              <w:right w:val="nil"/>
            </w:tcBorders>
            <w:shd w:val="clear" w:color="auto" w:fill="auto"/>
            <w:vAlign w:val="bottom"/>
            <w:hideMark/>
          </w:tcPr>
          <w:p w14:paraId="0037D34B"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Pasantías y becas</w:t>
            </w:r>
          </w:p>
        </w:tc>
        <w:tc>
          <w:tcPr>
            <w:tcW w:w="1108" w:type="dxa"/>
            <w:tcBorders>
              <w:top w:val="nil"/>
              <w:left w:val="nil"/>
              <w:bottom w:val="nil"/>
              <w:right w:val="nil"/>
            </w:tcBorders>
            <w:shd w:val="clear" w:color="auto" w:fill="auto"/>
            <w:vAlign w:val="bottom"/>
            <w:hideMark/>
          </w:tcPr>
          <w:p w14:paraId="78B18177" w14:textId="77777777" w:rsidR="008F776F" w:rsidRPr="00ED4FEA" w:rsidRDefault="008F776F" w:rsidP="00DB6666">
            <w:pPr>
              <w:jc w:val="right"/>
              <w:rPr>
                <w:rFonts w:ascii="Arial Narrow" w:hAnsi="Arial Narrow" w:cs="Arial"/>
                <w:b/>
                <w:bCs/>
                <w:sz w:val="18"/>
                <w:szCs w:val="18"/>
                <w:lang w:val="es-ES_tradnl"/>
              </w:rPr>
            </w:pPr>
          </w:p>
        </w:tc>
        <w:tc>
          <w:tcPr>
            <w:tcW w:w="1283" w:type="dxa"/>
            <w:tcBorders>
              <w:top w:val="nil"/>
              <w:left w:val="nil"/>
              <w:bottom w:val="nil"/>
              <w:right w:val="nil"/>
            </w:tcBorders>
            <w:shd w:val="clear" w:color="auto" w:fill="auto"/>
            <w:vAlign w:val="bottom"/>
            <w:hideMark/>
          </w:tcPr>
          <w:p w14:paraId="4CC0AC4A" w14:textId="77777777" w:rsidR="008F776F" w:rsidRPr="00ED4FEA" w:rsidRDefault="008F776F" w:rsidP="00DB6666">
            <w:pPr>
              <w:jc w:val="right"/>
              <w:rPr>
                <w:rFonts w:ascii="Arial Narrow" w:hAnsi="Arial Narrow"/>
                <w:sz w:val="18"/>
                <w:szCs w:val="18"/>
                <w:lang w:val="es-ES_tradnl"/>
              </w:rPr>
            </w:pPr>
          </w:p>
        </w:tc>
        <w:tc>
          <w:tcPr>
            <w:tcW w:w="946" w:type="dxa"/>
            <w:tcBorders>
              <w:top w:val="nil"/>
              <w:left w:val="nil"/>
              <w:bottom w:val="nil"/>
              <w:right w:val="nil"/>
            </w:tcBorders>
            <w:shd w:val="clear" w:color="auto" w:fill="auto"/>
            <w:vAlign w:val="bottom"/>
            <w:hideMark/>
          </w:tcPr>
          <w:p w14:paraId="169E7711" w14:textId="77777777" w:rsidR="008F776F" w:rsidRPr="00ED4FEA" w:rsidRDefault="008F776F" w:rsidP="00DB6666">
            <w:pPr>
              <w:jc w:val="right"/>
              <w:rPr>
                <w:rFonts w:ascii="Arial Narrow" w:hAnsi="Arial Narrow"/>
                <w:sz w:val="18"/>
                <w:szCs w:val="18"/>
                <w:lang w:val="es-ES_tradnl"/>
              </w:rPr>
            </w:pPr>
          </w:p>
        </w:tc>
        <w:tc>
          <w:tcPr>
            <w:tcW w:w="963" w:type="dxa"/>
            <w:tcBorders>
              <w:top w:val="nil"/>
              <w:left w:val="nil"/>
              <w:bottom w:val="nil"/>
              <w:right w:val="nil"/>
            </w:tcBorders>
            <w:shd w:val="clear" w:color="auto" w:fill="auto"/>
            <w:vAlign w:val="bottom"/>
            <w:hideMark/>
          </w:tcPr>
          <w:p w14:paraId="584A7508" w14:textId="77777777" w:rsidR="008F776F" w:rsidRPr="00ED4FEA" w:rsidRDefault="008F776F" w:rsidP="00DB6666">
            <w:pPr>
              <w:jc w:val="right"/>
              <w:rPr>
                <w:rFonts w:ascii="Arial Narrow" w:hAnsi="Arial Narrow"/>
                <w:sz w:val="18"/>
                <w:szCs w:val="18"/>
                <w:lang w:val="es-ES_tradnl"/>
              </w:rPr>
            </w:pPr>
          </w:p>
        </w:tc>
        <w:tc>
          <w:tcPr>
            <w:tcW w:w="1219" w:type="dxa"/>
            <w:tcBorders>
              <w:top w:val="nil"/>
              <w:left w:val="nil"/>
              <w:bottom w:val="nil"/>
              <w:right w:val="nil"/>
            </w:tcBorders>
            <w:shd w:val="clear" w:color="auto" w:fill="auto"/>
            <w:vAlign w:val="bottom"/>
            <w:hideMark/>
          </w:tcPr>
          <w:p w14:paraId="3B78940A" w14:textId="77777777" w:rsidR="008F776F" w:rsidRPr="00ED4FEA" w:rsidRDefault="008F776F" w:rsidP="00DB6666">
            <w:pPr>
              <w:jc w:val="right"/>
              <w:rPr>
                <w:rFonts w:ascii="Arial Narrow" w:hAnsi="Arial Narrow"/>
                <w:sz w:val="18"/>
                <w:szCs w:val="18"/>
                <w:lang w:val="es-ES_tradnl"/>
              </w:rPr>
            </w:pPr>
          </w:p>
        </w:tc>
      </w:tr>
      <w:tr w:rsidR="008F776F" w:rsidRPr="00ED4FEA" w14:paraId="7DB90ADE"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33BD99A8" w14:textId="77777777" w:rsidR="008F776F" w:rsidRPr="00ED4FEA" w:rsidRDefault="008F776F" w:rsidP="00DB6666">
            <w:pPr>
              <w:jc w:val="left"/>
              <w:rPr>
                <w:rFonts w:ascii="Arial Narrow" w:hAnsi="Arial Narrow"/>
                <w:sz w:val="18"/>
                <w:szCs w:val="18"/>
                <w:lang w:val="es-ES_tradnl"/>
              </w:rPr>
            </w:pPr>
          </w:p>
        </w:tc>
        <w:tc>
          <w:tcPr>
            <w:tcW w:w="3297" w:type="dxa"/>
            <w:tcBorders>
              <w:top w:val="nil"/>
              <w:left w:val="nil"/>
              <w:bottom w:val="nil"/>
              <w:right w:val="nil"/>
            </w:tcBorders>
            <w:shd w:val="clear" w:color="auto" w:fill="auto"/>
            <w:vAlign w:val="bottom"/>
            <w:hideMark/>
          </w:tcPr>
          <w:p w14:paraId="0BBC895E" w14:textId="77777777" w:rsidR="008F776F" w:rsidRPr="00ED4FEA" w:rsidRDefault="008F776F" w:rsidP="00DB6666">
            <w:pPr>
              <w:ind w:firstLineChars="200" w:firstLine="360"/>
              <w:jc w:val="left"/>
              <w:rPr>
                <w:rFonts w:ascii="Arial Narrow" w:hAnsi="Arial Narrow" w:cs="Arial"/>
                <w:i/>
                <w:iCs/>
                <w:sz w:val="18"/>
                <w:szCs w:val="18"/>
                <w:lang w:val="es-ES_tradnl"/>
              </w:rPr>
            </w:pPr>
            <w:r w:rsidRPr="00ED4FEA">
              <w:rPr>
                <w:rFonts w:ascii="Arial Narrow" w:hAnsi="Arial Narrow" w:cs="Arial"/>
                <w:i/>
                <w:iCs/>
                <w:sz w:val="18"/>
                <w:szCs w:val="18"/>
                <w:lang w:val="es-ES_tradnl"/>
              </w:rPr>
              <w:t>Pasantías</w:t>
            </w:r>
          </w:p>
        </w:tc>
        <w:tc>
          <w:tcPr>
            <w:tcW w:w="1108" w:type="dxa"/>
            <w:tcBorders>
              <w:top w:val="nil"/>
              <w:left w:val="nil"/>
              <w:bottom w:val="nil"/>
              <w:right w:val="nil"/>
            </w:tcBorders>
            <w:shd w:val="clear" w:color="auto" w:fill="auto"/>
            <w:vAlign w:val="center"/>
            <w:hideMark/>
          </w:tcPr>
          <w:p w14:paraId="5AEE8BA0"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0</w:t>
            </w:r>
          </w:p>
        </w:tc>
        <w:tc>
          <w:tcPr>
            <w:tcW w:w="1283" w:type="dxa"/>
            <w:tcBorders>
              <w:top w:val="nil"/>
              <w:left w:val="nil"/>
              <w:bottom w:val="nil"/>
              <w:right w:val="nil"/>
            </w:tcBorders>
            <w:shd w:val="clear" w:color="auto" w:fill="auto"/>
            <w:vAlign w:val="center"/>
            <w:hideMark/>
          </w:tcPr>
          <w:p w14:paraId="0C6F66F9"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5</w:t>
            </w:r>
          </w:p>
        </w:tc>
        <w:tc>
          <w:tcPr>
            <w:tcW w:w="946" w:type="dxa"/>
            <w:tcBorders>
              <w:top w:val="nil"/>
              <w:left w:val="nil"/>
              <w:bottom w:val="nil"/>
              <w:right w:val="nil"/>
            </w:tcBorders>
            <w:shd w:val="clear" w:color="auto" w:fill="auto"/>
            <w:vAlign w:val="center"/>
            <w:hideMark/>
          </w:tcPr>
          <w:p w14:paraId="28CE1CE0"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10</w:t>
            </w:r>
          </w:p>
        </w:tc>
        <w:tc>
          <w:tcPr>
            <w:tcW w:w="963" w:type="dxa"/>
            <w:tcBorders>
              <w:top w:val="nil"/>
              <w:left w:val="nil"/>
              <w:bottom w:val="nil"/>
              <w:right w:val="nil"/>
            </w:tcBorders>
            <w:shd w:val="clear" w:color="auto" w:fill="auto"/>
            <w:vAlign w:val="center"/>
            <w:hideMark/>
          </w:tcPr>
          <w:p w14:paraId="06367C9E" w14:textId="77777777" w:rsidR="008F776F" w:rsidRPr="00ED4FEA" w:rsidRDefault="00ED4FEA" w:rsidP="00DB6666">
            <w:pPr>
              <w:jc w:val="right"/>
              <w:rPr>
                <w:rFonts w:ascii="Arial Narrow" w:hAnsi="Arial Narrow" w:cs="Arial"/>
                <w:sz w:val="18"/>
                <w:szCs w:val="18"/>
                <w:lang w:val="es-ES_tradnl"/>
              </w:rPr>
            </w:pPr>
            <w:r>
              <w:rPr>
                <w:rFonts w:ascii="Arial Narrow" w:hAnsi="Arial Narrow" w:cs="Arial"/>
                <w:sz w:val="18"/>
                <w:szCs w:val="18"/>
                <w:lang w:val="es-ES_tradnl"/>
              </w:rPr>
              <w:t>+1</w:t>
            </w:r>
            <w:r w:rsidR="008F776F" w:rsidRPr="00ED4FEA">
              <w:rPr>
                <w:rFonts w:ascii="Arial Narrow" w:hAnsi="Arial Narrow" w:cs="Arial"/>
                <w:sz w:val="18"/>
                <w:szCs w:val="18"/>
                <w:lang w:val="es-ES_tradnl"/>
              </w:rPr>
              <w:t>00%</w:t>
            </w:r>
          </w:p>
        </w:tc>
        <w:tc>
          <w:tcPr>
            <w:tcW w:w="1219" w:type="dxa"/>
            <w:tcBorders>
              <w:top w:val="nil"/>
              <w:left w:val="nil"/>
              <w:bottom w:val="nil"/>
              <w:right w:val="nil"/>
            </w:tcBorders>
            <w:shd w:val="clear" w:color="auto" w:fill="auto"/>
            <w:vAlign w:val="center"/>
            <w:hideMark/>
          </w:tcPr>
          <w:p w14:paraId="7357788F"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15</w:t>
            </w:r>
          </w:p>
        </w:tc>
      </w:tr>
      <w:tr w:rsidR="008F776F" w:rsidRPr="00ED4FEA" w14:paraId="0938325E"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3EE2EFD8" w14:textId="77777777" w:rsidR="008F776F" w:rsidRPr="00ED4FEA" w:rsidRDefault="008F776F" w:rsidP="00DB6666">
            <w:pPr>
              <w:jc w:val="right"/>
              <w:rPr>
                <w:rFonts w:ascii="Arial Narrow" w:hAnsi="Arial Narrow" w:cs="Arial"/>
                <w:sz w:val="18"/>
                <w:szCs w:val="18"/>
                <w:lang w:val="es-ES_tradnl"/>
              </w:rPr>
            </w:pPr>
          </w:p>
        </w:tc>
        <w:tc>
          <w:tcPr>
            <w:tcW w:w="3297" w:type="dxa"/>
            <w:tcBorders>
              <w:top w:val="nil"/>
              <w:left w:val="nil"/>
              <w:bottom w:val="nil"/>
              <w:right w:val="nil"/>
            </w:tcBorders>
            <w:shd w:val="clear" w:color="auto" w:fill="auto"/>
            <w:vAlign w:val="bottom"/>
            <w:hideMark/>
          </w:tcPr>
          <w:p w14:paraId="2317FB6D" w14:textId="77777777" w:rsidR="008F776F" w:rsidRPr="00ED4FEA" w:rsidRDefault="008F776F" w:rsidP="00DB6666">
            <w:pPr>
              <w:ind w:firstLineChars="200" w:firstLine="360"/>
              <w:jc w:val="left"/>
              <w:rPr>
                <w:rFonts w:ascii="Arial Narrow" w:hAnsi="Arial Narrow" w:cs="Arial"/>
                <w:i/>
                <w:iCs/>
                <w:sz w:val="18"/>
                <w:szCs w:val="18"/>
                <w:lang w:val="es-ES_tradnl"/>
              </w:rPr>
            </w:pPr>
            <w:r w:rsidRPr="00ED4FEA">
              <w:rPr>
                <w:rFonts w:ascii="Arial Narrow" w:hAnsi="Arial Narrow" w:cs="Arial"/>
                <w:i/>
                <w:iCs/>
                <w:sz w:val="18"/>
                <w:szCs w:val="18"/>
                <w:lang w:val="es-ES_tradnl"/>
              </w:rPr>
              <w:t>Becas</w:t>
            </w:r>
          </w:p>
        </w:tc>
        <w:tc>
          <w:tcPr>
            <w:tcW w:w="1108" w:type="dxa"/>
            <w:tcBorders>
              <w:top w:val="nil"/>
              <w:left w:val="nil"/>
              <w:bottom w:val="nil"/>
              <w:right w:val="nil"/>
            </w:tcBorders>
            <w:shd w:val="clear" w:color="auto" w:fill="auto"/>
            <w:vAlign w:val="center"/>
            <w:hideMark/>
          </w:tcPr>
          <w:p w14:paraId="6A1542C9"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24</w:t>
            </w:r>
          </w:p>
        </w:tc>
        <w:tc>
          <w:tcPr>
            <w:tcW w:w="1283" w:type="dxa"/>
            <w:tcBorders>
              <w:top w:val="nil"/>
              <w:left w:val="nil"/>
              <w:bottom w:val="nil"/>
              <w:right w:val="nil"/>
            </w:tcBorders>
            <w:shd w:val="clear" w:color="auto" w:fill="auto"/>
            <w:vAlign w:val="center"/>
            <w:hideMark/>
          </w:tcPr>
          <w:p w14:paraId="4CB01015"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65</w:t>
            </w:r>
          </w:p>
        </w:tc>
        <w:tc>
          <w:tcPr>
            <w:tcW w:w="946" w:type="dxa"/>
            <w:tcBorders>
              <w:top w:val="nil"/>
              <w:left w:val="nil"/>
              <w:bottom w:val="nil"/>
              <w:right w:val="nil"/>
            </w:tcBorders>
            <w:shd w:val="clear" w:color="auto" w:fill="auto"/>
            <w:vAlign w:val="center"/>
            <w:hideMark/>
          </w:tcPr>
          <w:p w14:paraId="1965C129"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(50)</w:t>
            </w:r>
          </w:p>
        </w:tc>
        <w:tc>
          <w:tcPr>
            <w:tcW w:w="963" w:type="dxa"/>
            <w:tcBorders>
              <w:top w:val="nil"/>
              <w:left w:val="nil"/>
              <w:bottom w:val="nil"/>
              <w:right w:val="nil"/>
            </w:tcBorders>
            <w:shd w:val="clear" w:color="auto" w:fill="auto"/>
            <w:vAlign w:val="center"/>
            <w:hideMark/>
          </w:tcPr>
          <w:p w14:paraId="6FAFF8F7"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-77%</w:t>
            </w:r>
          </w:p>
        </w:tc>
        <w:tc>
          <w:tcPr>
            <w:tcW w:w="1219" w:type="dxa"/>
            <w:tcBorders>
              <w:top w:val="nil"/>
              <w:left w:val="nil"/>
              <w:bottom w:val="nil"/>
              <w:right w:val="nil"/>
            </w:tcBorders>
            <w:shd w:val="clear" w:color="auto" w:fill="auto"/>
            <w:vAlign w:val="center"/>
            <w:hideMark/>
          </w:tcPr>
          <w:p w14:paraId="4CEF08FA"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15</w:t>
            </w:r>
          </w:p>
        </w:tc>
      </w:tr>
      <w:tr w:rsidR="008F776F" w:rsidRPr="00ED4FEA" w14:paraId="58C6E7F8" w14:textId="77777777" w:rsidTr="00DB6666">
        <w:trPr>
          <w:trHeight w:val="314"/>
          <w:jc w:val="center"/>
        </w:trPr>
        <w:tc>
          <w:tcPr>
            <w:tcW w:w="320" w:type="dxa"/>
            <w:tcBorders>
              <w:top w:val="nil"/>
              <w:left w:val="nil"/>
              <w:bottom w:val="single" w:sz="4" w:space="0" w:color="AAB8C4"/>
              <w:right w:val="nil"/>
            </w:tcBorders>
            <w:shd w:val="clear" w:color="auto" w:fill="auto"/>
            <w:noWrap/>
            <w:vAlign w:val="bottom"/>
            <w:hideMark/>
          </w:tcPr>
          <w:p w14:paraId="4BF107EE" w14:textId="77777777" w:rsidR="008F776F" w:rsidRPr="00ED4FEA" w:rsidRDefault="008F776F" w:rsidP="00DB6666">
            <w:pPr>
              <w:jc w:val="left"/>
              <w:rPr>
                <w:rFonts w:ascii="Arial Narrow" w:hAnsi="Arial Narrow" w:cs="Arial"/>
                <w:sz w:val="18"/>
                <w:szCs w:val="18"/>
                <w:lang w:val="es-ES_tradnl"/>
              </w:rPr>
            </w:pPr>
            <w:r w:rsidRPr="00ED4FEA">
              <w:rPr>
                <w:rFonts w:ascii="Arial Narrow" w:hAnsi="Arial Narrow" w:cs="Arial"/>
                <w:sz w:val="18"/>
                <w:szCs w:val="18"/>
                <w:lang w:val="es-ES_tradnl"/>
              </w:rPr>
              <w:t> </w:t>
            </w:r>
          </w:p>
        </w:tc>
        <w:tc>
          <w:tcPr>
            <w:tcW w:w="3297" w:type="dxa"/>
            <w:tcBorders>
              <w:top w:val="nil"/>
              <w:left w:val="nil"/>
              <w:bottom w:val="single" w:sz="4" w:space="0" w:color="AAB8C4"/>
              <w:right w:val="nil"/>
            </w:tcBorders>
            <w:shd w:val="clear" w:color="auto" w:fill="auto"/>
            <w:vAlign w:val="bottom"/>
            <w:hideMark/>
          </w:tcPr>
          <w:p w14:paraId="78CA0FBF"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Subtotal</w:t>
            </w:r>
          </w:p>
        </w:tc>
        <w:tc>
          <w:tcPr>
            <w:tcW w:w="1108" w:type="dxa"/>
            <w:tcBorders>
              <w:top w:val="nil"/>
              <w:left w:val="nil"/>
              <w:bottom w:val="single" w:sz="4" w:space="0" w:color="AAB8C4"/>
              <w:right w:val="nil"/>
            </w:tcBorders>
            <w:shd w:val="clear" w:color="auto" w:fill="auto"/>
            <w:vAlign w:val="center"/>
            <w:hideMark/>
          </w:tcPr>
          <w:p w14:paraId="7ACB0DDE"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24</w:t>
            </w:r>
          </w:p>
        </w:tc>
        <w:tc>
          <w:tcPr>
            <w:tcW w:w="1283" w:type="dxa"/>
            <w:tcBorders>
              <w:top w:val="nil"/>
              <w:left w:val="nil"/>
              <w:bottom w:val="single" w:sz="4" w:space="0" w:color="AAB8C4"/>
              <w:right w:val="nil"/>
            </w:tcBorders>
            <w:shd w:val="clear" w:color="auto" w:fill="auto"/>
            <w:vAlign w:val="center"/>
            <w:hideMark/>
          </w:tcPr>
          <w:p w14:paraId="5ADFE4AC"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70</w:t>
            </w:r>
          </w:p>
        </w:tc>
        <w:tc>
          <w:tcPr>
            <w:tcW w:w="946" w:type="dxa"/>
            <w:tcBorders>
              <w:top w:val="nil"/>
              <w:left w:val="nil"/>
              <w:bottom w:val="single" w:sz="4" w:space="0" w:color="BFBFBF"/>
              <w:right w:val="nil"/>
            </w:tcBorders>
            <w:shd w:val="clear" w:color="auto" w:fill="auto"/>
            <w:vAlign w:val="center"/>
            <w:hideMark/>
          </w:tcPr>
          <w:p w14:paraId="5A549165"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(40)</w:t>
            </w:r>
          </w:p>
        </w:tc>
        <w:tc>
          <w:tcPr>
            <w:tcW w:w="963" w:type="dxa"/>
            <w:tcBorders>
              <w:top w:val="nil"/>
              <w:left w:val="nil"/>
              <w:bottom w:val="single" w:sz="4" w:space="0" w:color="BFBFBF"/>
              <w:right w:val="nil"/>
            </w:tcBorders>
            <w:shd w:val="clear" w:color="auto" w:fill="auto"/>
            <w:vAlign w:val="center"/>
            <w:hideMark/>
          </w:tcPr>
          <w:p w14:paraId="795AB3A4"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-57%</w:t>
            </w:r>
          </w:p>
        </w:tc>
        <w:tc>
          <w:tcPr>
            <w:tcW w:w="1219" w:type="dxa"/>
            <w:tcBorders>
              <w:top w:val="nil"/>
              <w:left w:val="nil"/>
              <w:bottom w:val="single" w:sz="4" w:space="0" w:color="AAB8C4"/>
              <w:right w:val="nil"/>
            </w:tcBorders>
            <w:shd w:val="clear" w:color="auto" w:fill="auto"/>
            <w:vAlign w:val="center"/>
            <w:hideMark/>
          </w:tcPr>
          <w:p w14:paraId="27AAA69F"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30</w:t>
            </w:r>
          </w:p>
        </w:tc>
      </w:tr>
      <w:tr w:rsidR="008F776F" w:rsidRPr="00ED4FEA" w14:paraId="56EFC165" w14:textId="77777777" w:rsidTr="00DB6666">
        <w:trPr>
          <w:trHeight w:val="407"/>
          <w:jc w:val="center"/>
        </w:trPr>
        <w:tc>
          <w:tcPr>
            <w:tcW w:w="320" w:type="dxa"/>
            <w:tcBorders>
              <w:top w:val="nil"/>
              <w:left w:val="nil"/>
              <w:bottom w:val="nil"/>
              <w:right w:val="nil"/>
            </w:tcBorders>
            <w:shd w:val="clear" w:color="auto" w:fill="auto"/>
            <w:noWrap/>
            <w:vAlign w:val="bottom"/>
            <w:hideMark/>
          </w:tcPr>
          <w:p w14:paraId="61BDF680" w14:textId="77777777" w:rsidR="008F776F" w:rsidRPr="00ED4FEA" w:rsidRDefault="008F776F" w:rsidP="00DB6666">
            <w:pPr>
              <w:jc w:val="right"/>
              <w:rPr>
                <w:rFonts w:ascii="Arial Narrow" w:hAnsi="Arial Narrow" w:cs="Arial"/>
                <w:b/>
                <w:bCs/>
                <w:sz w:val="18"/>
                <w:szCs w:val="18"/>
                <w:lang w:val="es-ES_tradnl"/>
              </w:rPr>
            </w:pPr>
          </w:p>
        </w:tc>
        <w:tc>
          <w:tcPr>
            <w:tcW w:w="3297" w:type="dxa"/>
            <w:tcBorders>
              <w:top w:val="nil"/>
              <w:left w:val="nil"/>
              <w:bottom w:val="nil"/>
              <w:right w:val="nil"/>
            </w:tcBorders>
            <w:shd w:val="clear" w:color="auto" w:fill="auto"/>
            <w:vAlign w:val="bottom"/>
            <w:hideMark/>
          </w:tcPr>
          <w:p w14:paraId="4FA66B6F"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Viajes, formación y subsidios</w:t>
            </w:r>
          </w:p>
        </w:tc>
        <w:tc>
          <w:tcPr>
            <w:tcW w:w="1108" w:type="dxa"/>
            <w:tcBorders>
              <w:top w:val="nil"/>
              <w:left w:val="nil"/>
              <w:bottom w:val="nil"/>
              <w:right w:val="nil"/>
            </w:tcBorders>
            <w:shd w:val="clear" w:color="auto" w:fill="auto"/>
            <w:vAlign w:val="center"/>
            <w:hideMark/>
          </w:tcPr>
          <w:p w14:paraId="3E74607C" w14:textId="77777777" w:rsidR="008F776F" w:rsidRPr="00ED4FEA" w:rsidRDefault="008F776F" w:rsidP="00DB6666">
            <w:pPr>
              <w:jc w:val="right"/>
              <w:rPr>
                <w:rFonts w:ascii="Arial Narrow" w:hAnsi="Arial Narrow" w:cs="Arial"/>
                <w:b/>
                <w:bCs/>
                <w:sz w:val="18"/>
                <w:szCs w:val="18"/>
                <w:lang w:val="es-ES_tradnl"/>
              </w:rPr>
            </w:pPr>
          </w:p>
        </w:tc>
        <w:tc>
          <w:tcPr>
            <w:tcW w:w="1283" w:type="dxa"/>
            <w:tcBorders>
              <w:top w:val="nil"/>
              <w:left w:val="nil"/>
              <w:bottom w:val="nil"/>
              <w:right w:val="nil"/>
            </w:tcBorders>
            <w:shd w:val="clear" w:color="auto" w:fill="auto"/>
            <w:vAlign w:val="center"/>
            <w:hideMark/>
          </w:tcPr>
          <w:p w14:paraId="11A642C0" w14:textId="77777777" w:rsidR="008F776F" w:rsidRPr="00ED4FEA" w:rsidRDefault="008F776F" w:rsidP="00DB6666">
            <w:pPr>
              <w:jc w:val="right"/>
              <w:rPr>
                <w:rFonts w:ascii="Arial Narrow" w:hAnsi="Arial Narrow"/>
                <w:sz w:val="18"/>
                <w:szCs w:val="18"/>
                <w:lang w:val="es-ES_tradnl"/>
              </w:rPr>
            </w:pPr>
          </w:p>
        </w:tc>
        <w:tc>
          <w:tcPr>
            <w:tcW w:w="946" w:type="dxa"/>
            <w:tcBorders>
              <w:top w:val="nil"/>
              <w:left w:val="nil"/>
              <w:bottom w:val="nil"/>
              <w:right w:val="nil"/>
            </w:tcBorders>
            <w:shd w:val="clear" w:color="auto" w:fill="auto"/>
            <w:vAlign w:val="center"/>
            <w:hideMark/>
          </w:tcPr>
          <w:p w14:paraId="325B8117" w14:textId="77777777" w:rsidR="008F776F" w:rsidRPr="00ED4FEA" w:rsidRDefault="008F776F" w:rsidP="00DB6666">
            <w:pPr>
              <w:jc w:val="right"/>
              <w:rPr>
                <w:rFonts w:ascii="Arial Narrow" w:hAnsi="Arial Narrow"/>
                <w:sz w:val="18"/>
                <w:szCs w:val="18"/>
                <w:lang w:val="es-ES_tradnl"/>
              </w:rPr>
            </w:pPr>
          </w:p>
        </w:tc>
        <w:tc>
          <w:tcPr>
            <w:tcW w:w="963" w:type="dxa"/>
            <w:tcBorders>
              <w:top w:val="nil"/>
              <w:left w:val="nil"/>
              <w:bottom w:val="nil"/>
              <w:right w:val="nil"/>
            </w:tcBorders>
            <w:shd w:val="clear" w:color="auto" w:fill="auto"/>
            <w:vAlign w:val="center"/>
            <w:hideMark/>
          </w:tcPr>
          <w:p w14:paraId="7B7411D0" w14:textId="77777777" w:rsidR="008F776F" w:rsidRPr="00ED4FEA" w:rsidRDefault="008F776F" w:rsidP="00DB6666">
            <w:pPr>
              <w:jc w:val="right"/>
              <w:rPr>
                <w:rFonts w:ascii="Arial Narrow" w:hAnsi="Arial Narrow"/>
                <w:sz w:val="18"/>
                <w:szCs w:val="18"/>
                <w:lang w:val="es-ES_tradnl"/>
              </w:rPr>
            </w:pPr>
          </w:p>
        </w:tc>
        <w:tc>
          <w:tcPr>
            <w:tcW w:w="1219" w:type="dxa"/>
            <w:tcBorders>
              <w:top w:val="nil"/>
              <w:left w:val="nil"/>
              <w:bottom w:val="nil"/>
              <w:right w:val="nil"/>
            </w:tcBorders>
            <w:shd w:val="clear" w:color="auto" w:fill="auto"/>
            <w:vAlign w:val="center"/>
            <w:hideMark/>
          </w:tcPr>
          <w:p w14:paraId="2EDC5D30" w14:textId="77777777" w:rsidR="008F776F" w:rsidRPr="00ED4FEA" w:rsidRDefault="008F776F" w:rsidP="00DB6666">
            <w:pPr>
              <w:jc w:val="right"/>
              <w:rPr>
                <w:rFonts w:ascii="Arial Narrow" w:hAnsi="Arial Narrow"/>
                <w:sz w:val="18"/>
                <w:szCs w:val="18"/>
                <w:lang w:val="es-ES_tradnl"/>
              </w:rPr>
            </w:pPr>
          </w:p>
        </w:tc>
      </w:tr>
      <w:tr w:rsidR="008F776F" w:rsidRPr="00ED4FEA" w14:paraId="6384483A"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46DB1A0E" w14:textId="77777777" w:rsidR="008F776F" w:rsidRPr="00ED4FEA" w:rsidRDefault="008F776F" w:rsidP="00DB6666">
            <w:pPr>
              <w:jc w:val="left"/>
              <w:rPr>
                <w:rFonts w:ascii="Arial Narrow" w:hAnsi="Arial Narrow"/>
                <w:sz w:val="18"/>
                <w:szCs w:val="18"/>
                <w:lang w:val="es-ES_tradnl"/>
              </w:rPr>
            </w:pPr>
          </w:p>
        </w:tc>
        <w:tc>
          <w:tcPr>
            <w:tcW w:w="3297" w:type="dxa"/>
            <w:tcBorders>
              <w:top w:val="nil"/>
              <w:left w:val="nil"/>
              <w:bottom w:val="nil"/>
              <w:right w:val="nil"/>
            </w:tcBorders>
            <w:shd w:val="clear" w:color="auto" w:fill="auto"/>
            <w:vAlign w:val="bottom"/>
            <w:hideMark/>
          </w:tcPr>
          <w:p w14:paraId="5E83672C" w14:textId="77777777" w:rsidR="008F776F" w:rsidRPr="00ED4FEA" w:rsidRDefault="008F776F" w:rsidP="00DB6666">
            <w:pPr>
              <w:ind w:firstLineChars="200" w:firstLine="360"/>
              <w:jc w:val="left"/>
              <w:rPr>
                <w:rFonts w:ascii="Arial Narrow" w:hAnsi="Arial Narrow" w:cs="Arial"/>
                <w:i/>
                <w:iCs/>
                <w:sz w:val="18"/>
                <w:szCs w:val="18"/>
                <w:lang w:val="es-ES_tradnl"/>
              </w:rPr>
            </w:pPr>
            <w:r w:rsidRPr="00ED4FEA">
              <w:rPr>
                <w:rFonts w:ascii="Arial Narrow" w:hAnsi="Arial Narrow" w:cs="Arial"/>
                <w:i/>
                <w:iCs/>
                <w:sz w:val="18"/>
                <w:szCs w:val="18"/>
                <w:lang w:val="es-ES_tradnl"/>
              </w:rPr>
              <w:t>Misiones del personal</w:t>
            </w:r>
          </w:p>
        </w:tc>
        <w:tc>
          <w:tcPr>
            <w:tcW w:w="1108" w:type="dxa"/>
            <w:tcBorders>
              <w:top w:val="nil"/>
              <w:left w:val="nil"/>
              <w:bottom w:val="nil"/>
              <w:right w:val="nil"/>
            </w:tcBorders>
            <w:shd w:val="clear" w:color="auto" w:fill="auto"/>
            <w:vAlign w:val="center"/>
            <w:hideMark/>
          </w:tcPr>
          <w:p w14:paraId="7219E5E3"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29</w:t>
            </w:r>
          </w:p>
        </w:tc>
        <w:tc>
          <w:tcPr>
            <w:tcW w:w="1283" w:type="dxa"/>
            <w:tcBorders>
              <w:top w:val="nil"/>
              <w:left w:val="nil"/>
              <w:bottom w:val="nil"/>
              <w:right w:val="nil"/>
            </w:tcBorders>
            <w:shd w:val="clear" w:color="auto" w:fill="auto"/>
            <w:vAlign w:val="center"/>
            <w:hideMark/>
          </w:tcPr>
          <w:p w14:paraId="66952CAC"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349</w:t>
            </w:r>
          </w:p>
        </w:tc>
        <w:tc>
          <w:tcPr>
            <w:tcW w:w="946" w:type="dxa"/>
            <w:tcBorders>
              <w:top w:val="nil"/>
              <w:left w:val="nil"/>
              <w:bottom w:val="nil"/>
              <w:right w:val="nil"/>
            </w:tcBorders>
            <w:shd w:val="clear" w:color="auto" w:fill="auto"/>
            <w:vAlign w:val="center"/>
            <w:hideMark/>
          </w:tcPr>
          <w:p w14:paraId="03DFC264"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(204)</w:t>
            </w:r>
          </w:p>
        </w:tc>
        <w:tc>
          <w:tcPr>
            <w:tcW w:w="963" w:type="dxa"/>
            <w:tcBorders>
              <w:top w:val="nil"/>
              <w:left w:val="nil"/>
              <w:bottom w:val="nil"/>
              <w:right w:val="nil"/>
            </w:tcBorders>
            <w:shd w:val="clear" w:color="auto" w:fill="auto"/>
            <w:vAlign w:val="center"/>
            <w:hideMark/>
          </w:tcPr>
          <w:p w14:paraId="3A312C21"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-58%</w:t>
            </w:r>
          </w:p>
        </w:tc>
        <w:tc>
          <w:tcPr>
            <w:tcW w:w="1219" w:type="dxa"/>
            <w:tcBorders>
              <w:top w:val="nil"/>
              <w:left w:val="nil"/>
              <w:bottom w:val="nil"/>
              <w:right w:val="nil"/>
            </w:tcBorders>
            <w:shd w:val="clear" w:color="auto" w:fill="auto"/>
            <w:vAlign w:val="center"/>
            <w:hideMark/>
          </w:tcPr>
          <w:p w14:paraId="0B76B181"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145</w:t>
            </w:r>
          </w:p>
        </w:tc>
      </w:tr>
      <w:tr w:rsidR="008F776F" w:rsidRPr="00ED4FEA" w14:paraId="3903C198"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64D3B2E8" w14:textId="77777777" w:rsidR="008F776F" w:rsidRPr="00ED4FEA" w:rsidRDefault="008F776F" w:rsidP="00DB6666">
            <w:pPr>
              <w:jc w:val="right"/>
              <w:rPr>
                <w:rFonts w:ascii="Arial Narrow" w:hAnsi="Arial Narrow" w:cs="Arial"/>
                <w:sz w:val="18"/>
                <w:szCs w:val="18"/>
                <w:lang w:val="es-ES_tradnl"/>
              </w:rPr>
            </w:pPr>
          </w:p>
        </w:tc>
        <w:tc>
          <w:tcPr>
            <w:tcW w:w="3297" w:type="dxa"/>
            <w:tcBorders>
              <w:top w:val="nil"/>
              <w:left w:val="nil"/>
              <w:bottom w:val="nil"/>
              <w:right w:val="nil"/>
            </w:tcBorders>
            <w:shd w:val="clear" w:color="auto" w:fill="auto"/>
            <w:vAlign w:val="bottom"/>
            <w:hideMark/>
          </w:tcPr>
          <w:p w14:paraId="28836651" w14:textId="77777777" w:rsidR="008F776F" w:rsidRPr="00ED4FEA" w:rsidRDefault="008F776F" w:rsidP="00DB6666">
            <w:pPr>
              <w:ind w:firstLineChars="200" w:firstLine="360"/>
              <w:jc w:val="left"/>
              <w:rPr>
                <w:rFonts w:ascii="Arial Narrow" w:hAnsi="Arial Narrow" w:cs="Arial"/>
                <w:i/>
                <w:iCs/>
                <w:sz w:val="18"/>
                <w:szCs w:val="18"/>
                <w:lang w:val="es-ES_tradnl"/>
              </w:rPr>
            </w:pPr>
            <w:r w:rsidRPr="00ED4FEA">
              <w:rPr>
                <w:rFonts w:ascii="Arial Narrow" w:hAnsi="Arial Narrow" w:cs="Arial"/>
                <w:i/>
                <w:iCs/>
                <w:sz w:val="18"/>
                <w:szCs w:val="18"/>
                <w:lang w:val="es-ES_tradnl"/>
              </w:rPr>
              <w:t>Viajes de terceros</w:t>
            </w:r>
          </w:p>
        </w:tc>
        <w:tc>
          <w:tcPr>
            <w:tcW w:w="1108" w:type="dxa"/>
            <w:tcBorders>
              <w:top w:val="nil"/>
              <w:left w:val="nil"/>
              <w:bottom w:val="nil"/>
              <w:right w:val="nil"/>
            </w:tcBorders>
            <w:shd w:val="clear" w:color="auto" w:fill="auto"/>
            <w:vAlign w:val="center"/>
            <w:hideMark/>
          </w:tcPr>
          <w:p w14:paraId="53F90AD0"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2</w:t>
            </w:r>
          </w:p>
        </w:tc>
        <w:tc>
          <w:tcPr>
            <w:tcW w:w="1283" w:type="dxa"/>
            <w:tcBorders>
              <w:top w:val="nil"/>
              <w:left w:val="nil"/>
              <w:bottom w:val="nil"/>
              <w:right w:val="nil"/>
            </w:tcBorders>
            <w:shd w:val="clear" w:color="auto" w:fill="auto"/>
            <w:vAlign w:val="center"/>
            <w:hideMark/>
          </w:tcPr>
          <w:p w14:paraId="1420C227"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12</w:t>
            </w:r>
          </w:p>
        </w:tc>
        <w:tc>
          <w:tcPr>
            <w:tcW w:w="946" w:type="dxa"/>
            <w:tcBorders>
              <w:top w:val="nil"/>
              <w:left w:val="nil"/>
              <w:bottom w:val="nil"/>
              <w:right w:val="nil"/>
            </w:tcBorders>
            <w:shd w:val="clear" w:color="auto" w:fill="auto"/>
            <w:vAlign w:val="center"/>
            <w:hideMark/>
          </w:tcPr>
          <w:p w14:paraId="47C51DEC"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(7)</w:t>
            </w:r>
          </w:p>
        </w:tc>
        <w:tc>
          <w:tcPr>
            <w:tcW w:w="963" w:type="dxa"/>
            <w:tcBorders>
              <w:top w:val="nil"/>
              <w:left w:val="nil"/>
              <w:bottom w:val="nil"/>
              <w:right w:val="nil"/>
            </w:tcBorders>
            <w:shd w:val="clear" w:color="auto" w:fill="auto"/>
            <w:vAlign w:val="center"/>
            <w:hideMark/>
          </w:tcPr>
          <w:p w14:paraId="7019B2B6"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-58%</w:t>
            </w:r>
          </w:p>
        </w:tc>
        <w:tc>
          <w:tcPr>
            <w:tcW w:w="1219" w:type="dxa"/>
            <w:tcBorders>
              <w:top w:val="nil"/>
              <w:left w:val="nil"/>
              <w:bottom w:val="nil"/>
              <w:right w:val="nil"/>
            </w:tcBorders>
            <w:shd w:val="clear" w:color="auto" w:fill="auto"/>
            <w:vAlign w:val="center"/>
            <w:hideMark/>
          </w:tcPr>
          <w:p w14:paraId="24E9D100"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5</w:t>
            </w:r>
          </w:p>
        </w:tc>
      </w:tr>
      <w:tr w:rsidR="008F776F" w:rsidRPr="00ED4FEA" w14:paraId="7CD4B3FE" w14:textId="77777777" w:rsidTr="00DB6666">
        <w:trPr>
          <w:trHeight w:val="314"/>
          <w:jc w:val="center"/>
        </w:trPr>
        <w:tc>
          <w:tcPr>
            <w:tcW w:w="320" w:type="dxa"/>
            <w:tcBorders>
              <w:top w:val="nil"/>
              <w:left w:val="nil"/>
              <w:bottom w:val="single" w:sz="4" w:space="0" w:color="AAB8C4"/>
              <w:right w:val="nil"/>
            </w:tcBorders>
            <w:shd w:val="clear" w:color="auto" w:fill="auto"/>
            <w:noWrap/>
            <w:vAlign w:val="bottom"/>
            <w:hideMark/>
          </w:tcPr>
          <w:p w14:paraId="6026C0D4" w14:textId="77777777" w:rsidR="008F776F" w:rsidRPr="00ED4FEA" w:rsidRDefault="008F776F" w:rsidP="00DB6666">
            <w:pPr>
              <w:jc w:val="left"/>
              <w:rPr>
                <w:rFonts w:ascii="Arial Narrow" w:hAnsi="Arial Narrow" w:cs="Arial"/>
                <w:sz w:val="18"/>
                <w:szCs w:val="18"/>
                <w:lang w:val="es-ES_tradnl"/>
              </w:rPr>
            </w:pPr>
            <w:r w:rsidRPr="00ED4FEA">
              <w:rPr>
                <w:rFonts w:ascii="Arial Narrow" w:hAnsi="Arial Narrow" w:cs="Arial"/>
                <w:sz w:val="18"/>
                <w:szCs w:val="18"/>
                <w:lang w:val="es-ES_tradnl"/>
              </w:rPr>
              <w:t> </w:t>
            </w:r>
          </w:p>
        </w:tc>
        <w:tc>
          <w:tcPr>
            <w:tcW w:w="3297" w:type="dxa"/>
            <w:tcBorders>
              <w:top w:val="nil"/>
              <w:left w:val="nil"/>
              <w:bottom w:val="single" w:sz="4" w:space="0" w:color="AAB8C4"/>
              <w:right w:val="nil"/>
            </w:tcBorders>
            <w:shd w:val="clear" w:color="auto" w:fill="auto"/>
            <w:vAlign w:val="bottom"/>
            <w:hideMark/>
          </w:tcPr>
          <w:p w14:paraId="49C07256"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Subtotal</w:t>
            </w:r>
          </w:p>
        </w:tc>
        <w:tc>
          <w:tcPr>
            <w:tcW w:w="1108" w:type="dxa"/>
            <w:tcBorders>
              <w:top w:val="nil"/>
              <w:left w:val="nil"/>
              <w:bottom w:val="single" w:sz="4" w:space="0" w:color="AAB8C4"/>
              <w:right w:val="nil"/>
            </w:tcBorders>
            <w:shd w:val="clear" w:color="auto" w:fill="auto"/>
            <w:vAlign w:val="center"/>
            <w:hideMark/>
          </w:tcPr>
          <w:p w14:paraId="76EF279A"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31</w:t>
            </w:r>
          </w:p>
        </w:tc>
        <w:tc>
          <w:tcPr>
            <w:tcW w:w="1283" w:type="dxa"/>
            <w:tcBorders>
              <w:top w:val="nil"/>
              <w:left w:val="nil"/>
              <w:bottom w:val="single" w:sz="4" w:space="0" w:color="AAB8C4"/>
              <w:right w:val="nil"/>
            </w:tcBorders>
            <w:shd w:val="clear" w:color="auto" w:fill="auto"/>
            <w:vAlign w:val="center"/>
            <w:hideMark/>
          </w:tcPr>
          <w:p w14:paraId="4FCF4165"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361</w:t>
            </w:r>
          </w:p>
        </w:tc>
        <w:tc>
          <w:tcPr>
            <w:tcW w:w="946" w:type="dxa"/>
            <w:tcBorders>
              <w:top w:val="nil"/>
              <w:left w:val="nil"/>
              <w:bottom w:val="single" w:sz="4" w:space="0" w:color="BFBFBF"/>
              <w:right w:val="nil"/>
            </w:tcBorders>
            <w:shd w:val="clear" w:color="auto" w:fill="auto"/>
            <w:vAlign w:val="center"/>
            <w:hideMark/>
          </w:tcPr>
          <w:p w14:paraId="5D0CA2AC"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(211)</w:t>
            </w:r>
          </w:p>
        </w:tc>
        <w:tc>
          <w:tcPr>
            <w:tcW w:w="963" w:type="dxa"/>
            <w:tcBorders>
              <w:top w:val="nil"/>
              <w:left w:val="nil"/>
              <w:bottom w:val="single" w:sz="4" w:space="0" w:color="BFBFBF"/>
              <w:right w:val="nil"/>
            </w:tcBorders>
            <w:shd w:val="clear" w:color="auto" w:fill="auto"/>
            <w:vAlign w:val="center"/>
            <w:hideMark/>
          </w:tcPr>
          <w:p w14:paraId="48C9784D"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-58%</w:t>
            </w:r>
          </w:p>
        </w:tc>
        <w:tc>
          <w:tcPr>
            <w:tcW w:w="1219" w:type="dxa"/>
            <w:tcBorders>
              <w:top w:val="nil"/>
              <w:left w:val="nil"/>
              <w:bottom w:val="single" w:sz="4" w:space="0" w:color="AAB8C4"/>
              <w:right w:val="nil"/>
            </w:tcBorders>
            <w:shd w:val="clear" w:color="auto" w:fill="auto"/>
            <w:vAlign w:val="center"/>
            <w:hideMark/>
          </w:tcPr>
          <w:p w14:paraId="7418F750"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150</w:t>
            </w:r>
          </w:p>
        </w:tc>
      </w:tr>
      <w:tr w:rsidR="008F776F" w:rsidRPr="00ED4FEA" w14:paraId="5B74F6B7" w14:textId="77777777" w:rsidTr="00DB6666">
        <w:trPr>
          <w:trHeight w:val="407"/>
          <w:jc w:val="center"/>
        </w:trPr>
        <w:tc>
          <w:tcPr>
            <w:tcW w:w="320" w:type="dxa"/>
            <w:tcBorders>
              <w:top w:val="nil"/>
              <w:left w:val="nil"/>
              <w:bottom w:val="nil"/>
              <w:right w:val="nil"/>
            </w:tcBorders>
            <w:shd w:val="clear" w:color="auto" w:fill="auto"/>
            <w:noWrap/>
            <w:vAlign w:val="bottom"/>
            <w:hideMark/>
          </w:tcPr>
          <w:p w14:paraId="070A01E6" w14:textId="77777777" w:rsidR="008F776F" w:rsidRPr="00ED4FEA" w:rsidRDefault="008F776F" w:rsidP="00DB6666">
            <w:pPr>
              <w:jc w:val="right"/>
              <w:rPr>
                <w:rFonts w:ascii="Arial Narrow" w:hAnsi="Arial Narrow" w:cs="Arial"/>
                <w:b/>
                <w:bCs/>
                <w:sz w:val="18"/>
                <w:szCs w:val="18"/>
                <w:lang w:val="es-ES_tradnl"/>
              </w:rPr>
            </w:pPr>
          </w:p>
        </w:tc>
        <w:tc>
          <w:tcPr>
            <w:tcW w:w="3297" w:type="dxa"/>
            <w:tcBorders>
              <w:top w:val="nil"/>
              <w:left w:val="nil"/>
              <w:bottom w:val="nil"/>
              <w:right w:val="nil"/>
            </w:tcBorders>
            <w:shd w:val="clear" w:color="auto" w:fill="auto"/>
            <w:vAlign w:val="bottom"/>
            <w:hideMark/>
          </w:tcPr>
          <w:p w14:paraId="25F79A51"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Servicios contractuales</w:t>
            </w:r>
          </w:p>
        </w:tc>
        <w:tc>
          <w:tcPr>
            <w:tcW w:w="1108" w:type="dxa"/>
            <w:tcBorders>
              <w:top w:val="nil"/>
              <w:left w:val="nil"/>
              <w:bottom w:val="nil"/>
              <w:right w:val="nil"/>
            </w:tcBorders>
            <w:shd w:val="clear" w:color="auto" w:fill="auto"/>
            <w:vAlign w:val="center"/>
            <w:hideMark/>
          </w:tcPr>
          <w:p w14:paraId="26E7CD06" w14:textId="77777777" w:rsidR="008F776F" w:rsidRPr="00ED4FEA" w:rsidRDefault="008F776F" w:rsidP="00DB6666">
            <w:pPr>
              <w:jc w:val="right"/>
              <w:rPr>
                <w:rFonts w:ascii="Arial Narrow" w:hAnsi="Arial Narrow" w:cs="Arial"/>
                <w:b/>
                <w:bCs/>
                <w:sz w:val="18"/>
                <w:szCs w:val="18"/>
                <w:lang w:val="es-ES_tradnl"/>
              </w:rPr>
            </w:pPr>
          </w:p>
        </w:tc>
        <w:tc>
          <w:tcPr>
            <w:tcW w:w="1283" w:type="dxa"/>
            <w:tcBorders>
              <w:top w:val="nil"/>
              <w:left w:val="nil"/>
              <w:bottom w:val="nil"/>
              <w:right w:val="nil"/>
            </w:tcBorders>
            <w:shd w:val="clear" w:color="auto" w:fill="auto"/>
            <w:vAlign w:val="center"/>
            <w:hideMark/>
          </w:tcPr>
          <w:p w14:paraId="25B1307B" w14:textId="77777777" w:rsidR="008F776F" w:rsidRPr="00ED4FEA" w:rsidRDefault="008F776F" w:rsidP="00DB6666">
            <w:pPr>
              <w:jc w:val="right"/>
              <w:rPr>
                <w:rFonts w:ascii="Arial Narrow" w:hAnsi="Arial Narrow"/>
                <w:sz w:val="18"/>
                <w:szCs w:val="18"/>
                <w:lang w:val="es-ES_tradnl"/>
              </w:rPr>
            </w:pPr>
          </w:p>
        </w:tc>
        <w:tc>
          <w:tcPr>
            <w:tcW w:w="946" w:type="dxa"/>
            <w:tcBorders>
              <w:top w:val="nil"/>
              <w:left w:val="nil"/>
              <w:bottom w:val="nil"/>
              <w:right w:val="nil"/>
            </w:tcBorders>
            <w:shd w:val="clear" w:color="auto" w:fill="auto"/>
            <w:vAlign w:val="center"/>
            <w:hideMark/>
          </w:tcPr>
          <w:p w14:paraId="199D953C" w14:textId="77777777" w:rsidR="008F776F" w:rsidRPr="00ED4FEA" w:rsidRDefault="008F776F" w:rsidP="00DB6666">
            <w:pPr>
              <w:jc w:val="right"/>
              <w:rPr>
                <w:rFonts w:ascii="Arial Narrow" w:hAnsi="Arial Narrow"/>
                <w:sz w:val="18"/>
                <w:szCs w:val="18"/>
                <w:lang w:val="es-ES_tradnl"/>
              </w:rPr>
            </w:pPr>
          </w:p>
        </w:tc>
        <w:tc>
          <w:tcPr>
            <w:tcW w:w="963" w:type="dxa"/>
            <w:tcBorders>
              <w:top w:val="nil"/>
              <w:left w:val="nil"/>
              <w:bottom w:val="nil"/>
              <w:right w:val="nil"/>
            </w:tcBorders>
            <w:shd w:val="clear" w:color="auto" w:fill="auto"/>
            <w:vAlign w:val="center"/>
            <w:hideMark/>
          </w:tcPr>
          <w:p w14:paraId="4D72DB43" w14:textId="77777777" w:rsidR="008F776F" w:rsidRPr="00ED4FEA" w:rsidRDefault="008F776F" w:rsidP="00DB6666">
            <w:pPr>
              <w:jc w:val="right"/>
              <w:rPr>
                <w:rFonts w:ascii="Arial Narrow" w:hAnsi="Arial Narrow"/>
                <w:sz w:val="18"/>
                <w:szCs w:val="18"/>
                <w:lang w:val="es-ES_tradnl"/>
              </w:rPr>
            </w:pPr>
          </w:p>
        </w:tc>
        <w:tc>
          <w:tcPr>
            <w:tcW w:w="1219" w:type="dxa"/>
            <w:tcBorders>
              <w:top w:val="nil"/>
              <w:left w:val="nil"/>
              <w:bottom w:val="nil"/>
              <w:right w:val="nil"/>
            </w:tcBorders>
            <w:shd w:val="clear" w:color="auto" w:fill="auto"/>
            <w:vAlign w:val="center"/>
            <w:hideMark/>
          </w:tcPr>
          <w:p w14:paraId="4A528995" w14:textId="77777777" w:rsidR="008F776F" w:rsidRPr="00ED4FEA" w:rsidRDefault="008F776F" w:rsidP="00DB6666">
            <w:pPr>
              <w:jc w:val="right"/>
              <w:rPr>
                <w:rFonts w:ascii="Arial Narrow" w:hAnsi="Arial Narrow"/>
                <w:sz w:val="18"/>
                <w:szCs w:val="18"/>
                <w:lang w:val="es-ES_tradnl"/>
              </w:rPr>
            </w:pPr>
          </w:p>
        </w:tc>
      </w:tr>
      <w:tr w:rsidR="008F776F" w:rsidRPr="00ED4FEA" w14:paraId="61F5B448"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31299F4D" w14:textId="77777777" w:rsidR="008F776F" w:rsidRPr="00ED4FEA" w:rsidRDefault="008F776F" w:rsidP="00DB6666">
            <w:pPr>
              <w:jc w:val="left"/>
              <w:rPr>
                <w:rFonts w:ascii="Arial Narrow" w:hAnsi="Arial Narrow"/>
                <w:sz w:val="18"/>
                <w:szCs w:val="18"/>
                <w:lang w:val="es-ES_tradnl"/>
              </w:rPr>
            </w:pPr>
          </w:p>
        </w:tc>
        <w:tc>
          <w:tcPr>
            <w:tcW w:w="3297" w:type="dxa"/>
            <w:tcBorders>
              <w:top w:val="nil"/>
              <w:left w:val="nil"/>
              <w:bottom w:val="nil"/>
              <w:right w:val="nil"/>
            </w:tcBorders>
            <w:shd w:val="clear" w:color="auto" w:fill="auto"/>
            <w:vAlign w:val="bottom"/>
            <w:hideMark/>
          </w:tcPr>
          <w:p w14:paraId="24D11821" w14:textId="77777777" w:rsidR="008F776F" w:rsidRPr="00ED4FEA" w:rsidRDefault="008F776F" w:rsidP="00DB6666">
            <w:pPr>
              <w:ind w:firstLineChars="200" w:firstLine="360"/>
              <w:jc w:val="left"/>
              <w:rPr>
                <w:rFonts w:ascii="Arial Narrow" w:hAnsi="Arial Narrow" w:cs="Arial"/>
                <w:i/>
                <w:iCs/>
                <w:color w:val="000000"/>
                <w:sz w:val="18"/>
                <w:szCs w:val="18"/>
                <w:lang w:val="es-ES_tradnl"/>
              </w:rPr>
            </w:pPr>
            <w:r w:rsidRPr="00ED4FEA">
              <w:rPr>
                <w:rFonts w:ascii="Arial Narrow" w:hAnsi="Arial Narrow" w:cs="Arial"/>
                <w:i/>
                <w:iCs/>
                <w:color w:val="000000"/>
                <w:sz w:val="18"/>
                <w:szCs w:val="18"/>
                <w:lang w:val="es-ES_tradnl"/>
              </w:rPr>
              <w:t>Conferencias</w:t>
            </w:r>
          </w:p>
        </w:tc>
        <w:tc>
          <w:tcPr>
            <w:tcW w:w="1108" w:type="dxa"/>
            <w:tcBorders>
              <w:top w:val="nil"/>
              <w:left w:val="nil"/>
              <w:bottom w:val="nil"/>
              <w:right w:val="nil"/>
            </w:tcBorders>
            <w:shd w:val="clear" w:color="auto" w:fill="auto"/>
            <w:vAlign w:val="center"/>
            <w:hideMark/>
          </w:tcPr>
          <w:p w14:paraId="04976496"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158</w:t>
            </w:r>
          </w:p>
        </w:tc>
        <w:tc>
          <w:tcPr>
            <w:tcW w:w="1283" w:type="dxa"/>
            <w:tcBorders>
              <w:top w:val="nil"/>
              <w:left w:val="nil"/>
              <w:bottom w:val="nil"/>
              <w:right w:val="nil"/>
            </w:tcBorders>
            <w:shd w:val="clear" w:color="auto" w:fill="auto"/>
            <w:vAlign w:val="center"/>
            <w:hideMark/>
          </w:tcPr>
          <w:p w14:paraId="3EFA839E"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180</w:t>
            </w:r>
          </w:p>
        </w:tc>
        <w:tc>
          <w:tcPr>
            <w:tcW w:w="946" w:type="dxa"/>
            <w:tcBorders>
              <w:top w:val="nil"/>
              <w:left w:val="nil"/>
              <w:bottom w:val="nil"/>
              <w:right w:val="nil"/>
            </w:tcBorders>
            <w:shd w:val="clear" w:color="auto" w:fill="auto"/>
            <w:vAlign w:val="center"/>
            <w:hideMark/>
          </w:tcPr>
          <w:p w14:paraId="2B9815EC"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20</w:t>
            </w:r>
          </w:p>
        </w:tc>
        <w:tc>
          <w:tcPr>
            <w:tcW w:w="963" w:type="dxa"/>
            <w:tcBorders>
              <w:top w:val="nil"/>
              <w:left w:val="nil"/>
              <w:bottom w:val="nil"/>
              <w:right w:val="nil"/>
            </w:tcBorders>
            <w:shd w:val="clear" w:color="auto" w:fill="auto"/>
            <w:vAlign w:val="center"/>
            <w:hideMark/>
          </w:tcPr>
          <w:p w14:paraId="048DCA31"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11%</w:t>
            </w:r>
          </w:p>
        </w:tc>
        <w:tc>
          <w:tcPr>
            <w:tcW w:w="1219" w:type="dxa"/>
            <w:tcBorders>
              <w:top w:val="nil"/>
              <w:left w:val="nil"/>
              <w:bottom w:val="nil"/>
              <w:right w:val="nil"/>
            </w:tcBorders>
            <w:shd w:val="clear" w:color="auto" w:fill="auto"/>
            <w:vAlign w:val="center"/>
            <w:hideMark/>
          </w:tcPr>
          <w:p w14:paraId="4E9269E7"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200</w:t>
            </w:r>
          </w:p>
        </w:tc>
      </w:tr>
      <w:tr w:rsidR="008F776F" w:rsidRPr="00ED4FEA" w14:paraId="28763728"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2A12278B" w14:textId="77777777" w:rsidR="008F776F" w:rsidRPr="00ED4FEA" w:rsidRDefault="008F776F" w:rsidP="00DB6666">
            <w:pPr>
              <w:jc w:val="right"/>
              <w:rPr>
                <w:rFonts w:ascii="Arial Narrow" w:hAnsi="Arial Narrow" w:cs="Arial"/>
                <w:sz w:val="18"/>
                <w:szCs w:val="18"/>
                <w:lang w:val="es-ES_tradnl"/>
              </w:rPr>
            </w:pPr>
          </w:p>
        </w:tc>
        <w:tc>
          <w:tcPr>
            <w:tcW w:w="3297" w:type="dxa"/>
            <w:tcBorders>
              <w:top w:val="nil"/>
              <w:left w:val="nil"/>
              <w:bottom w:val="nil"/>
              <w:right w:val="nil"/>
            </w:tcBorders>
            <w:shd w:val="clear" w:color="auto" w:fill="auto"/>
            <w:vAlign w:val="bottom"/>
            <w:hideMark/>
          </w:tcPr>
          <w:p w14:paraId="1583BCDE" w14:textId="77777777" w:rsidR="008F776F" w:rsidRPr="00ED4FEA" w:rsidRDefault="008F776F" w:rsidP="00DB6666">
            <w:pPr>
              <w:ind w:firstLineChars="200" w:firstLine="360"/>
              <w:jc w:val="left"/>
              <w:rPr>
                <w:rFonts w:ascii="Arial Narrow" w:hAnsi="Arial Narrow" w:cs="Arial"/>
                <w:i/>
                <w:iCs/>
                <w:color w:val="000000"/>
                <w:sz w:val="18"/>
                <w:szCs w:val="18"/>
                <w:lang w:val="es-ES_tradnl"/>
              </w:rPr>
            </w:pPr>
            <w:r w:rsidRPr="00ED4FEA">
              <w:rPr>
                <w:rFonts w:ascii="Arial Narrow" w:hAnsi="Arial Narrow" w:cs="Arial"/>
                <w:i/>
                <w:iCs/>
                <w:color w:val="000000"/>
                <w:sz w:val="18"/>
                <w:szCs w:val="18"/>
                <w:lang w:val="es-ES_tradnl"/>
              </w:rPr>
              <w:t>Publicaciones</w:t>
            </w:r>
          </w:p>
        </w:tc>
        <w:tc>
          <w:tcPr>
            <w:tcW w:w="1108" w:type="dxa"/>
            <w:tcBorders>
              <w:top w:val="nil"/>
              <w:left w:val="nil"/>
              <w:bottom w:val="nil"/>
              <w:right w:val="nil"/>
            </w:tcBorders>
            <w:shd w:val="clear" w:color="auto" w:fill="auto"/>
            <w:vAlign w:val="center"/>
            <w:hideMark/>
          </w:tcPr>
          <w:p w14:paraId="79F13B0E"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0</w:t>
            </w:r>
          </w:p>
        </w:tc>
        <w:tc>
          <w:tcPr>
            <w:tcW w:w="1283" w:type="dxa"/>
            <w:tcBorders>
              <w:top w:val="nil"/>
              <w:left w:val="nil"/>
              <w:bottom w:val="nil"/>
              <w:right w:val="nil"/>
            </w:tcBorders>
            <w:shd w:val="clear" w:color="auto" w:fill="auto"/>
            <w:vAlign w:val="center"/>
            <w:hideMark/>
          </w:tcPr>
          <w:p w14:paraId="367380F2"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0</w:t>
            </w:r>
          </w:p>
        </w:tc>
        <w:tc>
          <w:tcPr>
            <w:tcW w:w="946" w:type="dxa"/>
            <w:tcBorders>
              <w:top w:val="nil"/>
              <w:left w:val="nil"/>
              <w:bottom w:val="nil"/>
              <w:right w:val="nil"/>
            </w:tcBorders>
            <w:shd w:val="clear" w:color="auto" w:fill="auto"/>
            <w:vAlign w:val="center"/>
            <w:hideMark/>
          </w:tcPr>
          <w:p w14:paraId="08269D4F"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w:t>
            </w:r>
          </w:p>
        </w:tc>
        <w:tc>
          <w:tcPr>
            <w:tcW w:w="963" w:type="dxa"/>
            <w:tcBorders>
              <w:top w:val="nil"/>
              <w:left w:val="nil"/>
              <w:bottom w:val="nil"/>
              <w:right w:val="nil"/>
            </w:tcBorders>
            <w:shd w:val="clear" w:color="auto" w:fill="auto"/>
            <w:vAlign w:val="center"/>
            <w:hideMark/>
          </w:tcPr>
          <w:p w14:paraId="4C6D8790"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w:t>
            </w:r>
          </w:p>
        </w:tc>
        <w:tc>
          <w:tcPr>
            <w:tcW w:w="1219" w:type="dxa"/>
            <w:tcBorders>
              <w:top w:val="nil"/>
              <w:left w:val="nil"/>
              <w:bottom w:val="nil"/>
              <w:right w:val="nil"/>
            </w:tcBorders>
            <w:shd w:val="clear" w:color="auto" w:fill="auto"/>
            <w:vAlign w:val="center"/>
            <w:hideMark/>
          </w:tcPr>
          <w:p w14:paraId="20F66B11"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0</w:t>
            </w:r>
          </w:p>
        </w:tc>
      </w:tr>
      <w:tr w:rsidR="008F776F" w:rsidRPr="00ED4FEA" w14:paraId="782FE53B"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5A2EB40D" w14:textId="77777777" w:rsidR="008F776F" w:rsidRPr="00ED4FEA" w:rsidRDefault="008F776F" w:rsidP="00DB6666">
            <w:pPr>
              <w:jc w:val="right"/>
              <w:rPr>
                <w:rFonts w:ascii="Arial Narrow" w:hAnsi="Arial Narrow" w:cs="Arial"/>
                <w:sz w:val="18"/>
                <w:szCs w:val="18"/>
                <w:lang w:val="es-ES_tradnl"/>
              </w:rPr>
            </w:pPr>
          </w:p>
        </w:tc>
        <w:tc>
          <w:tcPr>
            <w:tcW w:w="3297" w:type="dxa"/>
            <w:tcBorders>
              <w:top w:val="nil"/>
              <w:left w:val="nil"/>
              <w:bottom w:val="nil"/>
              <w:right w:val="nil"/>
            </w:tcBorders>
            <w:shd w:val="clear" w:color="auto" w:fill="auto"/>
            <w:vAlign w:val="bottom"/>
            <w:hideMark/>
          </w:tcPr>
          <w:p w14:paraId="4CBE2B3E" w14:textId="77777777" w:rsidR="008F776F" w:rsidRPr="00ED4FEA" w:rsidRDefault="008F776F" w:rsidP="00DB6666">
            <w:pPr>
              <w:ind w:firstLineChars="200" w:firstLine="360"/>
              <w:jc w:val="left"/>
              <w:rPr>
                <w:rFonts w:ascii="Arial Narrow" w:hAnsi="Arial Narrow" w:cs="Arial"/>
                <w:i/>
                <w:iCs/>
                <w:color w:val="000000"/>
                <w:sz w:val="18"/>
                <w:szCs w:val="18"/>
                <w:lang w:val="es-ES_tradnl"/>
              </w:rPr>
            </w:pPr>
            <w:r w:rsidRPr="00ED4FEA">
              <w:rPr>
                <w:rFonts w:ascii="Arial Narrow" w:hAnsi="Arial Narrow" w:cs="Arial"/>
                <w:i/>
                <w:iCs/>
                <w:color w:val="000000"/>
                <w:sz w:val="18"/>
                <w:szCs w:val="18"/>
                <w:lang w:val="es-ES_tradnl"/>
              </w:rPr>
              <w:t>Servicios contractuales individuales</w:t>
            </w:r>
          </w:p>
        </w:tc>
        <w:tc>
          <w:tcPr>
            <w:tcW w:w="1108" w:type="dxa"/>
            <w:tcBorders>
              <w:top w:val="nil"/>
              <w:left w:val="nil"/>
              <w:bottom w:val="nil"/>
              <w:right w:val="nil"/>
            </w:tcBorders>
            <w:shd w:val="clear" w:color="auto" w:fill="auto"/>
            <w:vAlign w:val="center"/>
            <w:hideMark/>
          </w:tcPr>
          <w:p w14:paraId="368DBF2B"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32</w:t>
            </w:r>
          </w:p>
        </w:tc>
        <w:tc>
          <w:tcPr>
            <w:tcW w:w="1283" w:type="dxa"/>
            <w:tcBorders>
              <w:top w:val="nil"/>
              <w:left w:val="nil"/>
              <w:bottom w:val="nil"/>
              <w:right w:val="nil"/>
            </w:tcBorders>
            <w:shd w:val="clear" w:color="auto" w:fill="auto"/>
            <w:vAlign w:val="center"/>
            <w:hideMark/>
          </w:tcPr>
          <w:p w14:paraId="76EB9FB2"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5</w:t>
            </w:r>
          </w:p>
        </w:tc>
        <w:tc>
          <w:tcPr>
            <w:tcW w:w="946" w:type="dxa"/>
            <w:tcBorders>
              <w:top w:val="nil"/>
              <w:left w:val="nil"/>
              <w:bottom w:val="nil"/>
              <w:right w:val="nil"/>
            </w:tcBorders>
            <w:shd w:val="clear" w:color="auto" w:fill="auto"/>
            <w:vAlign w:val="center"/>
            <w:hideMark/>
          </w:tcPr>
          <w:p w14:paraId="485A7004"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95</w:t>
            </w:r>
          </w:p>
        </w:tc>
        <w:tc>
          <w:tcPr>
            <w:tcW w:w="963" w:type="dxa"/>
            <w:tcBorders>
              <w:top w:val="nil"/>
              <w:left w:val="nil"/>
              <w:bottom w:val="nil"/>
              <w:right w:val="nil"/>
            </w:tcBorders>
            <w:shd w:val="clear" w:color="auto" w:fill="auto"/>
            <w:vAlign w:val="center"/>
            <w:hideMark/>
          </w:tcPr>
          <w:p w14:paraId="50882923"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+100%</w:t>
            </w:r>
          </w:p>
        </w:tc>
        <w:tc>
          <w:tcPr>
            <w:tcW w:w="1219" w:type="dxa"/>
            <w:tcBorders>
              <w:top w:val="nil"/>
              <w:left w:val="nil"/>
              <w:bottom w:val="nil"/>
              <w:right w:val="nil"/>
            </w:tcBorders>
            <w:shd w:val="clear" w:color="auto" w:fill="auto"/>
            <w:vAlign w:val="center"/>
            <w:hideMark/>
          </w:tcPr>
          <w:p w14:paraId="129EFBD5"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100</w:t>
            </w:r>
          </w:p>
        </w:tc>
      </w:tr>
      <w:tr w:rsidR="008F776F" w:rsidRPr="00ED4FEA" w14:paraId="1A9CE497"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6079F3E1" w14:textId="77777777" w:rsidR="008F776F" w:rsidRPr="00ED4FEA" w:rsidRDefault="008F776F" w:rsidP="00DB6666">
            <w:pPr>
              <w:jc w:val="right"/>
              <w:rPr>
                <w:rFonts w:ascii="Arial Narrow" w:hAnsi="Arial Narrow" w:cs="Arial"/>
                <w:sz w:val="18"/>
                <w:szCs w:val="18"/>
                <w:lang w:val="es-ES_tradnl"/>
              </w:rPr>
            </w:pPr>
          </w:p>
        </w:tc>
        <w:tc>
          <w:tcPr>
            <w:tcW w:w="3297" w:type="dxa"/>
            <w:tcBorders>
              <w:top w:val="nil"/>
              <w:left w:val="nil"/>
              <w:bottom w:val="nil"/>
              <w:right w:val="nil"/>
            </w:tcBorders>
            <w:shd w:val="clear" w:color="auto" w:fill="auto"/>
            <w:vAlign w:val="bottom"/>
            <w:hideMark/>
          </w:tcPr>
          <w:p w14:paraId="418DEADC" w14:textId="77777777" w:rsidR="008F776F" w:rsidRPr="00ED4FEA" w:rsidRDefault="008F776F" w:rsidP="00DB6666">
            <w:pPr>
              <w:ind w:firstLineChars="200" w:firstLine="360"/>
              <w:jc w:val="left"/>
              <w:rPr>
                <w:rFonts w:ascii="Arial Narrow" w:hAnsi="Arial Narrow" w:cs="Arial"/>
                <w:i/>
                <w:iCs/>
                <w:color w:val="000000"/>
                <w:sz w:val="18"/>
                <w:szCs w:val="18"/>
                <w:lang w:val="es-ES_tradnl"/>
              </w:rPr>
            </w:pPr>
            <w:r w:rsidRPr="00ED4FEA">
              <w:rPr>
                <w:rFonts w:ascii="Arial Narrow" w:hAnsi="Arial Narrow" w:cs="Arial"/>
                <w:i/>
                <w:iCs/>
                <w:color w:val="000000"/>
                <w:sz w:val="18"/>
                <w:szCs w:val="18"/>
                <w:lang w:val="es-ES_tradnl"/>
              </w:rPr>
              <w:t>Otros servicios contractuales</w:t>
            </w:r>
          </w:p>
        </w:tc>
        <w:tc>
          <w:tcPr>
            <w:tcW w:w="1108" w:type="dxa"/>
            <w:tcBorders>
              <w:top w:val="nil"/>
              <w:left w:val="nil"/>
              <w:bottom w:val="nil"/>
              <w:right w:val="nil"/>
            </w:tcBorders>
            <w:shd w:val="clear" w:color="auto" w:fill="auto"/>
            <w:vAlign w:val="center"/>
            <w:hideMark/>
          </w:tcPr>
          <w:p w14:paraId="7C77D7E1"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997</w:t>
            </w:r>
          </w:p>
        </w:tc>
        <w:tc>
          <w:tcPr>
            <w:tcW w:w="1283" w:type="dxa"/>
            <w:tcBorders>
              <w:top w:val="nil"/>
              <w:left w:val="nil"/>
              <w:bottom w:val="nil"/>
              <w:right w:val="nil"/>
            </w:tcBorders>
            <w:shd w:val="clear" w:color="auto" w:fill="auto"/>
            <w:vAlign w:val="center"/>
            <w:hideMark/>
          </w:tcPr>
          <w:p w14:paraId="1CA1CA67"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405</w:t>
            </w:r>
          </w:p>
        </w:tc>
        <w:tc>
          <w:tcPr>
            <w:tcW w:w="946" w:type="dxa"/>
            <w:tcBorders>
              <w:top w:val="nil"/>
              <w:left w:val="nil"/>
              <w:bottom w:val="nil"/>
              <w:right w:val="nil"/>
            </w:tcBorders>
            <w:shd w:val="clear" w:color="auto" w:fill="auto"/>
            <w:vAlign w:val="center"/>
            <w:hideMark/>
          </w:tcPr>
          <w:p w14:paraId="05DE880B"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10</w:t>
            </w:r>
          </w:p>
        </w:tc>
        <w:tc>
          <w:tcPr>
            <w:tcW w:w="963" w:type="dxa"/>
            <w:tcBorders>
              <w:top w:val="nil"/>
              <w:left w:val="nil"/>
              <w:bottom w:val="nil"/>
              <w:right w:val="nil"/>
            </w:tcBorders>
            <w:shd w:val="clear" w:color="auto" w:fill="auto"/>
            <w:vAlign w:val="center"/>
            <w:hideMark/>
          </w:tcPr>
          <w:p w14:paraId="4515D16E"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2%</w:t>
            </w:r>
          </w:p>
        </w:tc>
        <w:tc>
          <w:tcPr>
            <w:tcW w:w="1219" w:type="dxa"/>
            <w:tcBorders>
              <w:top w:val="nil"/>
              <w:left w:val="nil"/>
              <w:bottom w:val="nil"/>
              <w:right w:val="nil"/>
            </w:tcBorders>
            <w:shd w:val="clear" w:color="auto" w:fill="auto"/>
            <w:vAlign w:val="center"/>
            <w:hideMark/>
          </w:tcPr>
          <w:p w14:paraId="71105514"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415</w:t>
            </w:r>
          </w:p>
        </w:tc>
      </w:tr>
      <w:tr w:rsidR="008F776F" w:rsidRPr="00ED4FEA" w14:paraId="5A2C52A9" w14:textId="77777777" w:rsidTr="00DB6666">
        <w:trPr>
          <w:trHeight w:val="314"/>
          <w:jc w:val="center"/>
        </w:trPr>
        <w:tc>
          <w:tcPr>
            <w:tcW w:w="320" w:type="dxa"/>
            <w:tcBorders>
              <w:top w:val="nil"/>
              <w:left w:val="nil"/>
              <w:bottom w:val="single" w:sz="4" w:space="0" w:color="AAB8C4"/>
              <w:right w:val="nil"/>
            </w:tcBorders>
            <w:shd w:val="clear" w:color="auto" w:fill="auto"/>
            <w:noWrap/>
            <w:vAlign w:val="bottom"/>
            <w:hideMark/>
          </w:tcPr>
          <w:p w14:paraId="0FFA464E" w14:textId="77777777" w:rsidR="008F776F" w:rsidRPr="00ED4FEA" w:rsidRDefault="008F776F" w:rsidP="00DB6666">
            <w:pPr>
              <w:jc w:val="left"/>
              <w:rPr>
                <w:rFonts w:ascii="Arial Narrow" w:hAnsi="Arial Narrow" w:cs="Arial"/>
                <w:sz w:val="18"/>
                <w:szCs w:val="18"/>
                <w:lang w:val="es-ES_tradnl"/>
              </w:rPr>
            </w:pPr>
            <w:r w:rsidRPr="00ED4FEA">
              <w:rPr>
                <w:rFonts w:ascii="Arial Narrow" w:hAnsi="Arial Narrow" w:cs="Arial"/>
                <w:sz w:val="18"/>
                <w:szCs w:val="18"/>
                <w:lang w:val="es-ES_tradnl"/>
              </w:rPr>
              <w:t> </w:t>
            </w:r>
          </w:p>
        </w:tc>
        <w:tc>
          <w:tcPr>
            <w:tcW w:w="3297" w:type="dxa"/>
            <w:tcBorders>
              <w:top w:val="nil"/>
              <w:left w:val="nil"/>
              <w:bottom w:val="single" w:sz="4" w:space="0" w:color="AAB8C4"/>
              <w:right w:val="nil"/>
            </w:tcBorders>
            <w:shd w:val="clear" w:color="auto" w:fill="auto"/>
            <w:vAlign w:val="bottom"/>
            <w:hideMark/>
          </w:tcPr>
          <w:p w14:paraId="0F67E2D3"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Subtotal</w:t>
            </w:r>
          </w:p>
        </w:tc>
        <w:tc>
          <w:tcPr>
            <w:tcW w:w="1108" w:type="dxa"/>
            <w:tcBorders>
              <w:top w:val="nil"/>
              <w:left w:val="nil"/>
              <w:bottom w:val="single" w:sz="4" w:space="0" w:color="AAB8C4"/>
              <w:right w:val="nil"/>
            </w:tcBorders>
            <w:shd w:val="clear" w:color="auto" w:fill="auto"/>
            <w:vAlign w:val="center"/>
            <w:hideMark/>
          </w:tcPr>
          <w:p w14:paraId="1F756CE1"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1.187</w:t>
            </w:r>
          </w:p>
        </w:tc>
        <w:tc>
          <w:tcPr>
            <w:tcW w:w="1283" w:type="dxa"/>
            <w:tcBorders>
              <w:top w:val="nil"/>
              <w:left w:val="nil"/>
              <w:bottom w:val="single" w:sz="4" w:space="0" w:color="AAB8C4"/>
              <w:right w:val="nil"/>
            </w:tcBorders>
            <w:shd w:val="clear" w:color="auto" w:fill="auto"/>
            <w:vAlign w:val="center"/>
            <w:hideMark/>
          </w:tcPr>
          <w:p w14:paraId="76DEBE5D"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590</w:t>
            </w:r>
          </w:p>
        </w:tc>
        <w:tc>
          <w:tcPr>
            <w:tcW w:w="946" w:type="dxa"/>
            <w:tcBorders>
              <w:top w:val="nil"/>
              <w:left w:val="nil"/>
              <w:bottom w:val="single" w:sz="4" w:space="0" w:color="BFBFBF"/>
              <w:right w:val="nil"/>
            </w:tcBorders>
            <w:shd w:val="clear" w:color="auto" w:fill="auto"/>
            <w:vAlign w:val="center"/>
            <w:hideMark/>
          </w:tcPr>
          <w:p w14:paraId="5A39F2B0"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125</w:t>
            </w:r>
          </w:p>
        </w:tc>
        <w:tc>
          <w:tcPr>
            <w:tcW w:w="963" w:type="dxa"/>
            <w:tcBorders>
              <w:top w:val="nil"/>
              <w:left w:val="nil"/>
              <w:bottom w:val="single" w:sz="4" w:space="0" w:color="BFBFBF"/>
              <w:right w:val="nil"/>
            </w:tcBorders>
            <w:shd w:val="clear" w:color="auto" w:fill="auto"/>
            <w:vAlign w:val="center"/>
            <w:hideMark/>
          </w:tcPr>
          <w:p w14:paraId="7C204258"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21%</w:t>
            </w:r>
          </w:p>
        </w:tc>
        <w:tc>
          <w:tcPr>
            <w:tcW w:w="1219" w:type="dxa"/>
            <w:tcBorders>
              <w:top w:val="nil"/>
              <w:left w:val="nil"/>
              <w:bottom w:val="single" w:sz="4" w:space="0" w:color="AAB8C4"/>
              <w:right w:val="nil"/>
            </w:tcBorders>
            <w:shd w:val="clear" w:color="auto" w:fill="auto"/>
            <w:vAlign w:val="center"/>
            <w:hideMark/>
          </w:tcPr>
          <w:p w14:paraId="7C9E2632"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715</w:t>
            </w:r>
          </w:p>
        </w:tc>
      </w:tr>
      <w:tr w:rsidR="008F776F" w:rsidRPr="00ED4FEA" w14:paraId="4D5BB54B"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716BF907" w14:textId="77777777" w:rsidR="008F776F" w:rsidRPr="00ED4FEA" w:rsidRDefault="008F776F" w:rsidP="00DB6666">
            <w:pPr>
              <w:jc w:val="right"/>
              <w:rPr>
                <w:rFonts w:ascii="Arial Narrow" w:hAnsi="Arial Narrow" w:cs="Arial"/>
                <w:b/>
                <w:bCs/>
                <w:sz w:val="18"/>
                <w:szCs w:val="18"/>
                <w:lang w:val="es-ES_tradnl"/>
              </w:rPr>
            </w:pPr>
          </w:p>
        </w:tc>
        <w:tc>
          <w:tcPr>
            <w:tcW w:w="3297" w:type="dxa"/>
            <w:tcBorders>
              <w:top w:val="nil"/>
              <w:left w:val="nil"/>
              <w:bottom w:val="nil"/>
              <w:right w:val="nil"/>
            </w:tcBorders>
            <w:shd w:val="clear" w:color="auto" w:fill="auto"/>
            <w:vAlign w:val="bottom"/>
            <w:hideMark/>
          </w:tcPr>
          <w:p w14:paraId="563D875D"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Gastos de funcionamiento</w:t>
            </w:r>
          </w:p>
        </w:tc>
        <w:tc>
          <w:tcPr>
            <w:tcW w:w="1108" w:type="dxa"/>
            <w:tcBorders>
              <w:top w:val="nil"/>
              <w:left w:val="nil"/>
              <w:bottom w:val="nil"/>
              <w:right w:val="nil"/>
            </w:tcBorders>
            <w:shd w:val="clear" w:color="auto" w:fill="auto"/>
            <w:vAlign w:val="center"/>
            <w:hideMark/>
          </w:tcPr>
          <w:p w14:paraId="117EE483" w14:textId="77777777" w:rsidR="008F776F" w:rsidRPr="00ED4FEA" w:rsidRDefault="008F776F" w:rsidP="00DB6666">
            <w:pPr>
              <w:jc w:val="right"/>
              <w:rPr>
                <w:rFonts w:ascii="Arial Narrow" w:hAnsi="Arial Narrow" w:cs="Arial"/>
                <w:b/>
                <w:bCs/>
                <w:sz w:val="18"/>
                <w:szCs w:val="18"/>
                <w:lang w:val="es-ES_tradnl"/>
              </w:rPr>
            </w:pPr>
          </w:p>
        </w:tc>
        <w:tc>
          <w:tcPr>
            <w:tcW w:w="1283" w:type="dxa"/>
            <w:tcBorders>
              <w:top w:val="nil"/>
              <w:left w:val="nil"/>
              <w:bottom w:val="nil"/>
              <w:right w:val="nil"/>
            </w:tcBorders>
            <w:shd w:val="clear" w:color="auto" w:fill="auto"/>
            <w:vAlign w:val="center"/>
            <w:hideMark/>
          </w:tcPr>
          <w:p w14:paraId="4C113461" w14:textId="77777777" w:rsidR="008F776F" w:rsidRPr="00ED4FEA" w:rsidRDefault="008F776F" w:rsidP="00DB6666">
            <w:pPr>
              <w:jc w:val="right"/>
              <w:rPr>
                <w:rFonts w:ascii="Arial Narrow" w:hAnsi="Arial Narrow"/>
                <w:sz w:val="18"/>
                <w:szCs w:val="18"/>
                <w:lang w:val="es-ES_tradnl"/>
              </w:rPr>
            </w:pPr>
          </w:p>
        </w:tc>
        <w:tc>
          <w:tcPr>
            <w:tcW w:w="946" w:type="dxa"/>
            <w:tcBorders>
              <w:top w:val="nil"/>
              <w:left w:val="nil"/>
              <w:bottom w:val="nil"/>
              <w:right w:val="nil"/>
            </w:tcBorders>
            <w:shd w:val="clear" w:color="auto" w:fill="auto"/>
            <w:vAlign w:val="center"/>
            <w:hideMark/>
          </w:tcPr>
          <w:p w14:paraId="4B134F52" w14:textId="77777777" w:rsidR="008F776F" w:rsidRPr="00ED4FEA" w:rsidRDefault="008F776F" w:rsidP="00DB6666">
            <w:pPr>
              <w:jc w:val="right"/>
              <w:rPr>
                <w:rFonts w:ascii="Arial Narrow" w:hAnsi="Arial Narrow"/>
                <w:sz w:val="18"/>
                <w:szCs w:val="18"/>
                <w:lang w:val="es-ES_tradnl"/>
              </w:rPr>
            </w:pPr>
          </w:p>
        </w:tc>
        <w:tc>
          <w:tcPr>
            <w:tcW w:w="963" w:type="dxa"/>
            <w:tcBorders>
              <w:top w:val="nil"/>
              <w:left w:val="nil"/>
              <w:bottom w:val="nil"/>
              <w:right w:val="nil"/>
            </w:tcBorders>
            <w:shd w:val="clear" w:color="auto" w:fill="auto"/>
            <w:vAlign w:val="center"/>
            <w:hideMark/>
          </w:tcPr>
          <w:p w14:paraId="3ED6CDB6" w14:textId="77777777" w:rsidR="008F776F" w:rsidRPr="00ED4FEA" w:rsidRDefault="008F776F" w:rsidP="00DB6666">
            <w:pPr>
              <w:jc w:val="right"/>
              <w:rPr>
                <w:rFonts w:ascii="Arial Narrow" w:hAnsi="Arial Narrow"/>
                <w:sz w:val="18"/>
                <w:szCs w:val="18"/>
                <w:lang w:val="es-ES_tradnl"/>
              </w:rPr>
            </w:pPr>
          </w:p>
        </w:tc>
        <w:tc>
          <w:tcPr>
            <w:tcW w:w="1219" w:type="dxa"/>
            <w:tcBorders>
              <w:top w:val="nil"/>
              <w:left w:val="nil"/>
              <w:bottom w:val="nil"/>
              <w:right w:val="nil"/>
            </w:tcBorders>
            <w:shd w:val="clear" w:color="auto" w:fill="auto"/>
            <w:vAlign w:val="center"/>
            <w:hideMark/>
          </w:tcPr>
          <w:p w14:paraId="519E9F8D" w14:textId="77777777" w:rsidR="008F776F" w:rsidRPr="00ED4FEA" w:rsidRDefault="008F776F" w:rsidP="00DB6666">
            <w:pPr>
              <w:jc w:val="right"/>
              <w:rPr>
                <w:rFonts w:ascii="Arial Narrow" w:hAnsi="Arial Narrow"/>
                <w:sz w:val="18"/>
                <w:szCs w:val="18"/>
                <w:lang w:val="es-ES_tradnl"/>
              </w:rPr>
            </w:pPr>
          </w:p>
        </w:tc>
      </w:tr>
      <w:tr w:rsidR="008F776F" w:rsidRPr="00ED4FEA" w14:paraId="4C7C4708" w14:textId="77777777" w:rsidTr="00DB6666">
        <w:trPr>
          <w:trHeight w:val="314"/>
          <w:jc w:val="center"/>
        </w:trPr>
        <w:tc>
          <w:tcPr>
            <w:tcW w:w="320" w:type="dxa"/>
            <w:tcBorders>
              <w:top w:val="nil"/>
              <w:left w:val="nil"/>
              <w:bottom w:val="single" w:sz="4" w:space="0" w:color="AAB8C4"/>
              <w:right w:val="nil"/>
            </w:tcBorders>
            <w:shd w:val="clear" w:color="auto" w:fill="auto"/>
            <w:noWrap/>
            <w:vAlign w:val="bottom"/>
            <w:hideMark/>
          </w:tcPr>
          <w:p w14:paraId="5246EC9D" w14:textId="77777777" w:rsidR="008F776F" w:rsidRPr="00ED4FEA" w:rsidRDefault="008F776F" w:rsidP="00DB6666">
            <w:pPr>
              <w:jc w:val="left"/>
              <w:rPr>
                <w:rFonts w:ascii="Arial Narrow" w:hAnsi="Arial Narrow" w:cs="Arial"/>
                <w:sz w:val="18"/>
                <w:szCs w:val="18"/>
                <w:lang w:val="es-ES_tradnl"/>
              </w:rPr>
            </w:pPr>
            <w:r w:rsidRPr="00ED4FEA">
              <w:rPr>
                <w:rFonts w:ascii="Arial Narrow" w:hAnsi="Arial Narrow" w:cs="Arial"/>
                <w:sz w:val="18"/>
                <w:szCs w:val="18"/>
                <w:lang w:val="es-ES_tradnl"/>
              </w:rPr>
              <w:t> </w:t>
            </w:r>
          </w:p>
        </w:tc>
        <w:tc>
          <w:tcPr>
            <w:tcW w:w="3297" w:type="dxa"/>
            <w:tcBorders>
              <w:top w:val="nil"/>
              <w:left w:val="nil"/>
              <w:bottom w:val="single" w:sz="4" w:space="0" w:color="AAB8C4"/>
              <w:right w:val="nil"/>
            </w:tcBorders>
            <w:shd w:val="clear" w:color="auto" w:fill="auto"/>
            <w:vAlign w:val="bottom"/>
            <w:hideMark/>
          </w:tcPr>
          <w:p w14:paraId="05F0323C"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Subtotal</w:t>
            </w:r>
          </w:p>
        </w:tc>
        <w:tc>
          <w:tcPr>
            <w:tcW w:w="1108" w:type="dxa"/>
            <w:tcBorders>
              <w:top w:val="nil"/>
              <w:left w:val="nil"/>
              <w:bottom w:val="single" w:sz="4" w:space="0" w:color="AAB8C4"/>
              <w:right w:val="nil"/>
            </w:tcBorders>
            <w:shd w:val="clear" w:color="auto" w:fill="auto"/>
            <w:vAlign w:val="center"/>
            <w:hideMark/>
          </w:tcPr>
          <w:p w14:paraId="6AC3CA30"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1.272</w:t>
            </w:r>
          </w:p>
        </w:tc>
        <w:tc>
          <w:tcPr>
            <w:tcW w:w="1283" w:type="dxa"/>
            <w:tcBorders>
              <w:top w:val="nil"/>
              <w:left w:val="nil"/>
              <w:bottom w:val="single" w:sz="4" w:space="0" w:color="AAB8C4"/>
              <w:right w:val="nil"/>
            </w:tcBorders>
            <w:shd w:val="clear" w:color="auto" w:fill="auto"/>
            <w:vAlign w:val="center"/>
            <w:hideMark/>
          </w:tcPr>
          <w:p w14:paraId="74307B96"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1.285</w:t>
            </w:r>
          </w:p>
        </w:tc>
        <w:tc>
          <w:tcPr>
            <w:tcW w:w="946" w:type="dxa"/>
            <w:tcBorders>
              <w:top w:val="nil"/>
              <w:left w:val="nil"/>
              <w:bottom w:val="single" w:sz="4" w:space="0" w:color="BFBFBF"/>
              <w:right w:val="nil"/>
            </w:tcBorders>
            <w:shd w:val="clear" w:color="auto" w:fill="auto"/>
            <w:vAlign w:val="center"/>
            <w:hideMark/>
          </w:tcPr>
          <w:p w14:paraId="030215C5"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(35)</w:t>
            </w:r>
          </w:p>
        </w:tc>
        <w:tc>
          <w:tcPr>
            <w:tcW w:w="963" w:type="dxa"/>
            <w:tcBorders>
              <w:top w:val="nil"/>
              <w:left w:val="nil"/>
              <w:bottom w:val="single" w:sz="4" w:space="0" w:color="BFBFBF"/>
              <w:right w:val="nil"/>
            </w:tcBorders>
            <w:shd w:val="clear" w:color="auto" w:fill="auto"/>
            <w:vAlign w:val="center"/>
            <w:hideMark/>
          </w:tcPr>
          <w:p w14:paraId="0209C5D1"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-3%</w:t>
            </w:r>
          </w:p>
        </w:tc>
        <w:tc>
          <w:tcPr>
            <w:tcW w:w="1219" w:type="dxa"/>
            <w:tcBorders>
              <w:top w:val="nil"/>
              <w:left w:val="nil"/>
              <w:bottom w:val="single" w:sz="4" w:space="0" w:color="BFBFBF"/>
              <w:right w:val="nil"/>
            </w:tcBorders>
            <w:shd w:val="clear" w:color="auto" w:fill="auto"/>
            <w:vAlign w:val="center"/>
            <w:hideMark/>
          </w:tcPr>
          <w:p w14:paraId="4BF68C96"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1.250</w:t>
            </w:r>
          </w:p>
        </w:tc>
      </w:tr>
      <w:tr w:rsidR="008F776F" w:rsidRPr="00ED4FEA" w14:paraId="37D51FEA" w14:textId="77777777" w:rsidTr="00DB6666">
        <w:trPr>
          <w:trHeight w:val="461"/>
          <w:jc w:val="center"/>
        </w:trPr>
        <w:tc>
          <w:tcPr>
            <w:tcW w:w="320" w:type="dxa"/>
            <w:tcBorders>
              <w:top w:val="nil"/>
              <w:left w:val="nil"/>
              <w:bottom w:val="nil"/>
              <w:right w:val="nil"/>
            </w:tcBorders>
            <w:shd w:val="clear" w:color="auto" w:fill="auto"/>
            <w:noWrap/>
            <w:vAlign w:val="bottom"/>
            <w:hideMark/>
          </w:tcPr>
          <w:p w14:paraId="56BDC95C" w14:textId="77777777" w:rsidR="008F776F" w:rsidRPr="00ED4FEA" w:rsidRDefault="008F776F" w:rsidP="00DB6666">
            <w:pPr>
              <w:jc w:val="right"/>
              <w:rPr>
                <w:rFonts w:ascii="Arial Narrow" w:hAnsi="Arial Narrow" w:cs="Arial"/>
                <w:b/>
                <w:bCs/>
                <w:sz w:val="18"/>
                <w:szCs w:val="18"/>
                <w:lang w:val="es-ES_tradnl"/>
              </w:rPr>
            </w:pPr>
          </w:p>
        </w:tc>
        <w:tc>
          <w:tcPr>
            <w:tcW w:w="3297" w:type="dxa"/>
            <w:tcBorders>
              <w:top w:val="nil"/>
              <w:left w:val="nil"/>
              <w:bottom w:val="nil"/>
              <w:right w:val="nil"/>
            </w:tcBorders>
            <w:shd w:val="clear" w:color="auto" w:fill="auto"/>
            <w:vAlign w:val="bottom"/>
            <w:hideMark/>
          </w:tcPr>
          <w:p w14:paraId="49E2A4E4"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Equipo y suministros</w:t>
            </w:r>
          </w:p>
        </w:tc>
        <w:tc>
          <w:tcPr>
            <w:tcW w:w="1108" w:type="dxa"/>
            <w:tcBorders>
              <w:top w:val="nil"/>
              <w:left w:val="nil"/>
              <w:bottom w:val="nil"/>
              <w:right w:val="nil"/>
            </w:tcBorders>
            <w:shd w:val="clear" w:color="auto" w:fill="auto"/>
            <w:vAlign w:val="center"/>
            <w:hideMark/>
          </w:tcPr>
          <w:p w14:paraId="16DC89D6" w14:textId="77777777" w:rsidR="008F776F" w:rsidRPr="00ED4FEA" w:rsidRDefault="008F776F" w:rsidP="00DB6666">
            <w:pPr>
              <w:jc w:val="right"/>
              <w:rPr>
                <w:rFonts w:ascii="Arial Narrow" w:hAnsi="Arial Narrow" w:cs="Arial"/>
                <w:b/>
                <w:bCs/>
                <w:sz w:val="18"/>
                <w:szCs w:val="18"/>
                <w:lang w:val="es-ES_tradnl"/>
              </w:rPr>
            </w:pPr>
          </w:p>
        </w:tc>
        <w:tc>
          <w:tcPr>
            <w:tcW w:w="1283" w:type="dxa"/>
            <w:tcBorders>
              <w:top w:val="nil"/>
              <w:left w:val="nil"/>
              <w:bottom w:val="nil"/>
              <w:right w:val="nil"/>
            </w:tcBorders>
            <w:shd w:val="clear" w:color="auto" w:fill="auto"/>
            <w:vAlign w:val="center"/>
            <w:hideMark/>
          </w:tcPr>
          <w:p w14:paraId="25A08367" w14:textId="77777777" w:rsidR="008F776F" w:rsidRPr="00ED4FEA" w:rsidRDefault="008F776F" w:rsidP="00DB6666">
            <w:pPr>
              <w:jc w:val="right"/>
              <w:rPr>
                <w:rFonts w:ascii="Arial Narrow" w:hAnsi="Arial Narrow"/>
                <w:sz w:val="18"/>
                <w:szCs w:val="18"/>
                <w:lang w:val="es-ES_tradnl"/>
              </w:rPr>
            </w:pPr>
          </w:p>
        </w:tc>
        <w:tc>
          <w:tcPr>
            <w:tcW w:w="946" w:type="dxa"/>
            <w:tcBorders>
              <w:top w:val="nil"/>
              <w:left w:val="nil"/>
              <w:bottom w:val="nil"/>
              <w:right w:val="nil"/>
            </w:tcBorders>
            <w:shd w:val="clear" w:color="auto" w:fill="auto"/>
            <w:vAlign w:val="center"/>
            <w:hideMark/>
          </w:tcPr>
          <w:p w14:paraId="19DDC3C9" w14:textId="77777777" w:rsidR="008F776F" w:rsidRPr="00ED4FEA" w:rsidRDefault="008F776F" w:rsidP="00DB6666">
            <w:pPr>
              <w:jc w:val="right"/>
              <w:rPr>
                <w:rFonts w:ascii="Arial Narrow" w:hAnsi="Arial Narrow"/>
                <w:sz w:val="18"/>
                <w:szCs w:val="18"/>
                <w:lang w:val="es-ES_tradnl"/>
              </w:rPr>
            </w:pPr>
          </w:p>
        </w:tc>
        <w:tc>
          <w:tcPr>
            <w:tcW w:w="963" w:type="dxa"/>
            <w:tcBorders>
              <w:top w:val="nil"/>
              <w:left w:val="nil"/>
              <w:bottom w:val="nil"/>
              <w:right w:val="nil"/>
            </w:tcBorders>
            <w:shd w:val="clear" w:color="auto" w:fill="auto"/>
            <w:vAlign w:val="center"/>
            <w:hideMark/>
          </w:tcPr>
          <w:p w14:paraId="6BACC6CA" w14:textId="77777777" w:rsidR="008F776F" w:rsidRPr="00ED4FEA" w:rsidRDefault="008F776F" w:rsidP="00DB6666">
            <w:pPr>
              <w:jc w:val="right"/>
              <w:rPr>
                <w:rFonts w:ascii="Arial Narrow" w:hAnsi="Arial Narrow"/>
                <w:sz w:val="18"/>
                <w:szCs w:val="18"/>
                <w:lang w:val="es-ES_tradnl"/>
              </w:rPr>
            </w:pPr>
          </w:p>
        </w:tc>
        <w:tc>
          <w:tcPr>
            <w:tcW w:w="1219" w:type="dxa"/>
            <w:tcBorders>
              <w:top w:val="nil"/>
              <w:left w:val="nil"/>
              <w:bottom w:val="nil"/>
              <w:right w:val="nil"/>
            </w:tcBorders>
            <w:shd w:val="clear" w:color="auto" w:fill="auto"/>
            <w:vAlign w:val="center"/>
            <w:hideMark/>
          </w:tcPr>
          <w:p w14:paraId="5E532C3E" w14:textId="77777777" w:rsidR="008F776F" w:rsidRPr="00ED4FEA" w:rsidRDefault="008F776F" w:rsidP="00DB6666">
            <w:pPr>
              <w:jc w:val="right"/>
              <w:rPr>
                <w:rFonts w:ascii="Arial Narrow" w:hAnsi="Arial Narrow"/>
                <w:sz w:val="18"/>
                <w:szCs w:val="18"/>
                <w:lang w:val="es-ES_tradnl"/>
              </w:rPr>
            </w:pPr>
          </w:p>
        </w:tc>
      </w:tr>
      <w:tr w:rsidR="008F776F" w:rsidRPr="00ED4FEA" w14:paraId="4F8D13FF"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0636223D" w14:textId="77777777" w:rsidR="008F776F" w:rsidRPr="00ED4FEA" w:rsidRDefault="008F776F" w:rsidP="00DB6666">
            <w:pPr>
              <w:jc w:val="left"/>
              <w:rPr>
                <w:rFonts w:ascii="Arial Narrow" w:hAnsi="Arial Narrow"/>
                <w:sz w:val="18"/>
                <w:szCs w:val="18"/>
                <w:lang w:val="es-ES_tradnl"/>
              </w:rPr>
            </w:pPr>
          </w:p>
        </w:tc>
        <w:tc>
          <w:tcPr>
            <w:tcW w:w="3297" w:type="dxa"/>
            <w:tcBorders>
              <w:top w:val="nil"/>
              <w:left w:val="nil"/>
              <w:bottom w:val="nil"/>
              <w:right w:val="nil"/>
            </w:tcBorders>
            <w:shd w:val="clear" w:color="auto" w:fill="auto"/>
            <w:vAlign w:val="bottom"/>
            <w:hideMark/>
          </w:tcPr>
          <w:p w14:paraId="65CC238C" w14:textId="77777777" w:rsidR="008F776F" w:rsidRPr="00ED4FEA" w:rsidRDefault="008F776F" w:rsidP="00DB6666">
            <w:pPr>
              <w:ind w:firstLineChars="200" w:firstLine="360"/>
              <w:jc w:val="left"/>
              <w:rPr>
                <w:rFonts w:ascii="Arial Narrow" w:hAnsi="Arial Narrow" w:cs="Arial"/>
                <w:i/>
                <w:iCs/>
                <w:color w:val="000000"/>
                <w:sz w:val="18"/>
                <w:szCs w:val="18"/>
                <w:lang w:val="es-ES_tradnl"/>
              </w:rPr>
            </w:pPr>
            <w:r w:rsidRPr="00ED4FEA">
              <w:rPr>
                <w:rFonts w:ascii="Arial Narrow" w:hAnsi="Arial Narrow" w:cs="Arial"/>
                <w:i/>
                <w:iCs/>
                <w:color w:val="000000"/>
                <w:sz w:val="18"/>
                <w:szCs w:val="18"/>
                <w:lang w:val="es-ES_tradnl"/>
              </w:rPr>
              <w:t>Mobiliario y equipo</w:t>
            </w:r>
          </w:p>
        </w:tc>
        <w:tc>
          <w:tcPr>
            <w:tcW w:w="1108" w:type="dxa"/>
            <w:tcBorders>
              <w:top w:val="nil"/>
              <w:left w:val="nil"/>
              <w:bottom w:val="nil"/>
              <w:right w:val="nil"/>
            </w:tcBorders>
            <w:shd w:val="clear" w:color="auto" w:fill="auto"/>
            <w:vAlign w:val="center"/>
            <w:hideMark/>
          </w:tcPr>
          <w:p w14:paraId="637CA433"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0</w:t>
            </w:r>
          </w:p>
        </w:tc>
        <w:tc>
          <w:tcPr>
            <w:tcW w:w="1283" w:type="dxa"/>
            <w:tcBorders>
              <w:top w:val="nil"/>
              <w:left w:val="nil"/>
              <w:bottom w:val="nil"/>
              <w:right w:val="nil"/>
            </w:tcBorders>
            <w:shd w:val="clear" w:color="auto" w:fill="auto"/>
            <w:vAlign w:val="center"/>
            <w:hideMark/>
          </w:tcPr>
          <w:p w14:paraId="3FB41969"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5</w:t>
            </w:r>
          </w:p>
        </w:tc>
        <w:tc>
          <w:tcPr>
            <w:tcW w:w="946" w:type="dxa"/>
            <w:tcBorders>
              <w:top w:val="nil"/>
              <w:left w:val="nil"/>
              <w:bottom w:val="nil"/>
              <w:right w:val="nil"/>
            </w:tcBorders>
            <w:shd w:val="clear" w:color="auto" w:fill="auto"/>
            <w:vAlign w:val="center"/>
            <w:hideMark/>
          </w:tcPr>
          <w:p w14:paraId="7B3FA5A9"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(4)</w:t>
            </w:r>
          </w:p>
        </w:tc>
        <w:tc>
          <w:tcPr>
            <w:tcW w:w="963" w:type="dxa"/>
            <w:tcBorders>
              <w:top w:val="nil"/>
              <w:left w:val="nil"/>
              <w:bottom w:val="nil"/>
              <w:right w:val="nil"/>
            </w:tcBorders>
            <w:shd w:val="clear" w:color="auto" w:fill="auto"/>
            <w:vAlign w:val="center"/>
            <w:hideMark/>
          </w:tcPr>
          <w:p w14:paraId="53C34066"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-80%</w:t>
            </w:r>
          </w:p>
        </w:tc>
        <w:tc>
          <w:tcPr>
            <w:tcW w:w="1219" w:type="dxa"/>
            <w:tcBorders>
              <w:top w:val="nil"/>
              <w:left w:val="nil"/>
              <w:bottom w:val="nil"/>
              <w:right w:val="nil"/>
            </w:tcBorders>
            <w:shd w:val="clear" w:color="auto" w:fill="auto"/>
            <w:vAlign w:val="center"/>
            <w:hideMark/>
          </w:tcPr>
          <w:p w14:paraId="048A7A93"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w:t>
            </w:r>
          </w:p>
        </w:tc>
      </w:tr>
      <w:tr w:rsidR="008F776F" w:rsidRPr="00ED4FEA" w14:paraId="312F0705"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7244F91F" w14:textId="77777777" w:rsidR="008F776F" w:rsidRPr="00ED4FEA" w:rsidRDefault="008F776F" w:rsidP="00DB6666">
            <w:pPr>
              <w:jc w:val="right"/>
              <w:rPr>
                <w:rFonts w:ascii="Arial Narrow" w:hAnsi="Arial Narrow" w:cs="Arial"/>
                <w:sz w:val="18"/>
                <w:szCs w:val="18"/>
                <w:lang w:val="es-ES_tradnl"/>
              </w:rPr>
            </w:pPr>
          </w:p>
        </w:tc>
        <w:tc>
          <w:tcPr>
            <w:tcW w:w="3297" w:type="dxa"/>
            <w:tcBorders>
              <w:top w:val="nil"/>
              <w:left w:val="nil"/>
              <w:bottom w:val="nil"/>
              <w:right w:val="nil"/>
            </w:tcBorders>
            <w:shd w:val="clear" w:color="auto" w:fill="auto"/>
            <w:vAlign w:val="bottom"/>
            <w:hideMark/>
          </w:tcPr>
          <w:p w14:paraId="5B161225" w14:textId="77777777" w:rsidR="008F776F" w:rsidRPr="00ED4FEA" w:rsidRDefault="008F776F" w:rsidP="00DB6666">
            <w:pPr>
              <w:ind w:firstLineChars="200" w:firstLine="360"/>
              <w:jc w:val="left"/>
              <w:rPr>
                <w:rFonts w:ascii="Arial Narrow" w:hAnsi="Arial Narrow" w:cs="Arial"/>
                <w:i/>
                <w:iCs/>
                <w:color w:val="000000"/>
                <w:sz w:val="18"/>
                <w:szCs w:val="18"/>
                <w:lang w:val="es-ES_tradnl"/>
              </w:rPr>
            </w:pPr>
            <w:r w:rsidRPr="00ED4FEA">
              <w:rPr>
                <w:rFonts w:ascii="Arial Narrow" w:hAnsi="Arial Narrow" w:cs="Arial"/>
                <w:i/>
                <w:iCs/>
                <w:color w:val="000000"/>
                <w:sz w:val="18"/>
                <w:szCs w:val="18"/>
                <w:lang w:val="es-ES_tradnl"/>
              </w:rPr>
              <w:t>Suministros y material</w:t>
            </w:r>
          </w:p>
        </w:tc>
        <w:tc>
          <w:tcPr>
            <w:tcW w:w="1108" w:type="dxa"/>
            <w:tcBorders>
              <w:top w:val="nil"/>
              <w:left w:val="nil"/>
              <w:bottom w:val="nil"/>
              <w:right w:val="nil"/>
            </w:tcBorders>
            <w:shd w:val="clear" w:color="auto" w:fill="auto"/>
            <w:vAlign w:val="center"/>
            <w:hideMark/>
          </w:tcPr>
          <w:p w14:paraId="78C30741"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4</w:t>
            </w:r>
          </w:p>
        </w:tc>
        <w:tc>
          <w:tcPr>
            <w:tcW w:w="1283" w:type="dxa"/>
            <w:tcBorders>
              <w:top w:val="nil"/>
              <w:left w:val="nil"/>
              <w:bottom w:val="nil"/>
              <w:right w:val="nil"/>
            </w:tcBorders>
            <w:shd w:val="clear" w:color="auto" w:fill="auto"/>
            <w:vAlign w:val="center"/>
            <w:hideMark/>
          </w:tcPr>
          <w:p w14:paraId="6CFA4571"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5</w:t>
            </w:r>
          </w:p>
        </w:tc>
        <w:tc>
          <w:tcPr>
            <w:tcW w:w="946" w:type="dxa"/>
            <w:tcBorders>
              <w:top w:val="nil"/>
              <w:left w:val="nil"/>
              <w:bottom w:val="nil"/>
              <w:right w:val="nil"/>
            </w:tcBorders>
            <w:shd w:val="clear" w:color="auto" w:fill="auto"/>
            <w:vAlign w:val="center"/>
            <w:hideMark/>
          </w:tcPr>
          <w:p w14:paraId="5846F191"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(4)</w:t>
            </w:r>
          </w:p>
        </w:tc>
        <w:tc>
          <w:tcPr>
            <w:tcW w:w="963" w:type="dxa"/>
            <w:tcBorders>
              <w:top w:val="nil"/>
              <w:left w:val="nil"/>
              <w:bottom w:val="nil"/>
              <w:right w:val="nil"/>
            </w:tcBorders>
            <w:shd w:val="clear" w:color="auto" w:fill="auto"/>
            <w:vAlign w:val="center"/>
            <w:hideMark/>
          </w:tcPr>
          <w:p w14:paraId="34AE28B5"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-80%</w:t>
            </w:r>
          </w:p>
        </w:tc>
        <w:tc>
          <w:tcPr>
            <w:tcW w:w="1219" w:type="dxa"/>
            <w:tcBorders>
              <w:top w:val="nil"/>
              <w:left w:val="nil"/>
              <w:bottom w:val="nil"/>
              <w:right w:val="nil"/>
            </w:tcBorders>
            <w:shd w:val="clear" w:color="auto" w:fill="auto"/>
            <w:vAlign w:val="center"/>
            <w:hideMark/>
          </w:tcPr>
          <w:p w14:paraId="185C8A36"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1</w:t>
            </w:r>
          </w:p>
        </w:tc>
      </w:tr>
      <w:tr w:rsidR="008F776F" w:rsidRPr="00ED4FEA" w14:paraId="7BCF38B2" w14:textId="77777777" w:rsidTr="00DB6666">
        <w:trPr>
          <w:trHeight w:val="314"/>
          <w:jc w:val="center"/>
        </w:trPr>
        <w:tc>
          <w:tcPr>
            <w:tcW w:w="320" w:type="dxa"/>
            <w:tcBorders>
              <w:top w:val="nil"/>
              <w:left w:val="nil"/>
              <w:bottom w:val="single" w:sz="4" w:space="0" w:color="AAB8C4"/>
              <w:right w:val="nil"/>
            </w:tcBorders>
            <w:shd w:val="clear" w:color="auto" w:fill="auto"/>
            <w:noWrap/>
            <w:vAlign w:val="bottom"/>
            <w:hideMark/>
          </w:tcPr>
          <w:p w14:paraId="742D16A4" w14:textId="77777777" w:rsidR="008F776F" w:rsidRPr="00ED4FEA" w:rsidRDefault="008F776F" w:rsidP="00DB6666">
            <w:pPr>
              <w:jc w:val="left"/>
              <w:rPr>
                <w:rFonts w:ascii="Arial Narrow" w:hAnsi="Arial Narrow" w:cs="Arial"/>
                <w:sz w:val="18"/>
                <w:szCs w:val="18"/>
                <w:lang w:val="es-ES_tradnl"/>
              </w:rPr>
            </w:pPr>
            <w:r w:rsidRPr="00ED4FEA">
              <w:rPr>
                <w:rFonts w:ascii="Arial Narrow" w:hAnsi="Arial Narrow" w:cs="Arial"/>
                <w:sz w:val="18"/>
                <w:szCs w:val="18"/>
                <w:lang w:val="es-ES_tradnl"/>
              </w:rPr>
              <w:t> </w:t>
            </w:r>
          </w:p>
        </w:tc>
        <w:tc>
          <w:tcPr>
            <w:tcW w:w="3297" w:type="dxa"/>
            <w:tcBorders>
              <w:top w:val="nil"/>
              <w:left w:val="nil"/>
              <w:bottom w:val="single" w:sz="4" w:space="0" w:color="AAB8C4"/>
              <w:right w:val="nil"/>
            </w:tcBorders>
            <w:shd w:val="clear" w:color="auto" w:fill="auto"/>
            <w:vAlign w:val="bottom"/>
            <w:hideMark/>
          </w:tcPr>
          <w:p w14:paraId="00CA8AE4"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Subtotal</w:t>
            </w:r>
          </w:p>
        </w:tc>
        <w:tc>
          <w:tcPr>
            <w:tcW w:w="1108" w:type="dxa"/>
            <w:tcBorders>
              <w:top w:val="nil"/>
              <w:left w:val="nil"/>
              <w:bottom w:val="single" w:sz="4" w:space="0" w:color="AAB8C4"/>
              <w:right w:val="nil"/>
            </w:tcBorders>
            <w:shd w:val="clear" w:color="auto" w:fill="auto"/>
            <w:vAlign w:val="center"/>
            <w:hideMark/>
          </w:tcPr>
          <w:p w14:paraId="753F034C"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4</w:t>
            </w:r>
          </w:p>
        </w:tc>
        <w:tc>
          <w:tcPr>
            <w:tcW w:w="1283" w:type="dxa"/>
            <w:tcBorders>
              <w:top w:val="nil"/>
              <w:left w:val="nil"/>
              <w:bottom w:val="single" w:sz="4" w:space="0" w:color="AAB8C4"/>
              <w:right w:val="nil"/>
            </w:tcBorders>
            <w:shd w:val="clear" w:color="auto" w:fill="auto"/>
            <w:vAlign w:val="center"/>
            <w:hideMark/>
          </w:tcPr>
          <w:p w14:paraId="0D6E7CD7"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10</w:t>
            </w:r>
          </w:p>
        </w:tc>
        <w:tc>
          <w:tcPr>
            <w:tcW w:w="946" w:type="dxa"/>
            <w:tcBorders>
              <w:top w:val="nil"/>
              <w:left w:val="nil"/>
              <w:bottom w:val="nil"/>
              <w:right w:val="nil"/>
            </w:tcBorders>
            <w:shd w:val="clear" w:color="auto" w:fill="auto"/>
            <w:vAlign w:val="center"/>
            <w:hideMark/>
          </w:tcPr>
          <w:p w14:paraId="62B7F748"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(8)</w:t>
            </w:r>
          </w:p>
        </w:tc>
        <w:tc>
          <w:tcPr>
            <w:tcW w:w="963" w:type="dxa"/>
            <w:tcBorders>
              <w:top w:val="nil"/>
              <w:left w:val="nil"/>
              <w:bottom w:val="nil"/>
              <w:right w:val="nil"/>
            </w:tcBorders>
            <w:shd w:val="clear" w:color="auto" w:fill="auto"/>
            <w:vAlign w:val="center"/>
            <w:hideMark/>
          </w:tcPr>
          <w:p w14:paraId="46966151" w14:textId="77777777" w:rsidR="008F776F" w:rsidRPr="00ED4FEA" w:rsidRDefault="008F776F" w:rsidP="00DB6666">
            <w:pPr>
              <w:jc w:val="right"/>
              <w:rPr>
                <w:rFonts w:ascii="Arial Narrow" w:hAnsi="Arial Narrow" w:cs="Arial"/>
                <w:sz w:val="18"/>
                <w:szCs w:val="18"/>
                <w:lang w:val="es-ES_tradnl"/>
              </w:rPr>
            </w:pPr>
            <w:r w:rsidRPr="00ED4FEA">
              <w:rPr>
                <w:rFonts w:ascii="Arial Narrow" w:hAnsi="Arial Narrow" w:cs="Arial"/>
                <w:sz w:val="18"/>
                <w:szCs w:val="18"/>
                <w:lang w:val="es-ES_tradnl"/>
              </w:rPr>
              <w:t>-80%</w:t>
            </w:r>
          </w:p>
        </w:tc>
        <w:tc>
          <w:tcPr>
            <w:tcW w:w="1219" w:type="dxa"/>
            <w:tcBorders>
              <w:top w:val="nil"/>
              <w:left w:val="nil"/>
              <w:bottom w:val="single" w:sz="4" w:space="0" w:color="AAB8C4"/>
              <w:right w:val="nil"/>
            </w:tcBorders>
            <w:shd w:val="clear" w:color="auto" w:fill="auto"/>
            <w:vAlign w:val="center"/>
            <w:hideMark/>
          </w:tcPr>
          <w:p w14:paraId="12204A4D"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2</w:t>
            </w:r>
          </w:p>
        </w:tc>
      </w:tr>
      <w:tr w:rsidR="008F776F" w:rsidRPr="00ED4FEA" w14:paraId="7733B5A4" w14:textId="77777777" w:rsidTr="00DB6666">
        <w:trPr>
          <w:trHeight w:val="314"/>
          <w:jc w:val="center"/>
        </w:trPr>
        <w:tc>
          <w:tcPr>
            <w:tcW w:w="320" w:type="dxa"/>
            <w:tcBorders>
              <w:top w:val="nil"/>
              <w:left w:val="nil"/>
              <w:bottom w:val="single" w:sz="8" w:space="0" w:color="AAB8C4"/>
              <w:right w:val="nil"/>
            </w:tcBorders>
            <w:shd w:val="clear" w:color="auto" w:fill="auto"/>
            <w:noWrap/>
            <w:vAlign w:val="bottom"/>
            <w:hideMark/>
          </w:tcPr>
          <w:p w14:paraId="57BF04DE"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 </w:t>
            </w:r>
          </w:p>
        </w:tc>
        <w:tc>
          <w:tcPr>
            <w:tcW w:w="3297" w:type="dxa"/>
            <w:tcBorders>
              <w:top w:val="nil"/>
              <w:left w:val="nil"/>
              <w:bottom w:val="single" w:sz="8" w:space="0" w:color="AAB8C4"/>
              <w:right w:val="nil"/>
            </w:tcBorders>
            <w:shd w:val="clear" w:color="auto" w:fill="auto"/>
            <w:vAlign w:val="bottom"/>
            <w:hideMark/>
          </w:tcPr>
          <w:p w14:paraId="562A8A65" w14:textId="77777777" w:rsidR="008F776F" w:rsidRPr="00ED4FEA" w:rsidRDefault="008F776F" w:rsidP="00DB6666">
            <w:pPr>
              <w:jc w:val="left"/>
              <w:rPr>
                <w:rFonts w:ascii="Arial Narrow" w:hAnsi="Arial Narrow" w:cs="Arial"/>
                <w:b/>
                <w:bCs/>
                <w:color w:val="000000"/>
                <w:sz w:val="18"/>
                <w:szCs w:val="18"/>
                <w:lang w:val="es-ES_tradnl"/>
              </w:rPr>
            </w:pPr>
            <w:r w:rsidRPr="00ED4FEA">
              <w:rPr>
                <w:rFonts w:ascii="Arial Narrow" w:hAnsi="Arial Narrow" w:cs="Arial"/>
                <w:b/>
                <w:bCs/>
                <w:color w:val="000000"/>
                <w:sz w:val="18"/>
                <w:szCs w:val="18"/>
                <w:lang w:val="es-ES_tradnl"/>
              </w:rPr>
              <w:t>Total, B</w:t>
            </w:r>
          </w:p>
        </w:tc>
        <w:tc>
          <w:tcPr>
            <w:tcW w:w="1108" w:type="dxa"/>
            <w:tcBorders>
              <w:top w:val="nil"/>
              <w:left w:val="nil"/>
              <w:bottom w:val="single" w:sz="8" w:space="0" w:color="AAB8C4"/>
              <w:right w:val="nil"/>
            </w:tcBorders>
            <w:shd w:val="clear" w:color="auto" w:fill="auto"/>
            <w:vAlign w:val="center"/>
            <w:hideMark/>
          </w:tcPr>
          <w:p w14:paraId="390C250D"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2.518</w:t>
            </w:r>
          </w:p>
        </w:tc>
        <w:tc>
          <w:tcPr>
            <w:tcW w:w="1283" w:type="dxa"/>
            <w:tcBorders>
              <w:top w:val="nil"/>
              <w:left w:val="nil"/>
              <w:bottom w:val="single" w:sz="8" w:space="0" w:color="AAB8C4"/>
              <w:right w:val="nil"/>
            </w:tcBorders>
            <w:shd w:val="clear" w:color="auto" w:fill="auto"/>
            <w:vAlign w:val="center"/>
            <w:hideMark/>
          </w:tcPr>
          <w:p w14:paraId="21F62DD4"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2.316</w:t>
            </w:r>
          </w:p>
        </w:tc>
        <w:tc>
          <w:tcPr>
            <w:tcW w:w="946" w:type="dxa"/>
            <w:tcBorders>
              <w:top w:val="single" w:sz="4" w:space="0" w:color="BFBFBF"/>
              <w:left w:val="nil"/>
              <w:bottom w:val="single" w:sz="8" w:space="0" w:color="BFBFBF"/>
              <w:right w:val="nil"/>
            </w:tcBorders>
            <w:shd w:val="clear" w:color="auto" w:fill="auto"/>
            <w:vAlign w:val="center"/>
            <w:hideMark/>
          </w:tcPr>
          <w:p w14:paraId="7C48EA24"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(169)</w:t>
            </w:r>
          </w:p>
        </w:tc>
        <w:tc>
          <w:tcPr>
            <w:tcW w:w="963" w:type="dxa"/>
            <w:tcBorders>
              <w:top w:val="single" w:sz="4" w:space="0" w:color="BFBFBF"/>
              <w:left w:val="nil"/>
              <w:bottom w:val="single" w:sz="8" w:space="0" w:color="BFBFBF"/>
              <w:right w:val="nil"/>
            </w:tcBorders>
            <w:shd w:val="clear" w:color="auto" w:fill="auto"/>
            <w:vAlign w:val="center"/>
            <w:hideMark/>
          </w:tcPr>
          <w:p w14:paraId="144B55E6"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-7%</w:t>
            </w:r>
          </w:p>
        </w:tc>
        <w:tc>
          <w:tcPr>
            <w:tcW w:w="1219" w:type="dxa"/>
            <w:tcBorders>
              <w:top w:val="nil"/>
              <w:left w:val="nil"/>
              <w:bottom w:val="single" w:sz="8" w:space="0" w:color="AAB8C4"/>
              <w:right w:val="nil"/>
            </w:tcBorders>
            <w:shd w:val="clear" w:color="auto" w:fill="auto"/>
            <w:vAlign w:val="center"/>
            <w:hideMark/>
          </w:tcPr>
          <w:p w14:paraId="292B24E9"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2.147</w:t>
            </w:r>
          </w:p>
        </w:tc>
      </w:tr>
      <w:tr w:rsidR="008F776F" w:rsidRPr="00ED4FEA" w14:paraId="2913F285" w14:textId="77777777" w:rsidTr="00DB6666">
        <w:trPr>
          <w:trHeight w:val="314"/>
          <w:jc w:val="center"/>
        </w:trPr>
        <w:tc>
          <w:tcPr>
            <w:tcW w:w="320" w:type="dxa"/>
            <w:tcBorders>
              <w:top w:val="nil"/>
              <w:left w:val="nil"/>
              <w:bottom w:val="single" w:sz="8" w:space="0" w:color="AAB8C4"/>
              <w:right w:val="nil"/>
            </w:tcBorders>
            <w:shd w:val="clear" w:color="auto" w:fill="auto"/>
            <w:noWrap/>
            <w:vAlign w:val="bottom"/>
            <w:hideMark/>
          </w:tcPr>
          <w:p w14:paraId="15CC3ADC"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 </w:t>
            </w:r>
          </w:p>
        </w:tc>
        <w:tc>
          <w:tcPr>
            <w:tcW w:w="3297" w:type="dxa"/>
            <w:tcBorders>
              <w:top w:val="nil"/>
              <w:left w:val="nil"/>
              <w:bottom w:val="single" w:sz="8" w:space="0" w:color="AAB8C4"/>
              <w:right w:val="nil"/>
            </w:tcBorders>
            <w:shd w:val="clear" w:color="auto" w:fill="auto"/>
            <w:vAlign w:val="center"/>
            <w:hideMark/>
          </w:tcPr>
          <w:p w14:paraId="56FABB26" w14:textId="77777777" w:rsidR="008F776F" w:rsidRPr="00ED4FEA" w:rsidRDefault="008F776F" w:rsidP="00DB6666">
            <w:pPr>
              <w:jc w:val="left"/>
              <w:rPr>
                <w:rFonts w:ascii="Arial Narrow" w:hAnsi="Arial Narrow" w:cs="Arial"/>
                <w:b/>
                <w:bCs/>
                <w:sz w:val="18"/>
                <w:szCs w:val="18"/>
                <w:lang w:val="es-ES_tradnl"/>
              </w:rPr>
            </w:pPr>
            <w:r w:rsidRPr="00ED4FEA">
              <w:rPr>
                <w:rFonts w:ascii="Arial Narrow" w:hAnsi="Arial Narrow" w:cs="Arial"/>
                <w:b/>
                <w:bCs/>
                <w:sz w:val="18"/>
                <w:szCs w:val="18"/>
                <w:lang w:val="es-ES_tradnl"/>
              </w:rPr>
              <w:t>TOTAL, A+B</w:t>
            </w:r>
          </w:p>
        </w:tc>
        <w:tc>
          <w:tcPr>
            <w:tcW w:w="1108" w:type="dxa"/>
            <w:tcBorders>
              <w:top w:val="nil"/>
              <w:left w:val="nil"/>
              <w:bottom w:val="single" w:sz="8" w:space="0" w:color="AAB8C4"/>
              <w:right w:val="nil"/>
            </w:tcBorders>
            <w:shd w:val="clear" w:color="auto" w:fill="auto"/>
            <w:vAlign w:val="center"/>
            <w:hideMark/>
          </w:tcPr>
          <w:p w14:paraId="6BEA879B"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7.071</w:t>
            </w:r>
          </w:p>
        </w:tc>
        <w:tc>
          <w:tcPr>
            <w:tcW w:w="1283" w:type="dxa"/>
            <w:tcBorders>
              <w:top w:val="nil"/>
              <w:left w:val="nil"/>
              <w:bottom w:val="single" w:sz="8" w:space="0" w:color="AAB8C4"/>
              <w:right w:val="nil"/>
            </w:tcBorders>
            <w:shd w:val="clear" w:color="auto" w:fill="auto"/>
            <w:vAlign w:val="center"/>
            <w:hideMark/>
          </w:tcPr>
          <w:p w14:paraId="1F61273E"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7.635</w:t>
            </w:r>
          </w:p>
        </w:tc>
        <w:tc>
          <w:tcPr>
            <w:tcW w:w="946" w:type="dxa"/>
            <w:tcBorders>
              <w:top w:val="single" w:sz="4" w:space="0" w:color="BFBFBF"/>
              <w:left w:val="nil"/>
              <w:bottom w:val="single" w:sz="8" w:space="0" w:color="BFBFBF"/>
              <w:right w:val="nil"/>
            </w:tcBorders>
            <w:shd w:val="clear" w:color="auto" w:fill="auto"/>
            <w:vAlign w:val="center"/>
            <w:hideMark/>
          </w:tcPr>
          <w:p w14:paraId="6D2B3895"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267</w:t>
            </w:r>
          </w:p>
        </w:tc>
        <w:tc>
          <w:tcPr>
            <w:tcW w:w="963" w:type="dxa"/>
            <w:tcBorders>
              <w:top w:val="nil"/>
              <w:left w:val="nil"/>
              <w:bottom w:val="single" w:sz="8" w:space="0" w:color="BFBFBF"/>
              <w:right w:val="nil"/>
            </w:tcBorders>
            <w:shd w:val="clear" w:color="auto" w:fill="auto"/>
            <w:vAlign w:val="center"/>
            <w:hideMark/>
          </w:tcPr>
          <w:p w14:paraId="2E269BC6"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3%</w:t>
            </w:r>
          </w:p>
        </w:tc>
        <w:tc>
          <w:tcPr>
            <w:tcW w:w="1219" w:type="dxa"/>
            <w:tcBorders>
              <w:top w:val="nil"/>
              <w:left w:val="nil"/>
              <w:bottom w:val="single" w:sz="8" w:space="0" w:color="AAB8C4"/>
              <w:right w:val="nil"/>
            </w:tcBorders>
            <w:shd w:val="clear" w:color="auto" w:fill="auto"/>
            <w:vAlign w:val="center"/>
            <w:hideMark/>
          </w:tcPr>
          <w:p w14:paraId="1A32C749" w14:textId="77777777" w:rsidR="008F776F" w:rsidRPr="00ED4FEA" w:rsidRDefault="008F776F" w:rsidP="00DB6666">
            <w:pPr>
              <w:jc w:val="right"/>
              <w:rPr>
                <w:rFonts w:ascii="Arial Narrow" w:hAnsi="Arial Narrow" w:cs="Arial"/>
                <w:b/>
                <w:bCs/>
                <w:sz w:val="18"/>
                <w:szCs w:val="18"/>
                <w:lang w:val="es-ES_tradnl"/>
              </w:rPr>
            </w:pPr>
            <w:r w:rsidRPr="00ED4FEA">
              <w:rPr>
                <w:rFonts w:ascii="Arial Narrow" w:hAnsi="Arial Narrow" w:cs="Arial"/>
                <w:b/>
                <w:bCs/>
                <w:sz w:val="18"/>
                <w:szCs w:val="18"/>
                <w:lang w:val="es-ES_tradnl"/>
              </w:rPr>
              <w:t>7.901</w:t>
            </w:r>
          </w:p>
        </w:tc>
      </w:tr>
    </w:tbl>
    <w:p w14:paraId="7D4B983A" w14:textId="77777777" w:rsidR="008F776F" w:rsidRPr="008F776F" w:rsidRDefault="008F776F" w:rsidP="008F776F">
      <w:pPr>
        <w:rPr>
          <w:spacing w:val="-2"/>
          <w:lang w:val="es-ES_tradnl"/>
        </w:rPr>
      </w:pPr>
    </w:p>
    <w:p w14:paraId="581BE6F3" w14:textId="77777777" w:rsidR="008F776F" w:rsidRPr="008F776F" w:rsidRDefault="008F776F" w:rsidP="008F776F">
      <w:pPr>
        <w:rPr>
          <w:b/>
          <w:spacing w:val="-2"/>
          <w:szCs w:val="24"/>
          <w:lang w:val="es-ES_tradnl"/>
        </w:rPr>
      </w:pPr>
    </w:p>
    <w:p w14:paraId="4177D81C" w14:textId="77777777" w:rsidR="008F776F" w:rsidRPr="008F776F" w:rsidRDefault="008F776F" w:rsidP="008F776F">
      <w:pPr>
        <w:jc w:val="left"/>
        <w:rPr>
          <w:b/>
          <w:color w:val="26724C" w:themeColor="accent1" w:themeShade="BF"/>
          <w:sz w:val="22"/>
          <w:lang w:val="es-ES_tradnl"/>
        </w:rPr>
      </w:pPr>
      <w:r w:rsidRPr="008F776F">
        <w:rPr>
          <w:lang w:val="es-ES_tradnl"/>
        </w:rPr>
        <w:br w:type="page"/>
      </w:r>
    </w:p>
    <w:p w14:paraId="2DAA903A" w14:textId="77777777" w:rsidR="008F776F" w:rsidRPr="008F776F" w:rsidRDefault="008F776F" w:rsidP="008F776F">
      <w:pPr>
        <w:pStyle w:val="Heading3"/>
      </w:pPr>
      <w:bookmarkStart w:id="424" w:name="_Toc64471217"/>
      <w:bookmarkStart w:id="425" w:name="_Toc141978853"/>
      <w:r w:rsidRPr="008F776F">
        <w:lastRenderedPageBreak/>
        <w:t>Dotación de personal</w:t>
      </w:r>
      <w:bookmarkEnd w:id="424"/>
      <w:bookmarkEnd w:id="425"/>
    </w:p>
    <w:p w14:paraId="036BC3B0" w14:textId="77777777" w:rsidR="008F776F" w:rsidRPr="008F776F" w:rsidRDefault="008F776F" w:rsidP="008F776F">
      <w:pPr>
        <w:pStyle w:val="ListParagraph"/>
        <w:keepNext/>
        <w:ind w:left="0"/>
        <w:contextualSpacing w:val="0"/>
        <w:rPr>
          <w:lang w:val="es-ES_tradnl"/>
        </w:rPr>
      </w:pPr>
    </w:p>
    <w:p w14:paraId="583ED668" w14:textId="77777777" w:rsidR="008F776F" w:rsidRPr="008F776F" w:rsidRDefault="008F776F" w:rsidP="008F776F">
      <w:pPr>
        <w:pStyle w:val="ListParagraph"/>
        <w:tabs>
          <w:tab w:val="left" w:pos="851"/>
        </w:tabs>
        <w:ind w:left="0"/>
        <w:contextualSpacing w:val="0"/>
        <w:rPr>
          <w:spacing w:val="-2"/>
          <w:lang w:val="es-ES_tradnl"/>
        </w:rPr>
      </w:pPr>
      <w:r w:rsidRPr="008F776F">
        <w:rPr>
          <w:spacing w:val="-2"/>
          <w:lang w:val="es-ES_tradnl"/>
        </w:rPr>
        <w:t>La UPOV ha recibido un valioso apoyo en forma de expertos cedidos por miembros de la Unión, en particular, en relación con UPOV PRISMA, la base de datos PLUTO, la base de datos GENIE y el mantenimiento de los códigos UPOV. En el programa y presupuesto para el bienio 2024-2025 se prevé la contratación de un funcionario subalterno del cuadro orgánico y un becario, que se encargarán de tareas que hasta ahora realizaba personal con contrato de plazo fijo.</w:t>
      </w:r>
    </w:p>
    <w:p w14:paraId="7DB438B5" w14:textId="77777777" w:rsidR="008F776F" w:rsidRPr="008F776F" w:rsidRDefault="008F776F" w:rsidP="008F776F">
      <w:pPr>
        <w:tabs>
          <w:tab w:val="left" w:pos="567"/>
        </w:tabs>
        <w:rPr>
          <w:spacing w:val="-2"/>
          <w:lang w:val="es-ES_tradnl"/>
        </w:rPr>
      </w:pPr>
    </w:p>
    <w:p w14:paraId="05F06B4C" w14:textId="77777777" w:rsidR="008F776F" w:rsidRPr="008F776F" w:rsidRDefault="008F776F" w:rsidP="008F776F">
      <w:pPr>
        <w:pStyle w:val="ListParagraph"/>
        <w:tabs>
          <w:tab w:val="left" w:pos="851"/>
        </w:tabs>
        <w:ind w:left="0"/>
        <w:contextualSpacing w:val="0"/>
        <w:rPr>
          <w:spacing w:val="-2"/>
          <w:lang w:val="es-ES_tradnl"/>
        </w:rPr>
      </w:pPr>
      <w:r w:rsidRPr="008F776F">
        <w:rPr>
          <w:lang w:val="es-ES_tradnl"/>
        </w:rPr>
        <w:t>La UPOV ha recurrido de forma continuada a trabajadores de agencia desde 2014 para respaldar su labor. Desde 2017, tres trabajadores de agencia prestan asistencia jurídica y apoyo relativo a las actividades y a los servicios informáticos de la UPOV.</w:t>
      </w:r>
      <w:r w:rsidRPr="008F776F">
        <w:rPr>
          <w:spacing w:val="-2"/>
          <w:lang w:val="es-ES_tradnl"/>
        </w:rPr>
        <w:t xml:space="preserve"> </w:t>
      </w:r>
    </w:p>
    <w:p w14:paraId="7350F9AE" w14:textId="77777777" w:rsidR="008F776F" w:rsidRPr="008F776F" w:rsidRDefault="008F776F" w:rsidP="008F776F">
      <w:pPr>
        <w:tabs>
          <w:tab w:val="left" w:pos="567"/>
        </w:tabs>
        <w:rPr>
          <w:spacing w:val="-2"/>
          <w:lang w:val="es-ES_tradnl"/>
        </w:rPr>
      </w:pPr>
    </w:p>
    <w:p w14:paraId="04877576" w14:textId="77777777" w:rsidR="008F776F" w:rsidRPr="008F776F" w:rsidRDefault="008F776F" w:rsidP="008F776F">
      <w:pPr>
        <w:tabs>
          <w:tab w:val="left" w:pos="851"/>
        </w:tabs>
        <w:rPr>
          <w:lang w:val="es-ES_tradnl"/>
        </w:rPr>
      </w:pPr>
      <w:r w:rsidRPr="008F776F">
        <w:rPr>
          <w:lang w:val="es-ES_tradnl"/>
        </w:rPr>
        <w:t>Las tareas que actualmente desempeñan los tres trabajadores de agencia indicados anteriormente se han convertido en una parte esencial de la labor de la UPOV y se ha previsto su materialización en puestos de trabajo durante el período correspondiente al plan operativo estratégico para 2023-2027 a fin de garantizar la continuidad y la estabilidad en la labor de la UPOV, siempre y cuando se disponga de ingresos suficientes y seguros.</w:t>
      </w:r>
      <w:r w:rsidR="001342BD">
        <w:rPr>
          <w:spacing w:val="-2"/>
        </w:rPr>
        <w:t xml:space="preserve">  </w:t>
      </w:r>
      <w:r w:rsidR="001342BD" w:rsidRPr="007C07A6">
        <w:rPr>
          <w:spacing w:val="-2"/>
          <w:lang w:val="es-419"/>
        </w:rPr>
        <w:t>El Consejo, en su trigésima quinta sesión extraordinaria celebrada en Ginebra el 23 de marzo de 2023, decidió crear un puesto de director de Desarrollo Mundial y Asuntos Técnicos en la categoría de D</w:t>
      </w:r>
      <w:r w:rsidR="001342BD">
        <w:rPr>
          <w:spacing w:val="-2"/>
          <w:lang w:val="es-419"/>
        </w:rPr>
        <w:noBreakHyphen/>
      </w:r>
      <w:r w:rsidR="001342BD" w:rsidRPr="007C07A6">
        <w:rPr>
          <w:spacing w:val="-2"/>
          <w:lang w:val="es-419"/>
        </w:rPr>
        <w:t>1, que da lugar a la transformación de un puesto profesional en un puesto de director.</w:t>
      </w:r>
    </w:p>
    <w:p w14:paraId="5BB1DD0C" w14:textId="77777777" w:rsidR="008F776F" w:rsidRPr="008F776F" w:rsidRDefault="008F776F" w:rsidP="008F776F">
      <w:pPr>
        <w:pStyle w:val="ListParagraph"/>
        <w:tabs>
          <w:tab w:val="left" w:pos="851"/>
        </w:tabs>
        <w:ind w:left="0"/>
        <w:contextualSpacing w:val="0"/>
        <w:rPr>
          <w:spacing w:val="-2"/>
          <w:lang w:val="es-ES_tradnl"/>
        </w:rPr>
      </w:pPr>
    </w:p>
    <w:p w14:paraId="517A0381" w14:textId="77777777" w:rsidR="008F776F" w:rsidRPr="008F776F" w:rsidRDefault="008F776F" w:rsidP="008F776F">
      <w:pPr>
        <w:jc w:val="center"/>
        <w:rPr>
          <w:rFonts w:cs="Arial"/>
          <w:b/>
          <w:bCs/>
          <w:color w:val="26724C" w:themeColor="accent1" w:themeShade="BF"/>
          <w:lang w:val="es-ES_tradnl"/>
        </w:rPr>
      </w:pPr>
      <w:r w:rsidRPr="008F776F">
        <w:rPr>
          <w:rFonts w:cs="Arial"/>
          <w:b/>
          <w:bCs/>
          <w:color w:val="26724C" w:themeColor="accent1" w:themeShade="BF"/>
          <w:lang w:val="es-ES_tradnl"/>
        </w:rPr>
        <w:t>Cuadro 5: Presupuesto para el bienio 2024</w:t>
      </w:r>
      <w:r w:rsidRPr="008F776F">
        <w:rPr>
          <w:rFonts w:cs="Arial"/>
          <w:b/>
          <w:bCs/>
          <w:color w:val="26724C" w:themeColor="accent1" w:themeShade="BF"/>
          <w:lang w:val="es-ES_tradnl"/>
        </w:rPr>
        <w:noBreakHyphen/>
        <w:t>2025: puestos por categoría</w:t>
      </w:r>
    </w:p>
    <w:p w14:paraId="50E54627" w14:textId="77777777" w:rsidR="008F776F" w:rsidRPr="008F776F" w:rsidRDefault="008F776F" w:rsidP="008F776F">
      <w:pPr>
        <w:rPr>
          <w:rFonts w:cs="Arial"/>
          <w:b/>
          <w:bCs/>
          <w:color w:val="26724C" w:themeColor="accent1" w:themeShade="BF"/>
          <w:lang w:val="es-ES_tradnl"/>
        </w:rPr>
      </w:pPr>
    </w:p>
    <w:tbl>
      <w:tblPr>
        <w:tblW w:w="7980" w:type="dxa"/>
        <w:jc w:val="center"/>
        <w:tblLook w:val="04A0" w:firstRow="1" w:lastRow="0" w:firstColumn="1" w:lastColumn="0" w:noHBand="0" w:noVBand="1"/>
      </w:tblPr>
      <w:tblGrid>
        <w:gridCol w:w="2260"/>
        <w:gridCol w:w="1480"/>
        <w:gridCol w:w="1440"/>
        <w:gridCol w:w="1400"/>
        <w:gridCol w:w="1400"/>
      </w:tblGrid>
      <w:tr w:rsidR="008F776F" w:rsidRPr="00ED4FEA" w14:paraId="63D9A620" w14:textId="77777777" w:rsidTr="00DB6666">
        <w:trPr>
          <w:trHeight w:val="460"/>
          <w:jc w:val="center"/>
        </w:trPr>
        <w:tc>
          <w:tcPr>
            <w:tcW w:w="2260" w:type="dxa"/>
            <w:tcBorders>
              <w:top w:val="nil"/>
              <w:left w:val="nil"/>
              <w:bottom w:val="nil"/>
              <w:right w:val="nil"/>
            </w:tcBorders>
            <w:shd w:val="clear" w:color="000000" w:fill="C7CFD8"/>
            <w:vAlign w:val="center"/>
            <w:hideMark/>
          </w:tcPr>
          <w:p w14:paraId="06C11B4A"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Categoría del puesto</w:t>
            </w:r>
          </w:p>
        </w:tc>
        <w:tc>
          <w:tcPr>
            <w:tcW w:w="1480" w:type="dxa"/>
            <w:tcBorders>
              <w:top w:val="nil"/>
              <w:left w:val="nil"/>
              <w:bottom w:val="nil"/>
              <w:right w:val="nil"/>
            </w:tcBorders>
            <w:shd w:val="clear" w:color="000000" w:fill="C7CFD8"/>
            <w:vAlign w:val="center"/>
            <w:hideMark/>
          </w:tcPr>
          <w:p w14:paraId="3940A68C"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2020-2021</w:t>
            </w:r>
            <w:r w:rsidRPr="00ED4FEA">
              <w:rPr>
                <w:rFonts w:ascii="Arial Narrow" w:hAnsi="Arial Narrow" w:cs="Arial"/>
                <w:b/>
                <w:bCs/>
                <w:sz w:val="18"/>
                <w:szCs w:val="18"/>
                <w:lang w:val="es-ES_tradnl"/>
              </w:rPr>
              <w:br/>
              <w:t>Real</w:t>
            </w:r>
          </w:p>
        </w:tc>
        <w:tc>
          <w:tcPr>
            <w:tcW w:w="1440" w:type="dxa"/>
            <w:tcBorders>
              <w:top w:val="nil"/>
              <w:left w:val="nil"/>
              <w:bottom w:val="nil"/>
              <w:right w:val="nil"/>
            </w:tcBorders>
            <w:shd w:val="clear" w:color="000000" w:fill="C7CFD8"/>
            <w:vAlign w:val="center"/>
            <w:hideMark/>
          </w:tcPr>
          <w:p w14:paraId="00421956"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2022-2023</w:t>
            </w:r>
            <w:r w:rsidRPr="00ED4FEA">
              <w:rPr>
                <w:rFonts w:ascii="Arial Narrow" w:hAnsi="Arial Narrow" w:cs="Arial"/>
                <w:b/>
                <w:bCs/>
                <w:sz w:val="18"/>
                <w:szCs w:val="18"/>
                <w:lang w:val="es-ES_tradnl"/>
              </w:rPr>
              <w:br/>
              <w:t xml:space="preserve">Real </w:t>
            </w:r>
          </w:p>
        </w:tc>
        <w:tc>
          <w:tcPr>
            <w:tcW w:w="1400" w:type="dxa"/>
            <w:tcBorders>
              <w:top w:val="nil"/>
              <w:left w:val="nil"/>
              <w:bottom w:val="nil"/>
              <w:right w:val="nil"/>
            </w:tcBorders>
            <w:shd w:val="clear" w:color="000000" w:fill="C7CFD8"/>
            <w:vAlign w:val="center"/>
            <w:hideMark/>
          </w:tcPr>
          <w:p w14:paraId="02D2AEDE"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xml:space="preserve">Variación </w:t>
            </w:r>
          </w:p>
        </w:tc>
        <w:tc>
          <w:tcPr>
            <w:tcW w:w="1400" w:type="dxa"/>
            <w:tcBorders>
              <w:top w:val="nil"/>
              <w:left w:val="nil"/>
              <w:bottom w:val="nil"/>
              <w:right w:val="nil"/>
            </w:tcBorders>
            <w:shd w:val="clear" w:color="000000" w:fill="C7CFD8"/>
            <w:vAlign w:val="center"/>
            <w:hideMark/>
          </w:tcPr>
          <w:p w14:paraId="678B3E15"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2024</w:t>
            </w:r>
            <w:r w:rsidRPr="00ED4FEA">
              <w:rPr>
                <w:rFonts w:ascii="Arial Narrow" w:hAnsi="Arial Narrow" w:cs="Arial"/>
                <w:b/>
                <w:bCs/>
                <w:sz w:val="18"/>
                <w:szCs w:val="18"/>
                <w:lang w:val="es-ES_tradnl"/>
              </w:rPr>
              <w:noBreakHyphen/>
              <w:t>2025 Propuesto</w:t>
            </w:r>
          </w:p>
        </w:tc>
      </w:tr>
      <w:tr w:rsidR="008F776F" w:rsidRPr="00ED4FEA" w14:paraId="104D10D1" w14:textId="77777777" w:rsidTr="00DB6666">
        <w:trPr>
          <w:trHeight w:val="250"/>
          <w:jc w:val="center"/>
        </w:trPr>
        <w:tc>
          <w:tcPr>
            <w:tcW w:w="2260" w:type="dxa"/>
            <w:tcBorders>
              <w:top w:val="nil"/>
              <w:left w:val="nil"/>
              <w:bottom w:val="nil"/>
              <w:right w:val="nil"/>
            </w:tcBorders>
            <w:shd w:val="clear" w:color="000000" w:fill="C7CFD8"/>
            <w:vAlign w:val="center"/>
            <w:hideMark/>
          </w:tcPr>
          <w:p w14:paraId="2FC6F2DE"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w:t>
            </w:r>
          </w:p>
        </w:tc>
        <w:tc>
          <w:tcPr>
            <w:tcW w:w="1480" w:type="dxa"/>
            <w:tcBorders>
              <w:top w:val="nil"/>
              <w:left w:val="nil"/>
              <w:bottom w:val="nil"/>
              <w:right w:val="nil"/>
            </w:tcBorders>
            <w:shd w:val="clear" w:color="000000" w:fill="C7CFD8"/>
            <w:vAlign w:val="center"/>
            <w:hideMark/>
          </w:tcPr>
          <w:p w14:paraId="7E5FEEEF"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xml:space="preserve">A </w:t>
            </w:r>
          </w:p>
        </w:tc>
        <w:tc>
          <w:tcPr>
            <w:tcW w:w="1440" w:type="dxa"/>
            <w:tcBorders>
              <w:top w:val="nil"/>
              <w:left w:val="nil"/>
              <w:bottom w:val="nil"/>
              <w:right w:val="nil"/>
            </w:tcBorders>
            <w:shd w:val="clear" w:color="000000" w:fill="C7CFD8"/>
            <w:vAlign w:val="center"/>
            <w:hideMark/>
          </w:tcPr>
          <w:p w14:paraId="415E412F"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xml:space="preserve">B </w:t>
            </w:r>
          </w:p>
        </w:tc>
        <w:tc>
          <w:tcPr>
            <w:tcW w:w="1400" w:type="dxa"/>
            <w:tcBorders>
              <w:top w:val="nil"/>
              <w:left w:val="nil"/>
              <w:bottom w:val="nil"/>
              <w:right w:val="nil"/>
            </w:tcBorders>
            <w:shd w:val="clear" w:color="000000" w:fill="C7CFD8"/>
            <w:vAlign w:val="center"/>
            <w:hideMark/>
          </w:tcPr>
          <w:p w14:paraId="57F77360"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xml:space="preserve">C-B </w:t>
            </w:r>
          </w:p>
        </w:tc>
        <w:tc>
          <w:tcPr>
            <w:tcW w:w="1400" w:type="dxa"/>
            <w:tcBorders>
              <w:top w:val="nil"/>
              <w:left w:val="nil"/>
              <w:bottom w:val="nil"/>
              <w:right w:val="nil"/>
            </w:tcBorders>
            <w:shd w:val="clear" w:color="000000" w:fill="C7CFD8"/>
            <w:vAlign w:val="center"/>
            <w:hideMark/>
          </w:tcPr>
          <w:p w14:paraId="4B1218C5"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 xml:space="preserve">C </w:t>
            </w:r>
          </w:p>
        </w:tc>
      </w:tr>
      <w:tr w:rsidR="008F776F" w:rsidRPr="00ED4FEA" w14:paraId="23911404" w14:textId="77777777" w:rsidTr="00DB6666">
        <w:trPr>
          <w:trHeight w:val="150"/>
          <w:jc w:val="center"/>
        </w:trPr>
        <w:tc>
          <w:tcPr>
            <w:tcW w:w="2260" w:type="dxa"/>
            <w:tcBorders>
              <w:top w:val="nil"/>
              <w:left w:val="nil"/>
              <w:bottom w:val="nil"/>
              <w:right w:val="nil"/>
            </w:tcBorders>
            <w:shd w:val="clear" w:color="auto" w:fill="auto"/>
            <w:hideMark/>
          </w:tcPr>
          <w:p w14:paraId="778ACDD5" w14:textId="77777777" w:rsidR="008F776F" w:rsidRPr="00ED4FEA" w:rsidRDefault="008F776F" w:rsidP="00DB6666">
            <w:pPr>
              <w:jc w:val="center"/>
              <w:rPr>
                <w:rFonts w:ascii="Arial Narrow" w:hAnsi="Arial Narrow" w:cs="Arial"/>
                <w:b/>
                <w:bCs/>
                <w:sz w:val="18"/>
                <w:szCs w:val="18"/>
                <w:lang w:val="es-ES_tradnl"/>
              </w:rPr>
            </w:pPr>
          </w:p>
        </w:tc>
        <w:tc>
          <w:tcPr>
            <w:tcW w:w="1480" w:type="dxa"/>
            <w:tcBorders>
              <w:top w:val="nil"/>
              <w:left w:val="nil"/>
              <w:bottom w:val="nil"/>
              <w:right w:val="nil"/>
            </w:tcBorders>
            <w:shd w:val="clear" w:color="auto" w:fill="auto"/>
            <w:hideMark/>
          </w:tcPr>
          <w:p w14:paraId="23074F27" w14:textId="77777777" w:rsidR="008F776F" w:rsidRPr="00ED4FEA" w:rsidRDefault="008F776F" w:rsidP="00DB6666">
            <w:pPr>
              <w:rPr>
                <w:rFonts w:ascii="Times New Roman" w:hAnsi="Times New Roman"/>
                <w:sz w:val="18"/>
                <w:szCs w:val="18"/>
                <w:lang w:val="es-ES_tradnl"/>
              </w:rPr>
            </w:pPr>
          </w:p>
        </w:tc>
        <w:tc>
          <w:tcPr>
            <w:tcW w:w="1440" w:type="dxa"/>
            <w:tcBorders>
              <w:top w:val="nil"/>
              <w:left w:val="nil"/>
              <w:bottom w:val="nil"/>
              <w:right w:val="nil"/>
            </w:tcBorders>
            <w:shd w:val="clear" w:color="auto" w:fill="auto"/>
            <w:hideMark/>
          </w:tcPr>
          <w:p w14:paraId="6A745EDC" w14:textId="77777777" w:rsidR="008F776F" w:rsidRPr="00ED4FEA" w:rsidRDefault="008F776F" w:rsidP="00DB6666">
            <w:pPr>
              <w:jc w:val="center"/>
              <w:rPr>
                <w:rFonts w:ascii="Times New Roman" w:hAnsi="Times New Roman"/>
                <w:sz w:val="18"/>
                <w:szCs w:val="18"/>
                <w:lang w:val="es-ES_tradnl"/>
              </w:rPr>
            </w:pPr>
          </w:p>
        </w:tc>
        <w:tc>
          <w:tcPr>
            <w:tcW w:w="1400" w:type="dxa"/>
            <w:tcBorders>
              <w:top w:val="nil"/>
              <w:left w:val="nil"/>
              <w:bottom w:val="nil"/>
              <w:right w:val="nil"/>
            </w:tcBorders>
            <w:shd w:val="clear" w:color="auto" w:fill="auto"/>
            <w:hideMark/>
          </w:tcPr>
          <w:p w14:paraId="0D681A02" w14:textId="77777777" w:rsidR="008F776F" w:rsidRPr="00ED4FEA" w:rsidRDefault="008F776F" w:rsidP="00DB6666">
            <w:pPr>
              <w:jc w:val="center"/>
              <w:rPr>
                <w:rFonts w:ascii="Times New Roman" w:hAnsi="Times New Roman"/>
                <w:sz w:val="18"/>
                <w:szCs w:val="18"/>
                <w:lang w:val="es-ES_tradnl"/>
              </w:rPr>
            </w:pPr>
          </w:p>
        </w:tc>
        <w:tc>
          <w:tcPr>
            <w:tcW w:w="1400" w:type="dxa"/>
            <w:tcBorders>
              <w:top w:val="nil"/>
              <w:left w:val="nil"/>
              <w:bottom w:val="nil"/>
              <w:right w:val="nil"/>
            </w:tcBorders>
            <w:shd w:val="clear" w:color="auto" w:fill="auto"/>
            <w:hideMark/>
          </w:tcPr>
          <w:p w14:paraId="6DBA6A68" w14:textId="77777777" w:rsidR="008F776F" w:rsidRPr="00ED4FEA" w:rsidRDefault="008F776F" w:rsidP="00DB6666">
            <w:pPr>
              <w:jc w:val="left"/>
              <w:rPr>
                <w:rFonts w:ascii="Times New Roman" w:hAnsi="Times New Roman"/>
                <w:sz w:val="18"/>
                <w:szCs w:val="18"/>
                <w:lang w:val="es-ES_tradnl"/>
              </w:rPr>
            </w:pPr>
          </w:p>
        </w:tc>
      </w:tr>
      <w:tr w:rsidR="008F776F" w:rsidRPr="00ED4FEA" w14:paraId="63E7DD7B" w14:textId="77777777" w:rsidTr="00DB6666">
        <w:trPr>
          <w:trHeight w:val="330"/>
          <w:jc w:val="center"/>
        </w:trPr>
        <w:tc>
          <w:tcPr>
            <w:tcW w:w="2260" w:type="dxa"/>
            <w:tcBorders>
              <w:top w:val="nil"/>
              <w:left w:val="nil"/>
              <w:bottom w:val="nil"/>
              <w:right w:val="nil"/>
            </w:tcBorders>
            <w:shd w:val="clear" w:color="auto" w:fill="auto"/>
            <w:hideMark/>
          </w:tcPr>
          <w:p w14:paraId="0FB9973A" w14:textId="77777777" w:rsidR="008F776F" w:rsidRPr="00ED4FEA" w:rsidRDefault="008F776F" w:rsidP="00DB6666">
            <w:pPr>
              <w:rPr>
                <w:rFonts w:ascii="Arial Narrow" w:hAnsi="Arial Narrow" w:cs="Arial"/>
                <w:sz w:val="18"/>
                <w:szCs w:val="18"/>
                <w:lang w:val="es-ES_tradnl"/>
              </w:rPr>
            </w:pPr>
            <w:r w:rsidRPr="00ED4FEA">
              <w:rPr>
                <w:rFonts w:ascii="Arial Narrow" w:hAnsi="Arial Narrow" w:cs="Arial"/>
                <w:sz w:val="18"/>
                <w:szCs w:val="18"/>
                <w:lang w:val="es-ES_tradnl"/>
              </w:rPr>
              <w:t>Directores*</w:t>
            </w:r>
          </w:p>
        </w:tc>
        <w:tc>
          <w:tcPr>
            <w:tcW w:w="1480" w:type="dxa"/>
            <w:tcBorders>
              <w:top w:val="nil"/>
              <w:left w:val="nil"/>
              <w:bottom w:val="nil"/>
              <w:right w:val="nil"/>
            </w:tcBorders>
            <w:shd w:val="clear" w:color="auto" w:fill="auto"/>
            <w:hideMark/>
          </w:tcPr>
          <w:p w14:paraId="5DEB4145" w14:textId="77777777" w:rsidR="008F776F" w:rsidRPr="00ED4FEA" w:rsidRDefault="008F776F" w:rsidP="00DB6666">
            <w:pPr>
              <w:jc w:val="center"/>
              <w:rPr>
                <w:rFonts w:ascii="Arial Narrow" w:hAnsi="Arial Narrow" w:cs="Arial"/>
                <w:sz w:val="18"/>
                <w:szCs w:val="18"/>
                <w:lang w:val="es-ES_tradnl"/>
              </w:rPr>
            </w:pPr>
            <w:r w:rsidRPr="00ED4FEA">
              <w:rPr>
                <w:rFonts w:ascii="Arial Narrow" w:hAnsi="Arial Narrow" w:cs="Arial"/>
                <w:sz w:val="18"/>
                <w:szCs w:val="18"/>
                <w:lang w:val="es-ES_tradnl"/>
              </w:rPr>
              <w:t>3</w:t>
            </w:r>
          </w:p>
        </w:tc>
        <w:tc>
          <w:tcPr>
            <w:tcW w:w="1440" w:type="dxa"/>
            <w:tcBorders>
              <w:top w:val="nil"/>
              <w:left w:val="nil"/>
              <w:bottom w:val="nil"/>
              <w:right w:val="nil"/>
            </w:tcBorders>
            <w:shd w:val="clear" w:color="auto" w:fill="auto"/>
            <w:hideMark/>
          </w:tcPr>
          <w:p w14:paraId="2533CC8F" w14:textId="77777777" w:rsidR="008F776F" w:rsidRPr="00ED4FEA" w:rsidRDefault="008F776F" w:rsidP="00DB6666">
            <w:pPr>
              <w:jc w:val="center"/>
              <w:rPr>
                <w:rFonts w:ascii="Arial Narrow" w:hAnsi="Arial Narrow" w:cs="Arial"/>
                <w:sz w:val="18"/>
                <w:szCs w:val="18"/>
                <w:lang w:val="es-ES_tradnl"/>
              </w:rPr>
            </w:pPr>
            <w:r w:rsidRPr="00ED4FEA">
              <w:rPr>
                <w:rFonts w:ascii="Arial Narrow" w:hAnsi="Arial Narrow" w:cs="Arial"/>
                <w:sz w:val="18"/>
                <w:szCs w:val="18"/>
                <w:lang w:val="es-ES_tradnl"/>
              </w:rPr>
              <w:t>3</w:t>
            </w:r>
          </w:p>
        </w:tc>
        <w:tc>
          <w:tcPr>
            <w:tcW w:w="1400" w:type="dxa"/>
            <w:tcBorders>
              <w:top w:val="nil"/>
              <w:left w:val="nil"/>
              <w:bottom w:val="nil"/>
              <w:right w:val="nil"/>
            </w:tcBorders>
            <w:shd w:val="clear" w:color="auto" w:fill="auto"/>
            <w:hideMark/>
          </w:tcPr>
          <w:p w14:paraId="4F3B5148" w14:textId="77777777" w:rsidR="008F776F" w:rsidRPr="00ED4FEA" w:rsidRDefault="00E4161B" w:rsidP="00DB6666">
            <w:pPr>
              <w:jc w:val="center"/>
              <w:rPr>
                <w:rFonts w:ascii="Arial Narrow" w:hAnsi="Arial Narrow" w:cs="Arial"/>
                <w:sz w:val="18"/>
                <w:szCs w:val="18"/>
                <w:lang w:val="es-ES_tradnl"/>
              </w:rPr>
            </w:pPr>
            <w:r w:rsidRPr="00ED4FEA">
              <w:rPr>
                <w:rFonts w:ascii="Arial Narrow" w:hAnsi="Arial Narrow" w:cs="Arial"/>
                <w:sz w:val="18"/>
                <w:szCs w:val="18"/>
                <w:lang w:val="es-ES_tradnl"/>
              </w:rPr>
              <w:t>1</w:t>
            </w:r>
          </w:p>
        </w:tc>
        <w:tc>
          <w:tcPr>
            <w:tcW w:w="1400" w:type="dxa"/>
            <w:tcBorders>
              <w:top w:val="nil"/>
              <w:left w:val="nil"/>
              <w:bottom w:val="nil"/>
              <w:right w:val="nil"/>
            </w:tcBorders>
            <w:shd w:val="clear" w:color="auto" w:fill="auto"/>
            <w:hideMark/>
          </w:tcPr>
          <w:p w14:paraId="31AA0E00" w14:textId="77777777" w:rsidR="008F776F" w:rsidRPr="00ED4FEA" w:rsidRDefault="00E4161B" w:rsidP="00DB6666">
            <w:pPr>
              <w:jc w:val="center"/>
              <w:rPr>
                <w:rFonts w:ascii="Arial Narrow" w:hAnsi="Arial Narrow" w:cs="Arial"/>
                <w:sz w:val="18"/>
                <w:szCs w:val="18"/>
                <w:lang w:val="es-ES_tradnl"/>
              </w:rPr>
            </w:pPr>
            <w:r w:rsidRPr="00ED4FEA">
              <w:rPr>
                <w:rFonts w:ascii="Arial Narrow" w:hAnsi="Arial Narrow" w:cs="Arial"/>
                <w:sz w:val="18"/>
                <w:szCs w:val="18"/>
                <w:lang w:val="es-ES_tradnl"/>
              </w:rPr>
              <w:t>4</w:t>
            </w:r>
          </w:p>
        </w:tc>
      </w:tr>
      <w:tr w:rsidR="008F776F" w:rsidRPr="00ED4FEA" w14:paraId="042F3E67" w14:textId="77777777" w:rsidTr="00DB6666">
        <w:trPr>
          <w:trHeight w:val="330"/>
          <w:jc w:val="center"/>
        </w:trPr>
        <w:tc>
          <w:tcPr>
            <w:tcW w:w="2260" w:type="dxa"/>
            <w:tcBorders>
              <w:top w:val="nil"/>
              <w:left w:val="nil"/>
              <w:bottom w:val="nil"/>
              <w:right w:val="nil"/>
            </w:tcBorders>
            <w:shd w:val="clear" w:color="auto" w:fill="auto"/>
            <w:hideMark/>
          </w:tcPr>
          <w:p w14:paraId="51289C76" w14:textId="77777777" w:rsidR="008F776F" w:rsidRPr="00ED4FEA" w:rsidRDefault="008F776F" w:rsidP="00DB6666">
            <w:pPr>
              <w:rPr>
                <w:rFonts w:ascii="Arial Narrow" w:hAnsi="Arial Narrow" w:cs="Arial"/>
                <w:sz w:val="18"/>
                <w:szCs w:val="18"/>
                <w:lang w:val="es-ES_tradnl"/>
              </w:rPr>
            </w:pPr>
            <w:r w:rsidRPr="00ED4FEA">
              <w:rPr>
                <w:rFonts w:ascii="Arial Narrow" w:hAnsi="Arial Narrow" w:cs="Arial"/>
                <w:sz w:val="18"/>
                <w:szCs w:val="18"/>
                <w:lang w:val="es-ES_tradnl"/>
              </w:rPr>
              <w:t>Profesionales</w:t>
            </w:r>
          </w:p>
        </w:tc>
        <w:tc>
          <w:tcPr>
            <w:tcW w:w="1480" w:type="dxa"/>
            <w:tcBorders>
              <w:top w:val="nil"/>
              <w:left w:val="nil"/>
              <w:bottom w:val="nil"/>
              <w:right w:val="nil"/>
            </w:tcBorders>
            <w:shd w:val="clear" w:color="auto" w:fill="auto"/>
            <w:hideMark/>
          </w:tcPr>
          <w:p w14:paraId="1E074079" w14:textId="77777777" w:rsidR="008F776F" w:rsidRPr="00ED4FEA" w:rsidRDefault="008F776F" w:rsidP="00DB6666">
            <w:pPr>
              <w:jc w:val="center"/>
              <w:rPr>
                <w:rFonts w:ascii="Arial Narrow" w:hAnsi="Arial Narrow" w:cs="Arial"/>
                <w:sz w:val="18"/>
                <w:szCs w:val="18"/>
                <w:lang w:val="es-ES_tradnl"/>
              </w:rPr>
            </w:pPr>
            <w:r w:rsidRPr="00ED4FEA">
              <w:rPr>
                <w:rFonts w:ascii="Arial Narrow" w:hAnsi="Arial Narrow" w:cs="Arial"/>
                <w:sz w:val="18"/>
                <w:szCs w:val="18"/>
                <w:lang w:val="es-ES_tradnl"/>
              </w:rPr>
              <w:t>5</w:t>
            </w:r>
          </w:p>
        </w:tc>
        <w:tc>
          <w:tcPr>
            <w:tcW w:w="1440" w:type="dxa"/>
            <w:tcBorders>
              <w:top w:val="nil"/>
              <w:left w:val="nil"/>
              <w:bottom w:val="nil"/>
              <w:right w:val="nil"/>
            </w:tcBorders>
            <w:shd w:val="clear" w:color="auto" w:fill="auto"/>
            <w:hideMark/>
          </w:tcPr>
          <w:p w14:paraId="17412120" w14:textId="77777777" w:rsidR="008F776F" w:rsidRPr="00ED4FEA" w:rsidRDefault="008F776F" w:rsidP="00DB6666">
            <w:pPr>
              <w:jc w:val="center"/>
              <w:rPr>
                <w:rFonts w:ascii="Arial Narrow" w:hAnsi="Arial Narrow" w:cs="Arial"/>
                <w:sz w:val="18"/>
                <w:szCs w:val="18"/>
                <w:lang w:val="es-ES_tradnl"/>
              </w:rPr>
            </w:pPr>
            <w:r w:rsidRPr="00ED4FEA">
              <w:rPr>
                <w:rFonts w:ascii="Arial Narrow" w:hAnsi="Arial Narrow" w:cs="Arial"/>
                <w:sz w:val="18"/>
                <w:szCs w:val="18"/>
                <w:lang w:val="es-ES_tradnl"/>
              </w:rPr>
              <w:t>6</w:t>
            </w:r>
          </w:p>
        </w:tc>
        <w:tc>
          <w:tcPr>
            <w:tcW w:w="1400" w:type="dxa"/>
            <w:tcBorders>
              <w:top w:val="nil"/>
              <w:left w:val="nil"/>
              <w:bottom w:val="nil"/>
              <w:right w:val="nil"/>
            </w:tcBorders>
            <w:shd w:val="clear" w:color="auto" w:fill="auto"/>
            <w:hideMark/>
          </w:tcPr>
          <w:p w14:paraId="38A080D2" w14:textId="77777777" w:rsidR="008F776F" w:rsidRPr="00ED4FEA" w:rsidRDefault="00E4161B" w:rsidP="00DB6666">
            <w:pPr>
              <w:jc w:val="center"/>
              <w:rPr>
                <w:rFonts w:ascii="Arial Narrow" w:hAnsi="Arial Narrow" w:cs="Arial"/>
                <w:sz w:val="18"/>
                <w:szCs w:val="18"/>
                <w:lang w:val="es-ES_tradnl"/>
              </w:rPr>
            </w:pPr>
            <w:r w:rsidRPr="00ED4FEA">
              <w:rPr>
                <w:rFonts w:ascii="Arial Narrow" w:hAnsi="Arial Narrow" w:cs="Arial"/>
                <w:sz w:val="18"/>
                <w:szCs w:val="18"/>
                <w:lang w:val="es-ES_tradnl"/>
              </w:rPr>
              <w:t>1</w:t>
            </w:r>
          </w:p>
        </w:tc>
        <w:tc>
          <w:tcPr>
            <w:tcW w:w="1400" w:type="dxa"/>
            <w:tcBorders>
              <w:top w:val="nil"/>
              <w:left w:val="nil"/>
              <w:bottom w:val="nil"/>
              <w:right w:val="nil"/>
            </w:tcBorders>
            <w:shd w:val="clear" w:color="auto" w:fill="auto"/>
            <w:hideMark/>
          </w:tcPr>
          <w:p w14:paraId="007ADAF9" w14:textId="77777777" w:rsidR="008F776F" w:rsidRPr="00ED4FEA" w:rsidRDefault="00E4161B" w:rsidP="00DB6666">
            <w:pPr>
              <w:jc w:val="center"/>
              <w:rPr>
                <w:rFonts w:ascii="Arial Narrow" w:hAnsi="Arial Narrow" w:cs="Arial"/>
                <w:sz w:val="18"/>
                <w:szCs w:val="18"/>
                <w:lang w:val="es-ES_tradnl"/>
              </w:rPr>
            </w:pPr>
            <w:r w:rsidRPr="00ED4FEA">
              <w:rPr>
                <w:rFonts w:ascii="Arial Narrow" w:hAnsi="Arial Narrow" w:cs="Arial"/>
                <w:sz w:val="18"/>
                <w:szCs w:val="18"/>
                <w:lang w:val="es-ES_tradnl"/>
              </w:rPr>
              <w:t>7</w:t>
            </w:r>
          </w:p>
        </w:tc>
      </w:tr>
      <w:tr w:rsidR="008F776F" w:rsidRPr="00ED4FEA" w14:paraId="4DFF849E" w14:textId="77777777" w:rsidTr="00DB6666">
        <w:trPr>
          <w:trHeight w:val="330"/>
          <w:jc w:val="center"/>
        </w:trPr>
        <w:tc>
          <w:tcPr>
            <w:tcW w:w="2260" w:type="dxa"/>
            <w:tcBorders>
              <w:top w:val="nil"/>
              <w:left w:val="nil"/>
              <w:bottom w:val="nil"/>
              <w:right w:val="nil"/>
            </w:tcBorders>
            <w:shd w:val="clear" w:color="auto" w:fill="auto"/>
            <w:hideMark/>
          </w:tcPr>
          <w:p w14:paraId="2379B4E3" w14:textId="77777777" w:rsidR="008F776F" w:rsidRPr="00ED4FEA" w:rsidRDefault="008F776F" w:rsidP="00DB6666">
            <w:pPr>
              <w:rPr>
                <w:rFonts w:ascii="Arial Narrow" w:hAnsi="Arial Narrow" w:cs="Arial"/>
                <w:sz w:val="18"/>
                <w:szCs w:val="18"/>
                <w:lang w:val="es-ES_tradnl"/>
              </w:rPr>
            </w:pPr>
            <w:r w:rsidRPr="00ED4FEA">
              <w:rPr>
                <w:rFonts w:ascii="Arial Narrow" w:hAnsi="Arial Narrow" w:cs="Arial"/>
                <w:sz w:val="18"/>
                <w:szCs w:val="18"/>
                <w:lang w:val="es-ES_tradnl"/>
              </w:rPr>
              <w:t>Servicios generales</w:t>
            </w:r>
          </w:p>
        </w:tc>
        <w:tc>
          <w:tcPr>
            <w:tcW w:w="1480" w:type="dxa"/>
            <w:tcBorders>
              <w:top w:val="nil"/>
              <w:left w:val="nil"/>
              <w:bottom w:val="nil"/>
              <w:right w:val="nil"/>
            </w:tcBorders>
            <w:shd w:val="clear" w:color="auto" w:fill="auto"/>
            <w:hideMark/>
          </w:tcPr>
          <w:p w14:paraId="0F1D21AC" w14:textId="77777777" w:rsidR="008F776F" w:rsidRPr="00ED4FEA" w:rsidRDefault="008F776F" w:rsidP="00DB6666">
            <w:pPr>
              <w:jc w:val="center"/>
              <w:rPr>
                <w:rFonts w:ascii="Arial Narrow" w:hAnsi="Arial Narrow" w:cs="Arial"/>
                <w:sz w:val="18"/>
                <w:szCs w:val="18"/>
                <w:lang w:val="es-ES_tradnl"/>
              </w:rPr>
            </w:pPr>
            <w:r w:rsidRPr="00ED4FEA">
              <w:rPr>
                <w:rFonts w:ascii="Arial Narrow" w:hAnsi="Arial Narrow" w:cs="Arial"/>
                <w:sz w:val="18"/>
                <w:szCs w:val="18"/>
                <w:lang w:val="es-ES_tradnl"/>
              </w:rPr>
              <w:t>4</w:t>
            </w:r>
          </w:p>
        </w:tc>
        <w:tc>
          <w:tcPr>
            <w:tcW w:w="1440" w:type="dxa"/>
            <w:tcBorders>
              <w:top w:val="nil"/>
              <w:left w:val="nil"/>
              <w:bottom w:val="nil"/>
              <w:right w:val="nil"/>
            </w:tcBorders>
            <w:shd w:val="clear" w:color="auto" w:fill="auto"/>
            <w:hideMark/>
          </w:tcPr>
          <w:p w14:paraId="6BA17652" w14:textId="77777777" w:rsidR="008F776F" w:rsidRPr="00ED4FEA" w:rsidRDefault="008F776F" w:rsidP="00DB6666">
            <w:pPr>
              <w:jc w:val="center"/>
              <w:rPr>
                <w:rFonts w:ascii="Arial Narrow" w:hAnsi="Arial Narrow" w:cs="Arial"/>
                <w:sz w:val="18"/>
                <w:szCs w:val="18"/>
                <w:lang w:val="es-ES_tradnl"/>
              </w:rPr>
            </w:pPr>
            <w:r w:rsidRPr="00ED4FEA">
              <w:rPr>
                <w:rFonts w:ascii="Arial Narrow" w:hAnsi="Arial Narrow" w:cs="Arial"/>
                <w:sz w:val="18"/>
                <w:szCs w:val="18"/>
                <w:lang w:val="es-ES_tradnl"/>
              </w:rPr>
              <w:t>4</w:t>
            </w:r>
          </w:p>
        </w:tc>
        <w:tc>
          <w:tcPr>
            <w:tcW w:w="1400" w:type="dxa"/>
            <w:tcBorders>
              <w:top w:val="nil"/>
              <w:left w:val="nil"/>
              <w:bottom w:val="nil"/>
              <w:right w:val="nil"/>
            </w:tcBorders>
            <w:shd w:val="clear" w:color="auto" w:fill="auto"/>
            <w:hideMark/>
          </w:tcPr>
          <w:p w14:paraId="2C451E24" w14:textId="77777777" w:rsidR="008F776F" w:rsidRPr="00ED4FEA" w:rsidRDefault="008F776F" w:rsidP="00DB6666">
            <w:pPr>
              <w:jc w:val="center"/>
              <w:rPr>
                <w:rFonts w:ascii="Arial Narrow" w:hAnsi="Arial Narrow" w:cs="Arial"/>
                <w:sz w:val="18"/>
                <w:szCs w:val="18"/>
                <w:lang w:val="es-ES_tradnl"/>
              </w:rPr>
            </w:pPr>
            <w:r w:rsidRPr="00ED4FEA">
              <w:rPr>
                <w:rFonts w:ascii="Arial Narrow" w:hAnsi="Arial Narrow" w:cs="Arial"/>
                <w:sz w:val="18"/>
                <w:szCs w:val="18"/>
                <w:lang w:val="es-ES_tradnl"/>
              </w:rPr>
              <w:t>0</w:t>
            </w:r>
          </w:p>
        </w:tc>
        <w:tc>
          <w:tcPr>
            <w:tcW w:w="1400" w:type="dxa"/>
            <w:tcBorders>
              <w:top w:val="nil"/>
              <w:left w:val="nil"/>
              <w:bottom w:val="nil"/>
              <w:right w:val="nil"/>
            </w:tcBorders>
            <w:shd w:val="clear" w:color="auto" w:fill="auto"/>
            <w:hideMark/>
          </w:tcPr>
          <w:p w14:paraId="72A20DFC" w14:textId="77777777" w:rsidR="008F776F" w:rsidRPr="00ED4FEA" w:rsidRDefault="008F776F" w:rsidP="00DB6666">
            <w:pPr>
              <w:jc w:val="center"/>
              <w:rPr>
                <w:rFonts w:ascii="Arial Narrow" w:hAnsi="Arial Narrow" w:cs="Arial"/>
                <w:sz w:val="18"/>
                <w:szCs w:val="18"/>
                <w:lang w:val="es-ES_tradnl"/>
              </w:rPr>
            </w:pPr>
            <w:r w:rsidRPr="00ED4FEA">
              <w:rPr>
                <w:rFonts w:ascii="Arial Narrow" w:hAnsi="Arial Narrow" w:cs="Arial"/>
                <w:sz w:val="18"/>
                <w:szCs w:val="18"/>
                <w:lang w:val="es-ES_tradnl"/>
              </w:rPr>
              <w:t>4</w:t>
            </w:r>
          </w:p>
        </w:tc>
      </w:tr>
      <w:tr w:rsidR="008F776F" w:rsidRPr="00ED4FEA" w14:paraId="2A650737" w14:textId="77777777" w:rsidTr="00DB6666">
        <w:trPr>
          <w:trHeight w:val="330"/>
          <w:jc w:val="center"/>
        </w:trPr>
        <w:tc>
          <w:tcPr>
            <w:tcW w:w="2260" w:type="dxa"/>
            <w:tcBorders>
              <w:top w:val="single" w:sz="4" w:space="0" w:color="AAB8C4"/>
              <w:left w:val="nil"/>
              <w:bottom w:val="single" w:sz="8" w:space="0" w:color="AAB8C4"/>
              <w:right w:val="nil"/>
            </w:tcBorders>
            <w:shd w:val="clear" w:color="auto" w:fill="auto"/>
            <w:vAlign w:val="center"/>
            <w:hideMark/>
          </w:tcPr>
          <w:p w14:paraId="5E8F75D7" w14:textId="77777777" w:rsidR="008F776F" w:rsidRPr="00ED4FEA" w:rsidRDefault="008F776F" w:rsidP="00DB6666">
            <w:pPr>
              <w:rPr>
                <w:rFonts w:ascii="Arial Narrow" w:hAnsi="Arial Narrow" w:cs="Arial"/>
                <w:b/>
                <w:bCs/>
                <w:sz w:val="18"/>
                <w:szCs w:val="18"/>
                <w:lang w:val="es-ES_tradnl"/>
              </w:rPr>
            </w:pPr>
            <w:r w:rsidRPr="00ED4FEA">
              <w:rPr>
                <w:rFonts w:ascii="Arial Narrow" w:hAnsi="Arial Narrow" w:cs="Arial"/>
                <w:b/>
                <w:bCs/>
                <w:sz w:val="18"/>
                <w:szCs w:val="18"/>
                <w:lang w:val="es-ES_tradnl"/>
              </w:rPr>
              <w:t>Total</w:t>
            </w:r>
          </w:p>
        </w:tc>
        <w:tc>
          <w:tcPr>
            <w:tcW w:w="1480" w:type="dxa"/>
            <w:tcBorders>
              <w:top w:val="single" w:sz="4" w:space="0" w:color="AAB8C4"/>
              <w:left w:val="nil"/>
              <w:bottom w:val="single" w:sz="8" w:space="0" w:color="AAB8C4"/>
              <w:right w:val="nil"/>
            </w:tcBorders>
            <w:shd w:val="clear" w:color="auto" w:fill="auto"/>
            <w:vAlign w:val="center"/>
            <w:hideMark/>
          </w:tcPr>
          <w:p w14:paraId="40A8AE25"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12</w:t>
            </w:r>
          </w:p>
        </w:tc>
        <w:tc>
          <w:tcPr>
            <w:tcW w:w="1440" w:type="dxa"/>
            <w:tcBorders>
              <w:top w:val="single" w:sz="4" w:space="0" w:color="AAB8C4"/>
              <w:left w:val="nil"/>
              <w:bottom w:val="single" w:sz="8" w:space="0" w:color="AAB8C4"/>
              <w:right w:val="nil"/>
            </w:tcBorders>
            <w:shd w:val="clear" w:color="auto" w:fill="auto"/>
            <w:vAlign w:val="center"/>
            <w:hideMark/>
          </w:tcPr>
          <w:p w14:paraId="222D90A5"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13</w:t>
            </w:r>
          </w:p>
        </w:tc>
        <w:tc>
          <w:tcPr>
            <w:tcW w:w="1400" w:type="dxa"/>
            <w:tcBorders>
              <w:top w:val="single" w:sz="4" w:space="0" w:color="AAB8C4"/>
              <w:left w:val="nil"/>
              <w:bottom w:val="single" w:sz="8" w:space="0" w:color="AAB8C4"/>
              <w:right w:val="nil"/>
            </w:tcBorders>
            <w:shd w:val="clear" w:color="auto" w:fill="auto"/>
            <w:vAlign w:val="center"/>
            <w:hideMark/>
          </w:tcPr>
          <w:p w14:paraId="4912BD31" w14:textId="77777777" w:rsidR="008F776F" w:rsidRPr="00ED4FEA" w:rsidRDefault="008F776F" w:rsidP="00DB6666">
            <w:pPr>
              <w:jc w:val="center"/>
              <w:rPr>
                <w:rFonts w:ascii="Arial Narrow" w:hAnsi="Arial Narrow" w:cs="Arial"/>
                <w:sz w:val="18"/>
                <w:szCs w:val="18"/>
                <w:lang w:val="es-ES_tradnl"/>
              </w:rPr>
            </w:pPr>
            <w:r w:rsidRPr="00ED4FEA">
              <w:rPr>
                <w:rFonts w:ascii="Arial Narrow" w:hAnsi="Arial Narrow" w:cs="Arial"/>
                <w:b/>
                <w:bCs/>
                <w:sz w:val="18"/>
                <w:szCs w:val="18"/>
                <w:lang w:val="es-ES_tradnl"/>
              </w:rPr>
              <w:t>2</w:t>
            </w:r>
          </w:p>
        </w:tc>
        <w:tc>
          <w:tcPr>
            <w:tcW w:w="1400" w:type="dxa"/>
            <w:tcBorders>
              <w:top w:val="single" w:sz="4" w:space="0" w:color="AAB8C4"/>
              <w:left w:val="nil"/>
              <w:bottom w:val="single" w:sz="8" w:space="0" w:color="AAB8C4"/>
              <w:right w:val="nil"/>
            </w:tcBorders>
            <w:shd w:val="clear" w:color="auto" w:fill="auto"/>
            <w:vAlign w:val="center"/>
            <w:hideMark/>
          </w:tcPr>
          <w:p w14:paraId="6EF0E3EE"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cs="Arial"/>
                <w:b/>
                <w:bCs/>
                <w:sz w:val="18"/>
                <w:szCs w:val="18"/>
                <w:lang w:val="es-ES_tradnl"/>
              </w:rPr>
              <w:t>15</w:t>
            </w:r>
          </w:p>
        </w:tc>
      </w:tr>
    </w:tbl>
    <w:p w14:paraId="00D2963C" w14:textId="77777777" w:rsidR="008F776F" w:rsidRPr="008F776F" w:rsidRDefault="008F776F" w:rsidP="008F776F">
      <w:pPr>
        <w:rPr>
          <w:spacing w:val="-2"/>
          <w:szCs w:val="24"/>
          <w:lang w:val="es-ES_tradnl"/>
        </w:rPr>
      </w:pPr>
    </w:p>
    <w:p w14:paraId="29DA39B0" w14:textId="77777777" w:rsidR="008F776F" w:rsidRPr="008F776F" w:rsidRDefault="008F776F" w:rsidP="008F776F">
      <w:pPr>
        <w:ind w:left="851" w:right="850"/>
        <w:rPr>
          <w:spacing w:val="-2"/>
          <w:sz w:val="16"/>
          <w:szCs w:val="24"/>
          <w:lang w:val="es-ES_tradnl"/>
        </w:rPr>
      </w:pPr>
      <w:r w:rsidRPr="008F776F">
        <w:rPr>
          <w:spacing w:val="-2"/>
          <w:sz w:val="16"/>
          <w:szCs w:val="24"/>
          <w:lang w:val="es-ES_tradnl"/>
        </w:rPr>
        <w:t>* Se incluye el puesto de secretario general,</w:t>
      </w:r>
      <w:r w:rsidRPr="008F776F">
        <w:rPr>
          <w:rStyle w:val="FootnoteReference"/>
          <w:spacing w:val="-2"/>
          <w:sz w:val="16"/>
          <w:szCs w:val="24"/>
          <w:lang w:val="es-ES_tradnl"/>
        </w:rPr>
        <w:footnoteReference w:id="3"/>
      </w:r>
      <w:r w:rsidRPr="008F776F">
        <w:rPr>
          <w:spacing w:val="-2"/>
          <w:sz w:val="16"/>
          <w:szCs w:val="24"/>
          <w:lang w:val="es-ES_tradnl"/>
        </w:rPr>
        <w:t xml:space="preserve"> aunque sin incidencia en el gasto, porque el actual director general de la OMPI ha declinado recibir sueldo o asignación alguna como secretario general de la UPOV.</w:t>
      </w:r>
    </w:p>
    <w:p w14:paraId="33E3F021" w14:textId="77777777" w:rsidR="008F776F" w:rsidRPr="008F776F" w:rsidRDefault="008F776F" w:rsidP="008F776F">
      <w:pPr>
        <w:jc w:val="left"/>
        <w:rPr>
          <w:lang w:val="es-ES_tradnl"/>
        </w:rPr>
      </w:pPr>
    </w:p>
    <w:p w14:paraId="4A7FE323" w14:textId="77777777" w:rsidR="008F776F" w:rsidRPr="008F776F" w:rsidRDefault="008F776F" w:rsidP="008F776F">
      <w:pPr>
        <w:rPr>
          <w:lang w:val="es-ES_tradnl"/>
        </w:rPr>
      </w:pPr>
      <w:r w:rsidRPr="008F776F">
        <w:rPr>
          <w:spacing w:val="-2"/>
          <w:lang w:val="es-ES_tradnl"/>
        </w:rPr>
        <w:t xml:space="preserve">En el cuadro que figura a continuación se facilita información sobre los recursos humanos aparte del personal que ocupa puestos, a saber, personal temporero, trabajadores de agencia, funcionarios subalternos del cuadro orgánico, pasantes y becarios, que pueden utilizarse en el bienio </w:t>
      </w:r>
      <w:r w:rsidRPr="008F776F">
        <w:rPr>
          <w:rFonts w:cs="Arial"/>
          <w:lang w:val="es-ES_tradnl"/>
        </w:rPr>
        <w:t>2024</w:t>
      </w:r>
      <w:r w:rsidRPr="008F776F">
        <w:rPr>
          <w:rFonts w:cs="Arial"/>
          <w:lang w:val="es-ES_tradnl"/>
        </w:rPr>
        <w:noBreakHyphen/>
        <w:t xml:space="preserve">2025, </w:t>
      </w:r>
      <w:r w:rsidRPr="008F776F">
        <w:rPr>
          <w:lang w:val="es-ES_tradnl"/>
        </w:rPr>
        <w:t>en función de la disponibilidad de recursos del presupuesto ordinario, los fondos extrapresupuestarios y los recursos de personal que faciliten los miembros de la Unión.</w:t>
      </w:r>
    </w:p>
    <w:p w14:paraId="2739A04D" w14:textId="77777777" w:rsidR="008F776F" w:rsidRPr="008F776F" w:rsidRDefault="008F776F" w:rsidP="008F776F">
      <w:pPr>
        <w:rPr>
          <w:lang w:val="es-ES_tradnl"/>
        </w:rPr>
      </w:pPr>
    </w:p>
    <w:tbl>
      <w:tblPr>
        <w:tblW w:w="6580" w:type="dxa"/>
        <w:jc w:val="center"/>
        <w:tblLook w:val="04A0" w:firstRow="1" w:lastRow="0" w:firstColumn="1" w:lastColumn="0" w:noHBand="0" w:noVBand="1"/>
      </w:tblPr>
      <w:tblGrid>
        <w:gridCol w:w="2260"/>
        <w:gridCol w:w="1480"/>
        <w:gridCol w:w="1440"/>
        <w:gridCol w:w="1400"/>
      </w:tblGrid>
      <w:tr w:rsidR="008F776F" w:rsidRPr="00ED4FEA" w14:paraId="4C2DF8BD" w14:textId="77777777" w:rsidTr="00DB6666">
        <w:trPr>
          <w:trHeight w:val="520"/>
          <w:jc w:val="center"/>
        </w:trPr>
        <w:tc>
          <w:tcPr>
            <w:tcW w:w="2260" w:type="dxa"/>
            <w:vMerge w:val="restart"/>
            <w:tcBorders>
              <w:top w:val="nil"/>
              <w:left w:val="nil"/>
              <w:bottom w:val="nil"/>
              <w:right w:val="nil"/>
            </w:tcBorders>
            <w:shd w:val="clear" w:color="000000" w:fill="C7CFD8"/>
            <w:vAlign w:val="bottom"/>
            <w:hideMark/>
          </w:tcPr>
          <w:p w14:paraId="68C77F64" w14:textId="77777777" w:rsidR="008F776F" w:rsidRPr="00ED4FEA" w:rsidRDefault="008F776F" w:rsidP="00DB6666">
            <w:pPr>
              <w:jc w:val="left"/>
              <w:rPr>
                <w:rFonts w:ascii="Arial Narrow" w:hAnsi="Arial Narrow" w:cs="Arial"/>
                <w:sz w:val="18"/>
                <w:lang w:val="es-ES_tradnl"/>
              </w:rPr>
            </w:pPr>
            <w:r w:rsidRPr="00ED4FEA">
              <w:rPr>
                <w:rFonts w:ascii="Arial Narrow" w:hAnsi="Arial Narrow" w:cs="Arial"/>
                <w:sz w:val="18"/>
                <w:lang w:val="es-ES_tradnl"/>
              </w:rPr>
              <w:t> </w:t>
            </w:r>
          </w:p>
        </w:tc>
        <w:tc>
          <w:tcPr>
            <w:tcW w:w="1480" w:type="dxa"/>
            <w:tcBorders>
              <w:top w:val="nil"/>
              <w:left w:val="nil"/>
              <w:right w:val="nil"/>
            </w:tcBorders>
            <w:shd w:val="clear" w:color="000000" w:fill="C7CFD8"/>
            <w:vAlign w:val="center"/>
            <w:hideMark/>
          </w:tcPr>
          <w:p w14:paraId="486EFBDD" w14:textId="77777777" w:rsidR="008F776F" w:rsidRPr="00ED4FEA" w:rsidRDefault="008F776F" w:rsidP="00DB6666">
            <w:pPr>
              <w:jc w:val="center"/>
              <w:rPr>
                <w:rFonts w:ascii="Arial Narrow" w:hAnsi="Arial Narrow" w:cs="Arial"/>
                <w:b/>
                <w:bCs/>
                <w:i/>
                <w:iCs/>
                <w:sz w:val="18"/>
                <w:lang w:val="es-ES_tradnl"/>
              </w:rPr>
            </w:pPr>
            <w:r w:rsidRPr="00ED4FEA">
              <w:rPr>
                <w:rFonts w:ascii="Arial Narrow" w:hAnsi="Arial Narrow" w:cs="Arial"/>
                <w:b/>
                <w:bCs/>
                <w:i/>
                <w:iCs/>
                <w:sz w:val="18"/>
                <w:lang w:val="es-ES_tradnl"/>
              </w:rPr>
              <w:t xml:space="preserve">2020-2021 </w:t>
            </w:r>
            <w:r w:rsidRPr="00ED4FEA">
              <w:rPr>
                <w:rFonts w:ascii="Arial Narrow" w:hAnsi="Arial Narrow" w:cs="Arial"/>
                <w:b/>
                <w:bCs/>
                <w:i/>
                <w:iCs/>
                <w:sz w:val="18"/>
                <w:lang w:val="es-ES_tradnl"/>
              </w:rPr>
              <w:br/>
              <w:t>Real</w:t>
            </w:r>
          </w:p>
        </w:tc>
        <w:tc>
          <w:tcPr>
            <w:tcW w:w="1440" w:type="dxa"/>
            <w:tcBorders>
              <w:top w:val="nil"/>
              <w:left w:val="nil"/>
              <w:right w:val="nil"/>
            </w:tcBorders>
            <w:shd w:val="clear" w:color="000000" w:fill="C7CFD8"/>
            <w:vAlign w:val="center"/>
            <w:hideMark/>
          </w:tcPr>
          <w:p w14:paraId="64C133A3" w14:textId="77777777" w:rsidR="008F776F" w:rsidRPr="00ED4FEA" w:rsidRDefault="008F776F" w:rsidP="00DB6666">
            <w:pPr>
              <w:jc w:val="center"/>
              <w:rPr>
                <w:rFonts w:ascii="Arial Narrow" w:hAnsi="Arial Narrow" w:cs="Arial"/>
                <w:b/>
                <w:bCs/>
                <w:i/>
                <w:iCs/>
                <w:sz w:val="18"/>
                <w:lang w:val="es-ES_tradnl"/>
              </w:rPr>
            </w:pPr>
            <w:r w:rsidRPr="00ED4FEA">
              <w:rPr>
                <w:rFonts w:ascii="Arial Narrow" w:hAnsi="Arial Narrow" w:cs="Arial"/>
                <w:b/>
                <w:bCs/>
                <w:i/>
                <w:iCs/>
                <w:sz w:val="18"/>
                <w:lang w:val="es-ES_tradnl"/>
              </w:rPr>
              <w:t>2022</w:t>
            </w:r>
            <w:r w:rsidRPr="00ED4FEA">
              <w:rPr>
                <w:rFonts w:ascii="Arial Narrow" w:hAnsi="Arial Narrow" w:cs="Arial"/>
                <w:b/>
                <w:bCs/>
                <w:i/>
                <w:iCs/>
                <w:sz w:val="18"/>
                <w:lang w:val="es-ES_tradnl"/>
              </w:rPr>
              <w:noBreakHyphen/>
              <w:t>2023 Presupuesto</w:t>
            </w:r>
          </w:p>
        </w:tc>
        <w:tc>
          <w:tcPr>
            <w:tcW w:w="1400" w:type="dxa"/>
            <w:tcBorders>
              <w:top w:val="nil"/>
              <w:left w:val="nil"/>
              <w:right w:val="nil"/>
            </w:tcBorders>
            <w:shd w:val="clear" w:color="000000" w:fill="C7CFD8"/>
            <w:vAlign w:val="center"/>
            <w:hideMark/>
          </w:tcPr>
          <w:p w14:paraId="62E6D2B3" w14:textId="77777777" w:rsidR="008F776F" w:rsidRPr="00ED4FEA" w:rsidRDefault="008F776F" w:rsidP="00DB6666">
            <w:pPr>
              <w:jc w:val="center"/>
              <w:rPr>
                <w:rFonts w:ascii="Arial Narrow" w:hAnsi="Arial Narrow" w:cs="Arial"/>
                <w:b/>
                <w:bCs/>
                <w:i/>
                <w:iCs/>
                <w:sz w:val="18"/>
                <w:lang w:val="es-ES_tradnl"/>
              </w:rPr>
            </w:pPr>
            <w:r w:rsidRPr="00ED4FEA">
              <w:rPr>
                <w:rFonts w:ascii="Arial Narrow" w:hAnsi="Arial Narrow" w:cs="Arial"/>
                <w:b/>
                <w:bCs/>
                <w:i/>
                <w:iCs/>
                <w:sz w:val="18"/>
                <w:lang w:val="es-ES_tradnl"/>
              </w:rPr>
              <w:t>2024</w:t>
            </w:r>
            <w:r w:rsidRPr="00ED4FEA">
              <w:rPr>
                <w:rFonts w:ascii="Arial Narrow" w:hAnsi="Arial Narrow" w:cs="Arial"/>
                <w:b/>
                <w:bCs/>
                <w:i/>
                <w:iCs/>
                <w:sz w:val="18"/>
                <w:lang w:val="es-ES_tradnl"/>
              </w:rPr>
              <w:noBreakHyphen/>
              <w:t>2025 Propuesto</w:t>
            </w:r>
          </w:p>
        </w:tc>
      </w:tr>
      <w:tr w:rsidR="008F776F" w:rsidRPr="00ED4FEA" w14:paraId="60151130" w14:textId="77777777" w:rsidTr="00DB6666">
        <w:trPr>
          <w:trHeight w:val="260"/>
          <w:jc w:val="center"/>
        </w:trPr>
        <w:tc>
          <w:tcPr>
            <w:tcW w:w="2260" w:type="dxa"/>
            <w:vMerge/>
            <w:tcBorders>
              <w:top w:val="nil"/>
              <w:left w:val="nil"/>
              <w:bottom w:val="nil"/>
              <w:right w:val="nil"/>
            </w:tcBorders>
            <w:vAlign w:val="center"/>
            <w:hideMark/>
          </w:tcPr>
          <w:p w14:paraId="1AAC5117" w14:textId="77777777" w:rsidR="008F776F" w:rsidRPr="00ED4FEA" w:rsidRDefault="008F776F" w:rsidP="00DB6666">
            <w:pPr>
              <w:jc w:val="left"/>
              <w:rPr>
                <w:rFonts w:ascii="Arial Narrow" w:hAnsi="Arial Narrow" w:cs="Arial"/>
                <w:sz w:val="18"/>
                <w:lang w:val="es-ES_tradnl"/>
              </w:rPr>
            </w:pPr>
          </w:p>
        </w:tc>
        <w:tc>
          <w:tcPr>
            <w:tcW w:w="1480" w:type="dxa"/>
            <w:tcBorders>
              <w:top w:val="nil"/>
              <w:left w:val="nil"/>
              <w:right w:val="nil"/>
            </w:tcBorders>
            <w:shd w:val="clear" w:color="000000" w:fill="C7CFD8"/>
            <w:vAlign w:val="center"/>
            <w:hideMark/>
          </w:tcPr>
          <w:p w14:paraId="5FAF9E72" w14:textId="77777777" w:rsidR="008F776F" w:rsidRPr="00ED4FEA" w:rsidRDefault="008F776F" w:rsidP="00DB6666">
            <w:pPr>
              <w:jc w:val="center"/>
              <w:rPr>
                <w:rFonts w:ascii="Arial Narrow" w:hAnsi="Arial Narrow" w:cs="Arial"/>
                <w:b/>
                <w:bCs/>
                <w:i/>
                <w:iCs/>
                <w:sz w:val="18"/>
                <w:lang w:val="es-ES_tradnl"/>
              </w:rPr>
            </w:pPr>
            <w:r w:rsidRPr="00ED4FEA">
              <w:rPr>
                <w:rFonts w:ascii="Arial Narrow" w:hAnsi="Arial Narrow" w:cs="Arial"/>
                <w:b/>
                <w:bCs/>
                <w:i/>
                <w:iCs/>
                <w:sz w:val="18"/>
                <w:lang w:val="es-ES_tradnl"/>
              </w:rPr>
              <w:t>A</w:t>
            </w:r>
          </w:p>
        </w:tc>
        <w:tc>
          <w:tcPr>
            <w:tcW w:w="1440" w:type="dxa"/>
            <w:tcBorders>
              <w:top w:val="nil"/>
              <w:left w:val="nil"/>
              <w:right w:val="nil"/>
            </w:tcBorders>
            <w:shd w:val="clear" w:color="000000" w:fill="C7CFD8"/>
            <w:vAlign w:val="center"/>
            <w:hideMark/>
          </w:tcPr>
          <w:p w14:paraId="6F5E5301" w14:textId="77777777" w:rsidR="008F776F" w:rsidRPr="00ED4FEA" w:rsidRDefault="008F776F" w:rsidP="00DB6666">
            <w:pPr>
              <w:jc w:val="center"/>
              <w:rPr>
                <w:rFonts w:ascii="Arial Narrow" w:hAnsi="Arial Narrow" w:cs="Arial"/>
                <w:b/>
                <w:bCs/>
                <w:i/>
                <w:iCs/>
                <w:sz w:val="18"/>
                <w:lang w:val="es-ES_tradnl"/>
              </w:rPr>
            </w:pPr>
            <w:r w:rsidRPr="00ED4FEA">
              <w:rPr>
                <w:rFonts w:ascii="Arial Narrow" w:hAnsi="Arial Narrow" w:cs="Arial"/>
                <w:b/>
                <w:bCs/>
                <w:i/>
                <w:iCs/>
                <w:sz w:val="18"/>
                <w:lang w:val="es-ES_tradnl"/>
              </w:rPr>
              <w:t>B</w:t>
            </w:r>
          </w:p>
        </w:tc>
        <w:tc>
          <w:tcPr>
            <w:tcW w:w="1400" w:type="dxa"/>
            <w:tcBorders>
              <w:top w:val="nil"/>
              <w:left w:val="nil"/>
              <w:right w:val="nil"/>
            </w:tcBorders>
            <w:shd w:val="clear" w:color="000000" w:fill="C7CFD8"/>
            <w:vAlign w:val="center"/>
            <w:hideMark/>
          </w:tcPr>
          <w:p w14:paraId="10A3342B" w14:textId="77777777" w:rsidR="008F776F" w:rsidRPr="00ED4FEA" w:rsidRDefault="008F776F" w:rsidP="00DB6666">
            <w:pPr>
              <w:jc w:val="center"/>
              <w:rPr>
                <w:rFonts w:ascii="Arial Narrow" w:hAnsi="Arial Narrow" w:cs="Arial"/>
                <w:b/>
                <w:bCs/>
                <w:i/>
                <w:iCs/>
                <w:sz w:val="18"/>
                <w:lang w:val="es-ES_tradnl"/>
              </w:rPr>
            </w:pPr>
            <w:r w:rsidRPr="00ED4FEA">
              <w:rPr>
                <w:rFonts w:ascii="Arial Narrow" w:hAnsi="Arial Narrow" w:cs="Arial"/>
                <w:b/>
                <w:bCs/>
                <w:i/>
                <w:iCs/>
                <w:sz w:val="18"/>
                <w:lang w:val="es-ES_tradnl"/>
              </w:rPr>
              <w:t>C</w:t>
            </w:r>
          </w:p>
        </w:tc>
      </w:tr>
      <w:tr w:rsidR="008F776F" w:rsidRPr="00ED4FEA" w14:paraId="56A5F70B" w14:textId="77777777" w:rsidTr="00DB6666">
        <w:trPr>
          <w:trHeight w:val="260"/>
          <w:jc w:val="center"/>
        </w:trPr>
        <w:tc>
          <w:tcPr>
            <w:tcW w:w="2260" w:type="dxa"/>
            <w:tcBorders>
              <w:top w:val="nil"/>
              <w:left w:val="nil"/>
              <w:bottom w:val="nil"/>
              <w:right w:val="nil"/>
            </w:tcBorders>
            <w:shd w:val="clear" w:color="auto" w:fill="auto"/>
            <w:vAlign w:val="center"/>
            <w:hideMark/>
          </w:tcPr>
          <w:p w14:paraId="234147CA" w14:textId="77777777" w:rsidR="008F776F" w:rsidRPr="00ED4FEA" w:rsidRDefault="008F776F" w:rsidP="00DB6666">
            <w:pPr>
              <w:jc w:val="left"/>
              <w:rPr>
                <w:rFonts w:ascii="Arial Narrow" w:hAnsi="Arial Narrow" w:cs="Arial"/>
                <w:sz w:val="18"/>
                <w:lang w:val="es-ES_tradnl"/>
              </w:rPr>
            </w:pPr>
            <w:r w:rsidRPr="00ED4FEA">
              <w:rPr>
                <w:rFonts w:ascii="Arial Narrow" w:hAnsi="Arial Narrow" w:cs="Arial"/>
                <w:sz w:val="18"/>
                <w:lang w:val="es-ES_tradnl"/>
              </w:rPr>
              <w:t>Personal temporal</w:t>
            </w:r>
          </w:p>
        </w:tc>
        <w:tc>
          <w:tcPr>
            <w:tcW w:w="1480" w:type="dxa"/>
            <w:tcBorders>
              <w:left w:val="nil"/>
              <w:bottom w:val="nil"/>
              <w:right w:val="nil"/>
            </w:tcBorders>
            <w:shd w:val="clear" w:color="auto" w:fill="auto"/>
            <w:vAlign w:val="center"/>
            <w:hideMark/>
          </w:tcPr>
          <w:p w14:paraId="1A6BD2B2" w14:textId="77777777" w:rsidR="008F776F" w:rsidRPr="00ED4FEA" w:rsidRDefault="008F776F" w:rsidP="00DB6666">
            <w:pPr>
              <w:jc w:val="center"/>
              <w:rPr>
                <w:rFonts w:ascii="Arial Narrow" w:hAnsi="Arial Narrow" w:cs="Arial"/>
                <w:sz w:val="18"/>
                <w:lang w:val="es-ES_tradnl"/>
              </w:rPr>
            </w:pPr>
            <w:r w:rsidRPr="00ED4FEA">
              <w:rPr>
                <w:rFonts w:ascii="Arial Narrow" w:hAnsi="Arial Narrow" w:cs="Arial"/>
                <w:sz w:val="18"/>
                <w:lang w:val="es-ES_tradnl"/>
              </w:rPr>
              <w:t>1</w:t>
            </w:r>
          </w:p>
        </w:tc>
        <w:tc>
          <w:tcPr>
            <w:tcW w:w="1440" w:type="dxa"/>
            <w:tcBorders>
              <w:left w:val="nil"/>
              <w:bottom w:val="nil"/>
              <w:right w:val="nil"/>
            </w:tcBorders>
            <w:shd w:val="clear" w:color="auto" w:fill="auto"/>
            <w:vAlign w:val="center"/>
            <w:hideMark/>
          </w:tcPr>
          <w:p w14:paraId="357EC6FD" w14:textId="77777777" w:rsidR="008F776F" w:rsidRPr="00ED4FEA" w:rsidRDefault="008F776F" w:rsidP="00DB6666">
            <w:pPr>
              <w:jc w:val="center"/>
              <w:rPr>
                <w:rFonts w:ascii="Arial Narrow" w:hAnsi="Arial Narrow" w:cs="Arial"/>
                <w:sz w:val="18"/>
                <w:lang w:val="es-ES_tradnl"/>
              </w:rPr>
            </w:pPr>
            <w:r w:rsidRPr="00ED4FEA">
              <w:rPr>
                <w:rFonts w:ascii="Arial Narrow" w:hAnsi="Arial Narrow" w:cs="Arial"/>
                <w:sz w:val="18"/>
                <w:lang w:val="es-ES_tradnl"/>
              </w:rPr>
              <w:t>2</w:t>
            </w:r>
          </w:p>
        </w:tc>
        <w:tc>
          <w:tcPr>
            <w:tcW w:w="1400" w:type="dxa"/>
            <w:tcBorders>
              <w:left w:val="nil"/>
              <w:bottom w:val="nil"/>
              <w:right w:val="nil"/>
            </w:tcBorders>
            <w:shd w:val="clear" w:color="auto" w:fill="auto"/>
            <w:vAlign w:val="center"/>
            <w:hideMark/>
          </w:tcPr>
          <w:p w14:paraId="5BA4A6F5" w14:textId="77777777" w:rsidR="008F776F" w:rsidRPr="00ED4FEA" w:rsidRDefault="008F776F" w:rsidP="00DB6666">
            <w:pPr>
              <w:jc w:val="center"/>
              <w:rPr>
                <w:rFonts w:ascii="Arial Narrow" w:hAnsi="Arial Narrow" w:cs="Arial"/>
                <w:sz w:val="18"/>
                <w:lang w:val="es-ES_tradnl"/>
              </w:rPr>
            </w:pPr>
            <w:r w:rsidRPr="00ED4FEA">
              <w:rPr>
                <w:rFonts w:ascii="Arial Narrow" w:hAnsi="Arial Narrow" w:cs="Arial"/>
                <w:sz w:val="18"/>
                <w:lang w:val="es-ES_tradnl"/>
              </w:rPr>
              <w:t>1</w:t>
            </w:r>
          </w:p>
        </w:tc>
      </w:tr>
      <w:tr w:rsidR="008F776F" w:rsidRPr="00ED4FEA" w14:paraId="0C6B2DA1" w14:textId="77777777" w:rsidTr="00DB6666">
        <w:trPr>
          <w:trHeight w:val="260"/>
          <w:jc w:val="center"/>
        </w:trPr>
        <w:tc>
          <w:tcPr>
            <w:tcW w:w="2260" w:type="dxa"/>
            <w:tcBorders>
              <w:top w:val="nil"/>
              <w:left w:val="nil"/>
              <w:bottom w:val="nil"/>
              <w:right w:val="nil"/>
            </w:tcBorders>
            <w:shd w:val="clear" w:color="auto" w:fill="auto"/>
            <w:vAlign w:val="center"/>
            <w:hideMark/>
          </w:tcPr>
          <w:p w14:paraId="38034C5F" w14:textId="77777777" w:rsidR="008F776F" w:rsidRPr="00ED4FEA" w:rsidRDefault="008F776F" w:rsidP="00DB6666">
            <w:pPr>
              <w:jc w:val="left"/>
              <w:rPr>
                <w:rFonts w:ascii="Arial Narrow" w:hAnsi="Arial Narrow" w:cs="Arial"/>
                <w:sz w:val="18"/>
                <w:lang w:val="es-ES_tradnl"/>
              </w:rPr>
            </w:pPr>
            <w:r w:rsidRPr="00ED4FEA">
              <w:rPr>
                <w:rFonts w:ascii="Arial Narrow" w:hAnsi="Arial Narrow" w:cs="Arial"/>
                <w:sz w:val="18"/>
                <w:lang w:val="es-ES_tradnl"/>
              </w:rPr>
              <w:t>Trabajadores de agencia**</w:t>
            </w:r>
          </w:p>
        </w:tc>
        <w:tc>
          <w:tcPr>
            <w:tcW w:w="1480" w:type="dxa"/>
            <w:tcBorders>
              <w:top w:val="nil"/>
              <w:left w:val="nil"/>
              <w:bottom w:val="nil"/>
              <w:right w:val="nil"/>
            </w:tcBorders>
            <w:shd w:val="clear" w:color="auto" w:fill="auto"/>
            <w:vAlign w:val="center"/>
            <w:hideMark/>
          </w:tcPr>
          <w:p w14:paraId="71959726" w14:textId="77777777" w:rsidR="008F776F" w:rsidRPr="00ED4FEA" w:rsidRDefault="008F776F" w:rsidP="00DB6666">
            <w:pPr>
              <w:jc w:val="center"/>
              <w:rPr>
                <w:rFonts w:ascii="Arial Narrow" w:hAnsi="Arial Narrow" w:cs="Arial"/>
                <w:sz w:val="18"/>
                <w:lang w:val="es-ES_tradnl"/>
              </w:rPr>
            </w:pPr>
            <w:r w:rsidRPr="00ED4FEA">
              <w:rPr>
                <w:rFonts w:ascii="Arial Narrow" w:hAnsi="Arial Narrow" w:cs="Arial"/>
                <w:sz w:val="18"/>
                <w:lang w:val="es-ES_tradnl"/>
              </w:rPr>
              <w:t>3</w:t>
            </w:r>
          </w:p>
        </w:tc>
        <w:tc>
          <w:tcPr>
            <w:tcW w:w="1440" w:type="dxa"/>
            <w:tcBorders>
              <w:top w:val="nil"/>
              <w:left w:val="nil"/>
              <w:bottom w:val="nil"/>
              <w:right w:val="nil"/>
            </w:tcBorders>
            <w:shd w:val="clear" w:color="auto" w:fill="auto"/>
            <w:vAlign w:val="center"/>
            <w:hideMark/>
          </w:tcPr>
          <w:p w14:paraId="12D48751" w14:textId="77777777" w:rsidR="008F776F" w:rsidRPr="00ED4FEA" w:rsidRDefault="008F776F" w:rsidP="00DB6666">
            <w:pPr>
              <w:jc w:val="center"/>
              <w:rPr>
                <w:rFonts w:ascii="Arial Narrow" w:hAnsi="Arial Narrow" w:cs="Arial"/>
                <w:sz w:val="18"/>
                <w:lang w:val="es-ES_tradnl"/>
              </w:rPr>
            </w:pPr>
            <w:r w:rsidRPr="00ED4FEA">
              <w:rPr>
                <w:rFonts w:ascii="Arial Narrow" w:hAnsi="Arial Narrow" w:cs="Arial"/>
                <w:sz w:val="18"/>
                <w:lang w:val="es-ES_tradnl"/>
              </w:rPr>
              <w:t>1</w:t>
            </w:r>
          </w:p>
        </w:tc>
        <w:tc>
          <w:tcPr>
            <w:tcW w:w="1400" w:type="dxa"/>
            <w:tcBorders>
              <w:top w:val="nil"/>
              <w:left w:val="nil"/>
              <w:bottom w:val="nil"/>
              <w:right w:val="nil"/>
            </w:tcBorders>
            <w:shd w:val="clear" w:color="auto" w:fill="auto"/>
            <w:vAlign w:val="center"/>
            <w:hideMark/>
          </w:tcPr>
          <w:p w14:paraId="7E57E14C" w14:textId="77777777" w:rsidR="008F776F" w:rsidRPr="00ED4FEA" w:rsidRDefault="008F776F" w:rsidP="00DB6666">
            <w:pPr>
              <w:jc w:val="center"/>
              <w:rPr>
                <w:rFonts w:ascii="Arial Narrow" w:hAnsi="Arial Narrow" w:cs="Arial"/>
                <w:sz w:val="18"/>
                <w:lang w:val="es-ES_tradnl"/>
              </w:rPr>
            </w:pPr>
            <w:r w:rsidRPr="00ED4FEA">
              <w:rPr>
                <w:rFonts w:ascii="Arial Narrow" w:hAnsi="Arial Narrow" w:cs="Arial"/>
                <w:sz w:val="18"/>
                <w:lang w:val="es-ES_tradnl"/>
              </w:rPr>
              <w:t>2 (2024)</w:t>
            </w:r>
          </w:p>
        </w:tc>
      </w:tr>
      <w:tr w:rsidR="008F776F" w:rsidRPr="00ED4FEA" w14:paraId="0F92754F" w14:textId="77777777" w:rsidTr="00DB6666">
        <w:trPr>
          <w:trHeight w:val="260"/>
          <w:jc w:val="center"/>
        </w:trPr>
        <w:tc>
          <w:tcPr>
            <w:tcW w:w="2260" w:type="dxa"/>
            <w:tcBorders>
              <w:top w:val="nil"/>
              <w:left w:val="nil"/>
              <w:bottom w:val="nil"/>
              <w:right w:val="nil"/>
            </w:tcBorders>
            <w:shd w:val="clear" w:color="auto" w:fill="auto"/>
            <w:vAlign w:val="center"/>
            <w:hideMark/>
          </w:tcPr>
          <w:p w14:paraId="06C22746" w14:textId="77777777" w:rsidR="008F776F" w:rsidRPr="00ED4FEA" w:rsidRDefault="008F776F" w:rsidP="00DB6666">
            <w:pPr>
              <w:jc w:val="left"/>
              <w:rPr>
                <w:rFonts w:ascii="Arial Narrow" w:hAnsi="Arial Narrow" w:cs="Arial"/>
                <w:sz w:val="18"/>
                <w:lang w:val="es-ES_tradnl"/>
              </w:rPr>
            </w:pPr>
            <w:r w:rsidRPr="00ED4FEA">
              <w:rPr>
                <w:rFonts w:ascii="Arial Narrow" w:hAnsi="Arial Narrow" w:cs="Arial"/>
                <w:sz w:val="18"/>
                <w:lang w:val="es-ES_tradnl"/>
              </w:rPr>
              <w:t>Becarios</w:t>
            </w:r>
          </w:p>
        </w:tc>
        <w:tc>
          <w:tcPr>
            <w:tcW w:w="1480" w:type="dxa"/>
            <w:tcBorders>
              <w:top w:val="nil"/>
              <w:left w:val="nil"/>
              <w:bottom w:val="nil"/>
              <w:right w:val="nil"/>
            </w:tcBorders>
            <w:shd w:val="clear" w:color="auto" w:fill="auto"/>
            <w:vAlign w:val="center"/>
            <w:hideMark/>
          </w:tcPr>
          <w:p w14:paraId="61695B3B" w14:textId="77777777" w:rsidR="008F776F" w:rsidRPr="00ED4FEA" w:rsidRDefault="008F776F" w:rsidP="00DB6666">
            <w:pPr>
              <w:jc w:val="center"/>
              <w:rPr>
                <w:rFonts w:ascii="Arial Narrow" w:hAnsi="Arial Narrow" w:cs="Arial"/>
                <w:sz w:val="18"/>
                <w:lang w:val="es-ES_tradnl"/>
              </w:rPr>
            </w:pPr>
            <w:r w:rsidRPr="00ED4FEA">
              <w:rPr>
                <w:rFonts w:ascii="Arial Narrow" w:hAnsi="Arial Narrow" w:cs="Arial"/>
                <w:sz w:val="18"/>
                <w:lang w:val="es-ES_tradnl"/>
              </w:rPr>
              <w:t>1</w:t>
            </w:r>
          </w:p>
        </w:tc>
        <w:tc>
          <w:tcPr>
            <w:tcW w:w="1440" w:type="dxa"/>
            <w:tcBorders>
              <w:top w:val="nil"/>
              <w:left w:val="nil"/>
              <w:bottom w:val="nil"/>
              <w:right w:val="nil"/>
            </w:tcBorders>
            <w:shd w:val="clear" w:color="auto" w:fill="auto"/>
            <w:vAlign w:val="center"/>
            <w:hideMark/>
          </w:tcPr>
          <w:p w14:paraId="21DDC61F" w14:textId="77777777" w:rsidR="008F776F" w:rsidRPr="00ED4FEA" w:rsidRDefault="008F776F" w:rsidP="00DB6666">
            <w:pPr>
              <w:jc w:val="center"/>
              <w:rPr>
                <w:rFonts w:ascii="Arial Narrow" w:hAnsi="Arial Narrow" w:cs="Arial"/>
                <w:sz w:val="18"/>
                <w:lang w:val="es-ES_tradnl"/>
              </w:rPr>
            </w:pPr>
            <w:r w:rsidRPr="00ED4FEA">
              <w:rPr>
                <w:rFonts w:ascii="Arial Narrow" w:hAnsi="Arial Narrow" w:cs="Arial"/>
                <w:sz w:val="18"/>
                <w:lang w:val="es-ES_tradnl"/>
              </w:rPr>
              <w:t>2</w:t>
            </w:r>
          </w:p>
        </w:tc>
        <w:tc>
          <w:tcPr>
            <w:tcW w:w="1400" w:type="dxa"/>
            <w:tcBorders>
              <w:top w:val="nil"/>
              <w:left w:val="nil"/>
              <w:bottom w:val="nil"/>
              <w:right w:val="nil"/>
            </w:tcBorders>
            <w:shd w:val="clear" w:color="auto" w:fill="auto"/>
            <w:vAlign w:val="center"/>
            <w:hideMark/>
          </w:tcPr>
          <w:p w14:paraId="54064503" w14:textId="77777777" w:rsidR="008F776F" w:rsidRPr="00ED4FEA" w:rsidRDefault="008F776F" w:rsidP="00DB6666">
            <w:pPr>
              <w:jc w:val="center"/>
              <w:rPr>
                <w:rFonts w:ascii="Arial Narrow" w:hAnsi="Arial Narrow" w:cs="Arial"/>
                <w:sz w:val="18"/>
                <w:lang w:val="es-ES_tradnl"/>
              </w:rPr>
            </w:pPr>
            <w:r w:rsidRPr="00ED4FEA">
              <w:rPr>
                <w:rFonts w:ascii="Arial Narrow" w:hAnsi="Arial Narrow" w:cs="Arial"/>
                <w:sz w:val="18"/>
                <w:lang w:val="es-ES_tradnl"/>
              </w:rPr>
              <w:t>1</w:t>
            </w:r>
          </w:p>
        </w:tc>
      </w:tr>
      <w:tr w:rsidR="008F776F" w:rsidRPr="00ED4FEA" w14:paraId="48F5095D" w14:textId="77777777" w:rsidTr="00DB6666">
        <w:trPr>
          <w:trHeight w:val="260"/>
          <w:jc w:val="center"/>
        </w:trPr>
        <w:tc>
          <w:tcPr>
            <w:tcW w:w="2260" w:type="dxa"/>
            <w:tcBorders>
              <w:top w:val="nil"/>
              <w:left w:val="nil"/>
              <w:bottom w:val="nil"/>
              <w:right w:val="nil"/>
            </w:tcBorders>
            <w:shd w:val="clear" w:color="auto" w:fill="auto"/>
            <w:vAlign w:val="center"/>
            <w:hideMark/>
          </w:tcPr>
          <w:p w14:paraId="00AB1CCA" w14:textId="77777777" w:rsidR="008F776F" w:rsidRPr="00ED4FEA" w:rsidRDefault="008F776F" w:rsidP="00DB6666">
            <w:pPr>
              <w:jc w:val="left"/>
              <w:rPr>
                <w:rFonts w:ascii="Arial Narrow" w:hAnsi="Arial Narrow" w:cs="Arial"/>
                <w:sz w:val="18"/>
                <w:lang w:val="es-ES_tradnl"/>
              </w:rPr>
            </w:pPr>
            <w:r w:rsidRPr="00ED4FEA">
              <w:rPr>
                <w:rFonts w:ascii="Arial Narrow" w:hAnsi="Arial Narrow" w:cs="Arial"/>
                <w:sz w:val="18"/>
                <w:lang w:val="es-ES_tradnl"/>
              </w:rPr>
              <w:t>Funcionarios subalternos del cuadro orgánico</w:t>
            </w:r>
          </w:p>
        </w:tc>
        <w:tc>
          <w:tcPr>
            <w:tcW w:w="1480" w:type="dxa"/>
            <w:tcBorders>
              <w:top w:val="nil"/>
              <w:left w:val="nil"/>
              <w:bottom w:val="nil"/>
              <w:right w:val="nil"/>
            </w:tcBorders>
            <w:shd w:val="clear" w:color="auto" w:fill="auto"/>
            <w:vAlign w:val="center"/>
            <w:hideMark/>
          </w:tcPr>
          <w:p w14:paraId="3F7C10A1" w14:textId="77777777" w:rsidR="008F776F" w:rsidRPr="00ED4FEA" w:rsidRDefault="008F776F" w:rsidP="00DB6666">
            <w:pPr>
              <w:jc w:val="center"/>
              <w:rPr>
                <w:rFonts w:ascii="Arial Narrow" w:hAnsi="Arial Narrow" w:cs="Arial"/>
                <w:sz w:val="18"/>
                <w:lang w:val="es-ES_tradnl"/>
              </w:rPr>
            </w:pPr>
            <w:r w:rsidRPr="00ED4FEA">
              <w:rPr>
                <w:rFonts w:ascii="Arial Narrow" w:hAnsi="Arial Narrow" w:cs="Arial"/>
                <w:sz w:val="18"/>
                <w:lang w:val="es-ES_tradnl"/>
              </w:rPr>
              <w:t>0</w:t>
            </w:r>
          </w:p>
        </w:tc>
        <w:tc>
          <w:tcPr>
            <w:tcW w:w="1440" w:type="dxa"/>
            <w:tcBorders>
              <w:top w:val="nil"/>
              <w:left w:val="nil"/>
              <w:bottom w:val="nil"/>
              <w:right w:val="nil"/>
            </w:tcBorders>
            <w:shd w:val="clear" w:color="auto" w:fill="auto"/>
            <w:vAlign w:val="center"/>
            <w:hideMark/>
          </w:tcPr>
          <w:p w14:paraId="1596C084" w14:textId="77777777" w:rsidR="008F776F" w:rsidRPr="00ED4FEA" w:rsidRDefault="008F776F" w:rsidP="00DB6666">
            <w:pPr>
              <w:jc w:val="center"/>
              <w:rPr>
                <w:rFonts w:ascii="Arial Narrow" w:hAnsi="Arial Narrow" w:cs="Arial"/>
                <w:sz w:val="18"/>
                <w:lang w:val="es-ES_tradnl"/>
              </w:rPr>
            </w:pPr>
            <w:r w:rsidRPr="00ED4FEA">
              <w:rPr>
                <w:rFonts w:ascii="Arial Narrow" w:hAnsi="Arial Narrow" w:cs="Arial"/>
                <w:sz w:val="18"/>
                <w:lang w:val="es-ES_tradnl"/>
              </w:rPr>
              <w:t>1</w:t>
            </w:r>
          </w:p>
        </w:tc>
        <w:tc>
          <w:tcPr>
            <w:tcW w:w="1400" w:type="dxa"/>
            <w:tcBorders>
              <w:top w:val="nil"/>
              <w:left w:val="nil"/>
              <w:bottom w:val="nil"/>
              <w:right w:val="nil"/>
            </w:tcBorders>
            <w:shd w:val="clear" w:color="auto" w:fill="auto"/>
            <w:vAlign w:val="center"/>
            <w:hideMark/>
          </w:tcPr>
          <w:p w14:paraId="53644698" w14:textId="77777777" w:rsidR="008F776F" w:rsidRPr="00ED4FEA" w:rsidRDefault="008F776F" w:rsidP="00DB6666">
            <w:pPr>
              <w:jc w:val="center"/>
              <w:rPr>
                <w:rFonts w:ascii="Arial Narrow" w:hAnsi="Arial Narrow" w:cs="Arial"/>
                <w:sz w:val="18"/>
                <w:lang w:val="es-ES_tradnl"/>
              </w:rPr>
            </w:pPr>
            <w:r w:rsidRPr="00ED4FEA">
              <w:rPr>
                <w:rFonts w:ascii="Arial Narrow" w:hAnsi="Arial Narrow" w:cs="Arial"/>
                <w:sz w:val="18"/>
                <w:lang w:val="es-ES_tradnl"/>
              </w:rPr>
              <w:t>1</w:t>
            </w:r>
          </w:p>
        </w:tc>
      </w:tr>
      <w:tr w:rsidR="008F776F" w:rsidRPr="00ED4FEA" w14:paraId="5A6676E4" w14:textId="77777777" w:rsidTr="00DB6666">
        <w:trPr>
          <w:trHeight w:val="260"/>
          <w:jc w:val="center"/>
        </w:trPr>
        <w:tc>
          <w:tcPr>
            <w:tcW w:w="2260" w:type="dxa"/>
            <w:tcBorders>
              <w:top w:val="nil"/>
              <w:left w:val="nil"/>
              <w:bottom w:val="nil"/>
              <w:right w:val="nil"/>
            </w:tcBorders>
            <w:shd w:val="clear" w:color="auto" w:fill="auto"/>
            <w:vAlign w:val="center"/>
            <w:hideMark/>
          </w:tcPr>
          <w:p w14:paraId="7B750DF2" w14:textId="77777777" w:rsidR="008F776F" w:rsidRPr="00ED4FEA" w:rsidRDefault="008F776F" w:rsidP="00DB6666">
            <w:pPr>
              <w:jc w:val="left"/>
              <w:rPr>
                <w:rFonts w:ascii="Arial Narrow" w:hAnsi="Arial Narrow" w:cs="Arial"/>
                <w:sz w:val="18"/>
                <w:lang w:val="es-ES_tradnl"/>
              </w:rPr>
            </w:pPr>
            <w:r w:rsidRPr="00ED4FEA">
              <w:rPr>
                <w:rFonts w:ascii="Arial Narrow" w:hAnsi="Arial Narrow" w:cs="Arial"/>
                <w:sz w:val="18"/>
                <w:lang w:val="es-ES_tradnl"/>
              </w:rPr>
              <w:t>Pasantes</w:t>
            </w:r>
          </w:p>
        </w:tc>
        <w:tc>
          <w:tcPr>
            <w:tcW w:w="1480" w:type="dxa"/>
            <w:tcBorders>
              <w:top w:val="nil"/>
              <w:left w:val="nil"/>
              <w:bottom w:val="nil"/>
              <w:right w:val="nil"/>
            </w:tcBorders>
            <w:shd w:val="clear" w:color="auto" w:fill="auto"/>
            <w:vAlign w:val="center"/>
            <w:hideMark/>
          </w:tcPr>
          <w:p w14:paraId="54A502F6" w14:textId="77777777" w:rsidR="008F776F" w:rsidRPr="00ED4FEA" w:rsidRDefault="008F776F" w:rsidP="00DB6666">
            <w:pPr>
              <w:jc w:val="center"/>
              <w:rPr>
                <w:rFonts w:ascii="Arial Narrow" w:hAnsi="Arial Narrow" w:cs="Arial"/>
                <w:sz w:val="18"/>
                <w:lang w:val="es-ES_tradnl"/>
              </w:rPr>
            </w:pPr>
            <w:r w:rsidRPr="00ED4FEA">
              <w:rPr>
                <w:rFonts w:ascii="Arial Narrow" w:hAnsi="Arial Narrow" w:cs="Arial"/>
                <w:sz w:val="18"/>
                <w:lang w:val="es-ES_tradnl"/>
              </w:rPr>
              <w:t>1</w:t>
            </w:r>
          </w:p>
        </w:tc>
        <w:tc>
          <w:tcPr>
            <w:tcW w:w="1440" w:type="dxa"/>
            <w:tcBorders>
              <w:top w:val="nil"/>
              <w:left w:val="nil"/>
              <w:bottom w:val="nil"/>
              <w:right w:val="nil"/>
            </w:tcBorders>
            <w:shd w:val="clear" w:color="auto" w:fill="auto"/>
            <w:vAlign w:val="center"/>
            <w:hideMark/>
          </w:tcPr>
          <w:p w14:paraId="596F6F8E" w14:textId="77777777" w:rsidR="008F776F" w:rsidRPr="00ED4FEA" w:rsidRDefault="008F776F" w:rsidP="00DB6666">
            <w:pPr>
              <w:jc w:val="center"/>
              <w:rPr>
                <w:rFonts w:ascii="Arial Narrow" w:hAnsi="Arial Narrow" w:cs="Arial"/>
                <w:sz w:val="18"/>
                <w:lang w:val="es-ES_tradnl"/>
              </w:rPr>
            </w:pPr>
            <w:r w:rsidRPr="00ED4FEA">
              <w:rPr>
                <w:rFonts w:ascii="Arial Narrow" w:hAnsi="Arial Narrow" w:cs="Arial"/>
                <w:sz w:val="18"/>
                <w:lang w:val="es-ES_tradnl"/>
              </w:rPr>
              <w:t>1</w:t>
            </w:r>
          </w:p>
        </w:tc>
        <w:tc>
          <w:tcPr>
            <w:tcW w:w="1400" w:type="dxa"/>
            <w:tcBorders>
              <w:top w:val="nil"/>
              <w:left w:val="nil"/>
              <w:bottom w:val="nil"/>
              <w:right w:val="nil"/>
            </w:tcBorders>
            <w:shd w:val="clear" w:color="auto" w:fill="auto"/>
            <w:vAlign w:val="center"/>
            <w:hideMark/>
          </w:tcPr>
          <w:p w14:paraId="231792C6" w14:textId="77777777" w:rsidR="008F776F" w:rsidRPr="00ED4FEA" w:rsidRDefault="008F776F" w:rsidP="00DB6666">
            <w:pPr>
              <w:jc w:val="center"/>
              <w:rPr>
                <w:rFonts w:ascii="Arial Narrow" w:hAnsi="Arial Narrow" w:cs="Arial"/>
                <w:sz w:val="18"/>
                <w:lang w:val="es-ES_tradnl"/>
              </w:rPr>
            </w:pPr>
            <w:r w:rsidRPr="00ED4FEA">
              <w:rPr>
                <w:rFonts w:ascii="Arial Narrow" w:hAnsi="Arial Narrow" w:cs="Arial"/>
                <w:sz w:val="18"/>
                <w:lang w:val="es-ES_tradnl"/>
              </w:rPr>
              <w:t>1</w:t>
            </w:r>
          </w:p>
        </w:tc>
      </w:tr>
    </w:tbl>
    <w:p w14:paraId="27EBF52D" w14:textId="77777777" w:rsidR="008F776F" w:rsidRPr="008F776F" w:rsidRDefault="008F776F" w:rsidP="008F776F">
      <w:pPr>
        <w:rPr>
          <w:color w:val="000000" w:themeColor="text1"/>
          <w:lang w:val="es-ES_tradnl"/>
        </w:rPr>
      </w:pPr>
    </w:p>
    <w:p w14:paraId="22298BDA" w14:textId="77777777" w:rsidR="008F776F" w:rsidRPr="008F776F" w:rsidRDefault="008F776F" w:rsidP="008F776F">
      <w:pPr>
        <w:ind w:left="851" w:right="850"/>
        <w:rPr>
          <w:spacing w:val="-2"/>
          <w:sz w:val="16"/>
          <w:szCs w:val="24"/>
          <w:lang w:val="es-ES_tradnl"/>
        </w:rPr>
      </w:pPr>
      <w:r w:rsidRPr="008F776F">
        <w:rPr>
          <w:spacing w:val="-2"/>
          <w:sz w:val="16"/>
          <w:szCs w:val="24"/>
          <w:lang w:val="es-ES_tradnl"/>
        </w:rPr>
        <w:t>** La labor de los trabajadores de agencia sería realizada a través de puestos durante el bienio 2024-2025</w:t>
      </w:r>
    </w:p>
    <w:p w14:paraId="2EE6EF21" w14:textId="77777777" w:rsidR="008F776F" w:rsidRPr="008F776F" w:rsidRDefault="008F776F" w:rsidP="008F776F">
      <w:pPr>
        <w:pStyle w:val="Heading1"/>
        <w:numPr>
          <w:ilvl w:val="0"/>
          <w:numId w:val="1"/>
        </w:numPr>
        <w:ind w:left="567" w:hanging="567"/>
        <w:rPr>
          <w:lang w:val="es-ES_tradnl"/>
        </w:rPr>
      </w:pPr>
      <w:bookmarkStart w:id="426" w:name="_Toc141978854"/>
      <w:r w:rsidRPr="008F776F">
        <w:rPr>
          <w:lang w:val="es-ES_tradnl"/>
        </w:rPr>
        <w:lastRenderedPageBreak/>
        <w:t>Objetivos y resultados previstos</w:t>
      </w:r>
      <w:bookmarkEnd w:id="426"/>
    </w:p>
    <w:p w14:paraId="6C70A305" w14:textId="77777777" w:rsidR="008F776F" w:rsidRPr="008F776F" w:rsidRDefault="008F776F" w:rsidP="008F776F">
      <w:pPr>
        <w:keepNext/>
        <w:rPr>
          <w:lang w:val="es-ES_tradnl"/>
        </w:rPr>
      </w:pPr>
    </w:p>
    <w:p w14:paraId="382AF572" w14:textId="77777777" w:rsidR="008F776F" w:rsidRPr="008F776F" w:rsidRDefault="008F776F" w:rsidP="008F776F">
      <w:pPr>
        <w:pStyle w:val="Heading2"/>
        <w:rPr>
          <w:lang w:val="es-ES_tradnl"/>
        </w:rPr>
      </w:pPr>
      <w:bookmarkStart w:id="427" w:name="_Toc61532296"/>
      <w:bookmarkStart w:id="428" w:name="_Toc61533691"/>
      <w:bookmarkStart w:id="429" w:name="_Toc141978855"/>
      <w:r w:rsidRPr="008F776F">
        <w:rPr>
          <w:lang w:val="es-ES_tradnl"/>
        </w:rPr>
        <w:t>Introducción</w:t>
      </w:r>
      <w:bookmarkEnd w:id="427"/>
      <w:bookmarkEnd w:id="428"/>
      <w:bookmarkEnd w:id="429"/>
    </w:p>
    <w:p w14:paraId="6316EF5A" w14:textId="77777777" w:rsidR="008F776F" w:rsidRPr="008F776F" w:rsidRDefault="008F776F" w:rsidP="008F776F">
      <w:pPr>
        <w:rPr>
          <w:lang w:val="es-ES_tradnl"/>
        </w:rPr>
      </w:pPr>
    </w:p>
    <w:p w14:paraId="01E940D7" w14:textId="73BD0A80" w:rsidR="008F776F" w:rsidRPr="008F776F" w:rsidRDefault="008F776F" w:rsidP="008F776F">
      <w:pPr>
        <w:rPr>
          <w:color w:val="000000" w:themeColor="text1"/>
          <w:lang w:val="es-ES_tradnl"/>
        </w:rPr>
      </w:pPr>
      <w:r w:rsidRPr="008F776F">
        <w:rPr>
          <w:color w:val="000000" w:themeColor="text1"/>
          <w:lang w:val="es-ES_tradnl"/>
        </w:rPr>
        <w:fldChar w:fldCharType="begin"/>
      </w:r>
      <w:r w:rsidRPr="008F776F">
        <w:rPr>
          <w:color w:val="000000" w:themeColor="text1"/>
          <w:lang w:val="es-ES_tradnl"/>
        </w:rPr>
        <w:instrText xml:space="preserve"> AUTONUM  </w:instrText>
      </w:r>
      <w:r w:rsidRPr="008F776F">
        <w:rPr>
          <w:color w:val="000000" w:themeColor="text1"/>
          <w:lang w:val="es-ES_tradnl"/>
        </w:rPr>
        <w:fldChar w:fldCharType="end"/>
      </w:r>
      <w:r w:rsidRPr="008F776F">
        <w:rPr>
          <w:color w:val="000000" w:themeColor="text1"/>
          <w:lang w:val="es-ES_tradnl"/>
        </w:rPr>
        <w:tab/>
        <w:t>El Plan Operativo Estratégico de la UPOV para el período 2023-2027 (documento C/56/10) constituye la base del Programa y Presupuesto para el bienio 2024-2025.</w:t>
      </w:r>
    </w:p>
    <w:p w14:paraId="6C693638" w14:textId="77777777" w:rsidR="008F776F" w:rsidRPr="008F776F" w:rsidRDefault="008F776F" w:rsidP="008F776F">
      <w:pPr>
        <w:rPr>
          <w:color w:val="000000" w:themeColor="text1"/>
          <w:lang w:val="es-ES_tradnl"/>
        </w:rPr>
      </w:pPr>
    </w:p>
    <w:p w14:paraId="1B51F271" w14:textId="77777777" w:rsidR="008F776F" w:rsidRPr="008F776F" w:rsidRDefault="008F776F" w:rsidP="008F776F">
      <w:pPr>
        <w:spacing w:before="120" w:after="120"/>
        <w:rPr>
          <w:color w:val="000000" w:themeColor="text1"/>
          <w:lang w:val="es-ES_tradnl"/>
        </w:rPr>
      </w:pPr>
      <w:r w:rsidRPr="008F776F">
        <w:rPr>
          <w:color w:val="000000" w:themeColor="text1"/>
          <w:lang w:val="es-ES_tradnl"/>
        </w:rPr>
        <w:fldChar w:fldCharType="begin"/>
      </w:r>
      <w:r w:rsidRPr="008F776F">
        <w:rPr>
          <w:color w:val="000000" w:themeColor="text1"/>
          <w:lang w:val="es-ES_tradnl"/>
        </w:rPr>
        <w:instrText xml:space="preserve"> AUTONUM  </w:instrText>
      </w:r>
      <w:r w:rsidRPr="008F776F">
        <w:rPr>
          <w:color w:val="000000" w:themeColor="text1"/>
          <w:lang w:val="es-ES_tradnl"/>
        </w:rPr>
        <w:fldChar w:fldCharType="end"/>
      </w:r>
      <w:r w:rsidRPr="008F776F">
        <w:rPr>
          <w:color w:val="000000" w:themeColor="text1"/>
          <w:lang w:val="es-ES_tradnl"/>
        </w:rPr>
        <w:tab/>
        <w:t>El Edificio de la Estrategia resume la misión, los pilares estratégicos y el fundamento de la UPOV, al tiempo que proporciona un marco para responder a la necesidad de un sistema eficaz de protección de las obtenciones vegetales que fomente el desarrollo de nuevas variedades vegetales, en beneficio de la sociedad.</w:t>
      </w:r>
    </w:p>
    <w:p w14:paraId="31CE996A" w14:textId="77777777" w:rsidR="008F776F" w:rsidRPr="008F776F" w:rsidRDefault="008F776F" w:rsidP="008F776F">
      <w:pPr>
        <w:spacing w:before="120" w:after="120"/>
        <w:jc w:val="center"/>
        <w:rPr>
          <w:color w:val="000000" w:themeColor="text1"/>
          <w:lang w:val="es-ES_tradnl"/>
        </w:rPr>
      </w:pPr>
      <w:r w:rsidRPr="008F776F">
        <w:rPr>
          <w:noProof/>
        </w:rPr>
        <w:drawing>
          <wp:inline distT="0" distB="0" distL="0" distR="0" wp14:anchorId="0C73AA57" wp14:editId="4C5A7DA8">
            <wp:extent cx="5971516" cy="334749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4065" cy="3348928"/>
                    </a:xfrm>
                    <a:prstGeom prst="rect">
                      <a:avLst/>
                    </a:prstGeom>
                    <a:noFill/>
                    <a:ln>
                      <a:noFill/>
                    </a:ln>
                  </pic:spPr>
                </pic:pic>
              </a:graphicData>
            </a:graphic>
          </wp:inline>
        </w:drawing>
      </w:r>
    </w:p>
    <w:p w14:paraId="5DE05278" w14:textId="77777777" w:rsidR="008F776F" w:rsidRPr="008F776F" w:rsidRDefault="008F776F" w:rsidP="008F776F">
      <w:pPr>
        <w:spacing w:before="240"/>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Los tres pilares estratégicos sustentan la misión de la UPOV. Representan las grandes áreas de interés estratégico de la UPOV que, a su vez, se traducen en los siguientes resultados previstos:</w:t>
      </w:r>
    </w:p>
    <w:p w14:paraId="01C8B311" w14:textId="77777777" w:rsidR="008F776F" w:rsidRPr="008F776F" w:rsidRDefault="008F776F" w:rsidP="008F776F">
      <w:pPr>
        <w:rPr>
          <w:bCs/>
          <w:sz w:val="18"/>
          <w:lang w:val="es-ES_tradnl"/>
        </w:rPr>
      </w:pPr>
    </w:p>
    <w:p w14:paraId="0B8A551E" w14:textId="77777777" w:rsidR="008F776F" w:rsidRPr="008F776F" w:rsidRDefault="008F776F" w:rsidP="008F776F">
      <w:pPr>
        <w:jc w:val="center"/>
        <w:rPr>
          <w:bCs/>
          <w:lang w:val="es-ES_tradnl"/>
        </w:rPr>
      </w:pPr>
      <w:r w:rsidRPr="008F776F">
        <w:rPr>
          <w:noProof/>
        </w:rPr>
        <w:drawing>
          <wp:inline distT="0" distB="0" distL="0" distR="0" wp14:anchorId="46937CC2" wp14:editId="2325F971">
            <wp:extent cx="5889904" cy="34349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33" r="2624" b="1936"/>
                    <a:stretch/>
                  </pic:blipFill>
                  <pic:spPr bwMode="auto">
                    <a:xfrm>
                      <a:off x="0" y="0"/>
                      <a:ext cx="5893392" cy="3436998"/>
                    </a:xfrm>
                    <a:prstGeom prst="rect">
                      <a:avLst/>
                    </a:prstGeom>
                    <a:noFill/>
                    <a:ln>
                      <a:noFill/>
                    </a:ln>
                    <a:extLst>
                      <a:ext uri="{53640926-AAD7-44D8-BBD7-CCE9431645EC}">
                        <a14:shadowObscured xmlns:a14="http://schemas.microsoft.com/office/drawing/2010/main"/>
                      </a:ext>
                    </a:extLst>
                  </pic:spPr>
                </pic:pic>
              </a:graphicData>
            </a:graphic>
          </wp:inline>
        </w:drawing>
      </w:r>
    </w:p>
    <w:p w14:paraId="54F00D62" w14:textId="77777777" w:rsidR="008F776F" w:rsidRPr="008F776F" w:rsidRDefault="008F776F" w:rsidP="008F776F">
      <w:pPr>
        <w:rPr>
          <w:bCs/>
          <w:lang w:val="es-ES_tradnl"/>
        </w:rPr>
      </w:pPr>
      <w:r w:rsidRPr="008F776F">
        <w:rPr>
          <w:lang w:val="es-ES_tradnl"/>
        </w:rPr>
        <w:lastRenderedPageBreak/>
        <w:fldChar w:fldCharType="begin"/>
      </w:r>
      <w:r w:rsidRPr="008F776F">
        <w:rPr>
          <w:lang w:val="es-ES_tradnl"/>
        </w:rPr>
        <w:instrText xml:space="preserve"> AUTONUM  </w:instrText>
      </w:r>
      <w:r w:rsidRPr="008F776F">
        <w:rPr>
          <w:lang w:val="es-ES_tradnl"/>
        </w:rPr>
        <w:fldChar w:fldCharType="end"/>
      </w:r>
      <w:r w:rsidRPr="008F776F">
        <w:rPr>
          <w:lang w:val="es-ES_tradnl"/>
        </w:rPr>
        <w:tab/>
        <w:t>En las siguientes secciones se explican con más detalle los tres pilares estratégicos y el fundamento, así como sus respectivos resultados previstos.</w:t>
      </w:r>
    </w:p>
    <w:p w14:paraId="183E3CE4" w14:textId="77777777" w:rsidR="008F776F" w:rsidRPr="008F776F" w:rsidRDefault="008F776F" w:rsidP="008F776F">
      <w:pPr>
        <w:rPr>
          <w:lang w:val="es-ES_tradnl"/>
        </w:rPr>
      </w:pPr>
    </w:p>
    <w:p w14:paraId="26B2A848" w14:textId="77777777" w:rsidR="008F776F" w:rsidRPr="008F776F" w:rsidRDefault="008F776F" w:rsidP="008F776F">
      <w:pPr>
        <w:rPr>
          <w:lang w:val="es-ES_tradnl"/>
        </w:rPr>
      </w:pPr>
    </w:p>
    <w:p w14:paraId="2EEEA780" w14:textId="77777777" w:rsidR="008F776F" w:rsidRPr="008F776F" w:rsidRDefault="008F776F" w:rsidP="009C3021">
      <w:pPr>
        <w:pStyle w:val="Heading2"/>
        <w:ind w:left="0" w:firstLine="0"/>
        <w:rPr>
          <w:lang w:val="es-ES_tradnl"/>
        </w:rPr>
      </w:pPr>
      <w:bookmarkStart w:id="430" w:name="_Toc117798882"/>
      <w:bookmarkStart w:id="431" w:name="_Toc107239587"/>
      <w:bookmarkStart w:id="432" w:name="_Toc107239337"/>
      <w:bookmarkStart w:id="433" w:name="_Toc141978856"/>
      <w:r w:rsidRPr="008F776F">
        <w:rPr>
          <w:lang w:val="es-ES_tradnl"/>
        </w:rPr>
        <w:t>Pilar 1: Reunir a las partes interesadas para que contribuyan a dar forma al sistema de la UPOV</w:t>
      </w:r>
      <w:bookmarkEnd w:id="430"/>
      <w:bookmarkEnd w:id="431"/>
      <w:bookmarkEnd w:id="432"/>
      <w:bookmarkEnd w:id="433"/>
    </w:p>
    <w:p w14:paraId="149CAF12" w14:textId="77777777" w:rsidR="008F776F" w:rsidRPr="008F776F" w:rsidRDefault="008F776F" w:rsidP="008F776F">
      <w:pPr>
        <w:rPr>
          <w:b/>
          <w:bCs/>
          <w:sz w:val="22"/>
          <w:szCs w:val="22"/>
          <w:lang w:val="es-ES_tradnl"/>
        </w:rPr>
      </w:pPr>
    </w:p>
    <w:p w14:paraId="59F509A6" w14:textId="77777777" w:rsidR="008F776F" w:rsidRPr="008F776F" w:rsidRDefault="008F776F" w:rsidP="008F776F">
      <w:pPr>
        <w:pStyle w:val="Heading3"/>
        <w:keepNext w:val="0"/>
        <w:keepLines w:val="0"/>
        <w:rPr>
          <w:sz w:val="20"/>
        </w:rPr>
      </w:pPr>
      <w:bookmarkStart w:id="434" w:name="_Toc141978857"/>
      <w:r w:rsidRPr="008F776F">
        <w:t>Estrategia para lograr los resultados previstos</w:t>
      </w:r>
      <w:bookmarkEnd w:id="434"/>
    </w:p>
    <w:p w14:paraId="2880036B" w14:textId="77777777" w:rsidR="008F776F" w:rsidRPr="008F776F" w:rsidRDefault="008F776F" w:rsidP="008F776F">
      <w:pPr>
        <w:rPr>
          <w:b/>
          <w:bCs/>
          <w:sz w:val="22"/>
          <w:szCs w:val="22"/>
          <w:lang w:val="es-ES_tradnl"/>
        </w:rPr>
      </w:pPr>
    </w:p>
    <w:p w14:paraId="520FD8BE" w14:textId="77777777" w:rsidR="008F776F" w:rsidRPr="008F776F" w:rsidRDefault="008F776F" w:rsidP="008F776F">
      <w:pPr>
        <w:rPr>
          <w:bCs/>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Este pilar estratégico se centra en la función de la UPOV como espacio de encuentro de los miembros de la Unión para que supervisen y coordinen el trabajo de la UPOV y trabajen con las partes interesadas para que contribuyan a dar forma al futuro del sistema de la UPOV.</w:t>
      </w:r>
    </w:p>
    <w:p w14:paraId="44FAC5B1" w14:textId="77777777" w:rsidR="008F776F" w:rsidRPr="008F776F" w:rsidRDefault="008F776F" w:rsidP="008F776F">
      <w:pPr>
        <w:rPr>
          <w:b/>
          <w:bCs/>
          <w:sz w:val="22"/>
          <w:szCs w:val="22"/>
          <w:lang w:val="es-ES_tradnl"/>
        </w:rPr>
      </w:pPr>
    </w:p>
    <w:p w14:paraId="637EFAE1" w14:textId="77777777" w:rsidR="008F776F" w:rsidRPr="008F776F" w:rsidRDefault="008F776F" w:rsidP="008F776F">
      <w:pPr>
        <w:pStyle w:val="Heading4"/>
        <w:keepNext w:val="0"/>
        <w:tabs>
          <w:tab w:val="clear" w:pos="1418"/>
        </w:tabs>
        <w:ind w:left="1134" w:hanging="567"/>
        <w:rPr>
          <w:b/>
          <w:i/>
          <w:color w:val="26724C" w:themeColor="accent1" w:themeShade="BF"/>
          <w:u w:val="none"/>
          <w:lang w:val="es-ES_tradnl"/>
        </w:rPr>
      </w:pPr>
      <w:r w:rsidRPr="008F776F">
        <w:rPr>
          <w:b/>
          <w:i/>
          <w:color w:val="26724C" w:themeColor="accent1" w:themeShade="BF"/>
          <w:u w:val="none"/>
          <w:lang w:val="es-ES_tradnl"/>
        </w:rPr>
        <w:t>1.1</w:t>
      </w:r>
      <w:r w:rsidRPr="008F776F">
        <w:rPr>
          <w:b/>
          <w:i/>
          <w:color w:val="26724C" w:themeColor="accent1" w:themeShade="BF"/>
          <w:u w:val="none"/>
          <w:lang w:val="es-ES_tradnl"/>
        </w:rPr>
        <w:tab/>
        <w:t xml:space="preserve">Gobernanza del Consejo de la UPOV y labor de los comités y otros órganos de la UPOV </w:t>
      </w:r>
    </w:p>
    <w:p w14:paraId="196B72F1" w14:textId="77777777" w:rsidR="008F776F" w:rsidRPr="008F776F" w:rsidRDefault="008F776F" w:rsidP="008F776F">
      <w:pPr>
        <w:pStyle w:val="ListParagraph"/>
        <w:ind w:left="570"/>
        <w:rPr>
          <w:lang w:val="es-ES_tradnl"/>
        </w:rPr>
      </w:pPr>
    </w:p>
    <w:p w14:paraId="4A253BED"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El Consejo, integrado por miembros de la Unión y observadores, seguirá llevando la dirección de la UPOV, con la orientación del Comité Consultivo, el Comité Administrativo y Jurídico y el Comité Técnico.</w:t>
      </w:r>
    </w:p>
    <w:p w14:paraId="1178CBAB" w14:textId="77777777" w:rsidR="008F776F" w:rsidRPr="008F776F" w:rsidRDefault="008F776F" w:rsidP="008F776F">
      <w:pPr>
        <w:rPr>
          <w:lang w:val="es-ES_tradnl"/>
        </w:rPr>
      </w:pPr>
    </w:p>
    <w:p w14:paraId="622A070E"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 xml:space="preserve">En relación con las reuniones de los órganos de la UPOV, se estudiará el uso de herramientas de reunión virtuales para mejorar la participación y la eficacia, al tiempo que se ahorra tiempo y se reducen los costos. </w:t>
      </w:r>
    </w:p>
    <w:p w14:paraId="015D9D2D" w14:textId="77777777" w:rsidR="008F776F" w:rsidRPr="008F776F" w:rsidRDefault="008F776F" w:rsidP="008F776F">
      <w:pPr>
        <w:rPr>
          <w:lang w:val="es-ES_tradnl"/>
        </w:rPr>
      </w:pPr>
    </w:p>
    <w:p w14:paraId="7F6368D6"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 xml:space="preserve">A medida que evolucione la UPOV, y en aras de lograr la máxima eficacia, se revisará la labor de los comités. En el Comité Técnico se está llevando a cabo una revisión para evaluar la posibilidad de que su labor sea más eficaz, sobre todo con vistas a aumentar la cooperación como beneficio fundamental de la pertenencia a la UPOV. </w:t>
      </w:r>
    </w:p>
    <w:p w14:paraId="23B9E15E" w14:textId="77777777" w:rsidR="008F776F" w:rsidRPr="008F776F" w:rsidRDefault="008F776F" w:rsidP="008F776F">
      <w:pPr>
        <w:rPr>
          <w:lang w:val="es-ES_tradnl"/>
        </w:rPr>
      </w:pPr>
    </w:p>
    <w:p w14:paraId="2D078953" w14:textId="77777777" w:rsidR="008F776F" w:rsidRPr="008F776F" w:rsidRDefault="008F776F" w:rsidP="008F776F">
      <w:pPr>
        <w:pStyle w:val="Heading4"/>
        <w:keepNext w:val="0"/>
        <w:tabs>
          <w:tab w:val="clear" w:pos="1418"/>
        </w:tabs>
        <w:ind w:left="1134" w:hanging="567"/>
        <w:rPr>
          <w:b/>
          <w:i/>
          <w:color w:val="26724C" w:themeColor="accent1" w:themeShade="BF"/>
          <w:u w:val="none"/>
          <w:lang w:val="es-ES_tradnl"/>
        </w:rPr>
      </w:pPr>
      <w:r w:rsidRPr="008F776F">
        <w:rPr>
          <w:b/>
          <w:i/>
          <w:color w:val="26724C" w:themeColor="accent1" w:themeShade="BF"/>
          <w:u w:val="none"/>
          <w:lang w:val="es-ES_tradnl"/>
        </w:rPr>
        <w:t>1.2</w:t>
      </w:r>
      <w:r w:rsidRPr="008F776F">
        <w:rPr>
          <w:b/>
          <w:i/>
          <w:color w:val="26724C" w:themeColor="accent1" w:themeShade="BF"/>
          <w:u w:val="none"/>
          <w:lang w:val="es-ES_tradnl"/>
        </w:rPr>
        <w:tab/>
        <w:t>Elaboración de legislación sobre la protección de las obtenciones vegetales de conformidad con el Acta de 1991 del Convenio de la UPOV</w:t>
      </w:r>
    </w:p>
    <w:p w14:paraId="152BF525" w14:textId="77777777" w:rsidR="008F776F" w:rsidRPr="008F776F" w:rsidRDefault="008F776F" w:rsidP="008F776F">
      <w:pPr>
        <w:rPr>
          <w:bCs/>
          <w:lang w:val="es-ES_tradnl"/>
        </w:rPr>
      </w:pPr>
    </w:p>
    <w:p w14:paraId="52684490" w14:textId="77777777" w:rsidR="008F776F" w:rsidRPr="008F776F" w:rsidRDefault="008F776F" w:rsidP="008F776F">
      <w:pPr>
        <w:rPr>
          <w:bCs/>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 xml:space="preserve">Todo Estado u organización intergubernamental que desee pasar a ser miembro de la UPOV ha de recibir una opinión positiva del Consejo de la UPOV sobre la conformidad de su legislación con las disposiciones del Convenio de la UPOV antes de depositar su instrumento de adhesión. Una parte fundamental de la labor de la UPOV consiste en orientar a los Estados y organizaciones intergubernamentales que deseen elaborar leyes de conformidad con el Acta de 1991 del Convenio de la UPOV. </w:t>
      </w:r>
    </w:p>
    <w:p w14:paraId="051B2407" w14:textId="77777777" w:rsidR="008F776F" w:rsidRPr="008F776F" w:rsidRDefault="008F776F" w:rsidP="008F776F">
      <w:pPr>
        <w:rPr>
          <w:bCs/>
          <w:lang w:val="es-ES_tradnl"/>
        </w:rPr>
      </w:pPr>
    </w:p>
    <w:p w14:paraId="7D41E09A" w14:textId="77777777" w:rsidR="008F776F" w:rsidRPr="008F776F" w:rsidRDefault="008F776F" w:rsidP="008F776F">
      <w:pPr>
        <w:pStyle w:val="Heading3"/>
      </w:pPr>
      <w:bookmarkStart w:id="435" w:name="_Toc141978858"/>
      <w:r w:rsidRPr="008F776F">
        <w:t>Resultados previstos e indicadores de rendimiento</w:t>
      </w:r>
      <w:bookmarkEnd w:id="435"/>
    </w:p>
    <w:p w14:paraId="63527FC2" w14:textId="77777777" w:rsidR="008F776F" w:rsidRPr="008F776F" w:rsidRDefault="008F776F" w:rsidP="008F776F">
      <w:pPr>
        <w:rPr>
          <w:bCs/>
          <w:lang w:val="es-ES_tradnl"/>
        </w:rPr>
      </w:pPr>
    </w:p>
    <w:tbl>
      <w:tblPr>
        <w:tblStyle w:val="TableGrid"/>
        <w:tblW w:w="9634" w:type="dxa"/>
        <w:tblBorders>
          <w:top w:val="none" w:sz="0" w:space="0" w:color="auto"/>
          <w:left w:val="none" w:sz="0" w:space="0" w:color="auto"/>
          <w:bottom w:val="single" w:sz="4" w:space="0" w:color="F2F2F2" w:themeColor="background1" w:themeShade="F2"/>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535"/>
        <w:gridCol w:w="1554"/>
        <w:gridCol w:w="1559"/>
      </w:tblGrid>
      <w:tr w:rsidR="008F776F" w:rsidRPr="008F776F" w14:paraId="107450A7" w14:textId="77777777" w:rsidTr="00DB6666">
        <w:tc>
          <w:tcPr>
            <w:tcW w:w="426" w:type="dxa"/>
            <w:tcBorders>
              <w:bottom w:val="single" w:sz="4" w:space="0" w:color="D9D9D9" w:themeColor="background1" w:themeShade="D9"/>
            </w:tcBorders>
            <w:shd w:val="clear" w:color="auto" w:fill="E2E7EB" w:themeFill="accent3" w:themeFillTint="33"/>
          </w:tcPr>
          <w:p w14:paraId="6EFC3394" w14:textId="77777777" w:rsidR="008F776F" w:rsidRPr="008F776F" w:rsidRDefault="008F776F" w:rsidP="00DB6666">
            <w:pPr>
              <w:jc w:val="left"/>
              <w:rPr>
                <w:b/>
                <w:bCs/>
                <w:sz w:val="16"/>
                <w:szCs w:val="16"/>
                <w:lang w:val="es-ES_tradnl"/>
              </w:rPr>
            </w:pPr>
          </w:p>
        </w:tc>
        <w:tc>
          <w:tcPr>
            <w:tcW w:w="3255" w:type="dxa"/>
            <w:tcBorders>
              <w:bottom w:val="single" w:sz="4" w:space="0" w:color="D9D9D9" w:themeColor="background1" w:themeShade="D9"/>
            </w:tcBorders>
            <w:shd w:val="clear" w:color="auto" w:fill="E2E7EB" w:themeFill="accent3" w:themeFillTint="33"/>
          </w:tcPr>
          <w:p w14:paraId="5C53A981" w14:textId="77777777" w:rsidR="008F776F" w:rsidRPr="008F776F" w:rsidRDefault="008F776F" w:rsidP="00DB6666">
            <w:pPr>
              <w:jc w:val="left"/>
              <w:rPr>
                <w:b/>
                <w:bCs/>
                <w:sz w:val="16"/>
                <w:szCs w:val="16"/>
                <w:lang w:val="es-ES_tradnl"/>
              </w:rPr>
            </w:pPr>
            <w:r w:rsidRPr="008F776F">
              <w:rPr>
                <w:b/>
                <w:sz w:val="16"/>
                <w:lang w:val="es-ES_tradnl"/>
              </w:rPr>
              <w:t>Resultados previstos</w:t>
            </w:r>
          </w:p>
        </w:tc>
        <w:tc>
          <w:tcPr>
            <w:tcW w:w="305" w:type="dxa"/>
            <w:tcBorders>
              <w:bottom w:val="single" w:sz="4" w:space="0" w:color="D9D9D9" w:themeColor="background1" w:themeShade="D9"/>
            </w:tcBorders>
            <w:shd w:val="clear" w:color="auto" w:fill="E2E7EB" w:themeFill="accent3" w:themeFillTint="33"/>
          </w:tcPr>
          <w:p w14:paraId="109A93B5" w14:textId="77777777" w:rsidR="008F776F" w:rsidRPr="008F776F" w:rsidRDefault="008F776F" w:rsidP="00DB6666">
            <w:pPr>
              <w:jc w:val="center"/>
              <w:rPr>
                <w:b/>
                <w:bCs/>
                <w:sz w:val="16"/>
                <w:szCs w:val="16"/>
                <w:lang w:val="es-ES_tradnl"/>
              </w:rPr>
            </w:pPr>
          </w:p>
        </w:tc>
        <w:tc>
          <w:tcPr>
            <w:tcW w:w="2535" w:type="dxa"/>
            <w:tcBorders>
              <w:bottom w:val="single" w:sz="4" w:space="0" w:color="D9D9D9" w:themeColor="background1" w:themeShade="D9"/>
            </w:tcBorders>
            <w:shd w:val="clear" w:color="auto" w:fill="E2E7EB" w:themeFill="accent3" w:themeFillTint="33"/>
          </w:tcPr>
          <w:p w14:paraId="15213211" w14:textId="77777777" w:rsidR="008F776F" w:rsidRPr="008F776F" w:rsidRDefault="008F776F" w:rsidP="00DB6666">
            <w:pPr>
              <w:rPr>
                <w:b/>
                <w:bCs/>
                <w:sz w:val="16"/>
                <w:szCs w:val="16"/>
                <w:lang w:val="es-ES_tradnl"/>
              </w:rPr>
            </w:pPr>
            <w:r w:rsidRPr="008F776F">
              <w:rPr>
                <w:b/>
                <w:sz w:val="16"/>
                <w:lang w:val="es-ES_tradnl"/>
              </w:rPr>
              <w:t>Indicadores de rendimiento</w:t>
            </w:r>
          </w:p>
        </w:tc>
        <w:tc>
          <w:tcPr>
            <w:tcW w:w="1554" w:type="dxa"/>
            <w:tcBorders>
              <w:bottom w:val="single" w:sz="4" w:space="0" w:color="D9D9D9" w:themeColor="background1" w:themeShade="D9"/>
            </w:tcBorders>
            <w:shd w:val="clear" w:color="auto" w:fill="E2E7EB" w:themeFill="accent3" w:themeFillTint="33"/>
          </w:tcPr>
          <w:p w14:paraId="358A6934" w14:textId="77777777" w:rsidR="008F776F" w:rsidRPr="008F776F" w:rsidRDefault="008F776F" w:rsidP="00DB6666">
            <w:pPr>
              <w:jc w:val="center"/>
              <w:rPr>
                <w:b/>
                <w:bCs/>
                <w:sz w:val="16"/>
                <w:szCs w:val="16"/>
                <w:lang w:val="es-ES_tradnl"/>
              </w:rPr>
            </w:pPr>
            <w:r w:rsidRPr="008F776F">
              <w:rPr>
                <w:b/>
                <w:sz w:val="16"/>
                <w:lang w:val="es-ES_tradnl"/>
              </w:rPr>
              <w:t>Referencia</w:t>
            </w:r>
          </w:p>
        </w:tc>
        <w:tc>
          <w:tcPr>
            <w:tcW w:w="1559" w:type="dxa"/>
            <w:tcBorders>
              <w:bottom w:val="single" w:sz="4" w:space="0" w:color="D9D9D9" w:themeColor="background1" w:themeShade="D9"/>
            </w:tcBorders>
            <w:shd w:val="clear" w:color="auto" w:fill="E2E7EB" w:themeFill="accent3" w:themeFillTint="33"/>
          </w:tcPr>
          <w:p w14:paraId="19F2BE1E" w14:textId="77777777" w:rsidR="008F776F" w:rsidRPr="008F776F" w:rsidRDefault="008F776F" w:rsidP="00DB6666">
            <w:pPr>
              <w:jc w:val="center"/>
              <w:rPr>
                <w:b/>
                <w:bCs/>
                <w:sz w:val="16"/>
                <w:szCs w:val="16"/>
                <w:lang w:val="es-ES_tradnl"/>
              </w:rPr>
            </w:pPr>
            <w:r w:rsidRPr="008F776F">
              <w:rPr>
                <w:b/>
                <w:sz w:val="16"/>
                <w:lang w:val="es-ES_tradnl"/>
              </w:rPr>
              <w:t>Objetivo (2024/25)</w:t>
            </w:r>
          </w:p>
        </w:tc>
      </w:tr>
      <w:tr w:rsidR="008F776F" w:rsidRPr="008F776F" w14:paraId="20BB081C" w14:textId="77777777" w:rsidTr="00DB6666">
        <w:tc>
          <w:tcPr>
            <w:tcW w:w="426" w:type="dxa"/>
            <w:tcBorders>
              <w:top w:val="single" w:sz="4" w:space="0" w:color="D9D9D9" w:themeColor="background1" w:themeShade="D9"/>
            </w:tcBorders>
          </w:tcPr>
          <w:p w14:paraId="5946E2A5" w14:textId="77777777" w:rsidR="008F776F" w:rsidRPr="008F776F" w:rsidRDefault="008F776F" w:rsidP="00DB6666">
            <w:pPr>
              <w:jc w:val="left"/>
              <w:rPr>
                <w:rFonts w:cs="Arial"/>
                <w:sz w:val="16"/>
                <w:szCs w:val="16"/>
                <w:lang w:val="es-ES_tradnl"/>
              </w:rPr>
            </w:pPr>
            <w:r w:rsidRPr="008F776F">
              <w:rPr>
                <w:sz w:val="16"/>
                <w:lang w:val="es-ES_tradnl"/>
              </w:rPr>
              <w:t>1.1</w:t>
            </w:r>
          </w:p>
        </w:tc>
        <w:tc>
          <w:tcPr>
            <w:tcW w:w="3255" w:type="dxa"/>
            <w:tcBorders>
              <w:top w:val="single" w:sz="4" w:space="0" w:color="D9D9D9" w:themeColor="background1" w:themeShade="D9"/>
            </w:tcBorders>
          </w:tcPr>
          <w:p w14:paraId="0F71B4D4" w14:textId="77777777" w:rsidR="008F776F" w:rsidRPr="008F776F" w:rsidRDefault="008F776F" w:rsidP="00DB6666">
            <w:pPr>
              <w:jc w:val="left"/>
              <w:rPr>
                <w:rFonts w:cs="Arial"/>
                <w:sz w:val="16"/>
                <w:szCs w:val="16"/>
                <w:lang w:val="es-ES_tradnl"/>
              </w:rPr>
            </w:pPr>
            <w:r w:rsidRPr="008F776F">
              <w:rPr>
                <w:sz w:val="16"/>
                <w:lang w:val="es-ES_tradnl"/>
              </w:rPr>
              <w:t>Gobernanza del Consejo de la UPOV y labor de los comités y otros órganos de la UPOV</w:t>
            </w:r>
          </w:p>
        </w:tc>
        <w:tc>
          <w:tcPr>
            <w:tcW w:w="305" w:type="dxa"/>
            <w:tcBorders>
              <w:top w:val="single" w:sz="4" w:space="0" w:color="D9D9D9" w:themeColor="background1" w:themeShade="D9"/>
            </w:tcBorders>
          </w:tcPr>
          <w:p w14:paraId="1832D72D" w14:textId="77777777" w:rsidR="008F776F" w:rsidRPr="008F776F" w:rsidRDefault="008F776F" w:rsidP="00DB6666">
            <w:pPr>
              <w:jc w:val="center"/>
              <w:rPr>
                <w:rFonts w:cs="Arial"/>
                <w:sz w:val="16"/>
                <w:szCs w:val="16"/>
                <w:lang w:val="es-ES_tradnl"/>
              </w:rPr>
            </w:pPr>
          </w:p>
        </w:tc>
        <w:tc>
          <w:tcPr>
            <w:tcW w:w="2535" w:type="dxa"/>
            <w:tcBorders>
              <w:top w:val="single" w:sz="4" w:space="0" w:color="D9D9D9" w:themeColor="background1" w:themeShade="D9"/>
            </w:tcBorders>
          </w:tcPr>
          <w:p w14:paraId="717588A0" w14:textId="77777777" w:rsidR="008F776F" w:rsidRPr="008F776F" w:rsidRDefault="008F776F" w:rsidP="00DB6666">
            <w:pPr>
              <w:jc w:val="left"/>
              <w:rPr>
                <w:rFonts w:cs="Arial"/>
                <w:sz w:val="16"/>
                <w:szCs w:val="16"/>
                <w:lang w:val="es-ES_tradnl"/>
              </w:rPr>
            </w:pPr>
            <w:r w:rsidRPr="008F776F">
              <w:rPr>
                <w:sz w:val="16"/>
                <w:lang w:val="es-ES_tradnl"/>
              </w:rPr>
              <w:t>Aumento del número de variedades desarrolladas en el marco del sistema de la UPOV</w:t>
            </w:r>
          </w:p>
        </w:tc>
        <w:tc>
          <w:tcPr>
            <w:tcW w:w="1554" w:type="dxa"/>
            <w:tcBorders>
              <w:top w:val="single" w:sz="4" w:space="0" w:color="D9D9D9" w:themeColor="background1" w:themeShade="D9"/>
            </w:tcBorders>
            <w:vAlign w:val="bottom"/>
          </w:tcPr>
          <w:p w14:paraId="45075391" w14:textId="77777777" w:rsidR="008F776F" w:rsidRPr="008F776F" w:rsidRDefault="008F776F" w:rsidP="00DB6666">
            <w:pPr>
              <w:jc w:val="left"/>
              <w:rPr>
                <w:rFonts w:cs="Arial"/>
                <w:sz w:val="16"/>
                <w:szCs w:val="16"/>
                <w:lang w:val="es-ES_tradnl"/>
              </w:rPr>
            </w:pPr>
          </w:p>
        </w:tc>
        <w:tc>
          <w:tcPr>
            <w:tcW w:w="1559" w:type="dxa"/>
            <w:tcBorders>
              <w:top w:val="single" w:sz="4" w:space="0" w:color="D9D9D9" w:themeColor="background1" w:themeShade="D9"/>
            </w:tcBorders>
            <w:vAlign w:val="bottom"/>
          </w:tcPr>
          <w:p w14:paraId="451DBBD1" w14:textId="77777777" w:rsidR="008F776F" w:rsidRPr="008F776F" w:rsidRDefault="008F776F" w:rsidP="00DB6666">
            <w:pPr>
              <w:jc w:val="center"/>
              <w:rPr>
                <w:rFonts w:cs="Arial"/>
                <w:sz w:val="16"/>
                <w:szCs w:val="16"/>
                <w:lang w:val="es-ES_tradnl"/>
              </w:rPr>
            </w:pPr>
          </w:p>
        </w:tc>
      </w:tr>
      <w:tr w:rsidR="008F776F" w:rsidRPr="008F776F" w14:paraId="0A4CA9A3" w14:textId="77777777" w:rsidTr="00DB6666">
        <w:tc>
          <w:tcPr>
            <w:tcW w:w="426" w:type="dxa"/>
          </w:tcPr>
          <w:p w14:paraId="4232E314" w14:textId="77777777" w:rsidR="008F776F" w:rsidRPr="008F776F" w:rsidRDefault="008F776F" w:rsidP="00DB6666">
            <w:pPr>
              <w:jc w:val="left"/>
              <w:rPr>
                <w:rFonts w:cs="Arial"/>
                <w:sz w:val="16"/>
                <w:szCs w:val="16"/>
                <w:lang w:val="es-ES_tradnl"/>
              </w:rPr>
            </w:pPr>
          </w:p>
        </w:tc>
        <w:tc>
          <w:tcPr>
            <w:tcW w:w="3255" w:type="dxa"/>
          </w:tcPr>
          <w:p w14:paraId="353E45FE" w14:textId="77777777" w:rsidR="008F776F" w:rsidRPr="008F776F" w:rsidRDefault="008F776F" w:rsidP="00DB6666">
            <w:pPr>
              <w:jc w:val="left"/>
              <w:rPr>
                <w:rFonts w:cs="Arial"/>
                <w:sz w:val="16"/>
                <w:szCs w:val="16"/>
                <w:lang w:val="es-ES_tradnl"/>
              </w:rPr>
            </w:pPr>
          </w:p>
        </w:tc>
        <w:tc>
          <w:tcPr>
            <w:tcW w:w="305" w:type="dxa"/>
          </w:tcPr>
          <w:p w14:paraId="310FDEF1" w14:textId="77777777" w:rsidR="008F776F" w:rsidRPr="008F776F" w:rsidRDefault="008F776F" w:rsidP="00DB6666">
            <w:pPr>
              <w:jc w:val="center"/>
              <w:rPr>
                <w:rFonts w:cs="Arial"/>
                <w:sz w:val="16"/>
                <w:szCs w:val="16"/>
                <w:lang w:val="es-ES_tradnl"/>
              </w:rPr>
            </w:pPr>
          </w:p>
        </w:tc>
        <w:tc>
          <w:tcPr>
            <w:tcW w:w="2535" w:type="dxa"/>
          </w:tcPr>
          <w:p w14:paraId="48E889D5" w14:textId="77777777" w:rsidR="008F776F" w:rsidRPr="008F776F" w:rsidRDefault="008F776F" w:rsidP="00DB6666">
            <w:pPr>
              <w:ind w:left="284"/>
              <w:jc w:val="left"/>
              <w:rPr>
                <w:rFonts w:cs="Arial"/>
                <w:sz w:val="16"/>
                <w:szCs w:val="16"/>
                <w:lang w:val="es-ES_tradnl"/>
              </w:rPr>
            </w:pPr>
            <w:r w:rsidRPr="008F776F">
              <w:rPr>
                <w:sz w:val="16"/>
                <w:lang w:val="es-ES_tradnl"/>
              </w:rPr>
              <w:t>Número de solicitudes en los miembros de la UPOV</w:t>
            </w:r>
          </w:p>
        </w:tc>
        <w:tc>
          <w:tcPr>
            <w:tcW w:w="1554" w:type="dxa"/>
            <w:vAlign w:val="center"/>
          </w:tcPr>
          <w:p w14:paraId="1BFC98C2" w14:textId="77777777" w:rsidR="008F776F" w:rsidRPr="008F776F" w:rsidRDefault="008F776F" w:rsidP="00DB6666">
            <w:pPr>
              <w:ind w:right="221"/>
              <w:jc w:val="right"/>
              <w:rPr>
                <w:rFonts w:cs="Arial"/>
                <w:sz w:val="16"/>
                <w:szCs w:val="16"/>
                <w:lang w:val="es-ES_tradnl"/>
              </w:rPr>
            </w:pPr>
            <w:r w:rsidRPr="008F776F">
              <w:rPr>
                <w:sz w:val="16"/>
                <w:lang w:val="es-ES_tradnl"/>
              </w:rPr>
              <w:t>25.135 (2021)</w:t>
            </w:r>
          </w:p>
        </w:tc>
        <w:tc>
          <w:tcPr>
            <w:tcW w:w="1559" w:type="dxa"/>
            <w:vAlign w:val="center"/>
          </w:tcPr>
          <w:p w14:paraId="447CFEED" w14:textId="77777777" w:rsidR="008F776F" w:rsidRPr="008F776F" w:rsidRDefault="008F776F" w:rsidP="00DB6666">
            <w:pPr>
              <w:ind w:right="230"/>
              <w:jc w:val="right"/>
              <w:rPr>
                <w:rFonts w:cs="Arial"/>
                <w:sz w:val="16"/>
                <w:szCs w:val="16"/>
                <w:lang w:val="es-ES_tradnl"/>
              </w:rPr>
            </w:pPr>
            <w:r w:rsidRPr="008F776F">
              <w:rPr>
                <w:sz w:val="16"/>
                <w:lang w:val="es-ES_tradnl"/>
              </w:rPr>
              <w:t>27.500 (2024)</w:t>
            </w:r>
          </w:p>
        </w:tc>
      </w:tr>
      <w:tr w:rsidR="008F776F" w:rsidRPr="008F776F" w14:paraId="09780641" w14:textId="77777777" w:rsidTr="00DB6666">
        <w:tc>
          <w:tcPr>
            <w:tcW w:w="426" w:type="dxa"/>
          </w:tcPr>
          <w:p w14:paraId="3A147608" w14:textId="77777777" w:rsidR="008F776F" w:rsidRPr="008F776F" w:rsidRDefault="008F776F" w:rsidP="00DB6666">
            <w:pPr>
              <w:jc w:val="left"/>
              <w:rPr>
                <w:rFonts w:cs="Arial"/>
                <w:sz w:val="16"/>
                <w:szCs w:val="16"/>
                <w:lang w:val="es-ES_tradnl"/>
              </w:rPr>
            </w:pPr>
          </w:p>
        </w:tc>
        <w:tc>
          <w:tcPr>
            <w:tcW w:w="3255" w:type="dxa"/>
          </w:tcPr>
          <w:p w14:paraId="3E00E401" w14:textId="77777777" w:rsidR="008F776F" w:rsidRPr="008F776F" w:rsidRDefault="008F776F" w:rsidP="00DB6666">
            <w:pPr>
              <w:jc w:val="left"/>
              <w:rPr>
                <w:rFonts w:cs="Arial"/>
                <w:sz w:val="16"/>
                <w:szCs w:val="16"/>
                <w:lang w:val="es-ES_tradnl"/>
              </w:rPr>
            </w:pPr>
          </w:p>
        </w:tc>
        <w:tc>
          <w:tcPr>
            <w:tcW w:w="305" w:type="dxa"/>
            <w:tcBorders>
              <w:bottom w:val="nil"/>
            </w:tcBorders>
          </w:tcPr>
          <w:p w14:paraId="4337BEB3" w14:textId="77777777" w:rsidR="008F776F" w:rsidRPr="008F776F" w:rsidRDefault="008F776F" w:rsidP="00DB6666">
            <w:pPr>
              <w:jc w:val="center"/>
              <w:rPr>
                <w:rFonts w:cs="Arial"/>
                <w:sz w:val="16"/>
                <w:szCs w:val="16"/>
                <w:lang w:val="es-ES_tradnl"/>
              </w:rPr>
            </w:pPr>
          </w:p>
        </w:tc>
        <w:tc>
          <w:tcPr>
            <w:tcW w:w="2535" w:type="dxa"/>
            <w:tcBorders>
              <w:bottom w:val="nil"/>
            </w:tcBorders>
          </w:tcPr>
          <w:p w14:paraId="4C9BA5AE" w14:textId="77777777" w:rsidR="008F776F" w:rsidRPr="008F776F" w:rsidRDefault="008F776F" w:rsidP="00DB6666">
            <w:pPr>
              <w:ind w:left="284"/>
              <w:jc w:val="left"/>
              <w:rPr>
                <w:rFonts w:cs="Arial"/>
                <w:sz w:val="16"/>
                <w:szCs w:val="16"/>
                <w:lang w:val="es-ES_tradnl"/>
              </w:rPr>
            </w:pPr>
            <w:r w:rsidRPr="008F776F">
              <w:rPr>
                <w:sz w:val="16"/>
                <w:lang w:val="es-ES_tradnl"/>
              </w:rPr>
              <w:t>Número de títulos concedidos en los miembros de la UPOV</w:t>
            </w:r>
          </w:p>
        </w:tc>
        <w:tc>
          <w:tcPr>
            <w:tcW w:w="1554" w:type="dxa"/>
            <w:vAlign w:val="center"/>
          </w:tcPr>
          <w:p w14:paraId="0A2FD716" w14:textId="77777777" w:rsidR="008F776F" w:rsidRPr="008F776F" w:rsidRDefault="008F776F" w:rsidP="00DB6666">
            <w:pPr>
              <w:ind w:right="221"/>
              <w:jc w:val="right"/>
              <w:rPr>
                <w:rFonts w:cs="Arial"/>
                <w:sz w:val="16"/>
                <w:szCs w:val="16"/>
                <w:lang w:val="es-ES_tradnl"/>
              </w:rPr>
            </w:pPr>
            <w:r w:rsidRPr="008F776F">
              <w:rPr>
                <w:sz w:val="16"/>
                <w:lang w:val="es-ES_tradnl"/>
              </w:rPr>
              <w:t>15.081 (2021)</w:t>
            </w:r>
          </w:p>
        </w:tc>
        <w:tc>
          <w:tcPr>
            <w:tcW w:w="1559" w:type="dxa"/>
            <w:vAlign w:val="center"/>
          </w:tcPr>
          <w:p w14:paraId="685B166B" w14:textId="77777777" w:rsidR="008F776F" w:rsidRPr="008F776F" w:rsidRDefault="008F776F" w:rsidP="00DB6666">
            <w:pPr>
              <w:ind w:right="230"/>
              <w:jc w:val="right"/>
              <w:rPr>
                <w:rFonts w:cs="Arial"/>
                <w:sz w:val="16"/>
                <w:szCs w:val="16"/>
                <w:lang w:val="es-ES_tradnl"/>
              </w:rPr>
            </w:pPr>
            <w:r w:rsidRPr="008F776F">
              <w:rPr>
                <w:sz w:val="16"/>
                <w:lang w:val="es-ES_tradnl"/>
              </w:rPr>
              <w:t>16.500 (2024)</w:t>
            </w:r>
          </w:p>
        </w:tc>
      </w:tr>
      <w:tr w:rsidR="008F776F" w:rsidRPr="008F776F" w14:paraId="05CB30D0" w14:textId="77777777" w:rsidTr="00DB6666">
        <w:tc>
          <w:tcPr>
            <w:tcW w:w="426" w:type="dxa"/>
            <w:tcBorders>
              <w:bottom w:val="single" w:sz="4" w:space="0" w:color="D9D9D9" w:themeColor="background1" w:themeShade="D9"/>
            </w:tcBorders>
          </w:tcPr>
          <w:p w14:paraId="5C9496FF" w14:textId="77777777" w:rsidR="008F776F" w:rsidRPr="008F776F" w:rsidRDefault="008F776F" w:rsidP="00DB6666">
            <w:pPr>
              <w:jc w:val="left"/>
              <w:rPr>
                <w:rFonts w:cs="Arial"/>
                <w:sz w:val="16"/>
                <w:szCs w:val="16"/>
                <w:lang w:val="es-ES_tradnl"/>
              </w:rPr>
            </w:pPr>
          </w:p>
        </w:tc>
        <w:tc>
          <w:tcPr>
            <w:tcW w:w="3255" w:type="dxa"/>
            <w:tcBorders>
              <w:bottom w:val="single" w:sz="4" w:space="0" w:color="D9D9D9" w:themeColor="background1" w:themeShade="D9"/>
            </w:tcBorders>
          </w:tcPr>
          <w:p w14:paraId="4B7194FE" w14:textId="77777777" w:rsidR="008F776F" w:rsidRPr="008F776F" w:rsidRDefault="008F776F" w:rsidP="00DB6666">
            <w:pPr>
              <w:jc w:val="left"/>
              <w:rPr>
                <w:rFonts w:cs="Arial"/>
                <w:sz w:val="16"/>
                <w:szCs w:val="16"/>
                <w:lang w:val="es-ES_tradnl"/>
              </w:rPr>
            </w:pPr>
          </w:p>
        </w:tc>
        <w:tc>
          <w:tcPr>
            <w:tcW w:w="305" w:type="dxa"/>
            <w:tcBorders>
              <w:bottom w:val="single" w:sz="4" w:space="0" w:color="D9D9D9" w:themeColor="background1" w:themeShade="D9"/>
              <w:right w:val="nil"/>
            </w:tcBorders>
          </w:tcPr>
          <w:p w14:paraId="5F6DC4BD" w14:textId="77777777" w:rsidR="008F776F" w:rsidRPr="008F776F" w:rsidRDefault="008F776F" w:rsidP="00DB6666">
            <w:pPr>
              <w:jc w:val="center"/>
              <w:rPr>
                <w:rFonts w:cs="Arial"/>
                <w:sz w:val="16"/>
                <w:szCs w:val="16"/>
                <w:lang w:val="es-ES_tradnl"/>
              </w:rPr>
            </w:pPr>
          </w:p>
        </w:tc>
        <w:tc>
          <w:tcPr>
            <w:tcW w:w="2535" w:type="dxa"/>
            <w:tcBorders>
              <w:left w:val="nil"/>
              <w:bottom w:val="single" w:sz="4" w:space="0" w:color="D9D9D9" w:themeColor="background1" w:themeShade="D9"/>
            </w:tcBorders>
          </w:tcPr>
          <w:p w14:paraId="11217927" w14:textId="77777777" w:rsidR="008F776F" w:rsidRPr="008F776F" w:rsidRDefault="008F776F" w:rsidP="00DB6666">
            <w:pPr>
              <w:ind w:left="284"/>
              <w:jc w:val="left"/>
              <w:rPr>
                <w:rFonts w:cs="Arial"/>
                <w:sz w:val="16"/>
                <w:szCs w:val="16"/>
                <w:lang w:val="es-ES_tradnl"/>
              </w:rPr>
            </w:pPr>
            <w:r w:rsidRPr="008F776F">
              <w:rPr>
                <w:sz w:val="16"/>
                <w:lang w:val="es-ES_tradnl"/>
              </w:rPr>
              <w:t>Número de títulos en vigor en los miembros de la UPOV</w:t>
            </w:r>
          </w:p>
        </w:tc>
        <w:tc>
          <w:tcPr>
            <w:tcW w:w="1554" w:type="dxa"/>
            <w:tcBorders>
              <w:bottom w:val="single" w:sz="4" w:space="0" w:color="D9D9D9" w:themeColor="background1" w:themeShade="D9"/>
            </w:tcBorders>
            <w:vAlign w:val="center"/>
          </w:tcPr>
          <w:p w14:paraId="4C3195A0" w14:textId="77777777" w:rsidR="008F776F" w:rsidRPr="008F776F" w:rsidRDefault="008F776F" w:rsidP="00DB6666">
            <w:pPr>
              <w:ind w:right="221"/>
              <w:jc w:val="right"/>
              <w:rPr>
                <w:rFonts w:cs="Arial"/>
                <w:sz w:val="16"/>
                <w:szCs w:val="16"/>
                <w:lang w:val="es-ES_tradnl"/>
              </w:rPr>
            </w:pPr>
            <w:r w:rsidRPr="008F776F">
              <w:rPr>
                <w:sz w:val="16"/>
                <w:lang w:val="es-ES_tradnl"/>
              </w:rPr>
              <w:t>155.122 (2021)</w:t>
            </w:r>
          </w:p>
        </w:tc>
        <w:tc>
          <w:tcPr>
            <w:tcW w:w="1559" w:type="dxa"/>
            <w:tcBorders>
              <w:bottom w:val="single" w:sz="4" w:space="0" w:color="D9D9D9" w:themeColor="background1" w:themeShade="D9"/>
            </w:tcBorders>
            <w:vAlign w:val="center"/>
          </w:tcPr>
          <w:p w14:paraId="2545E767" w14:textId="77777777" w:rsidR="008F776F" w:rsidRPr="008F776F" w:rsidRDefault="008F776F" w:rsidP="00DB6666">
            <w:pPr>
              <w:ind w:right="230"/>
              <w:jc w:val="right"/>
              <w:rPr>
                <w:rFonts w:cs="Arial"/>
                <w:sz w:val="16"/>
                <w:szCs w:val="16"/>
                <w:lang w:val="es-ES_tradnl"/>
              </w:rPr>
            </w:pPr>
            <w:r w:rsidRPr="008F776F">
              <w:rPr>
                <w:sz w:val="16"/>
                <w:lang w:val="es-ES_tradnl"/>
              </w:rPr>
              <w:t>170.000 (2024)</w:t>
            </w:r>
          </w:p>
        </w:tc>
      </w:tr>
      <w:tr w:rsidR="008F776F" w:rsidRPr="008F776F" w14:paraId="3EEAC25C" w14:textId="77777777" w:rsidTr="00DB6666">
        <w:tc>
          <w:tcPr>
            <w:tcW w:w="426" w:type="dxa"/>
            <w:tcBorders>
              <w:top w:val="single" w:sz="4" w:space="0" w:color="D9D9D9" w:themeColor="background1" w:themeShade="D9"/>
            </w:tcBorders>
          </w:tcPr>
          <w:p w14:paraId="5F1C5F99" w14:textId="77777777" w:rsidR="008F776F" w:rsidRPr="008F776F" w:rsidRDefault="008F776F" w:rsidP="00DB6666">
            <w:pPr>
              <w:jc w:val="left"/>
              <w:rPr>
                <w:rFonts w:cs="Arial"/>
                <w:sz w:val="16"/>
                <w:szCs w:val="16"/>
                <w:lang w:val="es-ES_tradnl"/>
              </w:rPr>
            </w:pPr>
            <w:r w:rsidRPr="008F776F">
              <w:rPr>
                <w:sz w:val="16"/>
                <w:lang w:val="es-ES_tradnl"/>
              </w:rPr>
              <w:t>1.2</w:t>
            </w:r>
          </w:p>
        </w:tc>
        <w:tc>
          <w:tcPr>
            <w:tcW w:w="3255" w:type="dxa"/>
            <w:tcBorders>
              <w:top w:val="single" w:sz="4" w:space="0" w:color="D9D9D9" w:themeColor="background1" w:themeShade="D9"/>
            </w:tcBorders>
          </w:tcPr>
          <w:p w14:paraId="5E8C47B9" w14:textId="77777777" w:rsidR="008F776F" w:rsidRPr="008F776F" w:rsidRDefault="008F776F" w:rsidP="00DB6666">
            <w:pPr>
              <w:jc w:val="left"/>
              <w:rPr>
                <w:rFonts w:cs="Arial"/>
                <w:sz w:val="16"/>
                <w:szCs w:val="16"/>
                <w:lang w:val="es-ES_tradnl"/>
              </w:rPr>
            </w:pPr>
            <w:r w:rsidRPr="008F776F">
              <w:rPr>
                <w:sz w:val="16"/>
                <w:lang w:val="es-ES_tradnl"/>
              </w:rPr>
              <w:t>Elaboración de legislación sobre la protección de las obtenciones vegetales de conformidad con el Acta de 1991 del Convenio de la UPOV</w:t>
            </w:r>
          </w:p>
        </w:tc>
        <w:tc>
          <w:tcPr>
            <w:tcW w:w="305" w:type="dxa"/>
            <w:tcBorders>
              <w:top w:val="single" w:sz="4" w:space="0" w:color="D9D9D9" w:themeColor="background1" w:themeShade="D9"/>
            </w:tcBorders>
          </w:tcPr>
          <w:p w14:paraId="46A86790" w14:textId="77777777" w:rsidR="008F776F" w:rsidRPr="008F776F" w:rsidRDefault="008F776F" w:rsidP="00DB6666">
            <w:pPr>
              <w:jc w:val="center"/>
              <w:rPr>
                <w:rFonts w:cs="Arial"/>
                <w:sz w:val="16"/>
                <w:szCs w:val="16"/>
                <w:lang w:val="es-ES_tradnl"/>
              </w:rPr>
            </w:pPr>
          </w:p>
        </w:tc>
        <w:tc>
          <w:tcPr>
            <w:tcW w:w="2535" w:type="dxa"/>
            <w:tcBorders>
              <w:top w:val="single" w:sz="4" w:space="0" w:color="D9D9D9" w:themeColor="background1" w:themeShade="D9"/>
            </w:tcBorders>
          </w:tcPr>
          <w:p w14:paraId="4599D39B" w14:textId="77777777" w:rsidR="008F776F" w:rsidRPr="008F776F" w:rsidRDefault="008F776F" w:rsidP="00DB6666">
            <w:pPr>
              <w:jc w:val="left"/>
              <w:rPr>
                <w:rFonts w:cs="Arial"/>
                <w:sz w:val="16"/>
                <w:szCs w:val="16"/>
                <w:lang w:val="es-ES_tradnl"/>
              </w:rPr>
            </w:pPr>
            <w:r w:rsidRPr="008F776F">
              <w:rPr>
                <w:sz w:val="16"/>
                <w:lang w:val="es-ES_tradnl"/>
              </w:rPr>
              <w:t>Número de Estados u organizaciones que se hacen miembros de la UPOV</w:t>
            </w:r>
          </w:p>
        </w:tc>
        <w:tc>
          <w:tcPr>
            <w:tcW w:w="1554" w:type="dxa"/>
            <w:tcBorders>
              <w:top w:val="single" w:sz="4" w:space="0" w:color="D9D9D9" w:themeColor="background1" w:themeShade="D9"/>
            </w:tcBorders>
            <w:vAlign w:val="bottom"/>
          </w:tcPr>
          <w:p w14:paraId="3957C869" w14:textId="77777777" w:rsidR="008F776F" w:rsidRPr="008F776F" w:rsidRDefault="008F776F" w:rsidP="00DB6666">
            <w:pPr>
              <w:jc w:val="left"/>
              <w:rPr>
                <w:rFonts w:cs="Arial"/>
                <w:sz w:val="16"/>
                <w:szCs w:val="16"/>
                <w:lang w:val="es-ES_tradnl"/>
              </w:rPr>
            </w:pPr>
          </w:p>
        </w:tc>
        <w:tc>
          <w:tcPr>
            <w:tcW w:w="1559" w:type="dxa"/>
            <w:tcBorders>
              <w:top w:val="single" w:sz="4" w:space="0" w:color="D9D9D9" w:themeColor="background1" w:themeShade="D9"/>
            </w:tcBorders>
            <w:vAlign w:val="bottom"/>
          </w:tcPr>
          <w:p w14:paraId="77B03B95" w14:textId="77777777" w:rsidR="008F776F" w:rsidRPr="008F776F" w:rsidRDefault="008F776F" w:rsidP="00DB6666">
            <w:pPr>
              <w:jc w:val="center"/>
              <w:rPr>
                <w:rFonts w:cs="Arial"/>
                <w:sz w:val="16"/>
                <w:szCs w:val="16"/>
                <w:lang w:val="es-ES_tradnl"/>
              </w:rPr>
            </w:pPr>
          </w:p>
        </w:tc>
      </w:tr>
      <w:tr w:rsidR="008F776F" w:rsidRPr="008F776F" w14:paraId="635726AF" w14:textId="77777777" w:rsidTr="00DB6666">
        <w:tc>
          <w:tcPr>
            <w:tcW w:w="426" w:type="dxa"/>
            <w:tcBorders>
              <w:bottom w:val="single" w:sz="4" w:space="0" w:color="D9D9D9" w:themeColor="background1" w:themeShade="D9"/>
            </w:tcBorders>
          </w:tcPr>
          <w:p w14:paraId="4F2F0762" w14:textId="77777777" w:rsidR="008F776F" w:rsidRPr="008F776F" w:rsidRDefault="008F776F" w:rsidP="00DB6666">
            <w:pPr>
              <w:jc w:val="left"/>
              <w:rPr>
                <w:rFonts w:cs="Arial"/>
                <w:sz w:val="16"/>
                <w:szCs w:val="16"/>
                <w:lang w:val="es-ES_tradnl"/>
              </w:rPr>
            </w:pPr>
          </w:p>
        </w:tc>
        <w:tc>
          <w:tcPr>
            <w:tcW w:w="3255" w:type="dxa"/>
            <w:tcBorders>
              <w:bottom w:val="single" w:sz="4" w:space="0" w:color="D9D9D9" w:themeColor="background1" w:themeShade="D9"/>
            </w:tcBorders>
          </w:tcPr>
          <w:p w14:paraId="5A3B0AC6" w14:textId="77777777" w:rsidR="008F776F" w:rsidRPr="008F776F" w:rsidRDefault="008F776F" w:rsidP="00DB6666">
            <w:pPr>
              <w:jc w:val="left"/>
              <w:rPr>
                <w:rFonts w:cs="Arial"/>
                <w:sz w:val="16"/>
                <w:szCs w:val="16"/>
                <w:lang w:val="es-ES_tradnl"/>
              </w:rPr>
            </w:pPr>
          </w:p>
        </w:tc>
        <w:tc>
          <w:tcPr>
            <w:tcW w:w="305" w:type="dxa"/>
            <w:tcBorders>
              <w:bottom w:val="single" w:sz="4" w:space="0" w:color="D9D9D9" w:themeColor="background1" w:themeShade="D9"/>
            </w:tcBorders>
          </w:tcPr>
          <w:p w14:paraId="26193568" w14:textId="77777777" w:rsidR="008F776F" w:rsidRPr="008F776F" w:rsidRDefault="008F776F" w:rsidP="00DB6666">
            <w:pPr>
              <w:jc w:val="center"/>
              <w:rPr>
                <w:rFonts w:cs="Arial"/>
                <w:sz w:val="16"/>
                <w:szCs w:val="16"/>
                <w:lang w:val="es-ES_tradnl"/>
              </w:rPr>
            </w:pPr>
          </w:p>
        </w:tc>
        <w:tc>
          <w:tcPr>
            <w:tcW w:w="2535" w:type="dxa"/>
            <w:tcBorders>
              <w:bottom w:val="single" w:sz="4" w:space="0" w:color="D9D9D9" w:themeColor="background1" w:themeShade="D9"/>
            </w:tcBorders>
          </w:tcPr>
          <w:p w14:paraId="3022AAB4" w14:textId="77777777" w:rsidR="008F776F" w:rsidRPr="008F776F" w:rsidRDefault="008F776F" w:rsidP="00DB6666">
            <w:pPr>
              <w:ind w:left="284"/>
              <w:jc w:val="left"/>
              <w:rPr>
                <w:rFonts w:cs="Arial"/>
                <w:sz w:val="16"/>
                <w:szCs w:val="16"/>
                <w:lang w:val="es-ES_tradnl"/>
              </w:rPr>
            </w:pPr>
            <w:r w:rsidRPr="008F776F">
              <w:rPr>
                <w:sz w:val="16"/>
                <w:lang w:val="es-ES_tradnl"/>
              </w:rPr>
              <w:t xml:space="preserve">Estados y organizaciones </w:t>
            </w:r>
            <w:r w:rsidRPr="008F776F">
              <w:rPr>
                <w:sz w:val="16"/>
                <w:lang w:val="es-ES_tradnl"/>
              </w:rPr>
              <w:br/>
              <w:t>que se hacen miembros de la Unión</w:t>
            </w:r>
          </w:p>
        </w:tc>
        <w:tc>
          <w:tcPr>
            <w:tcW w:w="1554" w:type="dxa"/>
            <w:tcBorders>
              <w:bottom w:val="single" w:sz="4" w:space="0" w:color="D9D9D9" w:themeColor="background1" w:themeShade="D9"/>
            </w:tcBorders>
            <w:vAlign w:val="center"/>
          </w:tcPr>
          <w:p w14:paraId="3CFB7FA7" w14:textId="77777777" w:rsidR="008F776F" w:rsidRPr="008F776F" w:rsidRDefault="008F776F" w:rsidP="00DB6666">
            <w:pPr>
              <w:jc w:val="center"/>
              <w:rPr>
                <w:rFonts w:cs="Arial"/>
                <w:sz w:val="16"/>
                <w:szCs w:val="16"/>
                <w:lang w:val="es-ES_tradnl"/>
              </w:rPr>
            </w:pPr>
            <w:r w:rsidRPr="008F776F">
              <w:rPr>
                <w:sz w:val="16"/>
                <w:lang w:val="es-ES_tradnl"/>
              </w:rPr>
              <w:t>1 al año (2020/21)</w:t>
            </w:r>
          </w:p>
        </w:tc>
        <w:tc>
          <w:tcPr>
            <w:tcW w:w="1559" w:type="dxa"/>
            <w:tcBorders>
              <w:bottom w:val="single" w:sz="4" w:space="0" w:color="D9D9D9" w:themeColor="background1" w:themeShade="D9"/>
            </w:tcBorders>
            <w:vAlign w:val="center"/>
          </w:tcPr>
          <w:p w14:paraId="175CEF5B" w14:textId="77777777" w:rsidR="008F776F" w:rsidRPr="008F776F" w:rsidRDefault="008F776F" w:rsidP="00DB6666">
            <w:pPr>
              <w:jc w:val="center"/>
              <w:rPr>
                <w:rFonts w:cs="Arial"/>
                <w:sz w:val="16"/>
                <w:szCs w:val="16"/>
                <w:lang w:val="es-ES_tradnl"/>
              </w:rPr>
            </w:pPr>
            <w:r w:rsidRPr="008F776F">
              <w:rPr>
                <w:sz w:val="16"/>
                <w:lang w:val="es-ES_tradnl"/>
              </w:rPr>
              <w:t>1 al año</w:t>
            </w:r>
          </w:p>
        </w:tc>
      </w:tr>
    </w:tbl>
    <w:p w14:paraId="2174035C" w14:textId="77777777" w:rsidR="008F776F" w:rsidRPr="008F776F" w:rsidRDefault="008F776F" w:rsidP="008F776F">
      <w:pPr>
        <w:rPr>
          <w:lang w:val="es-ES_tradnl"/>
        </w:rPr>
      </w:pPr>
    </w:p>
    <w:p w14:paraId="7AB19697" w14:textId="77777777" w:rsidR="008F776F" w:rsidRPr="008F776F" w:rsidRDefault="008F776F" w:rsidP="008F776F">
      <w:pPr>
        <w:rPr>
          <w:lang w:val="es-ES_tradnl"/>
        </w:rPr>
      </w:pPr>
    </w:p>
    <w:p w14:paraId="09EB2B93" w14:textId="77777777" w:rsidR="008F776F" w:rsidRPr="008F776F" w:rsidRDefault="008F776F" w:rsidP="009C3021">
      <w:pPr>
        <w:pStyle w:val="Heading2"/>
        <w:ind w:left="0" w:firstLine="0"/>
        <w:rPr>
          <w:lang w:val="es-ES_tradnl"/>
        </w:rPr>
      </w:pPr>
      <w:bookmarkStart w:id="436" w:name="_Toc141978859"/>
      <w:r w:rsidRPr="008F776F">
        <w:rPr>
          <w:lang w:val="es-ES_tradnl"/>
        </w:rPr>
        <w:lastRenderedPageBreak/>
        <w:t>Pilar 2: Proporcionar orientación y asistencia y facilitar la cooperación para la puesta en práctica del sistema de la UPOV</w:t>
      </w:r>
      <w:bookmarkEnd w:id="436"/>
      <w:r w:rsidRPr="008F776F">
        <w:rPr>
          <w:lang w:val="es-ES_tradnl"/>
        </w:rPr>
        <w:t xml:space="preserve"> </w:t>
      </w:r>
    </w:p>
    <w:p w14:paraId="1DF35EAD" w14:textId="77777777" w:rsidR="008F776F" w:rsidRPr="008F776F" w:rsidRDefault="008F776F" w:rsidP="008F776F">
      <w:pPr>
        <w:keepNext/>
        <w:jc w:val="left"/>
        <w:rPr>
          <w:b/>
          <w:lang w:val="es-ES_tradnl"/>
        </w:rPr>
      </w:pPr>
    </w:p>
    <w:p w14:paraId="1C83D623" w14:textId="77777777" w:rsidR="008F776F" w:rsidRPr="008F776F" w:rsidRDefault="008F776F" w:rsidP="008F776F">
      <w:pPr>
        <w:pStyle w:val="Heading3"/>
        <w:rPr>
          <w:sz w:val="20"/>
        </w:rPr>
      </w:pPr>
      <w:bookmarkStart w:id="437" w:name="_Toc141978860"/>
      <w:r w:rsidRPr="008F776F">
        <w:t>Estrategia para lograr los resultados previstos</w:t>
      </w:r>
      <w:bookmarkEnd w:id="437"/>
    </w:p>
    <w:p w14:paraId="08BAB48A" w14:textId="77777777" w:rsidR="008F776F" w:rsidRPr="008F776F" w:rsidRDefault="008F776F" w:rsidP="008F776F">
      <w:pPr>
        <w:keepNext/>
        <w:rPr>
          <w:color w:val="000000" w:themeColor="text1"/>
          <w:lang w:val="es-ES_tradnl"/>
        </w:rPr>
      </w:pPr>
    </w:p>
    <w:p w14:paraId="7DACD1F8" w14:textId="77777777" w:rsidR="008F776F" w:rsidRPr="008F776F" w:rsidRDefault="008F776F" w:rsidP="008F776F">
      <w:pPr>
        <w:rPr>
          <w:color w:val="000000" w:themeColor="text1"/>
          <w:lang w:val="es-ES_tradnl"/>
        </w:rPr>
      </w:pPr>
      <w:r w:rsidRPr="008F776F">
        <w:rPr>
          <w:color w:val="000000" w:themeColor="text1"/>
          <w:lang w:val="es-ES_tradnl"/>
        </w:rPr>
        <w:fldChar w:fldCharType="begin"/>
      </w:r>
      <w:r w:rsidRPr="008F776F">
        <w:rPr>
          <w:color w:val="000000" w:themeColor="text1"/>
          <w:lang w:val="es-ES_tradnl"/>
        </w:rPr>
        <w:instrText xml:space="preserve"> AUTONUM  </w:instrText>
      </w:r>
      <w:r w:rsidRPr="008F776F">
        <w:rPr>
          <w:color w:val="000000" w:themeColor="text1"/>
          <w:lang w:val="es-ES_tradnl"/>
        </w:rPr>
        <w:fldChar w:fldCharType="end"/>
      </w:r>
      <w:r w:rsidRPr="008F776F">
        <w:rPr>
          <w:color w:val="000000" w:themeColor="text1"/>
          <w:lang w:val="es-ES_tradnl"/>
        </w:rPr>
        <w:tab/>
        <w:t>Este pilar estratégico engloba la labor de la UPOV dirigida a explicar el estímulo que supone su sistema para el desarrollo de obtenciones vegetales y el beneficio que reportan las nuevas variedades para la sociedad, así como la función que desempeña el sistema de la UPOV en relación con la agricultura y el desarrollo económico del sector rural. Un objetivo específico es sensibilizar a los Estados y las organizaciones intergubernamentales que no son miembros de la Unión sobre las ventajas que entraña la protección de las obtenciones vegetales con arreglo al Convenio de la UPOV y la condición de miembro de la UPOV. Cabe incluir también en este pilar el suministro de las orientaciones e informaciones que sean necesarias para el funcionamiento del sistema de protección de las obtenciones vegetales y el apoyo a la cooperación entre los miembros de la Unión, en particular la labor de armonización.</w:t>
      </w:r>
    </w:p>
    <w:p w14:paraId="6A000E01" w14:textId="77777777" w:rsidR="008F776F" w:rsidRPr="008F776F" w:rsidRDefault="008F776F" w:rsidP="008F776F">
      <w:pPr>
        <w:rPr>
          <w:color w:val="000000" w:themeColor="text1"/>
          <w:lang w:val="es-ES_tradnl"/>
        </w:rPr>
      </w:pPr>
    </w:p>
    <w:p w14:paraId="1F262065" w14:textId="77777777" w:rsidR="008F776F" w:rsidRPr="008F776F" w:rsidRDefault="008F776F" w:rsidP="008F776F">
      <w:pPr>
        <w:pStyle w:val="Heading4"/>
        <w:keepNext w:val="0"/>
        <w:tabs>
          <w:tab w:val="clear" w:pos="1418"/>
        </w:tabs>
        <w:ind w:left="1134" w:hanging="567"/>
        <w:rPr>
          <w:b/>
          <w:i/>
          <w:color w:val="26724C" w:themeColor="accent1" w:themeShade="BF"/>
          <w:u w:val="none"/>
          <w:lang w:val="es-ES_tradnl"/>
        </w:rPr>
      </w:pPr>
      <w:bookmarkStart w:id="438" w:name="_Toc117798890"/>
      <w:bookmarkStart w:id="439" w:name="_Toc107239595"/>
      <w:bookmarkStart w:id="440" w:name="_Toc107239345"/>
      <w:r w:rsidRPr="008F776F">
        <w:rPr>
          <w:b/>
          <w:i/>
          <w:color w:val="26724C" w:themeColor="accent1" w:themeShade="BF"/>
          <w:u w:val="none"/>
          <w:lang w:val="es-ES_tradnl"/>
        </w:rPr>
        <w:t>2.1</w:t>
      </w:r>
      <w:r w:rsidRPr="008F776F">
        <w:rPr>
          <w:b/>
          <w:i/>
          <w:color w:val="26724C" w:themeColor="accent1" w:themeShade="BF"/>
          <w:u w:val="none"/>
          <w:lang w:val="es-ES_tradnl"/>
        </w:rPr>
        <w:tab/>
        <w:t>Sensibilización sobre la función que cumple el sistema de la UPOV</w:t>
      </w:r>
      <w:bookmarkEnd w:id="438"/>
      <w:bookmarkEnd w:id="439"/>
      <w:bookmarkEnd w:id="440"/>
    </w:p>
    <w:p w14:paraId="14B588FA" w14:textId="77777777" w:rsidR="008F776F" w:rsidRPr="008F776F" w:rsidRDefault="008F776F" w:rsidP="008F776F">
      <w:pPr>
        <w:pStyle w:val="Heading5"/>
        <w:rPr>
          <w:lang w:val="es-ES_tradnl"/>
        </w:rPr>
      </w:pPr>
    </w:p>
    <w:p w14:paraId="1354A0D6"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En el marco de la estrategia de comunicación de la UPOV, la atención se centrará en el desarrollo de nueva información relativa a las ventajas que ofrece la protección de las variedades vegetales y la pertenencia a la UPOV. La Oficina de la Unión colaborará con los miembros de la Unión para desarrollar ejemplos ilustrativos, estudios de casos y datos que permitan comunicar los beneficios del sistema de la UPOV de formas que resulten atractivas, como por ejemplo a través de videos, viajes de estudio y estudios de impacto.</w:t>
      </w:r>
    </w:p>
    <w:p w14:paraId="30AAE631" w14:textId="77777777" w:rsidR="008F776F" w:rsidRPr="008F776F" w:rsidRDefault="008F776F" w:rsidP="008F776F">
      <w:pPr>
        <w:rPr>
          <w:lang w:val="es-ES_tradnl"/>
        </w:rPr>
      </w:pPr>
    </w:p>
    <w:p w14:paraId="274DC556"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 xml:space="preserve">La labor relacionada con las preguntas frecuentes y la infografía seguirá desempeñando un papel importante en la comunicación de los aspectos fundamentales del sistema de la UPOV y en la lucha contra la información errónea. La UPOV participará activamente en las reuniones y eventos de las organizaciones pertinentes y la Oficina de la Unión tratará de colaborar estrechamente con las secretarías de otras organizaciones para aumentar el conocimiento y la comprensión de la misión de la UPOV. </w:t>
      </w:r>
    </w:p>
    <w:p w14:paraId="6D983E6B" w14:textId="77777777" w:rsidR="008F776F" w:rsidRPr="008F776F" w:rsidRDefault="008F776F" w:rsidP="008F776F">
      <w:pPr>
        <w:rPr>
          <w:lang w:val="es-ES_tradnl"/>
        </w:rPr>
      </w:pPr>
    </w:p>
    <w:p w14:paraId="049F8855" w14:textId="77777777" w:rsidR="008F776F" w:rsidRPr="008F776F" w:rsidRDefault="008F776F" w:rsidP="008F776F">
      <w:pPr>
        <w:rPr>
          <w:color w:val="000000" w:themeColor="text1"/>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Los eventos y actividades tradicionales, como seminarios y talleres, seguirán desempeñando un papel fundamental en la divulgación.</w:t>
      </w:r>
      <w:r w:rsidRPr="008F776F">
        <w:rPr>
          <w:color w:val="000000" w:themeColor="text1"/>
          <w:lang w:val="es-ES_tradnl"/>
        </w:rPr>
        <w:t xml:space="preserve"> Sin embargo, se hará mayor hincapié en las actividades virtuales para ampliar el alcance, lograr una mayor repercusión, rebajar los costos y reducir el impacto de las actividades de la Oficina de la Unión en el medio ambiente.</w:t>
      </w:r>
    </w:p>
    <w:p w14:paraId="773DE949" w14:textId="77777777" w:rsidR="008F776F" w:rsidRPr="008F776F" w:rsidRDefault="008F776F" w:rsidP="008F776F">
      <w:pPr>
        <w:rPr>
          <w:color w:val="000000" w:themeColor="text1"/>
          <w:lang w:val="es-ES_tradnl"/>
        </w:rPr>
      </w:pPr>
    </w:p>
    <w:p w14:paraId="1D2B8F81"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Las redes sociales tendrán un papel cada vez más importante en la comunicación de la información.</w:t>
      </w:r>
    </w:p>
    <w:p w14:paraId="2B2D169D" w14:textId="77777777" w:rsidR="008F776F" w:rsidRPr="008F776F" w:rsidRDefault="008F776F" w:rsidP="008F776F">
      <w:pPr>
        <w:rPr>
          <w:lang w:val="es-ES_tradnl"/>
        </w:rPr>
      </w:pPr>
    </w:p>
    <w:p w14:paraId="7BC95B33"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La política de traducción de la UPOV tiene por objeto utilizar la traducción automática para aumentar la disponibilidad del material de la UPOV en diversos idiomas mediante una traducción cada vez más eficaz en función de los costos.</w:t>
      </w:r>
    </w:p>
    <w:p w14:paraId="76BCAF61" w14:textId="77777777" w:rsidR="008F776F" w:rsidRPr="008F776F" w:rsidRDefault="008F776F" w:rsidP="008F776F">
      <w:pPr>
        <w:jc w:val="left"/>
        <w:rPr>
          <w:bCs/>
          <w:lang w:val="es-ES_tradnl"/>
        </w:rPr>
      </w:pPr>
    </w:p>
    <w:p w14:paraId="3FA1262E" w14:textId="77777777" w:rsidR="008F776F" w:rsidRPr="008F776F" w:rsidRDefault="008F776F" w:rsidP="008F776F">
      <w:pPr>
        <w:pStyle w:val="Heading4"/>
        <w:keepNext w:val="0"/>
        <w:tabs>
          <w:tab w:val="clear" w:pos="1418"/>
        </w:tabs>
        <w:ind w:left="1134" w:hanging="567"/>
        <w:rPr>
          <w:b/>
          <w:i/>
          <w:color w:val="26724C" w:themeColor="accent1" w:themeShade="BF"/>
          <w:u w:val="none"/>
          <w:lang w:val="es-ES_tradnl"/>
        </w:rPr>
      </w:pPr>
      <w:bookmarkStart w:id="441" w:name="_Toc117798891"/>
      <w:bookmarkStart w:id="442" w:name="_Toc107239596"/>
      <w:bookmarkStart w:id="443" w:name="_Toc107239346"/>
      <w:r w:rsidRPr="008F776F">
        <w:rPr>
          <w:b/>
          <w:i/>
          <w:color w:val="26724C" w:themeColor="accent1" w:themeShade="BF"/>
          <w:u w:val="none"/>
          <w:lang w:val="es-ES_tradnl"/>
        </w:rPr>
        <w:t>2.2</w:t>
      </w:r>
      <w:r w:rsidRPr="008F776F">
        <w:rPr>
          <w:b/>
          <w:i/>
          <w:color w:val="26724C" w:themeColor="accent1" w:themeShade="BF"/>
          <w:u w:val="none"/>
          <w:lang w:val="es-ES_tradnl"/>
        </w:rPr>
        <w:tab/>
        <w:t>Orientación y asistencia sobre el Convenio de la UPOV y su aplicación</w:t>
      </w:r>
      <w:bookmarkEnd w:id="441"/>
      <w:bookmarkEnd w:id="442"/>
      <w:bookmarkEnd w:id="443"/>
    </w:p>
    <w:p w14:paraId="24429BFD" w14:textId="77777777" w:rsidR="008F776F" w:rsidRPr="008F776F" w:rsidRDefault="008F776F" w:rsidP="008F776F">
      <w:pPr>
        <w:keepNext/>
        <w:rPr>
          <w:lang w:val="es-ES_tradnl"/>
        </w:rPr>
      </w:pPr>
    </w:p>
    <w:p w14:paraId="2A66F441" w14:textId="77777777" w:rsidR="008F776F" w:rsidRPr="008F776F" w:rsidRDefault="008F776F" w:rsidP="008F776F">
      <w:pPr>
        <w:pStyle w:val="Heading5"/>
        <w:rPr>
          <w:lang w:val="es-ES_tradnl"/>
        </w:rPr>
      </w:pPr>
      <w:bookmarkStart w:id="444" w:name="_Toc117798892"/>
      <w:bookmarkStart w:id="445" w:name="_Toc107239597"/>
      <w:bookmarkStart w:id="446" w:name="_Toc107239347"/>
      <w:r w:rsidRPr="008F776F">
        <w:rPr>
          <w:lang w:val="es-ES_tradnl"/>
        </w:rPr>
        <w:t>Material de orientación e información</w:t>
      </w:r>
      <w:bookmarkEnd w:id="444"/>
      <w:bookmarkEnd w:id="445"/>
      <w:bookmarkEnd w:id="446"/>
    </w:p>
    <w:p w14:paraId="4AB5360F" w14:textId="77777777" w:rsidR="008F776F" w:rsidRPr="008F776F" w:rsidRDefault="008F776F" w:rsidP="008F776F">
      <w:pPr>
        <w:keepNext/>
        <w:rPr>
          <w:lang w:val="es-ES_tradnl"/>
        </w:rPr>
      </w:pPr>
    </w:p>
    <w:p w14:paraId="24E7AC20"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 xml:space="preserve">La UPOV seguirá actualizando y elaborando nuevo material de orientación de conformidad con los programas de trabajo de los órganos correspondientes. </w:t>
      </w:r>
    </w:p>
    <w:p w14:paraId="66C316D2" w14:textId="77777777" w:rsidR="008F776F" w:rsidRPr="008F776F" w:rsidRDefault="008F776F" w:rsidP="008F776F">
      <w:pPr>
        <w:rPr>
          <w:lang w:val="es-ES_tradnl"/>
        </w:rPr>
      </w:pPr>
    </w:p>
    <w:p w14:paraId="654F7644"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 xml:space="preserve">El material y los recursos de la Unión están disponibles en alemán, español, francés e inglés. Sin embargo, teniendo en cuenta la ampliación de la UPOV y el creciente interés que suscita la adhesión a la Unión, puede ser importante ofrecer el material y los recursos en un mayor número de idiomas. La traducción de los materiales y su puesta a disposición en distintos idiomas tiene importantes implicaciones en materia de recursos, por lo que el logro de este objetivo requerirá una serie de medidas de cooperación con los miembros de la Unión interesados. Sin embargo, los rápidos avances en la tecnología de la traducción automática ofrecen nuevas oportunidades para reducir los costos de traducción de los documentos de la UPOV a los distintos idiomas de la UPOV y para generar materiales en una mayor variedad de idiomas, por lo que se abordarán de forma prioritaria. </w:t>
      </w:r>
    </w:p>
    <w:p w14:paraId="3478F1D6" w14:textId="77777777" w:rsidR="008F776F" w:rsidRPr="008F776F" w:rsidRDefault="008F776F" w:rsidP="008F776F">
      <w:pPr>
        <w:tabs>
          <w:tab w:val="left" w:pos="851"/>
        </w:tabs>
        <w:rPr>
          <w:lang w:val="es-ES_tradnl"/>
        </w:rPr>
      </w:pPr>
    </w:p>
    <w:p w14:paraId="1EE25E22" w14:textId="77777777" w:rsidR="008F776F" w:rsidRPr="008F776F" w:rsidRDefault="008F776F" w:rsidP="008F776F">
      <w:pPr>
        <w:pStyle w:val="Heading5"/>
        <w:rPr>
          <w:lang w:val="es-ES_tradnl"/>
        </w:rPr>
      </w:pPr>
      <w:bookmarkStart w:id="447" w:name="_Toc117798893"/>
      <w:bookmarkStart w:id="448" w:name="_Toc107239598"/>
      <w:bookmarkStart w:id="449" w:name="_Toc107239348"/>
      <w:r w:rsidRPr="008F776F">
        <w:rPr>
          <w:lang w:val="es-ES_tradnl"/>
        </w:rPr>
        <w:t>Formación y asistencia</w:t>
      </w:r>
      <w:bookmarkEnd w:id="447"/>
      <w:bookmarkEnd w:id="448"/>
      <w:bookmarkEnd w:id="449"/>
    </w:p>
    <w:p w14:paraId="6D420B73" w14:textId="77777777" w:rsidR="008F776F" w:rsidRPr="008F776F" w:rsidRDefault="008F776F" w:rsidP="008F776F">
      <w:pPr>
        <w:tabs>
          <w:tab w:val="left" w:pos="851"/>
        </w:tabs>
        <w:rPr>
          <w:color w:val="000000" w:themeColor="text1"/>
          <w:lang w:val="es-ES_tradnl"/>
        </w:rPr>
      </w:pPr>
    </w:p>
    <w:p w14:paraId="19BE3776"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La estrategia de formación y asistencia de la UPOV sustenta las actividades en este ámbito.</w:t>
      </w:r>
    </w:p>
    <w:p w14:paraId="316266EF" w14:textId="77777777" w:rsidR="008F776F" w:rsidRPr="008F776F" w:rsidRDefault="008F776F" w:rsidP="008F776F">
      <w:pPr>
        <w:rPr>
          <w:lang w:val="es-ES_tradnl"/>
        </w:rPr>
      </w:pPr>
    </w:p>
    <w:p w14:paraId="2713BA17" w14:textId="77777777" w:rsidR="008F776F" w:rsidRPr="008F776F" w:rsidRDefault="008F776F" w:rsidP="008F776F">
      <w:pPr>
        <w:rPr>
          <w:lang w:val="es-ES_tradnl"/>
        </w:rPr>
      </w:pPr>
      <w:r w:rsidRPr="008F776F">
        <w:rPr>
          <w:lang w:val="es-ES_tradnl"/>
        </w:rPr>
        <w:lastRenderedPageBreak/>
        <w:fldChar w:fldCharType="begin"/>
      </w:r>
      <w:r w:rsidRPr="008F776F">
        <w:rPr>
          <w:lang w:val="es-ES_tradnl"/>
        </w:rPr>
        <w:instrText xml:space="preserve"> AUTONUM  </w:instrText>
      </w:r>
      <w:r w:rsidRPr="008F776F">
        <w:rPr>
          <w:lang w:val="es-ES_tradnl"/>
        </w:rPr>
        <w:fldChar w:fldCharType="end"/>
      </w:r>
      <w:r w:rsidRPr="008F776F">
        <w:rPr>
          <w:lang w:val="es-ES_tradnl"/>
        </w:rPr>
        <w:tab/>
        <w:t>Los cursos de enseñanza a distancia, el establecimiento de prioridades en las labores de asistencia de la Oficina de la Unión, la ayuda facilitada por los miembros de la Unión y la colaboración con otros proveedores de asistencia son algunos de los medios que se emplean, teniendo en cuenta los recursos disponibles, a fin de satisfacer la demanda de asistencia en la introducción y aplicación del sistema de la UPOV. El presente pilar temático cuenta con el respaldo del presupuesto ordinario, aunque los fondos extrapresupuestarios y la ayuda en especie aportan buena parte de los recursos que se destinan a la asistencia. A fin de utilizar los recursos disponibles de la manera más eficaz posible, la Oficina de la Unión seguirá aplicando criterios de prioridad a sus actividades y procurando encontrar sinergias con los miembros de la Unión y otros colaboradores.</w:t>
      </w:r>
    </w:p>
    <w:p w14:paraId="3AD6C0F9" w14:textId="77777777" w:rsidR="008F776F" w:rsidRPr="008F776F" w:rsidRDefault="008F776F" w:rsidP="008F776F">
      <w:pPr>
        <w:rPr>
          <w:lang w:val="es-ES_tradnl"/>
        </w:rPr>
      </w:pPr>
    </w:p>
    <w:p w14:paraId="5BB5E846" w14:textId="77777777" w:rsidR="008F776F" w:rsidRPr="008F776F" w:rsidRDefault="008F776F" w:rsidP="008F776F">
      <w:pPr>
        <w:rPr>
          <w:color w:val="000000" w:themeColor="text1"/>
          <w:lang w:val="es-ES_tradnl"/>
        </w:rPr>
      </w:pPr>
      <w:r w:rsidRPr="008F776F">
        <w:rPr>
          <w:color w:val="000000" w:themeColor="text1"/>
          <w:lang w:val="es-ES_tradnl"/>
        </w:rPr>
        <w:fldChar w:fldCharType="begin"/>
      </w:r>
      <w:r w:rsidRPr="008F776F">
        <w:rPr>
          <w:color w:val="000000" w:themeColor="text1"/>
          <w:lang w:val="es-ES_tradnl"/>
        </w:rPr>
        <w:instrText xml:space="preserve"> AUTONUM  </w:instrText>
      </w:r>
      <w:r w:rsidRPr="008F776F">
        <w:rPr>
          <w:color w:val="000000" w:themeColor="text1"/>
          <w:lang w:val="es-ES_tradnl"/>
        </w:rPr>
        <w:fldChar w:fldCharType="end"/>
      </w:r>
      <w:r w:rsidRPr="008F776F">
        <w:rPr>
          <w:color w:val="000000" w:themeColor="text1"/>
          <w:lang w:val="es-ES_tradnl"/>
        </w:rPr>
        <w:tab/>
        <w:t>El orden de prioridad para la prestación de asistencia por parte de la Oficina de la Unión seguirá siendo el siguiente:</w:t>
      </w:r>
    </w:p>
    <w:p w14:paraId="6C9C9AC5" w14:textId="77777777" w:rsidR="008F776F" w:rsidRPr="008F776F" w:rsidRDefault="008F776F" w:rsidP="008F776F">
      <w:pPr>
        <w:keepNext/>
        <w:rPr>
          <w:color w:val="000000" w:themeColor="text1"/>
          <w:lang w:val="es-ES_tradnl"/>
        </w:rPr>
      </w:pPr>
    </w:p>
    <w:p w14:paraId="4EEA737F" w14:textId="77777777" w:rsidR="008F776F" w:rsidRPr="008F776F" w:rsidRDefault="008F776F" w:rsidP="008F776F">
      <w:pPr>
        <w:keepNext/>
        <w:spacing w:after="120"/>
        <w:ind w:left="567"/>
        <w:rPr>
          <w:color w:val="000000" w:themeColor="text1"/>
          <w:lang w:val="es-ES_tradnl"/>
        </w:rPr>
      </w:pPr>
      <w:r w:rsidRPr="008F776F">
        <w:rPr>
          <w:color w:val="000000" w:themeColor="text1"/>
          <w:lang w:val="es-ES_tradnl"/>
        </w:rPr>
        <w:t>i)</w:t>
      </w:r>
      <w:r w:rsidRPr="008F776F">
        <w:rPr>
          <w:color w:val="000000" w:themeColor="text1"/>
          <w:lang w:val="es-ES_tradnl"/>
        </w:rPr>
        <w:tab/>
        <w:t>asistencia a los miembros actuales de la Unión;</w:t>
      </w:r>
    </w:p>
    <w:p w14:paraId="135DB9C3" w14:textId="77777777" w:rsidR="008F776F" w:rsidRPr="008F776F" w:rsidRDefault="008F776F" w:rsidP="008F776F">
      <w:pPr>
        <w:spacing w:after="120"/>
        <w:ind w:left="1134" w:hanging="567"/>
        <w:rPr>
          <w:color w:val="000000" w:themeColor="text1"/>
          <w:lang w:val="es-ES_tradnl"/>
        </w:rPr>
      </w:pPr>
      <w:proofErr w:type="spellStart"/>
      <w:r w:rsidRPr="008F776F">
        <w:rPr>
          <w:color w:val="000000" w:themeColor="text1"/>
          <w:lang w:val="es-ES_tradnl"/>
        </w:rPr>
        <w:t>ii</w:t>
      </w:r>
      <w:proofErr w:type="spellEnd"/>
      <w:r w:rsidRPr="008F776F">
        <w:rPr>
          <w:color w:val="000000" w:themeColor="text1"/>
          <w:lang w:val="es-ES_tradnl"/>
        </w:rPr>
        <w:t>)</w:t>
      </w:r>
      <w:r w:rsidRPr="008F776F">
        <w:rPr>
          <w:color w:val="000000" w:themeColor="text1"/>
          <w:lang w:val="es-ES_tradnl"/>
        </w:rPr>
        <w:tab/>
        <w:t>asistencia a los Estados y a determinadas organizaciones que no son miembros de la Unión, concretamente los gobiernos de los países en desarrollo y los países en transición a una economía de mercado, con miras a la elaboración de legislación conforme al Acta de 1991 del Convenio de la UPOV y a su adhesión al Convenio de la UPOV; y</w:t>
      </w:r>
    </w:p>
    <w:p w14:paraId="0DAC3387" w14:textId="77777777" w:rsidR="008F776F" w:rsidRPr="008F776F" w:rsidRDefault="008F776F" w:rsidP="008F776F">
      <w:pPr>
        <w:tabs>
          <w:tab w:val="left" w:pos="567"/>
        </w:tabs>
        <w:ind w:left="1134" w:hanging="567"/>
        <w:rPr>
          <w:color w:val="000000" w:themeColor="text1"/>
          <w:lang w:val="es-ES_tradnl"/>
        </w:rPr>
      </w:pPr>
      <w:proofErr w:type="spellStart"/>
      <w:r w:rsidRPr="008F776F">
        <w:rPr>
          <w:color w:val="000000" w:themeColor="text1"/>
          <w:lang w:val="es-ES_tradnl"/>
        </w:rPr>
        <w:t>iii</w:t>
      </w:r>
      <w:proofErr w:type="spellEnd"/>
      <w:r w:rsidRPr="008F776F">
        <w:rPr>
          <w:color w:val="000000" w:themeColor="text1"/>
          <w:lang w:val="es-ES_tradnl"/>
        </w:rPr>
        <w:t>)</w:t>
      </w:r>
      <w:r w:rsidRPr="008F776F">
        <w:rPr>
          <w:color w:val="000000" w:themeColor="text1"/>
          <w:lang w:val="es-ES_tradnl"/>
        </w:rPr>
        <w:tab/>
        <w:t>asistencia a los Estados y a determinadas organizaciones que no son miembros de la Unión en la aplicación de la legislación que haya suscitado una decisión positiva del Consejo en relación con su adhesión al Convenio de la UPOV.</w:t>
      </w:r>
    </w:p>
    <w:p w14:paraId="224172AC" w14:textId="77777777" w:rsidR="008F776F" w:rsidRPr="008F776F" w:rsidRDefault="008F776F" w:rsidP="008F776F">
      <w:pPr>
        <w:tabs>
          <w:tab w:val="left" w:pos="851"/>
        </w:tabs>
        <w:rPr>
          <w:color w:val="000000" w:themeColor="text1"/>
          <w:lang w:val="es-ES_tradnl"/>
        </w:rPr>
      </w:pPr>
    </w:p>
    <w:p w14:paraId="43D905E7"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 xml:space="preserve">Las reuniones, seminarios, talleres, formaciones y otros eventos y actividades seguirán desempeñando un papel fundamental en las labores de asistencia. Sin embargo, se hará mayor hincapié en las actividades virtuales para ampliar el alcance, lograr una mayor repercusión, rebajar los costos y reducir el impacto de las actividades de la Oficina de la Unión en el medio ambiente. </w:t>
      </w:r>
    </w:p>
    <w:p w14:paraId="77C44B74" w14:textId="77777777" w:rsidR="008F776F" w:rsidRPr="008F776F" w:rsidRDefault="008F776F" w:rsidP="008F776F">
      <w:pPr>
        <w:rPr>
          <w:lang w:val="es-ES_tradnl"/>
        </w:rPr>
      </w:pPr>
    </w:p>
    <w:p w14:paraId="408F877E"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Se prevé que UPOV e</w:t>
      </w:r>
      <w:r w:rsidRPr="008F776F">
        <w:rPr>
          <w:lang w:val="es-ES_tradnl"/>
        </w:rPr>
        <w:noBreakHyphen/>
        <w:t xml:space="preserve">PVP (sección 3.1) complemente la labor de formación y capacitación proporcionando asistencia práctica a los miembros de la Unión en la aplicación del sistema de protección de las obtenciones vegetales. </w:t>
      </w:r>
    </w:p>
    <w:p w14:paraId="5D4DCB68" w14:textId="77777777" w:rsidR="008F776F" w:rsidRPr="008F776F" w:rsidRDefault="008F776F" w:rsidP="008F776F">
      <w:pPr>
        <w:rPr>
          <w:lang w:val="es-ES_tradnl"/>
        </w:rPr>
      </w:pPr>
    </w:p>
    <w:p w14:paraId="0C813E6F"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Con el fin de aprovechar las diversas iniciativas de formación que ofrecen la UPOV y sus miembros, la UPOV creará un “certificado internacional de protección de las variedades vegetales”.</w:t>
      </w:r>
    </w:p>
    <w:p w14:paraId="5544E025" w14:textId="77777777" w:rsidR="008F776F" w:rsidRPr="008F776F" w:rsidRDefault="008F776F" w:rsidP="008F776F">
      <w:pPr>
        <w:tabs>
          <w:tab w:val="left" w:pos="851"/>
        </w:tabs>
        <w:rPr>
          <w:color w:val="000000" w:themeColor="text1"/>
          <w:lang w:val="es-ES_tradnl"/>
        </w:rPr>
      </w:pPr>
    </w:p>
    <w:p w14:paraId="4E57D1A5" w14:textId="77777777" w:rsidR="008F776F" w:rsidRPr="008F776F" w:rsidRDefault="008F776F" w:rsidP="008F776F">
      <w:pPr>
        <w:pStyle w:val="Heading4"/>
        <w:keepNext w:val="0"/>
        <w:tabs>
          <w:tab w:val="clear" w:pos="1418"/>
        </w:tabs>
        <w:ind w:left="1134" w:hanging="567"/>
        <w:rPr>
          <w:b/>
          <w:i/>
          <w:color w:val="26724C" w:themeColor="accent1" w:themeShade="BF"/>
          <w:u w:val="none"/>
          <w:lang w:val="es-ES_tradnl"/>
        </w:rPr>
      </w:pPr>
      <w:bookmarkStart w:id="450" w:name="_Toc117798894"/>
      <w:bookmarkStart w:id="451" w:name="_Toc107239599"/>
      <w:bookmarkStart w:id="452" w:name="_Toc107239349"/>
      <w:r w:rsidRPr="008F776F">
        <w:rPr>
          <w:b/>
          <w:i/>
          <w:color w:val="26724C" w:themeColor="accent1" w:themeShade="BF"/>
          <w:u w:val="none"/>
          <w:lang w:val="es-ES_tradnl"/>
        </w:rPr>
        <w:t>2.3</w:t>
      </w:r>
      <w:r w:rsidRPr="008F776F">
        <w:rPr>
          <w:b/>
          <w:i/>
          <w:color w:val="26724C" w:themeColor="accent1" w:themeShade="BF"/>
          <w:u w:val="none"/>
          <w:lang w:val="es-ES_tradnl"/>
        </w:rPr>
        <w:tab/>
        <w:t>Mayor armonización y cooperación en los exámenes</w:t>
      </w:r>
      <w:bookmarkEnd w:id="450"/>
      <w:bookmarkEnd w:id="451"/>
      <w:bookmarkEnd w:id="452"/>
    </w:p>
    <w:p w14:paraId="1A12777E" w14:textId="77777777" w:rsidR="008F776F" w:rsidRPr="008F776F" w:rsidRDefault="008F776F" w:rsidP="008F776F">
      <w:pPr>
        <w:tabs>
          <w:tab w:val="left" w:pos="851"/>
        </w:tabs>
        <w:rPr>
          <w:color w:val="000000" w:themeColor="text1"/>
          <w:lang w:val="es-ES_tradnl"/>
        </w:rPr>
      </w:pPr>
    </w:p>
    <w:p w14:paraId="517EDA5D" w14:textId="77777777" w:rsidR="008F776F" w:rsidRPr="008F776F" w:rsidRDefault="008F776F" w:rsidP="008F776F">
      <w:pPr>
        <w:rPr>
          <w:bCs/>
          <w:color w:val="000000" w:themeColor="text1"/>
          <w:szCs w:val="24"/>
          <w:lang w:val="es-ES_tradnl"/>
        </w:rPr>
      </w:pPr>
      <w:r w:rsidRPr="008F776F">
        <w:rPr>
          <w:color w:val="000000" w:themeColor="text1"/>
          <w:lang w:val="es-ES_tradnl"/>
        </w:rPr>
        <w:fldChar w:fldCharType="begin"/>
      </w:r>
      <w:r w:rsidRPr="008F776F">
        <w:rPr>
          <w:color w:val="000000" w:themeColor="text1"/>
          <w:lang w:val="es-ES_tradnl"/>
        </w:rPr>
        <w:instrText xml:space="preserve"> AUTONUM  </w:instrText>
      </w:r>
      <w:r w:rsidRPr="008F776F">
        <w:rPr>
          <w:color w:val="000000" w:themeColor="text1"/>
          <w:lang w:val="es-ES_tradnl"/>
        </w:rPr>
        <w:fldChar w:fldCharType="end"/>
      </w:r>
      <w:r w:rsidRPr="008F776F">
        <w:rPr>
          <w:color w:val="000000" w:themeColor="text1"/>
          <w:lang w:val="es-ES_tradnl"/>
        </w:rPr>
        <w:tab/>
        <w:t>La cooperación entre los miembros de la Unión es una característica fundamental del sistema de la UPOV y constituye la base de su eficiencia, que se traduce en una disponibilidad más rápida de nuevas variedades para los obtentores y a un menor costo. Para responder a los retos a los que se enfrenta la agricultura, especialmente en relación con el cambio climático y la seguridad alimentaria, se dará prioridad a una mayor cooperación que aumente la disponibilidad de variedades vegetales. En este sentido, los órganos de la UPOV seguirán trabajando para determinar las medidas e instrumentos que pueden facilitar la cooperación de forma voluntaria. En el Comité Técnico se está llevando a cabo una revisión para evaluar la posibilidad de que su labor sea más eficaz, sobre todo con vistas a aumentar la cooperación como beneficio fundamental de la pertenencia a la UPOV (sección 1.1).</w:t>
      </w:r>
    </w:p>
    <w:p w14:paraId="0A8C0777" w14:textId="77777777" w:rsidR="008F776F" w:rsidRPr="008F776F" w:rsidRDefault="008F776F" w:rsidP="008F776F">
      <w:pPr>
        <w:rPr>
          <w:bCs/>
          <w:color w:val="000000" w:themeColor="text1"/>
          <w:szCs w:val="24"/>
          <w:lang w:val="es-ES_tradnl"/>
        </w:rPr>
      </w:pPr>
    </w:p>
    <w:p w14:paraId="3907265D" w14:textId="77777777" w:rsidR="008F776F" w:rsidRPr="008F776F" w:rsidRDefault="008F776F" w:rsidP="008F776F">
      <w:pPr>
        <w:rPr>
          <w:bCs/>
          <w:color w:val="000000" w:themeColor="text1"/>
          <w:szCs w:val="24"/>
          <w:lang w:val="es-ES_tradnl"/>
        </w:rPr>
      </w:pPr>
      <w:r w:rsidRPr="008F776F">
        <w:rPr>
          <w:color w:val="000000" w:themeColor="text1"/>
          <w:lang w:val="es-ES_tradnl"/>
        </w:rPr>
        <w:fldChar w:fldCharType="begin"/>
      </w:r>
      <w:r w:rsidRPr="008F776F">
        <w:rPr>
          <w:color w:val="000000" w:themeColor="text1"/>
          <w:lang w:val="es-ES_tradnl"/>
        </w:rPr>
        <w:instrText xml:space="preserve"> AUTONUM  </w:instrText>
      </w:r>
      <w:r w:rsidRPr="008F776F">
        <w:rPr>
          <w:color w:val="000000" w:themeColor="text1"/>
          <w:lang w:val="es-ES_tradnl"/>
        </w:rPr>
        <w:fldChar w:fldCharType="end"/>
      </w:r>
      <w:r w:rsidRPr="008F776F">
        <w:rPr>
          <w:color w:val="000000" w:themeColor="text1"/>
          <w:lang w:val="es-ES_tradnl"/>
        </w:rPr>
        <w:tab/>
        <w:t>Se prevé que la introducción de un “certificado internacional de protección de las variedades vegetales” facilite la cooperación entre los miembros de la Unión al proporcionar un indicador de las competencias adquiridas por los profesionales y examinadores de las oficinas de protección de las obtenciones vegetales (sección 2.2).</w:t>
      </w:r>
    </w:p>
    <w:p w14:paraId="62579839" w14:textId="77777777" w:rsidR="008F776F" w:rsidRPr="008F776F" w:rsidRDefault="008F776F" w:rsidP="008F776F">
      <w:pPr>
        <w:rPr>
          <w:bCs/>
          <w:color w:val="000000" w:themeColor="text1"/>
          <w:szCs w:val="24"/>
          <w:lang w:val="es-ES_tradnl"/>
        </w:rPr>
      </w:pPr>
    </w:p>
    <w:p w14:paraId="5577A5C3" w14:textId="77777777" w:rsidR="008F776F" w:rsidRPr="008F776F" w:rsidRDefault="008F776F" w:rsidP="008F776F">
      <w:pPr>
        <w:rPr>
          <w:bCs/>
          <w:szCs w:val="24"/>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 xml:space="preserve">El Comité Técnico ha identificado una serie de cuestiones técnicas, administrativas, normativas y jurídicas que pueden convertirse en obstáculos para una mayor cooperación en el examen DHE. Un objetivo clave en el bienio </w:t>
      </w:r>
      <w:r w:rsidRPr="008F776F">
        <w:rPr>
          <w:snapToGrid w:val="0"/>
          <w:lang w:val="es-ES_tradnl"/>
        </w:rPr>
        <w:t>2024</w:t>
      </w:r>
      <w:r w:rsidRPr="008F776F">
        <w:rPr>
          <w:snapToGrid w:val="0"/>
          <w:lang w:val="es-ES_tradnl"/>
        </w:rPr>
        <w:noBreakHyphen/>
        <w:t>2025</w:t>
      </w:r>
      <w:r w:rsidRPr="008F776F">
        <w:rPr>
          <w:lang w:val="es-ES_tradnl"/>
        </w:rPr>
        <w:t xml:space="preserve"> será abordar estos posibles obstáculos para incrementar la cooperación y la eficacia del examen DHE.</w:t>
      </w:r>
    </w:p>
    <w:p w14:paraId="6A1F089F" w14:textId="77777777" w:rsidR="008F776F" w:rsidRPr="008F776F" w:rsidRDefault="008F776F" w:rsidP="008F776F">
      <w:pPr>
        <w:rPr>
          <w:bCs/>
          <w:szCs w:val="24"/>
          <w:lang w:val="es-ES_tradnl"/>
        </w:rPr>
      </w:pPr>
    </w:p>
    <w:p w14:paraId="439AB359" w14:textId="77777777" w:rsidR="008F776F" w:rsidRPr="008F776F" w:rsidRDefault="008F776F" w:rsidP="008F776F">
      <w:pPr>
        <w:pStyle w:val="Heading3"/>
      </w:pPr>
      <w:bookmarkStart w:id="453" w:name="_Toc141978861"/>
      <w:r w:rsidRPr="008F776F">
        <w:lastRenderedPageBreak/>
        <w:t>Resultados previstos e indicadores de rendimiento</w:t>
      </w:r>
      <w:bookmarkEnd w:id="453"/>
    </w:p>
    <w:p w14:paraId="20DF3347" w14:textId="77777777" w:rsidR="008F776F" w:rsidRPr="008F776F" w:rsidRDefault="008F776F" w:rsidP="008F776F">
      <w:pPr>
        <w:keepNext/>
        <w:rPr>
          <w:bCs/>
          <w:lang w:val="es-ES_tradnl"/>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535"/>
        <w:gridCol w:w="1554"/>
        <w:gridCol w:w="1559"/>
      </w:tblGrid>
      <w:tr w:rsidR="008F776F" w:rsidRPr="008F776F" w14:paraId="51172803" w14:textId="77777777" w:rsidTr="00DB6666">
        <w:trPr>
          <w:tblHeader/>
        </w:trPr>
        <w:tc>
          <w:tcPr>
            <w:tcW w:w="426" w:type="dxa"/>
            <w:tcBorders>
              <w:bottom w:val="single" w:sz="4" w:space="0" w:color="D9D9D9" w:themeColor="background1" w:themeShade="D9"/>
            </w:tcBorders>
            <w:shd w:val="clear" w:color="auto" w:fill="E2E7EB" w:themeFill="accent3" w:themeFillTint="33"/>
          </w:tcPr>
          <w:p w14:paraId="2DBEEB62" w14:textId="77777777" w:rsidR="008F776F" w:rsidRPr="008F776F" w:rsidRDefault="008F776F" w:rsidP="00DB6666">
            <w:pPr>
              <w:jc w:val="left"/>
              <w:rPr>
                <w:b/>
                <w:bCs/>
                <w:sz w:val="16"/>
                <w:szCs w:val="16"/>
                <w:lang w:val="es-ES_tradnl"/>
              </w:rPr>
            </w:pPr>
          </w:p>
        </w:tc>
        <w:tc>
          <w:tcPr>
            <w:tcW w:w="3255" w:type="dxa"/>
            <w:tcBorders>
              <w:bottom w:val="single" w:sz="4" w:space="0" w:color="D9D9D9" w:themeColor="background1" w:themeShade="D9"/>
            </w:tcBorders>
            <w:shd w:val="clear" w:color="auto" w:fill="E2E7EB" w:themeFill="accent3" w:themeFillTint="33"/>
          </w:tcPr>
          <w:p w14:paraId="1058D81C" w14:textId="77777777" w:rsidR="008F776F" w:rsidRPr="008F776F" w:rsidRDefault="008F776F" w:rsidP="00DB6666">
            <w:pPr>
              <w:jc w:val="left"/>
              <w:rPr>
                <w:b/>
                <w:bCs/>
                <w:sz w:val="16"/>
                <w:szCs w:val="16"/>
                <w:lang w:val="es-ES_tradnl"/>
              </w:rPr>
            </w:pPr>
            <w:r w:rsidRPr="008F776F">
              <w:rPr>
                <w:b/>
                <w:sz w:val="16"/>
                <w:lang w:val="es-ES_tradnl"/>
              </w:rPr>
              <w:t>Resultados previstos</w:t>
            </w:r>
          </w:p>
        </w:tc>
        <w:tc>
          <w:tcPr>
            <w:tcW w:w="305" w:type="dxa"/>
            <w:tcBorders>
              <w:bottom w:val="single" w:sz="4" w:space="0" w:color="D9D9D9" w:themeColor="background1" w:themeShade="D9"/>
            </w:tcBorders>
            <w:shd w:val="clear" w:color="auto" w:fill="E2E7EB" w:themeFill="accent3" w:themeFillTint="33"/>
          </w:tcPr>
          <w:p w14:paraId="3B6764EB" w14:textId="77777777" w:rsidR="008F776F" w:rsidRPr="008F776F" w:rsidRDefault="008F776F" w:rsidP="00DB6666">
            <w:pPr>
              <w:jc w:val="center"/>
              <w:rPr>
                <w:b/>
                <w:bCs/>
                <w:sz w:val="16"/>
                <w:szCs w:val="16"/>
                <w:lang w:val="es-ES_tradnl"/>
              </w:rPr>
            </w:pPr>
          </w:p>
        </w:tc>
        <w:tc>
          <w:tcPr>
            <w:tcW w:w="2535" w:type="dxa"/>
            <w:tcBorders>
              <w:bottom w:val="single" w:sz="4" w:space="0" w:color="D9D9D9" w:themeColor="background1" w:themeShade="D9"/>
            </w:tcBorders>
            <w:shd w:val="clear" w:color="auto" w:fill="E2E7EB" w:themeFill="accent3" w:themeFillTint="33"/>
          </w:tcPr>
          <w:p w14:paraId="08974E70" w14:textId="77777777" w:rsidR="008F776F" w:rsidRPr="008F776F" w:rsidRDefault="008F776F" w:rsidP="00DB6666">
            <w:pPr>
              <w:rPr>
                <w:b/>
                <w:bCs/>
                <w:sz w:val="16"/>
                <w:szCs w:val="16"/>
                <w:lang w:val="es-ES_tradnl"/>
              </w:rPr>
            </w:pPr>
            <w:r w:rsidRPr="008F776F">
              <w:rPr>
                <w:b/>
                <w:sz w:val="16"/>
                <w:lang w:val="es-ES_tradnl"/>
              </w:rPr>
              <w:t>Indicadores de rendimiento</w:t>
            </w:r>
          </w:p>
        </w:tc>
        <w:tc>
          <w:tcPr>
            <w:tcW w:w="1554" w:type="dxa"/>
            <w:tcBorders>
              <w:bottom w:val="single" w:sz="4" w:space="0" w:color="D9D9D9" w:themeColor="background1" w:themeShade="D9"/>
            </w:tcBorders>
            <w:shd w:val="clear" w:color="auto" w:fill="E2E7EB" w:themeFill="accent3" w:themeFillTint="33"/>
          </w:tcPr>
          <w:p w14:paraId="2FA8C19B" w14:textId="77777777" w:rsidR="008F776F" w:rsidRPr="008F776F" w:rsidRDefault="008F776F" w:rsidP="00DB6666">
            <w:pPr>
              <w:jc w:val="center"/>
              <w:rPr>
                <w:b/>
                <w:bCs/>
                <w:sz w:val="16"/>
                <w:szCs w:val="16"/>
                <w:lang w:val="es-ES_tradnl"/>
              </w:rPr>
            </w:pPr>
            <w:r w:rsidRPr="008F776F">
              <w:rPr>
                <w:b/>
                <w:sz w:val="16"/>
                <w:lang w:val="es-ES_tradnl"/>
              </w:rPr>
              <w:t>Referencia</w:t>
            </w:r>
          </w:p>
        </w:tc>
        <w:tc>
          <w:tcPr>
            <w:tcW w:w="1559" w:type="dxa"/>
            <w:tcBorders>
              <w:bottom w:val="single" w:sz="4" w:space="0" w:color="D9D9D9" w:themeColor="background1" w:themeShade="D9"/>
            </w:tcBorders>
            <w:shd w:val="clear" w:color="auto" w:fill="E2E7EB" w:themeFill="accent3" w:themeFillTint="33"/>
          </w:tcPr>
          <w:p w14:paraId="78182382" w14:textId="77777777" w:rsidR="008F776F" w:rsidRPr="008F776F" w:rsidRDefault="008F776F" w:rsidP="00DB6666">
            <w:pPr>
              <w:jc w:val="center"/>
              <w:rPr>
                <w:b/>
                <w:bCs/>
                <w:sz w:val="16"/>
                <w:szCs w:val="16"/>
                <w:lang w:val="es-ES_tradnl"/>
              </w:rPr>
            </w:pPr>
            <w:r w:rsidRPr="008F776F">
              <w:rPr>
                <w:b/>
                <w:sz w:val="16"/>
                <w:lang w:val="es-ES_tradnl"/>
              </w:rPr>
              <w:t>Objetivo (2024/25)</w:t>
            </w:r>
          </w:p>
        </w:tc>
      </w:tr>
      <w:tr w:rsidR="008F776F" w:rsidRPr="008F776F" w14:paraId="18E96719" w14:textId="77777777" w:rsidTr="00DB6666">
        <w:tc>
          <w:tcPr>
            <w:tcW w:w="426" w:type="dxa"/>
            <w:tcBorders>
              <w:top w:val="single" w:sz="4" w:space="0" w:color="D9D9D9" w:themeColor="background1" w:themeShade="D9"/>
            </w:tcBorders>
          </w:tcPr>
          <w:p w14:paraId="0066E99D" w14:textId="77777777" w:rsidR="008F776F" w:rsidRPr="008F776F" w:rsidRDefault="008F776F" w:rsidP="00DB6666">
            <w:pPr>
              <w:jc w:val="left"/>
              <w:rPr>
                <w:rFonts w:cs="Arial"/>
                <w:sz w:val="16"/>
                <w:szCs w:val="16"/>
                <w:lang w:val="es-ES_tradnl"/>
              </w:rPr>
            </w:pPr>
            <w:r w:rsidRPr="008F776F">
              <w:rPr>
                <w:sz w:val="16"/>
                <w:lang w:val="es-ES_tradnl"/>
              </w:rPr>
              <w:t>2.1</w:t>
            </w:r>
          </w:p>
        </w:tc>
        <w:tc>
          <w:tcPr>
            <w:tcW w:w="3255" w:type="dxa"/>
            <w:tcBorders>
              <w:top w:val="single" w:sz="4" w:space="0" w:color="D9D9D9" w:themeColor="background1" w:themeShade="D9"/>
            </w:tcBorders>
            <w:shd w:val="clear" w:color="auto" w:fill="auto"/>
          </w:tcPr>
          <w:p w14:paraId="071CDC71" w14:textId="77777777" w:rsidR="008F776F" w:rsidRPr="008F776F" w:rsidRDefault="008F776F" w:rsidP="00DB6666">
            <w:pPr>
              <w:jc w:val="left"/>
              <w:rPr>
                <w:rFonts w:cs="Arial"/>
                <w:sz w:val="16"/>
                <w:szCs w:val="16"/>
                <w:lang w:val="es-ES_tradnl"/>
              </w:rPr>
            </w:pPr>
            <w:r w:rsidRPr="008F776F">
              <w:rPr>
                <w:sz w:val="16"/>
                <w:lang w:val="es-ES_tradnl"/>
              </w:rPr>
              <w:t>Sensibilización sobre la función que cumple el sistema de la UPOV</w:t>
            </w:r>
          </w:p>
        </w:tc>
        <w:tc>
          <w:tcPr>
            <w:tcW w:w="305" w:type="dxa"/>
            <w:tcBorders>
              <w:top w:val="single" w:sz="4" w:space="0" w:color="D9D9D9" w:themeColor="background1" w:themeShade="D9"/>
            </w:tcBorders>
            <w:shd w:val="clear" w:color="auto" w:fill="auto"/>
          </w:tcPr>
          <w:p w14:paraId="79419B90" w14:textId="77777777" w:rsidR="008F776F" w:rsidRPr="008F776F" w:rsidRDefault="008F776F" w:rsidP="00DB6666">
            <w:pPr>
              <w:jc w:val="left"/>
              <w:rPr>
                <w:rFonts w:cs="Arial"/>
                <w:sz w:val="16"/>
                <w:szCs w:val="16"/>
                <w:lang w:val="es-ES_tradnl"/>
              </w:rPr>
            </w:pPr>
          </w:p>
        </w:tc>
        <w:tc>
          <w:tcPr>
            <w:tcW w:w="2535" w:type="dxa"/>
            <w:tcBorders>
              <w:top w:val="single" w:sz="4" w:space="0" w:color="D9D9D9" w:themeColor="background1" w:themeShade="D9"/>
            </w:tcBorders>
            <w:shd w:val="clear" w:color="auto" w:fill="auto"/>
          </w:tcPr>
          <w:p w14:paraId="64F9DA96" w14:textId="77777777" w:rsidR="008F776F" w:rsidRPr="008F776F" w:rsidRDefault="008F776F" w:rsidP="00DB6666">
            <w:pPr>
              <w:jc w:val="left"/>
              <w:rPr>
                <w:rFonts w:cs="Arial"/>
                <w:sz w:val="16"/>
                <w:szCs w:val="16"/>
                <w:lang w:val="es-ES_tradnl"/>
              </w:rPr>
            </w:pPr>
            <w:r w:rsidRPr="008F776F">
              <w:rPr>
                <w:sz w:val="16"/>
                <w:lang w:val="es-ES_tradnl"/>
              </w:rPr>
              <w:t>Vistas de la información de la UPOV</w:t>
            </w:r>
          </w:p>
        </w:tc>
        <w:tc>
          <w:tcPr>
            <w:tcW w:w="1554" w:type="dxa"/>
            <w:tcBorders>
              <w:top w:val="single" w:sz="4" w:space="0" w:color="D9D9D9" w:themeColor="background1" w:themeShade="D9"/>
            </w:tcBorders>
            <w:shd w:val="clear" w:color="auto" w:fill="auto"/>
          </w:tcPr>
          <w:p w14:paraId="6043A427" w14:textId="77777777" w:rsidR="008F776F" w:rsidRPr="008F776F" w:rsidRDefault="008F776F" w:rsidP="00DB6666">
            <w:pPr>
              <w:jc w:val="center"/>
              <w:rPr>
                <w:rFonts w:cs="Arial"/>
                <w:sz w:val="16"/>
                <w:szCs w:val="16"/>
                <w:lang w:val="es-ES_tradnl"/>
              </w:rPr>
            </w:pPr>
          </w:p>
        </w:tc>
        <w:tc>
          <w:tcPr>
            <w:tcW w:w="1559" w:type="dxa"/>
            <w:tcBorders>
              <w:top w:val="single" w:sz="4" w:space="0" w:color="D9D9D9" w:themeColor="background1" w:themeShade="D9"/>
            </w:tcBorders>
            <w:shd w:val="clear" w:color="auto" w:fill="auto"/>
          </w:tcPr>
          <w:p w14:paraId="1DFD4915" w14:textId="77777777" w:rsidR="008F776F" w:rsidRPr="008F776F" w:rsidRDefault="008F776F" w:rsidP="00DB6666">
            <w:pPr>
              <w:jc w:val="center"/>
              <w:rPr>
                <w:rFonts w:cs="Arial"/>
                <w:sz w:val="16"/>
                <w:szCs w:val="16"/>
                <w:lang w:val="es-ES_tradnl"/>
              </w:rPr>
            </w:pPr>
          </w:p>
        </w:tc>
      </w:tr>
      <w:tr w:rsidR="008F776F" w:rsidRPr="008F776F" w14:paraId="78F84964" w14:textId="77777777" w:rsidTr="00DB6666">
        <w:tc>
          <w:tcPr>
            <w:tcW w:w="426" w:type="dxa"/>
          </w:tcPr>
          <w:p w14:paraId="4D24F3F6" w14:textId="77777777" w:rsidR="008F776F" w:rsidRPr="008F776F" w:rsidRDefault="008F776F" w:rsidP="00DB6666">
            <w:pPr>
              <w:jc w:val="left"/>
              <w:rPr>
                <w:rFonts w:cs="Arial"/>
                <w:sz w:val="16"/>
                <w:szCs w:val="16"/>
                <w:lang w:val="es-ES_tradnl"/>
              </w:rPr>
            </w:pPr>
          </w:p>
        </w:tc>
        <w:tc>
          <w:tcPr>
            <w:tcW w:w="3255" w:type="dxa"/>
            <w:shd w:val="clear" w:color="auto" w:fill="auto"/>
          </w:tcPr>
          <w:p w14:paraId="1DB001F4" w14:textId="77777777" w:rsidR="008F776F" w:rsidRPr="008F776F" w:rsidRDefault="008F776F" w:rsidP="00DB6666">
            <w:pPr>
              <w:jc w:val="left"/>
              <w:rPr>
                <w:rFonts w:cs="Arial"/>
                <w:sz w:val="16"/>
                <w:szCs w:val="16"/>
                <w:lang w:val="es-ES_tradnl"/>
              </w:rPr>
            </w:pPr>
          </w:p>
        </w:tc>
        <w:tc>
          <w:tcPr>
            <w:tcW w:w="305" w:type="dxa"/>
            <w:shd w:val="clear" w:color="auto" w:fill="auto"/>
          </w:tcPr>
          <w:p w14:paraId="0447C277" w14:textId="77777777" w:rsidR="008F776F" w:rsidRPr="008F776F" w:rsidRDefault="008F776F" w:rsidP="00DB6666">
            <w:pPr>
              <w:jc w:val="left"/>
              <w:rPr>
                <w:rFonts w:cs="Arial"/>
                <w:sz w:val="16"/>
                <w:szCs w:val="16"/>
                <w:lang w:val="es-ES_tradnl"/>
              </w:rPr>
            </w:pPr>
          </w:p>
        </w:tc>
        <w:tc>
          <w:tcPr>
            <w:tcW w:w="2535" w:type="dxa"/>
            <w:shd w:val="clear" w:color="auto" w:fill="auto"/>
          </w:tcPr>
          <w:p w14:paraId="4FFBF405" w14:textId="77777777" w:rsidR="008F776F" w:rsidRPr="008F776F" w:rsidRDefault="008F776F" w:rsidP="00DB6666">
            <w:pPr>
              <w:ind w:left="284"/>
              <w:jc w:val="left"/>
              <w:rPr>
                <w:rFonts w:cs="Arial"/>
                <w:sz w:val="16"/>
                <w:szCs w:val="16"/>
                <w:lang w:val="es-ES_tradnl"/>
              </w:rPr>
            </w:pPr>
            <w:r w:rsidRPr="008F776F">
              <w:rPr>
                <w:sz w:val="16"/>
                <w:lang w:val="es-ES_tradnl"/>
              </w:rPr>
              <w:t>Visitas al sitio web de la UPOV</w:t>
            </w:r>
          </w:p>
        </w:tc>
        <w:tc>
          <w:tcPr>
            <w:tcW w:w="1554" w:type="dxa"/>
            <w:shd w:val="clear" w:color="auto" w:fill="auto"/>
          </w:tcPr>
          <w:p w14:paraId="0FCD44C7" w14:textId="77777777" w:rsidR="008F776F" w:rsidRPr="008F776F" w:rsidRDefault="008F776F" w:rsidP="00DB6666">
            <w:pPr>
              <w:jc w:val="center"/>
              <w:rPr>
                <w:rFonts w:cs="Arial"/>
                <w:sz w:val="16"/>
                <w:szCs w:val="16"/>
                <w:lang w:val="es-ES_tradnl"/>
              </w:rPr>
            </w:pPr>
            <w:r w:rsidRPr="008F776F">
              <w:rPr>
                <w:sz w:val="16"/>
                <w:lang w:val="es-ES_tradnl"/>
              </w:rPr>
              <w:t>Visitas: 880.000 (2022)</w:t>
            </w:r>
          </w:p>
        </w:tc>
        <w:tc>
          <w:tcPr>
            <w:tcW w:w="1559" w:type="dxa"/>
            <w:shd w:val="clear" w:color="auto" w:fill="auto"/>
          </w:tcPr>
          <w:p w14:paraId="50D43B6B" w14:textId="77777777" w:rsidR="008F776F" w:rsidRPr="008F776F" w:rsidRDefault="008F776F" w:rsidP="00DB6666">
            <w:pPr>
              <w:jc w:val="center"/>
              <w:rPr>
                <w:rFonts w:cs="Arial"/>
                <w:sz w:val="16"/>
                <w:szCs w:val="16"/>
                <w:lang w:val="es-ES_tradnl"/>
              </w:rPr>
            </w:pPr>
            <w:r w:rsidRPr="008F776F">
              <w:rPr>
                <w:sz w:val="16"/>
                <w:lang w:val="es-ES_tradnl"/>
              </w:rPr>
              <w:t>Visitas: 1.250.000 (2025)</w:t>
            </w:r>
          </w:p>
        </w:tc>
      </w:tr>
      <w:tr w:rsidR="008F776F" w:rsidRPr="008F776F" w14:paraId="252053C8" w14:textId="77777777" w:rsidTr="00DB6666">
        <w:tc>
          <w:tcPr>
            <w:tcW w:w="426" w:type="dxa"/>
          </w:tcPr>
          <w:p w14:paraId="68247324" w14:textId="77777777" w:rsidR="008F776F" w:rsidRPr="008F776F" w:rsidRDefault="008F776F" w:rsidP="00DB6666">
            <w:pPr>
              <w:jc w:val="left"/>
              <w:rPr>
                <w:rFonts w:cs="Arial"/>
                <w:sz w:val="16"/>
                <w:szCs w:val="16"/>
                <w:lang w:val="es-ES_tradnl"/>
              </w:rPr>
            </w:pPr>
          </w:p>
        </w:tc>
        <w:tc>
          <w:tcPr>
            <w:tcW w:w="3255" w:type="dxa"/>
            <w:shd w:val="clear" w:color="auto" w:fill="auto"/>
          </w:tcPr>
          <w:p w14:paraId="596228FB" w14:textId="77777777" w:rsidR="008F776F" w:rsidRPr="008F776F" w:rsidRDefault="008F776F" w:rsidP="00DB6666">
            <w:pPr>
              <w:jc w:val="left"/>
              <w:rPr>
                <w:rFonts w:cs="Arial"/>
                <w:sz w:val="16"/>
                <w:szCs w:val="16"/>
                <w:lang w:val="es-ES_tradnl"/>
              </w:rPr>
            </w:pPr>
          </w:p>
        </w:tc>
        <w:tc>
          <w:tcPr>
            <w:tcW w:w="305" w:type="dxa"/>
            <w:shd w:val="clear" w:color="auto" w:fill="auto"/>
          </w:tcPr>
          <w:p w14:paraId="25CB1D85" w14:textId="77777777" w:rsidR="008F776F" w:rsidRPr="008F776F" w:rsidRDefault="008F776F" w:rsidP="00DB6666">
            <w:pPr>
              <w:jc w:val="left"/>
              <w:rPr>
                <w:rFonts w:cs="Arial"/>
                <w:sz w:val="16"/>
                <w:szCs w:val="16"/>
                <w:lang w:val="es-ES_tradnl"/>
              </w:rPr>
            </w:pPr>
          </w:p>
        </w:tc>
        <w:tc>
          <w:tcPr>
            <w:tcW w:w="2535" w:type="dxa"/>
            <w:shd w:val="clear" w:color="auto" w:fill="auto"/>
          </w:tcPr>
          <w:p w14:paraId="7C384636" w14:textId="77777777" w:rsidR="008F776F" w:rsidRPr="008F776F" w:rsidRDefault="008F776F" w:rsidP="00DB6666">
            <w:pPr>
              <w:ind w:left="284"/>
              <w:jc w:val="left"/>
              <w:rPr>
                <w:rFonts w:cs="Arial"/>
                <w:sz w:val="16"/>
                <w:szCs w:val="16"/>
                <w:lang w:val="es-ES_tradnl"/>
              </w:rPr>
            </w:pPr>
            <w:r w:rsidRPr="008F776F">
              <w:rPr>
                <w:sz w:val="16"/>
                <w:lang w:val="es-ES_tradnl"/>
              </w:rPr>
              <w:t>Visitantes del sitio web de la UPOV</w:t>
            </w:r>
          </w:p>
        </w:tc>
        <w:tc>
          <w:tcPr>
            <w:tcW w:w="1554" w:type="dxa"/>
            <w:shd w:val="clear" w:color="auto" w:fill="auto"/>
          </w:tcPr>
          <w:p w14:paraId="15EA9016" w14:textId="77777777" w:rsidR="008F776F" w:rsidRPr="008F776F" w:rsidRDefault="008F776F" w:rsidP="00DB6666">
            <w:pPr>
              <w:jc w:val="center"/>
              <w:rPr>
                <w:rFonts w:cs="Arial"/>
                <w:sz w:val="16"/>
                <w:szCs w:val="16"/>
                <w:lang w:val="es-ES_tradnl"/>
              </w:rPr>
            </w:pPr>
            <w:r w:rsidRPr="008F776F">
              <w:rPr>
                <w:sz w:val="16"/>
                <w:lang w:val="es-ES_tradnl"/>
              </w:rPr>
              <w:t>Visitantes: 118.000 (2022)</w:t>
            </w:r>
          </w:p>
        </w:tc>
        <w:tc>
          <w:tcPr>
            <w:tcW w:w="1559" w:type="dxa"/>
            <w:shd w:val="clear" w:color="auto" w:fill="auto"/>
          </w:tcPr>
          <w:p w14:paraId="62A6693E" w14:textId="77777777" w:rsidR="008F776F" w:rsidRPr="008F776F" w:rsidRDefault="008F776F" w:rsidP="00DB6666">
            <w:pPr>
              <w:jc w:val="center"/>
              <w:rPr>
                <w:rFonts w:cs="Arial"/>
                <w:sz w:val="16"/>
                <w:szCs w:val="16"/>
                <w:lang w:val="es-ES_tradnl"/>
              </w:rPr>
            </w:pPr>
            <w:r w:rsidRPr="008F776F">
              <w:rPr>
                <w:sz w:val="16"/>
                <w:lang w:val="es-ES_tradnl"/>
              </w:rPr>
              <w:t>175.000</w:t>
            </w:r>
          </w:p>
        </w:tc>
      </w:tr>
      <w:tr w:rsidR="008F776F" w:rsidRPr="008F776F" w14:paraId="313CC959" w14:textId="77777777" w:rsidTr="00DB6666">
        <w:tc>
          <w:tcPr>
            <w:tcW w:w="426" w:type="dxa"/>
          </w:tcPr>
          <w:p w14:paraId="643AD47B" w14:textId="77777777" w:rsidR="008F776F" w:rsidRPr="008F776F" w:rsidRDefault="008F776F" w:rsidP="00DB6666">
            <w:pPr>
              <w:jc w:val="left"/>
              <w:rPr>
                <w:rFonts w:cs="Arial"/>
                <w:sz w:val="16"/>
                <w:szCs w:val="16"/>
                <w:lang w:val="es-ES_tradnl"/>
              </w:rPr>
            </w:pPr>
          </w:p>
        </w:tc>
        <w:tc>
          <w:tcPr>
            <w:tcW w:w="3255" w:type="dxa"/>
            <w:shd w:val="clear" w:color="auto" w:fill="auto"/>
          </w:tcPr>
          <w:p w14:paraId="3FF64EB2" w14:textId="77777777" w:rsidR="008F776F" w:rsidRPr="008F776F" w:rsidRDefault="008F776F" w:rsidP="00DB6666">
            <w:pPr>
              <w:jc w:val="left"/>
              <w:rPr>
                <w:rFonts w:cs="Arial"/>
                <w:sz w:val="16"/>
                <w:szCs w:val="16"/>
                <w:lang w:val="es-ES_tradnl"/>
              </w:rPr>
            </w:pPr>
          </w:p>
        </w:tc>
        <w:tc>
          <w:tcPr>
            <w:tcW w:w="305" w:type="dxa"/>
            <w:shd w:val="clear" w:color="auto" w:fill="auto"/>
          </w:tcPr>
          <w:p w14:paraId="6735DE99" w14:textId="77777777" w:rsidR="008F776F" w:rsidRPr="008F776F" w:rsidRDefault="008F776F" w:rsidP="00DB6666">
            <w:pPr>
              <w:jc w:val="left"/>
              <w:rPr>
                <w:rFonts w:cs="Arial"/>
                <w:sz w:val="16"/>
                <w:szCs w:val="16"/>
                <w:lang w:val="es-ES_tradnl"/>
              </w:rPr>
            </w:pPr>
          </w:p>
        </w:tc>
        <w:tc>
          <w:tcPr>
            <w:tcW w:w="2535" w:type="dxa"/>
            <w:shd w:val="clear" w:color="auto" w:fill="auto"/>
          </w:tcPr>
          <w:p w14:paraId="18A98EEB" w14:textId="77777777" w:rsidR="008F776F" w:rsidRPr="008F776F" w:rsidRDefault="008F776F" w:rsidP="00DB6666">
            <w:pPr>
              <w:ind w:left="284"/>
              <w:jc w:val="left"/>
              <w:rPr>
                <w:rFonts w:cs="Arial"/>
                <w:sz w:val="16"/>
                <w:szCs w:val="16"/>
                <w:lang w:val="es-ES_tradnl"/>
              </w:rPr>
            </w:pPr>
            <w:r w:rsidRPr="008F776F">
              <w:rPr>
                <w:sz w:val="16"/>
                <w:lang w:val="es-ES_tradnl"/>
              </w:rPr>
              <w:t>Número de seguidores en las redes sociales</w:t>
            </w:r>
          </w:p>
        </w:tc>
        <w:tc>
          <w:tcPr>
            <w:tcW w:w="1554" w:type="dxa"/>
            <w:shd w:val="clear" w:color="auto" w:fill="auto"/>
          </w:tcPr>
          <w:p w14:paraId="3BDC8019" w14:textId="77777777" w:rsidR="008F776F" w:rsidRPr="008F776F" w:rsidRDefault="008F776F" w:rsidP="00DB6666">
            <w:pPr>
              <w:jc w:val="center"/>
              <w:rPr>
                <w:rFonts w:cs="Arial"/>
                <w:sz w:val="16"/>
                <w:szCs w:val="16"/>
                <w:lang w:val="es-ES_tradnl"/>
              </w:rPr>
            </w:pPr>
            <w:r w:rsidRPr="008F776F">
              <w:rPr>
                <w:sz w:val="16"/>
                <w:lang w:val="es-ES_tradnl"/>
              </w:rPr>
              <w:t xml:space="preserve">Twitter: 2.250 </w:t>
            </w:r>
            <w:r w:rsidRPr="008F776F">
              <w:rPr>
                <w:sz w:val="16"/>
                <w:lang w:val="es-ES_tradnl"/>
              </w:rPr>
              <w:br/>
              <w:t xml:space="preserve">(finales de 2022); </w:t>
            </w:r>
            <w:r w:rsidRPr="008F776F">
              <w:rPr>
                <w:sz w:val="16"/>
                <w:lang w:val="es-ES_tradnl"/>
              </w:rPr>
              <w:br/>
              <w:t xml:space="preserve">LinkedIn: 3.900 </w:t>
            </w:r>
            <w:r w:rsidRPr="008F776F">
              <w:rPr>
                <w:sz w:val="16"/>
                <w:lang w:val="es-ES_tradnl"/>
              </w:rPr>
              <w:br/>
              <w:t>(finales de 2022)</w:t>
            </w:r>
          </w:p>
        </w:tc>
        <w:tc>
          <w:tcPr>
            <w:tcW w:w="1559" w:type="dxa"/>
            <w:shd w:val="clear" w:color="auto" w:fill="auto"/>
          </w:tcPr>
          <w:p w14:paraId="152B17CD" w14:textId="77777777" w:rsidR="008F776F" w:rsidRPr="008F776F" w:rsidRDefault="008F776F" w:rsidP="00DB6666">
            <w:pPr>
              <w:jc w:val="center"/>
              <w:rPr>
                <w:rFonts w:cs="Arial"/>
                <w:sz w:val="16"/>
                <w:szCs w:val="16"/>
                <w:lang w:val="es-ES_tradnl"/>
              </w:rPr>
            </w:pPr>
            <w:r w:rsidRPr="008F776F">
              <w:rPr>
                <w:sz w:val="16"/>
                <w:lang w:val="es-ES_tradnl"/>
              </w:rPr>
              <w:t xml:space="preserve">Twitter: 4.000 </w:t>
            </w:r>
            <w:r w:rsidRPr="008F776F">
              <w:rPr>
                <w:sz w:val="16"/>
                <w:lang w:val="es-ES_tradnl"/>
              </w:rPr>
              <w:br/>
              <w:t xml:space="preserve">(finales de 2025); </w:t>
            </w:r>
            <w:r w:rsidRPr="008F776F">
              <w:rPr>
                <w:sz w:val="16"/>
                <w:lang w:val="es-ES_tradnl"/>
              </w:rPr>
              <w:br/>
              <w:t xml:space="preserve">LinkedIn: 7.500 </w:t>
            </w:r>
            <w:r w:rsidRPr="008F776F">
              <w:rPr>
                <w:sz w:val="16"/>
                <w:lang w:val="es-ES_tradnl"/>
              </w:rPr>
              <w:br/>
              <w:t>(finales de 2025)</w:t>
            </w:r>
          </w:p>
        </w:tc>
      </w:tr>
      <w:tr w:rsidR="008F776F" w:rsidRPr="008F776F" w14:paraId="6BC719E0" w14:textId="77777777" w:rsidTr="00DB6666">
        <w:tc>
          <w:tcPr>
            <w:tcW w:w="426" w:type="dxa"/>
            <w:tcBorders>
              <w:bottom w:val="single" w:sz="4" w:space="0" w:color="D9D9D9" w:themeColor="background1" w:themeShade="D9"/>
            </w:tcBorders>
          </w:tcPr>
          <w:p w14:paraId="040525D1" w14:textId="77777777" w:rsidR="008F776F" w:rsidRPr="008F776F" w:rsidRDefault="008F776F" w:rsidP="00DB6666">
            <w:pPr>
              <w:jc w:val="left"/>
              <w:rPr>
                <w:rFonts w:cs="Arial"/>
                <w:sz w:val="16"/>
                <w:szCs w:val="16"/>
                <w:lang w:val="es-ES_tradnl"/>
              </w:rPr>
            </w:pPr>
          </w:p>
        </w:tc>
        <w:tc>
          <w:tcPr>
            <w:tcW w:w="3255" w:type="dxa"/>
            <w:tcBorders>
              <w:bottom w:val="single" w:sz="4" w:space="0" w:color="D9D9D9" w:themeColor="background1" w:themeShade="D9"/>
            </w:tcBorders>
            <w:shd w:val="clear" w:color="auto" w:fill="auto"/>
          </w:tcPr>
          <w:p w14:paraId="5488652B" w14:textId="77777777" w:rsidR="008F776F" w:rsidRPr="008F776F" w:rsidRDefault="008F776F" w:rsidP="00DB6666">
            <w:pPr>
              <w:jc w:val="left"/>
              <w:rPr>
                <w:rFonts w:cs="Arial"/>
                <w:sz w:val="16"/>
                <w:szCs w:val="16"/>
                <w:lang w:val="es-ES_tradnl"/>
              </w:rPr>
            </w:pPr>
            <w:r w:rsidRPr="008F776F">
              <w:rPr>
                <w:sz w:val="16"/>
                <w:lang w:val="es-ES_tradnl"/>
              </w:rPr>
              <w:t> </w:t>
            </w:r>
          </w:p>
        </w:tc>
        <w:tc>
          <w:tcPr>
            <w:tcW w:w="305" w:type="dxa"/>
            <w:tcBorders>
              <w:bottom w:val="single" w:sz="4" w:space="0" w:color="D9D9D9" w:themeColor="background1" w:themeShade="D9"/>
            </w:tcBorders>
            <w:shd w:val="clear" w:color="auto" w:fill="auto"/>
          </w:tcPr>
          <w:p w14:paraId="0F9DFCD7" w14:textId="77777777" w:rsidR="008F776F" w:rsidRPr="008F776F" w:rsidRDefault="008F776F" w:rsidP="00DB6666">
            <w:pPr>
              <w:jc w:val="center"/>
              <w:rPr>
                <w:rFonts w:cs="Arial"/>
                <w:sz w:val="16"/>
                <w:szCs w:val="16"/>
                <w:lang w:val="es-ES_tradnl"/>
              </w:rPr>
            </w:pPr>
          </w:p>
        </w:tc>
        <w:tc>
          <w:tcPr>
            <w:tcW w:w="2535" w:type="dxa"/>
            <w:tcBorders>
              <w:bottom w:val="single" w:sz="4" w:space="0" w:color="D9D9D9" w:themeColor="background1" w:themeShade="D9"/>
            </w:tcBorders>
            <w:shd w:val="clear" w:color="auto" w:fill="auto"/>
          </w:tcPr>
          <w:p w14:paraId="3AF96BE5" w14:textId="77777777" w:rsidR="008F776F" w:rsidRPr="008F776F" w:rsidRDefault="008F776F" w:rsidP="00DB6666">
            <w:pPr>
              <w:ind w:left="284"/>
              <w:jc w:val="left"/>
              <w:rPr>
                <w:rFonts w:cs="Arial"/>
                <w:sz w:val="16"/>
                <w:szCs w:val="16"/>
                <w:lang w:val="es-ES_tradnl"/>
              </w:rPr>
            </w:pPr>
            <w:r w:rsidRPr="008F776F">
              <w:rPr>
                <w:sz w:val="16"/>
                <w:lang w:val="es-ES_tradnl"/>
              </w:rPr>
              <w:t>Número de reproducciones de videos en la página de ventajas del sitio web de la UPOV</w:t>
            </w:r>
          </w:p>
        </w:tc>
        <w:tc>
          <w:tcPr>
            <w:tcW w:w="1554" w:type="dxa"/>
            <w:tcBorders>
              <w:bottom w:val="single" w:sz="4" w:space="0" w:color="D9D9D9" w:themeColor="background1" w:themeShade="D9"/>
            </w:tcBorders>
            <w:shd w:val="clear" w:color="auto" w:fill="auto"/>
          </w:tcPr>
          <w:p w14:paraId="0DACF4FB" w14:textId="77777777" w:rsidR="008F776F" w:rsidRPr="008F776F" w:rsidRDefault="008F776F" w:rsidP="00DB6666">
            <w:pPr>
              <w:jc w:val="center"/>
              <w:rPr>
                <w:rFonts w:cs="Arial"/>
                <w:sz w:val="16"/>
                <w:szCs w:val="16"/>
                <w:lang w:val="es-ES_tradnl"/>
              </w:rPr>
            </w:pPr>
            <w:r w:rsidRPr="008F776F">
              <w:rPr>
                <w:sz w:val="16"/>
                <w:lang w:val="es-ES_tradnl"/>
              </w:rPr>
              <w:t>6.000 (2022)</w:t>
            </w:r>
          </w:p>
        </w:tc>
        <w:tc>
          <w:tcPr>
            <w:tcW w:w="1559" w:type="dxa"/>
            <w:tcBorders>
              <w:bottom w:val="single" w:sz="4" w:space="0" w:color="D9D9D9" w:themeColor="background1" w:themeShade="D9"/>
            </w:tcBorders>
            <w:shd w:val="clear" w:color="auto" w:fill="auto"/>
          </w:tcPr>
          <w:p w14:paraId="3F3EEAEB" w14:textId="77777777" w:rsidR="008F776F" w:rsidRPr="008F776F" w:rsidRDefault="008F776F" w:rsidP="00DB6666">
            <w:pPr>
              <w:jc w:val="center"/>
              <w:rPr>
                <w:rFonts w:cs="Arial"/>
                <w:sz w:val="16"/>
                <w:szCs w:val="16"/>
                <w:lang w:val="es-ES_tradnl"/>
              </w:rPr>
            </w:pPr>
            <w:r w:rsidRPr="008F776F">
              <w:rPr>
                <w:sz w:val="16"/>
                <w:lang w:val="es-ES_tradnl"/>
              </w:rPr>
              <w:t>7.500 (2025)</w:t>
            </w:r>
          </w:p>
        </w:tc>
      </w:tr>
      <w:tr w:rsidR="008F776F" w:rsidRPr="008F776F" w14:paraId="305235CA" w14:textId="77777777" w:rsidTr="00DB6666">
        <w:tc>
          <w:tcPr>
            <w:tcW w:w="426" w:type="dxa"/>
            <w:tcBorders>
              <w:top w:val="single" w:sz="4" w:space="0" w:color="D9D9D9" w:themeColor="background1" w:themeShade="D9"/>
            </w:tcBorders>
          </w:tcPr>
          <w:p w14:paraId="5038A4C7" w14:textId="77777777" w:rsidR="008F776F" w:rsidRPr="008F776F" w:rsidRDefault="008F776F" w:rsidP="00DB6666">
            <w:pPr>
              <w:jc w:val="left"/>
              <w:rPr>
                <w:rFonts w:cs="Arial"/>
                <w:sz w:val="16"/>
                <w:szCs w:val="16"/>
                <w:lang w:val="es-ES_tradnl"/>
              </w:rPr>
            </w:pPr>
            <w:r w:rsidRPr="008F776F">
              <w:rPr>
                <w:sz w:val="16"/>
                <w:lang w:val="es-ES_tradnl"/>
              </w:rPr>
              <w:t>2.2</w:t>
            </w:r>
          </w:p>
        </w:tc>
        <w:tc>
          <w:tcPr>
            <w:tcW w:w="3255" w:type="dxa"/>
            <w:tcBorders>
              <w:top w:val="single" w:sz="4" w:space="0" w:color="D9D9D9" w:themeColor="background1" w:themeShade="D9"/>
            </w:tcBorders>
            <w:shd w:val="clear" w:color="auto" w:fill="auto"/>
          </w:tcPr>
          <w:p w14:paraId="2816509E" w14:textId="77777777" w:rsidR="008F776F" w:rsidRPr="008F776F" w:rsidRDefault="008F776F" w:rsidP="00DB6666">
            <w:pPr>
              <w:jc w:val="left"/>
              <w:rPr>
                <w:rFonts w:cs="Arial"/>
                <w:sz w:val="16"/>
                <w:szCs w:val="16"/>
                <w:lang w:val="es-ES_tradnl"/>
              </w:rPr>
            </w:pPr>
            <w:r w:rsidRPr="008F776F">
              <w:rPr>
                <w:sz w:val="16"/>
                <w:lang w:val="es-ES_tradnl"/>
              </w:rPr>
              <w:t>Orientación y asistencia sobre el Convenio de la UPOV y su aplicación</w:t>
            </w:r>
          </w:p>
        </w:tc>
        <w:tc>
          <w:tcPr>
            <w:tcW w:w="305" w:type="dxa"/>
            <w:tcBorders>
              <w:top w:val="single" w:sz="4" w:space="0" w:color="D9D9D9" w:themeColor="background1" w:themeShade="D9"/>
            </w:tcBorders>
            <w:shd w:val="clear" w:color="auto" w:fill="auto"/>
          </w:tcPr>
          <w:p w14:paraId="7B1F8D92" w14:textId="77777777" w:rsidR="008F776F" w:rsidRPr="008F776F" w:rsidRDefault="008F776F" w:rsidP="00DB6666">
            <w:pPr>
              <w:jc w:val="center"/>
              <w:rPr>
                <w:rFonts w:cs="Arial"/>
                <w:sz w:val="16"/>
                <w:szCs w:val="16"/>
                <w:lang w:val="es-ES_tradnl"/>
              </w:rPr>
            </w:pPr>
          </w:p>
        </w:tc>
        <w:tc>
          <w:tcPr>
            <w:tcW w:w="2535" w:type="dxa"/>
            <w:tcBorders>
              <w:top w:val="single" w:sz="4" w:space="0" w:color="D9D9D9" w:themeColor="background1" w:themeShade="D9"/>
            </w:tcBorders>
            <w:shd w:val="clear" w:color="auto" w:fill="auto"/>
          </w:tcPr>
          <w:p w14:paraId="04870185" w14:textId="77777777" w:rsidR="008F776F" w:rsidRPr="008F776F" w:rsidRDefault="008F776F" w:rsidP="00DB6666">
            <w:pPr>
              <w:jc w:val="left"/>
              <w:rPr>
                <w:rFonts w:cs="Arial"/>
                <w:sz w:val="16"/>
                <w:szCs w:val="16"/>
                <w:lang w:val="es-ES_tradnl"/>
              </w:rPr>
            </w:pPr>
            <w:r w:rsidRPr="008F776F">
              <w:rPr>
                <w:sz w:val="16"/>
                <w:lang w:val="es-ES_tradnl"/>
              </w:rPr>
              <w:t>Número de Estados y organizaciones que participan en las actividades de formación/asistencia de la UPOV</w:t>
            </w:r>
          </w:p>
        </w:tc>
        <w:tc>
          <w:tcPr>
            <w:tcW w:w="1554" w:type="dxa"/>
            <w:tcBorders>
              <w:top w:val="single" w:sz="4" w:space="0" w:color="D9D9D9" w:themeColor="background1" w:themeShade="D9"/>
            </w:tcBorders>
            <w:shd w:val="clear" w:color="000000" w:fill="FFFFFF"/>
          </w:tcPr>
          <w:p w14:paraId="4A51F8F3" w14:textId="77777777" w:rsidR="008F776F" w:rsidRPr="008F776F" w:rsidRDefault="008F776F" w:rsidP="00DB6666">
            <w:pPr>
              <w:jc w:val="center"/>
              <w:rPr>
                <w:rFonts w:cs="Arial"/>
                <w:sz w:val="16"/>
                <w:szCs w:val="16"/>
                <w:lang w:val="es-ES_tradnl"/>
              </w:rPr>
            </w:pPr>
            <w:r w:rsidRPr="008F776F">
              <w:rPr>
                <w:sz w:val="16"/>
                <w:lang w:val="es-ES_tradnl"/>
              </w:rPr>
              <w:t xml:space="preserve">65 Estados; </w:t>
            </w:r>
            <w:r w:rsidRPr="008F776F">
              <w:rPr>
                <w:sz w:val="16"/>
                <w:lang w:val="es-ES_tradnl"/>
              </w:rPr>
              <w:br/>
              <w:t>11 organizaciones internacionales (2022)</w:t>
            </w:r>
          </w:p>
        </w:tc>
        <w:tc>
          <w:tcPr>
            <w:tcW w:w="1559" w:type="dxa"/>
            <w:tcBorders>
              <w:top w:val="single" w:sz="4" w:space="0" w:color="D9D9D9" w:themeColor="background1" w:themeShade="D9"/>
            </w:tcBorders>
            <w:shd w:val="clear" w:color="000000" w:fill="FFFFFF"/>
          </w:tcPr>
          <w:p w14:paraId="45C84D81" w14:textId="77777777" w:rsidR="008F776F" w:rsidRPr="008F776F" w:rsidRDefault="008F776F" w:rsidP="00DB6666">
            <w:pPr>
              <w:jc w:val="center"/>
              <w:rPr>
                <w:rFonts w:cs="Arial"/>
                <w:sz w:val="16"/>
                <w:szCs w:val="16"/>
                <w:lang w:val="es-ES_tradnl"/>
              </w:rPr>
            </w:pPr>
            <w:r w:rsidRPr="008F776F">
              <w:rPr>
                <w:sz w:val="16"/>
                <w:lang w:val="es-ES_tradnl"/>
              </w:rPr>
              <w:t xml:space="preserve">70 Estados; </w:t>
            </w:r>
            <w:r w:rsidRPr="008F776F">
              <w:rPr>
                <w:sz w:val="16"/>
                <w:lang w:val="es-ES_tradnl"/>
              </w:rPr>
              <w:br/>
              <w:t>12 organizaciones internacionales (2025)</w:t>
            </w:r>
          </w:p>
        </w:tc>
      </w:tr>
      <w:tr w:rsidR="008F776F" w:rsidRPr="008F776F" w14:paraId="7870F8B6" w14:textId="77777777" w:rsidTr="00DB6666">
        <w:tc>
          <w:tcPr>
            <w:tcW w:w="426" w:type="dxa"/>
          </w:tcPr>
          <w:p w14:paraId="5CE65DBF" w14:textId="77777777" w:rsidR="008F776F" w:rsidRPr="008F776F" w:rsidRDefault="008F776F" w:rsidP="00DB6666">
            <w:pPr>
              <w:jc w:val="left"/>
              <w:rPr>
                <w:rFonts w:cs="Arial"/>
                <w:sz w:val="16"/>
                <w:szCs w:val="16"/>
                <w:lang w:val="es-ES_tradnl"/>
              </w:rPr>
            </w:pPr>
          </w:p>
        </w:tc>
        <w:tc>
          <w:tcPr>
            <w:tcW w:w="3255" w:type="dxa"/>
            <w:shd w:val="clear" w:color="auto" w:fill="auto"/>
          </w:tcPr>
          <w:p w14:paraId="0CA760A6" w14:textId="77777777" w:rsidR="008F776F" w:rsidRPr="008F776F" w:rsidRDefault="008F776F" w:rsidP="00DB6666">
            <w:pPr>
              <w:jc w:val="left"/>
              <w:rPr>
                <w:rFonts w:cs="Arial"/>
                <w:sz w:val="16"/>
                <w:szCs w:val="16"/>
                <w:lang w:val="es-ES_tradnl"/>
              </w:rPr>
            </w:pPr>
          </w:p>
        </w:tc>
        <w:tc>
          <w:tcPr>
            <w:tcW w:w="305" w:type="dxa"/>
            <w:shd w:val="clear" w:color="auto" w:fill="auto"/>
          </w:tcPr>
          <w:p w14:paraId="0C33883D" w14:textId="77777777" w:rsidR="008F776F" w:rsidRPr="008F776F" w:rsidRDefault="008F776F" w:rsidP="00DB6666">
            <w:pPr>
              <w:jc w:val="center"/>
              <w:rPr>
                <w:rFonts w:cs="Arial"/>
                <w:sz w:val="16"/>
                <w:szCs w:val="16"/>
                <w:lang w:val="es-ES_tradnl"/>
              </w:rPr>
            </w:pPr>
          </w:p>
        </w:tc>
        <w:tc>
          <w:tcPr>
            <w:tcW w:w="2535" w:type="dxa"/>
            <w:shd w:val="clear" w:color="auto" w:fill="auto"/>
          </w:tcPr>
          <w:p w14:paraId="2FFE4E06" w14:textId="77777777" w:rsidR="008F776F" w:rsidRPr="008F776F" w:rsidRDefault="008F776F" w:rsidP="00DB6666">
            <w:pPr>
              <w:jc w:val="left"/>
              <w:rPr>
                <w:rFonts w:cs="Arial"/>
                <w:sz w:val="16"/>
                <w:szCs w:val="16"/>
                <w:lang w:val="es-ES_tradnl"/>
              </w:rPr>
            </w:pPr>
            <w:r w:rsidRPr="008F776F">
              <w:rPr>
                <w:sz w:val="16"/>
                <w:lang w:val="es-ES_tradnl"/>
              </w:rPr>
              <w:t>Número de participantes que finalizan satisfactoriamente los cursos de enseñanza a distancia de la UPOV</w:t>
            </w:r>
          </w:p>
        </w:tc>
        <w:tc>
          <w:tcPr>
            <w:tcW w:w="1554" w:type="dxa"/>
            <w:shd w:val="clear" w:color="000000" w:fill="FFFFFF"/>
          </w:tcPr>
          <w:p w14:paraId="4A04090E" w14:textId="77777777" w:rsidR="008F776F" w:rsidRPr="008F776F" w:rsidRDefault="008F776F" w:rsidP="00DB6666">
            <w:pPr>
              <w:jc w:val="center"/>
              <w:rPr>
                <w:rFonts w:cs="Arial"/>
                <w:sz w:val="16"/>
                <w:szCs w:val="16"/>
                <w:lang w:val="es-ES_tradnl"/>
              </w:rPr>
            </w:pPr>
            <w:r w:rsidRPr="008F776F">
              <w:rPr>
                <w:sz w:val="16"/>
                <w:lang w:val="es-ES_tradnl"/>
              </w:rPr>
              <w:t>600 (2022)</w:t>
            </w:r>
          </w:p>
        </w:tc>
        <w:tc>
          <w:tcPr>
            <w:tcW w:w="1559" w:type="dxa"/>
            <w:shd w:val="clear" w:color="auto" w:fill="auto"/>
          </w:tcPr>
          <w:p w14:paraId="17DC45DD" w14:textId="77777777" w:rsidR="008F776F" w:rsidRPr="008F776F" w:rsidRDefault="008F776F" w:rsidP="00DB6666">
            <w:pPr>
              <w:jc w:val="center"/>
              <w:rPr>
                <w:rFonts w:cs="Arial"/>
                <w:sz w:val="16"/>
                <w:szCs w:val="16"/>
                <w:lang w:val="es-ES_tradnl"/>
              </w:rPr>
            </w:pPr>
            <w:r w:rsidRPr="008F776F">
              <w:rPr>
                <w:sz w:val="16"/>
                <w:lang w:val="es-ES_tradnl"/>
              </w:rPr>
              <w:t>750 (2025)</w:t>
            </w:r>
          </w:p>
        </w:tc>
      </w:tr>
      <w:tr w:rsidR="008F776F" w:rsidRPr="008F776F" w14:paraId="659CC22E" w14:textId="77777777" w:rsidTr="00DB6666">
        <w:tc>
          <w:tcPr>
            <w:tcW w:w="426" w:type="dxa"/>
          </w:tcPr>
          <w:p w14:paraId="21025E9F" w14:textId="77777777" w:rsidR="008F776F" w:rsidRPr="008F776F" w:rsidRDefault="008F776F" w:rsidP="00DB6666">
            <w:pPr>
              <w:jc w:val="left"/>
              <w:rPr>
                <w:rFonts w:cs="Arial"/>
                <w:sz w:val="16"/>
                <w:szCs w:val="16"/>
                <w:lang w:val="es-ES_tradnl"/>
              </w:rPr>
            </w:pPr>
          </w:p>
        </w:tc>
        <w:tc>
          <w:tcPr>
            <w:tcW w:w="3255" w:type="dxa"/>
            <w:shd w:val="clear" w:color="auto" w:fill="auto"/>
          </w:tcPr>
          <w:p w14:paraId="72F4C104" w14:textId="77777777" w:rsidR="008F776F" w:rsidRPr="008F776F" w:rsidRDefault="008F776F" w:rsidP="00DB6666">
            <w:pPr>
              <w:jc w:val="left"/>
              <w:rPr>
                <w:rFonts w:cs="Arial"/>
                <w:sz w:val="16"/>
                <w:szCs w:val="16"/>
                <w:lang w:val="es-ES_tradnl"/>
              </w:rPr>
            </w:pPr>
          </w:p>
        </w:tc>
        <w:tc>
          <w:tcPr>
            <w:tcW w:w="305" w:type="dxa"/>
            <w:shd w:val="clear" w:color="auto" w:fill="auto"/>
          </w:tcPr>
          <w:p w14:paraId="329DACB1" w14:textId="77777777" w:rsidR="008F776F" w:rsidRPr="008F776F" w:rsidRDefault="008F776F" w:rsidP="00DB6666">
            <w:pPr>
              <w:jc w:val="center"/>
              <w:rPr>
                <w:rFonts w:cs="Arial"/>
                <w:sz w:val="16"/>
                <w:szCs w:val="16"/>
                <w:lang w:val="es-ES_tradnl"/>
              </w:rPr>
            </w:pPr>
          </w:p>
        </w:tc>
        <w:tc>
          <w:tcPr>
            <w:tcW w:w="2535" w:type="dxa"/>
            <w:shd w:val="clear" w:color="auto" w:fill="auto"/>
          </w:tcPr>
          <w:p w14:paraId="65F6CE0D" w14:textId="77777777" w:rsidR="008F776F" w:rsidRPr="008F776F" w:rsidRDefault="008F776F" w:rsidP="00DB6666">
            <w:pPr>
              <w:jc w:val="left"/>
              <w:rPr>
                <w:rFonts w:cs="Arial"/>
                <w:sz w:val="16"/>
                <w:szCs w:val="16"/>
                <w:lang w:val="es-ES_tradnl"/>
              </w:rPr>
            </w:pPr>
            <w:r w:rsidRPr="008F776F">
              <w:rPr>
                <w:sz w:val="16"/>
                <w:lang w:val="es-ES_tradnl"/>
              </w:rPr>
              <w:t>Número de instituciones académicas que incluyen información sobre el sistema de la UPOV en sus cursos</w:t>
            </w:r>
          </w:p>
        </w:tc>
        <w:tc>
          <w:tcPr>
            <w:tcW w:w="1554" w:type="dxa"/>
            <w:shd w:val="clear" w:color="auto" w:fill="auto"/>
          </w:tcPr>
          <w:p w14:paraId="484BBB10" w14:textId="77777777" w:rsidR="008F776F" w:rsidRPr="008F776F" w:rsidRDefault="008F776F" w:rsidP="00DB6666">
            <w:pPr>
              <w:jc w:val="center"/>
              <w:rPr>
                <w:rFonts w:cs="Arial"/>
                <w:sz w:val="16"/>
                <w:szCs w:val="16"/>
                <w:lang w:val="es-ES_tradnl"/>
              </w:rPr>
            </w:pPr>
            <w:r w:rsidRPr="008F776F">
              <w:rPr>
                <w:sz w:val="16"/>
                <w:lang w:val="es-ES_tradnl"/>
              </w:rPr>
              <w:t>África: 1; Asia/Pacífico: 2; Europa: 7 (2025)</w:t>
            </w:r>
          </w:p>
        </w:tc>
        <w:tc>
          <w:tcPr>
            <w:tcW w:w="1559" w:type="dxa"/>
            <w:shd w:val="clear" w:color="auto" w:fill="auto"/>
          </w:tcPr>
          <w:p w14:paraId="1C5435B3" w14:textId="77777777" w:rsidR="008F776F" w:rsidRPr="008F776F" w:rsidRDefault="008F776F" w:rsidP="00DB6666">
            <w:pPr>
              <w:jc w:val="center"/>
              <w:rPr>
                <w:rFonts w:cs="Arial"/>
                <w:sz w:val="16"/>
                <w:szCs w:val="16"/>
                <w:lang w:val="es-ES_tradnl"/>
              </w:rPr>
            </w:pPr>
            <w:r w:rsidRPr="008F776F">
              <w:rPr>
                <w:sz w:val="16"/>
                <w:lang w:val="es-ES_tradnl"/>
              </w:rPr>
              <w:t xml:space="preserve">África: 3; </w:t>
            </w:r>
            <w:r w:rsidRPr="008F776F">
              <w:rPr>
                <w:sz w:val="16"/>
                <w:lang w:val="es-ES_tradnl"/>
              </w:rPr>
              <w:br/>
              <w:t>América: 2; Asia/Pacífico: 4; Europa: 7 (2025)</w:t>
            </w:r>
          </w:p>
        </w:tc>
      </w:tr>
      <w:tr w:rsidR="008F776F" w:rsidRPr="008F776F" w14:paraId="29846473" w14:textId="77777777" w:rsidTr="00DB6666">
        <w:tc>
          <w:tcPr>
            <w:tcW w:w="426" w:type="dxa"/>
          </w:tcPr>
          <w:p w14:paraId="49D25AB8" w14:textId="77777777" w:rsidR="008F776F" w:rsidRPr="008F776F" w:rsidRDefault="008F776F" w:rsidP="00DB6666">
            <w:pPr>
              <w:jc w:val="left"/>
              <w:rPr>
                <w:rFonts w:cs="Arial"/>
                <w:sz w:val="16"/>
                <w:szCs w:val="16"/>
                <w:lang w:val="es-ES_tradnl"/>
              </w:rPr>
            </w:pPr>
          </w:p>
        </w:tc>
        <w:tc>
          <w:tcPr>
            <w:tcW w:w="3255" w:type="dxa"/>
            <w:shd w:val="clear" w:color="auto" w:fill="auto"/>
          </w:tcPr>
          <w:p w14:paraId="25EF0FEC" w14:textId="77777777" w:rsidR="008F776F" w:rsidRPr="008F776F" w:rsidRDefault="008F776F" w:rsidP="00DB6666">
            <w:pPr>
              <w:jc w:val="left"/>
              <w:rPr>
                <w:rFonts w:cs="Arial"/>
                <w:sz w:val="16"/>
                <w:szCs w:val="16"/>
                <w:lang w:val="es-ES_tradnl"/>
              </w:rPr>
            </w:pPr>
          </w:p>
        </w:tc>
        <w:tc>
          <w:tcPr>
            <w:tcW w:w="305" w:type="dxa"/>
            <w:shd w:val="clear" w:color="auto" w:fill="auto"/>
          </w:tcPr>
          <w:p w14:paraId="5F42AAB9" w14:textId="77777777" w:rsidR="008F776F" w:rsidRPr="008F776F" w:rsidRDefault="008F776F" w:rsidP="00DB6666">
            <w:pPr>
              <w:jc w:val="center"/>
              <w:rPr>
                <w:rFonts w:cs="Arial"/>
                <w:sz w:val="16"/>
                <w:szCs w:val="16"/>
                <w:lang w:val="es-ES_tradnl"/>
              </w:rPr>
            </w:pPr>
          </w:p>
        </w:tc>
        <w:tc>
          <w:tcPr>
            <w:tcW w:w="2535" w:type="dxa"/>
            <w:shd w:val="clear" w:color="auto" w:fill="auto"/>
          </w:tcPr>
          <w:p w14:paraId="1B9C5AD1" w14:textId="77777777" w:rsidR="008F776F" w:rsidRPr="008F776F" w:rsidRDefault="008F776F" w:rsidP="00DB6666">
            <w:pPr>
              <w:jc w:val="left"/>
              <w:rPr>
                <w:rFonts w:cs="Arial"/>
                <w:sz w:val="16"/>
                <w:szCs w:val="16"/>
                <w:lang w:val="es-ES_tradnl"/>
              </w:rPr>
            </w:pPr>
            <w:r w:rsidRPr="008F776F">
              <w:rPr>
                <w:sz w:val="16"/>
                <w:lang w:val="es-ES_tradnl"/>
              </w:rPr>
              <w:t>Número de personas con certificado internacional de la UPOV sobre la protección de las variedades vegetales</w:t>
            </w:r>
          </w:p>
        </w:tc>
        <w:tc>
          <w:tcPr>
            <w:tcW w:w="1554" w:type="dxa"/>
            <w:shd w:val="clear" w:color="auto" w:fill="auto"/>
          </w:tcPr>
          <w:p w14:paraId="5854D512" w14:textId="77777777" w:rsidR="008F776F" w:rsidRPr="008F776F" w:rsidRDefault="00ED4FEA" w:rsidP="00DB6666">
            <w:pPr>
              <w:jc w:val="center"/>
              <w:rPr>
                <w:rFonts w:cs="Arial"/>
                <w:sz w:val="16"/>
                <w:szCs w:val="16"/>
                <w:lang w:val="es-ES_tradnl"/>
              </w:rPr>
            </w:pPr>
            <w:proofErr w:type="spellStart"/>
            <w:r>
              <w:rPr>
                <w:rFonts w:cs="Arial"/>
                <w:sz w:val="16"/>
                <w:szCs w:val="16"/>
                <w:lang w:val="es-ES_tradnl"/>
              </w:rPr>
              <w:t>n.d</w:t>
            </w:r>
            <w:proofErr w:type="spellEnd"/>
            <w:r>
              <w:rPr>
                <w:rFonts w:cs="Arial"/>
                <w:sz w:val="16"/>
                <w:szCs w:val="16"/>
                <w:lang w:val="es-ES_tradnl"/>
              </w:rPr>
              <w:t>.</w:t>
            </w:r>
          </w:p>
        </w:tc>
        <w:tc>
          <w:tcPr>
            <w:tcW w:w="1559" w:type="dxa"/>
            <w:shd w:val="clear" w:color="auto" w:fill="auto"/>
          </w:tcPr>
          <w:p w14:paraId="497F08E0" w14:textId="77777777" w:rsidR="008F776F" w:rsidRPr="008F776F" w:rsidRDefault="008F776F" w:rsidP="00DB6666">
            <w:pPr>
              <w:jc w:val="center"/>
              <w:rPr>
                <w:rFonts w:cs="Arial"/>
                <w:sz w:val="16"/>
                <w:szCs w:val="16"/>
                <w:lang w:val="es-ES_tradnl"/>
              </w:rPr>
            </w:pPr>
            <w:r w:rsidRPr="008F776F">
              <w:rPr>
                <w:sz w:val="16"/>
                <w:lang w:val="es-ES_tradnl"/>
              </w:rPr>
              <w:t>100 (2025)</w:t>
            </w:r>
          </w:p>
        </w:tc>
      </w:tr>
      <w:tr w:rsidR="008F776F" w:rsidRPr="008F776F" w14:paraId="720E563B" w14:textId="77777777" w:rsidTr="00DB6666">
        <w:tc>
          <w:tcPr>
            <w:tcW w:w="426" w:type="dxa"/>
            <w:tcBorders>
              <w:bottom w:val="single" w:sz="4" w:space="0" w:color="D9D9D9" w:themeColor="background1" w:themeShade="D9"/>
            </w:tcBorders>
          </w:tcPr>
          <w:p w14:paraId="570E58E8" w14:textId="77777777" w:rsidR="008F776F" w:rsidRPr="008F776F" w:rsidRDefault="008F776F" w:rsidP="00DB6666">
            <w:pPr>
              <w:jc w:val="left"/>
              <w:rPr>
                <w:rFonts w:cs="Arial"/>
                <w:sz w:val="16"/>
                <w:szCs w:val="16"/>
                <w:lang w:val="es-ES_tradnl"/>
              </w:rPr>
            </w:pPr>
          </w:p>
        </w:tc>
        <w:tc>
          <w:tcPr>
            <w:tcW w:w="3255" w:type="dxa"/>
            <w:tcBorders>
              <w:bottom w:val="single" w:sz="4" w:space="0" w:color="D9D9D9" w:themeColor="background1" w:themeShade="D9"/>
            </w:tcBorders>
            <w:shd w:val="clear" w:color="auto" w:fill="auto"/>
          </w:tcPr>
          <w:p w14:paraId="5C75A0E9" w14:textId="77777777" w:rsidR="008F776F" w:rsidRPr="008F776F" w:rsidRDefault="008F776F" w:rsidP="00DB6666">
            <w:pPr>
              <w:jc w:val="left"/>
              <w:rPr>
                <w:rFonts w:cs="Arial"/>
                <w:sz w:val="16"/>
                <w:szCs w:val="16"/>
                <w:lang w:val="es-ES_tradnl"/>
              </w:rPr>
            </w:pPr>
          </w:p>
        </w:tc>
        <w:tc>
          <w:tcPr>
            <w:tcW w:w="305" w:type="dxa"/>
            <w:tcBorders>
              <w:bottom w:val="single" w:sz="4" w:space="0" w:color="D9D9D9" w:themeColor="background1" w:themeShade="D9"/>
            </w:tcBorders>
            <w:shd w:val="clear" w:color="auto" w:fill="auto"/>
          </w:tcPr>
          <w:p w14:paraId="27AAE250" w14:textId="77777777" w:rsidR="008F776F" w:rsidRPr="008F776F" w:rsidRDefault="008F776F" w:rsidP="00DB6666">
            <w:pPr>
              <w:jc w:val="center"/>
              <w:rPr>
                <w:rFonts w:cs="Arial"/>
                <w:sz w:val="16"/>
                <w:szCs w:val="16"/>
                <w:lang w:val="es-ES_tradnl"/>
              </w:rPr>
            </w:pPr>
          </w:p>
        </w:tc>
        <w:tc>
          <w:tcPr>
            <w:tcW w:w="2535" w:type="dxa"/>
            <w:tcBorders>
              <w:bottom w:val="single" w:sz="4" w:space="0" w:color="D9D9D9" w:themeColor="background1" w:themeShade="D9"/>
            </w:tcBorders>
            <w:shd w:val="clear" w:color="auto" w:fill="auto"/>
          </w:tcPr>
          <w:p w14:paraId="61B8DE78" w14:textId="77777777" w:rsidR="008F776F" w:rsidRPr="008F776F" w:rsidRDefault="008F776F" w:rsidP="00DB6666">
            <w:pPr>
              <w:jc w:val="left"/>
              <w:rPr>
                <w:rFonts w:cs="Arial"/>
                <w:sz w:val="16"/>
                <w:szCs w:val="16"/>
                <w:lang w:val="es-ES_tradnl"/>
              </w:rPr>
            </w:pPr>
            <w:r w:rsidRPr="008F776F">
              <w:rPr>
                <w:sz w:val="16"/>
                <w:lang w:val="es-ES_tradnl"/>
              </w:rPr>
              <w:t>Número de graduados del curso de formación de formadores de la UPOV</w:t>
            </w:r>
          </w:p>
        </w:tc>
        <w:tc>
          <w:tcPr>
            <w:tcW w:w="1554" w:type="dxa"/>
            <w:tcBorders>
              <w:bottom w:val="single" w:sz="4" w:space="0" w:color="D9D9D9" w:themeColor="background1" w:themeShade="D9"/>
            </w:tcBorders>
            <w:shd w:val="clear" w:color="000000" w:fill="FFFFFF"/>
          </w:tcPr>
          <w:p w14:paraId="0C3B7F68" w14:textId="77777777" w:rsidR="008F776F" w:rsidRPr="008F776F" w:rsidRDefault="008F776F" w:rsidP="00DB6666">
            <w:pPr>
              <w:ind w:right="284"/>
              <w:jc w:val="right"/>
              <w:rPr>
                <w:rFonts w:cs="Arial"/>
                <w:sz w:val="16"/>
                <w:szCs w:val="16"/>
                <w:lang w:val="es-ES_tradnl"/>
              </w:rPr>
            </w:pPr>
            <w:r w:rsidRPr="008F776F">
              <w:rPr>
                <w:sz w:val="16"/>
                <w:lang w:val="es-ES_tradnl"/>
              </w:rPr>
              <w:t>21 (2022)</w:t>
            </w:r>
          </w:p>
        </w:tc>
        <w:tc>
          <w:tcPr>
            <w:tcW w:w="1559" w:type="dxa"/>
            <w:tcBorders>
              <w:bottom w:val="single" w:sz="4" w:space="0" w:color="D9D9D9" w:themeColor="background1" w:themeShade="D9"/>
            </w:tcBorders>
            <w:shd w:val="clear" w:color="000000" w:fill="FFFFFF"/>
          </w:tcPr>
          <w:p w14:paraId="61937C24" w14:textId="77777777" w:rsidR="008F776F" w:rsidRPr="008F776F" w:rsidRDefault="008F776F" w:rsidP="00DB6666">
            <w:pPr>
              <w:jc w:val="center"/>
              <w:rPr>
                <w:rFonts w:cs="Arial"/>
                <w:sz w:val="16"/>
                <w:szCs w:val="16"/>
                <w:lang w:val="es-ES_tradnl"/>
              </w:rPr>
            </w:pPr>
            <w:r w:rsidRPr="008F776F">
              <w:rPr>
                <w:sz w:val="16"/>
                <w:lang w:val="es-ES_tradnl"/>
              </w:rPr>
              <w:t>45 (2024-2025)</w:t>
            </w:r>
          </w:p>
        </w:tc>
      </w:tr>
      <w:tr w:rsidR="008F776F" w:rsidRPr="008F776F" w14:paraId="33A683DF" w14:textId="77777777" w:rsidTr="00DB6666">
        <w:tc>
          <w:tcPr>
            <w:tcW w:w="426" w:type="dxa"/>
            <w:tcBorders>
              <w:top w:val="single" w:sz="4" w:space="0" w:color="D9D9D9" w:themeColor="background1" w:themeShade="D9"/>
            </w:tcBorders>
          </w:tcPr>
          <w:p w14:paraId="2B0EF784" w14:textId="77777777" w:rsidR="008F776F" w:rsidRPr="008F776F" w:rsidRDefault="008F776F" w:rsidP="00DB6666">
            <w:pPr>
              <w:jc w:val="left"/>
              <w:rPr>
                <w:rFonts w:cs="Arial"/>
                <w:sz w:val="16"/>
                <w:szCs w:val="16"/>
                <w:lang w:val="es-ES_tradnl"/>
              </w:rPr>
            </w:pPr>
            <w:r w:rsidRPr="008F776F">
              <w:rPr>
                <w:sz w:val="16"/>
                <w:lang w:val="es-ES_tradnl"/>
              </w:rPr>
              <w:t>2.3</w:t>
            </w:r>
          </w:p>
        </w:tc>
        <w:tc>
          <w:tcPr>
            <w:tcW w:w="3255" w:type="dxa"/>
            <w:tcBorders>
              <w:top w:val="single" w:sz="4" w:space="0" w:color="D9D9D9" w:themeColor="background1" w:themeShade="D9"/>
            </w:tcBorders>
            <w:shd w:val="clear" w:color="auto" w:fill="auto"/>
          </w:tcPr>
          <w:p w14:paraId="783A53F3" w14:textId="77777777" w:rsidR="008F776F" w:rsidRPr="008F776F" w:rsidRDefault="008F776F" w:rsidP="00DB6666">
            <w:pPr>
              <w:jc w:val="left"/>
              <w:rPr>
                <w:rFonts w:cs="Arial"/>
                <w:sz w:val="16"/>
                <w:szCs w:val="16"/>
                <w:lang w:val="es-ES_tradnl"/>
              </w:rPr>
            </w:pPr>
            <w:r w:rsidRPr="008F776F">
              <w:rPr>
                <w:sz w:val="16"/>
                <w:lang w:val="es-ES_tradnl"/>
              </w:rPr>
              <w:t>Mayor armonización y cooperación en los exámenes</w:t>
            </w:r>
          </w:p>
        </w:tc>
        <w:tc>
          <w:tcPr>
            <w:tcW w:w="305" w:type="dxa"/>
            <w:tcBorders>
              <w:top w:val="single" w:sz="4" w:space="0" w:color="D9D9D9" w:themeColor="background1" w:themeShade="D9"/>
            </w:tcBorders>
            <w:shd w:val="clear" w:color="auto" w:fill="auto"/>
          </w:tcPr>
          <w:p w14:paraId="70B378AD" w14:textId="77777777" w:rsidR="008F776F" w:rsidRPr="008F776F" w:rsidRDefault="008F776F" w:rsidP="00DB6666">
            <w:pPr>
              <w:jc w:val="center"/>
              <w:rPr>
                <w:rFonts w:cs="Arial"/>
                <w:sz w:val="16"/>
                <w:szCs w:val="16"/>
                <w:lang w:val="es-ES_tradnl"/>
              </w:rPr>
            </w:pPr>
          </w:p>
        </w:tc>
        <w:tc>
          <w:tcPr>
            <w:tcW w:w="2535" w:type="dxa"/>
            <w:tcBorders>
              <w:top w:val="single" w:sz="4" w:space="0" w:color="D9D9D9" w:themeColor="background1" w:themeShade="D9"/>
            </w:tcBorders>
            <w:shd w:val="clear" w:color="auto" w:fill="auto"/>
          </w:tcPr>
          <w:p w14:paraId="3029782A" w14:textId="77777777" w:rsidR="008F776F" w:rsidRPr="008F776F" w:rsidRDefault="008F776F" w:rsidP="00DB6666">
            <w:pPr>
              <w:jc w:val="left"/>
              <w:rPr>
                <w:rFonts w:cs="Arial"/>
                <w:sz w:val="16"/>
                <w:szCs w:val="16"/>
                <w:lang w:val="es-ES_tradnl"/>
              </w:rPr>
            </w:pPr>
            <w:r w:rsidRPr="008F776F">
              <w:rPr>
                <w:sz w:val="16"/>
                <w:lang w:val="es-ES_tradnl"/>
              </w:rPr>
              <w:t>Uso de directrices de examen y cuestionarios técnicos de la UPOV</w:t>
            </w:r>
          </w:p>
        </w:tc>
        <w:tc>
          <w:tcPr>
            <w:tcW w:w="1554" w:type="dxa"/>
            <w:tcBorders>
              <w:top w:val="single" w:sz="4" w:space="0" w:color="D9D9D9" w:themeColor="background1" w:themeShade="D9"/>
            </w:tcBorders>
            <w:shd w:val="clear" w:color="auto" w:fill="auto"/>
          </w:tcPr>
          <w:p w14:paraId="41F3ABB7" w14:textId="77777777" w:rsidR="008F776F" w:rsidRPr="008F776F" w:rsidRDefault="008F776F" w:rsidP="00DB6666">
            <w:pPr>
              <w:ind w:right="284"/>
              <w:jc w:val="right"/>
              <w:rPr>
                <w:rFonts w:cs="Arial"/>
                <w:sz w:val="16"/>
                <w:szCs w:val="16"/>
                <w:lang w:val="es-ES_tradnl"/>
              </w:rPr>
            </w:pPr>
          </w:p>
        </w:tc>
        <w:tc>
          <w:tcPr>
            <w:tcW w:w="1559" w:type="dxa"/>
            <w:tcBorders>
              <w:top w:val="single" w:sz="4" w:space="0" w:color="D9D9D9" w:themeColor="background1" w:themeShade="D9"/>
            </w:tcBorders>
            <w:shd w:val="clear" w:color="auto" w:fill="auto"/>
          </w:tcPr>
          <w:p w14:paraId="3C0F57C2" w14:textId="77777777" w:rsidR="008F776F" w:rsidRPr="008F776F" w:rsidRDefault="008F776F" w:rsidP="00DB6666">
            <w:pPr>
              <w:ind w:right="284"/>
              <w:jc w:val="right"/>
              <w:rPr>
                <w:rFonts w:cs="Arial"/>
                <w:sz w:val="16"/>
                <w:szCs w:val="16"/>
                <w:lang w:val="es-ES_tradnl"/>
              </w:rPr>
            </w:pPr>
          </w:p>
        </w:tc>
      </w:tr>
      <w:tr w:rsidR="008F776F" w:rsidRPr="008F776F" w14:paraId="1F0A3397" w14:textId="77777777" w:rsidTr="00DB6666">
        <w:tc>
          <w:tcPr>
            <w:tcW w:w="426" w:type="dxa"/>
          </w:tcPr>
          <w:p w14:paraId="161DC60D" w14:textId="77777777" w:rsidR="008F776F" w:rsidRPr="008F776F" w:rsidRDefault="008F776F" w:rsidP="00DB6666">
            <w:pPr>
              <w:jc w:val="left"/>
              <w:rPr>
                <w:rFonts w:cs="Arial"/>
                <w:sz w:val="16"/>
                <w:szCs w:val="16"/>
                <w:lang w:val="es-ES_tradnl"/>
              </w:rPr>
            </w:pPr>
          </w:p>
        </w:tc>
        <w:tc>
          <w:tcPr>
            <w:tcW w:w="3255" w:type="dxa"/>
            <w:shd w:val="clear" w:color="auto" w:fill="auto"/>
          </w:tcPr>
          <w:p w14:paraId="0F439181" w14:textId="77777777" w:rsidR="008F776F" w:rsidRPr="008F776F" w:rsidRDefault="008F776F" w:rsidP="00DB6666">
            <w:pPr>
              <w:jc w:val="left"/>
              <w:rPr>
                <w:rFonts w:cs="Arial"/>
                <w:sz w:val="16"/>
                <w:szCs w:val="16"/>
                <w:lang w:val="es-ES_tradnl"/>
              </w:rPr>
            </w:pPr>
          </w:p>
        </w:tc>
        <w:tc>
          <w:tcPr>
            <w:tcW w:w="305" w:type="dxa"/>
            <w:shd w:val="clear" w:color="auto" w:fill="auto"/>
          </w:tcPr>
          <w:p w14:paraId="2E31BEDB" w14:textId="77777777" w:rsidR="008F776F" w:rsidRPr="008F776F" w:rsidRDefault="008F776F" w:rsidP="00DB6666">
            <w:pPr>
              <w:jc w:val="center"/>
              <w:rPr>
                <w:rFonts w:cs="Arial"/>
                <w:sz w:val="16"/>
                <w:szCs w:val="16"/>
                <w:lang w:val="es-ES_tradnl"/>
              </w:rPr>
            </w:pPr>
          </w:p>
        </w:tc>
        <w:tc>
          <w:tcPr>
            <w:tcW w:w="2535" w:type="dxa"/>
            <w:shd w:val="clear" w:color="auto" w:fill="auto"/>
          </w:tcPr>
          <w:p w14:paraId="4573ABDA" w14:textId="77777777" w:rsidR="008F776F" w:rsidRPr="008F776F" w:rsidRDefault="008F776F" w:rsidP="00DB6666">
            <w:pPr>
              <w:jc w:val="left"/>
              <w:rPr>
                <w:rFonts w:cs="Arial"/>
                <w:sz w:val="16"/>
                <w:szCs w:val="16"/>
                <w:lang w:val="es-ES_tradnl"/>
              </w:rPr>
            </w:pPr>
            <w:r w:rsidRPr="008F776F">
              <w:rPr>
                <w:sz w:val="16"/>
                <w:lang w:val="es-ES_tradnl"/>
              </w:rPr>
              <w:t>Número de miembros que utilizan los cuestionarios técnicos sin cambios en UPOV PRISMA</w:t>
            </w:r>
          </w:p>
        </w:tc>
        <w:tc>
          <w:tcPr>
            <w:tcW w:w="1554" w:type="dxa"/>
            <w:shd w:val="clear" w:color="000000" w:fill="FFFFFF"/>
          </w:tcPr>
          <w:p w14:paraId="0194B14D" w14:textId="77777777" w:rsidR="008F776F" w:rsidRPr="008F776F" w:rsidRDefault="008F776F" w:rsidP="00DB6666">
            <w:pPr>
              <w:ind w:right="284"/>
              <w:jc w:val="right"/>
              <w:rPr>
                <w:rFonts w:cs="Arial"/>
                <w:sz w:val="16"/>
                <w:szCs w:val="16"/>
                <w:lang w:val="es-ES_tradnl"/>
              </w:rPr>
            </w:pPr>
            <w:r w:rsidRPr="008F776F">
              <w:rPr>
                <w:sz w:val="16"/>
                <w:lang w:val="es-ES_tradnl"/>
              </w:rPr>
              <w:t>24 (2022)</w:t>
            </w:r>
          </w:p>
        </w:tc>
        <w:tc>
          <w:tcPr>
            <w:tcW w:w="1559" w:type="dxa"/>
            <w:shd w:val="clear" w:color="auto" w:fill="auto"/>
          </w:tcPr>
          <w:p w14:paraId="4062880D" w14:textId="77777777" w:rsidR="008F776F" w:rsidRPr="008F776F" w:rsidRDefault="008F776F" w:rsidP="00DB6666">
            <w:pPr>
              <w:ind w:right="284"/>
              <w:jc w:val="right"/>
              <w:rPr>
                <w:rFonts w:cs="Arial"/>
                <w:sz w:val="16"/>
                <w:szCs w:val="16"/>
                <w:lang w:val="es-ES_tradnl"/>
              </w:rPr>
            </w:pPr>
            <w:r w:rsidRPr="008F776F">
              <w:rPr>
                <w:sz w:val="16"/>
                <w:lang w:val="es-ES_tradnl"/>
              </w:rPr>
              <w:t>30 (2025)</w:t>
            </w:r>
          </w:p>
        </w:tc>
      </w:tr>
      <w:tr w:rsidR="008F776F" w:rsidRPr="008F776F" w14:paraId="2399FCDA" w14:textId="77777777" w:rsidTr="00DB6666">
        <w:tc>
          <w:tcPr>
            <w:tcW w:w="426" w:type="dxa"/>
          </w:tcPr>
          <w:p w14:paraId="6569F721" w14:textId="77777777" w:rsidR="008F776F" w:rsidRPr="008F776F" w:rsidRDefault="008F776F" w:rsidP="00DB6666">
            <w:pPr>
              <w:jc w:val="left"/>
              <w:rPr>
                <w:rFonts w:cs="Arial"/>
                <w:sz w:val="16"/>
                <w:szCs w:val="16"/>
                <w:lang w:val="es-ES_tradnl"/>
              </w:rPr>
            </w:pPr>
          </w:p>
        </w:tc>
        <w:tc>
          <w:tcPr>
            <w:tcW w:w="3255" w:type="dxa"/>
            <w:shd w:val="clear" w:color="auto" w:fill="auto"/>
          </w:tcPr>
          <w:p w14:paraId="2D3A8D93" w14:textId="77777777" w:rsidR="008F776F" w:rsidRPr="008F776F" w:rsidRDefault="008F776F" w:rsidP="00DB6666">
            <w:pPr>
              <w:jc w:val="left"/>
              <w:rPr>
                <w:rFonts w:cs="Arial"/>
                <w:sz w:val="16"/>
                <w:szCs w:val="16"/>
                <w:lang w:val="es-ES_tradnl"/>
              </w:rPr>
            </w:pPr>
          </w:p>
        </w:tc>
        <w:tc>
          <w:tcPr>
            <w:tcW w:w="305" w:type="dxa"/>
            <w:shd w:val="clear" w:color="auto" w:fill="auto"/>
          </w:tcPr>
          <w:p w14:paraId="3A55F90C" w14:textId="77777777" w:rsidR="008F776F" w:rsidRPr="008F776F" w:rsidRDefault="008F776F" w:rsidP="00DB6666">
            <w:pPr>
              <w:jc w:val="center"/>
              <w:rPr>
                <w:rFonts w:cs="Arial"/>
                <w:sz w:val="16"/>
                <w:szCs w:val="16"/>
                <w:lang w:val="es-ES_tradnl"/>
              </w:rPr>
            </w:pPr>
          </w:p>
        </w:tc>
        <w:tc>
          <w:tcPr>
            <w:tcW w:w="2535" w:type="dxa"/>
            <w:shd w:val="clear" w:color="auto" w:fill="auto"/>
          </w:tcPr>
          <w:p w14:paraId="0F40277D" w14:textId="77777777" w:rsidR="008F776F" w:rsidRPr="008F776F" w:rsidRDefault="008F776F" w:rsidP="00DB6666">
            <w:pPr>
              <w:ind w:left="284"/>
              <w:jc w:val="left"/>
              <w:rPr>
                <w:rFonts w:cs="Arial"/>
                <w:sz w:val="16"/>
                <w:szCs w:val="16"/>
                <w:lang w:val="es-ES_tradnl"/>
              </w:rPr>
            </w:pPr>
            <w:r w:rsidRPr="008F776F">
              <w:rPr>
                <w:sz w:val="16"/>
                <w:lang w:val="es-ES_tradnl"/>
              </w:rPr>
              <w:t>Número de miembros que utilizan las características de los cuestionarios técnicos sin cambios en UPOV PRISMA</w:t>
            </w:r>
          </w:p>
        </w:tc>
        <w:tc>
          <w:tcPr>
            <w:tcW w:w="1554" w:type="dxa"/>
            <w:shd w:val="clear" w:color="000000" w:fill="FFFFFF"/>
          </w:tcPr>
          <w:p w14:paraId="2B37AFFE" w14:textId="77777777" w:rsidR="008F776F" w:rsidRPr="008F776F" w:rsidRDefault="008F776F" w:rsidP="00DB6666">
            <w:pPr>
              <w:ind w:right="284"/>
              <w:jc w:val="right"/>
              <w:rPr>
                <w:rFonts w:cs="Arial"/>
                <w:sz w:val="16"/>
                <w:szCs w:val="16"/>
                <w:lang w:val="es-ES_tradnl"/>
              </w:rPr>
            </w:pPr>
            <w:r w:rsidRPr="008F776F">
              <w:rPr>
                <w:sz w:val="16"/>
                <w:lang w:val="es-ES_tradnl"/>
              </w:rPr>
              <w:t>6 (2022)</w:t>
            </w:r>
          </w:p>
        </w:tc>
        <w:tc>
          <w:tcPr>
            <w:tcW w:w="1559" w:type="dxa"/>
            <w:shd w:val="clear" w:color="000000" w:fill="FFFFFF"/>
          </w:tcPr>
          <w:p w14:paraId="126764FD" w14:textId="77777777" w:rsidR="008F776F" w:rsidRPr="008F776F" w:rsidRDefault="008F776F" w:rsidP="00DB6666">
            <w:pPr>
              <w:ind w:right="284"/>
              <w:jc w:val="right"/>
              <w:rPr>
                <w:rFonts w:cs="Arial"/>
                <w:sz w:val="16"/>
                <w:szCs w:val="16"/>
                <w:lang w:val="es-ES_tradnl"/>
              </w:rPr>
            </w:pPr>
            <w:r w:rsidRPr="008F776F">
              <w:rPr>
                <w:sz w:val="16"/>
                <w:lang w:val="es-ES_tradnl"/>
              </w:rPr>
              <w:t>8 (2025)</w:t>
            </w:r>
          </w:p>
        </w:tc>
      </w:tr>
      <w:tr w:rsidR="008F776F" w:rsidRPr="008F776F" w14:paraId="2FECE0C3" w14:textId="77777777" w:rsidTr="00DB6666">
        <w:tc>
          <w:tcPr>
            <w:tcW w:w="426" w:type="dxa"/>
          </w:tcPr>
          <w:p w14:paraId="658600D9" w14:textId="77777777" w:rsidR="008F776F" w:rsidRPr="008F776F" w:rsidRDefault="008F776F" w:rsidP="00DB6666">
            <w:pPr>
              <w:jc w:val="left"/>
              <w:rPr>
                <w:rFonts w:cs="Arial"/>
                <w:sz w:val="16"/>
                <w:szCs w:val="16"/>
                <w:lang w:val="es-ES_tradnl"/>
              </w:rPr>
            </w:pPr>
          </w:p>
        </w:tc>
        <w:tc>
          <w:tcPr>
            <w:tcW w:w="3255" w:type="dxa"/>
            <w:shd w:val="clear" w:color="auto" w:fill="auto"/>
          </w:tcPr>
          <w:p w14:paraId="60DB73E0" w14:textId="77777777" w:rsidR="008F776F" w:rsidRPr="008F776F" w:rsidRDefault="008F776F" w:rsidP="00DB6666">
            <w:pPr>
              <w:jc w:val="left"/>
              <w:rPr>
                <w:rFonts w:cs="Arial"/>
                <w:sz w:val="16"/>
                <w:szCs w:val="16"/>
                <w:lang w:val="es-ES_tradnl"/>
              </w:rPr>
            </w:pPr>
          </w:p>
        </w:tc>
        <w:tc>
          <w:tcPr>
            <w:tcW w:w="305" w:type="dxa"/>
            <w:shd w:val="clear" w:color="auto" w:fill="auto"/>
          </w:tcPr>
          <w:p w14:paraId="5DF9398E" w14:textId="77777777" w:rsidR="008F776F" w:rsidRPr="008F776F" w:rsidRDefault="008F776F" w:rsidP="00DB6666">
            <w:pPr>
              <w:jc w:val="center"/>
              <w:rPr>
                <w:rFonts w:cs="Arial"/>
                <w:sz w:val="16"/>
                <w:szCs w:val="16"/>
                <w:lang w:val="es-ES_tradnl"/>
              </w:rPr>
            </w:pPr>
          </w:p>
        </w:tc>
        <w:tc>
          <w:tcPr>
            <w:tcW w:w="2535" w:type="dxa"/>
            <w:shd w:val="clear" w:color="auto" w:fill="auto"/>
          </w:tcPr>
          <w:p w14:paraId="3D21ECFB" w14:textId="77777777" w:rsidR="008F776F" w:rsidRPr="008F776F" w:rsidRDefault="008F776F" w:rsidP="00DB6666">
            <w:pPr>
              <w:ind w:left="284"/>
              <w:jc w:val="left"/>
              <w:rPr>
                <w:rFonts w:cs="Arial"/>
                <w:sz w:val="16"/>
                <w:szCs w:val="16"/>
                <w:lang w:val="es-ES_tradnl"/>
              </w:rPr>
            </w:pPr>
            <w:r w:rsidRPr="008F776F">
              <w:rPr>
                <w:sz w:val="16"/>
                <w:lang w:val="es-ES_tradnl"/>
              </w:rPr>
              <w:t xml:space="preserve">% de solicitudes de protección en los miembros de la UPOV cubiertas por las plantillas GT de la UPOV </w:t>
            </w:r>
          </w:p>
        </w:tc>
        <w:tc>
          <w:tcPr>
            <w:tcW w:w="1554" w:type="dxa"/>
            <w:shd w:val="clear" w:color="000000" w:fill="FFFFFF"/>
          </w:tcPr>
          <w:p w14:paraId="598D1E57" w14:textId="77777777" w:rsidR="008F776F" w:rsidRPr="008F776F" w:rsidRDefault="008F776F" w:rsidP="00DB6666">
            <w:pPr>
              <w:jc w:val="center"/>
              <w:rPr>
                <w:rFonts w:cs="Arial"/>
                <w:sz w:val="16"/>
                <w:szCs w:val="16"/>
                <w:lang w:val="es-ES_tradnl"/>
              </w:rPr>
            </w:pPr>
            <w:r w:rsidRPr="008F776F">
              <w:rPr>
                <w:sz w:val="16"/>
                <w:lang w:val="es-ES_tradnl"/>
              </w:rPr>
              <w:t>94%</w:t>
            </w:r>
          </w:p>
        </w:tc>
        <w:tc>
          <w:tcPr>
            <w:tcW w:w="1559" w:type="dxa"/>
            <w:shd w:val="clear" w:color="auto" w:fill="auto"/>
          </w:tcPr>
          <w:p w14:paraId="15D1E28C" w14:textId="77777777" w:rsidR="008F776F" w:rsidRPr="008F776F" w:rsidRDefault="008F776F" w:rsidP="00DB6666">
            <w:pPr>
              <w:jc w:val="center"/>
              <w:rPr>
                <w:rFonts w:cs="Arial"/>
                <w:sz w:val="16"/>
                <w:szCs w:val="16"/>
                <w:lang w:val="es-ES_tradnl"/>
              </w:rPr>
            </w:pPr>
            <w:r w:rsidRPr="008F776F">
              <w:rPr>
                <w:sz w:val="16"/>
                <w:lang w:val="es-ES_tradnl"/>
              </w:rPr>
              <w:t>94%</w:t>
            </w:r>
          </w:p>
        </w:tc>
      </w:tr>
      <w:tr w:rsidR="008F776F" w:rsidRPr="008F776F" w14:paraId="61255B64" w14:textId="77777777" w:rsidTr="00DB6666">
        <w:tc>
          <w:tcPr>
            <w:tcW w:w="426" w:type="dxa"/>
          </w:tcPr>
          <w:p w14:paraId="2D7772C1" w14:textId="77777777" w:rsidR="008F776F" w:rsidRPr="008F776F" w:rsidRDefault="008F776F" w:rsidP="00DB6666">
            <w:pPr>
              <w:jc w:val="left"/>
              <w:rPr>
                <w:rFonts w:cs="Arial"/>
                <w:sz w:val="16"/>
                <w:szCs w:val="16"/>
                <w:lang w:val="es-ES_tradnl"/>
              </w:rPr>
            </w:pPr>
          </w:p>
        </w:tc>
        <w:tc>
          <w:tcPr>
            <w:tcW w:w="3255" w:type="dxa"/>
            <w:tcBorders>
              <w:bottom w:val="single" w:sz="4" w:space="0" w:color="D9D9D9" w:themeColor="background1" w:themeShade="D9"/>
            </w:tcBorders>
            <w:shd w:val="clear" w:color="auto" w:fill="auto"/>
          </w:tcPr>
          <w:p w14:paraId="5A7A2EC1" w14:textId="77777777" w:rsidR="008F776F" w:rsidRPr="008F776F" w:rsidRDefault="008F776F" w:rsidP="00DB6666">
            <w:pPr>
              <w:jc w:val="left"/>
              <w:rPr>
                <w:rFonts w:cs="Arial"/>
                <w:sz w:val="16"/>
                <w:szCs w:val="16"/>
                <w:lang w:val="es-ES_tradnl"/>
              </w:rPr>
            </w:pPr>
          </w:p>
        </w:tc>
        <w:tc>
          <w:tcPr>
            <w:tcW w:w="305" w:type="dxa"/>
            <w:tcBorders>
              <w:bottom w:val="single" w:sz="4" w:space="0" w:color="D9D9D9" w:themeColor="background1" w:themeShade="D9"/>
            </w:tcBorders>
            <w:shd w:val="clear" w:color="auto" w:fill="auto"/>
          </w:tcPr>
          <w:p w14:paraId="1C607762" w14:textId="77777777" w:rsidR="008F776F" w:rsidRPr="008F776F" w:rsidRDefault="008F776F" w:rsidP="00DB6666">
            <w:pPr>
              <w:jc w:val="center"/>
              <w:rPr>
                <w:rFonts w:cs="Arial"/>
                <w:sz w:val="16"/>
                <w:szCs w:val="16"/>
                <w:lang w:val="es-ES_tradnl"/>
              </w:rPr>
            </w:pPr>
          </w:p>
        </w:tc>
        <w:tc>
          <w:tcPr>
            <w:tcW w:w="2535" w:type="dxa"/>
            <w:tcBorders>
              <w:bottom w:val="single" w:sz="4" w:space="0" w:color="D9D9D9" w:themeColor="background1" w:themeShade="D9"/>
            </w:tcBorders>
            <w:shd w:val="clear" w:color="auto" w:fill="auto"/>
          </w:tcPr>
          <w:p w14:paraId="3BD0B934" w14:textId="77777777" w:rsidR="008F776F" w:rsidRPr="008F776F" w:rsidRDefault="008F776F" w:rsidP="00DB6666">
            <w:pPr>
              <w:ind w:left="284"/>
              <w:jc w:val="left"/>
              <w:rPr>
                <w:rFonts w:cs="Arial"/>
                <w:sz w:val="16"/>
                <w:szCs w:val="16"/>
                <w:lang w:val="es-ES_tradnl"/>
              </w:rPr>
            </w:pPr>
            <w:r w:rsidRPr="008F776F">
              <w:rPr>
                <w:sz w:val="16"/>
                <w:lang w:val="es-ES_tradnl"/>
              </w:rPr>
              <w:t>Número de informes DHE descargados del módulo de intercambio de e-PVP</w:t>
            </w:r>
          </w:p>
        </w:tc>
        <w:tc>
          <w:tcPr>
            <w:tcW w:w="1554" w:type="dxa"/>
            <w:tcBorders>
              <w:bottom w:val="single" w:sz="4" w:space="0" w:color="D9D9D9" w:themeColor="background1" w:themeShade="D9"/>
            </w:tcBorders>
            <w:shd w:val="clear" w:color="auto" w:fill="auto"/>
          </w:tcPr>
          <w:p w14:paraId="515DC81F" w14:textId="77777777" w:rsidR="008F776F" w:rsidRPr="008F776F" w:rsidRDefault="008F776F" w:rsidP="00DB6666">
            <w:pPr>
              <w:jc w:val="center"/>
              <w:rPr>
                <w:rFonts w:cs="Arial"/>
                <w:sz w:val="16"/>
                <w:szCs w:val="16"/>
                <w:lang w:val="es-ES_tradnl"/>
              </w:rPr>
            </w:pPr>
            <w:r w:rsidRPr="008F776F">
              <w:rPr>
                <w:sz w:val="16"/>
                <w:lang w:val="es-ES_tradnl"/>
              </w:rPr>
              <w:t>n. d.</w:t>
            </w:r>
          </w:p>
        </w:tc>
        <w:tc>
          <w:tcPr>
            <w:tcW w:w="1559" w:type="dxa"/>
            <w:tcBorders>
              <w:bottom w:val="single" w:sz="4" w:space="0" w:color="D9D9D9" w:themeColor="background1" w:themeShade="D9"/>
            </w:tcBorders>
            <w:shd w:val="clear" w:color="auto" w:fill="auto"/>
          </w:tcPr>
          <w:p w14:paraId="15D32B00" w14:textId="77777777" w:rsidR="008F776F" w:rsidRPr="008F776F" w:rsidRDefault="008F776F" w:rsidP="00DB6666">
            <w:pPr>
              <w:jc w:val="center"/>
              <w:rPr>
                <w:rFonts w:cs="Arial"/>
                <w:sz w:val="16"/>
                <w:szCs w:val="16"/>
                <w:lang w:val="es-ES_tradnl"/>
              </w:rPr>
            </w:pPr>
            <w:r w:rsidRPr="008F776F">
              <w:rPr>
                <w:sz w:val="16"/>
                <w:lang w:val="es-ES_tradnl"/>
              </w:rPr>
              <w:t>400</w:t>
            </w:r>
          </w:p>
        </w:tc>
      </w:tr>
    </w:tbl>
    <w:p w14:paraId="712FF49A" w14:textId="77777777" w:rsidR="008F776F" w:rsidRPr="008F776F" w:rsidRDefault="008F776F" w:rsidP="008F776F">
      <w:pPr>
        <w:rPr>
          <w:lang w:val="es-ES_tradnl"/>
        </w:rPr>
      </w:pPr>
    </w:p>
    <w:p w14:paraId="57C799A7" w14:textId="77777777" w:rsidR="008F776F" w:rsidRPr="008F776F" w:rsidRDefault="008F776F" w:rsidP="008F776F">
      <w:pPr>
        <w:rPr>
          <w:lang w:val="es-ES_tradnl"/>
        </w:rPr>
      </w:pPr>
    </w:p>
    <w:p w14:paraId="1F5E701D" w14:textId="77777777" w:rsidR="008F776F" w:rsidRPr="008F776F" w:rsidRDefault="008F776F" w:rsidP="008F776F">
      <w:pPr>
        <w:jc w:val="left"/>
        <w:rPr>
          <w:b/>
          <w:color w:val="26724C" w:themeColor="accent1" w:themeShade="BF"/>
          <w:sz w:val="28"/>
          <w:lang w:val="es-ES_tradnl"/>
        </w:rPr>
      </w:pPr>
      <w:bookmarkStart w:id="454" w:name="_Toc117798897"/>
      <w:bookmarkStart w:id="455" w:name="_Toc107239602"/>
      <w:bookmarkStart w:id="456" w:name="_Toc107239352"/>
      <w:r w:rsidRPr="008F776F">
        <w:rPr>
          <w:lang w:val="es-ES_tradnl"/>
        </w:rPr>
        <w:br w:type="page"/>
      </w:r>
    </w:p>
    <w:p w14:paraId="04FFD737" w14:textId="77777777" w:rsidR="008F776F" w:rsidRPr="008F776F" w:rsidRDefault="008F776F" w:rsidP="009C3021">
      <w:pPr>
        <w:pStyle w:val="Heading2"/>
        <w:ind w:left="0" w:firstLine="0"/>
        <w:rPr>
          <w:lang w:val="es-ES_tradnl"/>
        </w:rPr>
      </w:pPr>
      <w:bookmarkStart w:id="457" w:name="_Toc141978862"/>
      <w:r w:rsidRPr="008F776F">
        <w:rPr>
          <w:lang w:val="es-ES_tradnl"/>
        </w:rPr>
        <w:lastRenderedPageBreak/>
        <w:t>Pilar 3: Proporcionar servicios de alta calidad a los miembros de la UPOV y a los usuarios del sistema de la UPOV</w:t>
      </w:r>
      <w:bookmarkEnd w:id="454"/>
      <w:bookmarkEnd w:id="455"/>
      <w:bookmarkEnd w:id="456"/>
      <w:bookmarkEnd w:id="457"/>
      <w:r w:rsidRPr="008F776F">
        <w:rPr>
          <w:lang w:val="es-ES_tradnl"/>
        </w:rPr>
        <w:t xml:space="preserve"> </w:t>
      </w:r>
    </w:p>
    <w:p w14:paraId="65F001D0" w14:textId="77777777" w:rsidR="008F776F" w:rsidRPr="008F776F" w:rsidRDefault="008F776F" w:rsidP="008F776F">
      <w:pPr>
        <w:keepNext/>
        <w:rPr>
          <w:b/>
          <w:bCs/>
          <w:sz w:val="22"/>
          <w:szCs w:val="22"/>
          <w:lang w:val="es-ES_tradnl"/>
        </w:rPr>
      </w:pPr>
    </w:p>
    <w:p w14:paraId="4382888A" w14:textId="77777777" w:rsidR="008F776F" w:rsidRPr="008F776F" w:rsidRDefault="008F776F" w:rsidP="008F776F">
      <w:pPr>
        <w:pStyle w:val="Heading3"/>
        <w:rPr>
          <w:sz w:val="20"/>
        </w:rPr>
      </w:pPr>
      <w:bookmarkStart w:id="458" w:name="_Toc141978863"/>
      <w:r w:rsidRPr="008F776F">
        <w:t>Estrategia para lograr los resultados previstos</w:t>
      </w:r>
      <w:bookmarkEnd w:id="458"/>
    </w:p>
    <w:p w14:paraId="01BCF944" w14:textId="77777777" w:rsidR="008F776F" w:rsidRPr="008F776F" w:rsidRDefault="008F776F" w:rsidP="008F776F">
      <w:pPr>
        <w:keepNext/>
        <w:rPr>
          <w:b/>
          <w:bCs/>
          <w:sz w:val="22"/>
          <w:szCs w:val="22"/>
          <w:lang w:val="es-ES_tradnl"/>
        </w:rPr>
      </w:pPr>
    </w:p>
    <w:p w14:paraId="49B36518"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Dada la limitación de sus recursos, los esfuerzos de la UPOV se han centrado históricamente en proporcionar orientación, información y formación más que en desarrollar herramientas prácticas para ayudar a los miembros de la Unión a aplicar el sistema de la UPOV. La falta de asistencia práctica ha dado lugar a algunas divergencias en la aplicación (por ejemplo, en los formularios de solicitud) que no se basan en las políticas, sino que son el resultado de una falta de apoyo práctico. Por otra parte, algunos miembros de la Unión han contado con los recursos necesarios para poder desarrollar sistemas muy eficaces (por ejemplo, sistemas de presentación electrónica de solicitudes), mientras que otros no han podido hacerlo por carecer de los recursos necesarios. La reciente evolución de las tecnologías de la información (TI), acompañada por la creación del puesto de oficial de TI, ha permitido desarrollar la iniciativa UPOV e</w:t>
      </w:r>
      <w:r w:rsidRPr="008F776F">
        <w:rPr>
          <w:lang w:val="es-ES_tradnl"/>
        </w:rPr>
        <w:noBreakHyphen/>
        <w:t xml:space="preserve">PVP (véase más adelante). Esta iniciativa representa una oportunidad para prestar servicios a los miembros de la Unión de manera que mejore la eficacia del conjunto del sistema de la UPOV y se logre una “nivelación” de la capacidad en el seno de la UPOV. </w:t>
      </w:r>
    </w:p>
    <w:p w14:paraId="023A16D4" w14:textId="77777777" w:rsidR="008F776F" w:rsidRPr="008F776F" w:rsidRDefault="008F776F" w:rsidP="008F776F">
      <w:pPr>
        <w:pStyle w:val="ListParagraph"/>
        <w:ind w:left="0"/>
        <w:rPr>
          <w:lang w:val="es-ES_tradnl"/>
        </w:rPr>
      </w:pPr>
    </w:p>
    <w:p w14:paraId="098A639D" w14:textId="77777777" w:rsidR="008F776F" w:rsidRPr="008F776F" w:rsidRDefault="008F776F" w:rsidP="008F776F">
      <w:pPr>
        <w:pStyle w:val="Heading4"/>
        <w:keepNext w:val="0"/>
        <w:tabs>
          <w:tab w:val="clear" w:pos="1418"/>
        </w:tabs>
        <w:ind w:left="1134" w:hanging="567"/>
        <w:rPr>
          <w:b/>
          <w:i/>
          <w:color w:val="26724C" w:themeColor="accent1" w:themeShade="BF"/>
          <w:u w:val="none"/>
          <w:lang w:val="es-ES_tradnl"/>
        </w:rPr>
      </w:pPr>
      <w:bookmarkStart w:id="459" w:name="_Toc117798900"/>
      <w:bookmarkStart w:id="460" w:name="_Toc107239605"/>
      <w:bookmarkStart w:id="461" w:name="_Toc107239355"/>
      <w:r w:rsidRPr="008F776F">
        <w:rPr>
          <w:b/>
          <w:i/>
          <w:color w:val="26724C" w:themeColor="accent1" w:themeShade="BF"/>
          <w:u w:val="none"/>
          <w:lang w:val="es-ES_tradnl"/>
        </w:rPr>
        <w:t>3.1</w:t>
      </w:r>
      <w:r w:rsidRPr="008F776F">
        <w:rPr>
          <w:b/>
          <w:i/>
          <w:color w:val="26724C" w:themeColor="accent1" w:themeShade="BF"/>
          <w:u w:val="none"/>
          <w:lang w:val="es-ES_tradnl"/>
        </w:rPr>
        <w:tab/>
        <w:t>Desarrollo de los servicios UPOV e</w:t>
      </w:r>
      <w:r w:rsidRPr="008F776F">
        <w:rPr>
          <w:b/>
          <w:i/>
          <w:color w:val="26724C" w:themeColor="accent1" w:themeShade="BF"/>
          <w:u w:val="none"/>
          <w:lang w:val="es-ES_tradnl"/>
        </w:rPr>
        <w:noBreakHyphen/>
        <w:t>PVP</w:t>
      </w:r>
      <w:bookmarkEnd w:id="459"/>
      <w:bookmarkEnd w:id="460"/>
      <w:bookmarkEnd w:id="461"/>
    </w:p>
    <w:p w14:paraId="1D1C320A" w14:textId="77777777" w:rsidR="008F776F" w:rsidRPr="008F776F" w:rsidRDefault="008F776F" w:rsidP="008F776F">
      <w:pPr>
        <w:pStyle w:val="Heading5"/>
        <w:rPr>
          <w:snapToGrid w:val="0"/>
          <w:lang w:val="es-ES_tradnl"/>
        </w:rPr>
      </w:pPr>
    </w:p>
    <w:p w14:paraId="5DB87659" w14:textId="77777777" w:rsidR="008F776F" w:rsidRPr="008F776F" w:rsidRDefault="008F776F" w:rsidP="008F776F">
      <w:pPr>
        <w:pStyle w:val="ListParagraph"/>
        <w:ind w:left="0"/>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La iniciativa UPOV e</w:t>
      </w:r>
      <w:r w:rsidRPr="008F776F">
        <w:rPr>
          <w:lang w:val="es-ES_tradnl"/>
        </w:rPr>
        <w:noBreakHyphen/>
        <w:t>PVP permitirá ofrecer una asistencia coherente y completa orientada a la aplicación del sistema de protección de las obtenciones vegetales de la UPOV, de modo que los miembros de la Unión puedan utilizar algunos de sus componentes o todos ellos, según se considere oportuno. La iniciativa comprende el siguiente paquete de herramientas compatibles y su desarrollo tendrá lugar según se indica:</w:t>
      </w:r>
    </w:p>
    <w:p w14:paraId="08A1254A" w14:textId="77777777" w:rsidR="008F776F" w:rsidRPr="008F776F" w:rsidRDefault="008F776F" w:rsidP="008F776F">
      <w:pPr>
        <w:rPr>
          <w:lang w:val="es-ES_tradnl"/>
        </w:rPr>
      </w:pPr>
    </w:p>
    <w:p w14:paraId="292047B9" w14:textId="77777777" w:rsidR="008F776F" w:rsidRPr="008F776F" w:rsidRDefault="008F776F" w:rsidP="008F776F">
      <w:pPr>
        <w:pStyle w:val="ListParagraph"/>
        <w:numPr>
          <w:ilvl w:val="0"/>
          <w:numId w:val="3"/>
        </w:numPr>
        <w:spacing w:after="40"/>
        <w:rPr>
          <w:color w:val="000000" w:themeColor="text1"/>
          <w:lang w:val="es-ES_tradnl"/>
        </w:rPr>
      </w:pPr>
      <w:r w:rsidRPr="008F776F">
        <w:rPr>
          <w:lang w:val="es-ES_tradnl"/>
        </w:rPr>
        <w:t xml:space="preserve">La </w:t>
      </w:r>
      <w:r w:rsidRPr="008F776F">
        <w:rPr>
          <w:b/>
          <w:lang w:val="es-ES_tradnl"/>
        </w:rPr>
        <w:t>herramienta de solicitud en línea UPOV PRISMA</w:t>
      </w:r>
      <w:r w:rsidRPr="008F776F">
        <w:rPr>
          <w:lang w:val="es-ES_tradnl"/>
        </w:rPr>
        <w:t xml:space="preserve"> seguirá ampliándose a más miembros de la Unión y a más cultivos/especies. </w:t>
      </w:r>
      <w:r w:rsidRPr="008F776F">
        <w:rPr>
          <w:color w:val="000000" w:themeColor="text1"/>
          <w:lang w:val="es-ES_tradnl"/>
        </w:rPr>
        <w:t>UPOV PRISMA se desarrollará para proporcionar información a los solicitantes de protección de las obtenciones vegetales sobre la cooperación en el examen DHE entre los miembros de la Unión, cuando estos proporcionen información pertinente.</w:t>
      </w:r>
    </w:p>
    <w:p w14:paraId="566C54C1" w14:textId="77777777" w:rsidR="008F776F" w:rsidRPr="008F776F" w:rsidRDefault="008F776F" w:rsidP="008F776F">
      <w:pPr>
        <w:pStyle w:val="ListParagraph"/>
        <w:numPr>
          <w:ilvl w:val="0"/>
          <w:numId w:val="3"/>
        </w:numPr>
        <w:spacing w:after="40"/>
        <w:rPr>
          <w:lang w:val="es-ES_tradnl"/>
        </w:rPr>
      </w:pPr>
      <w:r w:rsidRPr="008F776F">
        <w:rPr>
          <w:lang w:val="es-ES_tradnl"/>
        </w:rPr>
        <w:t xml:space="preserve">El </w:t>
      </w:r>
      <w:r w:rsidRPr="008F776F">
        <w:rPr>
          <w:b/>
          <w:lang w:val="es-ES_tradnl"/>
        </w:rPr>
        <w:t>módulo de administración de UPOV e</w:t>
      </w:r>
      <w:r w:rsidRPr="008F776F">
        <w:rPr>
          <w:b/>
          <w:lang w:val="es-ES_tradnl"/>
        </w:rPr>
        <w:noBreakHyphen/>
        <w:t>PVP</w:t>
      </w:r>
      <w:r w:rsidRPr="008F776F">
        <w:rPr>
          <w:lang w:val="es-ES_tradnl"/>
        </w:rPr>
        <w:t xml:space="preserve"> se pondrá a disposición de los miembros de la Unión para gestionar y publicar las solicitudes de protección de las obtenciones vegetales, incluida la comunicación con los solicitantes y la transmisión de datos a la base de datos PLUTO. El módulo incluirá una función para registrar y comparar descripciones de variedades. Se pondrá a disposición de los miembros de la Unión, sin costo alguno, una versión estándar del módulo de administración de UPOV e</w:t>
      </w:r>
      <w:r w:rsidRPr="008F776F">
        <w:rPr>
          <w:lang w:val="es-ES_tradnl"/>
        </w:rPr>
        <w:noBreakHyphen/>
        <w:t>PVP, cuyo mantenimiento correrá a cargo de la Unión, a reserva de las repercusiones en materia de recursos para la Oficina de la Unión. El miembro de la Unión en cuestión deberá hacerse cargo de los gastos de alojamiento del módulo en la nube. Pueden desarrollarse versiones personalizadas del módulo de administración de UPOV e</w:t>
      </w:r>
      <w:r w:rsidRPr="008F776F">
        <w:rPr>
          <w:lang w:val="es-ES_tradnl"/>
        </w:rPr>
        <w:noBreakHyphen/>
        <w:t xml:space="preserve">PVP, de acuerdo con las necesidades específicas de los miembros de la Unión, cuando se proporcionen los recursos extrapresupuestarios necesarios y con sujeción a las repercusiones en materia de recursos para la Oficina de la Unión. </w:t>
      </w:r>
    </w:p>
    <w:p w14:paraId="14FC5412" w14:textId="77777777" w:rsidR="008F776F" w:rsidRPr="008F776F" w:rsidRDefault="008F776F" w:rsidP="008F776F">
      <w:pPr>
        <w:pStyle w:val="ListParagraph"/>
        <w:numPr>
          <w:ilvl w:val="0"/>
          <w:numId w:val="3"/>
        </w:numPr>
        <w:spacing w:after="40"/>
        <w:rPr>
          <w:color w:val="000000" w:themeColor="text1"/>
          <w:lang w:val="es-ES_tradnl"/>
        </w:rPr>
      </w:pPr>
      <w:r w:rsidRPr="008F776F">
        <w:rPr>
          <w:lang w:val="es-ES_tradnl"/>
        </w:rPr>
        <w:t xml:space="preserve">La </w:t>
      </w:r>
      <w:r w:rsidRPr="008F776F">
        <w:rPr>
          <w:b/>
          <w:lang w:val="es-ES_tradnl"/>
        </w:rPr>
        <w:t>plataforma de intercambio de informes DHE de UPOV e</w:t>
      </w:r>
      <w:r w:rsidRPr="008F776F">
        <w:rPr>
          <w:b/>
          <w:lang w:val="es-ES_tradnl"/>
        </w:rPr>
        <w:noBreakHyphen/>
        <w:t>PVP</w:t>
      </w:r>
      <w:r w:rsidRPr="008F776F">
        <w:rPr>
          <w:lang w:val="es-ES_tradnl"/>
        </w:rPr>
        <w:t xml:space="preserve"> proporcionará una plataforma para intercambiar informes DHE.</w:t>
      </w:r>
      <w:r w:rsidRPr="008F776F">
        <w:rPr>
          <w:color w:val="000000" w:themeColor="text1"/>
          <w:lang w:val="es-ES_tradnl"/>
        </w:rPr>
        <w:t xml:space="preserve"> Se seguirá desarrollando para permitir a los miembros de la Unión poner a disposición de los demás miembros sus procedimientos DHE documentados y la información sobre sus sistemas de gestión de la calidad.</w:t>
      </w:r>
    </w:p>
    <w:p w14:paraId="2F31F5DB" w14:textId="77777777" w:rsidR="008F776F" w:rsidRPr="008F776F" w:rsidRDefault="008F776F" w:rsidP="008F776F">
      <w:pPr>
        <w:pStyle w:val="ListParagraph"/>
        <w:numPr>
          <w:ilvl w:val="0"/>
          <w:numId w:val="3"/>
        </w:numPr>
        <w:spacing w:after="40"/>
        <w:rPr>
          <w:lang w:val="es-ES_tradnl"/>
        </w:rPr>
      </w:pPr>
      <w:r w:rsidRPr="008F776F">
        <w:rPr>
          <w:snapToGrid w:val="0"/>
          <w:color w:val="000000"/>
          <w:lang w:val="es-ES_tradnl"/>
        </w:rPr>
        <w:t xml:space="preserve">La </w:t>
      </w:r>
      <w:r w:rsidRPr="008F776F">
        <w:rPr>
          <w:b/>
          <w:snapToGrid w:val="0"/>
          <w:color w:val="000000"/>
          <w:lang w:val="es-ES_tradnl"/>
        </w:rPr>
        <w:t>base de datos PLUTO</w:t>
      </w:r>
      <w:r w:rsidRPr="008F776F">
        <w:rPr>
          <w:snapToGrid w:val="0"/>
          <w:color w:val="000000"/>
          <w:lang w:val="es-ES_tradnl"/>
        </w:rPr>
        <w:t xml:space="preserve"> se mejorará aumentando la exhaustividad de los envíos de datos, en particular mediante el módulo de administración de UPOV e</w:t>
      </w:r>
      <w:r w:rsidRPr="008F776F">
        <w:rPr>
          <w:snapToGrid w:val="0"/>
          <w:color w:val="000000"/>
          <w:lang w:val="es-ES_tradnl"/>
        </w:rPr>
        <w:noBreakHyphen/>
        <w:t xml:space="preserve">PVP; mejorando la interfaz de usuario; y proporcionando funciones adicionales. Se desarrollará una función para que los miembros de la UPOV puedan compartir información sobre la descripción de variedades a través de la base de datos PLUTO. </w:t>
      </w:r>
    </w:p>
    <w:p w14:paraId="2AB198B1" w14:textId="77777777" w:rsidR="008F776F" w:rsidRPr="008F776F" w:rsidRDefault="008F776F" w:rsidP="008F776F">
      <w:pPr>
        <w:pStyle w:val="ListParagraph"/>
        <w:numPr>
          <w:ilvl w:val="0"/>
          <w:numId w:val="3"/>
        </w:numPr>
        <w:spacing w:after="40"/>
        <w:rPr>
          <w:lang w:val="es-ES_tradnl"/>
        </w:rPr>
      </w:pPr>
      <w:r w:rsidRPr="008F776F">
        <w:rPr>
          <w:lang w:val="es-ES_tradnl"/>
        </w:rPr>
        <w:t xml:space="preserve">Desarrollo y mantenimiento de las </w:t>
      </w:r>
      <w:r w:rsidRPr="008F776F">
        <w:rPr>
          <w:b/>
          <w:lang w:val="es-ES_tradnl"/>
        </w:rPr>
        <w:t>plataformas de cooperación de UPOV e</w:t>
      </w:r>
      <w:r w:rsidRPr="008F776F">
        <w:rPr>
          <w:b/>
          <w:lang w:val="es-ES_tradnl"/>
        </w:rPr>
        <w:noBreakHyphen/>
        <w:t>PVP</w:t>
      </w:r>
      <w:r w:rsidRPr="008F776F">
        <w:rPr>
          <w:lang w:val="es-ES_tradnl"/>
        </w:rPr>
        <w:t>, cuando se soliciten (por ejemplo, e-PVP Asia), para que los miembros de la Unión puedan cooperar en la administración y el examen de las solicitudes, siempre que se aporten los recursos extrapresupuestarios necesarios y teniendo en cuenta las repercusiones en materia de recursos para la Oficina de la Unión.</w:t>
      </w:r>
    </w:p>
    <w:p w14:paraId="7A3B98BC" w14:textId="77777777" w:rsidR="008F776F" w:rsidRPr="008F776F" w:rsidRDefault="008F776F" w:rsidP="008F776F">
      <w:pPr>
        <w:rPr>
          <w:lang w:val="es-ES_tradnl"/>
        </w:rPr>
      </w:pPr>
    </w:p>
    <w:p w14:paraId="5B5F6DB7"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El siguiente esquema muestra los componentes de UPOV e</w:t>
      </w:r>
      <w:r w:rsidRPr="008F776F">
        <w:rPr>
          <w:lang w:val="es-ES_tradnl"/>
        </w:rPr>
        <w:noBreakHyphen/>
        <w:t>PVP. En 2022 se revisarán los componentes de UPOV e</w:t>
      </w:r>
      <w:r w:rsidRPr="008F776F">
        <w:rPr>
          <w:lang w:val="es-ES_tradnl"/>
        </w:rPr>
        <w:noBreakHyphen/>
        <w:t>PVP con el fin de homogeneizar la imagen del sistema, lo que puede conllevar el cambio de nombre de algunas herramientas:</w:t>
      </w:r>
    </w:p>
    <w:p w14:paraId="7700E469" w14:textId="77777777" w:rsidR="008F776F" w:rsidRPr="008F776F" w:rsidRDefault="008F776F" w:rsidP="008F776F">
      <w:pPr>
        <w:tabs>
          <w:tab w:val="left" w:pos="851"/>
        </w:tabs>
        <w:rPr>
          <w:lang w:val="es-ES_tradnl"/>
        </w:rPr>
      </w:pPr>
    </w:p>
    <w:p w14:paraId="784795AA" w14:textId="77777777" w:rsidR="008F776F" w:rsidRPr="008F776F" w:rsidRDefault="008F776F" w:rsidP="008F776F">
      <w:pPr>
        <w:tabs>
          <w:tab w:val="left" w:pos="851"/>
        </w:tabs>
        <w:rPr>
          <w:lang w:val="es-ES_tradnl"/>
        </w:rPr>
      </w:pPr>
      <w:r w:rsidRPr="008F776F">
        <w:rPr>
          <w:noProof/>
        </w:rPr>
        <w:lastRenderedPageBreak/>
        <w:drawing>
          <wp:inline distT="0" distB="0" distL="0" distR="0" wp14:anchorId="02DF2B29" wp14:editId="468785D5">
            <wp:extent cx="6108065" cy="343789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8065" cy="3437890"/>
                    </a:xfrm>
                    <a:prstGeom prst="rect">
                      <a:avLst/>
                    </a:prstGeom>
                    <a:noFill/>
                    <a:ln>
                      <a:noFill/>
                    </a:ln>
                  </pic:spPr>
                </pic:pic>
              </a:graphicData>
            </a:graphic>
          </wp:inline>
        </w:drawing>
      </w:r>
    </w:p>
    <w:p w14:paraId="6D458EF8" w14:textId="77777777" w:rsidR="008F776F" w:rsidRPr="008F776F" w:rsidRDefault="008F776F" w:rsidP="008F776F">
      <w:pPr>
        <w:rPr>
          <w:b/>
          <w:bCs/>
          <w:sz w:val="22"/>
          <w:szCs w:val="22"/>
          <w:lang w:val="es-ES_tradnl"/>
        </w:rPr>
      </w:pPr>
    </w:p>
    <w:p w14:paraId="208AB5CF" w14:textId="77777777" w:rsidR="008F776F" w:rsidRPr="008F776F" w:rsidRDefault="008F776F" w:rsidP="008F776F">
      <w:pPr>
        <w:rPr>
          <w:b/>
          <w:bCs/>
          <w:sz w:val="22"/>
          <w:szCs w:val="22"/>
          <w:lang w:val="es-ES_tradnl"/>
        </w:rPr>
      </w:pPr>
    </w:p>
    <w:p w14:paraId="046D8777" w14:textId="77777777" w:rsidR="008F776F" w:rsidRPr="008F776F" w:rsidRDefault="008F776F" w:rsidP="008F776F">
      <w:pPr>
        <w:pStyle w:val="Heading3"/>
        <w:keepNext w:val="0"/>
      </w:pPr>
      <w:bookmarkStart w:id="462" w:name="_Toc141978864"/>
      <w:r w:rsidRPr="008F776F">
        <w:t>Resultados previstos e indicadores de rendimiento</w:t>
      </w:r>
      <w:bookmarkEnd w:id="462"/>
    </w:p>
    <w:p w14:paraId="78F29BB8" w14:textId="77777777" w:rsidR="008F776F" w:rsidRPr="008F776F" w:rsidRDefault="008F776F" w:rsidP="008F776F">
      <w:pPr>
        <w:rPr>
          <w:bCs/>
          <w:lang w:val="es-ES_tradnl"/>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8F776F" w:rsidRPr="008F776F" w14:paraId="20E46FAD" w14:textId="77777777" w:rsidTr="00DB6666">
        <w:trPr>
          <w:tblHeader/>
        </w:trPr>
        <w:tc>
          <w:tcPr>
            <w:tcW w:w="426" w:type="dxa"/>
            <w:shd w:val="clear" w:color="auto" w:fill="E2E7EB" w:themeFill="accent3" w:themeFillTint="33"/>
          </w:tcPr>
          <w:p w14:paraId="0E4CEA97" w14:textId="77777777" w:rsidR="008F776F" w:rsidRPr="008F776F" w:rsidRDefault="008F776F" w:rsidP="00DB6666">
            <w:pPr>
              <w:jc w:val="left"/>
              <w:rPr>
                <w:b/>
                <w:bCs/>
                <w:sz w:val="16"/>
                <w:szCs w:val="16"/>
                <w:lang w:val="es-ES_tradnl"/>
              </w:rPr>
            </w:pPr>
          </w:p>
        </w:tc>
        <w:tc>
          <w:tcPr>
            <w:tcW w:w="3255" w:type="dxa"/>
            <w:shd w:val="clear" w:color="auto" w:fill="E2E7EB" w:themeFill="accent3" w:themeFillTint="33"/>
          </w:tcPr>
          <w:p w14:paraId="37D0695D" w14:textId="77777777" w:rsidR="008F776F" w:rsidRPr="008F776F" w:rsidRDefault="008F776F" w:rsidP="00DB6666">
            <w:pPr>
              <w:jc w:val="left"/>
              <w:rPr>
                <w:b/>
                <w:bCs/>
                <w:sz w:val="16"/>
                <w:szCs w:val="16"/>
                <w:lang w:val="es-ES_tradnl"/>
              </w:rPr>
            </w:pPr>
            <w:r w:rsidRPr="008F776F">
              <w:rPr>
                <w:b/>
                <w:sz w:val="16"/>
                <w:lang w:val="es-ES_tradnl"/>
              </w:rPr>
              <w:t>Resultados previstos</w:t>
            </w:r>
          </w:p>
        </w:tc>
        <w:tc>
          <w:tcPr>
            <w:tcW w:w="305" w:type="dxa"/>
            <w:shd w:val="clear" w:color="auto" w:fill="E2E7EB" w:themeFill="accent3" w:themeFillTint="33"/>
          </w:tcPr>
          <w:p w14:paraId="5166EBB4" w14:textId="77777777" w:rsidR="008F776F" w:rsidRPr="008F776F" w:rsidRDefault="008F776F" w:rsidP="00DB6666">
            <w:pPr>
              <w:jc w:val="center"/>
              <w:rPr>
                <w:b/>
                <w:bCs/>
                <w:sz w:val="16"/>
                <w:szCs w:val="16"/>
                <w:lang w:val="es-ES_tradnl"/>
              </w:rPr>
            </w:pPr>
          </w:p>
        </w:tc>
        <w:tc>
          <w:tcPr>
            <w:tcW w:w="2457" w:type="dxa"/>
            <w:shd w:val="clear" w:color="auto" w:fill="E2E7EB" w:themeFill="accent3" w:themeFillTint="33"/>
          </w:tcPr>
          <w:p w14:paraId="746D26D6" w14:textId="77777777" w:rsidR="008F776F" w:rsidRPr="008F776F" w:rsidRDefault="008F776F" w:rsidP="00DB6666">
            <w:pPr>
              <w:rPr>
                <w:b/>
                <w:bCs/>
                <w:sz w:val="16"/>
                <w:szCs w:val="16"/>
                <w:lang w:val="es-ES_tradnl"/>
              </w:rPr>
            </w:pPr>
            <w:r w:rsidRPr="008F776F">
              <w:rPr>
                <w:b/>
                <w:sz w:val="16"/>
                <w:lang w:val="es-ES_tradnl"/>
              </w:rPr>
              <w:t>Indicadores de rendimiento</w:t>
            </w:r>
          </w:p>
        </w:tc>
        <w:tc>
          <w:tcPr>
            <w:tcW w:w="1632" w:type="dxa"/>
            <w:shd w:val="clear" w:color="auto" w:fill="E2E7EB" w:themeFill="accent3" w:themeFillTint="33"/>
          </w:tcPr>
          <w:p w14:paraId="1A77E6C4" w14:textId="77777777" w:rsidR="008F776F" w:rsidRPr="008F776F" w:rsidRDefault="008F776F" w:rsidP="00DB6666">
            <w:pPr>
              <w:jc w:val="center"/>
              <w:rPr>
                <w:b/>
                <w:bCs/>
                <w:sz w:val="16"/>
                <w:szCs w:val="16"/>
                <w:lang w:val="es-ES_tradnl"/>
              </w:rPr>
            </w:pPr>
            <w:r w:rsidRPr="008F776F">
              <w:rPr>
                <w:b/>
                <w:sz w:val="16"/>
                <w:lang w:val="es-ES_tradnl"/>
              </w:rPr>
              <w:t>Referencia</w:t>
            </w:r>
          </w:p>
        </w:tc>
        <w:tc>
          <w:tcPr>
            <w:tcW w:w="1559" w:type="dxa"/>
            <w:shd w:val="clear" w:color="auto" w:fill="E2E7EB" w:themeFill="accent3" w:themeFillTint="33"/>
          </w:tcPr>
          <w:p w14:paraId="04DCACF9" w14:textId="77777777" w:rsidR="008F776F" w:rsidRPr="008F776F" w:rsidRDefault="008F776F" w:rsidP="00DB6666">
            <w:pPr>
              <w:jc w:val="center"/>
              <w:rPr>
                <w:b/>
                <w:bCs/>
                <w:sz w:val="16"/>
                <w:szCs w:val="16"/>
                <w:lang w:val="es-ES_tradnl"/>
              </w:rPr>
            </w:pPr>
            <w:r w:rsidRPr="008F776F">
              <w:rPr>
                <w:b/>
                <w:sz w:val="16"/>
                <w:lang w:val="es-ES_tradnl"/>
              </w:rPr>
              <w:t>Objetivo (2024/25)</w:t>
            </w:r>
          </w:p>
        </w:tc>
      </w:tr>
      <w:tr w:rsidR="008F776F" w:rsidRPr="008F776F" w14:paraId="632F43B4" w14:textId="77777777" w:rsidTr="00DB6666">
        <w:tc>
          <w:tcPr>
            <w:tcW w:w="426" w:type="dxa"/>
          </w:tcPr>
          <w:p w14:paraId="769D018F" w14:textId="77777777" w:rsidR="008F776F" w:rsidRPr="008F776F" w:rsidRDefault="008F776F" w:rsidP="00DB6666">
            <w:pPr>
              <w:jc w:val="left"/>
              <w:rPr>
                <w:rFonts w:cs="Arial"/>
                <w:sz w:val="16"/>
                <w:szCs w:val="16"/>
                <w:lang w:val="es-ES_tradnl"/>
              </w:rPr>
            </w:pPr>
            <w:r w:rsidRPr="008F776F">
              <w:rPr>
                <w:sz w:val="16"/>
                <w:lang w:val="es-ES_tradnl"/>
              </w:rPr>
              <w:t>3.1</w:t>
            </w:r>
          </w:p>
        </w:tc>
        <w:tc>
          <w:tcPr>
            <w:tcW w:w="3255" w:type="dxa"/>
            <w:shd w:val="clear" w:color="auto" w:fill="auto"/>
          </w:tcPr>
          <w:p w14:paraId="0051B042" w14:textId="77777777" w:rsidR="008F776F" w:rsidRPr="008F776F" w:rsidRDefault="008F776F" w:rsidP="00DB6666">
            <w:pPr>
              <w:jc w:val="left"/>
              <w:rPr>
                <w:rFonts w:cs="Arial"/>
                <w:sz w:val="16"/>
                <w:szCs w:val="16"/>
                <w:lang w:val="es-ES_tradnl"/>
              </w:rPr>
            </w:pPr>
            <w:r w:rsidRPr="008F776F">
              <w:rPr>
                <w:sz w:val="16"/>
                <w:lang w:val="es-ES_tradnl"/>
              </w:rPr>
              <w:t>Desarrollo de los servicios UPOV e</w:t>
            </w:r>
            <w:r w:rsidRPr="008F776F">
              <w:rPr>
                <w:rFonts w:ascii="Cambria Math" w:hAnsi="Cambria Math"/>
                <w:sz w:val="16"/>
                <w:lang w:val="es-ES_tradnl"/>
              </w:rPr>
              <w:t>‐</w:t>
            </w:r>
            <w:r w:rsidRPr="008F776F">
              <w:rPr>
                <w:sz w:val="16"/>
                <w:lang w:val="es-ES_tradnl"/>
              </w:rPr>
              <w:t>PVP</w:t>
            </w:r>
          </w:p>
        </w:tc>
        <w:tc>
          <w:tcPr>
            <w:tcW w:w="305" w:type="dxa"/>
            <w:shd w:val="clear" w:color="auto" w:fill="auto"/>
          </w:tcPr>
          <w:p w14:paraId="58E37744" w14:textId="77777777" w:rsidR="008F776F" w:rsidRPr="008F776F" w:rsidRDefault="008F776F" w:rsidP="00DB6666">
            <w:pPr>
              <w:jc w:val="left"/>
              <w:rPr>
                <w:rFonts w:cs="Arial"/>
                <w:sz w:val="16"/>
                <w:szCs w:val="16"/>
                <w:lang w:val="es-ES_tradnl"/>
              </w:rPr>
            </w:pPr>
          </w:p>
        </w:tc>
        <w:tc>
          <w:tcPr>
            <w:tcW w:w="2457" w:type="dxa"/>
            <w:shd w:val="clear" w:color="auto" w:fill="auto"/>
          </w:tcPr>
          <w:p w14:paraId="29635AC0" w14:textId="77777777" w:rsidR="008F776F" w:rsidRPr="008F776F" w:rsidRDefault="008F776F" w:rsidP="00DB6666">
            <w:pPr>
              <w:jc w:val="left"/>
              <w:rPr>
                <w:rFonts w:cs="Arial"/>
                <w:sz w:val="16"/>
                <w:szCs w:val="16"/>
                <w:lang w:val="es-ES_tradnl"/>
              </w:rPr>
            </w:pPr>
            <w:r w:rsidRPr="008F776F">
              <w:rPr>
                <w:sz w:val="16"/>
                <w:lang w:val="es-ES_tradnl"/>
              </w:rPr>
              <w:t>Porcentaje de solicitudes de protección de miembros de la UPOV incluidas en la base de datos PLUTO en 1 año</w:t>
            </w:r>
          </w:p>
        </w:tc>
        <w:tc>
          <w:tcPr>
            <w:tcW w:w="1632" w:type="dxa"/>
            <w:shd w:val="clear" w:color="auto" w:fill="auto"/>
            <w:vAlign w:val="center"/>
          </w:tcPr>
          <w:p w14:paraId="639D40F4" w14:textId="77777777" w:rsidR="008F776F" w:rsidRPr="008F776F" w:rsidRDefault="008F776F" w:rsidP="00DB6666">
            <w:pPr>
              <w:jc w:val="center"/>
              <w:rPr>
                <w:rFonts w:cs="Arial"/>
                <w:sz w:val="16"/>
                <w:szCs w:val="16"/>
                <w:lang w:val="es-ES_tradnl"/>
              </w:rPr>
            </w:pPr>
            <w:r w:rsidRPr="008F776F">
              <w:rPr>
                <w:sz w:val="16"/>
                <w:lang w:val="es-ES_tradnl"/>
              </w:rPr>
              <w:t>46% (2020)</w:t>
            </w:r>
          </w:p>
        </w:tc>
        <w:tc>
          <w:tcPr>
            <w:tcW w:w="1559" w:type="dxa"/>
            <w:shd w:val="clear" w:color="auto" w:fill="auto"/>
            <w:vAlign w:val="center"/>
          </w:tcPr>
          <w:p w14:paraId="22D1BC3D" w14:textId="77777777" w:rsidR="008F776F" w:rsidRPr="008F776F" w:rsidRDefault="008F776F" w:rsidP="00DB6666">
            <w:pPr>
              <w:jc w:val="center"/>
              <w:rPr>
                <w:rFonts w:cs="Arial"/>
                <w:sz w:val="16"/>
                <w:szCs w:val="16"/>
                <w:lang w:val="es-ES_tradnl"/>
              </w:rPr>
            </w:pPr>
            <w:r w:rsidRPr="008F776F">
              <w:rPr>
                <w:sz w:val="16"/>
                <w:lang w:val="es-ES_tradnl"/>
              </w:rPr>
              <w:t>60% (2024)</w:t>
            </w:r>
          </w:p>
        </w:tc>
      </w:tr>
      <w:tr w:rsidR="008F776F" w:rsidRPr="008F776F" w14:paraId="738281F0" w14:textId="77777777" w:rsidTr="00DB6666">
        <w:tc>
          <w:tcPr>
            <w:tcW w:w="426" w:type="dxa"/>
          </w:tcPr>
          <w:p w14:paraId="27453E89" w14:textId="77777777" w:rsidR="008F776F" w:rsidRPr="008F776F" w:rsidRDefault="008F776F" w:rsidP="00DB6666">
            <w:pPr>
              <w:jc w:val="left"/>
              <w:rPr>
                <w:rFonts w:cs="Arial"/>
                <w:sz w:val="16"/>
                <w:szCs w:val="16"/>
                <w:lang w:val="es-ES_tradnl"/>
              </w:rPr>
            </w:pPr>
          </w:p>
        </w:tc>
        <w:tc>
          <w:tcPr>
            <w:tcW w:w="3255" w:type="dxa"/>
            <w:shd w:val="clear" w:color="auto" w:fill="auto"/>
          </w:tcPr>
          <w:p w14:paraId="267CE80F" w14:textId="77777777" w:rsidR="008F776F" w:rsidRPr="008F776F" w:rsidRDefault="008F776F" w:rsidP="00DB6666">
            <w:pPr>
              <w:jc w:val="left"/>
              <w:rPr>
                <w:rFonts w:cs="Arial"/>
                <w:sz w:val="16"/>
                <w:szCs w:val="16"/>
                <w:lang w:val="es-ES_tradnl"/>
              </w:rPr>
            </w:pPr>
            <w:r w:rsidRPr="008F776F">
              <w:rPr>
                <w:sz w:val="16"/>
                <w:lang w:val="es-ES_tradnl"/>
              </w:rPr>
              <w:t> </w:t>
            </w:r>
          </w:p>
        </w:tc>
        <w:tc>
          <w:tcPr>
            <w:tcW w:w="305" w:type="dxa"/>
            <w:shd w:val="clear" w:color="auto" w:fill="auto"/>
          </w:tcPr>
          <w:p w14:paraId="20DF5C92" w14:textId="77777777" w:rsidR="008F776F" w:rsidRPr="008F776F" w:rsidRDefault="008F776F" w:rsidP="00DB6666">
            <w:pPr>
              <w:jc w:val="left"/>
              <w:rPr>
                <w:rFonts w:cs="Arial"/>
                <w:sz w:val="16"/>
                <w:szCs w:val="16"/>
                <w:lang w:val="es-ES_tradnl"/>
              </w:rPr>
            </w:pPr>
          </w:p>
        </w:tc>
        <w:tc>
          <w:tcPr>
            <w:tcW w:w="2457" w:type="dxa"/>
            <w:shd w:val="clear" w:color="auto" w:fill="auto"/>
          </w:tcPr>
          <w:p w14:paraId="33EF0DB4" w14:textId="77777777" w:rsidR="008F776F" w:rsidRPr="008F776F" w:rsidRDefault="008F776F" w:rsidP="00DB6666">
            <w:pPr>
              <w:jc w:val="left"/>
              <w:rPr>
                <w:rFonts w:cs="Arial"/>
                <w:sz w:val="16"/>
                <w:szCs w:val="16"/>
                <w:lang w:val="es-ES_tradnl"/>
              </w:rPr>
            </w:pPr>
            <w:r w:rsidRPr="008F776F">
              <w:rPr>
                <w:sz w:val="16"/>
                <w:lang w:val="es-ES_tradnl"/>
              </w:rPr>
              <w:t>Número de usuarios de PLUTO</w:t>
            </w:r>
          </w:p>
        </w:tc>
        <w:tc>
          <w:tcPr>
            <w:tcW w:w="1632" w:type="dxa"/>
            <w:shd w:val="clear" w:color="auto" w:fill="auto"/>
            <w:vAlign w:val="center"/>
          </w:tcPr>
          <w:p w14:paraId="74ED82DC" w14:textId="77777777" w:rsidR="008F776F" w:rsidRPr="008F776F" w:rsidRDefault="008F776F" w:rsidP="00DB6666">
            <w:pPr>
              <w:jc w:val="center"/>
              <w:rPr>
                <w:rFonts w:cs="Arial"/>
                <w:sz w:val="16"/>
                <w:szCs w:val="16"/>
                <w:lang w:val="es-ES_tradnl"/>
              </w:rPr>
            </w:pPr>
            <w:r w:rsidRPr="008F776F">
              <w:rPr>
                <w:sz w:val="16"/>
                <w:lang w:val="es-ES_tradnl"/>
              </w:rPr>
              <w:t>3.100 (2022)</w:t>
            </w:r>
          </w:p>
        </w:tc>
        <w:tc>
          <w:tcPr>
            <w:tcW w:w="1559" w:type="dxa"/>
            <w:shd w:val="clear" w:color="auto" w:fill="auto"/>
            <w:vAlign w:val="center"/>
          </w:tcPr>
          <w:p w14:paraId="56C23545" w14:textId="77777777" w:rsidR="008F776F" w:rsidRPr="008F776F" w:rsidRDefault="008F776F" w:rsidP="00DB6666">
            <w:pPr>
              <w:jc w:val="center"/>
              <w:rPr>
                <w:rFonts w:cs="Arial"/>
                <w:sz w:val="16"/>
                <w:szCs w:val="16"/>
                <w:lang w:val="es-ES_tradnl"/>
              </w:rPr>
            </w:pPr>
            <w:r w:rsidRPr="008F776F">
              <w:rPr>
                <w:sz w:val="16"/>
                <w:lang w:val="es-ES_tradnl"/>
              </w:rPr>
              <w:t>4.000 (2025)</w:t>
            </w:r>
          </w:p>
        </w:tc>
      </w:tr>
      <w:tr w:rsidR="008F776F" w:rsidRPr="008F776F" w14:paraId="76858259" w14:textId="77777777" w:rsidTr="00DB6666">
        <w:tc>
          <w:tcPr>
            <w:tcW w:w="426" w:type="dxa"/>
          </w:tcPr>
          <w:p w14:paraId="70BFC746" w14:textId="77777777" w:rsidR="008F776F" w:rsidRPr="008F776F" w:rsidRDefault="008F776F" w:rsidP="00DB6666">
            <w:pPr>
              <w:jc w:val="left"/>
              <w:rPr>
                <w:rFonts w:cs="Arial"/>
                <w:sz w:val="16"/>
                <w:szCs w:val="16"/>
                <w:lang w:val="es-ES_tradnl"/>
              </w:rPr>
            </w:pPr>
          </w:p>
        </w:tc>
        <w:tc>
          <w:tcPr>
            <w:tcW w:w="3255" w:type="dxa"/>
            <w:shd w:val="clear" w:color="auto" w:fill="auto"/>
          </w:tcPr>
          <w:p w14:paraId="084CC8A3" w14:textId="77777777" w:rsidR="008F776F" w:rsidRPr="008F776F" w:rsidRDefault="008F776F" w:rsidP="00DB6666">
            <w:pPr>
              <w:jc w:val="left"/>
              <w:rPr>
                <w:rFonts w:cs="Arial"/>
                <w:sz w:val="16"/>
                <w:szCs w:val="16"/>
                <w:lang w:val="es-ES_tradnl"/>
              </w:rPr>
            </w:pPr>
            <w:r w:rsidRPr="008F776F">
              <w:rPr>
                <w:sz w:val="16"/>
                <w:lang w:val="es-ES_tradnl"/>
              </w:rPr>
              <w:t> </w:t>
            </w:r>
          </w:p>
        </w:tc>
        <w:tc>
          <w:tcPr>
            <w:tcW w:w="305" w:type="dxa"/>
            <w:shd w:val="clear" w:color="auto" w:fill="auto"/>
          </w:tcPr>
          <w:p w14:paraId="04B9C09A" w14:textId="77777777" w:rsidR="008F776F" w:rsidRPr="008F776F" w:rsidRDefault="008F776F" w:rsidP="00DB6666">
            <w:pPr>
              <w:jc w:val="left"/>
              <w:rPr>
                <w:rFonts w:cs="Arial"/>
                <w:sz w:val="16"/>
                <w:szCs w:val="16"/>
                <w:lang w:val="es-ES_tradnl"/>
              </w:rPr>
            </w:pPr>
          </w:p>
        </w:tc>
        <w:tc>
          <w:tcPr>
            <w:tcW w:w="2457" w:type="dxa"/>
            <w:shd w:val="clear" w:color="auto" w:fill="auto"/>
          </w:tcPr>
          <w:p w14:paraId="651E8DF0" w14:textId="77777777" w:rsidR="008F776F" w:rsidRPr="008F776F" w:rsidRDefault="008F776F" w:rsidP="00DB6666">
            <w:pPr>
              <w:jc w:val="left"/>
              <w:rPr>
                <w:rFonts w:cs="Arial"/>
                <w:sz w:val="16"/>
                <w:szCs w:val="16"/>
                <w:lang w:val="es-ES_tradnl"/>
              </w:rPr>
            </w:pPr>
            <w:r w:rsidRPr="008F776F">
              <w:rPr>
                <w:sz w:val="16"/>
                <w:lang w:val="es-ES_tradnl"/>
              </w:rPr>
              <w:t>Número de solicitudes presentadas en UPOV PRISMA</w:t>
            </w:r>
          </w:p>
        </w:tc>
        <w:tc>
          <w:tcPr>
            <w:tcW w:w="1632" w:type="dxa"/>
            <w:shd w:val="clear" w:color="auto" w:fill="auto"/>
            <w:vAlign w:val="center"/>
          </w:tcPr>
          <w:p w14:paraId="603820A7" w14:textId="77777777" w:rsidR="008F776F" w:rsidRPr="008F776F" w:rsidRDefault="008F776F" w:rsidP="00DB6666">
            <w:pPr>
              <w:jc w:val="center"/>
              <w:rPr>
                <w:rFonts w:cs="Arial"/>
                <w:sz w:val="16"/>
                <w:szCs w:val="16"/>
                <w:lang w:val="es-ES_tradnl"/>
              </w:rPr>
            </w:pPr>
            <w:r w:rsidRPr="008F776F">
              <w:rPr>
                <w:sz w:val="16"/>
                <w:lang w:val="es-ES_tradnl"/>
              </w:rPr>
              <w:t>1.900 (2022)</w:t>
            </w:r>
          </w:p>
        </w:tc>
        <w:tc>
          <w:tcPr>
            <w:tcW w:w="1559" w:type="dxa"/>
            <w:shd w:val="clear" w:color="auto" w:fill="auto"/>
            <w:vAlign w:val="center"/>
          </w:tcPr>
          <w:p w14:paraId="64499928" w14:textId="77777777" w:rsidR="008F776F" w:rsidRPr="008F776F" w:rsidRDefault="008F776F" w:rsidP="00DB6666">
            <w:pPr>
              <w:jc w:val="center"/>
              <w:rPr>
                <w:rFonts w:cs="Arial"/>
                <w:sz w:val="16"/>
                <w:szCs w:val="16"/>
                <w:lang w:val="es-ES_tradnl"/>
              </w:rPr>
            </w:pPr>
            <w:r w:rsidRPr="008F776F">
              <w:rPr>
                <w:sz w:val="16"/>
                <w:lang w:val="es-ES_tradnl"/>
              </w:rPr>
              <w:t>3.150 (2025)</w:t>
            </w:r>
          </w:p>
        </w:tc>
      </w:tr>
      <w:tr w:rsidR="008F776F" w:rsidRPr="008F776F" w14:paraId="5A0706CB" w14:textId="77777777" w:rsidTr="00DB6666">
        <w:tc>
          <w:tcPr>
            <w:tcW w:w="426" w:type="dxa"/>
            <w:tcBorders>
              <w:bottom w:val="single" w:sz="4" w:space="0" w:color="D9D9D9" w:themeColor="background1" w:themeShade="D9"/>
            </w:tcBorders>
          </w:tcPr>
          <w:p w14:paraId="7AE682F8" w14:textId="77777777" w:rsidR="008F776F" w:rsidRPr="008F776F" w:rsidRDefault="008F776F" w:rsidP="00DB6666">
            <w:pPr>
              <w:jc w:val="left"/>
              <w:rPr>
                <w:rFonts w:cs="Arial"/>
                <w:sz w:val="16"/>
                <w:szCs w:val="16"/>
                <w:lang w:val="es-ES_tradnl"/>
              </w:rPr>
            </w:pPr>
          </w:p>
        </w:tc>
        <w:tc>
          <w:tcPr>
            <w:tcW w:w="3255" w:type="dxa"/>
            <w:tcBorders>
              <w:bottom w:val="single" w:sz="4" w:space="0" w:color="D9D9D9" w:themeColor="background1" w:themeShade="D9"/>
            </w:tcBorders>
            <w:shd w:val="clear" w:color="auto" w:fill="auto"/>
          </w:tcPr>
          <w:p w14:paraId="783B60FF" w14:textId="77777777" w:rsidR="008F776F" w:rsidRPr="008F776F" w:rsidRDefault="008F776F" w:rsidP="00DB6666">
            <w:pPr>
              <w:jc w:val="left"/>
              <w:rPr>
                <w:rFonts w:cs="Arial"/>
                <w:sz w:val="16"/>
                <w:szCs w:val="16"/>
                <w:lang w:val="es-ES_tradnl"/>
              </w:rPr>
            </w:pPr>
            <w:r w:rsidRPr="008F776F">
              <w:rPr>
                <w:sz w:val="16"/>
                <w:lang w:val="es-ES_tradnl"/>
              </w:rPr>
              <w:t> </w:t>
            </w:r>
          </w:p>
        </w:tc>
        <w:tc>
          <w:tcPr>
            <w:tcW w:w="305" w:type="dxa"/>
            <w:tcBorders>
              <w:bottom w:val="single" w:sz="4" w:space="0" w:color="D9D9D9" w:themeColor="background1" w:themeShade="D9"/>
            </w:tcBorders>
            <w:shd w:val="clear" w:color="auto" w:fill="auto"/>
          </w:tcPr>
          <w:p w14:paraId="19050F0D" w14:textId="77777777" w:rsidR="008F776F" w:rsidRPr="008F776F" w:rsidRDefault="008F776F" w:rsidP="00DB6666">
            <w:pPr>
              <w:jc w:val="left"/>
              <w:rPr>
                <w:rFonts w:cs="Arial"/>
                <w:sz w:val="16"/>
                <w:szCs w:val="16"/>
                <w:lang w:val="es-ES_tradnl"/>
              </w:rPr>
            </w:pPr>
          </w:p>
        </w:tc>
        <w:tc>
          <w:tcPr>
            <w:tcW w:w="2457" w:type="dxa"/>
            <w:tcBorders>
              <w:bottom w:val="single" w:sz="4" w:space="0" w:color="D9D9D9" w:themeColor="background1" w:themeShade="D9"/>
            </w:tcBorders>
            <w:shd w:val="clear" w:color="auto" w:fill="auto"/>
          </w:tcPr>
          <w:p w14:paraId="721F154D" w14:textId="77777777" w:rsidR="008F776F" w:rsidRPr="008F776F" w:rsidRDefault="008F776F" w:rsidP="00DB6666">
            <w:pPr>
              <w:jc w:val="left"/>
              <w:rPr>
                <w:rFonts w:cs="Arial"/>
                <w:sz w:val="16"/>
                <w:szCs w:val="16"/>
                <w:lang w:val="es-ES_tradnl"/>
              </w:rPr>
            </w:pPr>
            <w:r w:rsidRPr="008F776F">
              <w:rPr>
                <w:sz w:val="16"/>
                <w:lang w:val="es-ES_tradnl"/>
              </w:rPr>
              <w:t>Número de miembros que usan el módulo de administración de UPOV e</w:t>
            </w:r>
            <w:r w:rsidRPr="008F776F">
              <w:rPr>
                <w:sz w:val="16"/>
                <w:lang w:val="es-ES_tradnl"/>
              </w:rPr>
              <w:noBreakHyphen/>
              <w:t>PVP para gestionar y publicar las solicitudes de protección</w:t>
            </w:r>
          </w:p>
        </w:tc>
        <w:tc>
          <w:tcPr>
            <w:tcW w:w="1632" w:type="dxa"/>
            <w:tcBorders>
              <w:bottom w:val="single" w:sz="4" w:space="0" w:color="D9D9D9" w:themeColor="background1" w:themeShade="D9"/>
            </w:tcBorders>
            <w:shd w:val="clear" w:color="auto" w:fill="auto"/>
            <w:vAlign w:val="center"/>
          </w:tcPr>
          <w:p w14:paraId="2D8111ED" w14:textId="77777777" w:rsidR="008F776F" w:rsidRPr="008F776F" w:rsidRDefault="008F776F" w:rsidP="00DB6666">
            <w:pPr>
              <w:jc w:val="center"/>
              <w:rPr>
                <w:rFonts w:cs="Arial"/>
                <w:sz w:val="16"/>
                <w:szCs w:val="16"/>
                <w:lang w:val="es-ES_tradnl"/>
              </w:rPr>
            </w:pPr>
            <w:r w:rsidRPr="008F776F">
              <w:rPr>
                <w:sz w:val="16"/>
                <w:lang w:val="es-ES_tradnl"/>
              </w:rPr>
              <w:t>n. d.</w:t>
            </w:r>
          </w:p>
        </w:tc>
        <w:tc>
          <w:tcPr>
            <w:tcW w:w="1559" w:type="dxa"/>
            <w:tcBorders>
              <w:bottom w:val="single" w:sz="4" w:space="0" w:color="D9D9D9" w:themeColor="background1" w:themeShade="D9"/>
            </w:tcBorders>
            <w:shd w:val="clear" w:color="auto" w:fill="auto"/>
            <w:vAlign w:val="center"/>
          </w:tcPr>
          <w:p w14:paraId="4B997AC0" w14:textId="77777777" w:rsidR="008F776F" w:rsidRPr="008F776F" w:rsidRDefault="008F776F" w:rsidP="00DB6666">
            <w:pPr>
              <w:jc w:val="center"/>
              <w:rPr>
                <w:rFonts w:cs="Arial"/>
                <w:sz w:val="16"/>
                <w:szCs w:val="16"/>
                <w:lang w:val="es-ES_tradnl"/>
              </w:rPr>
            </w:pPr>
            <w:r w:rsidRPr="008F776F">
              <w:rPr>
                <w:sz w:val="16"/>
                <w:lang w:val="es-ES_tradnl"/>
              </w:rPr>
              <w:t>10</w:t>
            </w:r>
          </w:p>
        </w:tc>
      </w:tr>
    </w:tbl>
    <w:p w14:paraId="5A9C7AED" w14:textId="77777777" w:rsidR="008F776F" w:rsidRPr="008F776F" w:rsidRDefault="008F776F" w:rsidP="008F776F">
      <w:pPr>
        <w:rPr>
          <w:lang w:val="es-ES_tradnl"/>
        </w:rPr>
      </w:pPr>
    </w:p>
    <w:p w14:paraId="4024C67E" w14:textId="77777777" w:rsidR="008F776F" w:rsidRPr="008F776F" w:rsidRDefault="008F776F" w:rsidP="008F776F">
      <w:pPr>
        <w:rPr>
          <w:lang w:val="es-ES_tradnl"/>
        </w:rPr>
      </w:pPr>
    </w:p>
    <w:p w14:paraId="5DDF94EE" w14:textId="77777777" w:rsidR="008F776F" w:rsidRPr="008F776F" w:rsidRDefault="008F776F" w:rsidP="009C3021">
      <w:pPr>
        <w:pStyle w:val="Heading2"/>
        <w:ind w:left="0" w:firstLine="0"/>
        <w:rPr>
          <w:lang w:val="es-ES_tradnl"/>
        </w:rPr>
      </w:pPr>
      <w:bookmarkStart w:id="463" w:name="_Toc117798901"/>
      <w:bookmarkStart w:id="464" w:name="_Toc107239606"/>
      <w:bookmarkStart w:id="465" w:name="_Toc107239356"/>
      <w:bookmarkStart w:id="466" w:name="_Toc141978865"/>
      <w:r w:rsidRPr="008F776F">
        <w:rPr>
          <w:lang w:val="es-ES_tradnl"/>
        </w:rPr>
        <w:t>Fundamento: Velar por que nuestro personal disponga de los medios para trabajar de forma eficaz, colaborativa e innovadora, y proporcionarle los recursos, la formación y el entorno adecuados para ese fin</w:t>
      </w:r>
      <w:bookmarkEnd w:id="463"/>
      <w:bookmarkEnd w:id="464"/>
      <w:bookmarkEnd w:id="465"/>
      <w:bookmarkEnd w:id="466"/>
    </w:p>
    <w:p w14:paraId="65616166" w14:textId="77777777" w:rsidR="008F776F" w:rsidRPr="008F776F" w:rsidRDefault="008F776F" w:rsidP="008F776F">
      <w:pPr>
        <w:keepNext/>
        <w:rPr>
          <w:b/>
          <w:bCs/>
          <w:sz w:val="22"/>
          <w:szCs w:val="22"/>
          <w:lang w:val="es-ES_tradnl"/>
        </w:rPr>
      </w:pPr>
    </w:p>
    <w:p w14:paraId="63E27852" w14:textId="77777777" w:rsidR="008F776F" w:rsidRPr="008F776F" w:rsidRDefault="008F776F" w:rsidP="008F776F">
      <w:pPr>
        <w:pStyle w:val="Heading3"/>
        <w:rPr>
          <w:sz w:val="20"/>
        </w:rPr>
      </w:pPr>
      <w:bookmarkStart w:id="467" w:name="_Toc141978866"/>
      <w:r w:rsidRPr="008F776F">
        <w:t>Estrategia para lograr los resultados previstos</w:t>
      </w:r>
      <w:bookmarkEnd w:id="467"/>
    </w:p>
    <w:p w14:paraId="022EBBB5" w14:textId="77777777" w:rsidR="008F776F" w:rsidRPr="008F776F" w:rsidRDefault="008F776F" w:rsidP="008F776F">
      <w:pPr>
        <w:pStyle w:val="Default"/>
        <w:keepNext/>
        <w:rPr>
          <w:b/>
          <w:bCs/>
          <w:sz w:val="22"/>
          <w:szCs w:val="22"/>
          <w:lang w:val="es-ES_tradnl"/>
        </w:rPr>
      </w:pPr>
    </w:p>
    <w:p w14:paraId="55E3C108" w14:textId="77777777" w:rsidR="008F776F" w:rsidRPr="008F776F" w:rsidRDefault="008F776F" w:rsidP="008F776F">
      <w:pPr>
        <w:pStyle w:val="Default"/>
        <w:jc w:val="both"/>
        <w:rPr>
          <w:bCs/>
          <w:sz w:val="20"/>
          <w:szCs w:val="20"/>
          <w:lang w:val="es-ES_tradnl"/>
        </w:rPr>
      </w:pPr>
      <w:r w:rsidRPr="008F776F">
        <w:rPr>
          <w:sz w:val="20"/>
          <w:lang w:val="es-ES_tradnl"/>
        </w:rPr>
        <w:fldChar w:fldCharType="begin"/>
      </w:r>
      <w:r w:rsidRPr="008F776F">
        <w:rPr>
          <w:sz w:val="20"/>
          <w:lang w:val="es-ES_tradnl"/>
        </w:rPr>
        <w:instrText xml:space="preserve"> AUTONUM  </w:instrText>
      </w:r>
      <w:r w:rsidRPr="008F776F">
        <w:rPr>
          <w:sz w:val="20"/>
          <w:lang w:val="es-ES_tradnl"/>
        </w:rPr>
        <w:fldChar w:fldCharType="end"/>
      </w:r>
      <w:r w:rsidRPr="008F776F">
        <w:rPr>
          <w:sz w:val="20"/>
          <w:lang w:val="es-ES_tradnl"/>
        </w:rPr>
        <w:tab/>
        <w:t xml:space="preserve">La transición a la “nueva normalidad” posterior a la COVID-19 ha supuesto la introducción del teletrabajo regular a tiempo parcial hasta un máximo de tres días por semana. La UPOV ha recurrido, y seguirá haciéndolo, al trabajo totalmente a distancia para determinados contratistas cuando resulte apropiado y, en particular, cuando ofrezca nuevas oportunidades de contratar a personal de alta calidad con los recursos disponibles. </w:t>
      </w:r>
    </w:p>
    <w:p w14:paraId="1D71252E" w14:textId="77777777" w:rsidR="008F776F" w:rsidRPr="008F776F" w:rsidRDefault="008F776F" w:rsidP="008F776F">
      <w:pPr>
        <w:pStyle w:val="Default"/>
        <w:jc w:val="both"/>
        <w:rPr>
          <w:bCs/>
          <w:sz w:val="20"/>
          <w:szCs w:val="20"/>
          <w:lang w:val="es-ES_tradnl"/>
        </w:rPr>
      </w:pPr>
    </w:p>
    <w:p w14:paraId="18AC14F4" w14:textId="77777777" w:rsidR="008F776F" w:rsidRPr="008F776F" w:rsidRDefault="008F776F" w:rsidP="008F776F">
      <w:pPr>
        <w:pStyle w:val="Heading4"/>
        <w:keepNext w:val="0"/>
        <w:tabs>
          <w:tab w:val="clear" w:pos="1418"/>
        </w:tabs>
        <w:ind w:left="1134" w:hanging="567"/>
        <w:rPr>
          <w:b/>
          <w:i/>
          <w:color w:val="26724C" w:themeColor="accent1" w:themeShade="BF"/>
          <w:u w:val="none"/>
          <w:lang w:val="es-ES_tradnl"/>
        </w:rPr>
      </w:pPr>
      <w:bookmarkStart w:id="468" w:name="_Toc117798904"/>
      <w:bookmarkStart w:id="469" w:name="_Toc107239609"/>
      <w:bookmarkStart w:id="470" w:name="_Toc107239359"/>
      <w:r w:rsidRPr="008F776F">
        <w:rPr>
          <w:b/>
          <w:i/>
          <w:color w:val="26724C" w:themeColor="accent1" w:themeShade="BF"/>
          <w:u w:val="none"/>
          <w:lang w:val="es-ES_tradnl"/>
        </w:rPr>
        <w:t>4.1</w:t>
      </w:r>
      <w:r w:rsidRPr="008F776F">
        <w:rPr>
          <w:b/>
          <w:i/>
          <w:color w:val="26724C" w:themeColor="accent1" w:themeShade="BF"/>
          <w:u w:val="none"/>
          <w:lang w:val="es-ES_tradnl"/>
        </w:rPr>
        <w:tab/>
        <w:t>Diversificación de los ingresos</w:t>
      </w:r>
      <w:bookmarkEnd w:id="468"/>
      <w:bookmarkEnd w:id="469"/>
      <w:bookmarkEnd w:id="470"/>
    </w:p>
    <w:p w14:paraId="1CAC93CF" w14:textId="77777777" w:rsidR="008F776F" w:rsidRPr="008F776F" w:rsidRDefault="008F776F" w:rsidP="008F776F">
      <w:pPr>
        <w:keepNext/>
        <w:rPr>
          <w:lang w:val="es-ES_tradnl"/>
        </w:rPr>
      </w:pPr>
    </w:p>
    <w:p w14:paraId="23AF2466" w14:textId="77777777" w:rsidR="008F776F" w:rsidRPr="008F776F" w:rsidRDefault="008F776F" w:rsidP="008F776F">
      <w:pPr>
        <w:pStyle w:val="ListParagraph"/>
        <w:ind w:left="0"/>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 xml:space="preserve">En la “Evaluación de la Unión Internacional para la Protección de las Obtenciones Vegetales (UPOV)”, efectuada en 2016 por la División de Supervisión Interna (DSI) de la OMPI, se recomendaba que la UPOV considerase la posibilidad de elaborar un plan operativo estratégico para diversificar sus fuentes de ingresos con el fin de mantener y reforzar la sostenibilidad de las actividades y servicios existentes. Las medidas para </w:t>
      </w:r>
      <w:r w:rsidRPr="008F776F">
        <w:rPr>
          <w:lang w:val="es-ES_tradnl"/>
        </w:rPr>
        <w:lastRenderedPageBreak/>
        <w:t xml:space="preserve">diversificar aún más las fuentes de ingresos de la UPOV se centrarán en la generación de ingresos procedentes de UPOV PRISMA y de la base de datos PLUTO. </w:t>
      </w:r>
    </w:p>
    <w:p w14:paraId="11141960" w14:textId="77777777" w:rsidR="008F776F" w:rsidRPr="008F776F" w:rsidRDefault="008F776F" w:rsidP="008F776F">
      <w:pPr>
        <w:rPr>
          <w:lang w:val="es-ES_tradnl"/>
        </w:rPr>
      </w:pPr>
    </w:p>
    <w:p w14:paraId="4B1E33D1" w14:textId="77777777" w:rsidR="008F776F" w:rsidRPr="008F776F" w:rsidRDefault="008F776F" w:rsidP="008F776F">
      <w:pPr>
        <w:pStyle w:val="Heading5"/>
        <w:rPr>
          <w:lang w:val="es-ES_tradnl"/>
        </w:rPr>
      </w:pPr>
      <w:bookmarkStart w:id="471" w:name="_Toc117798905"/>
      <w:bookmarkStart w:id="472" w:name="_Toc107239610"/>
      <w:bookmarkStart w:id="473" w:name="_Toc107239360"/>
      <w:r w:rsidRPr="008F776F">
        <w:rPr>
          <w:lang w:val="es-ES_tradnl"/>
        </w:rPr>
        <w:t>Servicios de pago</w:t>
      </w:r>
      <w:bookmarkEnd w:id="471"/>
      <w:bookmarkEnd w:id="472"/>
      <w:bookmarkEnd w:id="473"/>
    </w:p>
    <w:p w14:paraId="60B6BEC0" w14:textId="77777777" w:rsidR="008F776F" w:rsidRPr="008F776F" w:rsidRDefault="008F776F" w:rsidP="008F776F">
      <w:pPr>
        <w:pStyle w:val="ListParagraph"/>
        <w:ind w:left="0"/>
        <w:rPr>
          <w:lang w:val="es-ES_tradnl"/>
        </w:rPr>
      </w:pPr>
    </w:p>
    <w:p w14:paraId="5DC0C62E" w14:textId="77777777" w:rsidR="008F776F" w:rsidRPr="008F776F" w:rsidRDefault="008F776F" w:rsidP="008F776F">
      <w:pPr>
        <w:pStyle w:val="ListParagraph"/>
        <w:ind w:left="0"/>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 xml:space="preserve">Un elemento básico para diversificar los ingresos es generarlos a partir de los servicios que se prestan a los usuarios del sistema de la UPOV y, al mismo tiempo, poner esos servicios a disposición de las oficinas de protección de las obtenciones vegetales sin costo alguno. Eso permitirá a la UPOV desarrollar y mantener servicios de alta calidad para los solicitantes y las oficinas de protección de las obtenciones vegetales. Otra ventaja importante es que este enfoque conectará a la UPOV con los usuarios de su sistema y mejorará la orientación de los servicios en el seno de la UPOV. </w:t>
      </w:r>
    </w:p>
    <w:p w14:paraId="477FCB45" w14:textId="77777777" w:rsidR="008F776F" w:rsidRPr="008F776F" w:rsidRDefault="008F776F" w:rsidP="008F776F">
      <w:pPr>
        <w:pStyle w:val="ListParagraph"/>
        <w:ind w:left="0"/>
        <w:rPr>
          <w:lang w:val="es-ES_tradnl"/>
        </w:rPr>
      </w:pPr>
    </w:p>
    <w:p w14:paraId="0CA5F9E0" w14:textId="77777777" w:rsidR="008F776F" w:rsidRPr="008F776F" w:rsidRDefault="008F776F" w:rsidP="008F776F">
      <w:pPr>
        <w:pStyle w:val="ListParagraph"/>
        <w:ind w:left="0"/>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UPOV PRISMA y el servicio de pago de la base de datos PLUTO seguirán siendo fundamentales para aumentar los ingresos de la UPOV. Para aumentar los ingresos procedentes de estos servicios, es necesario contar con el apoyo de los miembros de la Unión. En particular, los ingresos de UPOV PRISMA vendrán determinados por el número de miembros de la Unión que participen en el servicio para todos los cultivos o especies y permitan mantener una interfaz eficaz y fluida con sus procedimientos de solicitud. Del mismo modo, el atractivo del servicio de pago de la base de datos PLUTO dependerá de que los miembros de la Unión proporcionen datos completos y actualizados con regularidad. Por consiguiente, una prioridad para la Oficina de la Unión será colaborar con los miembros de la Unión para que faciliten la protección de las obtenciones vegetales a través de UPOV e</w:t>
      </w:r>
      <w:r w:rsidRPr="008F776F">
        <w:rPr>
          <w:lang w:val="es-ES_tradnl"/>
        </w:rPr>
        <w:noBreakHyphen/>
        <w:t xml:space="preserve">PVP y promover su participación en UPOV PRISMA y sus contribuciones a la base de datos PLUTO. </w:t>
      </w:r>
    </w:p>
    <w:p w14:paraId="566FB7C0" w14:textId="77777777" w:rsidR="008F776F" w:rsidRPr="008F776F" w:rsidRDefault="008F776F" w:rsidP="008F776F">
      <w:pPr>
        <w:pStyle w:val="ListParagraph"/>
        <w:ind w:left="0"/>
        <w:rPr>
          <w:lang w:val="es-ES_tradnl"/>
        </w:rPr>
      </w:pPr>
    </w:p>
    <w:p w14:paraId="16E9357E" w14:textId="77777777" w:rsidR="008F776F" w:rsidRPr="008F776F" w:rsidRDefault="008F776F" w:rsidP="008F776F">
      <w:pPr>
        <w:pStyle w:val="Heading5"/>
        <w:rPr>
          <w:lang w:val="es-ES_tradnl"/>
        </w:rPr>
      </w:pPr>
      <w:bookmarkStart w:id="474" w:name="_Toc117798906"/>
      <w:bookmarkStart w:id="475" w:name="_Toc107239611"/>
      <w:bookmarkStart w:id="476" w:name="_Toc107239361"/>
      <w:bookmarkStart w:id="477" w:name="_Toc42703049"/>
      <w:r w:rsidRPr="008F776F">
        <w:rPr>
          <w:lang w:val="es-ES_tradnl"/>
        </w:rPr>
        <w:t>Fondos extrapresupuestarios</w:t>
      </w:r>
      <w:bookmarkEnd w:id="474"/>
      <w:bookmarkEnd w:id="475"/>
      <w:bookmarkEnd w:id="476"/>
      <w:bookmarkEnd w:id="477"/>
    </w:p>
    <w:p w14:paraId="0BB5D61A" w14:textId="77777777" w:rsidR="008F776F" w:rsidRPr="008F776F" w:rsidRDefault="008F776F" w:rsidP="008F776F">
      <w:pPr>
        <w:rPr>
          <w:lang w:val="es-ES_tradnl"/>
        </w:rPr>
      </w:pPr>
    </w:p>
    <w:p w14:paraId="59E3672E" w14:textId="77777777" w:rsidR="008F776F" w:rsidRPr="008F776F" w:rsidRDefault="008F776F" w:rsidP="008F776F">
      <w:pPr>
        <w:pStyle w:val="ListParagraph"/>
        <w:ind w:left="0"/>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 xml:space="preserve">La UPOV se ha beneficiado en gran medida de los fondos extrapresupuestarios aportados por los miembros de la Unión, por ejemplo, en forma de fondos fiduciarios. En reconocimiento de los costos que supone para la Oficina de la Unión la administración de dichos fondos fiduciarios, se incluye un cargo en concepto de gastos de apoyo administrativo, que se trata como ingreso. </w:t>
      </w:r>
    </w:p>
    <w:p w14:paraId="03FA3159" w14:textId="77777777" w:rsidR="008F776F" w:rsidRPr="008F776F" w:rsidRDefault="008F776F" w:rsidP="008F776F">
      <w:pPr>
        <w:pStyle w:val="ListParagraph"/>
        <w:ind w:left="0"/>
        <w:rPr>
          <w:lang w:val="es-ES_tradnl"/>
        </w:rPr>
      </w:pPr>
    </w:p>
    <w:p w14:paraId="3043CA72" w14:textId="77777777" w:rsidR="008F776F" w:rsidRPr="008F776F" w:rsidRDefault="008F776F" w:rsidP="008F776F">
      <w:pPr>
        <w:pStyle w:val="ListParagraph"/>
        <w:ind w:left="0"/>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 xml:space="preserve">Los fondos extrapresupuestarios serán importantes de cara al futuro y se velará por lograr que continúen los fondos existentes y que otros miembros de la Unión los establezcan. </w:t>
      </w:r>
    </w:p>
    <w:p w14:paraId="33BA4A36" w14:textId="77777777" w:rsidR="008F776F" w:rsidRPr="008F776F" w:rsidRDefault="008F776F" w:rsidP="008F776F">
      <w:pPr>
        <w:rPr>
          <w:lang w:val="es-ES_tradnl"/>
        </w:rPr>
      </w:pPr>
    </w:p>
    <w:p w14:paraId="0CBDC872" w14:textId="77777777" w:rsidR="008F776F" w:rsidRPr="008F776F" w:rsidRDefault="008F776F" w:rsidP="008F776F">
      <w:pPr>
        <w:pStyle w:val="ListParagraph"/>
        <w:ind w:left="0"/>
        <w:rPr>
          <w:rFonts w:cs="Arial"/>
          <w:sz w:val="19"/>
          <w:szCs w:val="19"/>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 xml:space="preserve">Por otro lado, la UPOV colaborará con los miembros de la Unión y los posibles Estados y organizaciones beneficiarios para ayudarlos a promover y dirigir las solicitudes de fondos a los organismos donantes. </w:t>
      </w:r>
    </w:p>
    <w:p w14:paraId="67BF742F" w14:textId="77777777" w:rsidR="008F776F" w:rsidRPr="008F776F" w:rsidRDefault="008F776F" w:rsidP="008F776F">
      <w:pPr>
        <w:rPr>
          <w:lang w:val="es-ES_tradnl"/>
        </w:rPr>
      </w:pPr>
    </w:p>
    <w:p w14:paraId="36D926CF" w14:textId="77777777" w:rsidR="008F776F" w:rsidRPr="008F776F" w:rsidRDefault="008F776F" w:rsidP="008F776F">
      <w:pPr>
        <w:pStyle w:val="Heading4"/>
        <w:keepNext w:val="0"/>
        <w:tabs>
          <w:tab w:val="clear" w:pos="1418"/>
        </w:tabs>
        <w:ind w:left="1134" w:hanging="567"/>
        <w:rPr>
          <w:b/>
          <w:i/>
          <w:color w:val="26724C" w:themeColor="accent1" w:themeShade="BF"/>
          <w:u w:val="none"/>
          <w:lang w:val="es-ES_tradnl"/>
        </w:rPr>
      </w:pPr>
      <w:bookmarkStart w:id="478" w:name="_Toc117798907"/>
      <w:bookmarkStart w:id="479" w:name="_Toc107239612"/>
      <w:bookmarkStart w:id="480" w:name="_Toc107239362"/>
      <w:r w:rsidRPr="008F776F">
        <w:rPr>
          <w:b/>
          <w:i/>
          <w:color w:val="26724C" w:themeColor="accent1" w:themeShade="BF"/>
          <w:u w:val="none"/>
          <w:lang w:val="es-ES_tradnl"/>
        </w:rPr>
        <w:t>4.2</w:t>
      </w:r>
      <w:r w:rsidRPr="008F776F">
        <w:rPr>
          <w:b/>
          <w:i/>
          <w:color w:val="26724C" w:themeColor="accent1" w:themeShade="BF"/>
          <w:u w:val="none"/>
          <w:lang w:val="es-ES_tradnl"/>
        </w:rPr>
        <w:tab/>
        <w:t>Una Secretaría empoderada y dotada de la formación y los recursos necesarios para trabajar de forma eficaz, colaborativa e innovadora</w:t>
      </w:r>
      <w:bookmarkEnd w:id="478"/>
      <w:bookmarkEnd w:id="479"/>
      <w:bookmarkEnd w:id="480"/>
    </w:p>
    <w:p w14:paraId="43B2B714" w14:textId="77777777" w:rsidR="008F776F" w:rsidRPr="008F776F" w:rsidRDefault="008F776F" w:rsidP="008F776F">
      <w:pPr>
        <w:rPr>
          <w:lang w:val="es-ES_tradnl"/>
        </w:rPr>
      </w:pPr>
      <w:bookmarkStart w:id="481" w:name="_Toc42703050"/>
    </w:p>
    <w:bookmarkEnd w:id="481"/>
    <w:p w14:paraId="3A2658FA" w14:textId="77777777" w:rsidR="008F776F" w:rsidRPr="008F776F" w:rsidRDefault="008F776F" w:rsidP="008F776F">
      <w:pPr>
        <w:pStyle w:val="ListParagraph"/>
        <w:ind w:left="0"/>
        <w:rPr>
          <w:spacing w:val="-2"/>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La naturaleza del trabajo de la UPOV seguirá evolucionando, en consonancia con el compromiso de mejora continua de la UPOV. A fin de que el equipo de la UPOV cuente con las competencias necesarias para adaptarse a los cambios y mejorar continuamente, se hará hincapié en la elaboración de programas sistemáticos y coherentes de formación del personal.</w:t>
      </w:r>
    </w:p>
    <w:p w14:paraId="6C303912" w14:textId="77777777" w:rsidR="008F776F" w:rsidRPr="008F776F" w:rsidRDefault="008F776F" w:rsidP="008F776F">
      <w:pPr>
        <w:pStyle w:val="ListParagraph"/>
        <w:ind w:left="0"/>
        <w:rPr>
          <w:spacing w:val="-2"/>
          <w:lang w:val="es-ES_tradnl"/>
        </w:rPr>
      </w:pPr>
    </w:p>
    <w:p w14:paraId="110A67F8" w14:textId="77777777" w:rsidR="008F776F" w:rsidRPr="008F776F" w:rsidRDefault="008F776F" w:rsidP="008F776F">
      <w:pPr>
        <w:pStyle w:val="ListParagraph"/>
        <w:ind w:left="0"/>
        <w:rPr>
          <w:spacing w:val="-2"/>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 xml:space="preserve">La ampliación de la labor de la UPOV en relación con el tercer pilar estratégico (proporcionar servicios de alta calidad a los miembros de la UPOV y a los usuarios del sistema de la UPOV) ha supuesto un mayor énfasis en los proyectos subcontratados y una mayor dependencia de los trabajadores contratados, los proveedores de servicios, los funcionarios subalternos, los becarios y los pasantes. Este enfoque requiere una sólida capacidad de gestión, que se incorporará a los programas de formación del personal profesional. </w:t>
      </w:r>
    </w:p>
    <w:p w14:paraId="57435575" w14:textId="77777777" w:rsidR="008F776F" w:rsidRPr="008F776F" w:rsidRDefault="008F776F" w:rsidP="008F776F">
      <w:pPr>
        <w:tabs>
          <w:tab w:val="left" w:pos="567"/>
        </w:tabs>
        <w:rPr>
          <w:spacing w:val="-2"/>
          <w:lang w:val="es-ES_tradnl"/>
        </w:rPr>
      </w:pPr>
    </w:p>
    <w:p w14:paraId="4D324477" w14:textId="77777777" w:rsidR="008F776F" w:rsidRPr="008F776F" w:rsidRDefault="008F776F" w:rsidP="008F776F">
      <w:pPr>
        <w:rPr>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Se prestará especial atención a la formación de todos los miembros del equipo en lo que respecta a la excelencia del servicio al cliente. Se trata de un objetivo esencial para la ampliación de la labor en relación con el tercer pilar estratégico, al tiempo que se reconoce que todas las áreas de trabajo de la UPOV tienen en su base la prestación de servicios.</w:t>
      </w:r>
    </w:p>
    <w:p w14:paraId="1C7976B4" w14:textId="77777777" w:rsidR="008F776F" w:rsidRPr="008F776F" w:rsidRDefault="008F776F" w:rsidP="008F776F">
      <w:pPr>
        <w:pStyle w:val="ListParagraph"/>
        <w:ind w:left="0"/>
        <w:rPr>
          <w:spacing w:val="-2"/>
          <w:lang w:val="es-ES_tradnl"/>
        </w:rPr>
      </w:pPr>
    </w:p>
    <w:p w14:paraId="7ACB9953" w14:textId="77777777" w:rsidR="008F776F" w:rsidRPr="008F776F" w:rsidRDefault="008F776F" w:rsidP="008F776F">
      <w:pPr>
        <w:tabs>
          <w:tab w:val="left" w:pos="567"/>
        </w:tabs>
        <w:rPr>
          <w:spacing w:val="-2"/>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El número de miembros de la Unión y de Estados cubiertos por el Convenio de la UPOV no ha dejado de crecer, y en los últimos años también ha aumentado el número de Estados y organizaciones que solicitan asesoramiento en materia de legislación. Ello ha ido acompañado de un aumento de la cartera de servicios que presta la Oficina de la Unión, en particular el sistema UPOV e</w:t>
      </w:r>
      <w:r w:rsidRPr="008F776F">
        <w:rPr>
          <w:lang w:val="es-ES_tradnl"/>
        </w:rPr>
        <w:noBreakHyphen/>
        <w:t>PVP y los nuevos cursos de enseñanza a distancia.</w:t>
      </w:r>
    </w:p>
    <w:p w14:paraId="6FC5FF5C" w14:textId="77777777" w:rsidR="008F776F" w:rsidRPr="008F776F" w:rsidRDefault="008F776F" w:rsidP="008F776F">
      <w:pPr>
        <w:tabs>
          <w:tab w:val="left" w:pos="567"/>
        </w:tabs>
        <w:rPr>
          <w:spacing w:val="-2"/>
          <w:lang w:val="es-ES_tradnl"/>
        </w:rPr>
      </w:pPr>
    </w:p>
    <w:p w14:paraId="19E25027" w14:textId="77777777" w:rsidR="008F776F" w:rsidRPr="008F776F" w:rsidRDefault="008F776F" w:rsidP="008F776F">
      <w:pPr>
        <w:tabs>
          <w:tab w:val="left" w:pos="567"/>
        </w:tabs>
        <w:rPr>
          <w:lang w:val="es-ES_tradnl"/>
        </w:rPr>
      </w:pPr>
      <w:r w:rsidRPr="008F776F">
        <w:rPr>
          <w:lang w:val="es-ES_tradnl"/>
        </w:rPr>
        <w:lastRenderedPageBreak/>
        <w:fldChar w:fldCharType="begin"/>
      </w:r>
      <w:r w:rsidRPr="008F776F">
        <w:rPr>
          <w:lang w:val="es-ES_tradnl"/>
        </w:rPr>
        <w:instrText xml:space="preserve"> AUTONUM  </w:instrText>
      </w:r>
      <w:r w:rsidRPr="008F776F">
        <w:rPr>
          <w:lang w:val="es-ES_tradnl"/>
        </w:rPr>
        <w:fldChar w:fldCharType="end"/>
      </w:r>
      <w:r w:rsidRPr="008F776F">
        <w:rPr>
          <w:lang w:val="es-ES_tradnl"/>
        </w:rPr>
        <w:tab/>
        <w:t>Para cubrir el aumento de la carga de trabajo, se cuenta desde 2017 con el apoyo adicional de tres trabajadores de agencia. Las tareas que actualmente desempeñan esos tres trabajadores han terminado siendo parte fundamental de la labor de la UPOV y deberían convertirse en puestos fijos a fin de garantizar la continuidad y la estabilidad en la labor de la UPOV, siempre y cuando se disponga de ingresos suficientes y fiables que justifiquen dicha obligación financiera. El Programa y Presupuesto para el bienio 2022-2023 preveía un puesto adicional para sustituir a un trabajador de agencia. El Programa y Presupuesto para el bienio 2024-2025 prevé dos puestos adicionales para sustituir a los trabajadores de las agencias.</w:t>
      </w:r>
    </w:p>
    <w:p w14:paraId="1A29B905" w14:textId="77777777" w:rsidR="008F776F" w:rsidRPr="008F776F" w:rsidRDefault="008F776F" w:rsidP="008F776F">
      <w:pPr>
        <w:tabs>
          <w:tab w:val="left" w:pos="567"/>
        </w:tabs>
        <w:rPr>
          <w:spacing w:val="-2"/>
          <w:lang w:val="es-ES_tradnl"/>
        </w:rPr>
      </w:pPr>
    </w:p>
    <w:p w14:paraId="4DABA7EB" w14:textId="77777777" w:rsidR="008F776F" w:rsidRPr="008F776F" w:rsidRDefault="008F776F" w:rsidP="008F776F">
      <w:pPr>
        <w:pStyle w:val="ListParagraph"/>
        <w:ind w:left="0"/>
        <w:rPr>
          <w:spacing w:val="-2"/>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La UPOV ha recibido un valioso apoyo del programa de becas gracias a varios expertos de gran talento cedidos por miembros de la Unión, especialmente en relación con UPOV PRISMA, la base de datos PLUTO, la base de datos GENIE y el mantenimiento del código de la UPOV. La pandemia de COVID-19 ha dificultado la continuidad del programa de becas, aunque se volverá a poner en marcha y se ampliará en cuanto las circunstancias lo permitan.</w:t>
      </w:r>
    </w:p>
    <w:p w14:paraId="4D55B790" w14:textId="77777777" w:rsidR="008F776F" w:rsidRPr="008F776F" w:rsidRDefault="008F776F" w:rsidP="008F776F">
      <w:pPr>
        <w:pStyle w:val="ListParagraph"/>
        <w:ind w:left="0"/>
        <w:rPr>
          <w:spacing w:val="-2"/>
          <w:lang w:val="es-ES_tradnl"/>
        </w:rPr>
      </w:pPr>
    </w:p>
    <w:p w14:paraId="6C6FFD4E" w14:textId="77777777" w:rsidR="008F776F" w:rsidRPr="008F776F" w:rsidRDefault="008F776F" w:rsidP="008F776F">
      <w:pPr>
        <w:pStyle w:val="ListParagraph"/>
        <w:ind w:left="0"/>
        <w:rPr>
          <w:spacing w:val="-2"/>
          <w:lang w:val="es-ES_tradnl"/>
        </w:rPr>
      </w:pPr>
      <w:r w:rsidRPr="008F776F">
        <w:rPr>
          <w:lang w:val="es-ES_tradnl"/>
        </w:rPr>
        <w:fldChar w:fldCharType="begin"/>
      </w:r>
      <w:r w:rsidRPr="008F776F">
        <w:rPr>
          <w:lang w:val="es-ES_tradnl"/>
        </w:rPr>
        <w:instrText xml:space="preserve"> AUTONUM  </w:instrText>
      </w:r>
      <w:r w:rsidRPr="008F776F">
        <w:rPr>
          <w:lang w:val="es-ES_tradnl"/>
        </w:rPr>
        <w:fldChar w:fldCharType="end"/>
      </w:r>
      <w:r w:rsidRPr="008F776F">
        <w:rPr>
          <w:lang w:val="es-ES_tradnl"/>
        </w:rPr>
        <w:tab/>
        <w:t>Otro ámbito en el que se espera que los miembros de la Unión presten un mayor apoyo es el de la asignación a la UPOV de funcionarios subalternos del cuadro orgánico.</w:t>
      </w:r>
    </w:p>
    <w:p w14:paraId="1F558C0E" w14:textId="77777777" w:rsidR="008F776F" w:rsidRPr="008F776F" w:rsidRDefault="008F776F" w:rsidP="008F776F">
      <w:pPr>
        <w:tabs>
          <w:tab w:val="left" w:pos="567"/>
        </w:tabs>
        <w:rPr>
          <w:spacing w:val="-2"/>
          <w:lang w:val="es-ES_tradnl"/>
        </w:rPr>
      </w:pPr>
    </w:p>
    <w:p w14:paraId="2FEAAC29" w14:textId="77777777" w:rsidR="008F776F" w:rsidRPr="008F776F" w:rsidRDefault="008F776F" w:rsidP="008F776F">
      <w:pPr>
        <w:pStyle w:val="Heading3"/>
      </w:pPr>
      <w:bookmarkStart w:id="482" w:name="_Toc141978867"/>
      <w:r w:rsidRPr="008F776F">
        <w:t>Resultados previstos e indicadores de rendimiento</w:t>
      </w:r>
      <w:bookmarkEnd w:id="482"/>
    </w:p>
    <w:p w14:paraId="58DB67C7" w14:textId="77777777" w:rsidR="008F776F" w:rsidRPr="008F776F" w:rsidRDefault="008F776F" w:rsidP="008F776F">
      <w:pPr>
        <w:keepNext/>
        <w:rPr>
          <w:bCs/>
          <w:lang w:val="es-ES_tradnl"/>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8F776F" w:rsidRPr="008F776F" w14:paraId="2A535D49" w14:textId="77777777" w:rsidTr="00DB6666">
        <w:trPr>
          <w:tblHeader/>
        </w:trPr>
        <w:tc>
          <w:tcPr>
            <w:tcW w:w="426" w:type="dxa"/>
            <w:tcBorders>
              <w:bottom w:val="single" w:sz="4" w:space="0" w:color="D9D9D9" w:themeColor="background1" w:themeShade="D9"/>
            </w:tcBorders>
            <w:shd w:val="clear" w:color="auto" w:fill="E2E7EB" w:themeFill="accent3" w:themeFillTint="33"/>
          </w:tcPr>
          <w:p w14:paraId="742910AF" w14:textId="77777777" w:rsidR="008F776F" w:rsidRPr="008F776F" w:rsidRDefault="008F776F" w:rsidP="00DB6666">
            <w:pPr>
              <w:jc w:val="left"/>
              <w:rPr>
                <w:b/>
                <w:bCs/>
                <w:sz w:val="16"/>
                <w:szCs w:val="16"/>
                <w:lang w:val="es-ES_tradnl"/>
              </w:rPr>
            </w:pPr>
          </w:p>
        </w:tc>
        <w:tc>
          <w:tcPr>
            <w:tcW w:w="3255" w:type="dxa"/>
            <w:tcBorders>
              <w:bottom w:val="single" w:sz="4" w:space="0" w:color="D9D9D9" w:themeColor="background1" w:themeShade="D9"/>
            </w:tcBorders>
            <w:shd w:val="clear" w:color="auto" w:fill="E2E7EB" w:themeFill="accent3" w:themeFillTint="33"/>
          </w:tcPr>
          <w:p w14:paraId="66721025" w14:textId="77777777" w:rsidR="008F776F" w:rsidRPr="008F776F" w:rsidRDefault="008F776F" w:rsidP="00DB6666">
            <w:pPr>
              <w:jc w:val="left"/>
              <w:rPr>
                <w:b/>
                <w:bCs/>
                <w:sz w:val="16"/>
                <w:szCs w:val="16"/>
                <w:lang w:val="es-ES_tradnl"/>
              </w:rPr>
            </w:pPr>
            <w:r w:rsidRPr="008F776F">
              <w:rPr>
                <w:b/>
                <w:sz w:val="16"/>
                <w:lang w:val="es-ES_tradnl"/>
              </w:rPr>
              <w:t>Resultados previstos</w:t>
            </w:r>
          </w:p>
        </w:tc>
        <w:tc>
          <w:tcPr>
            <w:tcW w:w="305" w:type="dxa"/>
            <w:tcBorders>
              <w:bottom w:val="single" w:sz="4" w:space="0" w:color="D9D9D9" w:themeColor="background1" w:themeShade="D9"/>
            </w:tcBorders>
            <w:shd w:val="clear" w:color="auto" w:fill="E2E7EB" w:themeFill="accent3" w:themeFillTint="33"/>
          </w:tcPr>
          <w:p w14:paraId="40E23DF9" w14:textId="77777777" w:rsidR="008F776F" w:rsidRPr="008F776F" w:rsidRDefault="008F776F" w:rsidP="00DB6666">
            <w:pPr>
              <w:jc w:val="center"/>
              <w:rPr>
                <w:b/>
                <w:bCs/>
                <w:sz w:val="16"/>
                <w:szCs w:val="16"/>
                <w:lang w:val="es-ES_tradnl"/>
              </w:rPr>
            </w:pPr>
          </w:p>
        </w:tc>
        <w:tc>
          <w:tcPr>
            <w:tcW w:w="2457" w:type="dxa"/>
            <w:tcBorders>
              <w:bottom w:val="single" w:sz="4" w:space="0" w:color="D9D9D9" w:themeColor="background1" w:themeShade="D9"/>
            </w:tcBorders>
            <w:shd w:val="clear" w:color="auto" w:fill="E2E7EB" w:themeFill="accent3" w:themeFillTint="33"/>
          </w:tcPr>
          <w:p w14:paraId="42704DD4" w14:textId="77777777" w:rsidR="008F776F" w:rsidRPr="008F776F" w:rsidRDefault="008F776F" w:rsidP="00DB6666">
            <w:pPr>
              <w:rPr>
                <w:b/>
                <w:bCs/>
                <w:sz w:val="16"/>
                <w:szCs w:val="16"/>
                <w:lang w:val="es-ES_tradnl"/>
              </w:rPr>
            </w:pPr>
            <w:r w:rsidRPr="008F776F">
              <w:rPr>
                <w:b/>
                <w:sz w:val="16"/>
                <w:lang w:val="es-ES_tradnl"/>
              </w:rPr>
              <w:t>Indicadores de rendimiento</w:t>
            </w:r>
          </w:p>
        </w:tc>
        <w:tc>
          <w:tcPr>
            <w:tcW w:w="1632" w:type="dxa"/>
            <w:tcBorders>
              <w:bottom w:val="single" w:sz="4" w:space="0" w:color="D9D9D9" w:themeColor="background1" w:themeShade="D9"/>
            </w:tcBorders>
            <w:shd w:val="clear" w:color="auto" w:fill="E2E7EB" w:themeFill="accent3" w:themeFillTint="33"/>
          </w:tcPr>
          <w:p w14:paraId="696685B8" w14:textId="77777777" w:rsidR="008F776F" w:rsidRPr="008F776F" w:rsidRDefault="008F776F" w:rsidP="00DB6666">
            <w:pPr>
              <w:jc w:val="center"/>
              <w:rPr>
                <w:b/>
                <w:bCs/>
                <w:sz w:val="16"/>
                <w:szCs w:val="16"/>
                <w:lang w:val="es-ES_tradnl"/>
              </w:rPr>
            </w:pPr>
            <w:r w:rsidRPr="008F776F">
              <w:rPr>
                <w:b/>
                <w:sz w:val="16"/>
                <w:lang w:val="es-ES_tradnl"/>
              </w:rPr>
              <w:t>Referencia</w:t>
            </w:r>
          </w:p>
        </w:tc>
        <w:tc>
          <w:tcPr>
            <w:tcW w:w="1559" w:type="dxa"/>
            <w:tcBorders>
              <w:bottom w:val="single" w:sz="4" w:space="0" w:color="D9D9D9" w:themeColor="background1" w:themeShade="D9"/>
            </w:tcBorders>
            <w:shd w:val="clear" w:color="auto" w:fill="E2E7EB" w:themeFill="accent3" w:themeFillTint="33"/>
          </w:tcPr>
          <w:p w14:paraId="1D24DD88" w14:textId="77777777" w:rsidR="008F776F" w:rsidRPr="008F776F" w:rsidRDefault="008F776F" w:rsidP="00DB6666">
            <w:pPr>
              <w:jc w:val="center"/>
              <w:rPr>
                <w:b/>
                <w:bCs/>
                <w:sz w:val="16"/>
                <w:szCs w:val="16"/>
                <w:lang w:val="es-ES_tradnl"/>
              </w:rPr>
            </w:pPr>
            <w:r w:rsidRPr="008F776F">
              <w:rPr>
                <w:b/>
                <w:sz w:val="16"/>
                <w:lang w:val="es-ES_tradnl"/>
              </w:rPr>
              <w:t>Objetivo (2024/25)</w:t>
            </w:r>
          </w:p>
        </w:tc>
      </w:tr>
      <w:tr w:rsidR="008F776F" w:rsidRPr="008F776F" w14:paraId="5742378F" w14:textId="77777777" w:rsidTr="00DB6666">
        <w:tc>
          <w:tcPr>
            <w:tcW w:w="426" w:type="dxa"/>
            <w:tcBorders>
              <w:top w:val="single" w:sz="4" w:space="0" w:color="D9D9D9" w:themeColor="background1" w:themeShade="D9"/>
              <w:bottom w:val="single" w:sz="4" w:space="0" w:color="D9D9D9" w:themeColor="background1" w:themeShade="D9"/>
            </w:tcBorders>
          </w:tcPr>
          <w:p w14:paraId="5B2E79CF" w14:textId="77777777" w:rsidR="008F776F" w:rsidRPr="008F776F" w:rsidRDefault="008F776F" w:rsidP="00DB6666">
            <w:pPr>
              <w:jc w:val="left"/>
              <w:rPr>
                <w:rFonts w:cs="Arial"/>
                <w:sz w:val="16"/>
                <w:szCs w:val="16"/>
                <w:lang w:val="es-ES_tradnl"/>
              </w:rPr>
            </w:pPr>
            <w:r w:rsidRPr="008F776F">
              <w:rPr>
                <w:sz w:val="16"/>
                <w:lang w:val="es-ES_tradnl"/>
              </w:rPr>
              <w:t>4.1</w:t>
            </w:r>
          </w:p>
        </w:tc>
        <w:tc>
          <w:tcPr>
            <w:tcW w:w="3255" w:type="dxa"/>
            <w:tcBorders>
              <w:top w:val="single" w:sz="4" w:space="0" w:color="D9D9D9" w:themeColor="background1" w:themeShade="D9"/>
              <w:bottom w:val="single" w:sz="4" w:space="0" w:color="D9D9D9" w:themeColor="background1" w:themeShade="D9"/>
            </w:tcBorders>
            <w:shd w:val="clear" w:color="auto" w:fill="auto"/>
          </w:tcPr>
          <w:p w14:paraId="2103CE32" w14:textId="77777777" w:rsidR="008F776F" w:rsidRPr="008F776F" w:rsidRDefault="008F776F" w:rsidP="00DB6666">
            <w:pPr>
              <w:jc w:val="left"/>
              <w:rPr>
                <w:rFonts w:cs="Arial"/>
                <w:sz w:val="16"/>
                <w:szCs w:val="16"/>
                <w:lang w:val="es-ES_tradnl"/>
              </w:rPr>
            </w:pPr>
            <w:r w:rsidRPr="008F776F">
              <w:rPr>
                <w:sz w:val="16"/>
                <w:lang w:val="es-ES_tradnl"/>
              </w:rPr>
              <w:t>Diversificación de ingresos</w:t>
            </w:r>
          </w:p>
        </w:tc>
        <w:tc>
          <w:tcPr>
            <w:tcW w:w="305" w:type="dxa"/>
            <w:tcBorders>
              <w:top w:val="single" w:sz="4" w:space="0" w:color="D9D9D9" w:themeColor="background1" w:themeShade="D9"/>
              <w:bottom w:val="single" w:sz="4" w:space="0" w:color="D9D9D9" w:themeColor="background1" w:themeShade="D9"/>
            </w:tcBorders>
            <w:shd w:val="clear" w:color="auto" w:fill="auto"/>
          </w:tcPr>
          <w:p w14:paraId="2A0A1F65" w14:textId="77777777" w:rsidR="008F776F" w:rsidRPr="008F776F" w:rsidRDefault="008F776F" w:rsidP="00DB6666">
            <w:pPr>
              <w:jc w:val="left"/>
              <w:rPr>
                <w:rFonts w:cs="Arial"/>
                <w:sz w:val="16"/>
                <w:szCs w:val="16"/>
                <w:lang w:val="es-ES_tradnl"/>
              </w:rPr>
            </w:pPr>
            <w:r w:rsidRPr="008F776F">
              <w:rPr>
                <w:sz w:val="16"/>
                <w:lang w:val="es-ES_tradnl"/>
              </w:rPr>
              <w:t>15</w:t>
            </w:r>
          </w:p>
        </w:tc>
        <w:tc>
          <w:tcPr>
            <w:tcW w:w="2457" w:type="dxa"/>
            <w:tcBorders>
              <w:top w:val="single" w:sz="4" w:space="0" w:color="D9D9D9" w:themeColor="background1" w:themeShade="D9"/>
              <w:bottom w:val="single" w:sz="4" w:space="0" w:color="D9D9D9" w:themeColor="background1" w:themeShade="D9"/>
            </w:tcBorders>
            <w:shd w:val="clear" w:color="auto" w:fill="auto"/>
          </w:tcPr>
          <w:p w14:paraId="61632740" w14:textId="77777777" w:rsidR="008F776F" w:rsidRPr="008F776F" w:rsidRDefault="008F776F" w:rsidP="00DB6666">
            <w:pPr>
              <w:jc w:val="left"/>
              <w:rPr>
                <w:rFonts w:cs="Arial"/>
                <w:sz w:val="16"/>
                <w:szCs w:val="16"/>
                <w:lang w:val="es-ES_tradnl"/>
              </w:rPr>
            </w:pPr>
            <w:r w:rsidRPr="008F776F">
              <w:rPr>
                <w:sz w:val="16"/>
                <w:lang w:val="es-ES_tradnl"/>
              </w:rPr>
              <w:t>Ingresos procedentes de fuentes distintas de las contribuciones de los miembros de la UPOV</w:t>
            </w:r>
          </w:p>
        </w:tc>
        <w:tc>
          <w:tcPr>
            <w:tcW w:w="1632" w:type="dxa"/>
            <w:tcBorders>
              <w:top w:val="single" w:sz="4" w:space="0" w:color="D9D9D9" w:themeColor="background1" w:themeShade="D9"/>
              <w:bottom w:val="single" w:sz="4" w:space="0" w:color="D9D9D9" w:themeColor="background1" w:themeShade="D9"/>
            </w:tcBorders>
            <w:shd w:val="clear" w:color="auto" w:fill="auto"/>
            <w:vAlign w:val="center"/>
          </w:tcPr>
          <w:p w14:paraId="33E5BFFB" w14:textId="77777777" w:rsidR="008F776F" w:rsidRPr="008F776F" w:rsidRDefault="008F776F" w:rsidP="00DB6666">
            <w:pPr>
              <w:jc w:val="center"/>
              <w:rPr>
                <w:rFonts w:cs="Arial"/>
                <w:sz w:val="16"/>
                <w:szCs w:val="16"/>
                <w:lang w:val="es-ES_tradnl"/>
              </w:rPr>
            </w:pPr>
            <w:r w:rsidRPr="008F776F">
              <w:rPr>
                <w:sz w:val="16"/>
                <w:lang w:val="es-ES_tradnl"/>
              </w:rPr>
              <w:t>6,6% (2022/23)</w:t>
            </w:r>
          </w:p>
        </w:tc>
        <w:tc>
          <w:tcPr>
            <w:tcW w:w="1559" w:type="dxa"/>
            <w:tcBorders>
              <w:top w:val="single" w:sz="4" w:space="0" w:color="D9D9D9" w:themeColor="background1" w:themeShade="D9"/>
              <w:bottom w:val="single" w:sz="4" w:space="0" w:color="D9D9D9" w:themeColor="background1" w:themeShade="D9"/>
            </w:tcBorders>
            <w:shd w:val="clear" w:color="auto" w:fill="auto"/>
            <w:vAlign w:val="center"/>
          </w:tcPr>
          <w:p w14:paraId="1002D215" w14:textId="77777777" w:rsidR="008F776F" w:rsidRPr="008F776F" w:rsidRDefault="008F776F" w:rsidP="00DB6666">
            <w:pPr>
              <w:jc w:val="center"/>
              <w:rPr>
                <w:rFonts w:cs="Arial"/>
                <w:sz w:val="16"/>
                <w:szCs w:val="16"/>
                <w:lang w:val="es-ES_tradnl"/>
              </w:rPr>
            </w:pPr>
            <w:r w:rsidRPr="008F776F">
              <w:rPr>
                <w:sz w:val="16"/>
                <w:lang w:val="es-ES_tradnl"/>
              </w:rPr>
              <w:t>9%</w:t>
            </w:r>
          </w:p>
        </w:tc>
      </w:tr>
      <w:tr w:rsidR="008F776F" w:rsidRPr="008F776F" w14:paraId="48FC85B9" w14:textId="77777777" w:rsidTr="00DB6666">
        <w:tc>
          <w:tcPr>
            <w:tcW w:w="426" w:type="dxa"/>
            <w:tcBorders>
              <w:top w:val="single" w:sz="4" w:space="0" w:color="D9D9D9" w:themeColor="background1" w:themeShade="D9"/>
              <w:bottom w:val="single" w:sz="4" w:space="0" w:color="D9D9D9" w:themeColor="background1" w:themeShade="D9"/>
            </w:tcBorders>
          </w:tcPr>
          <w:p w14:paraId="225A512D" w14:textId="77777777" w:rsidR="008F776F" w:rsidRPr="008F776F" w:rsidRDefault="008F776F" w:rsidP="00DB6666">
            <w:pPr>
              <w:jc w:val="left"/>
              <w:rPr>
                <w:rFonts w:cs="Arial"/>
                <w:sz w:val="16"/>
                <w:szCs w:val="16"/>
                <w:lang w:val="es-ES_tradnl"/>
              </w:rPr>
            </w:pPr>
            <w:r w:rsidRPr="008F776F">
              <w:rPr>
                <w:sz w:val="16"/>
                <w:lang w:val="es-ES_tradnl"/>
              </w:rPr>
              <w:t>4.2</w:t>
            </w:r>
          </w:p>
        </w:tc>
        <w:tc>
          <w:tcPr>
            <w:tcW w:w="3255" w:type="dxa"/>
            <w:tcBorders>
              <w:top w:val="single" w:sz="4" w:space="0" w:color="D9D9D9" w:themeColor="background1" w:themeShade="D9"/>
              <w:bottom w:val="single" w:sz="4" w:space="0" w:color="D9D9D9" w:themeColor="background1" w:themeShade="D9"/>
            </w:tcBorders>
            <w:shd w:val="clear" w:color="auto" w:fill="auto"/>
          </w:tcPr>
          <w:p w14:paraId="7DE8F838" w14:textId="77777777" w:rsidR="008F776F" w:rsidRPr="008F776F" w:rsidRDefault="008F776F" w:rsidP="00DB6666">
            <w:pPr>
              <w:jc w:val="left"/>
              <w:rPr>
                <w:rFonts w:cs="Arial"/>
                <w:sz w:val="16"/>
                <w:szCs w:val="16"/>
                <w:lang w:val="es-ES_tradnl"/>
              </w:rPr>
            </w:pPr>
            <w:r w:rsidRPr="008F776F">
              <w:rPr>
                <w:sz w:val="16"/>
                <w:lang w:val="es-ES_tradnl"/>
              </w:rPr>
              <w:t>Una Secretaría empoderada y dotada de la formación y los recursos necesarios para trabajar de forma eficaz, colaborativa e innovadora</w:t>
            </w:r>
          </w:p>
        </w:tc>
        <w:tc>
          <w:tcPr>
            <w:tcW w:w="305" w:type="dxa"/>
            <w:tcBorders>
              <w:top w:val="single" w:sz="4" w:space="0" w:color="D9D9D9" w:themeColor="background1" w:themeShade="D9"/>
              <w:bottom w:val="single" w:sz="4" w:space="0" w:color="D9D9D9" w:themeColor="background1" w:themeShade="D9"/>
            </w:tcBorders>
            <w:shd w:val="clear" w:color="auto" w:fill="auto"/>
          </w:tcPr>
          <w:p w14:paraId="6D878A7B" w14:textId="77777777" w:rsidR="008F776F" w:rsidRPr="008F776F" w:rsidRDefault="008F776F" w:rsidP="00DB6666">
            <w:pPr>
              <w:jc w:val="left"/>
              <w:rPr>
                <w:rFonts w:cs="Arial"/>
                <w:sz w:val="16"/>
                <w:szCs w:val="16"/>
                <w:lang w:val="es-ES_tradnl"/>
              </w:rPr>
            </w:pPr>
            <w:r w:rsidRPr="008F776F">
              <w:rPr>
                <w:sz w:val="16"/>
                <w:lang w:val="es-ES_tradnl"/>
              </w:rPr>
              <w:t>16</w:t>
            </w:r>
          </w:p>
        </w:tc>
        <w:tc>
          <w:tcPr>
            <w:tcW w:w="2457" w:type="dxa"/>
            <w:tcBorders>
              <w:top w:val="single" w:sz="4" w:space="0" w:color="D9D9D9" w:themeColor="background1" w:themeShade="D9"/>
              <w:bottom w:val="single" w:sz="4" w:space="0" w:color="D9D9D9" w:themeColor="background1" w:themeShade="D9"/>
            </w:tcBorders>
            <w:shd w:val="clear" w:color="auto" w:fill="auto"/>
          </w:tcPr>
          <w:p w14:paraId="03D8808E" w14:textId="77777777" w:rsidR="008F776F" w:rsidRPr="008F776F" w:rsidRDefault="008F776F" w:rsidP="00DB6666">
            <w:pPr>
              <w:jc w:val="left"/>
              <w:rPr>
                <w:rFonts w:cs="Arial"/>
                <w:sz w:val="16"/>
                <w:szCs w:val="16"/>
                <w:lang w:val="es-ES_tradnl"/>
              </w:rPr>
            </w:pPr>
            <w:r w:rsidRPr="008F776F">
              <w:rPr>
                <w:sz w:val="16"/>
                <w:lang w:val="es-ES_tradnl"/>
              </w:rPr>
              <w:t>Grado de satisfacción del personal</w:t>
            </w:r>
          </w:p>
        </w:tc>
        <w:tc>
          <w:tcPr>
            <w:tcW w:w="1632" w:type="dxa"/>
            <w:tcBorders>
              <w:top w:val="single" w:sz="4" w:space="0" w:color="D9D9D9" w:themeColor="background1" w:themeShade="D9"/>
              <w:bottom w:val="single" w:sz="4" w:space="0" w:color="D9D9D9" w:themeColor="background1" w:themeShade="D9"/>
            </w:tcBorders>
            <w:shd w:val="clear" w:color="auto" w:fill="auto"/>
            <w:vAlign w:val="center"/>
          </w:tcPr>
          <w:p w14:paraId="23C88268" w14:textId="77777777" w:rsidR="008F776F" w:rsidRPr="008F776F" w:rsidRDefault="008F776F" w:rsidP="00DB6666">
            <w:pPr>
              <w:jc w:val="center"/>
              <w:rPr>
                <w:rFonts w:cs="Arial"/>
                <w:sz w:val="16"/>
                <w:szCs w:val="16"/>
                <w:lang w:val="es-ES_tradnl"/>
              </w:rPr>
            </w:pPr>
            <w:r w:rsidRPr="008F776F">
              <w:rPr>
                <w:sz w:val="16"/>
                <w:lang w:val="es-ES_tradnl"/>
              </w:rPr>
              <w:t>86%</w:t>
            </w:r>
          </w:p>
        </w:tc>
        <w:tc>
          <w:tcPr>
            <w:tcW w:w="1559" w:type="dxa"/>
            <w:tcBorders>
              <w:top w:val="single" w:sz="4" w:space="0" w:color="D9D9D9" w:themeColor="background1" w:themeShade="D9"/>
              <w:bottom w:val="single" w:sz="4" w:space="0" w:color="D9D9D9" w:themeColor="background1" w:themeShade="D9"/>
            </w:tcBorders>
            <w:shd w:val="clear" w:color="auto" w:fill="auto"/>
            <w:vAlign w:val="center"/>
          </w:tcPr>
          <w:p w14:paraId="5E3F99CF" w14:textId="77777777" w:rsidR="008F776F" w:rsidRPr="008F776F" w:rsidRDefault="008F776F" w:rsidP="00DB6666">
            <w:pPr>
              <w:jc w:val="center"/>
              <w:rPr>
                <w:rFonts w:cs="Arial"/>
                <w:sz w:val="16"/>
                <w:szCs w:val="16"/>
                <w:lang w:val="es-ES_tradnl"/>
              </w:rPr>
            </w:pPr>
            <w:r w:rsidRPr="008F776F">
              <w:rPr>
                <w:sz w:val="16"/>
                <w:lang w:val="es-ES_tradnl"/>
              </w:rPr>
              <w:t>88%</w:t>
            </w:r>
          </w:p>
        </w:tc>
      </w:tr>
    </w:tbl>
    <w:p w14:paraId="1AA2D6C9" w14:textId="77777777" w:rsidR="008F776F" w:rsidRPr="008F776F" w:rsidRDefault="008F776F" w:rsidP="008F776F">
      <w:pPr>
        <w:rPr>
          <w:lang w:val="es-ES_tradnl"/>
        </w:rPr>
      </w:pPr>
    </w:p>
    <w:p w14:paraId="7416A8EB" w14:textId="77777777" w:rsidR="008F776F" w:rsidRPr="008F776F" w:rsidRDefault="008F776F" w:rsidP="008F776F">
      <w:pPr>
        <w:jc w:val="left"/>
        <w:rPr>
          <w:color w:val="000000"/>
          <w:lang w:val="es-ES_tradnl"/>
        </w:rPr>
      </w:pPr>
    </w:p>
    <w:p w14:paraId="245B3FA6" w14:textId="77777777" w:rsidR="008F776F" w:rsidRPr="008F776F" w:rsidRDefault="008F776F" w:rsidP="008F776F">
      <w:pPr>
        <w:jc w:val="center"/>
        <w:rPr>
          <w:rFonts w:ascii="Arial Bold" w:hAnsi="Arial Bold" w:cs="Arial"/>
          <w:b/>
          <w:bCs/>
          <w:color w:val="26724C" w:themeColor="accent1" w:themeShade="BF"/>
          <w:lang w:val="es-ES_tradnl"/>
        </w:rPr>
      </w:pPr>
      <w:r w:rsidRPr="008F776F">
        <w:rPr>
          <w:rFonts w:ascii="Arial Bold" w:hAnsi="Arial Bold"/>
          <w:b/>
          <w:color w:val="26724C" w:themeColor="accent1" w:themeShade="BF"/>
          <w:lang w:val="es-ES_tradnl"/>
        </w:rPr>
        <w:t>Cuadro 6: Presupuesto para el bienio 2024</w:t>
      </w:r>
      <w:r w:rsidRPr="008F776F">
        <w:rPr>
          <w:rFonts w:ascii="Arial Bold" w:hAnsi="Arial Bold"/>
          <w:b/>
          <w:color w:val="26724C" w:themeColor="accent1" w:themeShade="BF"/>
          <w:lang w:val="es-ES_tradnl"/>
        </w:rPr>
        <w:noBreakHyphen/>
        <w:t>2025 por resultado previsto</w:t>
      </w:r>
    </w:p>
    <w:p w14:paraId="5BA59BF2" w14:textId="77777777" w:rsidR="008F776F" w:rsidRPr="008F776F" w:rsidRDefault="008F776F" w:rsidP="008F776F">
      <w:pPr>
        <w:jc w:val="center"/>
        <w:rPr>
          <w:rFonts w:asciiTheme="minorHAnsi" w:hAnsiTheme="minorHAnsi" w:cstheme="minorHAnsi"/>
          <w:b/>
          <w:bCs/>
          <w:color w:val="26724C" w:themeColor="accent1" w:themeShade="BF"/>
          <w:lang w:val="es-ES_tradnl"/>
        </w:rPr>
      </w:pPr>
    </w:p>
    <w:tbl>
      <w:tblPr>
        <w:tblW w:w="8447" w:type="dxa"/>
        <w:jc w:val="center"/>
        <w:tblLook w:val="04A0" w:firstRow="1" w:lastRow="0" w:firstColumn="1" w:lastColumn="0" w:noHBand="0" w:noVBand="1"/>
      </w:tblPr>
      <w:tblGrid>
        <w:gridCol w:w="1307"/>
        <w:gridCol w:w="5497"/>
        <w:gridCol w:w="1643"/>
      </w:tblGrid>
      <w:tr w:rsidR="008F776F" w:rsidRPr="008F776F" w14:paraId="0FE83228" w14:textId="77777777" w:rsidTr="00DB6666">
        <w:trPr>
          <w:trHeight w:val="270"/>
          <w:jc w:val="center"/>
        </w:trPr>
        <w:tc>
          <w:tcPr>
            <w:tcW w:w="6804" w:type="dxa"/>
            <w:gridSpan w:val="2"/>
            <w:vMerge w:val="restart"/>
            <w:tcBorders>
              <w:top w:val="nil"/>
              <w:left w:val="nil"/>
              <w:bottom w:val="nil"/>
              <w:right w:val="nil"/>
            </w:tcBorders>
            <w:shd w:val="clear" w:color="000000" w:fill="C7CFD8"/>
            <w:vAlign w:val="center"/>
          </w:tcPr>
          <w:p w14:paraId="7B5C682E" w14:textId="77777777" w:rsidR="008F776F" w:rsidRPr="008F776F" w:rsidRDefault="008F776F" w:rsidP="00DB6666">
            <w:pPr>
              <w:jc w:val="center"/>
              <w:rPr>
                <w:rFonts w:asciiTheme="minorHAnsi" w:hAnsiTheme="minorHAnsi" w:cstheme="minorHAnsi"/>
                <w:b/>
                <w:bCs/>
                <w:sz w:val="16"/>
                <w:szCs w:val="16"/>
                <w:lang w:val="es-ES_tradnl"/>
              </w:rPr>
            </w:pPr>
          </w:p>
        </w:tc>
        <w:tc>
          <w:tcPr>
            <w:tcW w:w="1643" w:type="dxa"/>
            <w:vMerge w:val="restart"/>
            <w:tcBorders>
              <w:top w:val="nil"/>
              <w:left w:val="nil"/>
              <w:bottom w:val="nil"/>
              <w:right w:val="nil"/>
            </w:tcBorders>
            <w:shd w:val="clear" w:color="000000" w:fill="C7CFD8"/>
            <w:vAlign w:val="center"/>
            <w:hideMark/>
          </w:tcPr>
          <w:p w14:paraId="2315A1AD" w14:textId="77777777" w:rsidR="008F776F" w:rsidRPr="008F776F" w:rsidRDefault="008F776F" w:rsidP="00DB6666">
            <w:pPr>
              <w:jc w:val="center"/>
              <w:rPr>
                <w:rFonts w:asciiTheme="minorHAnsi" w:hAnsiTheme="minorHAnsi" w:cstheme="minorHAnsi"/>
                <w:b/>
                <w:bCs/>
                <w:sz w:val="16"/>
                <w:szCs w:val="16"/>
                <w:lang w:val="es-ES_tradnl"/>
              </w:rPr>
            </w:pPr>
            <w:r w:rsidRPr="008F776F">
              <w:rPr>
                <w:rFonts w:asciiTheme="minorHAnsi" w:hAnsiTheme="minorHAnsi" w:cstheme="minorHAnsi"/>
                <w:b/>
                <w:sz w:val="16"/>
                <w:lang w:val="es-ES_tradnl"/>
              </w:rPr>
              <w:t xml:space="preserve"> Propuesta para 2024</w:t>
            </w:r>
            <w:r w:rsidRPr="008F776F">
              <w:rPr>
                <w:rFonts w:asciiTheme="minorHAnsi" w:hAnsiTheme="minorHAnsi" w:cstheme="minorHAnsi"/>
                <w:b/>
                <w:sz w:val="16"/>
                <w:lang w:val="es-ES_tradnl"/>
              </w:rPr>
              <w:noBreakHyphen/>
              <w:t xml:space="preserve">2025 </w:t>
            </w:r>
          </w:p>
        </w:tc>
      </w:tr>
      <w:tr w:rsidR="008F776F" w:rsidRPr="008F776F" w14:paraId="20E6BE98" w14:textId="77777777" w:rsidTr="00DB6666">
        <w:trPr>
          <w:trHeight w:val="240"/>
          <w:jc w:val="center"/>
        </w:trPr>
        <w:tc>
          <w:tcPr>
            <w:tcW w:w="6804" w:type="dxa"/>
            <w:gridSpan w:val="2"/>
            <w:vMerge/>
            <w:tcBorders>
              <w:top w:val="nil"/>
              <w:left w:val="nil"/>
              <w:bottom w:val="nil"/>
              <w:right w:val="nil"/>
            </w:tcBorders>
            <w:vAlign w:val="center"/>
            <w:hideMark/>
          </w:tcPr>
          <w:p w14:paraId="59D8E6DF" w14:textId="77777777" w:rsidR="008F776F" w:rsidRPr="008F776F" w:rsidRDefault="008F776F" w:rsidP="00DB6666">
            <w:pPr>
              <w:jc w:val="left"/>
              <w:rPr>
                <w:rFonts w:asciiTheme="minorHAnsi" w:hAnsiTheme="minorHAnsi" w:cstheme="minorHAnsi"/>
                <w:b/>
                <w:bCs/>
                <w:sz w:val="16"/>
                <w:szCs w:val="16"/>
                <w:lang w:val="es-ES_tradnl"/>
              </w:rPr>
            </w:pPr>
          </w:p>
        </w:tc>
        <w:tc>
          <w:tcPr>
            <w:tcW w:w="1643" w:type="dxa"/>
            <w:vMerge/>
            <w:tcBorders>
              <w:top w:val="nil"/>
              <w:left w:val="nil"/>
              <w:bottom w:val="nil"/>
              <w:right w:val="nil"/>
            </w:tcBorders>
            <w:vAlign w:val="center"/>
            <w:hideMark/>
          </w:tcPr>
          <w:p w14:paraId="711DD7A5" w14:textId="77777777" w:rsidR="008F776F" w:rsidRPr="008F776F" w:rsidRDefault="008F776F" w:rsidP="00DB6666">
            <w:pPr>
              <w:jc w:val="left"/>
              <w:rPr>
                <w:rFonts w:asciiTheme="minorHAnsi" w:hAnsiTheme="minorHAnsi" w:cstheme="minorHAnsi"/>
                <w:b/>
                <w:bCs/>
                <w:sz w:val="16"/>
                <w:szCs w:val="16"/>
                <w:lang w:val="es-ES_tradnl"/>
              </w:rPr>
            </w:pPr>
          </w:p>
        </w:tc>
      </w:tr>
      <w:tr w:rsidR="008F776F" w:rsidRPr="008F776F" w14:paraId="3685D413" w14:textId="77777777" w:rsidTr="00DB6666">
        <w:trPr>
          <w:trHeight w:val="61"/>
          <w:jc w:val="center"/>
        </w:trPr>
        <w:tc>
          <w:tcPr>
            <w:tcW w:w="6804" w:type="dxa"/>
            <w:gridSpan w:val="2"/>
            <w:tcBorders>
              <w:top w:val="nil"/>
              <w:left w:val="nil"/>
              <w:bottom w:val="nil"/>
              <w:right w:val="nil"/>
            </w:tcBorders>
            <w:shd w:val="clear" w:color="auto" w:fill="auto"/>
            <w:vAlign w:val="bottom"/>
            <w:hideMark/>
          </w:tcPr>
          <w:p w14:paraId="4F2A8531" w14:textId="77777777" w:rsidR="008F776F" w:rsidRPr="008F776F" w:rsidRDefault="008F776F" w:rsidP="00DB6666">
            <w:pPr>
              <w:jc w:val="center"/>
              <w:rPr>
                <w:rFonts w:asciiTheme="minorHAnsi" w:hAnsiTheme="minorHAnsi" w:cstheme="minorHAnsi"/>
                <w:b/>
                <w:bCs/>
                <w:sz w:val="8"/>
                <w:szCs w:val="16"/>
                <w:lang w:val="es-ES_tradnl"/>
              </w:rPr>
            </w:pPr>
          </w:p>
        </w:tc>
        <w:tc>
          <w:tcPr>
            <w:tcW w:w="1643" w:type="dxa"/>
            <w:tcBorders>
              <w:top w:val="nil"/>
              <w:left w:val="nil"/>
              <w:bottom w:val="nil"/>
              <w:right w:val="nil"/>
            </w:tcBorders>
            <w:shd w:val="clear" w:color="auto" w:fill="auto"/>
            <w:vAlign w:val="bottom"/>
            <w:hideMark/>
          </w:tcPr>
          <w:p w14:paraId="2D447694" w14:textId="77777777" w:rsidR="008F776F" w:rsidRPr="008F776F" w:rsidRDefault="008F776F" w:rsidP="00DB6666">
            <w:pPr>
              <w:jc w:val="left"/>
              <w:rPr>
                <w:rFonts w:asciiTheme="minorHAnsi" w:hAnsiTheme="minorHAnsi" w:cstheme="minorHAnsi"/>
                <w:sz w:val="16"/>
                <w:szCs w:val="16"/>
                <w:lang w:val="es-ES_tradnl"/>
              </w:rPr>
            </w:pPr>
          </w:p>
        </w:tc>
      </w:tr>
      <w:tr w:rsidR="008F776F" w:rsidRPr="008F776F" w14:paraId="7CE142E4" w14:textId="77777777" w:rsidTr="00DB6666">
        <w:trPr>
          <w:trHeight w:val="264"/>
          <w:jc w:val="center"/>
        </w:trPr>
        <w:tc>
          <w:tcPr>
            <w:tcW w:w="1307" w:type="dxa"/>
            <w:tcBorders>
              <w:top w:val="nil"/>
              <w:left w:val="nil"/>
              <w:bottom w:val="nil"/>
              <w:right w:val="nil"/>
            </w:tcBorders>
            <w:shd w:val="clear" w:color="auto" w:fill="auto"/>
            <w:hideMark/>
          </w:tcPr>
          <w:p w14:paraId="47259B3E" w14:textId="77777777" w:rsidR="008F776F" w:rsidRPr="008F776F" w:rsidRDefault="008F776F" w:rsidP="00DB6666">
            <w:pPr>
              <w:jc w:val="center"/>
              <w:rPr>
                <w:rFonts w:asciiTheme="minorHAnsi" w:hAnsiTheme="minorHAnsi" w:cstheme="minorHAnsi"/>
                <w:sz w:val="16"/>
                <w:szCs w:val="16"/>
                <w:lang w:val="es-ES_tradnl"/>
              </w:rPr>
            </w:pPr>
            <w:r w:rsidRPr="008F776F">
              <w:rPr>
                <w:rFonts w:asciiTheme="minorHAnsi" w:hAnsiTheme="minorHAnsi" w:cstheme="minorHAnsi"/>
                <w:sz w:val="16"/>
                <w:lang w:val="es-ES_tradnl"/>
              </w:rPr>
              <w:t>1.1</w:t>
            </w:r>
          </w:p>
        </w:tc>
        <w:tc>
          <w:tcPr>
            <w:tcW w:w="5497" w:type="dxa"/>
            <w:tcBorders>
              <w:top w:val="nil"/>
              <w:left w:val="nil"/>
              <w:bottom w:val="nil"/>
              <w:right w:val="nil"/>
            </w:tcBorders>
            <w:shd w:val="clear" w:color="auto" w:fill="auto"/>
            <w:hideMark/>
          </w:tcPr>
          <w:p w14:paraId="08C17829" w14:textId="77777777" w:rsidR="008F776F" w:rsidRPr="008F776F" w:rsidRDefault="008F776F" w:rsidP="00DB6666">
            <w:pPr>
              <w:jc w:val="left"/>
              <w:rPr>
                <w:rFonts w:asciiTheme="minorHAnsi" w:hAnsiTheme="minorHAnsi" w:cstheme="minorHAnsi"/>
                <w:sz w:val="16"/>
                <w:szCs w:val="16"/>
                <w:lang w:val="es-ES_tradnl"/>
              </w:rPr>
            </w:pPr>
            <w:r w:rsidRPr="008F776F">
              <w:rPr>
                <w:rFonts w:asciiTheme="minorHAnsi" w:hAnsiTheme="minorHAnsi" w:cstheme="minorHAnsi"/>
                <w:sz w:val="16"/>
                <w:lang w:val="es-ES_tradnl"/>
              </w:rPr>
              <w:t>Gobernanza del Consejo de la UPOV y labor de los comités y otros órganos de la UPOV</w:t>
            </w:r>
          </w:p>
        </w:tc>
        <w:tc>
          <w:tcPr>
            <w:tcW w:w="1643" w:type="dxa"/>
            <w:tcBorders>
              <w:top w:val="nil"/>
              <w:left w:val="nil"/>
              <w:bottom w:val="nil"/>
              <w:right w:val="nil"/>
            </w:tcBorders>
            <w:shd w:val="clear" w:color="auto" w:fill="auto"/>
            <w:hideMark/>
          </w:tcPr>
          <w:p w14:paraId="012B802F" w14:textId="77777777" w:rsidR="008F776F" w:rsidRPr="008F776F" w:rsidRDefault="008F776F" w:rsidP="00DB6666">
            <w:pPr>
              <w:ind w:right="302"/>
              <w:jc w:val="right"/>
              <w:rPr>
                <w:rFonts w:cs="Arial"/>
                <w:sz w:val="16"/>
                <w:szCs w:val="16"/>
                <w:lang w:val="es-ES_tradnl"/>
              </w:rPr>
            </w:pPr>
            <w:r w:rsidRPr="008F776F">
              <w:rPr>
                <w:rFonts w:cs="Arial"/>
                <w:sz w:val="16"/>
                <w:szCs w:val="16"/>
                <w:lang w:val="es-ES_tradnl"/>
              </w:rPr>
              <w:t>1.326</w:t>
            </w:r>
          </w:p>
        </w:tc>
      </w:tr>
      <w:tr w:rsidR="008F776F" w:rsidRPr="008F776F" w14:paraId="5B4F9960" w14:textId="77777777" w:rsidTr="00DB6666">
        <w:trPr>
          <w:trHeight w:val="444"/>
          <w:jc w:val="center"/>
        </w:trPr>
        <w:tc>
          <w:tcPr>
            <w:tcW w:w="1307" w:type="dxa"/>
            <w:tcBorders>
              <w:top w:val="nil"/>
              <w:left w:val="nil"/>
              <w:bottom w:val="nil"/>
              <w:right w:val="nil"/>
            </w:tcBorders>
            <w:shd w:val="clear" w:color="auto" w:fill="auto"/>
            <w:hideMark/>
          </w:tcPr>
          <w:p w14:paraId="68D03165" w14:textId="77777777" w:rsidR="008F776F" w:rsidRPr="008F776F" w:rsidRDefault="008F776F" w:rsidP="00DB6666">
            <w:pPr>
              <w:jc w:val="center"/>
              <w:rPr>
                <w:rFonts w:asciiTheme="minorHAnsi" w:hAnsiTheme="minorHAnsi" w:cstheme="minorHAnsi"/>
                <w:sz w:val="16"/>
                <w:szCs w:val="16"/>
                <w:lang w:val="es-ES_tradnl"/>
              </w:rPr>
            </w:pPr>
            <w:r w:rsidRPr="008F776F">
              <w:rPr>
                <w:rFonts w:asciiTheme="minorHAnsi" w:hAnsiTheme="minorHAnsi" w:cstheme="minorHAnsi"/>
                <w:sz w:val="16"/>
                <w:lang w:val="es-ES_tradnl"/>
              </w:rPr>
              <w:t>1.2</w:t>
            </w:r>
          </w:p>
        </w:tc>
        <w:tc>
          <w:tcPr>
            <w:tcW w:w="5497" w:type="dxa"/>
            <w:tcBorders>
              <w:top w:val="nil"/>
              <w:left w:val="nil"/>
              <w:bottom w:val="nil"/>
              <w:right w:val="nil"/>
            </w:tcBorders>
            <w:shd w:val="clear" w:color="auto" w:fill="auto"/>
            <w:hideMark/>
          </w:tcPr>
          <w:p w14:paraId="1603CBC8" w14:textId="77777777" w:rsidR="008F776F" w:rsidRPr="008F776F" w:rsidRDefault="008F776F" w:rsidP="00DB6666">
            <w:pPr>
              <w:jc w:val="left"/>
              <w:rPr>
                <w:rFonts w:asciiTheme="minorHAnsi" w:hAnsiTheme="minorHAnsi" w:cstheme="minorHAnsi"/>
                <w:sz w:val="16"/>
                <w:szCs w:val="16"/>
                <w:lang w:val="es-ES_tradnl"/>
              </w:rPr>
            </w:pPr>
            <w:r w:rsidRPr="008F776F">
              <w:rPr>
                <w:rFonts w:asciiTheme="minorHAnsi" w:hAnsiTheme="minorHAnsi" w:cstheme="minorHAnsi"/>
                <w:sz w:val="16"/>
                <w:lang w:val="es-ES_tradnl"/>
              </w:rPr>
              <w:t>Elaboración de legislación sobre la protección de las obtenciones vegetales de conformidad con el Acta de 1991 del Convenio de la UPOV</w:t>
            </w:r>
          </w:p>
        </w:tc>
        <w:tc>
          <w:tcPr>
            <w:tcW w:w="1643" w:type="dxa"/>
            <w:tcBorders>
              <w:top w:val="nil"/>
              <w:left w:val="nil"/>
              <w:bottom w:val="nil"/>
              <w:right w:val="nil"/>
            </w:tcBorders>
            <w:shd w:val="clear" w:color="auto" w:fill="auto"/>
            <w:hideMark/>
          </w:tcPr>
          <w:p w14:paraId="2AAD7433" w14:textId="77777777" w:rsidR="008F776F" w:rsidRPr="008F776F" w:rsidRDefault="008F776F" w:rsidP="00DB6666">
            <w:pPr>
              <w:ind w:right="302"/>
              <w:jc w:val="right"/>
              <w:rPr>
                <w:rFonts w:cs="Arial"/>
                <w:sz w:val="16"/>
                <w:szCs w:val="16"/>
                <w:lang w:val="es-ES_tradnl"/>
              </w:rPr>
            </w:pPr>
            <w:r w:rsidRPr="008F776F">
              <w:rPr>
                <w:rFonts w:cs="Arial"/>
                <w:sz w:val="16"/>
                <w:szCs w:val="16"/>
                <w:lang w:val="es-ES_tradnl"/>
              </w:rPr>
              <w:t>309</w:t>
            </w:r>
          </w:p>
        </w:tc>
      </w:tr>
      <w:tr w:rsidR="008F776F" w:rsidRPr="008F776F" w14:paraId="6606BB29" w14:textId="77777777" w:rsidTr="00DB6666">
        <w:trPr>
          <w:trHeight w:val="282"/>
          <w:jc w:val="center"/>
        </w:trPr>
        <w:tc>
          <w:tcPr>
            <w:tcW w:w="1307" w:type="dxa"/>
            <w:tcBorders>
              <w:top w:val="nil"/>
              <w:left w:val="nil"/>
              <w:bottom w:val="nil"/>
              <w:right w:val="nil"/>
            </w:tcBorders>
            <w:shd w:val="clear" w:color="auto" w:fill="auto"/>
            <w:hideMark/>
          </w:tcPr>
          <w:p w14:paraId="17BBD158" w14:textId="77777777" w:rsidR="008F776F" w:rsidRPr="008F776F" w:rsidRDefault="008F776F" w:rsidP="00DB6666">
            <w:pPr>
              <w:jc w:val="center"/>
              <w:rPr>
                <w:rFonts w:asciiTheme="minorHAnsi" w:hAnsiTheme="minorHAnsi" w:cstheme="minorHAnsi"/>
                <w:sz w:val="16"/>
                <w:szCs w:val="16"/>
                <w:lang w:val="es-ES_tradnl"/>
              </w:rPr>
            </w:pPr>
            <w:r w:rsidRPr="008F776F">
              <w:rPr>
                <w:rFonts w:asciiTheme="minorHAnsi" w:hAnsiTheme="minorHAnsi" w:cstheme="minorHAnsi"/>
                <w:sz w:val="16"/>
                <w:lang w:val="es-ES_tradnl"/>
              </w:rPr>
              <w:t>2.1</w:t>
            </w:r>
          </w:p>
        </w:tc>
        <w:tc>
          <w:tcPr>
            <w:tcW w:w="5497" w:type="dxa"/>
            <w:tcBorders>
              <w:top w:val="nil"/>
              <w:left w:val="nil"/>
              <w:bottom w:val="nil"/>
              <w:right w:val="nil"/>
            </w:tcBorders>
            <w:shd w:val="clear" w:color="auto" w:fill="auto"/>
            <w:hideMark/>
          </w:tcPr>
          <w:p w14:paraId="1B5ACBCD" w14:textId="77777777" w:rsidR="008F776F" w:rsidRPr="008F776F" w:rsidRDefault="008F776F" w:rsidP="00DB6666">
            <w:pPr>
              <w:jc w:val="left"/>
              <w:rPr>
                <w:rFonts w:asciiTheme="minorHAnsi" w:hAnsiTheme="minorHAnsi" w:cstheme="minorHAnsi"/>
                <w:sz w:val="16"/>
                <w:szCs w:val="16"/>
                <w:lang w:val="es-ES_tradnl"/>
              </w:rPr>
            </w:pPr>
            <w:r w:rsidRPr="008F776F">
              <w:rPr>
                <w:rFonts w:asciiTheme="minorHAnsi" w:hAnsiTheme="minorHAnsi" w:cstheme="minorHAnsi"/>
                <w:sz w:val="16"/>
                <w:lang w:val="es-ES_tradnl"/>
              </w:rPr>
              <w:t>Sensibilización sobre la función que cumple el sistema de la UPOV</w:t>
            </w:r>
          </w:p>
        </w:tc>
        <w:tc>
          <w:tcPr>
            <w:tcW w:w="1643" w:type="dxa"/>
            <w:tcBorders>
              <w:top w:val="nil"/>
              <w:left w:val="nil"/>
              <w:bottom w:val="nil"/>
              <w:right w:val="nil"/>
            </w:tcBorders>
            <w:shd w:val="clear" w:color="auto" w:fill="auto"/>
            <w:hideMark/>
          </w:tcPr>
          <w:p w14:paraId="05493F1C" w14:textId="77777777" w:rsidR="008F776F" w:rsidRPr="008F776F" w:rsidRDefault="008F776F" w:rsidP="00DB6666">
            <w:pPr>
              <w:ind w:right="302"/>
              <w:jc w:val="right"/>
              <w:rPr>
                <w:rFonts w:cs="Arial"/>
                <w:sz w:val="16"/>
                <w:szCs w:val="16"/>
                <w:lang w:val="es-ES_tradnl"/>
              </w:rPr>
            </w:pPr>
            <w:r w:rsidRPr="008F776F">
              <w:rPr>
                <w:rFonts w:cs="Arial"/>
                <w:sz w:val="16"/>
                <w:szCs w:val="16"/>
                <w:lang w:val="es-ES_tradnl"/>
              </w:rPr>
              <w:t>344</w:t>
            </w:r>
          </w:p>
        </w:tc>
      </w:tr>
      <w:tr w:rsidR="008F776F" w:rsidRPr="008F776F" w14:paraId="754179CD" w14:textId="77777777" w:rsidTr="00DB6666">
        <w:trPr>
          <w:trHeight w:val="264"/>
          <w:jc w:val="center"/>
        </w:trPr>
        <w:tc>
          <w:tcPr>
            <w:tcW w:w="1307" w:type="dxa"/>
            <w:tcBorders>
              <w:top w:val="nil"/>
              <w:left w:val="nil"/>
              <w:bottom w:val="nil"/>
              <w:right w:val="nil"/>
            </w:tcBorders>
            <w:shd w:val="clear" w:color="auto" w:fill="auto"/>
            <w:hideMark/>
          </w:tcPr>
          <w:p w14:paraId="2B46F142" w14:textId="77777777" w:rsidR="008F776F" w:rsidRPr="008F776F" w:rsidRDefault="008F776F" w:rsidP="00DB6666">
            <w:pPr>
              <w:jc w:val="center"/>
              <w:rPr>
                <w:rFonts w:asciiTheme="minorHAnsi" w:hAnsiTheme="minorHAnsi" w:cstheme="minorHAnsi"/>
                <w:sz w:val="16"/>
                <w:szCs w:val="16"/>
                <w:lang w:val="es-ES_tradnl"/>
              </w:rPr>
            </w:pPr>
            <w:r w:rsidRPr="008F776F">
              <w:rPr>
                <w:rFonts w:asciiTheme="minorHAnsi" w:hAnsiTheme="minorHAnsi" w:cstheme="minorHAnsi"/>
                <w:sz w:val="16"/>
                <w:lang w:val="es-ES_tradnl"/>
              </w:rPr>
              <w:t>2.2</w:t>
            </w:r>
          </w:p>
        </w:tc>
        <w:tc>
          <w:tcPr>
            <w:tcW w:w="5497" w:type="dxa"/>
            <w:tcBorders>
              <w:top w:val="nil"/>
              <w:left w:val="nil"/>
              <w:bottom w:val="nil"/>
              <w:right w:val="nil"/>
            </w:tcBorders>
            <w:shd w:val="clear" w:color="auto" w:fill="auto"/>
            <w:hideMark/>
          </w:tcPr>
          <w:p w14:paraId="5BA230E4" w14:textId="77777777" w:rsidR="008F776F" w:rsidRPr="008F776F" w:rsidRDefault="008F776F" w:rsidP="00DB6666">
            <w:pPr>
              <w:jc w:val="left"/>
              <w:rPr>
                <w:rFonts w:asciiTheme="minorHAnsi" w:hAnsiTheme="minorHAnsi" w:cstheme="minorHAnsi"/>
                <w:sz w:val="16"/>
                <w:szCs w:val="16"/>
                <w:lang w:val="es-ES_tradnl"/>
              </w:rPr>
            </w:pPr>
            <w:r w:rsidRPr="008F776F">
              <w:rPr>
                <w:rFonts w:asciiTheme="minorHAnsi" w:hAnsiTheme="minorHAnsi" w:cstheme="minorHAnsi"/>
                <w:sz w:val="16"/>
                <w:lang w:val="es-ES_tradnl"/>
              </w:rPr>
              <w:t>Orientación y asistencia sobre el Convenio de la UPOV y su aplicación</w:t>
            </w:r>
          </w:p>
        </w:tc>
        <w:tc>
          <w:tcPr>
            <w:tcW w:w="1643" w:type="dxa"/>
            <w:tcBorders>
              <w:top w:val="nil"/>
              <w:left w:val="nil"/>
              <w:bottom w:val="nil"/>
              <w:right w:val="nil"/>
            </w:tcBorders>
            <w:shd w:val="clear" w:color="auto" w:fill="auto"/>
            <w:hideMark/>
          </w:tcPr>
          <w:p w14:paraId="783A7257" w14:textId="77777777" w:rsidR="008F776F" w:rsidRPr="008F776F" w:rsidRDefault="008F776F" w:rsidP="00DB6666">
            <w:pPr>
              <w:ind w:right="302"/>
              <w:jc w:val="right"/>
              <w:rPr>
                <w:rFonts w:cs="Arial"/>
                <w:sz w:val="16"/>
                <w:szCs w:val="16"/>
                <w:lang w:val="es-ES_tradnl"/>
              </w:rPr>
            </w:pPr>
            <w:r w:rsidRPr="008F776F">
              <w:rPr>
                <w:rFonts w:cs="Arial"/>
                <w:sz w:val="16"/>
                <w:szCs w:val="16"/>
                <w:lang w:val="es-ES_tradnl"/>
              </w:rPr>
              <w:t>2.856</w:t>
            </w:r>
          </w:p>
        </w:tc>
      </w:tr>
      <w:tr w:rsidR="008F776F" w:rsidRPr="008F776F" w14:paraId="7D950B2D" w14:textId="77777777" w:rsidTr="00DB6666">
        <w:trPr>
          <w:trHeight w:val="273"/>
          <w:jc w:val="center"/>
        </w:trPr>
        <w:tc>
          <w:tcPr>
            <w:tcW w:w="1307" w:type="dxa"/>
            <w:tcBorders>
              <w:top w:val="nil"/>
              <w:left w:val="nil"/>
              <w:bottom w:val="nil"/>
              <w:right w:val="nil"/>
            </w:tcBorders>
            <w:shd w:val="clear" w:color="auto" w:fill="auto"/>
            <w:hideMark/>
          </w:tcPr>
          <w:p w14:paraId="6BEA9399" w14:textId="77777777" w:rsidR="008F776F" w:rsidRPr="008F776F" w:rsidRDefault="008F776F" w:rsidP="00DB6666">
            <w:pPr>
              <w:jc w:val="center"/>
              <w:rPr>
                <w:rFonts w:asciiTheme="minorHAnsi" w:hAnsiTheme="minorHAnsi" w:cstheme="minorHAnsi"/>
                <w:sz w:val="16"/>
                <w:szCs w:val="16"/>
                <w:lang w:val="es-ES_tradnl"/>
              </w:rPr>
            </w:pPr>
            <w:r w:rsidRPr="008F776F">
              <w:rPr>
                <w:rFonts w:asciiTheme="minorHAnsi" w:hAnsiTheme="minorHAnsi" w:cstheme="minorHAnsi"/>
                <w:sz w:val="16"/>
                <w:lang w:val="es-ES_tradnl"/>
              </w:rPr>
              <w:t>2.3</w:t>
            </w:r>
          </w:p>
        </w:tc>
        <w:tc>
          <w:tcPr>
            <w:tcW w:w="5497" w:type="dxa"/>
            <w:tcBorders>
              <w:top w:val="nil"/>
              <w:left w:val="nil"/>
              <w:bottom w:val="nil"/>
              <w:right w:val="nil"/>
            </w:tcBorders>
            <w:shd w:val="clear" w:color="auto" w:fill="auto"/>
            <w:hideMark/>
          </w:tcPr>
          <w:p w14:paraId="212D449A" w14:textId="77777777" w:rsidR="008F776F" w:rsidRPr="008F776F" w:rsidRDefault="008F776F" w:rsidP="00DB6666">
            <w:pPr>
              <w:jc w:val="left"/>
              <w:rPr>
                <w:rFonts w:asciiTheme="minorHAnsi" w:hAnsiTheme="minorHAnsi" w:cstheme="minorHAnsi"/>
                <w:sz w:val="16"/>
                <w:szCs w:val="16"/>
                <w:lang w:val="es-ES_tradnl"/>
              </w:rPr>
            </w:pPr>
            <w:r w:rsidRPr="008F776F">
              <w:rPr>
                <w:rFonts w:asciiTheme="minorHAnsi" w:hAnsiTheme="minorHAnsi" w:cstheme="minorHAnsi"/>
                <w:sz w:val="16"/>
                <w:lang w:val="es-ES_tradnl"/>
              </w:rPr>
              <w:t>Mayor armonización y cooperación en los exámenes</w:t>
            </w:r>
          </w:p>
        </w:tc>
        <w:tc>
          <w:tcPr>
            <w:tcW w:w="1643" w:type="dxa"/>
            <w:tcBorders>
              <w:top w:val="nil"/>
              <w:left w:val="nil"/>
              <w:bottom w:val="nil"/>
              <w:right w:val="nil"/>
            </w:tcBorders>
            <w:shd w:val="clear" w:color="auto" w:fill="auto"/>
            <w:hideMark/>
          </w:tcPr>
          <w:p w14:paraId="60AD90B3" w14:textId="77777777" w:rsidR="008F776F" w:rsidRPr="008F776F" w:rsidRDefault="008F776F" w:rsidP="00DB6666">
            <w:pPr>
              <w:ind w:right="302"/>
              <w:jc w:val="right"/>
              <w:rPr>
                <w:rFonts w:cs="Arial"/>
                <w:sz w:val="16"/>
                <w:szCs w:val="16"/>
                <w:lang w:val="es-ES_tradnl"/>
              </w:rPr>
            </w:pPr>
            <w:r w:rsidRPr="008F776F">
              <w:rPr>
                <w:rFonts w:cs="Arial"/>
                <w:sz w:val="16"/>
                <w:szCs w:val="16"/>
                <w:lang w:val="es-ES_tradnl"/>
              </w:rPr>
              <w:t>700</w:t>
            </w:r>
          </w:p>
        </w:tc>
      </w:tr>
      <w:tr w:rsidR="008F776F" w:rsidRPr="008F776F" w14:paraId="53BB2B4F" w14:textId="77777777" w:rsidTr="00DB6666">
        <w:trPr>
          <w:trHeight w:val="273"/>
          <w:jc w:val="center"/>
        </w:trPr>
        <w:tc>
          <w:tcPr>
            <w:tcW w:w="1307" w:type="dxa"/>
            <w:tcBorders>
              <w:top w:val="nil"/>
              <w:left w:val="nil"/>
              <w:bottom w:val="nil"/>
              <w:right w:val="nil"/>
            </w:tcBorders>
            <w:shd w:val="clear" w:color="auto" w:fill="auto"/>
            <w:hideMark/>
          </w:tcPr>
          <w:p w14:paraId="59DAA99E" w14:textId="77777777" w:rsidR="008F776F" w:rsidRPr="008F776F" w:rsidRDefault="008F776F" w:rsidP="00DB6666">
            <w:pPr>
              <w:jc w:val="center"/>
              <w:rPr>
                <w:rFonts w:asciiTheme="minorHAnsi" w:hAnsiTheme="minorHAnsi" w:cstheme="minorHAnsi"/>
                <w:sz w:val="16"/>
                <w:szCs w:val="16"/>
                <w:lang w:val="es-ES_tradnl"/>
              </w:rPr>
            </w:pPr>
            <w:r w:rsidRPr="008F776F">
              <w:rPr>
                <w:rFonts w:asciiTheme="minorHAnsi" w:hAnsiTheme="minorHAnsi" w:cstheme="minorHAnsi"/>
                <w:sz w:val="16"/>
                <w:lang w:val="es-ES_tradnl"/>
              </w:rPr>
              <w:t>3.1</w:t>
            </w:r>
          </w:p>
        </w:tc>
        <w:tc>
          <w:tcPr>
            <w:tcW w:w="5497" w:type="dxa"/>
            <w:tcBorders>
              <w:top w:val="nil"/>
              <w:left w:val="nil"/>
              <w:bottom w:val="nil"/>
              <w:right w:val="nil"/>
            </w:tcBorders>
            <w:shd w:val="clear" w:color="auto" w:fill="auto"/>
            <w:hideMark/>
          </w:tcPr>
          <w:p w14:paraId="34A9FE5F" w14:textId="77777777" w:rsidR="008F776F" w:rsidRPr="008F776F" w:rsidRDefault="008F776F" w:rsidP="00DB6666">
            <w:pPr>
              <w:jc w:val="left"/>
              <w:rPr>
                <w:rFonts w:asciiTheme="minorHAnsi" w:hAnsiTheme="minorHAnsi" w:cstheme="minorHAnsi"/>
                <w:sz w:val="16"/>
                <w:szCs w:val="16"/>
                <w:lang w:val="es-ES_tradnl"/>
              </w:rPr>
            </w:pPr>
            <w:r w:rsidRPr="008F776F">
              <w:rPr>
                <w:rFonts w:asciiTheme="minorHAnsi" w:hAnsiTheme="minorHAnsi" w:cstheme="minorHAnsi"/>
                <w:sz w:val="16"/>
                <w:lang w:val="es-ES_tradnl"/>
              </w:rPr>
              <w:t>Desarrollo de los servicios UPOV e</w:t>
            </w:r>
            <w:r w:rsidRPr="008F776F">
              <w:rPr>
                <w:rFonts w:ascii="Cambria Math" w:hAnsi="Cambria Math" w:cs="Cambria Math"/>
                <w:sz w:val="16"/>
                <w:lang w:val="es-ES_tradnl"/>
              </w:rPr>
              <w:t>‐</w:t>
            </w:r>
            <w:r w:rsidRPr="008F776F">
              <w:rPr>
                <w:rFonts w:asciiTheme="minorHAnsi" w:hAnsiTheme="minorHAnsi" w:cstheme="minorHAnsi"/>
                <w:sz w:val="16"/>
                <w:lang w:val="es-ES_tradnl"/>
              </w:rPr>
              <w:t>PVP</w:t>
            </w:r>
          </w:p>
        </w:tc>
        <w:tc>
          <w:tcPr>
            <w:tcW w:w="1643" w:type="dxa"/>
            <w:tcBorders>
              <w:top w:val="nil"/>
              <w:left w:val="nil"/>
              <w:bottom w:val="nil"/>
              <w:right w:val="nil"/>
            </w:tcBorders>
            <w:shd w:val="clear" w:color="auto" w:fill="auto"/>
            <w:hideMark/>
          </w:tcPr>
          <w:p w14:paraId="78905288" w14:textId="77777777" w:rsidR="008F776F" w:rsidRPr="008F776F" w:rsidRDefault="008F776F" w:rsidP="00DB6666">
            <w:pPr>
              <w:ind w:right="302"/>
              <w:jc w:val="right"/>
              <w:rPr>
                <w:rFonts w:cs="Arial"/>
                <w:sz w:val="16"/>
                <w:szCs w:val="16"/>
                <w:lang w:val="es-ES_tradnl"/>
              </w:rPr>
            </w:pPr>
            <w:r w:rsidRPr="008F776F">
              <w:rPr>
                <w:rFonts w:cs="Arial"/>
                <w:sz w:val="16"/>
                <w:szCs w:val="16"/>
                <w:lang w:val="es-ES_tradnl"/>
              </w:rPr>
              <w:t>873</w:t>
            </w:r>
          </w:p>
        </w:tc>
      </w:tr>
      <w:tr w:rsidR="008F776F" w:rsidRPr="008F776F" w14:paraId="14F79FC9" w14:textId="77777777" w:rsidTr="00DB6666">
        <w:trPr>
          <w:trHeight w:val="264"/>
          <w:jc w:val="center"/>
        </w:trPr>
        <w:tc>
          <w:tcPr>
            <w:tcW w:w="1307" w:type="dxa"/>
            <w:tcBorders>
              <w:top w:val="nil"/>
              <w:left w:val="nil"/>
              <w:bottom w:val="nil"/>
              <w:right w:val="nil"/>
            </w:tcBorders>
            <w:shd w:val="clear" w:color="auto" w:fill="auto"/>
            <w:hideMark/>
          </w:tcPr>
          <w:p w14:paraId="4E7951EF" w14:textId="77777777" w:rsidR="008F776F" w:rsidRPr="008F776F" w:rsidRDefault="008F776F" w:rsidP="00DB6666">
            <w:pPr>
              <w:jc w:val="center"/>
              <w:rPr>
                <w:rFonts w:asciiTheme="minorHAnsi" w:hAnsiTheme="minorHAnsi" w:cstheme="minorHAnsi"/>
                <w:sz w:val="16"/>
                <w:szCs w:val="16"/>
                <w:lang w:val="es-ES_tradnl"/>
              </w:rPr>
            </w:pPr>
            <w:r w:rsidRPr="008F776F">
              <w:rPr>
                <w:rFonts w:asciiTheme="minorHAnsi" w:hAnsiTheme="minorHAnsi" w:cstheme="minorHAnsi"/>
                <w:sz w:val="16"/>
                <w:lang w:val="es-ES_tradnl"/>
              </w:rPr>
              <w:t>4.1</w:t>
            </w:r>
          </w:p>
        </w:tc>
        <w:tc>
          <w:tcPr>
            <w:tcW w:w="5497" w:type="dxa"/>
            <w:tcBorders>
              <w:top w:val="nil"/>
              <w:left w:val="nil"/>
              <w:bottom w:val="nil"/>
              <w:right w:val="nil"/>
            </w:tcBorders>
            <w:shd w:val="clear" w:color="auto" w:fill="auto"/>
            <w:hideMark/>
          </w:tcPr>
          <w:p w14:paraId="1F492EAB" w14:textId="77777777" w:rsidR="008F776F" w:rsidRPr="008F776F" w:rsidRDefault="008F776F" w:rsidP="00DB6666">
            <w:pPr>
              <w:jc w:val="left"/>
              <w:rPr>
                <w:rFonts w:asciiTheme="minorHAnsi" w:hAnsiTheme="minorHAnsi" w:cstheme="minorHAnsi"/>
                <w:sz w:val="16"/>
                <w:szCs w:val="16"/>
                <w:lang w:val="es-ES_tradnl"/>
              </w:rPr>
            </w:pPr>
            <w:r w:rsidRPr="008F776F">
              <w:rPr>
                <w:rFonts w:asciiTheme="minorHAnsi" w:hAnsiTheme="minorHAnsi" w:cstheme="minorHAnsi"/>
                <w:sz w:val="16"/>
                <w:lang w:val="es-ES_tradnl"/>
              </w:rPr>
              <w:t>Diversificación de ingresos</w:t>
            </w:r>
          </w:p>
        </w:tc>
        <w:tc>
          <w:tcPr>
            <w:tcW w:w="1643" w:type="dxa"/>
            <w:tcBorders>
              <w:top w:val="nil"/>
              <w:left w:val="nil"/>
              <w:bottom w:val="nil"/>
              <w:right w:val="nil"/>
            </w:tcBorders>
            <w:shd w:val="clear" w:color="auto" w:fill="auto"/>
            <w:hideMark/>
          </w:tcPr>
          <w:p w14:paraId="55901EBA" w14:textId="77777777" w:rsidR="008F776F" w:rsidRPr="008F776F" w:rsidRDefault="008F776F" w:rsidP="00DB6666">
            <w:pPr>
              <w:ind w:right="302"/>
              <w:jc w:val="right"/>
              <w:rPr>
                <w:rFonts w:cs="Arial"/>
                <w:sz w:val="16"/>
                <w:szCs w:val="16"/>
                <w:lang w:val="es-ES_tradnl"/>
              </w:rPr>
            </w:pPr>
            <w:r w:rsidRPr="008F776F">
              <w:rPr>
                <w:rFonts w:cs="Arial"/>
                <w:sz w:val="16"/>
                <w:szCs w:val="16"/>
                <w:lang w:val="es-ES_tradnl"/>
              </w:rPr>
              <w:t>241</w:t>
            </w:r>
          </w:p>
        </w:tc>
      </w:tr>
      <w:tr w:rsidR="008F776F" w:rsidRPr="008F776F" w14:paraId="7A6AA701" w14:textId="77777777" w:rsidTr="00DB6666">
        <w:trPr>
          <w:trHeight w:val="600"/>
          <w:jc w:val="center"/>
        </w:trPr>
        <w:tc>
          <w:tcPr>
            <w:tcW w:w="1307" w:type="dxa"/>
            <w:tcBorders>
              <w:top w:val="nil"/>
              <w:left w:val="nil"/>
              <w:bottom w:val="nil"/>
              <w:right w:val="nil"/>
            </w:tcBorders>
            <w:shd w:val="clear" w:color="auto" w:fill="auto"/>
            <w:hideMark/>
          </w:tcPr>
          <w:p w14:paraId="7AB9B02B" w14:textId="77777777" w:rsidR="008F776F" w:rsidRPr="008F776F" w:rsidRDefault="008F776F" w:rsidP="00DB6666">
            <w:pPr>
              <w:jc w:val="center"/>
              <w:rPr>
                <w:rFonts w:asciiTheme="minorHAnsi" w:hAnsiTheme="minorHAnsi" w:cstheme="minorHAnsi"/>
                <w:sz w:val="16"/>
                <w:szCs w:val="16"/>
                <w:lang w:val="es-ES_tradnl"/>
              </w:rPr>
            </w:pPr>
            <w:r w:rsidRPr="008F776F">
              <w:rPr>
                <w:rFonts w:asciiTheme="minorHAnsi" w:hAnsiTheme="minorHAnsi" w:cstheme="minorHAnsi"/>
                <w:sz w:val="16"/>
                <w:lang w:val="es-ES_tradnl"/>
              </w:rPr>
              <w:t>4.2</w:t>
            </w:r>
          </w:p>
        </w:tc>
        <w:tc>
          <w:tcPr>
            <w:tcW w:w="5497" w:type="dxa"/>
            <w:tcBorders>
              <w:top w:val="nil"/>
              <w:left w:val="nil"/>
              <w:bottom w:val="nil"/>
              <w:right w:val="nil"/>
            </w:tcBorders>
            <w:shd w:val="clear" w:color="auto" w:fill="auto"/>
            <w:hideMark/>
          </w:tcPr>
          <w:p w14:paraId="40A84CC5" w14:textId="77777777" w:rsidR="008F776F" w:rsidRPr="008F776F" w:rsidRDefault="008F776F" w:rsidP="00DB6666">
            <w:pPr>
              <w:jc w:val="left"/>
              <w:rPr>
                <w:rFonts w:asciiTheme="minorHAnsi" w:hAnsiTheme="minorHAnsi" w:cstheme="minorHAnsi"/>
                <w:sz w:val="16"/>
                <w:szCs w:val="16"/>
                <w:lang w:val="es-ES_tradnl"/>
              </w:rPr>
            </w:pPr>
            <w:r w:rsidRPr="008F776F">
              <w:rPr>
                <w:rFonts w:asciiTheme="minorHAnsi" w:hAnsiTheme="minorHAnsi" w:cstheme="minorHAnsi"/>
                <w:sz w:val="16"/>
                <w:lang w:val="es-ES_tradnl"/>
              </w:rPr>
              <w:t>Una Secretaría empoderada y dotada de la formación y los recursos necesarios para trabajar de forma eficaz, colaborativa e innovadora</w:t>
            </w:r>
          </w:p>
        </w:tc>
        <w:tc>
          <w:tcPr>
            <w:tcW w:w="1643" w:type="dxa"/>
            <w:tcBorders>
              <w:top w:val="nil"/>
              <w:left w:val="nil"/>
              <w:bottom w:val="nil"/>
              <w:right w:val="nil"/>
            </w:tcBorders>
            <w:shd w:val="clear" w:color="auto" w:fill="auto"/>
            <w:hideMark/>
          </w:tcPr>
          <w:p w14:paraId="1395F1D1" w14:textId="77777777" w:rsidR="008F776F" w:rsidRPr="008F776F" w:rsidRDefault="008F776F" w:rsidP="00DB6666">
            <w:pPr>
              <w:ind w:right="302"/>
              <w:jc w:val="right"/>
              <w:rPr>
                <w:rFonts w:cs="Arial"/>
                <w:sz w:val="16"/>
                <w:szCs w:val="16"/>
                <w:lang w:val="es-ES_tradnl"/>
              </w:rPr>
            </w:pPr>
            <w:r w:rsidRPr="008F776F">
              <w:rPr>
                <w:rFonts w:cs="Arial"/>
                <w:sz w:val="16"/>
                <w:szCs w:val="16"/>
                <w:lang w:val="es-ES_tradnl"/>
              </w:rPr>
              <w:t>1.252</w:t>
            </w:r>
          </w:p>
        </w:tc>
      </w:tr>
      <w:tr w:rsidR="008F776F" w:rsidRPr="008F776F" w14:paraId="27AB0A27" w14:textId="77777777" w:rsidTr="00DB6666">
        <w:trPr>
          <w:trHeight w:val="61"/>
          <w:jc w:val="center"/>
        </w:trPr>
        <w:tc>
          <w:tcPr>
            <w:tcW w:w="1307" w:type="dxa"/>
            <w:tcBorders>
              <w:top w:val="nil"/>
              <w:left w:val="nil"/>
              <w:bottom w:val="nil"/>
              <w:right w:val="nil"/>
            </w:tcBorders>
            <w:shd w:val="clear" w:color="auto" w:fill="auto"/>
            <w:vAlign w:val="bottom"/>
            <w:hideMark/>
          </w:tcPr>
          <w:p w14:paraId="6895C786" w14:textId="77777777" w:rsidR="008F776F" w:rsidRPr="008F776F" w:rsidRDefault="008F776F" w:rsidP="00DB6666">
            <w:pPr>
              <w:jc w:val="right"/>
              <w:rPr>
                <w:rFonts w:asciiTheme="minorHAnsi" w:hAnsiTheme="minorHAnsi" w:cstheme="minorHAnsi"/>
                <w:sz w:val="16"/>
                <w:szCs w:val="16"/>
                <w:lang w:val="es-ES_tradnl"/>
              </w:rPr>
            </w:pPr>
          </w:p>
        </w:tc>
        <w:tc>
          <w:tcPr>
            <w:tcW w:w="5497" w:type="dxa"/>
            <w:tcBorders>
              <w:top w:val="nil"/>
              <w:left w:val="nil"/>
              <w:bottom w:val="nil"/>
              <w:right w:val="nil"/>
            </w:tcBorders>
            <w:shd w:val="clear" w:color="auto" w:fill="auto"/>
            <w:vAlign w:val="bottom"/>
            <w:hideMark/>
          </w:tcPr>
          <w:p w14:paraId="55144AC0" w14:textId="77777777" w:rsidR="008F776F" w:rsidRPr="008F776F" w:rsidRDefault="008F776F" w:rsidP="00DB6666">
            <w:pPr>
              <w:jc w:val="left"/>
              <w:rPr>
                <w:rFonts w:asciiTheme="minorHAnsi" w:hAnsiTheme="minorHAnsi" w:cstheme="minorHAnsi"/>
                <w:sz w:val="16"/>
                <w:szCs w:val="16"/>
                <w:lang w:val="es-ES_tradnl"/>
              </w:rPr>
            </w:pPr>
          </w:p>
        </w:tc>
        <w:tc>
          <w:tcPr>
            <w:tcW w:w="1643" w:type="dxa"/>
            <w:tcBorders>
              <w:top w:val="nil"/>
              <w:left w:val="nil"/>
              <w:bottom w:val="nil"/>
              <w:right w:val="nil"/>
            </w:tcBorders>
            <w:shd w:val="clear" w:color="auto" w:fill="auto"/>
            <w:vAlign w:val="bottom"/>
            <w:hideMark/>
          </w:tcPr>
          <w:p w14:paraId="0684973F" w14:textId="77777777" w:rsidR="008F776F" w:rsidRPr="008F776F" w:rsidRDefault="008F776F" w:rsidP="00DB6666">
            <w:pPr>
              <w:ind w:right="302"/>
              <w:jc w:val="right"/>
              <w:rPr>
                <w:rFonts w:cs="Arial"/>
                <w:sz w:val="16"/>
                <w:szCs w:val="16"/>
                <w:lang w:val="es-ES_tradnl"/>
              </w:rPr>
            </w:pPr>
          </w:p>
        </w:tc>
      </w:tr>
      <w:tr w:rsidR="008F776F" w:rsidRPr="008F776F" w14:paraId="5C4659C2" w14:textId="77777777" w:rsidTr="00DB6666">
        <w:trPr>
          <w:trHeight w:val="345"/>
          <w:jc w:val="center"/>
        </w:trPr>
        <w:tc>
          <w:tcPr>
            <w:tcW w:w="1307" w:type="dxa"/>
            <w:tcBorders>
              <w:top w:val="single" w:sz="4" w:space="0" w:color="AAB8C4"/>
              <w:left w:val="nil"/>
              <w:bottom w:val="single" w:sz="8" w:space="0" w:color="AAB8C4"/>
              <w:right w:val="nil"/>
            </w:tcBorders>
            <w:shd w:val="clear" w:color="auto" w:fill="auto"/>
            <w:vAlign w:val="center"/>
            <w:hideMark/>
          </w:tcPr>
          <w:p w14:paraId="67B151D5" w14:textId="77777777" w:rsidR="008F776F" w:rsidRPr="008F776F" w:rsidRDefault="008F776F" w:rsidP="00DB6666">
            <w:pPr>
              <w:ind w:firstLineChars="200" w:firstLine="321"/>
              <w:jc w:val="left"/>
              <w:rPr>
                <w:rFonts w:asciiTheme="minorHAnsi" w:hAnsiTheme="minorHAnsi" w:cstheme="minorHAnsi"/>
                <w:b/>
                <w:bCs/>
                <w:sz w:val="16"/>
                <w:szCs w:val="16"/>
                <w:lang w:val="es-ES_tradnl"/>
              </w:rPr>
            </w:pPr>
            <w:r w:rsidRPr="008F776F">
              <w:rPr>
                <w:rFonts w:asciiTheme="minorHAnsi" w:hAnsiTheme="minorHAnsi" w:cstheme="minorHAnsi"/>
                <w:b/>
                <w:sz w:val="16"/>
                <w:lang w:val="es-ES_tradnl"/>
              </w:rPr>
              <w:t>TOTAL</w:t>
            </w:r>
          </w:p>
        </w:tc>
        <w:tc>
          <w:tcPr>
            <w:tcW w:w="5497" w:type="dxa"/>
            <w:tcBorders>
              <w:top w:val="single" w:sz="4" w:space="0" w:color="AAB8C4"/>
              <w:left w:val="nil"/>
              <w:bottom w:val="single" w:sz="8" w:space="0" w:color="AAB8C4"/>
              <w:right w:val="nil"/>
            </w:tcBorders>
            <w:shd w:val="clear" w:color="auto" w:fill="auto"/>
            <w:vAlign w:val="center"/>
            <w:hideMark/>
          </w:tcPr>
          <w:p w14:paraId="189D4627" w14:textId="77777777" w:rsidR="008F776F" w:rsidRPr="008F776F" w:rsidRDefault="008F776F" w:rsidP="00DB6666">
            <w:pPr>
              <w:jc w:val="left"/>
              <w:rPr>
                <w:rFonts w:asciiTheme="minorHAnsi" w:hAnsiTheme="minorHAnsi" w:cstheme="minorHAnsi"/>
                <w:b/>
                <w:bCs/>
                <w:sz w:val="16"/>
                <w:szCs w:val="16"/>
                <w:lang w:val="es-ES_tradnl"/>
              </w:rPr>
            </w:pPr>
            <w:r w:rsidRPr="008F776F">
              <w:rPr>
                <w:rFonts w:asciiTheme="minorHAnsi" w:hAnsiTheme="minorHAnsi" w:cstheme="minorHAnsi"/>
                <w:b/>
                <w:sz w:val="16"/>
                <w:lang w:val="es-ES_tradnl"/>
              </w:rPr>
              <w:t> </w:t>
            </w:r>
          </w:p>
        </w:tc>
        <w:tc>
          <w:tcPr>
            <w:tcW w:w="1643" w:type="dxa"/>
            <w:tcBorders>
              <w:top w:val="single" w:sz="4" w:space="0" w:color="AAB8C4"/>
              <w:left w:val="nil"/>
              <w:bottom w:val="single" w:sz="8" w:space="0" w:color="AAB8C4"/>
              <w:right w:val="nil"/>
            </w:tcBorders>
            <w:shd w:val="clear" w:color="auto" w:fill="auto"/>
            <w:vAlign w:val="center"/>
            <w:hideMark/>
          </w:tcPr>
          <w:p w14:paraId="6498FD9D" w14:textId="77777777" w:rsidR="008F776F" w:rsidRPr="008F776F" w:rsidRDefault="008F776F" w:rsidP="00DB6666">
            <w:pPr>
              <w:ind w:right="302"/>
              <w:jc w:val="right"/>
              <w:rPr>
                <w:rFonts w:cs="Arial"/>
                <w:b/>
                <w:bCs/>
                <w:sz w:val="16"/>
                <w:szCs w:val="16"/>
                <w:lang w:val="es-ES_tradnl"/>
              </w:rPr>
            </w:pPr>
            <w:r w:rsidRPr="008F776F">
              <w:rPr>
                <w:rFonts w:cs="Arial"/>
                <w:b/>
                <w:bCs/>
                <w:sz w:val="16"/>
                <w:szCs w:val="16"/>
                <w:lang w:val="es-ES_tradnl"/>
              </w:rPr>
              <w:t>7.901</w:t>
            </w:r>
          </w:p>
        </w:tc>
      </w:tr>
    </w:tbl>
    <w:p w14:paraId="11EE4CA2" w14:textId="77777777" w:rsidR="008F776F" w:rsidRPr="008F776F" w:rsidRDefault="008F776F" w:rsidP="008F776F">
      <w:pPr>
        <w:jc w:val="center"/>
        <w:rPr>
          <w:caps/>
          <w:color w:val="26724C" w:themeColor="accent1" w:themeShade="BF"/>
          <w:sz w:val="32"/>
          <w:szCs w:val="24"/>
          <w:lang w:val="es-ES_tradnl"/>
        </w:rPr>
      </w:pPr>
    </w:p>
    <w:p w14:paraId="7DFE9E91" w14:textId="77777777" w:rsidR="008F776F" w:rsidRPr="008F776F" w:rsidRDefault="008F776F" w:rsidP="008F776F">
      <w:pPr>
        <w:jc w:val="left"/>
        <w:rPr>
          <w:caps/>
          <w:color w:val="26724C" w:themeColor="accent1" w:themeShade="BF"/>
          <w:sz w:val="32"/>
          <w:szCs w:val="24"/>
          <w:lang w:val="es-ES_tradnl"/>
        </w:rPr>
      </w:pPr>
      <w:r w:rsidRPr="008F776F">
        <w:rPr>
          <w:lang w:val="es-ES_tradnl"/>
        </w:rPr>
        <w:br w:type="page"/>
      </w:r>
    </w:p>
    <w:p w14:paraId="2C1617F7" w14:textId="77777777" w:rsidR="008F776F" w:rsidRPr="008F776F" w:rsidRDefault="008F776F" w:rsidP="008F776F">
      <w:pPr>
        <w:pStyle w:val="Heading1"/>
        <w:numPr>
          <w:ilvl w:val="0"/>
          <w:numId w:val="1"/>
        </w:numPr>
        <w:ind w:left="567" w:hanging="567"/>
        <w:rPr>
          <w:lang w:val="es-ES_tradnl"/>
        </w:rPr>
      </w:pPr>
      <w:bookmarkStart w:id="483" w:name="_Toc141978868"/>
      <w:r w:rsidRPr="008F776F">
        <w:rPr>
          <w:lang w:val="es-ES_tradnl"/>
        </w:rPr>
        <w:lastRenderedPageBreak/>
        <w:t>INDICADORES FINANCIEROS CORRESPONDIENTES AL PERÍODO 2017-2026</w:t>
      </w:r>
      <w:bookmarkEnd w:id="483"/>
    </w:p>
    <w:p w14:paraId="66A218CC" w14:textId="77777777" w:rsidR="008F776F" w:rsidRPr="008F776F" w:rsidRDefault="008F776F" w:rsidP="008F776F">
      <w:pPr>
        <w:rPr>
          <w:lang w:val="es-ES_tradnl"/>
        </w:rPr>
      </w:pPr>
    </w:p>
    <w:p w14:paraId="739E418B" w14:textId="77777777" w:rsidR="008F776F" w:rsidRPr="008F776F" w:rsidRDefault="008F776F" w:rsidP="008F776F">
      <w:pPr>
        <w:tabs>
          <w:tab w:val="left" w:pos="567"/>
        </w:tabs>
        <w:rPr>
          <w:lang w:val="es-ES_tradnl"/>
        </w:rPr>
      </w:pPr>
      <w:r w:rsidRPr="008F776F">
        <w:rPr>
          <w:lang w:val="es-ES_tradnl"/>
        </w:rPr>
        <w:t>En el Programa y Presupuesto para el bienio 2024-2025 se incluyen indicadores financieros que abarcan un período de 10 años y comprenden los dos años posteriores al nuevo bienio e información recabada del pasado reciente. La presentación de los indicadores financieros permite contextualizar la propuesta de presupuesto para el bienio 2024-2025, con indicación de las tendencias y una evaluación de su viabilidad financiera futura. Esta información se proporciona con objeto de facilitar a los miembros la revisión de la propuesta de Programa y Presupuesto, así como la adopción de decisiones al respecto, por lo que no debe interpretarse que impone compromiso financiero alguno ni aprobación con posterioridad a 2025.</w:t>
      </w:r>
    </w:p>
    <w:p w14:paraId="19455FDE" w14:textId="77777777" w:rsidR="008F776F" w:rsidRPr="008F776F" w:rsidRDefault="008F776F" w:rsidP="008F776F">
      <w:pPr>
        <w:tabs>
          <w:tab w:val="left" w:pos="567"/>
        </w:tabs>
        <w:rPr>
          <w:lang w:val="es-ES_tradnl"/>
        </w:rPr>
      </w:pPr>
    </w:p>
    <w:p w14:paraId="157B908E" w14:textId="77777777" w:rsidR="008F776F" w:rsidRPr="008F776F" w:rsidRDefault="008F776F" w:rsidP="008F776F">
      <w:pPr>
        <w:tabs>
          <w:tab w:val="left" w:pos="567"/>
        </w:tabs>
        <w:rPr>
          <w:lang w:val="es-ES_tradnl"/>
        </w:rPr>
      </w:pPr>
      <w:r w:rsidRPr="008F776F">
        <w:rPr>
          <w:lang w:val="es-ES_tradnl"/>
        </w:rPr>
        <w:t>En el cuadro 7 y la figura 1 se muestra la evolución prevista del presupuesto ordinario en lo que respecta a los ingresos, los gastos</w:t>
      </w:r>
      <w:r w:rsidR="00ED4FEA">
        <w:rPr>
          <w:lang w:val="es-ES_tradnl"/>
        </w:rPr>
        <w:t>,</w:t>
      </w:r>
      <w:r w:rsidRPr="008F776F">
        <w:rPr>
          <w:lang w:val="es-ES_tradnl"/>
        </w:rPr>
        <w:t xml:space="preserve"> y los fondos de reserva y de operaciones.</w:t>
      </w:r>
    </w:p>
    <w:p w14:paraId="4065674F" w14:textId="77777777" w:rsidR="008F776F" w:rsidRPr="008F776F" w:rsidRDefault="008F776F" w:rsidP="008F776F">
      <w:pPr>
        <w:rPr>
          <w:spacing w:val="-2"/>
          <w:szCs w:val="24"/>
          <w:lang w:val="es-ES_tradnl"/>
        </w:rPr>
      </w:pPr>
    </w:p>
    <w:p w14:paraId="0D3925BB" w14:textId="77777777" w:rsidR="008F776F" w:rsidRPr="008F776F" w:rsidRDefault="008F776F" w:rsidP="008F776F">
      <w:pPr>
        <w:rPr>
          <w:spacing w:val="-2"/>
          <w:szCs w:val="24"/>
          <w:lang w:val="es-ES_tradnl"/>
        </w:rPr>
      </w:pPr>
    </w:p>
    <w:p w14:paraId="64693D37" w14:textId="77777777" w:rsidR="008F776F" w:rsidRPr="008F776F" w:rsidRDefault="008F776F" w:rsidP="008F776F">
      <w:pPr>
        <w:jc w:val="center"/>
        <w:rPr>
          <w:rFonts w:cs="Arial"/>
          <w:i/>
          <w:iCs/>
          <w:sz w:val="18"/>
          <w:szCs w:val="18"/>
          <w:lang w:val="es-ES_tradnl"/>
        </w:rPr>
      </w:pPr>
      <w:r w:rsidRPr="008F776F">
        <w:rPr>
          <w:b/>
          <w:color w:val="26724C" w:themeColor="accent1" w:themeShade="BF"/>
          <w:lang w:val="es-ES_tradnl"/>
        </w:rPr>
        <w:t>Cuadro 7: Ingresos, gastos y reservas correspondientes al período 2017-2026</w:t>
      </w:r>
      <w:r w:rsidRPr="008F776F">
        <w:rPr>
          <w:b/>
          <w:lang w:val="es-ES_tradnl"/>
        </w:rPr>
        <w:br/>
      </w:r>
      <w:r w:rsidRPr="008F776F">
        <w:rPr>
          <w:i/>
          <w:sz w:val="18"/>
          <w:lang w:val="es-ES_tradnl"/>
        </w:rPr>
        <w:t>(miles de francos suizos)</w:t>
      </w:r>
    </w:p>
    <w:p w14:paraId="345E4F5B" w14:textId="77777777" w:rsidR="008F776F" w:rsidRPr="008F776F" w:rsidRDefault="008F776F" w:rsidP="008F776F">
      <w:pPr>
        <w:jc w:val="center"/>
        <w:rPr>
          <w:spacing w:val="-2"/>
          <w:sz w:val="18"/>
          <w:szCs w:val="18"/>
          <w:lang w:val="es-ES_tradnl"/>
        </w:rPr>
      </w:pPr>
    </w:p>
    <w:tbl>
      <w:tblPr>
        <w:tblW w:w="8126" w:type="dxa"/>
        <w:jc w:val="center"/>
        <w:tblLook w:val="04A0" w:firstRow="1" w:lastRow="0" w:firstColumn="1" w:lastColumn="0" w:noHBand="0" w:noVBand="1"/>
      </w:tblPr>
      <w:tblGrid>
        <w:gridCol w:w="2396"/>
        <w:gridCol w:w="1004"/>
        <w:gridCol w:w="1038"/>
        <w:gridCol w:w="1216"/>
        <w:gridCol w:w="1216"/>
        <w:gridCol w:w="1256"/>
      </w:tblGrid>
      <w:tr w:rsidR="008F776F" w:rsidRPr="00ED4FEA" w14:paraId="288D57B7" w14:textId="77777777" w:rsidTr="00DB6666">
        <w:trPr>
          <w:trHeight w:val="260"/>
          <w:jc w:val="center"/>
        </w:trPr>
        <w:tc>
          <w:tcPr>
            <w:tcW w:w="2396" w:type="dxa"/>
            <w:tcBorders>
              <w:top w:val="nil"/>
              <w:left w:val="nil"/>
              <w:right w:val="nil"/>
            </w:tcBorders>
            <w:shd w:val="clear" w:color="000000" w:fill="FFFFFF"/>
            <w:noWrap/>
            <w:vAlign w:val="bottom"/>
            <w:hideMark/>
          </w:tcPr>
          <w:p w14:paraId="211730E0" w14:textId="77777777" w:rsidR="008F776F" w:rsidRPr="00ED4FEA" w:rsidRDefault="008F776F" w:rsidP="00DB6666">
            <w:pPr>
              <w:jc w:val="left"/>
              <w:rPr>
                <w:rFonts w:ascii="Arial Narrow" w:hAnsi="Arial Narrow" w:cs="Arial"/>
                <w:i/>
                <w:iCs/>
                <w:sz w:val="18"/>
                <w:szCs w:val="18"/>
                <w:lang w:val="es-ES_tradnl"/>
              </w:rPr>
            </w:pPr>
            <w:r w:rsidRPr="00ED4FEA">
              <w:rPr>
                <w:rFonts w:ascii="Arial Narrow" w:hAnsi="Arial Narrow"/>
                <w:i/>
                <w:sz w:val="18"/>
                <w:szCs w:val="18"/>
                <w:lang w:val="es-ES_tradnl"/>
              </w:rPr>
              <w:t xml:space="preserve">Base presupuestaria </w:t>
            </w:r>
          </w:p>
        </w:tc>
        <w:tc>
          <w:tcPr>
            <w:tcW w:w="1004" w:type="dxa"/>
            <w:tcBorders>
              <w:top w:val="nil"/>
              <w:left w:val="nil"/>
              <w:right w:val="nil"/>
            </w:tcBorders>
            <w:shd w:val="clear" w:color="000000" w:fill="FFFFFF"/>
            <w:noWrap/>
            <w:vAlign w:val="bottom"/>
            <w:hideMark/>
          </w:tcPr>
          <w:p w14:paraId="11BABA8C" w14:textId="77777777" w:rsidR="008F776F" w:rsidRPr="00ED4FEA" w:rsidRDefault="008F776F" w:rsidP="00DB6666">
            <w:pPr>
              <w:jc w:val="left"/>
              <w:rPr>
                <w:rFonts w:ascii="Arial Narrow" w:hAnsi="Arial Narrow" w:cs="Arial"/>
                <w:sz w:val="18"/>
                <w:szCs w:val="18"/>
                <w:lang w:val="es-ES_tradnl"/>
              </w:rPr>
            </w:pPr>
            <w:r w:rsidRPr="00ED4FEA">
              <w:rPr>
                <w:rFonts w:ascii="Arial Narrow" w:hAnsi="Arial Narrow"/>
                <w:sz w:val="18"/>
                <w:szCs w:val="18"/>
                <w:lang w:val="es-ES_tradnl"/>
              </w:rPr>
              <w:t> </w:t>
            </w:r>
          </w:p>
        </w:tc>
        <w:tc>
          <w:tcPr>
            <w:tcW w:w="1038" w:type="dxa"/>
            <w:tcBorders>
              <w:top w:val="nil"/>
              <w:left w:val="nil"/>
              <w:right w:val="nil"/>
            </w:tcBorders>
            <w:shd w:val="clear" w:color="000000" w:fill="FFFFFF"/>
            <w:noWrap/>
            <w:vAlign w:val="bottom"/>
            <w:hideMark/>
          </w:tcPr>
          <w:p w14:paraId="4393570A" w14:textId="77777777" w:rsidR="008F776F" w:rsidRPr="00ED4FEA" w:rsidRDefault="008F776F" w:rsidP="00DB6666">
            <w:pPr>
              <w:jc w:val="left"/>
              <w:rPr>
                <w:rFonts w:ascii="Arial Narrow" w:hAnsi="Arial Narrow" w:cs="Arial"/>
                <w:sz w:val="18"/>
                <w:szCs w:val="18"/>
                <w:lang w:val="es-ES_tradnl"/>
              </w:rPr>
            </w:pPr>
            <w:r w:rsidRPr="00ED4FEA">
              <w:rPr>
                <w:rFonts w:ascii="Arial Narrow" w:hAnsi="Arial Narrow"/>
                <w:sz w:val="18"/>
                <w:szCs w:val="18"/>
                <w:lang w:val="es-ES_tradnl"/>
              </w:rPr>
              <w:t> </w:t>
            </w:r>
          </w:p>
        </w:tc>
        <w:tc>
          <w:tcPr>
            <w:tcW w:w="1216" w:type="dxa"/>
            <w:tcBorders>
              <w:top w:val="nil"/>
              <w:left w:val="nil"/>
              <w:right w:val="nil"/>
            </w:tcBorders>
            <w:shd w:val="clear" w:color="000000" w:fill="FFFFFF"/>
            <w:noWrap/>
            <w:vAlign w:val="bottom"/>
            <w:hideMark/>
          </w:tcPr>
          <w:p w14:paraId="067EEDBB" w14:textId="77777777" w:rsidR="008F776F" w:rsidRPr="00ED4FEA" w:rsidRDefault="008F776F" w:rsidP="00DB6666">
            <w:pPr>
              <w:jc w:val="left"/>
              <w:rPr>
                <w:rFonts w:ascii="Arial Narrow" w:hAnsi="Arial Narrow" w:cs="Arial"/>
                <w:sz w:val="18"/>
                <w:szCs w:val="18"/>
                <w:lang w:val="es-ES_tradnl"/>
              </w:rPr>
            </w:pPr>
            <w:r w:rsidRPr="00ED4FEA">
              <w:rPr>
                <w:rFonts w:ascii="Arial Narrow" w:hAnsi="Arial Narrow"/>
                <w:sz w:val="18"/>
                <w:szCs w:val="18"/>
                <w:lang w:val="es-ES_tradnl"/>
              </w:rPr>
              <w:t> </w:t>
            </w:r>
          </w:p>
        </w:tc>
        <w:tc>
          <w:tcPr>
            <w:tcW w:w="1216" w:type="dxa"/>
            <w:tcBorders>
              <w:top w:val="nil"/>
              <w:left w:val="nil"/>
              <w:right w:val="nil"/>
            </w:tcBorders>
            <w:shd w:val="clear" w:color="000000" w:fill="FFFFFF"/>
            <w:noWrap/>
            <w:vAlign w:val="bottom"/>
            <w:hideMark/>
          </w:tcPr>
          <w:p w14:paraId="4E72E345" w14:textId="77777777" w:rsidR="008F776F" w:rsidRPr="00ED4FEA" w:rsidRDefault="008F776F" w:rsidP="00DB6666">
            <w:pPr>
              <w:jc w:val="left"/>
              <w:rPr>
                <w:rFonts w:ascii="Arial Narrow" w:hAnsi="Arial Narrow" w:cs="Arial"/>
                <w:sz w:val="18"/>
                <w:szCs w:val="18"/>
                <w:lang w:val="es-ES_tradnl"/>
              </w:rPr>
            </w:pPr>
            <w:r w:rsidRPr="00ED4FEA">
              <w:rPr>
                <w:rFonts w:ascii="Arial Narrow" w:hAnsi="Arial Narrow"/>
                <w:sz w:val="18"/>
                <w:szCs w:val="18"/>
                <w:lang w:val="es-ES_tradnl"/>
              </w:rPr>
              <w:t> </w:t>
            </w:r>
          </w:p>
        </w:tc>
        <w:tc>
          <w:tcPr>
            <w:tcW w:w="1256" w:type="dxa"/>
            <w:tcBorders>
              <w:top w:val="nil"/>
              <w:left w:val="nil"/>
              <w:right w:val="nil"/>
            </w:tcBorders>
            <w:shd w:val="clear" w:color="auto" w:fill="auto"/>
            <w:noWrap/>
            <w:vAlign w:val="bottom"/>
            <w:hideMark/>
          </w:tcPr>
          <w:p w14:paraId="28859AB8" w14:textId="77777777" w:rsidR="008F776F" w:rsidRPr="00ED4FEA" w:rsidRDefault="008F776F" w:rsidP="00DB6666">
            <w:pPr>
              <w:jc w:val="left"/>
              <w:rPr>
                <w:rFonts w:ascii="Arial Narrow" w:hAnsi="Arial Narrow" w:cs="Arial"/>
                <w:sz w:val="18"/>
                <w:szCs w:val="18"/>
                <w:lang w:val="es-ES_tradnl"/>
              </w:rPr>
            </w:pPr>
          </w:p>
        </w:tc>
      </w:tr>
      <w:tr w:rsidR="008F776F" w:rsidRPr="00ED4FEA" w14:paraId="6CF0A8F8" w14:textId="77777777" w:rsidTr="00DB6666">
        <w:trPr>
          <w:trHeight w:val="330"/>
          <w:jc w:val="center"/>
        </w:trPr>
        <w:tc>
          <w:tcPr>
            <w:tcW w:w="2396" w:type="dxa"/>
            <w:tcBorders>
              <w:top w:val="nil"/>
              <w:left w:val="nil"/>
              <w:right w:val="nil"/>
            </w:tcBorders>
            <w:shd w:val="clear" w:color="000000" w:fill="C7CFD8"/>
            <w:vAlign w:val="center"/>
            <w:hideMark/>
          </w:tcPr>
          <w:p w14:paraId="516ADD46" w14:textId="77777777" w:rsidR="008F776F" w:rsidRPr="00ED4FEA" w:rsidRDefault="008F776F" w:rsidP="00DB6666">
            <w:pPr>
              <w:jc w:val="center"/>
              <w:rPr>
                <w:rFonts w:ascii="Arial Narrow" w:hAnsi="Arial Narrow" w:cs="Arial"/>
                <w:i/>
                <w:iCs/>
                <w:color w:val="000000"/>
                <w:sz w:val="18"/>
                <w:szCs w:val="18"/>
                <w:lang w:val="es-ES_tradnl"/>
              </w:rPr>
            </w:pPr>
            <w:r w:rsidRPr="00ED4FEA">
              <w:rPr>
                <w:rFonts w:ascii="Arial Narrow" w:hAnsi="Arial Narrow"/>
                <w:i/>
                <w:color w:val="000000"/>
                <w:sz w:val="18"/>
                <w:szCs w:val="18"/>
                <w:lang w:val="es-ES_tradnl"/>
              </w:rPr>
              <w:t> </w:t>
            </w:r>
          </w:p>
        </w:tc>
        <w:tc>
          <w:tcPr>
            <w:tcW w:w="2042" w:type="dxa"/>
            <w:gridSpan w:val="2"/>
            <w:tcBorders>
              <w:top w:val="nil"/>
              <w:left w:val="nil"/>
              <w:right w:val="nil"/>
            </w:tcBorders>
            <w:shd w:val="clear" w:color="000000" w:fill="C7CFD8"/>
            <w:vAlign w:val="center"/>
            <w:hideMark/>
          </w:tcPr>
          <w:p w14:paraId="0BB79F73"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b/>
                <w:sz w:val="18"/>
                <w:szCs w:val="18"/>
                <w:lang w:val="es-ES_tradnl"/>
              </w:rPr>
              <w:t xml:space="preserve">Real </w:t>
            </w:r>
          </w:p>
        </w:tc>
        <w:tc>
          <w:tcPr>
            <w:tcW w:w="1216" w:type="dxa"/>
            <w:tcBorders>
              <w:top w:val="nil"/>
              <w:left w:val="nil"/>
              <w:right w:val="nil"/>
            </w:tcBorders>
            <w:shd w:val="clear" w:color="000000" w:fill="C7CFD8"/>
            <w:vAlign w:val="center"/>
            <w:hideMark/>
          </w:tcPr>
          <w:p w14:paraId="1E6CAA2A"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b/>
                <w:sz w:val="18"/>
                <w:szCs w:val="18"/>
                <w:lang w:val="es-ES_tradnl"/>
              </w:rPr>
              <w:t xml:space="preserve">Presupuesto </w:t>
            </w:r>
          </w:p>
        </w:tc>
        <w:tc>
          <w:tcPr>
            <w:tcW w:w="1216" w:type="dxa"/>
            <w:tcBorders>
              <w:top w:val="nil"/>
              <w:left w:val="nil"/>
              <w:right w:val="nil"/>
            </w:tcBorders>
            <w:shd w:val="clear" w:color="000000" w:fill="C7CFD8"/>
            <w:vAlign w:val="center"/>
            <w:hideMark/>
          </w:tcPr>
          <w:p w14:paraId="49C8C741"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b/>
                <w:sz w:val="18"/>
                <w:szCs w:val="18"/>
                <w:lang w:val="es-ES_tradnl"/>
              </w:rPr>
              <w:t xml:space="preserve">Propuesta </w:t>
            </w:r>
          </w:p>
        </w:tc>
        <w:tc>
          <w:tcPr>
            <w:tcW w:w="1256" w:type="dxa"/>
            <w:tcBorders>
              <w:top w:val="nil"/>
              <w:left w:val="nil"/>
              <w:right w:val="nil"/>
            </w:tcBorders>
            <w:shd w:val="clear" w:color="000000" w:fill="C7CFD8"/>
            <w:vAlign w:val="center"/>
            <w:hideMark/>
          </w:tcPr>
          <w:p w14:paraId="3690D2B8"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b/>
                <w:sz w:val="18"/>
                <w:szCs w:val="18"/>
                <w:lang w:val="es-ES_tradnl"/>
              </w:rPr>
              <w:t xml:space="preserve">Estimación </w:t>
            </w:r>
          </w:p>
        </w:tc>
      </w:tr>
      <w:tr w:rsidR="008F776F" w:rsidRPr="00ED4FEA" w14:paraId="059FDB0A" w14:textId="77777777" w:rsidTr="00DB6666">
        <w:trPr>
          <w:trHeight w:val="330"/>
          <w:jc w:val="center"/>
        </w:trPr>
        <w:tc>
          <w:tcPr>
            <w:tcW w:w="2396" w:type="dxa"/>
            <w:tcBorders>
              <w:top w:val="nil"/>
              <w:left w:val="nil"/>
              <w:bottom w:val="single" w:sz="4" w:space="0" w:color="D9D9D9" w:themeColor="background1" w:themeShade="D9"/>
              <w:right w:val="nil"/>
            </w:tcBorders>
            <w:shd w:val="clear" w:color="000000" w:fill="C7CFD8"/>
            <w:vAlign w:val="center"/>
            <w:hideMark/>
          </w:tcPr>
          <w:p w14:paraId="678F20E9" w14:textId="77777777" w:rsidR="008F776F" w:rsidRPr="00ED4FEA" w:rsidRDefault="008F776F" w:rsidP="00DB6666">
            <w:pPr>
              <w:jc w:val="right"/>
              <w:rPr>
                <w:rFonts w:ascii="Arial Narrow" w:hAnsi="Arial Narrow" w:cs="Arial"/>
                <w:i/>
                <w:iCs/>
                <w:color w:val="000000"/>
                <w:sz w:val="18"/>
                <w:szCs w:val="18"/>
                <w:lang w:val="es-ES_tradnl"/>
              </w:rPr>
            </w:pPr>
            <w:r w:rsidRPr="00ED4FEA">
              <w:rPr>
                <w:rFonts w:ascii="Arial Narrow" w:hAnsi="Arial Narrow"/>
                <w:i/>
                <w:color w:val="000000"/>
                <w:sz w:val="18"/>
                <w:szCs w:val="18"/>
                <w:lang w:val="es-ES_tradnl"/>
              </w:rPr>
              <w:t> </w:t>
            </w:r>
          </w:p>
        </w:tc>
        <w:tc>
          <w:tcPr>
            <w:tcW w:w="1004" w:type="dxa"/>
            <w:tcBorders>
              <w:top w:val="nil"/>
              <w:left w:val="nil"/>
              <w:bottom w:val="single" w:sz="4" w:space="0" w:color="D9D9D9" w:themeColor="background1" w:themeShade="D9"/>
              <w:right w:val="nil"/>
            </w:tcBorders>
            <w:shd w:val="clear" w:color="000000" w:fill="C7CFD8"/>
            <w:vAlign w:val="center"/>
            <w:hideMark/>
          </w:tcPr>
          <w:p w14:paraId="78EE7D5B"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b/>
                <w:sz w:val="18"/>
                <w:szCs w:val="18"/>
                <w:lang w:val="es-ES_tradnl"/>
              </w:rPr>
              <w:t>2018-2019</w:t>
            </w:r>
          </w:p>
        </w:tc>
        <w:tc>
          <w:tcPr>
            <w:tcW w:w="1038" w:type="dxa"/>
            <w:tcBorders>
              <w:top w:val="nil"/>
              <w:left w:val="nil"/>
              <w:bottom w:val="single" w:sz="4" w:space="0" w:color="D9D9D9" w:themeColor="background1" w:themeShade="D9"/>
              <w:right w:val="nil"/>
            </w:tcBorders>
            <w:shd w:val="clear" w:color="000000" w:fill="C7CFD8"/>
            <w:vAlign w:val="center"/>
            <w:hideMark/>
          </w:tcPr>
          <w:p w14:paraId="704C0FC8"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b/>
                <w:sz w:val="18"/>
                <w:szCs w:val="18"/>
                <w:lang w:val="es-ES_tradnl"/>
              </w:rPr>
              <w:t>2020-2021</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31065216"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b/>
                <w:sz w:val="18"/>
                <w:szCs w:val="18"/>
                <w:lang w:val="es-ES_tradnl"/>
              </w:rPr>
              <w:t xml:space="preserve">2022-2023 </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5A87D528"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b/>
                <w:sz w:val="18"/>
                <w:szCs w:val="18"/>
                <w:lang w:val="es-ES_tradnl"/>
              </w:rPr>
              <w:t xml:space="preserve">2024-2025 </w:t>
            </w:r>
          </w:p>
        </w:tc>
        <w:tc>
          <w:tcPr>
            <w:tcW w:w="1256" w:type="dxa"/>
            <w:tcBorders>
              <w:top w:val="nil"/>
              <w:left w:val="nil"/>
              <w:bottom w:val="single" w:sz="4" w:space="0" w:color="D9D9D9" w:themeColor="background1" w:themeShade="D9"/>
              <w:right w:val="nil"/>
            </w:tcBorders>
            <w:shd w:val="clear" w:color="000000" w:fill="C7CFD8"/>
            <w:noWrap/>
            <w:vAlign w:val="center"/>
            <w:hideMark/>
          </w:tcPr>
          <w:p w14:paraId="28093E18" w14:textId="77777777" w:rsidR="008F776F" w:rsidRPr="00ED4FEA" w:rsidRDefault="008F776F" w:rsidP="00DB6666">
            <w:pPr>
              <w:jc w:val="center"/>
              <w:rPr>
                <w:rFonts w:ascii="Arial Narrow" w:hAnsi="Arial Narrow" w:cs="Arial"/>
                <w:b/>
                <w:bCs/>
                <w:sz w:val="18"/>
                <w:szCs w:val="18"/>
                <w:lang w:val="es-ES_tradnl"/>
              </w:rPr>
            </w:pPr>
            <w:r w:rsidRPr="00ED4FEA">
              <w:rPr>
                <w:rFonts w:ascii="Arial Narrow" w:hAnsi="Arial Narrow"/>
                <w:b/>
                <w:sz w:val="18"/>
                <w:szCs w:val="18"/>
                <w:lang w:val="es-ES_tradnl"/>
              </w:rPr>
              <w:t>2026-2027</w:t>
            </w:r>
          </w:p>
        </w:tc>
      </w:tr>
      <w:tr w:rsidR="008F776F" w:rsidRPr="00ED4FEA" w14:paraId="4469F853" w14:textId="77777777" w:rsidTr="00ED4FEA">
        <w:trPr>
          <w:trHeight w:val="420"/>
          <w:jc w:val="center"/>
        </w:trPr>
        <w:tc>
          <w:tcPr>
            <w:tcW w:w="2396" w:type="dxa"/>
            <w:tcBorders>
              <w:top w:val="single" w:sz="4" w:space="0" w:color="D9D9D9" w:themeColor="background1" w:themeShade="D9"/>
              <w:left w:val="nil"/>
            </w:tcBorders>
            <w:shd w:val="clear" w:color="000000" w:fill="FFFFFF"/>
            <w:vAlign w:val="center"/>
            <w:hideMark/>
          </w:tcPr>
          <w:p w14:paraId="60A2CA93" w14:textId="77777777" w:rsidR="008F776F" w:rsidRPr="00ED4FEA" w:rsidRDefault="008F776F" w:rsidP="00DB6666">
            <w:pPr>
              <w:jc w:val="left"/>
              <w:rPr>
                <w:rFonts w:ascii="Arial Narrow" w:hAnsi="Arial Narrow" w:cs="Arial"/>
                <w:color w:val="000000"/>
                <w:sz w:val="18"/>
                <w:szCs w:val="18"/>
                <w:lang w:val="es-ES_tradnl"/>
              </w:rPr>
            </w:pPr>
            <w:r w:rsidRPr="00ED4FEA">
              <w:rPr>
                <w:rFonts w:ascii="Arial Narrow" w:hAnsi="Arial Narrow"/>
                <w:color w:val="000000"/>
                <w:sz w:val="18"/>
                <w:szCs w:val="18"/>
                <w:lang w:val="es-ES_tradnl"/>
              </w:rPr>
              <w:t>Ingresos</w:t>
            </w:r>
          </w:p>
        </w:tc>
        <w:tc>
          <w:tcPr>
            <w:tcW w:w="1004" w:type="dxa"/>
            <w:tcBorders>
              <w:top w:val="single" w:sz="4" w:space="0" w:color="D9D9D9" w:themeColor="background1" w:themeShade="D9"/>
            </w:tcBorders>
            <w:shd w:val="clear" w:color="auto" w:fill="auto"/>
            <w:vAlign w:val="center"/>
            <w:hideMark/>
          </w:tcPr>
          <w:p w14:paraId="60424F3A" w14:textId="77777777" w:rsidR="008F776F" w:rsidRPr="00ED4FEA" w:rsidRDefault="008F776F" w:rsidP="00ED4FEA">
            <w:pPr>
              <w:jc w:val="right"/>
              <w:rPr>
                <w:rFonts w:ascii="Arial Narrow" w:hAnsi="Arial Narrow" w:cs="Arial"/>
                <w:color w:val="000000"/>
                <w:sz w:val="18"/>
                <w:szCs w:val="18"/>
                <w:lang w:val="es-ES_tradnl"/>
              </w:rPr>
            </w:pPr>
            <w:r w:rsidRPr="00ED4FEA">
              <w:rPr>
                <w:rFonts w:ascii="Arial Narrow" w:hAnsi="Arial Narrow"/>
                <w:sz w:val="18"/>
                <w:szCs w:val="18"/>
                <w:lang w:val="es-ES_tradnl"/>
              </w:rPr>
              <w:t>6.931</w:t>
            </w:r>
          </w:p>
        </w:tc>
        <w:tc>
          <w:tcPr>
            <w:tcW w:w="1038" w:type="dxa"/>
            <w:tcBorders>
              <w:top w:val="single" w:sz="4" w:space="0" w:color="D9D9D9" w:themeColor="background1" w:themeShade="D9"/>
            </w:tcBorders>
            <w:shd w:val="clear" w:color="auto" w:fill="auto"/>
            <w:vAlign w:val="center"/>
            <w:hideMark/>
          </w:tcPr>
          <w:p w14:paraId="6AE65E80" w14:textId="77777777" w:rsidR="008F776F" w:rsidRPr="00ED4FEA" w:rsidRDefault="008F776F" w:rsidP="00ED4FEA">
            <w:pPr>
              <w:jc w:val="right"/>
              <w:rPr>
                <w:rFonts w:ascii="Arial Narrow" w:hAnsi="Arial Narrow" w:cs="Arial"/>
                <w:color w:val="000000"/>
                <w:sz w:val="18"/>
                <w:szCs w:val="18"/>
                <w:lang w:val="es-ES_tradnl"/>
              </w:rPr>
            </w:pPr>
            <w:r w:rsidRPr="00ED4FEA">
              <w:rPr>
                <w:rFonts w:ascii="Arial Narrow" w:hAnsi="Arial Narrow"/>
                <w:sz w:val="18"/>
                <w:szCs w:val="18"/>
                <w:lang w:val="es-ES_tradnl"/>
              </w:rPr>
              <w:t>7.404</w:t>
            </w:r>
          </w:p>
        </w:tc>
        <w:tc>
          <w:tcPr>
            <w:tcW w:w="1216" w:type="dxa"/>
            <w:tcBorders>
              <w:top w:val="single" w:sz="4" w:space="0" w:color="D9D9D9" w:themeColor="background1" w:themeShade="D9"/>
            </w:tcBorders>
            <w:shd w:val="clear" w:color="auto" w:fill="auto"/>
            <w:vAlign w:val="center"/>
            <w:hideMark/>
          </w:tcPr>
          <w:p w14:paraId="22C44D10" w14:textId="77777777" w:rsidR="008F776F" w:rsidRPr="00ED4FEA" w:rsidRDefault="008F776F" w:rsidP="00ED4FEA">
            <w:pPr>
              <w:jc w:val="right"/>
              <w:rPr>
                <w:rFonts w:ascii="Arial Narrow" w:hAnsi="Arial Narrow" w:cs="Arial"/>
                <w:color w:val="000000"/>
                <w:sz w:val="18"/>
                <w:szCs w:val="18"/>
                <w:lang w:val="es-ES_tradnl"/>
              </w:rPr>
            </w:pPr>
            <w:r w:rsidRPr="00ED4FEA">
              <w:rPr>
                <w:rFonts w:ascii="Arial Narrow" w:hAnsi="Arial Narrow"/>
                <w:sz w:val="18"/>
                <w:szCs w:val="18"/>
                <w:lang w:val="es-ES_tradnl"/>
              </w:rPr>
              <w:t>7.635</w:t>
            </w:r>
          </w:p>
        </w:tc>
        <w:tc>
          <w:tcPr>
            <w:tcW w:w="1216" w:type="dxa"/>
            <w:tcBorders>
              <w:top w:val="single" w:sz="4" w:space="0" w:color="D9D9D9" w:themeColor="background1" w:themeShade="D9"/>
            </w:tcBorders>
            <w:shd w:val="clear" w:color="auto" w:fill="auto"/>
            <w:vAlign w:val="center"/>
            <w:hideMark/>
          </w:tcPr>
          <w:p w14:paraId="5FCD1C54" w14:textId="77777777" w:rsidR="008F776F" w:rsidRPr="00ED4FEA" w:rsidRDefault="008F776F" w:rsidP="00ED4FEA">
            <w:pPr>
              <w:jc w:val="right"/>
              <w:rPr>
                <w:rFonts w:ascii="Arial Narrow" w:hAnsi="Arial Narrow" w:cs="Arial"/>
                <w:sz w:val="18"/>
                <w:szCs w:val="18"/>
                <w:lang w:val="es-ES_tradnl"/>
              </w:rPr>
            </w:pPr>
            <w:r w:rsidRPr="00ED4FEA">
              <w:rPr>
                <w:rFonts w:ascii="Arial Narrow" w:hAnsi="Arial Narrow"/>
                <w:sz w:val="18"/>
                <w:szCs w:val="18"/>
                <w:lang w:val="es-ES_tradnl"/>
              </w:rPr>
              <w:t>7.901</w:t>
            </w:r>
          </w:p>
        </w:tc>
        <w:tc>
          <w:tcPr>
            <w:tcW w:w="1256" w:type="dxa"/>
            <w:tcBorders>
              <w:top w:val="single" w:sz="4" w:space="0" w:color="D9D9D9" w:themeColor="background1" w:themeShade="D9"/>
            </w:tcBorders>
            <w:shd w:val="clear" w:color="auto" w:fill="auto"/>
            <w:vAlign w:val="center"/>
            <w:hideMark/>
          </w:tcPr>
          <w:p w14:paraId="5AC4A139" w14:textId="77777777" w:rsidR="008F776F" w:rsidRPr="00ED4FEA" w:rsidRDefault="008F776F" w:rsidP="00ED4FEA">
            <w:pPr>
              <w:jc w:val="right"/>
              <w:rPr>
                <w:rFonts w:ascii="Arial Narrow" w:hAnsi="Arial Narrow" w:cs="Arial"/>
                <w:sz w:val="18"/>
                <w:szCs w:val="18"/>
                <w:lang w:val="es-ES_tradnl"/>
              </w:rPr>
            </w:pPr>
            <w:r w:rsidRPr="00ED4FEA">
              <w:rPr>
                <w:rFonts w:ascii="Arial Narrow" w:hAnsi="Arial Narrow"/>
                <w:sz w:val="18"/>
                <w:szCs w:val="18"/>
                <w:lang w:val="es-ES_tradnl"/>
              </w:rPr>
              <w:t>8.013</w:t>
            </w:r>
          </w:p>
        </w:tc>
      </w:tr>
      <w:tr w:rsidR="008F776F" w:rsidRPr="00ED4FEA" w14:paraId="77D73A83" w14:textId="77777777" w:rsidTr="00ED4FEA">
        <w:trPr>
          <w:trHeight w:val="420"/>
          <w:jc w:val="center"/>
        </w:trPr>
        <w:tc>
          <w:tcPr>
            <w:tcW w:w="2396" w:type="dxa"/>
            <w:tcBorders>
              <w:top w:val="nil"/>
              <w:left w:val="nil"/>
              <w:bottom w:val="single" w:sz="4" w:space="0" w:color="D9D9D9" w:themeColor="background1" w:themeShade="D9"/>
            </w:tcBorders>
            <w:shd w:val="clear" w:color="000000" w:fill="FFFFFF"/>
            <w:vAlign w:val="center"/>
            <w:hideMark/>
          </w:tcPr>
          <w:p w14:paraId="30686238" w14:textId="77777777" w:rsidR="008F776F" w:rsidRPr="00ED4FEA" w:rsidRDefault="008F776F" w:rsidP="00DB6666">
            <w:pPr>
              <w:jc w:val="left"/>
              <w:rPr>
                <w:rFonts w:ascii="Arial Narrow" w:hAnsi="Arial Narrow" w:cs="Arial"/>
                <w:color w:val="000000"/>
                <w:sz w:val="18"/>
                <w:szCs w:val="18"/>
                <w:lang w:val="es-ES_tradnl"/>
              </w:rPr>
            </w:pPr>
            <w:r w:rsidRPr="00ED4FEA">
              <w:rPr>
                <w:rFonts w:ascii="Arial Narrow" w:hAnsi="Arial Narrow"/>
                <w:color w:val="000000"/>
                <w:sz w:val="18"/>
                <w:szCs w:val="18"/>
                <w:lang w:val="es-ES_tradnl"/>
              </w:rPr>
              <w:t>Gastos</w:t>
            </w:r>
          </w:p>
        </w:tc>
        <w:tc>
          <w:tcPr>
            <w:tcW w:w="1004" w:type="dxa"/>
            <w:tcBorders>
              <w:top w:val="nil"/>
              <w:bottom w:val="single" w:sz="4" w:space="0" w:color="D9D9D9" w:themeColor="background1" w:themeShade="D9"/>
            </w:tcBorders>
            <w:shd w:val="clear" w:color="auto" w:fill="auto"/>
            <w:vAlign w:val="center"/>
            <w:hideMark/>
          </w:tcPr>
          <w:p w14:paraId="2F8CBE8F" w14:textId="77777777" w:rsidR="008F776F" w:rsidRPr="00ED4FEA" w:rsidRDefault="008F776F" w:rsidP="00ED4FEA">
            <w:pPr>
              <w:jc w:val="right"/>
              <w:rPr>
                <w:rFonts w:ascii="Arial Narrow" w:hAnsi="Arial Narrow" w:cs="Arial"/>
                <w:color w:val="000000"/>
                <w:sz w:val="18"/>
                <w:szCs w:val="18"/>
                <w:lang w:val="es-ES_tradnl"/>
              </w:rPr>
            </w:pPr>
            <w:r w:rsidRPr="00ED4FEA">
              <w:rPr>
                <w:rFonts w:ascii="Arial Narrow" w:hAnsi="Arial Narrow"/>
                <w:sz w:val="18"/>
                <w:szCs w:val="18"/>
                <w:lang w:val="es-ES_tradnl"/>
              </w:rPr>
              <w:t>6.854</w:t>
            </w:r>
          </w:p>
        </w:tc>
        <w:tc>
          <w:tcPr>
            <w:tcW w:w="1038" w:type="dxa"/>
            <w:tcBorders>
              <w:top w:val="nil"/>
              <w:bottom w:val="single" w:sz="4" w:space="0" w:color="D9D9D9" w:themeColor="background1" w:themeShade="D9"/>
            </w:tcBorders>
            <w:shd w:val="clear" w:color="auto" w:fill="auto"/>
            <w:vAlign w:val="center"/>
            <w:hideMark/>
          </w:tcPr>
          <w:p w14:paraId="457740FA" w14:textId="77777777" w:rsidR="008F776F" w:rsidRPr="00ED4FEA" w:rsidRDefault="008F776F" w:rsidP="00ED4FEA">
            <w:pPr>
              <w:jc w:val="right"/>
              <w:rPr>
                <w:rFonts w:ascii="Arial Narrow" w:hAnsi="Arial Narrow" w:cs="Arial"/>
                <w:color w:val="000000"/>
                <w:sz w:val="18"/>
                <w:szCs w:val="18"/>
                <w:lang w:val="es-ES_tradnl"/>
              </w:rPr>
            </w:pPr>
            <w:r w:rsidRPr="00ED4FEA">
              <w:rPr>
                <w:rFonts w:ascii="Arial Narrow" w:hAnsi="Arial Narrow"/>
                <w:sz w:val="18"/>
                <w:szCs w:val="18"/>
                <w:lang w:val="es-ES_tradnl"/>
              </w:rPr>
              <w:t>7.071</w:t>
            </w:r>
          </w:p>
        </w:tc>
        <w:tc>
          <w:tcPr>
            <w:tcW w:w="1216" w:type="dxa"/>
            <w:tcBorders>
              <w:top w:val="nil"/>
              <w:bottom w:val="single" w:sz="4" w:space="0" w:color="D9D9D9" w:themeColor="background1" w:themeShade="D9"/>
            </w:tcBorders>
            <w:shd w:val="clear" w:color="auto" w:fill="auto"/>
            <w:vAlign w:val="center"/>
            <w:hideMark/>
          </w:tcPr>
          <w:p w14:paraId="0B04862C" w14:textId="77777777" w:rsidR="008F776F" w:rsidRPr="00ED4FEA" w:rsidRDefault="008F776F" w:rsidP="00ED4FEA">
            <w:pPr>
              <w:jc w:val="right"/>
              <w:rPr>
                <w:rFonts w:ascii="Arial Narrow" w:hAnsi="Arial Narrow" w:cs="Arial"/>
                <w:color w:val="000000"/>
                <w:sz w:val="18"/>
                <w:szCs w:val="18"/>
                <w:lang w:val="es-ES_tradnl"/>
              </w:rPr>
            </w:pPr>
            <w:r w:rsidRPr="00ED4FEA">
              <w:rPr>
                <w:rFonts w:ascii="Arial Narrow" w:hAnsi="Arial Narrow"/>
                <w:sz w:val="18"/>
                <w:szCs w:val="18"/>
                <w:lang w:val="es-ES_tradnl"/>
              </w:rPr>
              <w:t>7.635</w:t>
            </w:r>
          </w:p>
        </w:tc>
        <w:tc>
          <w:tcPr>
            <w:tcW w:w="1216" w:type="dxa"/>
            <w:tcBorders>
              <w:top w:val="nil"/>
              <w:bottom w:val="single" w:sz="4" w:space="0" w:color="D9D9D9" w:themeColor="background1" w:themeShade="D9"/>
            </w:tcBorders>
            <w:shd w:val="clear" w:color="auto" w:fill="auto"/>
            <w:vAlign w:val="center"/>
            <w:hideMark/>
          </w:tcPr>
          <w:p w14:paraId="479C072C" w14:textId="77777777" w:rsidR="008F776F" w:rsidRPr="00ED4FEA" w:rsidRDefault="008F776F" w:rsidP="00ED4FEA">
            <w:pPr>
              <w:jc w:val="right"/>
              <w:rPr>
                <w:rFonts w:ascii="Arial Narrow" w:hAnsi="Arial Narrow" w:cs="Arial"/>
                <w:sz w:val="18"/>
                <w:szCs w:val="18"/>
                <w:lang w:val="es-ES_tradnl"/>
              </w:rPr>
            </w:pPr>
            <w:r w:rsidRPr="00ED4FEA">
              <w:rPr>
                <w:rFonts w:ascii="Arial Narrow" w:hAnsi="Arial Narrow"/>
                <w:sz w:val="18"/>
                <w:szCs w:val="18"/>
                <w:lang w:val="es-ES_tradnl"/>
              </w:rPr>
              <w:t>7.901</w:t>
            </w:r>
          </w:p>
        </w:tc>
        <w:tc>
          <w:tcPr>
            <w:tcW w:w="1256" w:type="dxa"/>
            <w:tcBorders>
              <w:top w:val="nil"/>
              <w:bottom w:val="single" w:sz="4" w:space="0" w:color="D9D9D9" w:themeColor="background1" w:themeShade="D9"/>
            </w:tcBorders>
            <w:shd w:val="clear" w:color="auto" w:fill="auto"/>
            <w:vAlign w:val="center"/>
            <w:hideMark/>
          </w:tcPr>
          <w:p w14:paraId="47CBFDDF" w14:textId="77777777" w:rsidR="008F776F" w:rsidRPr="00ED4FEA" w:rsidRDefault="008F776F" w:rsidP="00ED4FEA">
            <w:pPr>
              <w:jc w:val="right"/>
              <w:rPr>
                <w:rFonts w:ascii="Arial Narrow" w:hAnsi="Arial Narrow" w:cs="Arial"/>
                <w:sz w:val="18"/>
                <w:szCs w:val="18"/>
                <w:lang w:val="es-ES_tradnl"/>
              </w:rPr>
            </w:pPr>
            <w:r w:rsidRPr="00ED4FEA">
              <w:rPr>
                <w:rFonts w:ascii="Arial Narrow" w:hAnsi="Arial Narrow"/>
                <w:sz w:val="18"/>
                <w:szCs w:val="18"/>
                <w:lang w:val="es-ES_tradnl"/>
              </w:rPr>
              <w:t>8.013</w:t>
            </w:r>
          </w:p>
        </w:tc>
      </w:tr>
      <w:tr w:rsidR="008F776F" w:rsidRPr="00ED4FEA" w14:paraId="30C5EAF6" w14:textId="77777777" w:rsidTr="00ED4FEA">
        <w:trPr>
          <w:trHeight w:val="375"/>
          <w:jc w:val="center"/>
        </w:trPr>
        <w:tc>
          <w:tcPr>
            <w:tcW w:w="2396" w:type="dxa"/>
            <w:tcBorders>
              <w:top w:val="single" w:sz="4" w:space="0" w:color="D9D9D9" w:themeColor="background1" w:themeShade="D9"/>
              <w:left w:val="nil"/>
              <w:bottom w:val="single" w:sz="4" w:space="0" w:color="D9D9D9" w:themeColor="background1" w:themeShade="D9"/>
            </w:tcBorders>
            <w:shd w:val="clear" w:color="000000" w:fill="FFFFFF"/>
            <w:vAlign w:val="center"/>
            <w:hideMark/>
          </w:tcPr>
          <w:p w14:paraId="16ECA004" w14:textId="77777777" w:rsidR="008F776F" w:rsidRPr="00ED4FEA" w:rsidRDefault="008F776F" w:rsidP="00DB6666">
            <w:pPr>
              <w:ind w:firstLineChars="100" w:firstLine="180"/>
              <w:jc w:val="left"/>
              <w:rPr>
                <w:rFonts w:ascii="Arial Narrow" w:hAnsi="Arial Narrow" w:cs="Arial"/>
                <w:i/>
                <w:iCs/>
                <w:color w:val="000000"/>
                <w:sz w:val="18"/>
                <w:szCs w:val="18"/>
                <w:lang w:val="es-ES_tradnl"/>
              </w:rPr>
            </w:pPr>
            <w:r w:rsidRPr="00ED4FEA">
              <w:rPr>
                <w:rFonts w:ascii="Arial Narrow" w:hAnsi="Arial Narrow"/>
                <w:i/>
                <w:color w:val="000000"/>
                <w:sz w:val="18"/>
                <w:szCs w:val="18"/>
                <w:lang w:val="es-ES_tradnl"/>
              </w:rPr>
              <w:t>Diferencia</w:t>
            </w:r>
          </w:p>
        </w:tc>
        <w:tc>
          <w:tcPr>
            <w:tcW w:w="1004" w:type="dxa"/>
            <w:tcBorders>
              <w:top w:val="single" w:sz="4" w:space="0" w:color="D9D9D9" w:themeColor="background1" w:themeShade="D9"/>
              <w:bottom w:val="single" w:sz="4" w:space="0" w:color="D9D9D9" w:themeColor="background1" w:themeShade="D9"/>
            </w:tcBorders>
            <w:shd w:val="clear" w:color="auto" w:fill="auto"/>
            <w:vAlign w:val="center"/>
            <w:hideMark/>
          </w:tcPr>
          <w:p w14:paraId="0EC366A3" w14:textId="77777777" w:rsidR="008F776F" w:rsidRPr="00ED4FEA" w:rsidRDefault="008F776F" w:rsidP="00ED4FEA">
            <w:pPr>
              <w:jc w:val="right"/>
              <w:rPr>
                <w:rFonts w:ascii="Arial Narrow" w:hAnsi="Arial Narrow" w:cs="Arial"/>
                <w:i/>
                <w:iCs/>
                <w:color w:val="000000"/>
                <w:sz w:val="18"/>
                <w:szCs w:val="18"/>
                <w:lang w:val="es-ES_tradnl"/>
              </w:rPr>
            </w:pPr>
            <w:r w:rsidRPr="00ED4FEA">
              <w:rPr>
                <w:rFonts w:ascii="Arial Narrow" w:hAnsi="Arial Narrow"/>
                <w:i/>
                <w:sz w:val="18"/>
                <w:szCs w:val="18"/>
                <w:lang w:val="es-ES_tradnl"/>
              </w:rPr>
              <w:t>76</w:t>
            </w:r>
          </w:p>
        </w:tc>
        <w:tc>
          <w:tcPr>
            <w:tcW w:w="1038" w:type="dxa"/>
            <w:tcBorders>
              <w:top w:val="single" w:sz="4" w:space="0" w:color="D9D9D9" w:themeColor="background1" w:themeShade="D9"/>
              <w:bottom w:val="single" w:sz="4" w:space="0" w:color="D9D9D9" w:themeColor="background1" w:themeShade="D9"/>
            </w:tcBorders>
            <w:shd w:val="clear" w:color="auto" w:fill="auto"/>
            <w:vAlign w:val="center"/>
            <w:hideMark/>
          </w:tcPr>
          <w:p w14:paraId="794542FE" w14:textId="77777777" w:rsidR="008F776F" w:rsidRPr="00ED4FEA" w:rsidRDefault="008F776F" w:rsidP="00ED4FEA">
            <w:pPr>
              <w:jc w:val="right"/>
              <w:rPr>
                <w:rFonts w:ascii="Arial Narrow" w:hAnsi="Arial Narrow" w:cs="Arial"/>
                <w:i/>
                <w:iCs/>
                <w:color w:val="000000"/>
                <w:sz w:val="18"/>
                <w:szCs w:val="18"/>
                <w:lang w:val="es-ES_tradnl"/>
              </w:rPr>
            </w:pPr>
            <w:r w:rsidRPr="00ED4FEA">
              <w:rPr>
                <w:rFonts w:ascii="Arial Narrow" w:hAnsi="Arial Narrow"/>
                <w:i/>
                <w:sz w:val="18"/>
                <w:szCs w:val="18"/>
                <w:lang w:val="es-ES_tradnl"/>
              </w:rPr>
              <w:t>334</w:t>
            </w:r>
          </w:p>
        </w:tc>
        <w:tc>
          <w:tcPr>
            <w:tcW w:w="1216" w:type="dxa"/>
            <w:tcBorders>
              <w:top w:val="single" w:sz="4" w:space="0" w:color="D9D9D9" w:themeColor="background1" w:themeShade="D9"/>
              <w:bottom w:val="single" w:sz="4" w:space="0" w:color="D9D9D9" w:themeColor="background1" w:themeShade="D9"/>
            </w:tcBorders>
            <w:shd w:val="clear" w:color="auto" w:fill="auto"/>
            <w:vAlign w:val="center"/>
            <w:hideMark/>
          </w:tcPr>
          <w:p w14:paraId="71280AEC" w14:textId="77777777" w:rsidR="008F776F" w:rsidRPr="00ED4FEA" w:rsidRDefault="008F776F" w:rsidP="00ED4FEA">
            <w:pPr>
              <w:jc w:val="right"/>
              <w:rPr>
                <w:rFonts w:ascii="Arial Narrow" w:hAnsi="Arial Narrow" w:cs="Arial"/>
                <w:i/>
                <w:iCs/>
                <w:color w:val="000000"/>
                <w:sz w:val="18"/>
                <w:szCs w:val="18"/>
                <w:lang w:val="es-ES_tradnl"/>
              </w:rPr>
            </w:pPr>
            <w:r w:rsidRPr="00ED4FEA">
              <w:rPr>
                <w:rFonts w:ascii="Arial Narrow" w:hAnsi="Arial Narrow"/>
                <w:i/>
                <w:sz w:val="18"/>
                <w:szCs w:val="18"/>
                <w:lang w:val="es-ES_tradnl"/>
              </w:rPr>
              <w:t>-</w:t>
            </w:r>
          </w:p>
        </w:tc>
        <w:tc>
          <w:tcPr>
            <w:tcW w:w="1216" w:type="dxa"/>
            <w:tcBorders>
              <w:top w:val="single" w:sz="4" w:space="0" w:color="D9D9D9" w:themeColor="background1" w:themeShade="D9"/>
              <w:bottom w:val="single" w:sz="4" w:space="0" w:color="D9D9D9" w:themeColor="background1" w:themeShade="D9"/>
            </w:tcBorders>
            <w:shd w:val="clear" w:color="auto" w:fill="auto"/>
            <w:vAlign w:val="center"/>
            <w:hideMark/>
          </w:tcPr>
          <w:p w14:paraId="2837FB4B" w14:textId="77777777" w:rsidR="008F776F" w:rsidRPr="00ED4FEA" w:rsidRDefault="008F776F" w:rsidP="00ED4FEA">
            <w:pPr>
              <w:jc w:val="right"/>
              <w:rPr>
                <w:rFonts w:ascii="Arial Narrow" w:hAnsi="Arial Narrow" w:cs="Arial"/>
                <w:i/>
                <w:iCs/>
                <w:color w:val="000000"/>
                <w:sz w:val="18"/>
                <w:szCs w:val="18"/>
                <w:lang w:val="es-ES_tradnl"/>
              </w:rPr>
            </w:pPr>
            <w:r w:rsidRPr="00ED4FEA">
              <w:rPr>
                <w:rFonts w:ascii="Arial Narrow" w:hAnsi="Arial Narrow"/>
                <w:i/>
                <w:sz w:val="18"/>
                <w:szCs w:val="18"/>
                <w:lang w:val="es-ES_tradnl"/>
              </w:rPr>
              <w:t>-</w:t>
            </w:r>
          </w:p>
        </w:tc>
        <w:tc>
          <w:tcPr>
            <w:tcW w:w="1256" w:type="dxa"/>
            <w:tcBorders>
              <w:top w:val="single" w:sz="4" w:space="0" w:color="D9D9D9" w:themeColor="background1" w:themeShade="D9"/>
              <w:bottom w:val="single" w:sz="4" w:space="0" w:color="D9D9D9" w:themeColor="background1" w:themeShade="D9"/>
            </w:tcBorders>
            <w:shd w:val="clear" w:color="auto" w:fill="auto"/>
            <w:vAlign w:val="center"/>
            <w:hideMark/>
          </w:tcPr>
          <w:p w14:paraId="06B033F5" w14:textId="77777777" w:rsidR="008F776F" w:rsidRPr="00ED4FEA" w:rsidRDefault="008F776F" w:rsidP="00ED4FEA">
            <w:pPr>
              <w:jc w:val="right"/>
              <w:rPr>
                <w:rFonts w:ascii="Arial Narrow" w:hAnsi="Arial Narrow" w:cs="Arial"/>
                <w:i/>
                <w:iCs/>
                <w:color w:val="000000"/>
                <w:sz w:val="18"/>
                <w:szCs w:val="18"/>
                <w:lang w:val="es-ES_tradnl"/>
              </w:rPr>
            </w:pPr>
            <w:r w:rsidRPr="00ED4FEA">
              <w:rPr>
                <w:rFonts w:ascii="Arial Narrow" w:hAnsi="Arial Narrow"/>
                <w:i/>
                <w:sz w:val="18"/>
                <w:szCs w:val="18"/>
                <w:lang w:val="es-ES_tradnl"/>
              </w:rPr>
              <w:t>-</w:t>
            </w:r>
          </w:p>
        </w:tc>
      </w:tr>
    </w:tbl>
    <w:p w14:paraId="33D3B89C" w14:textId="77777777" w:rsidR="008F776F" w:rsidRPr="008F776F" w:rsidRDefault="008F776F" w:rsidP="008F776F">
      <w:pPr>
        <w:rPr>
          <w:rFonts w:cs="Arial"/>
          <w:b/>
          <w:bCs/>
          <w:lang w:val="es-ES_tradnl"/>
        </w:rPr>
      </w:pPr>
    </w:p>
    <w:p w14:paraId="5C5DF8F5" w14:textId="77777777" w:rsidR="008F776F" w:rsidRPr="008F776F" w:rsidRDefault="008F776F" w:rsidP="008F776F">
      <w:pPr>
        <w:rPr>
          <w:rFonts w:cs="Arial"/>
          <w:b/>
          <w:bCs/>
          <w:lang w:val="es-ES_tradnl"/>
        </w:rPr>
      </w:pPr>
    </w:p>
    <w:p w14:paraId="1C24C95D" w14:textId="77777777" w:rsidR="008F776F" w:rsidRPr="008F776F" w:rsidRDefault="008F776F" w:rsidP="008F776F">
      <w:pPr>
        <w:rPr>
          <w:rFonts w:cs="Arial"/>
          <w:b/>
          <w:bCs/>
          <w:lang w:val="es-ES_tradnl"/>
        </w:rPr>
      </w:pPr>
    </w:p>
    <w:p w14:paraId="4A4DC003" w14:textId="77777777" w:rsidR="008F776F" w:rsidRPr="008F776F" w:rsidRDefault="008F776F" w:rsidP="008F776F">
      <w:pPr>
        <w:keepNext/>
        <w:jc w:val="center"/>
        <w:rPr>
          <w:i/>
          <w:color w:val="26724C" w:themeColor="accent1" w:themeShade="BF"/>
          <w:sz w:val="18"/>
          <w:lang w:val="es-ES_tradnl"/>
        </w:rPr>
      </w:pPr>
      <w:r w:rsidRPr="008F776F">
        <w:rPr>
          <w:i/>
          <w:color w:val="26724C" w:themeColor="accent1" w:themeShade="BF"/>
          <w:sz w:val="18"/>
          <w:lang w:val="es-ES_tradnl"/>
        </w:rPr>
        <w:t>Figura 1. Evolución de los ingresos, los gastos y las reservas durante el período 2018-2027</w:t>
      </w:r>
    </w:p>
    <w:p w14:paraId="23CC1B04" w14:textId="77777777" w:rsidR="008F776F" w:rsidRPr="008F776F" w:rsidRDefault="008F776F" w:rsidP="008F776F">
      <w:pPr>
        <w:keepNext/>
        <w:jc w:val="center"/>
        <w:rPr>
          <w:i/>
          <w:color w:val="26724C" w:themeColor="accent1" w:themeShade="BF"/>
          <w:sz w:val="18"/>
          <w:lang w:val="es-ES_tradnl"/>
        </w:rPr>
      </w:pPr>
    </w:p>
    <w:p w14:paraId="68353FD1" w14:textId="77777777" w:rsidR="008F776F" w:rsidRPr="008F776F" w:rsidRDefault="008F776F" w:rsidP="008F776F">
      <w:pPr>
        <w:jc w:val="center"/>
        <w:rPr>
          <w:lang w:val="es-ES_tradnl"/>
        </w:rPr>
      </w:pPr>
      <w:r w:rsidRPr="008F776F">
        <w:rPr>
          <w:noProof/>
        </w:rPr>
        <w:drawing>
          <wp:inline distT="0" distB="0" distL="0" distR="0" wp14:anchorId="5826103A" wp14:editId="4749555D">
            <wp:extent cx="5760518" cy="364964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5761" cy="3684649"/>
                    </a:xfrm>
                    <a:prstGeom prst="rect">
                      <a:avLst/>
                    </a:prstGeom>
                    <a:noFill/>
                  </pic:spPr>
                </pic:pic>
              </a:graphicData>
            </a:graphic>
          </wp:inline>
        </w:drawing>
      </w:r>
    </w:p>
    <w:p w14:paraId="5DDE2D2F" w14:textId="77777777" w:rsidR="008F776F" w:rsidRPr="008F776F" w:rsidRDefault="008F776F" w:rsidP="008F776F">
      <w:pPr>
        <w:ind w:left="567" w:hanging="567"/>
        <w:rPr>
          <w:lang w:val="es-ES_tradnl"/>
        </w:rPr>
      </w:pPr>
    </w:p>
    <w:p w14:paraId="2F78525F" w14:textId="77777777" w:rsidR="008F776F" w:rsidRPr="008F776F" w:rsidRDefault="008F776F" w:rsidP="008F776F">
      <w:pPr>
        <w:ind w:left="567" w:hanging="567"/>
        <w:rPr>
          <w:lang w:val="es-ES_tradnl"/>
        </w:rPr>
      </w:pPr>
    </w:p>
    <w:p w14:paraId="35FCC860" w14:textId="77777777" w:rsidR="008F776F" w:rsidRPr="008F776F" w:rsidRDefault="008F776F" w:rsidP="008F776F">
      <w:pPr>
        <w:ind w:left="567" w:hanging="567"/>
        <w:jc w:val="right"/>
        <w:rPr>
          <w:lang w:val="es-ES_tradnl"/>
        </w:rPr>
      </w:pPr>
      <w:r w:rsidRPr="008F776F">
        <w:rPr>
          <w:lang w:val="es-ES_tradnl"/>
        </w:rPr>
        <w:t>[Siguen los apéndices]</w:t>
      </w:r>
    </w:p>
    <w:p w14:paraId="3D9FD7C0" w14:textId="77777777" w:rsidR="008F776F" w:rsidRPr="008F776F" w:rsidRDefault="008F776F" w:rsidP="008F776F">
      <w:pPr>
        <w:ind w:left="567" w:hanging="567"/>
        <w:jc w:val="center"/>
        <w:rPr>
          <w:lang w:val="es-ES_tradnl"/>
        </w:rPr>
      </w:pPr>
    </w:p>
    <w:p w14:paraId="3824C887" w14:textId="77777777" w:rsidR="008F776F" w:rsidRPr="008F776F" w:rsidRDefault="008F776F" w:rsidP="008F776F">
      <w:pPr>
        <w:ind w:left="567" w:hanging="567"/>
        <w:jc w:val="right"/>
        <w:rPr>
          <w:lang w:val="es-ES_tradnl"/>
        </w:rPr>
        <w:sectPr w:rsidR="008F776F" w:rsidRPr="008F776F" w:rsidSect="008F776F">
          <w:headerReference w:type="even" r:id="rId14"/>
          <w:headerReference w:type="default" r:id="rId15"/>
          <w:footerReference w:type="even" r:id="rId16"/>
          <w:footerReference w:type="default" r:id="rId17"/>
          <w:headerReference w:type="first" r:id="rId18"/>
          <w:footerReference w:type="first" r:id="rId19"/>
          <w:pgSz w:w="11907" w:h="16840" w:code="9"/>
          <w:pgMar w:top="510" w:right="1134" w:bottom="993" w:left="1134" w:header="510" w:footer="680" w:gutter="0"/>
          <w:pgNumType w:start="1"/>
          <w:cols w:space="720"/>
          <w:titlePg/>
          <w:docGrid w:linePitch="272"/>
        </w:sectPr>
      </w:pPr>
    </w:p>
    <w:p w14:paraId="762DAC78" w14:textId="77777777" w:rsidR="008F776F" w:rsidRPr="008F776F" w:rsidRDefault="008F776F" w:rsidP="008F776F">
      <w:pPr>
        <w:pStyle w:val="Heading1"/>
        <w:numPr>
          <w:ilvl w:val="0"/>
          <w:numId w:val="1"/>
        </w:numPr>
        <w:ind w:left="567" w:hanging="567"/>
        <w:rPr>
          <w:lang w:val="es-ES_tradnl"/>
        </w:rPr>
      </w:pPr>
      <w:bookmarkStart w:id="484" w:name="_Toc141978869"/>
      <w:r w:rsidRPr="008F776F">
        <w:rPr>
          <w:lang w:val="es-ES_tradnl"/>
        </w:rPr>
        <w:lastRenderedPageBreak/>
        <w:t>APÉNDICES</w:t>
      </w:r>
      <w:bookmarkEnd w:id="484"/>
    </w:p>
    <w:p w14:paraId="513E7818" w14:textId="77777777" w:rsidR="008F776F" w:rsidRPr="008F776F" w:rsidRDefault="008F776F" w:rsidP="008F776F">
      <w:pPr>
        <w:rPr>
          <w:sz w:val="32"/>
          <w:lang w:val="es-ES_tradnl"/>
        </w:rPr>
      </w:pPr>
    </w:p>
    <w:p w14:paraId="64921E56" w14:textId="77777777" w:rsidR="008F776F" w:rsidRPr="008F776F" w:rsidRDefault="008F776F" w:rsidP="008F776F">
      <w:pPr>
        <w:pStyle w:val="Heading9"/>
        <w:ind w:left="1985" w:hanging="1985"/>
        <w:rPr>
          <w:b w:val="0"/>
          <w:lang w:val="es-ES_tradnl"/>
        </w:rPr>
      </w:pPr>
      <w:bookmarkStart w:id="485" w:name="_Toc63091108"/>
      <w:bookmarkStart w:id="486" w:name="_Toc63091305"/>
      <w:bookmarkStart w:id="487" w:name="_Toc63091835"/>
      <w:bookmarkStart w:id="488" w:name="_Toc63091109"/>
      <w:bookmarkStart w:id="489" w:name="_Toc63091306"/>
      <w:bookmarkStart w:id="490" w:name="_Toc63091836"/>
      <w:bookmarkStart w:id="491" w:name="_Toc141978870"/>
      <w:bookmarkEnd w:id="485"/>
      <w:bookmarkEnd w:id="486"/>
      <w:bookmarkEnd w:id="487"/>
      <w:bookmarkEnd w:id="488"/>
      <w:bookmarkEnd w:id="489"/>
      <w:bookmarkEnd w:id="490"/>
      <w:r w:rsidRPr="008F776F">
        <w:rPr>
          <w:lang w:val="es-ES_tradnl"/>
        </w:rPr>
        <w:t>APÉNDICE I</w:t>
      </w:r>
      <w:r w:rsidRPr="008F776F">
        <w:rPr>
          <w:lang w:val="es-ES_tradnl"/>
        </w:rPr>
        <w:tab/>
        <w:t xml:space="preserve">Situación respecto de la Unión Internacional para </w:t>
      </w:r>
      <w:r>
        <w:rPr>
          <w:lang w:val="es-ES_tradnl"/>
        </w:rPr>
        <w:br/>
      </w:r>
      <w:r w:rsidRPr="008F776F">
        <w:rPr>
          <w:lang w:val="es-ES_tradnl"/>
        </w:rPr>
        <w:t xml:space="preserve">la Protección de las Obtenciones Vegetales (UPOV) </w:t>
      </w:r>
      <w:r w:rsidRPr="008F776F">
        <w:rPr>
          <w:lang w:val="es-ES_tradnl"/>
        </w:rPr>
        <w:br/>
        <w:t>al 1 de enero de 2023</w:t>
      </w:r>
      <w:bookmarkEnd w:id="491"/>
    </w:p>
    <w:p w14:paraId="54A2BF7A" w14:textId="77777777" w:rsidR="008F776F" w:rsidRPr="008F776F" w:rsidRDefault="008F776F" w:rsidP="008F776F">
      <w:pPr>
        <w:ind w:left="2268" w:hanging="1984"/>
        <w:jc w:val="center"/>
        <w:rPr>
          <w:b/>
          <w:lang w:val="es-ES_tradnl"/>
        </w:rPr>
      </w:pPr>
    </w:p>
    <w:p w14:paraId="02989D4A" w14:textId="77777777" w:rsidR="008F776F" w:rsidRPr="008F776F" w:rsidRDefault="008F776F" w:rsidP="008F776F">
      <w:pPr>
        <w:rPr>
          <w:rFonts w:cs="Arial"/>
          <w:i/>
          <w:sz w:val="16"/>
          <w:szCs w:val="24"/>
          <w:lang w:val="es-ES_tradnl"/>
        </w:rPr>
      </w:pPr>
    </w:p>
    <w:p w14:paraId="33D6DDED" w14:textId="77777777" w:rsidR="008F776F" w:rsidRPr="008F776F" w:rsidRDefault="008F776F" w:rsidP="008F776F">
      <w:pPr>
        <w:ind w:left="284" w:hanging="284"/>
        <w:jc w:val="left"/>
        <w:rPr>
          <w:rFonts w:cs="Arial"/>
          <w:b/>
          <w:color w:val="26724C" w:themeColor="accent1" w:themeShade="BF"/>
          <w:sz w:val="18"/>
          <w:lang w:val="es-ES_tradnl"/>
        </w:rPr>
      </w:pPr>
      <w:r w:rsidRPr="008F776F">
        <w:rPr>
          <w:b/>
          <w:color w:val="26724C" w:themeColor="accent1" w:themeShade="BF"/>
          <w:sz w:val="18"/>
          <w:lang w:val="es-ES_tradnl"/>
        </w:rPr>
        <w:t>A.</w:t>
      </w:r>
      <w:r w:rsidRPr="008F776F">
        <w:rPr>
          <w:b/>
          <w:color w:val="26724C" w:themeColor="accent1" w:themeShade="BF"/>
          <w:sz w:val="18"/>
          <w:lang w:val="es-ES_tradnl"/>
        </w:rPr>
        <w:tab/>
        <w:t>Miembros de la UPOV</w:t>
      </w:r>
    </w:p>
    <w:p w14:paraId="550C8FDC" w14:textId="77777777" w:rsidR="008F776F" w:rsidRPr="008F776F" w:rsidRDefault="008F776F" w:rsidP="008F776F">
      <w:pPr>
        <w:pStyle w:val="BodyText"/>
        <w:spacing w:before="120"/>
        <w:rPr>
          <w:rFonts w:cs="Arial"/>
          <w:sz w:val="16"/>
          <w:szCs w:val="16"/>
          <w:lang w:val="es-ES_tradnl"/>
        </w:rPr>
      </w:pPr>
    </w:p>
    <w:p w14:paraId="5DF7D5B1" w14:textId="77777777" w:rsidR="008F776F" w:rsidRPr="008F776F" w:rsidRDefault="008F776F" w:rsidP="008F776F">
      <w:pPr>
        <w:spacing w:before="40"/>
        <w:rPr>
          <w:rFonts w:cs="Arial"/>
          <w:sz w:val="16"/>
          <w:szCs w:val="16"/>
          <w:lang w:val="es-ES_tradnl"/>
        </w:rPr>
        <w:sectPr w:rsidR="008F776F" w:rsidRPr="008F776F" w:rsidSect="0016531D">
          <w:headerReference w:type="even" r:id="rId20"/>
          <w:headerReference w:type="default" r:id="rId21"/>
          <w:footerReference w:type="even" r:id="rId22"/>
          <w:footerReference w:type="default" r:id="rId23"/>
          <w:headerReference w:type="first" r:id="rId24"/>
          <w:footerReference w:type="first" r:id="rId25"/>
          <w:pgSz w:w="11907" w:h="16840" w:code="9"/>
          <w:pgMar w:top="510" w:right="1134" w:bottom="851" w:left="1134" w:header="510" w:footer="624" w:gutter="0"/>
          <w:cols w:space="720"/>
          <w:docGrid w:linePitch="272"/>
        </w:sectPr>
      </w:pPr>
    </w:p>
    <w:p w14:paraId="07CDE14A" w14:textId="77777777" w:rsidR="008F776F" w:rsidRPr="008F776F" w:rsidRDefault="008F776F" w:rsidP="008F776F">
      <w:pPr>
        <w:spacing w:before="20"/>
        <w:ind w:left="113" w:hanging="113"/>
        <w:jc w:val="left"/>
        <w:rPr>
          <w:sz w:val="16"/>
          <w:szCs w:val="16"/>
          <w:lang w:val="es-ES_tradnl"/>
        </w:rPr>
      </w:pPr>
      <w:r w:rsidRPr="008F776F">
        <w:rPr>
          <w:sz w:val="16"/>
          <w:lang w:val="es-ES_tradnl"/>
        </w:rPr>
        <w:t>Albania</w:t>
      </w:r>
      <w:r w:rsidRPr="008F776F">
        <w:rPr>
          <w:sz w:val="16"/>
          <w:vertAlign w:val="superscript"/>
          <w:lang w:val="es-ES_tradnl"/>
        </w:rPr>
        <w:t>2</w:t>
      </w:r>
    </w:p>
    <w:p w14:paraId="00487C46" w14:textId="77777777" w:rsidR="008F776F" w:rsidRPr="008F776F" w:rsidRDefault="008F776F" w:rsidP="008F776F">
      <w:pPr>
        <w:spacing w:before="20"/>
        <w:ind w:left="113" w:hanging="113"/>
        <w:jc w:val="left"/>
        <w:rPr>
          <w:sz w:val="16"/>
          <w:szCs w:val="16"/>
          <w:lang w:val="es-ES_tradnl"/>
        </w:rPr>
      </w:pPr>
      <w:r w:rsidRPr="008F776F">
        <w:rPr>
          <w:sz w:val="16"/>
          <w:lang w:val="es-ES_tradnl"/>
        </w:rPr>
        <w:t>Alemania</w:t>
      </w:r>
      <w:r w:rsidRPr="008F776F">
        <w:rPr>
          <w:sz w:val="16"/>
          <w:vertAlign w:val="superscript"/>
          <w:lang w:val="es-ES_tradnl"/>
        </w:rPr>
        <w:t>2</w:t>
      </w:r>
    </w:p>
    <w:p w14:paraId="77D4393B" w14:textId="77777777" w:rsidR="008F776F" w:rsidRPr="008F776F" w:rsidRDefault="008F776F" w:rsidP="008F776F">
      <w:pPr>
        <w:spacing w:before="20"/>
        <w:ind w:left="113" w:hanging="113"/>
        <w:jc w:val="left"/>
        <w:rPr>
          <w:sz w:val="16"/>
          <w:szCs w:val="16"/>
          <w:lang w:val="es-ES_tradnl"/>
        </w:rPr>
      </w:pPr>
      <w:r w:rsidRPr="008F776F">
        <w:rPr>
          <w:sz w:val="16"/>
          <w:lang w:val="es-ES_tradnl"/>
        </w:rPr>
        <w:t>Argentina</w:t>
      </w:r>
      <w:r w:rsidRPr="008F776F">
        <w:rPr>
          <w:sz w:val="16"/>
          <w:vertAlign w:val="superscript"/>
          <w:lang w:val="es-ES_tradnl"/>
        </w:rPr>
        <w:t>1</w:t>
      </w:r>
    </w:p>
    <w:p w14:paraId="23A4884B" w14:textId="77777777" w:rsidR="008F776F" w:rsidRPr="008F776F" w:rsidRDefault="008F776F" w:rsidP="008F776F">
      <w:pPr>
        <w:spacing w:before="20"/>
        <w:ind w:left="113" w:hanging="113"/>
        <w:jc w:val="left"/>
        <w:rPr>
          <w:sz w:val="16"/>
          <w:szCs w:val="16"/>
          <w:lang w:val="es-ES_tradnl"/>
        </w:rPr>
      </w:pPr>
      <w:r w:rsidRPr="008F776F">
        <w:rPr>
          <w:sz w:val="16"/>
          <w:lang w:val="es-ES_tradnl"/>
        </w:rPr>
        <w:t>Australia</w:t>
      </w:r>
      <w:r w:rsidRPr="008F776F">
        <w:rPr>
          <w:sz w:val="16"/>
          <w:vertAlign w:val="superscript"/>
          <w:lang w:val="es-ES_tradnl"/>
        </w:rPr>
        <w:t>2</w:t>
      </w:r>
    </w:p>
    <w:p w14:paraId="7A0D70D8" w14:textId="77777777" w:rsidR="008F776F" w:rsidRPr="008F776F" w:rsidRDefault="008F776F" w:rsidP="008F776F">
      <w:pPr>
        <w:spacing w:before="20"/>
        <w:ind w:left="113" w:hanging="113"/>
        <w:jc w:val="left"/>
        <w:rPr>
          <w:sz w:val="16"/>
          <w:szCs w:val="16"/>
          <w:lang w:val="es-ES_tradnl"/>
        </w:rPr>
      </w:pPr>
      <w:r w:rsidRPr="008F776F">
        <w:rPr>
          <w:sz w:val="16"/>
          <w:lang w:val="es-ES_tradnl"/>
        </w:rPr>
        <w:t>Austria</w:t>
      </w:r>
      <w:r w:rsidRPr="008F776F">
        <w:rPr>
          <w:sz w:val="16"/>
          <w:vertAlign w:val="superscript"/>
          <w:lang w:val="es-ES_tradnl"/>
        </w:rPr>
        <w:t>2</w:t>
      </w:r>
    </w:p>
    <w:p w14:paraId="70AF193C" w14:textId="77777777" w:rsidR="008F776F" w:rsidRPr="008F776F" w:rsidRDefault="008F776F" w:rsidP="008F776F">
      <w:pPr>
        <w:spacing w:before="20"/>
        <w:ind w:left="113" w:hanging="113"/>
        <w:jc w:val="left"/>
        <w:rPr>
          <w:sz w:val="16"/>
          <w:szCs w:val="16"/>
          <w:lang w:val="es-ES_tradnl"/>
        </w:rPr>
      </w:pPr>
      <w:r w:rsidRPr="008F776F">
        <w:rPr>
          <w:sz w:val="16"/>
          <w:lang w:val="es-ES_tradnl"/>
        </w:rPr>
        <w:t>Azerbaiyán</w:t>
      </w:r>
      <w:r w:rsidRPr="008F776F">
        <w:rPr>
          <w:sz w:val="16"/>
          <w:vertAlign w:val="superscript"/>
          <w:lang w:val="es-ES_tradnl"/>
        </w:rPr>
        <w:t>2</w:t>
      </w:r>
    </w:p>
    <w:p w14:paraId="0867FBED" w14:textId="77777777" w:rsidR="008F776F" w:rsidRPr="008F776F" w:rsidRDefault="008F776F" w:rsidP="008F776F">
      <w:pPr>
        <w:spacing w:before="20"/>
        <w:ind w:left="113" w:hanging="113"/>
        <w:jc w:val="left"/>
        <w:rPr>
          <w:sz w:val="16"/>
          <w:szCs w:val="16"/>
          <w:lang w:val="es-ES_tradnl"/>
        </w:rPr>
      </w:pPr>
      <w:r w:rsidRPr="008F776F">
        <w:rPr>
          <w:sz w:val="16"/>
          <w:lang w:val="es-ES_tradnl"/>
        </w:rPr>
        <w:t>Belarús</w:t>
      </w:r>
      <w:r w:rsidRPr="008F776F">
        <w:rPr>
          <w:sz w:val="16"/>
          <w:vertAlign w:val="superscript"/>
          <w:lang w:val="es-ES_tradnl"/>
        </w:rPr>
        <w:t>2</w:t>
      </w:r>
    </w:p>
    <w:p w14:paraId="18386095" w14:textId="77777777" w:rsidR="008F776F" w:rsidRPr="008F776F" w:rsidRDefault="008F776F" w:rsidP="008F776F">
      <w:pPr>
        <w:spacing w:before="20"/>
        <w:ind w:left="113" w:hanging="113"/>
        <w:jc w:val="left"/>
        <w:rPr>
          <w:sz w:val="16"/>
          <w:szCs w:val="16"/>
          <w:lang w:val="es-ES_tradnl"/>
        </w:rPr>
      </w:pPr>
      <w:r w:rsidRPr="008F776F">
        <w:rPr>
          <w:sz w:val="16"/>
          <w:lang w:val="es-ES_tradnl"/>
        </w:rPr>
        <w:t>Bélgica</w:t>
      </w:r>
      <w:r w:rsidRPr="008F776F">
        <w:rPr>
          <w:sz w:val="16"/>
          <w:vertAlign w:val="superscript"/>
          <w:lang w:val="es-ES_tradnl"/>
        </w:rPr>
        <w:t>2</w:t>
      </w:r>
    </w:p>
    <w:p w14:paraId="45DDF16C" w14:textId="77777777" w:rsidR="008F776F" w:rsidRPr="008F776F" w:rsidRDefault="008F776F" w:rsidP="008F776F">
      <w:pPr>
        <w:spacing w:before="20"/>
        <w:ind w:left="113" w:hanging="113"/>
        <w:jc w:val="left"/>
        <w:rPr>
          <w:sz w:val="16"/>
          <w:szCs w:val="16"/>
          <w:lang w:val="es-ES_tradnl"/>
        </w:rPr>
      </w:pPr>
      <w:r w:rsidRPr="008F776F">
        <w:rPr>
          <w:sz w:val="16"/>
          <w:lang w:val="es-ES_tradnl"/>
        </w:rPr>
        <w:t>Bolivia (Estado Plurinacional de)</w:t>
      </w:r>
      <w:r w:rsidRPr="008F776F">
        <w:rPr>
          <w:sz w:val="16"/>
          <w:vertAlign w:val="superscript"/>
          <w:lang w:val="es-ES_tradnl"/>
        </w:rPr>
        <w:t>1</w:t>
      </w:r>
    </w:p>
    <w:p w14:paraId="6E838609" w14:textId="77777777" w:rsidR="008F776F" w:rsidRPr="008F776F" w:rsidRDefault="008F776F" w:rsidP="008F776F">
      <w:pPr>
        <w:spacing w:before="20"/>
        <w:ind w:left="113" w:hanging="113"/>
        <w:jc w:val="left"/>
        <w:rPr>
          <w:sz w:val="16"/>
          <w:szCs w:val="16"/>
          <w:lang w:val="es-ES_tradnl"/>
        </w:rPr>
      </w:pPr>
      <w:r w:rsidRPr="008F776F">
        <w:rPr>
          <w:sz w:val="16"/>
          <w:lang w:val="es-ES_tradnl"/>
        </w:rPr>
        <w:t>Bosnia y Herzegovina</w:t>
      </w:r>
      <w:r w:rsidRPr="008F776F">
        <w:rPr>
          <w:sz w:val="16"/>
          <w:vertAlign w:val="superscript"/>
          <w:lang w:val="es-ES_tradnl"/>
        </w:rPr>
        <w:t>2</w:t>
      </w:r>
    </w:p>
    <w:p w14:paraId="46BA0440" w14:textId="77777777" w:rsidR="008F776F" w:rsidRPr="008F776F" w:rsidRDefault="008F776F" w:rsidP="008F776F">
      <w:pPr>
        <w:spacing w:before="20"/>
        <w:ind w:left="113" w:hanging="113"/>
        <w:jc w:val="left"/>
        <w:rPr>
          <w:sz w:val="16"/>
          <w:szCs w:val="16"/>
          <w:lang w:val="es-ES_tradnl"/>
        </w:rPr>
      </w:pPr>
      <w:r w:rsidRPr="008F776F">
        <w:rPr>
          <w:sz w:val="16"/>
          <w:lang w:val="es-ES_tradnl"/>
        </w:rPr>
        <w:t>Brasil</w:t>
      </w:r>
      <w:r w:rsidRPr="008F776F">
        <w:rPr>
          <w:sz w:val="16"/>
          <w:vertAlign w:val="superscript"/>
          <w:lang w:val="es-ES_tradnl"/>
        </w:rPr>
        <w:t>1</w:t>
      </w:r>
    </w:p>
    <w:p w14:paraId="6941E430" w14:textId="77777777" w:rsidR="008F776F" w:rsidRPr="008F776F" w:rsidRDefault="008F776F" w:rsidP="008F776F">
      <w:pPr>
        <w:spacing w:before="20"/>
        <w:ind w:left="113" w:hanging="113"/>
        <w:jc w:val="left"/>
        <w:rPr>
          <w:sz w:val="16"/>
          <w:szCs w:val="16"/>
          <w:lang w:val="es-ES_tradnl"/>
        </w:rPr>
      </w:pPr>
      <w:r w:rsidRPr="008F776F">
        <w:rPr>
          <w:sz w:val="16"/>
          <w:lang w:val="es-ES_tradnl"/>
        </w:rPr>
        <w:t>Bulgaria</w:t>
      </w:r>
      <w:r w:rsidRPr="008F776F">
        <w:rPr>
          <w:sz w:val="16"/>
          <w:vertAlign w:val="superscript"/>
          <w:lang w:val="es-ES_tradnl"/>
        </w:rPr>
        <w:t>2</w:t>
      </w:r>
    </w:p>
    <w:p w14:paraId="1FDBF695" w14:textId="77777777" w:rsidR="008F776F" w:rsidRPr="008F776F" w:rsidRDefault="008F776F" w:rsidP="008F776F">
      <w:pPr>
        <w:spacing w:before="20"/>
        <w:ind w:left="113" w:hanging="113"/>
        <w:jc w:val="left"/>
        <w:rPr>
          <w:sz w:val="16"/>
          <w:szCs w:val="16"/>
          <w:lang w:val="es-ES_tradnl"/>
        </w:rPr>
      </w:pPr>
      <w:r w:rsidRPr="008F776F">
        <w:rPr>
          <w:sz w:val="16"/>
          <w:lang w:val="es-ES_tradnl"/>
        </w:rPr>
        <w:t>Canadá</w:t>
      </w:r>
      <w:r w:rsidRPr="008F776F">
        <w:rPr>
          <w:sz w:val="16"/>
          <w:vertAlign w:val="superscript"/>
          <w:lang w:val="es-ES_tradnl"/>
        </w:rPr>
        <w:t>2</w:t>
      </w:r>
    </w:p>
    <w:p w14:paraId="548F703E" w14:textId="77777777" w:rsidR="008F776F" w:rsidRPr="008F776F" w:rsidRDefault="008F776F" w:rsidP="008F776F">
      <w:pPr>
        <w:spacing w:before="20"/>
        <w:ind w:left="113" w:hanging="113"/>
        <w:jc w:val="left"/>
        <w:rPr>
          <w:sz w:val="16"/>
          <w:szCs w:val="16"/>
          <w:lang w:val="es-ES_tradnl"/>
        </w:rPr>
      </w:pPr>
      <w:r w:rsidRPr="008F776F">
        <w:rPr>
          <w:sz w:val="16"/>
          <w:lang w:val="es-ES_tradnl"/>
        </w:rPr>
        <w:t>Chile</w:t>
      </w:r>
      <w:r w:rsidRPr="008F776F">
        <w:rPr>
          <w:sz w:val="16"/>
          <w:vertAlign w:val="superscript"/>
          <w:lang w:val="es-ES_tradnl"/>
        </w:rPr>
        <w:t>1</w:t>
      </w:r>
    </w:p>
    <w:p w14:paraId="1DD1EA9E" w14:textId="77777777" w:rsidR="008F776F" w:rsidRPr="008F776F" w:rsidRDefault="008F776F" w:rsidP="008F776F">
      <w:pPr>
        <w:spacing w:before="20"/>
        <w:ind w:left="113" w:hanging="113"/>
        <w:jc w:val="left"/>
        <w:rPr>
          <w:sz w:val="16"/>
          <w:szCs w:val="16"/>
          <w:lang w:val="es-ES_tradnl"/>
        </w:rPr>
      </w:pPr>
      <w:r w:rsidRPr="008F776F">
        <w:rPr>
          <w:sz w:val="16"/>
          <w:lang w:val="es-ES_tradnl"/>
        </w:rPr>
        <w:t>China</w:t>
      </w:r>
      <w:r w:rsidRPr="008F776F">
        <w:rPr>
          <w:sz w:val="16"/>
          <w:vertAlign w:val="superscript"/>
          <w:lang w:val="es-ES_tradnl"/>
        </w:rPr>
        <w:t>1</w:t>
      </w:r>
    </w:p>
    <w:p w14:paraId="19227F0D" w14:textId="77777777" w:rsidR="008F776F" w:rsidRPr="008F776F" w:rsidRDefault="008F776F" w:rsidP="008F776F">
      <w:pPr>
        <w:spacing w:before="20"/>
        <w:ind w:left="113" w:hanging="113"/>
        <w:jc w:val="left"/>
        <w:rPr>
          <w:sz w:val="16"/>
          <w:szCs w:val="16"/>
          <w:lang w:val="es-ES_tradnl"/>
        </w:rPr>
      </w:pPr>
      <w:r w:rsidRPr="008F776F">
        <w:rPr>
          <w:sz w:val="16"/>
          <w:lang w:val="es-ES_tradnl"/>
        </w:rPr>
        <w:t>Colombia</w:t>
      </w:r>
      <w:r w:rsidRPr="008F776F">
        <w:rPr>
          <w:sz w:val="16"/>
          <w:vertAlign w:val="superscript"/>
          <w:lang w:val="es-ES_tradnl"/>
        </w:rPr>
        <w:t>1</w:t>
      </w:r>
    </w:p>
    <w:p w14:paraId="5B70CC6B" w14:textId="77777777" w:rsidR="008F776F" w:rsidRPr="008F776F" w:rsidRDefault="008F776F" w:rsidP="008F776F">
      <w:pPr>
        <w:spacing w:before="20"/>
        <w:ind w:left="113" w:hanging="113"/>
        <w:jc w:val="left"/>
        <w:rPr>
          <w:sz w:val="16"/>
          <w:szCs w:val="16"/>
          <w:lang w:val="es-ES_tradnl"/>
        </w:rPr>
      </w:pPr>
      <w:r w:rsidRPr="008F776F">
        <w:rPr>
          <w:sz w:val="16"/>
          <w:lang w:val="es-ES_tradnl"/>
        </w:rPr>
        <w:t>Costa Rica</w:t>
      </w:r>
      <w:r w:rsidRPr="008F776F">
        <w:rPr>
          <w:sz w:val="16"/>
          <w:vertAlign w:val="superscript"/>
          <w:lang w:val="es-ES_tradnl"/>
        </w:rPr>
        <w:t>2</w:t>
      </w:r>
    </w:p>
    <w:p w14:paraId="115F15A4" w14:textId="77777777" w:rsidR="008F776F" w:rsidRPr="008F776F" w:rsidRDefault="008F776F" w:rsidP="008F776F">
      <w:pPr>
        <w:spacing w:before="20"/>
        <w:ind w:left="113" w:hanging="113"/>
        <w:jc w:val="left"/>
        <w:rPr>
          <w:sz w:val="16"/>
          <w:szCs w:val="16"/>
          <w:lang w:val="es-ES_tradnl"/>
        </w:rPr>
      </w:pPr>
      <w:r w:rsidRPr="008F776F">
        <w:rPr>
          <w:sz w:val="16"/>
          <w:lang w:val="es-ES_tradnl"/>
        </w:rPr>
        <w:t>Croacia</w:t>
      </w:r>
      <w:r w:rsidRPr="008F776F">
        <w:rPr>
          <w:sz w:val="16"/>
          <w:vertAlign w:val="superscript"/>
          <w:lang w:val="es-ES_tradnl"/>
        </w:rPr>
        <w:t>2</w:t>
      </w:r>
    </w:p>
    <w:p w14:paraId="07CDF638" w14:textId="77777777" w:rsidR="008F776F" w:rsidRPr="008F776F" w:rsidRDefault="008F776F" w:rsidP="008F776F">
      <w:pPr>
        <w:spacing w:before="20"/>
        <w:ind w:left="113" w:hanging="113"/>
        <w:jc w:val="left"/>
        <w:rPr>
          <w:sz w:val="16"/>
          <w:szCs w:val="16"/>
          <w:lang w:val="es-ES_tradnl"/>
        </w:rPr>
      </w:pPr>
      <w:r w:rsidRPr="008F776F">
        <w:rPr>
          <w:sz w:val="16"/>
          <w:lang w:val="es-ES_tradnl"/>
        </w:rPr>
        <w:t>Dinamarca</w:t>
      </w:r>
      <w:r w:rsidRPr="008F776F">
        <w:rPr>
          <w:sz w:val="16"/>
          <w:vertAlign w:val="superscript"/>
          <w:lang w:val="es-ES_tradnl"/>
        </w:rPr>
        <w:t>2</w:t>
      </w:r>
    </w:p>
    <w:p w14:paraId="036B7A52" w14:textId="77777777" w:rsidR="008F776F" w:rsidRPr="008F776F" w:rsidRDefault="008F776F" w:rsidP="008F776F">
      <w:pPr>
        <w:spacing w:before="20"/>
        <w:ind w:left="113" w:hanging="113"/>
        <w:jc w:val="left"/>
        <w:rPr>
          <w:sz w:val="16"/>
          <w:szCs w:val="16"/>
          <w:lang w:val="es-ES_tradnl"/>
        </w:rPr>
      </w:pPr>
      <w:r w:rsidRPr="008F776F">
        <w:rPr>
          <w:sz w:val="16"/>
          <w:lang w:val="es-ES_tradnl"/>
        </w:rPr>
        <w:t>Ecuador</w:t>
      </w:r>
      <w:r w:rsidRPr="008F776F">
        <w:rPr>
          <w:sz w:val="16"/>
          <w:vertAlign w:val="superscript"/>
          <w:lang w:val="es-ES_tradnl"/>
        </w:rPr>
        <w:t>1</w:t>
      </w:r>
    </w:p>
    <w:p w14:paraId="4D404333" w14:textId="77777777" w:rsidR="008F776F" w:rsidRPr="008F776F" w:rsidRDefault="008F776F" w:rsidP="008F776F">
      <w:pPr>
        <w:spacing w:before="20"/>
        <w:ind w:left="113" w:hanging="113"/>
        <w:jc w:val="left"/>
        <w:rPr>
          <w:sz w:val="16"/>
          <w:szCs w:val="16"/>
          <w:lang w:val="es-ES_tradnl"/>
        </w:rPr>
      </w:pPr>
      <w:r w:rsidRPr="008F776F">
        <w:rPr>
          <w:sz w:val="16"/>
          <w:lang w:val="es-ES_tradnl"/>
        </w:rPr>
        <w:t>Egipto</w:t>
      </w:r>
      <w:r w:rsidRPr="008F776F">
        <w:rPr>
          <w:sz w:val="16"/>
          <w:vertAlign w:val="superscript"/>
          <w:lang w:val="es-ES_tradnl"/>
        </w:rPr>
        <w:t>2</w:t>
      </w:r>
    </w:p>
    <w:p w14:paraId="355EEA33" w14:textId="77777777" w:rsidR="008F776F" w:rsidRPr="008F776F" w:rsidRDefault="008F776F" w:rsidP="008F776F">
      <w:pPr>
        <w:spacing w:before="20"/>
        <w:ind w:left="113" w:hanging="113"/>
        <w:jc w:val="left"/>
        <w:rPr>
          <w:sz w:val="16"/>
          <w:szCs w:val="16"/>
          <w:lang w:val="es-ES_tradnl"/>
        </w:rPr>
      </w:pPr>
      <w:r w:rsidRPr="008F776F">
        <w:rPr>
          <w:sz w:val="16"/>
          <w:lang w:val="es-ES_tradnl"/>
        </w:rPr>
        <w:t>Eslovaquia</w:t>
      </w:r>
      <w:r w:rsidRPr="008F776F">
        <w:rPr>
          <w:sz w:val="16"/>
          <w:vertAlign w:val="superscript"/>
          <w:lang w:val="es-ES_tradnl"/>
        </w:rPr>
        <w:t>2</w:t>
      </w:r>
    </w:p>
    <w:p w14:paraId="154B64DF" w14:textId="77777777" w:rsidR="008F776F" w:rsidRPr="008F776F" w:rsidRDefault="008F776F" w:rsidP="008F776F">
      <w:pPr>
        <w:spacing w:before="20"/>
        <w:ind w:left="113" w:hanging="113"/>
        <w:jc w:val="left"/>
        <w:rPr>
          <w:sz w:val="16"/>
          <w:szCs w:val="16"/>
          <w:lang w:val="es-ES_tradnl"/>
        </w:rPr>
      </w:pPr>
      <w:r w:rsidRPr="008F776F">
        <w:rPr>
          <w:sz w:val="16"/>
          <w:lang w:val="es-ES_tradnl"/>
        </w:rPr>
        <w:t>Eslovenia</w:t>
      </w:r>
      <w:r w:rsidRPr="008F776F">
        <w:rPr>
          <w:sz w:val="16"/>
          <w:vertAlign w:val="superscript"/>
          <w:lang w:val="es-ES_tradnl"/>
        </w:rPr>
        <w:t>2</w:t>
      </w:r>
    </w:p>
    <w:p w14:paraId="08697749" w14:textId="77777777" w:rsidR="008F776F" w:rsidRPr="008F776F" w:rsidRDefault="008F776F" w:rsidP="008F776F">
      <w:pPr>
        <w:spacing w:before="20"/>
        <w:ind w:left="113" w:hanging="113"/>
        <w:jc w:val="left"/>
        <w:rPr>
          <w:sz w:val="16"/>
          <w:szCs w:val="16"/>
          <w:lang w:val="es-ES_tradnl"/>
        </w:rPr>
      </w:pPr>
      <w:r w:rsidRPr="008F776F">
        <w:rPr>
          <w:sz w:val="16"/>
          <w:lang w:val="es-ES_tradnl"/>
        </w:rPr>
        <w:t>España</w:t>
      </w:r>
      <w:r w:rsidRPr="008F776F">
        <w:rPr>
          <w:sz w:val="16"/>
          <w:vertAlign w:val="superscript"/>
          <w:lang w:val="es-ES_tradnl"/>
        </w:rPr>
        <w:t>2</w:t>
      </w:r>
    </w:p>
    <w:p w14:paraId="5111EECE" w14:textId="77777777" w:rsidR="008F776F" w:rsidRPr="008F776F" w:rsidRDefault="008F776F" w:rsidP="008F776F">
      <w:pPr>
        <w:spacing w:before="20"/>
        <w:ind w:left="113" w:hanging="113"/>
        <w:jc w:val="left"/>
        <w:rPr>
          <w:sz w:val="16"/>
          <w:szCs w:val="16"/>
          <w:lang w:val="es-ES_tradnl"/>
        </w:rPr>
      </w:pPr>
      <w:r w:rsidRPr="008F776F">
        <w:rPr>
          <w:sz w:val="16"/>
          <w:lang w:val="es-ES_tradnl"/>
        </w:rPr>
        <w:t>Estados Unidos de América</w:t>
      </w:r>
      <w:r w:rsidRPr="008F776F">
        <w:rPr>
          <w:sz w:val="16"/>
          <w:vertAlign w:val="superscript"/>
          <w:lang w:val="es-ES_tradnl"/>
        </w:rPr>
        <w:t>2</w:t>
      </w:r>
    </w:p>
    <w:p w14:paraId="38033306" w14:textId="77777777" w:rsidR="008F776F" w:rsidRPr="008F776F" w:rsidRDefault="008F776F" w:rsidP="008F776F">
      <w:pPr>
        <w:spacing w:before="20"/>
        <w:ind w:left="113" w:hanging="113"/>
        <w:jc w:val="left"/>
        <w:rPr>
          <w:sz w:val="16"/>
          <w:szCs w:val="16"/>
          <w:lang w:val="es-ES_tradnl"/>
        </w:rPr>
      </w:pPr>
      <w:r w:rsidRPr="008F776F">
        <w:rPr>
          <w:sz w:val="16"/>
          <w:lang w:val="es-ES_tradnl"/>
        </w:rPr>
        <w:t>Estonia</w:t>
      </w:r>
      <w:r w:rsidRPr="008F776F">
        <w:rPr>
          <w:sz w:val="16"/>
          <w:vertAlign w:val="superscript"/>
          <w:lang w:val="es-ES_tradnl"/>
        </w:rPr>
        <w:t>2</w:t>
      </w:r>
    </w:p>
    <w:p w14:paraId="6DC92D04" w14:textId="77777777" w:rsidR="008F776F" w:rsidRPr="008F776F" w:rsidRDefault="008F776F" w:rsidP="008F776F">
      <w:pPr>
        <w:spacing w:before="20"/>
        <w:ind w:left="113" w:hanging="113"/>
        <w:jc w:val="left"/>
        <w:rPr>
          <w:sz w:val="16"/>
          <w:szCs w:val="16"/>
          <w:lang w:val="es-ES_tradnl"/>
        </w:rPr>
      </w:pPr>
      <w:r w:rsidRPr="008F776F">
        <w:rPr>
          <w:sz w:val="16"/>
          <w:lang w:val="es-ES_tradnl"/>
        </w:rPr>
        <w:t>Federación de Rusia</w:t>
      </w:r>
      <w:r w:rsidRPr="008F776F">
        <w:rPr>
          <w:sz w:val="16"/>
          <w:vertAlign w:val="superscript"/>
          <w:lang w:val="es-ES_tradnl"/>
        </w:rPr>
        <w:t>2</w:t>
      </w:r>
    </w:p>
    <w:p w14:paraId="59D0E95D" w14:textId="77777777" w:rsidR="008F776F" w:rsidRPr="008F776F" w:rsidRDefault="008F776F" w:rsidP="008F776F">
      <w:pPr>
        <w:spacing w:before="20"/>
        <w:ind w:left="113" w:hanging="113"/>
        <w:jc w:val="left"/>
        <w:rPr>
          <w:sz w:val="16"/>
          <w:szCs w:val="16"/>
          <w:lang w:val="es-ES_tradnl"/>
        </w:rPr>
      </w:pPr>
      <w:r w:rsidRPr="008F776F">
        <w:rPr>
          <w:sz w:val="16"/>
          <w:lang w:val="es-ES_tradnl"/>
        </w:rPr>
        <w:t>Finlandia</w:t>
      </w:r>
      <w:r w:rsidRPr="008F776F">
        <w:rPr>
          <w:sz w:val="16"/>
          <w:vertAlign w:val="superscript"/>
          <w:lang w:val="es-ES_tradnl"/>
        </w:rPr>
        <w:t>2</w:t>
      </w:r>
    </w:p>
    <w:p w14:paraId="3E9578D1" w14:textId="77777777" w:rsidR="008F776F" w:rsidRPr="008F776F" w:rsidRDefault="008F776F" w:rsidP="008F776F">
      <w:pPr>
        <w:spacing w:before="20"/>
        <w:ind w:left="113" w:hanging="113"/>
        <w:jc w:val="left"/>
        <w:rPr>
          <w:sz w:val="16"/>
          <w:szCs w:val="16"/>
          <w:lang w:val="es-ES_tradnl"/>
        </w:rPr>
      </w:pPr>
      <w:r w:rsidRPr="008F776F">
        <w:rPr>
          <w:sz w:val="16"/>
          <w:lang w:val="es-ES_tradnl"/>
        </w:rPr>
        <w:t>Francia</w:t>
      </w:r>
      <w:r w:rsidRPr="008F776F">
        <w:rPr>
          <w:sz w:val="16"/>
          <w:vertAlign w:val="superscript"/>
          <w:lang w:val="es-ES_tradnl"/>
        </w:rPr>
        <w:t>2</w:t>
      </w:r>
    </w:p>
    <w:p w14:paraId="0748B036" w14:textId="77777777" w:rsidR="008F776F" w:rsidRPr="008F776F" w:rsidRDefault="008F776F" w:rsidP="008F776F">
      <w:pPr>
        <w:spacing w:before="20"/>
        <w:ind w:left="113" w:hanging="113"/>
        <w:jc w:val="left"/>
        <w:rPr>
          <w:sz w:val="16"/>
          <w:szCs w:val="16"/>
          <w:lang w:val="es-ES_tradnl"/>
        </w:rPr>
      </w:pPr>
      <w:r w:rsidRPr="008F776F">
        <w:rPr>
          <w:sz w:val="16"/>
          <w:lang w:val="es-ES_tradnl"/>
        </w:rPr>
        <w:t>Georgia</w:t>
      </w:r>
      <w:r w:rsidRPr="008F776F">
        <w:rPr>
          <w:sz w:val="16"/>
          <w:vertAlign w:val="superscript"/>
          <w:lang w:val="es-ES_tradnl"/>
        </w:rPr>
        <w:t>2</w:t>
      </w:r>
    </w:p>
    <w:p w14:paraId="0A9CC9A2" w14:textId="77777777" w:rsidR="008F776F" w:rsidRPr="008F776F" w:rsidRDefault="008F776F" w:rsidP="008F776F">
      <w:pPr>
        <w:spacing w:before="20"/>
        <w:ind w:left="113" w:hanging="113"/>
        <w:jc w:val="left"/>
        <w:rPr>
          <w:sz w:val="16"/>
          <w:szCs w:val="16"/>
          <w:lang w:val="es-ES_tradnl"/>
        </w:rPr>
      </w:pPr>
      <w:r w:rsidRPr="008F776F">
        <w:rPr>
          <w:sz w:val="16"/>
          <w:lang w:val="es-ES_tradnl"/>
        </w:rPr>
        <w:t>Ghana</w:t>
      </w:r>
      <w:r w:rsidRPr="008F776F">
        <w:rPr>
          <w:sz w:val="16"/>
          <w:vertAlign w:val="superscript"/>
          <w:lang w:val="es-ES_tradnl"/>
        </w:rPr>
        <w:t>2</w:t>
      </w:r>
    </w:p>
    <w:p w14:paraId="3BF0004D" w14:textId="77777777" w:rsidR="008F776F" w:rsidRPr="008F776F" w:rsidRDefault="008F776F" w:rsidP="008F776F">
      <w:pPr>
        <w:spacing w:before="20"/>
        <w:ind w:left="113" w:hanging="113"/>
        <w:jc w:val="left"/>
        <w:rPr>
          <w:sz w:val="16"/>
          <w:szCs w:val="16"/>
          <w:lang w:val="es-ES_tradnl"/>
        </w:rPr>
      </w:pPr>
      <w:r w:rsidRPr="008F776F">
        <w:rPr>
          <w:sz w:val="16"/>
          <w:lang w:val="es-ES_tradnl"/>
        </w:rPr>
        <w:t>Hungría</w:t>
      </w:r>
      <w:r w:rsidRPr="008F776F">
        <w:rPr>
          <w:sz w:val="16"/>
          <w:vertAlign w:val="superscript"/>
          <w:lang w:val="es-ES_tradnl"/>
        </w:rPr>
        <w:t>2</w:t>
      </w:r>
    </w:p>
    <w:p w14:paraId="01486983" w14:textId="77777777" w:rsidR="008F776F" w:rsidRPr="008F776F" w:rsidRDefault="008F776F" w:rsidP="008F776F">
      <w:pPr>
        <w:spacing w:before="20"/>
        <w:ind w:left="113" w:hanging="113"/>
        <w:jc w:val="left"/>
        <w:rPr>
          <w:sz w:val="16"/>
          <w:szCs w:val="16"/>
          <w:lang w:val="es-ES_tradnl"/>
        </w:rPr>
      </w:pPr>
      <w:r w:rsidRPr="008F776F">
        <w:rPr>
          <w:sz w:val="16"/>
          <w:lang w:val="es-ES_tradnl"/>
        </w:rPr>
        <w:t>Irlanda</w:t>
      </w:r>
      <w:r w:rsidRPr="008F776F">
        <w:rPr>
          <w:sz w:val="16"/>
          <w:vertAlign w:val="superscript"/>
          <w:lang w:val="es-ES_tradnl"/>
        </w:rPr>
        <w:t>2</w:t>
      </w:r>
    </w:p>
    <w:p w14:paraId="52046A68" w14:textId="77777777" w:rsidR="008F776F" w:rsidRPr="008F776F" w:rsidRDefault="008F776F" w:rsidP="008F776F">
      <w:pPr>
        <w:spacing w:before="20"/>
        <w:ind w:left="113" w:hanging="113"/>
        <w:jc w:val="left"/>
        <w:rPr>
          <w:sz w:val="16"/>
          <w:szCs w:val="16"/>
          <w:lang w:val="es-ES_tradnl"/>
        </w:rPr>
      </w:pPr>
      <w:r w:rsidRPr="008F776F">
        <w:rPr>
          <w:sz w:val="16"/>
          <w:lang w:val="es-ES_tradnl"/>
        </w:rPr>
        <w:t>Islandia</w:t>
      </w:r>
      <w:r w:rsidRPr="008F776F">
        <w:rPr>
          <w:sz w:val="16"/>
          <w:vertAlign w:val="superscript"/>
          <w:lang w:val="es-ES_tradnl"/>
        </w:rPr>
        <w:t>2</w:t>
      </w:r>
    </w:p>
    <w:p w14:paraId="0E72EAE2" w14:textId="77777777" w:rsidR="008F776F" w:rsidRPr="008F776F" w:rsidRDefault="008F776F" w:rsidP="008F776F">
      <w:pPr>
        <w:spacing w:before="20"/>
        <w:ind w:left="113" w:hanging="113"/>
        <w:jc w:val="left"/>
        <w:rPr>
          <w:sz w:val="16"/>
          <w:szCs w:val="16"/>
          <w:lang w:val="es-ES_tradnl"/>
        </w:rPr>
      </w:pPr>
      <w:r w:rsidRPr="008F776F">
        <w:rPr>
          <w:sz w:val="16"/>
          <w:lang w:val="es-ES_tradnl"/>
        </w:rPr>
        <w:t>Israel</w:t>
      </w:r>
      <w:r w:rsidRPr="008F776F">
        <w:rPr>
          <w:sz w:val="16"/>
          <w:vertAlign w:val="superscript"/>
          <w:lang w:val="es-ES_tradnl"/>
        </w:rPr>
        <w:t>2</w:t>
      </w:r>
    </w:p>
    <w:p w14:paraId="69A98989" w14:textId="77777777" w:rsidR="008F776F" w:rsidRPr="008F776F" w:rsidRDefault="008F776F" w:rsidP="008F776F">
      <w:pPr>
        <w:spacing w:before="20"/>
        <w:ind w:left="113" w:hanging="113"/>
        <w:jc w:val="left"/>
        <w:rPr>
          <w:sz w:val="16"/>
          <w:szCs w:val="16"/>
          <w:lang w:val="es-ES_tradnl"/>
        </w:rPr>
      </w:pPr>
      <w:r w:rsidRPr="008F776F">
        <w:rPr>
          <w:sz w:val="16"/>
          <w:lang w:val="es-ES_tradnl"/>
        </w:rPr>
        <w:t>Italia</w:t>
      </w:r>
      <w:r w:rsidRPr="008F776F">
        <w:rPr>
          <w:sz w:val="16"/>
          <w:vertAlign w:val="superscript"/>
          <w:lang w:val="es-ES_tradnl"/>
        </w:rPr>
        <w:t>1</w:t>
      </w:r>
    </w:p>
    <w:p w14:paraId="280E37C5" w14:textId="77777777" w:rsidR="008F776F" w:rsidRPr="008F776F" w:rsidRDefault="008F776F" w:rsidP="008F776F">
      <w:pPr>
        <w:spacing w:before="20"/>
        <w:ind w:left="113" w:hanging="113"/>
        <w:jc w:val="left"/>
        <w:rPr>
          <w:sz w:val="16"/>
          <w:szCs w:val="16"/>
          <w:lang w:val="es-ES_tradnl"/>
        </w:rPr>
      </w:pPr>
      <w:r w:rsidRPr="008F776F">
        <w:rPr>
          <w:sz w:val="16"/>
          <w:lang w:val="es-ES_tradnl"/>
        </w:rPr>
        <w:t>Japón</w:t>
      </w:r>
      <w:r w:rsidRPr="008F776F">
        <w:rPr>
          <w:sz w:val="16"/>
          <w:vertAlign w:val="superscript"/>
          <w:lang w:val="es-ES_tradnl"/>
        </w:rPr>
        <w:t>2</w:t>
      </w:r>
    </w:p>
    <w:p w14:paraId="447E42BA" w14:textId="77777777" w:rsidR="008F776F" w:rsidRPr="008F776F" w:rsidRDefault="008F776F" w:rsidP="008F776F">
      <w:pPr>
        <w:spacing w:before="20"/>
        <w:ind w:left="113" w:hanging="113"/>
        <w:jc w:val="left"/>
        <w:rPr>
          <w:sz w:val="16"/>
          <w:szCs w:val="16"/>
          <w:lang w:val="es-ES_tradnl"/>
        </w:rPr>
      </w:pPr>
      <w:r w:rsidRPr="008F776F">
        <w:rPr>
          <w:sz w:val="16"/>
          <w:lang w:val="es-ES_tradnl"/>
        </w:rPr>
        <w:t>Jordania</w:t>
      </w:r>
      <w:r w:rsidRPr="008F776F">
        <w:rPr>
          <w:sz w:val="16"/>
          <w:vertAlign w:val="superscript"/>
          <w:lang w:val="es-ES_tradnl"/>
        </w:rPr>
        <w:t>2</w:t>
      </w:r>
    </w:p>
    <w:p w14:paraId="3AD2C252" w14:textId="77777777" w:rsidR="008F776F" w:rsidRPr="008F776F" w:rsidRDefault="008F776F" w:rsidP="008F776F">
      <w:pPr>
        <w:spacing w:before="20"/>
        <w:ind w:left="113" w:hanging="113"/>
        <w:jc w:val="left"/>
        <w:rPr>
          <w:sz w:val="16"/>
          <w:szCs w:val="16"/>
          <w:lang w:val="es-ES_tradnl"/>
        </w:rPr>
      </w:pPr>
      <w:r w:rsidRPr="008F776F">
        <w:rPr>
          <w:sz w:val="16"/>
          <w:lang w:val="es-ES_tradnl"/>
        </w:rPr>
        <w:t>Kenya</w:t>
      </w:r>
      <w:r w:rsidRPr="008F776F">
        <w:rPr>
          <w:sz w:val="16"/>
          <w:vertAlign w:val="superscript"/>
          <w:lang w:val="es-ES_tradnl"/>
        </w:rPr>
        <w:t>2</w:t>
      </w:r>
    </w:p>
    <w:p w14:paraId="42759B15" w14:textId="77777777" w:rsidR="008F776F" w:rsidRPr="008F776F" w:rsidRDefault="008F776F" w:rsidP="008F776F">
      <w:pPr>
        <w:spacing w:before="20"/>
        <w:ind w:left="113" w:hanging="113"/>
        <w:jc w:val="left"/>
        <w:rPr>
          <w:sz w:val="16"/>
          <w:szCs w:val="16"/>
          <w:lang w:val="es-ES_tradnl"/>
        </w:rPr>
      </w:pPr>
      <w:r w:rsidRPr="008F776F">
        <w:rPr>
          <w:sz w:val="16"/>
          <w:lang w:val="es-ES_tradnl"/>
        </w:rPr>
        <w:t>Kirguistán</w:t>
      </w:r>
      <w:r w:rsidRPr="008F776F">
        <w:rPr>
          <w:sz w:val="16"/>
          <w:vertAlign w:val="superscript"/>
          <w:lang w:val="es-ES_tradnl"/>
        </w:rPr>
        <w:t>2</w:t>
      </w:r>
    </w:p>
    <w:p w14:paraId="34CB3F8F" w14:textId="77777777" w:rsidR="008F776F" w:rsidRPr="008F776F" w:rsidRDefault="008F776F" w:rsidP="008F776F">
      <w:pPr>
        <w:spacing w:before="20"/>
        <w:ind w:left="113" w:hanging="113"/>
        <w:jc w:val="left"/>
        <w:rPr>
          <w:sz w:val="16"/>
          <w:szCs w:val="16"/>
          <w:lang w:val="es-ES_tradnl"/>
        </w:rPr>
      </w:pPr>
      <w:r w:rsidRPr="008F776F">
        <w:rPr>
          <w:sz w:val="16"/>
          <w:lang w:val="es-ES_tradnl"/>
        </w:rPr>
        <w:t>Letonia</w:t>
      </w:r>
      <w:r w:rsidRPr="008F776F">
        <w:rPr>
          <w:sz w:val="16"/>
          <w:vertAlign w:val="superscript"/>
          <w:lang w:val="es-ES_tradnl"/>
        </w:rPr>
        <w:t>2</w:t>
      </w:r>
    </w:p>
    <w:p w14:paraId="74521D00" w14:textId="77777777" w:rsidR="008F776F" w:rsidRPr="008F776F" w:rsidRDefault="008F776F" w:rsidP="008F776F">
      <w:pPr>
        <w:spacing w:before="20"/>
        <w:ind w:left="113" w:hanging="113"/>
        <w:jc w:val="left"/>
        <w:rPr>
          <w:sz w:val="16"/>
          <w:szCs w:val="16"/>
          <w:lang w:val="es-ES_tradnl"/>
        </w:rPr>
      </w:pPr>
      <w:r w:rsidRPr="008F776F">
        <w:rPr>
          <w:sz w:val="16"/>
          <w:lang w:val="es-ES_tradnl"/>
        </w:rPr>
        <w:t>Lituania</w:t>
      </w:r>
      <w:r w:rsidRPr="008F776F">
        <w:rPr>
          <w:sz w:val="16"/>
          <w:vertAlign w:val="superscript"/>
          <w:lang w:val="es-ES_tradnl"/>
        </w:rPr>
        <w:t>2</w:t>
      </w:r>
    </w:p>
    <w:p w14:paraId="0D2F70DB" w14:textId="77777777" w:rsidR="008F776F" w:rsidRPr="008F776F" w:rsidRDefault="008F776F" w:rsidP="008F776F">
      <w:pPr>
        <w:spacing w:before="20"/>
        <w:ind w:left="113" w:hanging="113"/>
        <w:jc w:val="left"/>
        <w:rPr>
          <w:sz w:val="16"/>
          <w:szCs w:val="16"/>
          <w:lang w:val="es-ES_tradnl"/>
        </w:rPr>
      </w:pPr>
      <w:r w:rsidRPr="008F776F">
        <w:rPr>
          <w:sz w:val="16"/>
          <w:lang w:val="es-ES_tradnl"/>
        </w:rPr>
        <w:t>Macedonia del Norte</w:t>
      </w:r>
      <w:r w:rsidRPr="008F776F">
        <w:rPr>
          <w:sz w:val="16"/>
          <w:vertAlign w:val="superscript"/>
          <w:lang w:val="es-ES_tradnl"/>
        </w:rPr>
        <w:t>2</w:t>
      </w:r>
    </w:p>
    <w:p w14:paraId="70092BBE" w14:textId="77777777" w:rsidR="008F776F" w:rsidRPr="008F776F" w:rsidRDefault="008F776F" w:rsidP="008F776F">
      <w:pPr>
        <w:spacing w:before="20"/>
        <w:ind w:left="113" w:hanging="113"/>
        <w:jc w:val="left"/>
        <w:rPr>
          <w:rFonts w:eastAsiaTheme="minorHAnsi"/>
          <w:sz w:val="16"/>
          <w:szCs w:val="16"/>
          <w:lang w:val="es-ES_tradnl"/>
        </w:rPr>
      </w:pPr>
      <w:r w:rsidRPr="008F776F">
        <w:rPr>
          <w:sz w:val="16"/>
          <w:lang w:val="es-ES_tradnl"/>
        </w:rPr>
        <w:t>Marruecos</w:t>
      </w:r>
      <w:r w:rsidRPr="008F776F">
        <w:rPr>
          <w:sz w:val="16"/>
          <w:vertAlign w:val="superscript"/>
          <w:lang w:val="es-ES_tradnl"/>
        </w:rPr>
        <w:t>2</w:t>
      </w:r>
    </w:p>
    <w:p w14:paraId="2ADFFBFB" w14:textId="77777777" w:rsidR="008F776F" w:rsidRPr="008F776F" w:rsidRDefault="008F776F" w:rsidP="008F776F">
      <w:pPr>
        <w:spacing w:before="20"/>
        <w:ind w:left="113" w:hanging="113"/>
        <w:jc w:val="left"/>
        <w:rPr>
          <w:sz w:val="16"/>
          <w:szCs w:val="16"/>
          <w:lang w:val="es-ES_tradnl"/>
        </w:rPr>
      </w:pPr>
      <w:r w:rsidRPr="008F776F">
        <w:rPr>
          <w:sz w:val="16"/>
          <w:lang w:val="es-ES_tradnl"/>
        </w:rPr>
        <w:t>México</w:t>
      </w:r>
      <w:r w:rsidRPr="008F776F">
        <w:rPr>
          <w:sz w:val="16"/>
          <w:vertAlign w:val="superscript"/>
          <w:lang w:val="es-ES_tradnl"/>
        </w:rPr>
        <w:t>1</w:t>
      </w:r>
    </w:p>
    <w:p w14:paraId="6DD28BA5" w14:textId="77777777" w:rsidR="008F776F" w:rsidRPr="008F776F" w:rsidRDefault="008F776F" w:rsidP="008F776F">
      <w:pPr>
        <w:spacing w:before="20"/>
        <w:ind w:left="113" w:hanging="113"/>
        <w:jc w:val="left"/>
        <w:rPr>
          <w:sz w:val="16"/>
          <w:szCs w:val="16"/>
          <w:lang w:val="es-ES_tradnl"/>
        </w:rPr>
      </w:pPr>
      <w:r w:rsidRPr="008F776F">
        <w:rPr>
          <w:sz w:val="16"/>
          <w:lang w:val="es-ES_tradnl"/>
        </w:rPr>
        <w:t>Nicaragua</w:t>
      </w:r>
      <w:r w:rsidRPr="008F776F">
        <w:rPr>
          <w:sz w:val="16"/>
          <w:vertAlign w:val="superscript"/>
          <w:lang w:val="es-ES_tradnl"/>
        </w:rPr>
        <w:t>1</w:t>
      </w:r>
    </w:p>
    <w:p w14:paraId="41443360" w14:textId="77777777" w:rsidR="008F776F" w:rsidRPr="008F776F" w:rsidRDefault="008F776F" w:rsidP="008F776F">
      <w:pPr>
        <w:spacing w:before="20"/>
        <w:ind w:left="113" w:hanging="113"/>
        <w:jc w:val="left"/>
        <w:rPr>
          <w:sz w:val="16"/>
          <w:szCs w:val="16"/>
          <w:lang w:val="es-ES_tradnl"/>
        </w:rPr>
      </w:pPr>
      <w:r w:rsidRPr="008F776F">
        <w:rPr>
          <w:sz w:val="16"/>
          <w:lang w:val="es-ES_tradnl"/>
        </w:rPr>
        <w:t>Montenegro</w:t>
      </w:r>
      <w:r w:rsidRPr="008F776F">
        <w:rPr>
          <w:sz w:val="16"/>
          <w:vertAlign w:val="superscript"/>
          <w:lang w:val="es-ES_tradnl"/>
        </w:rPr>
        <w:t>2</w:t>
      </w:r>
    </w:p>
    <w:p w14:paraId="7073BC38" w14:textId="77777777" w:rsidR="008F776F" w:rsidRPr="008F776F" w:rsidRDefault="008F776F" w:rsidP="008F776F">
      <w:pPr>
        <w:spacing w:before="20"/>
        <w:ind w:left="113" w:hanging="113"/>
        <w:jc w:val="left"/>
        <w:rPr>
          <w:rFonts w:eastAsiaTheme="minorHAnsi"/>
          <w:sz w:val="16"/>
          <w:szCs w:val="16"/>
          <w:lang w:val="es-ES_tradnl"/>
        </w:rPr>
      </w:pPr>
      <w:r w:rsidRPr="008F776F">
        <w:rPr>
          <w:sz w:val="16"/>
          <w:lang w:val="es-ES_tradnl"/>
        </w:rPr>
        <w:t>Noruega</w:t>
      </w:r>
      <w:r w:rsidRPr="008F776F">
        <w:rPr>
          <w:sz w:val="16"/>
          <w:vertAlign w:val="superscript"/>
          <w:lang w:val="es-ES_tradnl"/>
        </w:rPr>
        <w:t>1</w:t>
      </w:r>
    </w:p>
    <w:p w14:paraId="2308A216" w14:textId="77777777" w:rsidR="008F776F" w:rsidRPr="008F776F" w:rsidRDefault="008F776F" w:rsidP="008F776F">
      <w:pPr>
        <w:spacing w:before="20"/>
        <w:ind w:left="113" w:hanging="113"/>
        <w:jc w:val="left"/>
        <w:rPr>
          <w:rFonts w:eastAsiaTheme="minorHAnsi"/>
          <w:sz w:val="16"/>
          <w:szCs w:val="16"/>
          <w:lang w:val="es-ES_tradnl"/>
        </w:rPr>
      </w:pPr>
      <w:r w:rsidRPr="008F776F">
        <w:rPr>
          <w:sz w:val="16"/>
          <w:lang w:val="es-ES_tradnl"/>
        </w:rPr>
        <w:t>Nueva Zelandia</w:t>
      </w:r>
      <w:r w:rsidRPr="008F776F">
        <w:rPr>
          <w:sz w:val="16"/>
          <w:vertAlign w:val="superscript"/>
          <w:lang w:val="es-ES_tradnl"/>
        </w:rPr>
        <w:t>1</w:t>
      </w:r>
    </w:p>
    <w:p w14:paraId="1D3EF5A5" w14:textId="77777777" w:rsidR="008F776F" w:rsidRPr="008F776F" w:rsidRDefault="008F776F" w:rsidP="008F776F">
      <w:pPr>
        <w:spacing w:before="20"/>
        <w:ind w:left="113" w:hanging="113"/>
        <w:jc w:val="left"/>
        <w:rPr>
          <w:sz w:val="16"/>
          <w:szCs w:val="16"/>
          <w:lang w:val="es-ES_tradnl"/>
        </w:rPr>
      </w:pPr>
      <w:r w:rsidRPr="008F776F">
        <w:rPr>
          <w:sz w:val="16"/>
          <w:lang w:val="es-ES_tradnl"/>
        </w:rPr>
        <w:t>Omán</w:t>
      </w:r>
      <w:r w:rsidRPr="008F776F">
        <w:rPr>
          <w:sz w:val="16"/>
          <w:vertAlign w:val="superscript"/>
          <w:lang w:val="es-ES_tradnl"/>
        </w:rPr>
        <w:t>2</w:t>
      </w:r>
    </w:p>
    <w:p w14:paraId="136271A4" w14:textId="77777777" w:rsidR="008F776F" w:rsidRPr="008F776F" w:rsidRDefault="008F776F" w:rsidP="008F776F">
      <w:pPr>
        <w:spacing w:before="20"/>
        <w:ind w:left="113" w:hanging="113"/>
        <w:jc w:val="left"/>
        <w:rPr>
          <w:sz w:val="16"/>
          <w:szCs w:val="16"/>
          <w:lang w:val="es-ES_tradnl"/>
        </w:rPr>
      </w:pPr>
      <w:r w:rsidRPr="008F776F">
        <w:rPr>
          <w:sz w:val="16"/>
          <w:lang w:val="es-ES_tradnl"/>
        </w:rPr>
        <w:t>Organización Africana de la Propiedad Intelectual</w:t>
      </w:r>
      <w:r w:rsidRPr="008F776F">
        <w:rPr>
          <w:sz w:val="16"/>
          <w:vertAlign w:val="superscript"/>
          <w:lang w:val="es-ES_tradnl"/>
        </w:rPr>
        <w:t>2, 4</w:t>
      </w:r>
    </w:p>
    <w:p w14:paraId="42AE6AFB" w14:textId="77777777" w:rsidR="008F776F" w:rsidRPr="008F776F" w:rsidRDefault="008F776F" w:rsidP="008F776F">
      <w:pPr>
        <w:spacing w:before="20"/>
        <w:ind w:left="113" w:hanging="113"/>
        <w:jc w:val="left"/>
        <w:rPr>
          <w:sz w:val="16"/>
          <w:szCs w:val="16"/>
          <w:lang w:val="es-ES_tradnl"/>
        </w:rPr>
      </w:pPr>
      <w:r w:rsidRPr="008F776F">
        <w:rPr>
          <w:sz w:val="16"/>
          <w:lang w:val="es-ES_tradnl"/>
        </w:rPr>
        <w:t>Países Bajos</w:t>
      </w:r>
      <w:r w:rsidRPr="008F776F">
        <w:rPr>
          <w:sz w:val="16"/>
          <w:vertAlign w:val="superscript"/>
          <w:lang w:val="es-ES_tradnl"/>
        </w:rPr>
        <w:t>2</w:t>
      </w:r>
    </w:p>
    <w:p w14:paraId="384B072F" w14:textId="77777777" w:rsidR="008F776F" w:rsidRPr="008F776F" w:rsidRDefault="008F776F" w:rsidP="008F776F">
      <w:pPr>
        <w:spacing w:before="20"/>
        <w:ind w:left="113" w:hanging="113"/>
        <w:jc w:val="left"/>
        <w:rPr>
          <w:sz w:val="16"/>
          <w:szCs w:val="16"/>
          <w:lang w:val="es-ES_tradnl"/>
        </w:rPr>
      </w:pPr>
      <w:r w:rsidRPr="008F776F">
        <w:rPr>
          <w:sz w:val="16"/>
          <w:lang w:val="es-ES_tradnl"/>
        </w:rPr>
        <w:t>Panamá</w:t>
      </w:r>
      <w:r w:rsidRPr="008F776F">
        <w:rPr>
          <w:sz w:val="16"/>
          <w:vertAlign w:val="superscript"/>
          <w:lang w:val="es-ES_tradnl"/>
        </w:rPr>
        <w:t>2</w:t>
      </w:r>
    </w:p>
    <w:p w14:paraId="315F7469" w14:textId="77777777" w:rsidR="008F776F" w:rsidRPr="008F776F" w:rsidRDefault="008F776F" w:rsidP="008F776F">
      <w:pPr>
        <w:spacing w:before="20"/>
        <w:ind w:left="113" w:hanging="113"/>
        <w:jc w:val="left"/>
        <w:rPr>
          <w:sz w:val="16"/>
          <w:szCs w:val="16"/>
          <w:lang w:val="es-ES_tradnl"/>
        </w:rPr>
      </w:pPr>
      <w:r w:rsidRPr="008F776F">
        <w:rPr>
          <w:sz w:val="16"/>
          <w:lang w:val="es-ES_tradnl"/>
        </w:rPr>
        <w:t>Paraguay</w:t>
      </w:r>
      <w:r w:rsidRPr="008F776F">
        <w:rPr>
          <w:sz w:val="16"/>
          <w:vertAlign w:val="superscript"/>
          <w:lang w:val="es-ES_tradnl"/>
        </w:rPr>
        <w:t>1</w:t>
      </w:r>
    </w:p>
    <w:p w14:paraId="3601ADEC" w14:textId="77777777" w:rsidR="008F776F" w:rsidRPr="008F776F" w:rsidRDefault="008F776F" w:rsidP="008F776F">
      <w:pPr>
        <w:spacing w:before="20"/>
        <w:ind w:left="113" w:hanging="113"/>
        <w:jc w:val="left"/>
        <w:rPr>
          <w:sz w:val="16"/>
          <w:szCs w:val="16"/>
          <w:lang w:val="es-ES_tradnl"/>
        </w:rPr>
      </w:pPr>
      <w:r w:rsidRPr="008F776F">
        <w:rPr>
          <w:sz w:val="16"/>
          <w:lang w:val="es-ES_tradnl"/>
        </w:rPr>
        <w:t>Perú</w:t>
      </w:r>
      <w:r w:rsidRPr="008F776F">
        <w:rPr>
          <w:sz w:val="16"/>
          <w:vertAlign w:val="superscript"/>
          <w:lang w:val="es-ES_tradnl"/>
        </w:rPr>
        <w:t>2</w:t>
      </w:r>
    </w:p>
    <w:p w14:paraId="7979FF09" w14:textId="77777777" w:rsidR="008F776F" w:rsidRPr="008F776F" w:rsidRDefault="008F776F" w:rsidP="008F776F">
      <w:pPr>
        <w:spacing w:before="20"/>
        <w:ind w:left="113" w:hanging="113"/>
        <w:jc w:val="left"/>
        <w:rPr>
          <w:rFonts w:eastAsiaTheme="minorHAnsi"/>
          <w:sz w:val="16"/>
          <w:szCs w:val="16"/>
          <w:lang w:val="es-ES_tradnl"/>
        </w:rPr>
      </w:pPr>
      <w:r w:rsidRPr="008F776F">
        <w:rPr>
          <w:sz w:val="16"/>
          <w:lang w:val="es-ES_tradnl"/>
        </w:rPr>
        <w:t>Polonia</w:t>
      </w:r>
      <w:r w:rsidRPr="008F776F">
        <w:rPr>
          <w:sz w:val="16"/>
          <w:vertAlign w:val="superscript"/>
          <w:lang w:val="es-ES_tradnl"/>
        </w:rPr>
        <w:t>2</w:t>
      </w:r>
    </w:p>
    <w:p w14:paraId="583A0756" w14:textId="77777777" w:rsidR="008F776F" w:rsidRPr="008F776F" w:rsidRDefault="008F776F" w:rsidP="008F776F">
      <w:pPr>
        <w:spacing w:before="20"/>
        <w:ind w:left="113" w:hanging="113"/>
        <w:jc w:val="left"/>
        <w:rPr>
          <w:sz w:val="16"/>
          <w:szCs w:val="16"/>
          <w:lang w:val="es-ES_tradnl"/>
        </w:rPr>
      </w:pPr>
      <w:r w:rsidRPr="008F776F">
        <w:rPr>
          <w:sz w:val="16"/>
          <w:lang w:val="es-ES_tradnl"/>
        </w:rPr>
        <w:t>Portugal</w:t>
      </w:r>
      <w:r w:rsidRPr="008F776F">
        <w:rPr>
          <w:sz w:val="16"/>
          <w:vertAlign w:val="superscript"/>
          <w:lang w:val="es-ES_tradnl"/>
        </w:rPr>
        <w:t>1</w:t>
      </w:r>
    </w:p>
    <w:p w14:paraId="45384CE0" w14:textId="77777777" w:rsidR="008F776F" w:rsidRPr="008F776F" w:rsidRDefault="008F776F" w:rsidP="008F776F">
      <w:pPr>
        <w:spacing w:before="20"/>
        <w:ind w:left="113" w:hanging="113"/>
        <w:jc w:val="left"/>
        <w:rPr>
          <w:sz w:val="16"/>
          <w:szCs w:val="16"/>
          <w:lang w:val="es-ES_tradnl"/>
        </w:rPr>
      </w:pPr>
      <w:r w:rsidRPr="008F776F">
        <w:rPr>
          <w:sz w:val="16"/>
          <w:lang w:val="es-ES_tradnl"/>
        </w:rPr>
        <w:t>Reino Unido</w:t>
      </w:r>
      <w:r w:rsidRPr="008F776F">
        <w:rPr>
          <w:sz w:val="16"/>
          <w:vertAlign w:val="superscript"/>
          <w:lang w:val="es-ES_tradnl"/>
        </w:rPr>
        <w:t>2</w:t>
      </w:r>
    </w:p>
    <w:p w14:paraId="1BEA1707" w14:textId="77777777" w:rsidR="008F776F" w:rsidRPr="008F776F" w:rsidRDefault="008F776F" w:rsidP="008F776F">
      <w:pPr>
        <w:spacing w:before="20"/>
        <w:ind w:left="113" w:hanging="113"/>
        <w:jc w:val="left"/>
        <w:rPr>
          <w:sz w:val="16"/>
          <w:szCs w:val="16"/>
          <w:lang w:val="es-ES_tradnl"/>
        </w:rPr>
      </w:pPr>
      <w:r w:rsidRPr="008F776F">
        <w:rPr>
          <w:sz w:val="16"/>
          <w:lang w:val="es-ES_tradnl"/>
        </w:rPr>
        <w:t>República Checa</w:t>
      </w:r>
      <w:r w:rsidRPr="008F776F">
        <w:rPr>
          <w:sz w:val="16"/>
          <w:vertAlign w:val="superscript"/>
          <w:lang w:val="es-ES_tradnl"/>
        </w:rPr>
        <w:t>2</w:t>
      </w:r>
    </w:p>
    <w:p w14:paraId="7E821F5C" w14:textId="77777777" w:rsidR="008F776F" w:rsidRPr="008F776F" w:rsidRDefault="008F776F" w:rsidP="008F776F">
      <w:pPr>
        <w:spacing w:before="20"/>
        <w:ind w:left="113" w:hanging="113"/>
        <w:jc w:val="left"/>
        <w:rPr>
          <w:sz w:val="16"/>
          <w:szCs w:val="16"/>
          <w:lang w:val="es-ES_tradnl"/>
        </w:rPr>
      </w:pPr>
      <w:r w:rsidRPr="008F776F">
        <w:rPr>
          <w:sz w:val="16"/>
          <w:lang w:val="es-ES_tradnl"/>
        </w:rPr>
        <w:t>República de Corea</w:t>
      </w:r>
      <w:r w:rsidRPr="008F776F">
        <w:rPr>
          <w:sz w:val="16"/>
          <w:vertAlign w:val="superscript"/>
          <w:lang w:val="es-ES_tradnl"/>
        </w:rPr>
        <w:t>2</w:t>
      </w:r>
    </w:p>
    <w:p w14:paraId="60FA18FC" w14:textId="77777777" w:rsidR="008F776F" w:rsidRPr="008F776F" w:rsidRDefault="008F776F" w:rsidP="008F776F">
      <w:pPr>
        <w:spacing w:before="20"/>
        <w:ind w:left="113" w:hanging="113"/>
        <w:jc w:val="left"/>
        <w:rPr>
          <w:sz w:val="16"/>
          <w:szCs w:val="16"/>
          <w:lang w:val="es-ES_tradnl"/>
        </w:rPr>
      </w:pPr>
      <w:r w:rsidRPr="008F776F">
        <w:rPr>
          <w:sz w:val="16"/>
          <w:lang w:val="es-ES_tradnl"/>
        </w:rPr>
        <w:t>República de Moldova</w:t>
      </w:r>
      <w:r w:rsidRPr="008F776F">
        <w:rPr>
          <w:sz w:val="16"/>
          <w:vertAlign w:val="superscript"/>
          <w:lang w:val="es-ES_tradnl"/>
        </w:rPr>
        <w:t>2</w:t>
      </w:r>
    </w:p>
    <w:p w14:paraId="759D7275" w14:textId="77777777" w:rsidR="008F776F" w:rsidRPr="008F776F" w:rsidRDefault="008F776F" w:rsidP="008F776F">
      <w:pPr>
        <w:spacing w:before="20"/>
        <w:ind w:left="113" w:hanging="113"/>
        <w:jc w:val="left"/>
        <w:rPr>
          <w:sz w:val="16"/>
          <w:szCs w:val="16"/>
          <w:lang w:val="es-ES_tradnl"/>
        </w:rPr>
      </w:pPr>
      <w:r w:rsidRPr="008F776F">
        <w:rPr>
          <w:sz w:val="16"/>
          <w:lang w:val="es-ES_tradnl"/>
        </w:rPr>
        <w:t>República Dominicana</w:t>
      </w:r>
      <w:r w:rsidRPr="008F776F">
        <w:rPr>
          <w:sz w:val="16"/>
          <w:vertAlign w:val="superscript"/>
          <w:lang w:val="es-ES_tradnl"/>
        </w:rPr>
        <w:t>2</w:t>
      </w:r>
    </w:p>
    <w:p w14:paraId="343CD676" w14:textId="77777777" w:rsidR="008F776F" w:rsidRPr="008F776F" w:rsidRDefault="008F776F" w:rsidP="008F776F">
      <w:pPr>
        <w:spacing w:before="20"/>
        <w:ind w:left="113" w:hanging="113"/>
        <w:jc w:val="left"/>
        <w:rPr>
          <w:sz w:val="16"/>
          <w:szCs w:val="16"/>
          <w:lang w:val="es-ES_tradnl"/>
        </w:rPr>
      </w:pPr>
      <w:r w:rsidRPr="008F776F">
        <w:rPr>
          <w:sz w:val="16"/>
          <w:lang w:val="es-ES_tradnl"/>
        </w:rPr>
        <w:t>República Unida de Tanzanía</w:t>
      </w:r>
      <w:r w:rsidRPr="008F776F">
        <w:rPr>
          <w:sz w:val="16"/>
          <w:vertAlign w:val="superscript"/>
          <w:lang w:val="es-ES_tradnl"/>
        </w:rPr>
        <w:t>2</w:t>
      </w:r>
    </w:p>
    <w:p w14:paraId="1CFC2C55" w14:textId="77777777" w:rsidR="008F776F" w:rsidRPr="008F776F" w:rsidRDefault="008F776F" w:rsidP="008F776F">
      <w:pPr>
        <w:spacing w:before="20"/>
        <w:ind w:left="113" w:hanging="113"/>
        <w:jc w:val="left"/>
        <w:rPr>
          <w:sz w:val="16"/>
          <w:szCs w:val="16"/>
          <w:lang w:val="es-ES_tradnl"/>
        </w:rPr>
      </w:pPr>
      <w:r w:rsidRPr="008F776F">
        <w:rPr>
          <w:sz w:val="16"/>
          <w:lang w:val="es-ES_tradnl"/>
        </w:rPr>
        <w:t>Rumania</w:t>
      </w:r>
      <w:r w:rsidRPr="008F776F">
        <w:rPr>
          <w:sz w:val="16"/>
          <w:vertAlign w:val="superscript"/>
          <w:lang w:val="es-ES_tradnl"/>
        </w:rPr>
        <w:t>2</w:t>
      </w:r>
    </w:p>
    <w:p w14:paraId="113D8CF4" w14:textId="77777777" w:rsidR="008F776F" w:rsidRPr="008F776F" w:rsidRDefault="008F776F" w:rsidP="008F776F">
      <w:pPr>
        <w:spacing w:before="20"/>
        <w:ind w:left="113" w:hanging="113"/>
        <w:jc w:val="left"/>
        <w:rPr>
          <w:sz w:val="16"/>
          <w:szCs w:val="16"/>
          <w:vertAlign w:val="superscript"/>
          <w:lang w:val="es-ES_tradnl"/>
        </w:rPr>
      </w:pPr>
      <w:r w:rsidRPr="008F776F">
        <w:rPr>
          <w:sz w:val="16"/>
          <w:lang w:val="es-ES_tradnl"/>
        </w:rPr>
        <w:t>San Vicente y las Granadinas</w:t>
      </w:r>
      <w:r w:rsidRPr="008F776F">
        <w:rPr>
          <w:sz w:val="16"/>
          <w:vertAlign w:val="superscript"/>
          <w:lang w:val="es-ES_tradnl"/>
        </w:rPr>
        <w:t>2</w:t>
      </w:r>
    </w:p>
    <w:p w14:paraId="0155187A" w14:textId="77777777" w:rsidR="008F776F" w:rsidRPr="008F776F" w:rsidRDefault="008F776F" w:rsidP="008F776F">
      <w:pPr>
        <w:spacing w:before="20"/>
        <w:ind w:left="113" w:hanging="113"/>
        <w:jc w:val="left"/>
        <w:rPr>
          <w:sz w:val="16"/>
          <w:szCs w:val="16"/>
          <w:lang w:val="es-ES_tradnl"/>
        </w:rPr>
      </w:pPr>
      <w:r w:rsidRPr="008F776F">
        <w:rPr>
          <w:sz w:val="16"/>
          <w:lang w:val="es-ES_tradnl"/>
        </w:rPr>
        <w:t>Serbia</w:t>
      </w:r>
      <w:r w:rsidRPr="008F776F">
        <w:rPr>
          <w:sz w:val="16"/>
          <w:vertAlign w:val="superscript"/>
          <w:lang w:val="es-ES_tradnl"/>
        </w:rPr>
        <w:t>2</w:t>
      </w:r>
    </w:p>
    <w:p w14:paraId="3898BDC3" w14:textId="77777777" w:rsidR="008F776F" w:rsidRPr="008F776F" w:rsidRDefault="008F776F" w:rsidP="008F776F">
      <w:pPr>
        <w:spacing w:before="20"/>
        <w:ind w:left="113" w:hanging="113"/>
        <w:jc w:val="left"/>
        <w:rPr>
          <w:sz w:val="16"/>
          <w:szCs w:val="16"/>
          <w:lang w:val="es-ES_tradnl"/>
        </w:rPr>
      </w:pPr>
      <w:r w:rsidRPr="008F776F">
        <w:rPr>
          <w:sz w:val="16"/>
          <w:lang w:val="es-ES_tradnl"/>
        </w:rPr>
        <w:t>Singapur</w:t>
      </w:r>
      <w:r w:rsidRPr="008F776F">
        <w:rPr>
          <w:sz w:val="16"/>
          <w:vertAlign w:val="superscript"/>
          <w:lang w:val="es-ES_tradnl"/>
        </w:rPr>
        <w:t>2</w:t>
      </w:r>
    </w:p>
    <w:p w14:paraId="56B4B995" w14:textId="77777777" w:rsidR="008F776F" w:rsidRPr="008F776F" w:rsidRDefault="008F776F" w:rsidP="008F776F">
      <w:pPr>
        <w:spacing w:before="20"/>
        <w:ind w:left="113" w:hanging="113"/>
        <w:jc w:val="left"/>
        <w:rPr>
          <w:rFonts w:eastAsiaTheme="minorHAnsi"/>
          <w:sz w:val="16"/>
          <w:szCs w:val="16"/>
          <w:lang w:val="es-ES_tradnl"/>
        </w:rPr>
      </w:pPr>
      <w:r w:rsidRPr="008F776F">
        <w:rPr>
          <w:sz w:val="16"/>
          <w:lang w:val="es-ES_tradnl"/>
        </w:rPr>
        <w:t>Sudáfrica</w:t>
      </w:r>
      <w:r w:rsidRPr="008F776F">
        <w:rPr>
          <w:sz w:val="16"/>
          <w:vertAlign w:val="superscript"/>
          <w:lang w:val="es-ES_tradnl"/>
        </w:rPr>
        <w:t>1</w:t>
      </w:r>
    </w:p>
    <w:p w14:paraId="6E4062F7" w14:textId="77777777" w:rsidR="008F776F" w:rsidRPr="008F776F" w:rsidRDefault="008F776F" w:rsidP="008F776F">
      <w:pPr>
        <w:spacing w:before="20"/>
        <w:ind w:left="113" w:hanging="113"/>
        <w:jc w:val="left"/>
        <w:rPr>
          <w:sz w:val="16"/>
          <w:szCs w:val="16"/>
          <w:lang w:val="es-ES_tradnl"/>
        </w:rPr>
      </w:pPr>
      <w:r w:rsidRPr="008F776F">
        <w:rPr>
          <w:sz w:val="16"/>
          <w:lang w:val="es-ES_tradnl"/>
        </w:rPr>
        <w:t>Suecia</w:t>
      </w:r>
      <w:r w:rsidRPr="008F776F">
        <w:rPr>
          <w:sz w:val="16"/>
          <w:vertAlign w:val="superscript"/>
          <w:lang w:val="es-ES_tradnl"/>
        </w:rPr>
        <w:t>2</w:t>
      </w:r>
    </w:p>
    <w:p w14:paraId="372195C4" w14:textId="77777777" w:rsidR="008F776F" w:rsidRPr="008F776F" w:rsidRDefault="008F776F" w:rsidP="008F776F">
      <w:pPr>
        <w:spacing w:before="20"/>
        <w:ind w:left="113" w:hanging="113"/>
        <w:jc w:val="left"/>
        <w:rPr>
          <w:sz w:val="16"/>
          <w:szCs w:val="16"/>
          <w:lang w:val="es-ES_tradnl"/>
        </w:rPr>
      </w:pPr>
      <w:r w:rsidRPr="008F776F">
        <w:rPr>
          <w:sz w:val="16"/>
          <w:lang w:val="es-ES_tradnl"/>
        </w:rPr>
        <w:t>Suiza</w:t>
      </w:r>
      <w:r w:rsidRPr="008F776F">
        <w:rPr>
          <w:sz w:val="16"/>
          <w:vertAlign w:val="superscript"/>
          <w:lang w:val="es-ES_tradnl"/>
        </w:rPr>
        <w:t>2</w:t>
      </w:r>
    </w:p>
    <w:p w14:paraId="1E7B59BF" w14:textId="77777777" w:rsidR="008F776F" w:rsidRPr="008F776F" w:rsidRDefault="008F776F" w:rsidP="008F776F">
      <w:pPr>
        <w:spacing w:before="20"/>
        <w:ind w:left="113" w:hanging="113"/>
        <w:jc w:val="left"/>
        <w:rPr>
          <w:sz w:val="16"/>
          <w:szCs w:val="16"/>
          <w:lang w:val="es-ES_tradnl"/>
        </w:rPr>
      </w:pPr>
      <w:r w:rsidRPr="008F776F">
        <w:rPr>
          <w:sz w:val="16"/>
          <w:lang w:val="es-ES_tradnl"/>
        </w:rPr>
        <w:t>Trinidad y Tabago</w:t>
      </w:r>
      <w:r w:rsidRPr="008F776F">
        <w:rPr>
          <w:sz w:val="16"/>
          <w:vertAlign w:val="superscript"/>
          <w:lang w:val="es-ES_tradnl"/>
        </w:rPr>
        <w:t>1</w:t>
      </w:r>
    </w:p>
    <w:p w14:paraId="7D2EAA2F" w14:textId="77777777" w:rsidR="008F776F" w:rsidRPr="008F776F" w:rsidRDefault="008F776F" w:rsidP="008F776F">
      <w:pPr>
        <w:spacing w:before="20"/>
        <w:ind w:left="113" w:hanging="113"/>
        <w:jc w:val="left"/>
        <w:rPr>
          <w:sz w:val="16"/>
          <w:szCs w:val="16"/>
          <w:lang w:val="es-ES_tradnl"/>
        </w:rPr>
      </w:pPr>
      <w:r w:rsidRPr="008F776F">
        <w:rPr>
          <w:sz w:val="16"/>
          <w:lang w:val="es-ES_tradnl"/>
        </w:rPr>
        <w:t>Túnez</w:t>
      </w:r>
      <w:r w:rsidRPr="008F776F">
        <w:rPr>
          <w:sz w:val="16"/>
          <w:vertAlign w:val="superscript"/>
          <w:lang w:val="es-ES_tradnl"/>
        </w:rPr>
        <w:t>2</w:t>
      </w:r>
    </w:p>
    <w:p w14:paraId="0243B6F4" w14:textId="77777777" w:rsidR="008F776F" w:rsidRPr="008F776F" w:rsidRDefault="008F776F" w:rsidP="008F776F">
      <w:pPr>
        <w:spacing w:before="20"/>
        <w:ind w:left="113" w:hanging="113"/>
        <w:jc w:val="left"/>
        <w:rPr>
          <w:sz w:val="16"/>
          <w:szCs w:val="16"/>
          <w:lang w:val="es-ES_tradnl"/>
        </w:rPr>
      </w:pPr>
      <w:r w:rsidRPr="008F776F">
        <w:rPr>
          <w:sz w:val="16"/>
          <w:lang w:val="es-ES_tradnl"/>
        </w:rPr>
        <w:t>Türkiye</w:t>
      </w:r>
      <w:r w:rsidRPr="008F776F">
        <w:rPr>
          <w:sz w:val="16"/>
          <w:vertAlign w:val="superscript"/>
          <w:lang w:val="es-ES_tradnl"/>
        </w:rPr>
        <w:t>2</w:t>
      </w:r>
    </w:p>
    <w:p w14:paraId="7ACE5513" w14:textId="77777777" w:rsidR="008F776F" w:rsidRPr="008F776F" w:rsidRDefault="008F776F" w:rsidP="008F776F">
      <w:pPr>
        <w:spacing w:before="20"/>
        <w:ind w:left="113" w:hanging="113"/>
        <w:jc w:val="left"/>
        <w:rPr>
          <w:sz w:val="16"/>
          <w:szCs w:val="16"/>
          <w:lang w:val="es-ES_tradnl"/>
        </w:rPr>
      </w:pPr>
      <w:r w:rsidRPr="008F776F">
        <w:rPr>
          <w:sz w:val="16"/>
          <w:lang w:val="es-ES_tradnl"/>
        </w:rPr>
        <w:t>Ucrania</w:t>
      </w:r>
      <w:r w:rsidRPr="008F776F">
        <w:rPr>
          <w:sz w:val="16"/>
          <w:vertAlign w:val="superscript"/>
          <w:lang w:val="es-ES_tradnl"/>
        </w:rPr>
        <w:t>2</w:t>
      </w:r>
    </w:p>
    <w:p w14:paraId="58A2C113" w14:textId="77777777" w:rsidR="008F776F" w:rsidRPr="008F776F" w:rsidRDefault="008F776F" w:rsidP="008F776F">
      <w:pPr>
        <w:spacing w:before="20"/>
        <w:ind w:left="113" w:hanging="113"/>
        <w:jc w:val="left"/>
        <w:rPr>
          <w:sz w:val="16"/>
          <w:szCs w:val="16"/>
          <w:lang w:val="es-ES_tradnl"/>
        </w:rPr>
      </w:pPr>
      <w:r w:rsidRPr="008F776F">
        <w:rPr>
          <w:sz w:val="16"/>
          <w:lang w:val="es-ES_tradnl"/>
        </w:rPr>
        <w:t>Unión Europea</w:t>
      </w:r>
      <w:r w:rsidRPr="008F776F">
        <w:rPr>
          <w:sz w:val="16"/>
          <w:vertAlign w:val="superscript"/>
          <w:lang w:val="es-ES_tradnl"/>
        </w:rPr>
        <w:t>2,3</w:t>
      </w:r>
    </w:p>
    <w:p w14:paraId="76D5DA87" w14:textId="77777777" w:rsidR="008F776F" w:rsidRPr="008F776F" w:rsidRDefault="008F776F" w:rsidP="008F776F">
      <w:pPr>
        <w:spacing w:before="20"/>
        <w:ind w:left="113" w:hanging="113"/>
        <w:jc w:val="left"/>
        <w:rPr>
          <w:sz w:val="16"/>
          <w:szCs w:val="16"/>
          <w:lang w:val="es-ES_tradnl"/>
        </w:rPr>
      </w:pPr>
      <w:r w:rsidRPr="008F776F">
        <w:rPr>
          <w:sz w:val="16"/>
          <w:lang w:val="es-ES_tradnl"/>
        </w:rPr>
        <w:t>Uruguay</w:t>
      </w:r>
      <w:r w:rsidRPr="008F776F">
        <w:rPr>
          <w:sz w:val="16"/>
          <w:vertAlign w:val="superscript"/>
          <w:lang w:val="es-ES_tradnl"/>
        </w:rPr>
        <w:t>1</w:t>
      </w:r>
    </w:p>
    <w:p w14:paraId="052D6B14" w14:textId="77777777" w:rsidR="008F776F" w:rsidRPr="008F776F" w:rsidRDefault="008F776F" w:rsidP="008F776F">
      <w:pPr>
        <w:spacing w:before="20"/>
        <w:ind w:left="113" w:hanging="113"/>
        <w:rPr>
          <w:sz w:val="16"/>
          <w:szCs w:val="16"/>
          <w:lang w:val="es-ES_tradnl"/>
        </w:rPr>
      </w:pPr>
      <w:r w:rsidRPr="008F776F">
        <w:rPr>
          <w:sz w:val="16"/>
          <w:lang w:val="es-ES_tradnl"/>
        </w:rPr>
        <w:t>Uzbekistán</w:t>
      </w:r>
      <w:r w:rsidRPr="008F776F">
        <w:rPr>
          <w:sz w:val="16"/>
          <w:vertAlign w:val="superscript"/>
          <w:lang w:val="es-ES_tradnl"/>
        </w:rPr>
        <w:t>2</w:t>
      </w:r>
    </w:p>
    <w:p w14:paraId="3A717F76" w14:textId="77777777" w:rsidR="008F776F" w:rsidRPr="008F776F" w:rsidRDefault="008F776F" w:rsidP="008F776F">
      <w:pPr>
        <w:spacing w:before="20"/>
        <w:ind w:left="113" w:hanging="113"/>
        <w:rPr>
          <w:sz w:val="16"/>
          <w:szCs w:val="16"/>
          <w:vertAlign w:val="superscript"/>
          <w:lang w:val="es-ES_tradnl"/>
        </w:rPr>
      </w:pPr>
      <w:r w:rsidRPr="008F776F">
        <w:rPr>
          <w:sz w:val="16"/>
          <w:lang w:val="es-ES_tradnl"/>
        </w:rPr>
        <w:t>Viet Nam</w:t>
      </w:r>
      <w:r w:rsidRPr="008F776F">
        <w:rPr>
          <w:sz w:val="16"/>
          <w:vertAlign w:val="superscript"/>
          <w:lang w:val="es-ES_tradnl"/>
        </w:rPr>
        <w:t>2</w:t>
      </w:r>
    </w:p>
    <w:p w14:paraId="2F339741" w14:textId="77777777" w:rsidR="008F776F" w:rsidRPr="008F776F" w:rsidRDefault="008F776F" w:rsidP="008F776F">
      <w:pPr>
        <w:spacing w:before="20"/>
        <w:ind w:left="113" w:hanging="113"/>
        <w:rPr>
          <w:sz w:val="16"/>
          <w:szCs w:val="16"/>
          <w:lang w:val="es-ES_tradnl"/>
        </w:rPr>
      </w:pPr>
    </w:p>
    <w:p w14:paraId="693E53BB" w14:textId="77777777" w:rsidR="008F776F" w:rsidRPr="008F776F" w:rsidRDefault="008F776F" w:rsidP="008F776F">
      <w:pPr>
        <w:spacing w:before="20"/>
        <w:ind w:left="113" w:hanging="113"/>
        <w:rPr>
          <w:sz w:val="16"/>
          <w:szCs w:val="16"/>
          <w:lang w:val="es-ES_tradnl"/>
        </w:rPr>
      </w:pPr>
    </w:p>
    <w:p w14:paraId="171F12D7" w14:textId="77777777" w:rsidR="008F776F" w:rsidRPr="008F776F" w:rsidRDefault="008F776F" w:rsidP="008F776F">
      <w:pPr>
        <w:spacing w:before="20"/>
        <w:ind w:left="113" w:hanging="113"/>
        <w:rPr>
          <w:sz w:val="16"/>
          <w:szCs w:val="16"/>
          <w:lang w:val="es-ES_tradnl"/>
        </w:rPr>
      </w:pPr>
    </w:p>
    <w:p w14:paraId="1E2276C8" w14:textId="77777777" w:rsidR="008F776F" w:rsidRPr="008F776F" w:rsidRDefault="008F776F" w:rsidP="008F776F">
      <w:pPr>
        <w:spacing w:before="20"/>
        <w:ind w:left="113" w:hanging="113"/>
        <w:jc w:val="right"/>
        <w:rPr>
          <w:sz w:val="16"/>
          <w:szCs w:val="16"/>
          <w:lang w:val="es-ES_tradnl"/>
        </w:rPr>
      </w:pPr>
      <w:r w:rsidRPr="008F776F">
        <w:rPr>
          <w:sz w:val="16"/>
          <w:lang w:val="es-ES_tradnl"/>
        </w:rPr>
        <w:t>(Total 78)</w:t>
      </w:r>
    </w:p>
    <w:p w14:paraId="2B33A4BC" w14:textId="77777777" w:rsidR="008F776F" w:rsidRPr="008F776F" w:rsidRDefault="008F776F" w:rsidP="008F776F">
      <w:pPr>
        <w:spacing w:before="20"/>
        <w:ind w:left="57" w:hanging="57"/>
        <w:rPr>
          <w:sz w:val="16"/>
          <w:u w:val="single"/>
          <w:lang w:val="es-ES_tradnl"/>
        </w:rPr>
        <w:sectPr w:rsidR="008F776F" w:rsidRPr="008F776F" w:rsidSect="00440601">
          <w:type w:val="continuous"/>
          <w:pgSz w:w="11907" w:h="16840" w:code="9"/>
          <w:pgMar w:top="510" w:right="851" w:bottom="851" w:left="851" w:header="510" w:footer="624" w:gutter="0"/>
          <w:cols w:num="5" w:space="284" w:equalWidth="0">
            <w:col w:w="1814" w:space="284"/>
            <w:col w:w="1928" w:space="284"/>
            <w:col w:w="1588" w:space="284"/>
            <w:col w:w="2325" w:space="227"/>
            <w:col w:w="1471"/>
          </w:cols>
          <w:titlePg/>
        </w:sectPr>
      </w:pPr>
    </w:p>
    <w:p w14:paraId="77437E1C" w14:textId="77777777" w:rsidR="008F776F" w:rsidRPr="008F776F" w:rsidRDefault="008F776F" w:rsidP="008F776F">
      <w:pPr>
        <w:spacing w:before="20"/>
        <w:ind w:left="284" w:hanging="284"/>
        <w:rPr>
          <w:sz w:val="16"/>
          <w:lang w:val="es-ES_tradnl"/>
        </w:rPr>
      </w:pPr>
    </w:p>
    <w:p w14:paraId="7349F2C0" w14:textId="77777777" w:rsidR="008F776F" w:rsidRPr="008F776F" w:rsidRDefault="008F776F" w:rsidP="008F776F">
      <w:pPr>
        <w:tabs>
          <w:tab w:val="left" w:pos="851"/>
        </w:tabs>
        <w:spacing w:before="40" w:after="120"/>
        <w:ind w:right="454"/>
        <w:rPr>
          <w:sz w:val="16"/>
          <w:u w:val="single"/>
          <w:lang w:val="es-ES_tradnl"/>
        </w:rPr>
      </w:pPr>
      <w:r w:rsidRPr="008F776F">
        <w:rPr>
          <w:sz w:val="16"/>
          <w:u w:val="single"/>
          <w:lang w:val="es-ES_tradnl"/>
        </w:rPr>
        <w:tab/>
      </w:r>
    </w:p>
    <w:p w14:paraId="76F2B63E" w14:textId="77777777" w:rsidR="008F776F" w:rsidRPr="008F776F" w:rsidRDefault="008F776F" w:rsidP="008F776F">
      <w:pPr>
        <w:spacing w:after="40"/>
        <w:ind w:left="283" w:right="-1" w:hanging="283"/>
        <w:rPr>
          <w:sz w:val="14"/>
          <w:szCs w:val="16"/>
          <w:lang w:val="es-ES_tradnl"/>
        </w:rPr>
      </w:pPr>
      <w:r w:rsidRPr="008F776F">
        <w:rPr>
          <w:sz w:val="14"/>
          <w:vertAlign w:val="superscript"/>
          <w:lang w:val="es-ES_tradnl"/>
        </w:rPr>
        <w:t>1</w:t>
      </w:r>
      <w:r w:rsidRPr="008F776F">
        <w:rPr>
          <w:sz w:val="14"/>
          <w:lang w:val="es-ES_tradnl"/>
        </w:rPr>
        <w:tab/>
        <w:t>El Acta de 1978 es la última Acta por la que están vinculados 17 Estados.</w:t>
      </w:r>
    </w:p>
    <w:p w14:paraId="58466A86" w14:textId="77777777" w:rsidR="008F776F" w:rsidRPr="008F776F" w:rsidRDefault="008F776F" w:rsidP="008F776F">
      <w:pPr>
        <w:spacing w:after="40"/>
        <w:ind w:left="283" w:right="-1" w:hanging="283"/>
        <w:rPr>
          <w:sz w:val="14"/>
          <w:szCs w:val="16"/>
          <w:lang w:val="es-ES_tradnl"/>
        </w:rPr>
      </w:pPr>
      <w:r w:rsidRPr="008F776F">
        <w:rPr>
          <w:sz w:val="14"/>
          <w:vertAlign w:val="superscript"/>
          <w:lang w:val="es-ES_tradnl"/>
        </w:rPr>
        <w:t>2</w:t>
      </w:r>
      <w:r w:rsidRPr="008F776F">
        <w:rPr>
          <w:sz w:val="14"/>
          <w:lang w:val="es-ES_tradnl"/>
        </w:rPr>
        <w:tab/>
        <w:t>El Acta de 1991 es la última Acta por la que están vinculados 59 Estados y 2 organizaciones.</w:t>
      </w:r>
    </w:p>
    <w:p w14:paraId="20717637" w14:textId="77777777" w:rsidR="008F776F" w:rsidRPr="008F776F" w:rsidRDefault="008F776F" w:rsidP="008F776F">
      <w:pPr>
        <w:spacing w:after="40"/>
        <w:ind w:left="283" w:right="-1" w:hanging="283"/>
        <w:rPr>
          <w:i/>
          <w:sz w:val="14"/>
          <w:szCs w:val="16"/>
          <w:lang w:val="es-ES_tradnl"/>
        </w:rPr>
      </w:pPr>
      <w:r w:rsidRPr="008F776F">
        <w:rPr>
          <w:sz w:val="14"/>
          <w:vertAlign w:val="superscript"/>
          <w:lang w:val="es-ES_tradnl"/>
        </w:rPr>
        <w:t>3</w:t>
      </w:r>
      <w:r w:rsidRPr="008F776F">
        <w:rPr>
          <w:sz w:val="14"/>
          <w:lang w:val="es-ES_tradnl"/>
        </w:rPr>
        <w:tab/>
        <w:t xml:space="preserve">Aplica un sistema de protección de los derechos de obtentor que cubre el territorio de sus 27 Estados miembros </w:t>
      </w:r>
      <w:r w:rsidRPr="008F776F">
        <w:rPr>
          <w:i/>
          <w:sz w:val="14"/>
          <w:lang w:val="es-ES_tradnl"/>
        </w:rPr>
        <w:t>(Alemania, Austria, Bélgica, Bulgaria, Chipre, Croacia, Dinamarca, Eslovaquia, Eslovenia, España, Estonia, Finlandia, Francia, Grecia, Hungría, Irlanda, Italia, Letonia, Lituania, Luxemburgo, Malta, Países Bajos, Polonia, Portugal, República Checa, Rumanía, Suecia)</w:t>
      </w:r>
      <w:r w:rsidRPr="008F776F">
        <w:rPr>
          <w:sz w:val="14"/>
          <w:lang w:val="es-ES_tradnl"/>
        </w:rPr>
        <w:t>.</w:t>
      </w:r>
    </w:p>
    <w:p w14:paraId="3BD0E629" w14:textId="77777777" w:rsidR="008F776F" w:rsidRPr="008F776F" w:rsidRDefault="008F776F" w:rsidP="008F776F">
      <w:pPr>
        <w:tabs>
          <w:tab w:val="left" w:pos="284"/>
        </w:tabs>
        <w:spacing w:after="60"/>
        <w:ind w:left="284" w:hanging="200"/>
        <w:rPr>
          <w:rFonts w:cs="Arial"/>
          <w:i/>
          <w:sz w:val="14"/>
          <w:szCs w:val="16"/>
          <w:lang w:val="es-ES_tradnl"/>
        </w:rPr>
      </w:pPr>
      <w:r w:rsidRPr="008F776F">
        <w:rPr>
          <w:sz w:val="14"/>
          <w:vertAlign w:val="superscript"/>
          <w:lang w:val="es-ES_tradnl"/>
        </w:rPr>
        <w:t>4</w:t>
      </w:r>
      <w:r w:rsidRPr="008F776F">
        <w:rPr>
          <w:sz w:val="14"/>
          <w:lang w:val="es-ES_tradnl"/>
        </w:rPr>
        <w:tab/>
        <w:t xml:space="preserve">Aplica un sistema de protección de los derechos de obtentor que cubre el territorio de sus 17 Estados miembros </w:t>
      </w:r>
      <w:r w:rsidRPr="008F776F">
        <w:rPr>
          <w:i/>
          <w:sz w:val="14"/>
          <w:lang w:val="es-ES_tradnl"/>
        </w:rPr>
        <w:t>(</w:t>
      </w:r>
      <w:proofErr w:type="spellStart"/>
      <w:r w:rsidRPr="008F776F">
        <w:rPr>
          <w:i/>
          <w:sz w:val="14"/>
          <w:lang w:val="es-ES_tradnl"/>
        </w:rPr>
        <w:t>Benin</w:t>
      </w:r>
      <w:proofErr w:type="spellEnd"/>
      <w:r w:rsidRPr="008F776F">
        <w:rPr>
          <w:i/>
          <w:sz w:val="14"/>
          <w:lang w:val="es-ES_tradnl"/>
        </w:rPr>
        <w:t xml:space="preserve">, Burkina Faso, Camerún, Chad, Comoras, Congo, </w:t>
      </w:r>
      <w:proofErr w:type="spellStart"/>
      <w:r w:rsidRPr="008F776F">
        <w:rPr>
          <w:i/>
          <w:sz w:val="14"/>
          <w:lang w:val="es-ES_tradnl"/>
        </w:rPr>
        <w:t>Côte</w:t>
      </w:r>
      <w:proofErr w:type="spellEnd"/>
      <w:r w:rsidRPr="008F776F">
        <w:rPr>
          <w:i/>
          <w:sz w:val="14"/>
          <w:lang w:val="es-ES_tradnl"/>
        </w:rPr>
        <w:t xml:space="preserve"> </w:t>
      </w:r>
      <w:proofErr w:type="spellStart"/>
      <w:r w:rsidRPr="008F776F">
        <w:rPr>
          <w:i/>
          <w:sz w:val="14"/>
          <w:lang w:val="es-ES_tradnl"/>
        </w:rPr>
        <w:t>d’Ivoire</w:t>
      </w:r>
      <w:proofErr w:type="spellEnd"/>
      <w:r w:rsidRPr="008F776F">
        <w:rPr>
          <w:i/>
          <w:sz w:val="14"/>
          <w:lang w:val="es-ES_tradnl"/>
        </w:rPr>
        <w:t>, Gabón, Guinea, Guinea-Bissau, Guinea Ecuatorial, Malí, Mauritania, Níger, República Centroafricana, Senegal, Togo)</w:t>
      </w:r>
      <w:r w:rsidRPr="008F776F">
        <w:rPr>
          <w:sz w:val="14"/>
          <w:lang w:val="es-ES_tradnl"/>
        </w:rPr>
        <w:t>.</w:t>
      </w:r>
    </w:p>
    <w:p w14:paraId="581A85FD" w14:textId="77777777" w:rsidR="008F776F" w:rsidRPr="008F776F" w:rsidRDefault="008F776F" w:rsidP="008F776F">
      <w:pPr>
        <w:pStyle w:val="BodyText3"/>
        <w:tabs>
          <w:tab w:val="left" w:pos="284"/>
        </w:tabs>
        <w:spacing w:after="0" w:line="360" w:lineRule="auto"/>
        <w:jc w:val="both"/>
        <w:rPr>
          <w:rFonts w:ascii="Arial" w:hAnsi="Arial" w:cs="Arial"/>
          <w:sz w:val="18"/>
          <w:szCs w:val="20"/>
          <w:lang w:val="es-ES_tradnl"/>
        </w:rPr>
      </w:pPr>
    </w:p>
    <w:p w14:paraId="0C93259D" w14:textId="77777777" w:rsidR="008F776F" w:rsidRPr="008F776F" w:rsidRDefault="008F776F" w:rsidP="008F776F">
      <w:pPr>
        <w:ind w:left="284" w:hanging="284"/>
        <w:jc w:val="left"/>
        <w:rPr>
          <w:rFonts w:cs="Arial"/>
          <w:b/>
          <w:color w:val="26724C" w:themeColor="accent1" w:themeShade="BF"/>
          <w:spacing w:val="-2"/>
          <w:sz w:val="18"/>
          <w:szCs w:val="16"/>
          <w:lang w:val="es-ES_tradnl"/>
        </w:rPr>
      </w:pPr>
      <w:r w:rsidRPr="008F776F">
        <w:rPr>
          <w:b/>
          <w:color w:val="26724C" w:themeColor="accent1" w:themeShade="BF"/>
          <w:sz w:val="18"/>
          <w:lang w:val="es-ES_tradnl"/>
        </w:rPr>
        <w:t>B.</w:t>
      </w:r>
      <w:r w:rsidRPr="008F776F">
        <w:rPr>
          <w:b/>
          <w:color w:val="26724C" w:themeColor="accent1" w:themeShade="BF"/>
          <w:sz w:val="18"/>
          <w:lang w:val="es-ES_tradnl"/>
        </w:rPr>
        <w:tab/>
        <w:t>Estados y organizaciones intergubernamentales que han iniciado el procedimiento de adhesión al Convenio de la UPOV</w:t>
      </w:r>
    </w:p>
    <w:p w14:paraId="04169E54" w14:textId="77777777" w:rsidR="008F776F" w:rsidRPr="008F776F" w:rsidRDefault="008F776F" w:rsidP="008F776F">
      <w:pPr>
        <w:tabs>
          <w:tab w:val="left" w:pos="284"/>
        </w:tabs>
        <w:ind w:left="284"/>
        <w:rPr>
          <w:rFonts w:cs="Arial"/>
          <w:sz w:val="16"/>
          <w:szCs w:val="16"/>
          <w:lang w:val="es-ES_tradnl"/>
        </w:rPr>
      </w:pPr>
    </w:p>
    <w:p w14:paraId="72C4A905" w14:textId="77777777" w:rsidR="008F776F" w:rsidRPr="008F776F" w:rsidRDefault="008F776F" w:rsidP="008F776F">
      <w:pPr>
        <w:tabs>
          <w:tab w:val="left" w:pos="284"/>
        </w:tabs>
        <w:rPr>
          <w:rFonts w:asciiTheme="minorHAnsi" w:hAnsiTheme="minorHAnsi" w:cstheme="minorHAnsi"/>
          <w:i/>
          <w:sz w:val="16"/>
          <w:szCs w:val="16"/>
          <w:lang w:val="es-ES_tradnl"/>
        </w:rPr>
      </w:pPr>
      <w:r w:rsidRPr="008F776F">
        <w:rPr>
          <w:rFonts w:asciiTheme="minorHAnsi" w:hAnsiTheme="minorHAnsi" w:cstheme="minorHAnsi"/>
          <w:i/>
          <w:sz w:val="16"/>
          <w:lang w:val="es-ES_tradnl"/>
        </w:rPr>
        <w:t>Estados (19):</w:t>
      </w:r>
    </w:p>
    <w:p w14:paraId="7D9520F8" w14:textId="77777777" w:rsidR="008F776F" w:rsidRPr="008F776F" w:rsidRDefault="008F776F" w:rsidP="008F776F">
      <w:pPr>
        <w:tabs>
          <w:tab w:val="left" w:pos="284"/>
        </w:tabs>
        <w:rPr>
          <w:rFonts w:asciiTheme="minorHAnsi" w:hAnsiTheme="minorHAnsi" w:cstheme="minorHAnsi"/>
          <w:sz w:val="12"/>
          <w:szCs w:val="16"/>
          <w:lang w:val="es-ES_tradnl"/>
        </w:rPr>
      </w:pPr>
    </w:p>
    <w:p w14:paraId="5D1EC98C" w14:textId="77777777" w:rsidR="008F776F" w:rsidRPr="008F776F" w:rsidRDefault="008F776F" w:rsidP="008F776F">
      <w:pPr>
        <w:pStyle w:val="BodyText3"/>
        <w:tabs>
          <w:tab w:val="left" w:pos="284"/>
        </w:tabs>
        <w:spacing w:after="0"/>
        <w:jc w:val="both"/>
        <w:rPr>
          <w:rFonts w:asciiTheme="minorHAnsi" w:hAnsiTheme="minorHAnsi" w:cstheme="minorHAnsi"/>
          <w:lang w:val="es-ES_tradnl"/>
        </w:rPr>
      </w:pPr>
      <w:r w:rsidRPr="008F776F">
        <w:rPr>
          <w:rFonts w:asciiTheme="minorHAnsi" w:hAnsiTheme="minorHAnsi" w:cstheme="minorHAnsi"/>
          <w:lang w:val="es-ES_tradnl"/>
        </w:rPr>
        <w:t xml:space="preserve">Afganistán, Armenia, </w:t>
      </w:r>
      <w:proofErr w:type="spellStart"/>
      <w:r w:rsidRPr="008F776F">
        <w:rPr>
          <w:rFonts w:asciiTheme="minorHAnsi" w:hAnsiTheme="minorHAnsi" w:cstheme="minorHAnsi"/>
          <w:lang w:val="es-ES_tradnl"/>
        </w:rPr>
        <w:t>Brunei</w:t>
      </w:r>
      <w:proofErr w:type="spellEnd"/>
      <w:r w:rsidRPr="008F776F">
        <w:rPr>
          <w:rFonts w:asciiTheme="minorHAnsi" w:hAnsiTheme="minorHAnsi" w:cstheme="minorHAnsi"/>
          <w:lang w:val="es-ES_tradnl"/>
        </w:rPr>
        <w:t xml:space="preserve"> Darussalam, Emiratos Árabes Unidos, Filipinas, Guatemala, Honduras, India, Irán (República Islámica del), Jamaica, Kazajstán, Malasia, Mauricio, Mongolia, Myanmar, Nigeria, Tayikistán, Venezuela (República Bolivariana de) y </w:t>
      </w:r>
      <w:proofErr w:type="spellStart"/>
      <w:r w:rsidRPr="008F776F">
        <w:rPr>
          <w:rFonts w:asciiTheme="minorHAnsi" w:hAnsiTheme="minorHAnsi" w:cstheme="minorHAnsi"/>
          <w:lang w:val="es-ES_tradnl"/>
        </w:rPr>
        <w:t>Zimbabwe</w:t>
      </w:r>
      <w:proofErr w:type="spellEnd"/>
    </w:p>
    <w:p w14:paraId="0126D8A7" w14:textId="77777777" w:rsidR="008F776F" w:rsidRPr="008F776F" w:rsidRDefault="008F776F" w:rsidP="008F776F">
      <w:pPr>
        <w:tabs>
          <w:tab w:val="left" w:pos="284"/>
        </w:tabs>
        <w:rPr>
          <w:rFonts w:asciiTheme="minorHAnsi" w:hAnsiTheme="minorHAnsi" w:cstheme="minorHAnsi"/>
          <w:i/>
          <w:sz w:val="16"/>
          <w:szCs w:val="16"/>
          <w:lang w:val="es-ES_tradnl"/>
        </w:rPr>
      </w:pPr>
    </w:p>
    <w:p w14:paraId="4A523B82" w14:textId="77777777" w:rsidR="008F776F" w:rsidRPr="008F776F" w:rsidRDefault="008F776F" w:rsidP="008F776F">
      <w:pPr>
        <w:tabs>
          <w:tab w:val="left" w:pos="284"/>
        </w:tabs>
        <w:rPr>
          <w:rFonts w:asciiTheme="minorHAnsi" w:hAnsiTheme="minorHAnsi" w:cstheme="minorHAnsi"/>
          <w:i/>
          <w:sz w:val="16"/>
          <w:szCs w:val="16"/>
          <w:lang w:val="es-ES_tradnl"/>
        </w:rPr>
      </w:pPr>
      <w:r w:rsidRPr="008F776F">
        <w:rPr>
          <w:rFonts w:asciiTheme="minorHAnsi" w:hAnsiTheme="minorHAnsi" w:cstheme="minorHAnsi"/>
          <w:i/>
          <w:sz w:val="16"/>
          <w:lang w:val="es-ES_tradnl"/>
        </w:rPr>
        <w:t>Organización (1):</w:t>
      </w:r>
    </w:p>
    <w:p w14:paraId="4FC1D6F3" w14:textId="77777777" w:rsidR="008F776F" w:rsidRPr="008F776F" w:rsidRDefault="008F776F" w:rsidP="008F776F">
      <w:pPr>
        <w:tabs>
          <w:tab w:val="left" w:pos="284"/>
        </w:tabs>
        <w:rPr>
          <w:rFonts w:asciiTheme="minorHAnsi" w:hAnsiTheme="minorHAnsi" w:cstheme="minorHAnsi"/>
          <w:sz w:val="12"/>
          <w:szCs w:val="16"/>
          <w:lang w:val="es-ES_tradnl"/>
        </w:rPr>
      </w:pPr>
    </w:p>
    <w:p w14:paraId="5A5FFCB8" w14:textId="77777777" w:rsidR="008F776F" w:rsidRPr="008F776F" w:rsidRDefault="008F776F" w:rsidP="008F776F">
      <w:pPr>
        <w:rPr>
          <w:rFonts w:asciiTheme="minorHAnsi" w:hAnsiTheme="minorHAnsi" w:cstheme="minorHAnsi"/>
          <w:sz w:val="16"/>
          <w:szCs w:val="16"/>
          <w:lang w:val="es-ES_tradnl"/>
        </w:rPr>
      </w:pPr>
      <w:r w:rsidRPr="008F776F">
        <w:rPr>
          <w:rFonts w:asciiTheme="minorHAnsi" w:hAnsiTheme="minorHAnsi" w:cstheme="minorHAnsi"/>
          <w:sz w:val="16"/>
          <w:lang w:val="es-ES_tradnl"/>
        </w:rPr>
        <w:t>Organización Regional Africana de la Propiedad Intelectual (ARIPO)</w:t>
      </w:r>
    </w:p>
    <w:p w14:paraId="2F6F13E2" w14:textId="77777777" w:rsidR="008F776F" w:rsidRPr="008F776F" w:rsidRDefault="008F776F" w:rsidP="008F776F">
      <w:pPr>
        <w:rPr>
          <w:rFonts w:asciiTheme="minorHAnsi" w:hAnsiTheme="minorHAnsi" w:cstheme="minorHAnsi"/>
          <w:sz w:val="16"/>
          <w:szCs w:val="16"/>
          <w:lang w:val="es-ES_tradnl"/>
        </w:rPr>
      </w:pPr>
      <w:r w:rsidRPr="008F776F">
        <w:rPr>
          <w:rFonts w:asciiTheme="minorHAnsi" w:hAnsiTheme="minorHAnsi" w:cstheme="minorHAnsi"/>
          <w:sz w:val="16"/>
          <w:lang w:val="es-ES_tradnl"/>
        </w:rPr>
        <w:t>(</w:t>
      </w:r>
      <w:r w:rsidRPr="008F776F">
        <w:rPr>
          <w:rFonts w:asciiTheme="minorHAnsi" w:hAnsiTheme="minorHAnsi" w:cstheme="minorHAnsi"/>
          <w:i/>
          <w:sz w:val="16"/>
          <w:lang w:val="es-ES_tradnl"/>
        </w:rPr>
        <w:t xml:space="preserve">Estados miembros de la ARIPO (20): </w:t>
      </w:r>
      <w:proofErr w:type="spellStart"/>
      <w:r w:rsidRPr="008F776F">
        <w:rPr>
          <w:rFonts w:asciiTheme="minorHAnsi" w:hAnsiTheme="minorHAnsi" w:cstheme="minorHAnsi"/>
          <w:i/>
          <w:sz w:val="16"/>
          <w:lang w:val="es-ES_tradnl"/>
        </w:rPr>
        <w:t>Botswana</w:t>
      </w:r>
      <w:proofErr w:type="spellEnd"/>
      <w:r w:rsidRPr="008F776F">
        <w:rPr>
          <w:rFonts w:asciiTheme="minorHAnsi" w:hAnsiTheme="minorHAnsi" w:cstheme="minorHAnsi"/>
          <w:i/>
          <w:sz w:val="16"/>
          <w:lang w:val="es-ES_tradnl"/>
        </w:rPr>
        <w:t xml:space="preserve">, </w:t>
      </w:r>
      <w:proofErr w:type="spellStart"/>
      <w:r w:rsidRPr="008F776F">
        <w:rPr>
          <w:rFonts w:asciiTheme="minorHAnsi" w:hAnsiTheme="minorHAnsi" w:cstheme="minorHAnsi"/>
          <w:i/>
          <w:sz w:val="16"/>
          <w:lang w:val="es-ES_tradnl"/>
        </w:rPr>
        <w:t>Eswatini</w:t>
      </w:r>
      <w:proofErr w:type="spellEnd"/>
      <w:r w:rsidRPr="008F776F">
        <w:rPr>
          <w:rFonts w:asciiTheme="minorHAnsi" w:hAnsiTheme="minorHAnsi" w:cstheme="minorHAnsi"/>
          <w:i/>
          <w:sz w:val="16"/>
          <w:lang w:val="es-ES_tradnl"/>
        </w:rPr>
        <w:t xml:space="preserve">, Gambia, Ghana, </w:t>
      </w:r>
      <w:proofErr w:type="spellStart"/>
      <w:r w:rsidRPr="008F776F">
        <w:rPr>
          <w:rFonts w:asciiTheme="minorHAnsi" w:hAnsiTheme="minorHAnsi" w:cstheme="minorHAnsi"/>
          <w:i/>
          <w:sz w:val="16"/>
          <w:lang w:val="es-ES_tradnl"/>
        </w:rPr>
        <w:t>Kenya</w:t>
      </w:r>
      <w:proofErr w:type="spellEnd"/>
      <w:r w:rsidRPr="008F776F">
        <w:rPr>
          <w:rFonts w:asciiTheme="minorHAnsi" w:hAnsiTheme="minorHAnsi" w:cstheme="minorHAnsi"/>
          <w:i/>
          <w:sz w:val="16"/>
          <w:lang w:val="es-ES_tradnl"/>
        </w:rPr>
        <w:t xml:space="preserve">, </w:t>
      </w:r>
      <w:proofErr w:type="spellStart"/>
      <w:r w:rsidRPr="008F776F">
        <w:rPr>
          <w:rFonts w:asciiTheme="minorHAnsi" w:hAnsiTheme="minorHAnsi" w:cstheme="minorHAnsi"/>
          <w:i/>
          <w:sz w:val="16"/>
          <w:lang w:val="es-ES_tradnl"/>
        </w:rPr>
        <w:t>Lesotho</w:t>
      </w:r>
      <w:proofErr w:type="spellEnd"/>
      <w:r w:rsidRPr="008F776F">
        <w:rPr>
          <w:rFonts w:asciiTheme="minorHAnsi" w:hAnsiTheme="minorHAnsi" w:cstheme="minorHAnsi"/>
          <w:i/>
          <w:sz w:val="16"/>
          <w:lang w:val="es-ES_tradnl"/>
        </w:rPr>
        <w:t>, Liberia, Malawi, Mauricio, Mozambique, Namibia, República Unida de </w:t>
      </w:r>
      <w:proofErr w:type="spellStart"/>
      <w:r w:rsidRPr="008F776F">
        <w:rPr>
          <w:rFonts w:asciiTheme="minorHAnsi" w:hAnsiTheme="minorHAnsi" w:cstheme="minorHAnsi"/>
          <w:i/>
          <w:sz w:val="16"/>
          <w:lang w:val="es-ES_tradnl"/>
        </w:rPr>
        <w:t>Tanzanía</w:t>
      </w:r>
      <w:proofErr w:type="spellEnd"/>
      <w:r w:rsidRPr="008F776F">
        <w:rPr>
          <w:rFonts w:asciiTheme="minorHAnsi" w:hAnsiTheme="minorHAnsi" w:cstheme="minorHAnsi"/>
          <w:i/>
          <w:sz w:val="16"/>
          <w:lang w:val="es-ES_tradnl"/>
        </w:rPr>
        <w:t xml:space="preserve">, </w:t>
      </w:r>
      <w:proofErr w:type="spellStart"/>
      <w:r w:rsidRPr="008F776F">
        <w:rPr>
          <w:rFonts w:asciiTheme="minorHAnsi" w:hAnsiTheme="minorHAnsi" w:cstheme="minorHAnsi"/>
          <w:i/>
          <w:sz w:val="16"/>
          <w:lang w:val="es-ES_tradnl"/>
        </w:rPr>
        <w:t>Rwanda</w:t>
      </w:r>
      <w:proofErr w:type="spellEnd"/>
      <w:r w:rsidRPr="008F776F">
        <w:rPr>
          <w:rFonts w:asciiTheme="minorHAnsi" w:hAnsiTheme="minorHAnsi" w:cstheme="minorHAnsi"/>
          <w:i/>
          <w:sz w:val="16"/>
          <w:lang w:val="es-ES_tradnl"/>
        </w:rPr>
        <w:t xml:space="preserve">, Santo Tomé y Príncipe, Sierra Leona, Somalia, Sudán, Uganda, Zambia, </w:t>
      </w:r>
      <w:proofErr w:type="spellStart"/>
      <w:r w:rsidRPr="008F776F">
        <w:rPr>
          <w:rFonts w:asciiTheme="minorHAnsi" w:hAnsiTheme="minorHAnsi" w:cstheme="minorHAnsi"/>
          <w:i/>
          <w:sz w:val="16"/>
          <w:lang w:val="es-ES_tradnl"/>
        </w:rPr>
        <w:t>Zimbabwe</w:t>
      </w:r>
      <w:proofErr w:type="spellEnd"/>
      <w:r w:rsidRPr="008F776F">
        <w:rPr>
          <w:rFonts w:asciiTheme="minorHAnsi" w:hAnsiTheme="minorHAnsi" w:cstheme="minorHAnsi"/>
          <w:sz w:val="16"/>
          <w:lang w:val="es-ES_tradnl"/>
        </w:rPr>
        <w:t>)</w:t>
      </w:r>
      <w:r w:rsidRPr="008F776F">
        <w:rPr>
          <w:rFonts w:asciiTheme="minorHAnsi" w:hAnsiTheme="minorHAnsi" w:cstheme="minorHAnsi"/>
          <w:i/>
          <w:sz w:val="16"/>
          <w:lang w:val="es-ES_tradnl"/>
        </w:rPr>
        <w:t xml:space="preserve"> </w:t>
      </w:r>
    </w:p>
    <w:p w14:paraId="535A944D" w14:textId="77777777" w:rsidR="008F776F" w:rsidRPr="008F776F" w:rsidRDefault="008F776F" w:rsidP="008F776F">
      <w:pPr>
        <w:rPr>
          <w:rFonts w:asciiTheme="minorHAnsi" w:hAnsiTheme="minorHAnsi" w:cstheme="minorHAnsi"/>
          <w:sz w:val="16"/>
          <w:szCs w:val="16"/>
          <w:lang w:val="es-ES_tradnl"/>
        </w:rPr>
      </w:pPr>
    </w:p>
    <w:p w14:paraId="54F82796" w14:textId="77777777" w:rsidR="008F776F" w:rsidRPr="008F776F" w:rsidRDefault="008F776F" w:rsidP="008F776F">
      <w:pPr>
        <w:rPr>
          <w:rFonts w:asciiTheme="minorHAnsi" w:hAnsiTheme="minorHAnsi" w:cstheme="minorHAnsi"/>
          <w:sz w:val="16"/>
          <w:szCs w:val="16"/>
          <w:lang w:val="es-ES_tradnl"/>
        </w:rPr>
      </w:pPr>
    </w:p>
    <w:p w14:paraId="4F13889F" w14:textId="77777777" w:rsidR="008F776F" w:rsidRPr="008F776F" w:rsidRDefault="008F776F" w:rsidP="008F776F">
      <w:pPr>
        <w:ind w:left="284" w:hanging="284"/>
        <w:jc w:val="left"/>
        <w:rPr>
          <w:rFonts w:asciiTheme="minorHAnsi" w:hAnsiTheme="minorHAnsi" w:cstheme="minorHAnsi"/>
          <w:b/>
          <w:color w:val="26724C" w:themeColor="accent1" w:themeShade="BF"/>
          <w:sz w:val="18"/>
          <w:szCs w:val="24"/>
          <w:lang w:val="es-ES_tradnl"/>
        </w:rPr>
      </w:pPr>
      <w:r w:rsidRPr="008F776F">
        <w:rPr>
          <w:rFonts w:asciiTheme="minorHAnsi" w:hAnsiTheme="minorHAnsi" w:cstheme="minorHAnsi"/>
          <w:b/>
          <w:color w:val="26724C" w:themeColor="accent1" w:themeShade="BF"/>
          <w:sz w:val="18"/>
          <w:lang w:val="es-ES_tradnl"/>
        </w:rPr>
        <w:t>C.</w:t>
      </w:r>
      <w:r w:rsidRPr="008F776F">
        <w:rPr>
          <w:rFonts w:asciiTheme="minorHAnsi" w:hAnsiTheme="minorHAnsi" w:cstheme="minorHAnsi"/>
          <w:b/>
          <w:color w:val="26724C" w:themeColor="accent1" w:themeShade="BF"/>
          <w:sz w:val="18"/>
          <w:lang w:val="es-ES_tradnl"/>
        </w:rPr>
        <w:tab/>
        <w:t>Estados y organizaciones intergubernamentales que se han puesto en contacto con la Oficina de la Unión para solicitar asistencia en la elaboración de legislación basada en el Convenio de la UPOV</w:t>
      </w:r>
    </w:p>
    <w:p w14:paraId="3B6D2184" w14:textId="77777777" w:rsidR="008F776F" w:rsidRPr="008F776F" w:rsidRDefault="008F776F" w:rsidP="008F776F">
      <w:pPr>
        <w:jc w:val="center"/>
        <w:rPr>
          <w:rFonts w:asciiTheme="minorHAnsi" w:hAnsiTheme="minorHAnsi" w:cstheme="minorHAnsi"/>
          <w:b/>
          <w:sz w:val="18"/>
          <w:szCs w:val="24"/>
          <w:lang w:val="es-ES_tradnl"/>
        </w:rPr>
      </w:pPr>
    </w:p>
    <w:p w14:paraId="64AB920D" w14:textId="77777777" w:rsidR="008F776F" w:rsidRPr="008F776F" w:rsidRDefault="008F776F" w:rsidP="008F776F">
      <w:pPr>
        <w:rPr>
          <w:rFonts w:asciiTheme="minorHAnsi" w:hAnsiTheme="minorHAnsi" w:cstheme="minorHAnsi"/>
          <w:i/>
          <w:sz w:val="16"/>
          <w:szCs w:val="24"/>
          <w:lang w:val="es-ES_tradnl"/>
        </w:rPr>
      </w:pPr>
      <w:r w:rsidRPr="008F776F">
        <w:rPr>
          <w:rFonts w:asciiTheme="minorHAnsi" w:hAnsiTheme="minorHAnsi" w:cstheme="minorHAnsi"/>
          <w:i/>
          <w:sz w:val="16"/>
          <w:lang w:val="es-ES_tradnl"/>
        </w:rPr>
        <w:t>Estados (23):</w:t>
      </w:r>
    </w:p>
    <w:p w14:paraId="250EF968" w14:textId="77777777" w:rsidR="008F776F" w:rsidRPr="008F776F" w:rsidRDefault="008F776F" w:rsidP="008F776F">
      <w:pPr>
        <w:rPr>
          <w:rFonts w:asciiTheme="minorHAnsi" w:hAnsiTheme="minorHAnsi" w:cstheme="minorHAnsi"/>
          <w:sz w:val="10"/>
          <w:szCs w:val="24"/>
          <w:lang w:val="es-ES_tradnl"/>
        </w:rPr>
      </w:pPr>
    </w:p>
    <w:p w14:paraId="4A82C7D9" w14:textId="77777777" w:rsidR="008F776F" w:rsidRPr="008F776F" w:rsidRDefault="008F776F" w:rsidP="008F776F">
      <w:pPr>
        <w:rPr>
          <w:rFonts w:asciiTheme="minorHAnsi" w:hAnsiTheme="minorHAnsi" w:cstheme="minorHAnsi"/>
          <w:sz w:val="16"/>
          <w:szCs w:val="16"/>
          <w:lang w:val="es-ES_tradnl"/>
        </w:rPr>
      </w:pPr>
      <w:r w:rsidRPr="008F776F">
        <w:rPr>
          <w:rFonts w:asciiTheme="minorHAnsi" w:hAnsiTheme="minorHAnsi" w:cstheme="minorHAnsi"/>
          <w:sz w:val="16"/>
          <w:lang w:val="es-ES_tradnl"/>
        </w:rPr>
        <w:t xml:space="preserve">Antigua y Barbuda, Arabia Saudita, Argelia, </w:t>
      </w:r>
      <w:proofErr w:type="spellStart"/>
      <w:r w:rsidRPr="008F776F">
        <w:rPr>
          <w:rFonts w:asciiTheme="minorHAnsi" w:hAnsiTheme="minorHAnsi" w:cstheme="minorHAnsi"/>
          <w:sz w:val="16"/>
          <w:lang w:val="es-ES_tradnl"/>
        </w:rPr>
        <w:t>Bahrein</w:t>
      </w:r>
      <w:proofErr w:type="spellEnd"/>
      <w:r w:rsidRPr="008F776F">
        <w:rPr>
          <w:rFonts w:asciiTheme="minorHAnsi" w:hAnsiTheme="minorHAnsi" w:cstheme="minorHAnsi"/>
          <w:sz w:val="16"/>
          <w:lang w:val="es-ES_tradnl"/>
        </w:rPr>
        <w:t>, Barbados, Camboya, Chipre, Cuba, El Salvador, Indonesia, Iraq, Libia, Liechtenstein, Malawi, Mozambique, Namibia, Pakistán, República Democrática Popular Lao, Sudán, Tailandia, Tonga, Turkmenistán y Zambia,</w:t>
      </w:r>
    </w:p>
    <w:p w14:paraId="1639AB19" w14:textId="77777777" w:rsidR="008F776F" w:rsidRPr="008F776F" w:rsidRDefault="008F776F" w:rsidP="008F776F">
      <w:pPr>
        <w:rPr>
          <w:rFonts w:asciiTheme="minorHAnsi" w:hAnsiTheme="minorHAnsi" w:cstheme="minorHAnsi"/>
          <w:sz w:val="16"/>
          <w:szCs w:val="16"/>
          <w:lang w:val="es-ES_tradnl"/>
        </w:rPr>
      </w:pPr>
    </w:p>
    <w:p w14:paraId="3D659AB3" w14:textId="77777777" w:rsidR="008F776F" w:rsidRPr="008F776F" w:rsidRDefault="008F776F" w:rsidP="008F776F">
      <w:pPr>
        <w:rPr>
          <w:rFonts w:asciiTheme="minorHAnsi" w:hAnsiTheme="minorHAnsi" w:cstheme="minorHAnsi"/>
          <w:i/>
          <w:sz w:val="16"/>
          <w:szCs w:val="16"/>
          <w:lang w:val="es-ES_tradnl"/>
        </w:rPr>
      </w:pPr>
      <w:r w:rsidRPr="008F776F">
        <w:rPr>
          <w:rFonts w:asciiTheme="minorHAnsi" w:hAnsiTheme="minorHAnsi" w:cstheme="minorHAnsi"/>
          <w:i/>
          <w:sz w:val="16"/>
          <w:lang w:val="es-ES_tradnl"/>
        </w:rPr>
        <w:t>Organización (1):</w:t>
      </w:r>
    </w:p>
    <w:p w14:paraId="7DEC9CD7" w14:textId="77777777" w:rsidR="008F776F" w:rsidRPr="008F776F" w:rsidRDefault="008F776F" w:rsidP="008F776F">
      <w:pPr>
        <w:rPr>
          <w:rFonts w:asciiTheme="minorHAnsi" w:hAnsiTheme="minorHAnsi" w:cstheme="minorHAnsi"/>
          <w:sz w:val="12"/>
          <w:szCs w:val="16"/>
          <w:lang w:val="es-ES_tradnl"/>
        </w:rPr>
      </w:pPr>
    </w:p>
    <w:p w14:paraId="7949DFCF" w14:textId="77777777" w:rsidR="008F776F" w:rsidRPr="008F776F" w:rsidRDefault="008F776F" w:rsidP="008F776F">
      <w:pPr>
        <w:rPr>
          <w:rFonts w:asciiTheme="minorHAnsi" w:hAnsiTheme="minorHAnsi" w:cstheme="minorHAnsi"/>
          <w:sz w:val="16"/>
          <w:szCs w:val="16"/>
          <w:lang w:val="es-ES_tradnl"/>
        </w:rPr>
      </w:pPr>
      <w:r w:rsidRPr="008F776F">
        <w:rPr>
          <w:rFonts w:asciiTheme="minorHAnsi" w:hAnsiTheme="minorHAnsi" w:cstheme="minorHAnsi"/>
          <w:sz w:val="16"/>
          <w:lang w:val="es-ES_tradnl"/>
        </w:rPr>
        <w:t>Comunidad para el Desarrollo del África Austral (SADC)</w:t>
      </w:r>
    </w:p>
    <w:p w14:paraId="221C0435" w14:textId="77777777" w:rsidR="008F776F" w:rsidRPr="008F776F" w:rsidRDefault="008F776F" w:rsidP="008F776F">
      <w:pPr>
        <w:rPr>
          <w:rFonts w:asciiTheme="minorHAnsi" w:hAnsiTheme="minorHAnsi" w:cstheme="minorHAnsi"/>
          <w:i/>
          <w:sz w:val="16"/>
          <w:szCs w:val="24"/>
          <w:lang w:val="es-ES_tradnl"/>
        </w:rPr>
      </w:pPr>
      <w:r w:rsidRPr="008F776F">
        <w:rPr>
          <w:rFonts w:asciiTheme="minorHAnsi" w:hAnsiTheme="minorHAnsi" w:cstheme="minorHAnsi"/>
          <w:sz w:val="16"/>
          <w:lang w:val="es-ES_tradnl"/>
        </w:rPr>
        <w:t>(</w:t>
      </w:r>
      <w:r w:rsidRPr="008F776F">
        <w:rPr>
          <w:rFonts w:asciiTheme="minorHAnsi" w:hAnsiTheme="minorHAnsi" w:cstheme="minorHAnsi"/>
          <w:i/>
          <w:sz w:val="16"/>
          <w:lang w:val="es-ES_tradnl"/>
        </w:rPr>
        <w:t xml:space="preserve">Estados miembros de la SADC (15): Angola, </w:t>
      </w:r>
      <w:proofErr w:type="spellStart"/>
      <w:r w:rsidRPr="008F776F">
        <w:rPr>
          <w:rFonts w:asciiTheme="minorHAnsi" w:hAnsiTheme="minorHAnsi" w:cstheme="minorHAnsi"/>
          <w:i/>
          <w:sz w:val="16"/>
          <w:lang w:val="es-ES_tradnl"/>
        </w:rPr>
        <w:t>Botswana</w:t>
      </w:r>
      <w:proofErr w:type="spellEnd"/>
      <w:r w:rsidRPr="008F776F">
        <w:rPr>
          <w:rFonts w:asciiTheme="minorHAnsi" w:hAnsiTheme="minorHAnsi" w:cstheme="minorHAnsi"/>
          <w:i/>
          <w:sz w:val="16"/>
          <w:lang w:val="es-ES_tradnl"/>
        </w:rPr>
        <w:t xml:space="preserve">, </w:t>
      </w:r>
      <w:proofErr w:type="spellStart"/>
      <w:r w:rsidRPr="008F776F">
        <w:rPr>
          <w:rFonts w:asciiTheme="minorHAnsi" w:hAnsiTheme="minorHAnsi" w:cstheme="minorHAnsi"/>
          <w:i/>
          <w:sz w:val="16"/>
          <w:lang w:val="es-ES_tradnl"/>
        </w:rPr>
        <w:t>Eswatini</w:t>
      </w:r>
      <w:proofErr w:type="spellEnd"/>
      <w:r w:rsidRPr="008F776F">
        <w:rPr>
          <w:rFonts w:asciiTheme="minorHAnsi" w:hAnsiTheme="minorHAnsi" w:cstheme="minorHAnsi"/>
          <w:i/>
          <w:sz w:val="16"/>
          <w:lang w:val="es-ES_tradnl"/>
        </w:rPr>
        <w:t xml:space="preserve">, </w:t>
      </w:r>
      <w:proofErr w:type="spellStart"/>
      <w:r w:rsidRPr="008F776F">
        <w:rPr>
          <w:rFonts w:asciiTheme="minorHAnsi" w:hAnsiTheme="minorHAnsi" w:cstheme="minorHAnsi"/>
          <w:i/>
          <w:sz w:val="16"/>
          <w:lang w:val="es-ES_tradnl"/>
        </w:rPr>
        <w:t>Lesotho</w:t>
      </w:r>
      <w:proofErr w:type="spellEnd"/>
      <w:r w:rsidRPr="008F776F">
        <w:rPr>
          <w:rFonts w:asciiTheme="minorHAnsi" w:hAnsiTheme="minorHAnsi" w:cstheme="minorHAnsi"/>
          <w:i/>
          <w:sz w:val="16"/>
          <w:lang w:val="es-ES_tradnl"/>
        </w:rPr>
        <w:t>, Madagascar, Malawi, Mauricio, Mozambique, Namibia, República Democrática del Congo, República Unida de </w:t>
      </w:r>
      <w:proofErr w:type="spellStart"/>
      <w:r w:rsidRPr="008F776F">
        <w:rPr>
          <w:rFonts w:asciiTheme="minorHAnsi" w:hAnsiTheme="minorHAnsi" w:cstheme="minorHAnsi"/>
          <w:i/>
          <w:sz w:val="16"/>
          <w:lang w:val="es-ES_tradnl"/>
        </w:rPr>
        <w:t>Tanzanía</w:t>
      </w:r>
      <w:proofErr w:type="spellEnd"/>
      <w:r w:rsidRPr="008F776F">
        <w:rPr>
          <w:rFonts w:asciiTheme="minorHAnsi" w:hAnsiTheme="minorHAnsi" w:cstheme="minorHAnsi"/>
          <w:i/>
          <w:sz w:val="16"/>
          <w:lang w:val="es-ES_tradnl"/>
        </w:rPr>
        <w:t xml:space="preserve">, Seychelles, Sudáfrica, Zambia, </w:t>
      </w:r>
      <w:proofErr w:type="spellStart"/>
      <w:r w:rsidRPr="008F776F">
        <w:rPr>
          <w:rFonts w:asciiTheme="minorHAnsi" w:hAnsiTheme="minorHAnsi" w:cstheme="minorHAnsi"/>
          <w:i/>
          <w:sz w:val="16"/>
          <w:lang w:val="es-ES_tradnl"/>
        </w:rPr>
        <w:t>Zimbabwe</w:t>
      </w:r>
      <w:proofErr w:type="spellEnd"/>
      <w:r w:rsidRPr="008F776F">
        <w:rPr>
          <w:rFonts w:asciiTheme="minorHAnsi" w:hAnsiTheme="minorHAnsi" w:cstheme="minorHAnsi"/>
          <w:i/>
          <w:sz w:val="16"/>
          <w:lang w:val="es-ES_tradnl"/>
        </w:rPr>
        <w:t>)</w:t>
      </w:r>
    </w:p>
    <w:p w14:paraId="27DA3069" w14:textId="77777777" w:rsidR="008F776F" w:rsidRPr="008F776F" w:rsidRDefault="008F776F" w:rsidP="008F776F">
      <w:pPr>
        <w:rPr>
          <w:rFonts w:asciiTheme="minorHAnsi" w:hAnsiTheme="minorHAnsi" w:cstheme="minorHAnsi"/>
          <w:lang w:val="es-ES_tradnl"/>
        </w:rPr>
      </w:pPr>
    </w:p>
    <w:p w14:paraId="787FE6BC" w14:textId="77777777" w:rsidR="008F776F" w:rsidRPr="008F776F" w:rsidRDefault="008F776F" w:rsidP="008F776F">
      <w:pPr>
        <w:rPr>
          <w:rFonts w:cs="Arial"/>
          <w:snapToGrid w:val="0"/>
          <w:color w:val="000000"/>
          <w:lang w:val="es-ES_tradnl"/>
        </w:rPr>
      </w:pPr>
    </w:p>
    <w:p w14:paraId="5DC3BC25" w14:textId="77777777" w:rsidR="008F776F" w:rsidRPr="008F776F" w:rsidRDefault="008F776F" w:rsidP="008F776F">
      <w:pPr>
        <w:pStyle w:val="Endofdocument"/>
        <w:jc w:val="right"/>
        <w:rPr>
          <w:rFonts w:ascii="Arial" w:hAnsi="Arial" w:cs="Arial"/>
          <w:snapToGrid w:val="0"/>
          <w:color w:val="000000"/>
          <w:sz w:val="20"/>
          <w:lang w:val="es-ES_tradnl"/>
        </w:rPr>
      </w:pPr>
      <w:r w:rsidRPr="008F776F">
        <w:rPr>
          <w:rFonts w:ascii="Arial" w:hAnsi="Arial"/>
          <w:snapToGrid w:val="0"/>
          <w:color w:val="000000"/>
          <w:sz w:val="20"/>
          <w:lang w:val="es-ES_tradnl"/>
        </w:rPr>
        <w:t>[Sigue el Apéndice II]</w:t>
      </w:r>
    </w:p>
    <w:p w14:paraId="3915CF67" w14:textId="77777777" w:rsidR="008F776F" w:rsidRPr="008F776F" w:rsidRDefault="008F776F" w:rsidP="008F776F">
      <w:pPr>
        <w:pStyle w:val="Endofdocument"/>
        <w:jc w:val="both"/>
        <w:rPr>
          <w:rFonts w:ascii="Arial" w:hAnsi="Arial" w:cs="Arial"/>
          <w:snapToGrid w:val="0"/>
          <w:color w:val="000000"/>
          <w:sz w:val="20"/>
          <w:lang w:val="es-ES_tradnl"/>
        </w:rPr>
        <w:sectPr w:rsidR="008F776F" w:rsidRPr="008F776F" w:rsidSect="008577A0">
          <w:headerReference w:type="even" r:id="rId26"/>
          <w:footerReference w:type="even" r:id="rId27"/>
          <w:footerReference w:type="default" r:id="rId28"/>
          <w:headerReference w:type="first" r:id="rId29"/>
          <w:footerReference w:type="first" r:id="rId30"/>
          <w:type w:val="continuous"/>
          <w:pgSz w:w="11907" w:h="16840" w:code="9"/>
          <w:pgMar w:top="510" w:right="1134" w:bottom="1134" w:left="1134" w:header="510" w:footer="624" w:gutter="0"/>
          <w:cols w:space="720"/>
        </w:sectPr>
      </w:pPr>
    </w:p>
    <w:p w14:paraId="14C274D8" w14:textId="77777777" w:rsidR="008F776F" w:rsidRPr="008F776F" w:rsidRDefault="008F776F" w:rsidP="008F776F">
      <w:pPr>
        <w:pStyle w:val="Heading9"/>
        <w:ind w:left="1985" w:hanging="1985"/>
        <w:rPr>
          <w:spacing w:val="-6"/>
          <w:lang w:val="es-ES_tradnl"/>
        </w:rPr>
      </w:pPr>
      <w:bookmarkStart w:id="492" w:name="_Toc141978871"/>
      <w:r w:rsidRPr="008F776F">
        <w:rPr>
          <w:lang w:val="es-ES_tradnl"/>
        </w:rPr>
        <w:lastRenderedPageBreak/>
        <w:t>APÉNDICE II</w:t>
      </w:r>
      <w:r w:rsidRPr="008F776F">
        <w:rPr>
          <w:lang w:val="es-ES_tradnl"/>
        </w:rPr>
        <w:tab/>
      </w:r>
      <w:r w:rsidRPr="008F776F">
        <w:rPr>
          <w:spacing w:val="-6"/>
          <w:lang w:val="es-ES_tradnl"/>
        </w:rPr>
        <w:t>Contribuciones de los miembros al 31 de diciembre de 2022</w:t>
      </w:r>
      <w:bookmarkEnd w:id="492"/>
    </w:p>
    <w:p w14:paraId="03092E75" w14:textId="77777777" w:rsidR="008F776F" w:rsidRPr="008F776F" w:rsidRDefault="008F776F" w:rsidP="008F776F">
      <w:pPr>
        <w:jc w:val="center"/>
        <w:rPr>
          <w:i/>
          <w:sz w:val="18"/>
          <w:szCs w:val="18"/>
          <w:lang w:val="es-ES_tradnl"/>
        </w:rPr>
      </w:pPr>
    </w:p>
    <w:p w14:paraId="1247E386" w14:textId="77777777" w:rsidR="008F776F" w:rsidRPr="008F776F" w:rsidRDefault="008F776F" w:rsidP="008F776F">
      <w:pPr>
        <w:spacing w:after="120"/>
        <w:jc w:val="center"/>
        <w:rPr>
          <w:i/>
          <w:caps/>
          <w:sz w:val="18"/>
          <w:szCs w:val="18"/>
          <w:lang w:val="es-ES_tradnl"/>
        </w:rPr>
      </w:pPr>
      <w:r w:rsidRPr="008F776F">
        <w:rPr>
          <w:i/>
          <w:sz w:val="18"/>
          <w:lang w:val="es-ES_tradnl"/>
        </w:rPr>
        <w:t>(en francos suizos)</w:t>
      </w:r>
    </w:p>
    <w:tbl>
      <w:tblPr>
        <w:tblW w:w="9639" w:type="dxa"/>
        <w:tblLook w:val="04A0" w:firstRow="1" w:lastRow="0" w:firstColumn="1" w:lastColumn="0" w:noHBand="0" w:noVBand="1"/>
      </w:tblPr>
      <w:tblGrid>
        <w:gridCol w:w="1134"/>
        <w:gridCol w:w="1134"/>
        <w:gridCol w:w="3969"/>
        <w:gridCol w:w="1001"/>
        <w:gridCol w:w="1267"/>
        <w:gridCol w:w="1134"/>
      </w:tblGrid>
      <w:tr w:rsidR="008F776F" w:rsidRPr="008F776F" w14:paraId="54F91DF7" w14:textId="77777777" w:rsidTr="00DB6666">
        <w:trPr>
          <w:trHeight w:val="934"/>
          <w:tblHeader/>
        </w:trPr>
        <w:tc>
          <w:tcPr>
            <w:tcW w:w="1134" w:type="dxa"/>
            <w:tcBorders>
              <w:top w:val="nil"/>
              <w:left w:val="nil"/>
              <w:right w:val="nil"/>
            </w:tcBorders>
            <w:shd w:val="clear" w:color="000000" w:fill="C7CFD8"/>
            <w:vAlign w:val="center"/>
            <w:hideMark/>
          </w:tcPr>
          <w:p w14:paraId="6AF034D1" w14:textId="77777777" w:rsidR="008F776F" w:rsidRPr="008F776F" w:rsidRDefault="008F776F" w:rsidP="00DB6666">
            <w:pPr>
              <w:jc w:val="center"/>
              <w:rPr>
                <w:rFonts w:ascii="Arial Narrow" w:hAnsi="Arial Narrow" w:cs="Arial"/>
                <w:b/>
                <w:bCs/>
                <w:color w:val="000000"/>
                <w:sz w:val="18"/>
                <w:szCs w:val="18"/>
                <w:lang w:val="es-ES_tradnl"/>
              </w:rPr>
            </w:pPr>
            <w:r w:rsidRPr="008F776F">
              <w:rPr>
                <w:rFonts w:ascii="Arial Narrow" w:hAnsi="Arial Narrow"/>
                <w:b/>
                <w:color w:val="000000"/>
                <w:sz w:val="18"/>
                <w:lang w:val="es-ES_tradnl"/>
              </w:rPr>
              <w:t>2022</w:t>
            </w:r>
          </w:p>
          <w:p w14:paraId="1C271C0E" w14:textId="77777777" w:rsidR="008F776F" w:rsidRPr="008F776F" w:rsidRDefault="008F776F" w:rsidP="00DB6666">
            <w:pPr>
              <w:jc w:val="center"/>
              <w:rPr>
                <w:rFonts w:ascii="Arial Narrow" w:hAnsi="Arial Narrow" w:cs="Arial"/>
                <w:b/>
                <w:bCs/>
                <w:color w:val="000000"/>
                <w:sz w:val="18"/>
                <w:szCs w:val="18"/>
                <w:lang w:val="es-ES_tradnl"/>
              </w:rPr>
            </w:pPr>
            <w:r w:rsidRPr="008F776F">
              <w:rPr>
                <w:rFonts w:ascii="Arial Narrow" w:hAnsi="Arial Narrow"/>
                <w:b/>
                <w:color w:val="000000"/>
                <w:sz w:val="18"/>
                <w:lang w:val="es-ES_tradnl"/>
              </w:rPr>
              <w:t>Facturado</w:t>
            </w:r>
          </w:p>
        </w:tc>
        <w:tc>
          <w:tcPr>
            <w:tcW w:w="1134" w:type="dxa"/>
            <w:tcBorders>
              <w:top w:val="nil"/>
              <w:left w:val="nil"/>
              <w:right w:val="nil"/>
            </w:tcBorders>
            <w:shd w:val="clear" w:color="000000" w:fill="C7CFD8"/>
            <w:vAlign w:val="center"/>
            <w:hideMark/>
          </w:tcPr>
          <w:p w14:paraId="236C0EBE" w14:textId="77777777" w:rsidR="008F776F" w:rsidRPr="008F776F" w:rsidRDefault="008F776F" w:rsidP="00DB6666">
            <w:pPr>
              <w:jc w:val="center"/>
              <w:rPr>
                <w:rFonts w:ascii="Arial Narrow" w:hAnsi="Arial Narrow" w:cs="Arial"/>
                <w:b/>
                <w:bCs/>
                <w:color w:val="000000"/>
                <w:sz w:val="18"/>
                <w:szCs w:val="18"/>
                <w:lang w:val="es-ES_tradnl"/>
              </w:rPr>
            </w:pPr>
            <w:r w:rsidRPr="008F776F">
              <w:rPr>
                <w:rFonts w:ascii="Arial Narrow" w:hAnsi="Arial Narrow"/>
                <w:b/>
                <w:color w:val="000000"/>
                <w:sz w:val="18"/>
                <w:lang w:val="es-ES_tradnl"/>
              </w:rPr>
              <w:t>2023</w:t>
            </w:r>
          </w:p>
          <w:p w14:paraId="037E57B5" w14:textId="77777777" w:rsidR="008F776F" w:rsidRPr="008F776F" w:rsidRDefault="008F776F" w:rsidP="00DB6666">
            <w:pPr>
              <w:jc w:val="center"/>
              <w:rPr>
                <w:rFonts w:ascii="Arial Narrow" w:hAnsi="Arial Narrow" w:cs="Arial"/>
                <w:b/>
                <w:bCs/>
                <w:color w:val="000000"/>
                <w:sz w:val="18"/>
                <w:szCs w:val="18"/>
                <w:lang w:val="es-ES_tradnl"/>
              </w:rPr>
            </w:pPr>
            <w:r w:rsidRPr="008F776F">
              <w:rPr>
                <w:rFonts w:ascii="Arial Narrow" w:hAnsi="Arial Narrow"/>
                <w:b/>
                <w:color w:val="000000"/>
                <w:sz w:val="18"/>
                <w:lang w:val="es-ES_tradnl"/>
              </w:rPr>
              <w:t>Facturado</w:t>
            </w:r>
          </w:p>
        </w:tc>
        <w:tc>
          <w:tcPr>
            <w:tcW w:w="3969" w:type="dxa"/>
            <w:tcBorders>
              <w:top w:val="nil"/>
              <w:left w:val="nil"/>
              <w:bottom w:val="single" w:sz="8" w:space="0" w:color="BFBFBF"/>
              <w:right w:val="nil"/>
            </w:tcBorders>
            <w:shd w:val="clear" w:color="000000" w:fill="C7CFD8"/>
            <w:vAlign w:val="center"/>
            <w:hideMark/>
          </w:tcPr>
          <w:p w14:paraId="20F77593" w14:textId="77777777" w:rsidR="008F776F" w:rsidRPr="008F776F" w:rsidRDefault="008F776F" w:rsidP="00DB6666">
            <w:pPr>
              <w:jc w:val="center"/>
              <w:rPr>
                <w:rFonts w:ascii="Arial Narrow" w:hAnsi="Arial Narrow" w:cs="Arial"/>
                <w:b/>
                <w:bCs/>
                <w:color w:val="000000"/>
                <w:sz w:val="18"/>
                <w:szCs w:val="18"/>
                <w:lang w:val="es-ES_tradnl"/>
              </w:rPr>
            </w:pPr>
            <w:r w:rsidRPr="008F776F">
              <w:rPr>
                <w:rFonts w:ascii="Arial Narrow" w:hAnsi="Arial Narrow"/>
                <w:b/>
                <w:color w:val="000000"/>
                <w:sz w:val="18"/>
                <w:lang w:val="es-ES_tradnl"/>
              </w:rPr>
              <w:t>Miembros</w:t>
            </w:r>
          </w:p>
        </w:tc>
        <w:tc>
          <w:tcPr>
            <w:tcW w:w="1001" w:type="dxa"/>
            <w:tcBorders>
              <w:top w:val="nil"/>
              <w:left w:val="nil"/>
              <w:right w:val="nil"/>
            </w:tcBorders>
            <w:shd w:val="clear" w:color="000000" w:fill="C7CFD8"/>
            <w:vAlign w:val="center"/>
            <w:hideMark/>
          </w:tcPr>
          <w:p w14:paraId="5066526E" w14:textId="77777777" w:rsidR="008F776F" w:rsidRPr="008F776F" w:rsidRDefault="008F776F" w:rsidP="00DB6666">
            <w:pPr>
              <w:jc w:val="center"/>
              <w:rPr>
                <w:rFonts w:ascii="Arial Narrow" w:hAnsi="Arial Narrow" w:cs="Arial"/>
                <w:b/>
                <w:bCs/>
                <w:color w:val="000000"/>
                <w:sz w:val="18"/>
                <w:szCs w:val="18"/>
                <w:lang w:val="es-ES_tradnl"/>
              </w:rPr>
            </w:pPr>
            <w:r w:rsidRPr="008F776F">
              <w:rPr>
                <w:rFonts w:ascii="Arial Narrow" w:hAnsi="Arial Narrow"/>
                <w:b/>
                <w:color w:val="000000"/>
                <w:sz w:val="18"/>
                <w:lang w:val="es-ES_tradnl"/>
              </w:rPr>
              <w:t>Número</w:t>
            </w:r>
          </w:p>
          <w:p w14:paraId="0075317D" w14:textId="77777777" w:rsidR="008F776F" w:rsidRPr="008F776F" w:rsidRDefault="008F776F" w:rsidP="00DB6666">
            <w:pPr>
              <w:jc w:val="center"/>
              <w:rPr>
                <w:rFonts w:ascii="Arial Narrow" w:hAnsi="Arial Narrow" w:cs="Arial"/>
                <w:b/>
                <w:bCs/>
                <w:color w:val="000000"/>
                <w:sz w:val="18"/>
                <w:szCs w:val="18"/>
                <w:lang w:val="es-ES_tradnl"/>
              </w:rPr>
            </w:pPr>
            <w:r w:rsidRPr="008F776F">
              <w:rPr>
                <w:rFonts w:ascii="Arial Narrow" w:hAnsi="Arial Narrow"/>
                <w:b/>
                <w:color w:val="000000"/>
                <w:sz w:val="18"/>
                <w:lang w:val="es-ES_tradnl"/>
              </w:rPr>
              <w:t>de unidades</w:t>
            </w:r>
          </w:p>
        </w:tc>
        <w:tc>
          <w:tcPr>
            <w:tcW w:w="1267" w:type="dxa"/>
            <w:tcBorders>
              <w:top w:val="nil"/>
              <w:left w:val="nil"/>
              <w:right w:val="nil"/>
            </w:tcBorders>
            <w:shd w:val="clear" w:color="000000" w:fill="C7CFD8"/>
            <w:vAlign w:val="center"/>
            <w:hideMark/>
          </w:tcPr>
          <w:p w14:paraId="2AF82EA0" w14:textId="77777777" w:rsidR="008F776F" w:rsidRPr="008F776F" w:rsidRDefault="008F776F" w:rsidP="00DB6666">
            <w:pPr>
              <w:jc w:val="center"/>
              <w:rPr>
                <w:rFonts w:ascii="Arial Narrow" w:hAnsi="Arial Narrow" w:cs="Arial"/>
                <w:b/>
                <w:bCs/>
                <w:color w:val="000000"/>
                <w:sz w:val="18"/>
                <w:szCs w:val="18"/>
                <w:lang w:val="es-ES_tradnl"/>
              </w:rPr>
            </w:pPr>
            <w:r w:rsidRPr="008F776F">
              <w:rPr>
                <w:rFonts w:ascii="Arial Narrow" w:hAnsi="Arial Narrow"/>
                <w:b/>
                <w:color w:val="000000"/>
                <w:sz w:val="18"/>
                <w:lang w:val="es-ES_tradnl"/>
              </w:rPr>
              <w:t>2024</w:t>
            </w:r>
          </w:p>
          <w:p w14:paraId="0E217C08" w14:textId="77777777" w:rsidR="008F776F" w:rsidRPr="008F776F" w:rsidRDefault="008F776F" w:rsidP="00DB6666">
            <w:pPr>
              <w:jc w:val="center"/>
              <w:rPr>
                <w:rFonts w:ascii="Arial Narrow" w:hAnsi="Arial Narrow" w:cs="Arial"/>
                <w:b/>
                <w:bCs/>
                <w:color w:val="000000"/>
                <w:sz w:val="18"/>
                <w:szCs w:val="18"/>
                <w:lang w:val="es-ES_tradnl"/>
              </w:rPr>
            </w:pPr>
            <w:r w:rsidRPr="008F776F">
              <w:rPr>
                <w:rFonts w:ascii="Arial Narrow" w:hAnsi="Arial Narrow"/>
                <w:b/>
                <w:color w:val="000000"/>
                <w:sz w:val="18"/>
                <w:lang w:val="es-ES_tradnl"/>
              </w:rPr>
              <w:t>Facturación estimada</w:t>
            </w:r>
          </w:p>
        </w:tc>
        <w:tc>
          <w:tcPr>
            <w:tcW w:w="1134" w:type="dxa"/>
            <w:tcBorders>
              <w:top w:val="nil"/>
              <w:left w:val="nil"/>
              <w:right w:val="nil"/>
            </w:tcBorders>
            <w:shd w:val="clear" w:color="000000" w:fill="C7CFD8"/>
            <w:vAlign w:val="center"/>
            <w:hideMark/>
          </w:tcPr>
          <w:p w14:paraId="359FFDF6" w14:textId="77777777" w:rsidR="008F776F" w:rsidRPr="008F776F" w:rsidRDefault="008F776F" w:rsidP="00DB6666">
            <w:pPr>
              <w:jc w:val="center"/>
              <w:rPr>
                <w:rFonts w:ascii="Arial Narrow" w:hAnsi="Arial Narrow" w:cs="Arial"/>
                <w:b/>
                <w:bCs/>
                <w:color w:val="000000"/>
                <w:sz w:val="18"/>
                <w:szCs w:val="18"/>
                <w:lang w:val="es-ES_tradnl"/>
              </w:rPr>
            </w:pPr>
            <w:r w:rsidRPr="008F776F">
              <w:rPr>
                <w:rFonts w:ascii="Arial Narrow" w:hAnsi="Arial Narrow"/>
                <w:b/>
                <w:color w:val="000000"/>
                <w:sz w:val="18"/>
                <w:lang w:val="es-ES_tradnl"/>
              </w:rPr>
              <w:t>2025</w:t>
            </w:r>
          </w:p>
          <w:p w14:paraId="55DE874B" w14:textId="77777777" w:rsidR="008F776F" w:rsidRPr="008F776F" w:rsidRDefault="008F776F" w:rsidP="00DB6666">
            <w:pPr>
              <w:jc w:val="center"/>
              <w:rPr>
                <w:rFonts w:ascii="Arial Narrow" w:hAnsi="Arial Narrow" w:cs="Arial"/>
                <w:b/>
                <w:bCs/>
                <w:color w:val="000000"/>
                <w:sz w:val="18"/>
                <w:szCs w:val="18"/>
                <w:lang w:val="es-ES_tradnl"/>
              </w:rPr>
            </w:pPr>
            <w:r w:rsidRPr="008F776F">
              <w:rPr>
                <w:rFonts w:ascii="Arial Narrow" w:hAnsi="Arial Narrow"/>
                <w:b/>
                <w:color w:val="000000"/>
                <w:sz w:val="18"/>
                <w:lang w:val="es-ES_tradnl"/>
              </w:rPr>
              <w:t>Facturación estimada</w:t>
            </w:r>
          </w:p>
        </w:tc>
      </w:tr>
      <w:tr w:rsidR="008F776F" w:rsidRPr="008F776F" w14:paraId="31C84B2E" w14:textId="77777777" w:rsidTr="00DB6666">
        <w:trPr>
          <w:trHeight w:val="162"/>
        </w:trPr>
        <w:tc>
          <w:tcPr>
            <w:tcW w:w="1134" w:type="dxa"/>
            <w:tcBorders>
              <w:top w:val="nil"/>
              <w:left w:val="nil"/>
              <w:bottom w:val="nil"/>
              <w:right w:val="nil"/>
            </w:tcBorders>
            <w:shd w:val="clear" w:color="auto" w:fill="auto"/>
            <w:vAlign w:val="center"/>
            <w:hideMark/>
          </w:tcPr>
          <w:p w14:paraId="73FF5EC6" w14:textId="77777777" w:rsidR="008F776F" w:rsidRPr="008F776F" w:rsidRDefault="008F776F" w:rsidP="00DB6666">
            <w:pPr>
              <w:jc w:val="center"/>
              <w:rPr>
                <w:rFonts w:ascii="Arial Narrow" w:hAnsi="Arial Narrow" w:cs="Arial"/>
                <w:b/>
                <w:bCs/>
                <w:color w:val="000000"/>
                <w:sz w:val="18"/>
                <w:szCs w:val="18"/>
                <w:lang w:val="es-ES_tradnl"/>
              </w:rPr>
            </w:pPr>
          </w:p>
        </w:tc>
        <w:tc>
          <w:tcPr>
            <w:tcW w:w="1134" w:type="dxa"/>
            <w:tcBorders>
              <w:top w:val="nil"/>
              <w:left w:val="nil"/>
              <w:bottom w:val="nil"/>
              <w:right w:val="nil"/>
            </w:tcBorders>
            <w:shd w:val="clear" w:color="auto" w:fill="auto"/>
            <w:vAlign w:val="center"/>
            <w:hideMark/>
          </w:tcPr>
          <w:p w14:paraId="26E3CE2A" w14:textId="77777777" w:rsidR="008F776F" w:rsidRPr="008F776F" w:rsidRDefault="008F776F" w:rsidP="00DB6666">
            <w:pPr>
              <w:jc w:val="right"/>
              <w:rPr>
                <w:rFonts w:ascii="Times New Roman" w:hAnsi="Times New Roman"/>
                <w:lang w:val="es-ES_tradnl"/>
              </w:rPr>
            </w:pPr>
          </w:p>
        </w:tc>
        <w:tc>
          <w:tcPr>
            <w:tcW w:w="3969" w:type="dxa"/>
            <w:tcBorders>
              <w:top w:val="nil"/>
              <w:left w:val="nil"/>
              <w:bottom w:val="nil"/>
              <w:right w:val="nil"/>
            </w:tcBorders>
            <w:shd w:val="clear" w:color="auto" w:fill="auto"/>
            <w:vAlign w:val="center"/>
            <w:hideMark/>
          </w:tcPr>
          <w:p w14:paraId="0C68DB08" w14:textId="77777777" w:rsidR="008F776F" w:rsidRPr="008F776F" w:rsidRDefault="008F776F" w:rsidP="00DB6666">
            <w:pPr>
              <w:jc w:val="right"/>
              <w:rPr>
                <w:rFonts w:ascii="Times New Roman" w:hAnsi="Times New Roman"/>
                <w:lang w:val="es-ES_tradnl"/>
              </w:rPr>
            </w:pPr>
          </w:p>
        </w:tc>
        <w:tc>
          <w:tcPr>
            <w:tcW w:w="1001" w:type="dxa"/>
            <w:tcBorders>
              <w:top w:val="nil"/>
              <w:left w:val="nil"/>
              <w:bottom w:val="nil"/>
              <w:right w:val="nil"/>
            </w:tcBorders>
            <w:shd w:val="clear" w:color="auto" w:fill="auto"/>
            <w:vAlign w:val="center"/>
            <w:hideMark/>
          </w:tcPr>
          <w:p w14:paraId="2DA7771B" w14:textId="77777777" w:rsidR="008F776F" w:rsidRPr="008F776F" w:rsidRDefault="008F776F" w:rsidP="00DB6666">
            <w:pPr>
              <w:rPr>
                <w:rFonts w:ascii="Times New Roman" w:hAnsi="Times New Roman"/>
                <w:lang w:val="es-ES_tradnl"/>
              </w:rPr>
            </w:pPr>
          </w:p>
        </w:tc>
        <w:tc>
          <w:tcPr>
            <w:tcW w:w="1267" w:type="dxa"/>
            <w:tcBorders>
              <w:top w:val="nil"/>
              <w:left w:val="nil"/>
              <w:bottom w:val="nil"/>
              <w:right w:val="nil"/>
            </w:tcBorders>
            <w:shd w:val="clear" w:color="auto" w:fill="auto"/>
            <w:vAlign w:val="center"/>
            <w:hideMark/>
          </w:tcPr>
          <w:p w14:paraId="0C911F4D" w14:textId="77777777" w:rsidR="008F776F" w:rsidRPr="008F776F" w:rsidRDefault="008F776F" w:rsidP="00DB6666">
            <w:pPr>
              <w:jc w:val="left"/>
              <w:rPr>
                <w:rFonts w:ascii="Times New Roman" w:hAnsi="Times New Roman"/>
                <w:lang w:val="es-ES_tradnl"/>
              </w:rPr>
            </w:pPr>
          </w:p>
        </w:tc>
        <w:tc>
          <w:tcPr>
            <w:tcW w:w="1134" w:type="dxa"/>
            <w:tcBorders>
              <w:top w:val="nil"/>
              <w:left w:val="nil"/>
              <w:bottom w:val="nil"/>
              <w:right w:val="nil"/>
            </w:tcBorders>
            <w:shd w:val="clear" w:color="auto" w:fill="auto"/>
            <w:vAlign w:val="center"/>
            <w:hideMark/>
          </w:tcPr>
          <w:p w14:paraId="366A944E" w14:textId="77777777" w:rsidR="008F776F" w:rsidRPr="008F776F" w:rsidRDefault="008F776F" w:rsidP="00DB6666">
            <w:pPr>
              <w:jc w:val="right"/>
              <w:rPr>
                <w:rFonts w:ascii="Times New Roman" w:hAnsi="Times New Roman"/>
                <w:lang w:val="es-ES_tradnl"/>
              </w:rPr>
            </w:pPr>
          </w:p>
        </w:tc>
      </w:tr>
      <w:tr w:rsidR="008F776F" w:rsidRPr="008F776F" w14:paraId="572C4C8A" w14:textId="77777777" w:rsidTr="00DB6666">
        <w:trPr>
          <w:trHeight w:val="256"/>
        </w:trPr>
        <w:tc>
          <w:tcPr>
            <w:tcW w:w="1134" w:type="dxa"/>
            <w:tcBorders>
              <w:top w:val="nil"/>
              <w:left w:val="nil"/>
              <w:bottom w:val="nil"/>
              <w:right w:val="nil"/>
            </w:tcBorders>
            <w:shd w:val="clear" w:color="auto" w:fill="auto"/>
            <w:vAlign w:val="center"/>
            <w:hideMark/>
          </w:tcPr>
          <w:p w14:paraId="6BF8EB3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47639B94"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53546271"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Albania</w:t>
            </w:r>
          </w:p>
        </w:tc>
        <w:tc>
          <w:tcPr>
            <w:tcW w:w="1001" w:type="dxa"/>
            <w:tcBorders>
              <w:top w:val="nil"/>
              <w:left w:val="nil"/>
              <w:bottom w:val="nil"/>
              <w:right w:val="nil"/>
            </w:tcBorders>
            <w:shd w:val="clear" w:color="auto" w:fill="auto"/>
            <w:vAlign w:val="center"/>
            <w:hideMark/>
          </w:tcPr>
          <w:p w14:paraId="6751758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3B17564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095684A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5234D8E1" w14:textId="77777777" w:rsidTr="00DB6666">
        <w:trPr>
          <w:trHeight w:val="256"/>
        </w:trPr>
        <w:tc>
          <w:tcPr>
            <w:tcW w:w="1134" w:type="dxa"/>
            <w:tcBorders>
              <w:top w:val="nil"/>
              <w:left w:val="nil"/>
              <w:bottom w:val="nil"/>
              <w:right w:val="nil"/>
            </w:tcBorders>
            <w:shd w:val="clear" w:color="auto" w:fill="auto"/>
            <w:vAlign w:val="center"/>
            <w:hideMark/>
          </w:tcPr>
          <w:p w14:paraId="598141B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c>
          <w:tcPr>
            <w:tcW w:w="1134" w:type="dxa"/>
            <w:tcBorders>
              <w:top w:val="nil"/>
              <w:left w:val="nil"/>
              <w:bottom w:val="nil"/>
              <w:right w:val="nil"/>
            </w:tcBorders>
            <w:shd w:val="clear" w:color="auto" w:fill="auto"/>
            <w:vAlign w:val="center"/>
            <w:hideMark/>
          </w:tcPr>
          <w:p w14:paraId="4EC305C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c>
          <w:tcPr>
            <w:tcW w:w="3969" w:type="dxa"/>
            <w:tcBorders>
              <w:top w:val="nil"/>
              <w:left w:val="nil"/>
              <w:bottom w:val="nil"/>
              <w:right w:val="nil"/>
            </w:tcBorders>
            <w:shd w:val="clear" w:color="auto" w:fill="auto"/>
            <w:vAlign w:val="center"/>
            <w:hideMark/>
          </w:tcPr>
          <w:p w14:paraId="2AC1D6F9"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Alemania</w:t>
            </w:r>
          </w:p>
        </w:tc>
        <w:tc>
          <w:tcPr>
            <w:tcW w:w="1001" w:type="dxa"/>
            <w:tcBorders>
              <w:top w:val="nil"/>
              <w:left w:val="nil"/>
              <w:bottom w:val="nil"/>
              <w:right w:val="nil"/>
            </w:tcBorders>
            <w:shd w:val="clear" w:color="auto" w:fill="auto"/>
            <w:vAlign w:val="center"/>
            <w:hideMark/>
          </w:tcPr>
          <w:p w14:paraId="6960D7F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5,00</w:t>
            </w:r>
          </w:p>
        </w:tc>
        <w:tc>
          <w:tcPr>
            <w:tcW w:w="1267" w:type="dxa"/>
            <w:tcBorders>
              <w:top w:val="nil"/>
              <w:left w:val="nil"/>
              <w:bottom w:val="nil"/>
              <w:right w:val="nil"/>
            </w:tcBorders>
            <w:shd w:val="clear" w:color="auto" w:fill="auto"/>
            <w:vAlign w:val="center"/>
            <w:hideMark/>
          </w:tcPr>
          <w:p w14:paraId="4349D97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c>
          <w:tcPr>
            <w:tcW w:w="1134" w:type="dxa"/>
            <w:tcBorders>
              <w:top w:val="nil"/>
              <w:left w:val="nil"/>
              <w:bottom w:val="nil"/>
              <w:right w:val="nil"/>
            </w:tcBorders>
            <w:shd w:val="clear" w:color="auto" w:fill="auto"/>
            <w:vAlign w:val="center"/>
            <w:hideMark/>
          </w:tcPr>
          <w:p w14:paraId="0328E06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r>
      <w:tr w:rsidR="008F776F" w:rsidRPr="008F776F" w14:paraId="43EB26F2" w14:textId="77777777" w:rsidTr="00DB6666">
        <w:trPr>
          <w:trHeight w:val="256"/>
        </w:trPr>
        <w:tc>
          <w:tcPr>
            <w:tcW w:w="1134" w:type="dxa"/>
            <w:tcBorders>
              <w:top w:val="nil"/>
              <w:left w:val="nil"/>
              <w:bottom w:val="nil"/>
              <w:right w:val="nil"/>
            </w:tcBorders>
            <w:shd w:val="clear" w:color="auto" w:fill="auto"/>
            <w:vAlign w:val="center"/>
            <w:hideMark/>
          </w:tcPr>
          <w:p w14:paraId="5071224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1F3DF0C4"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3969" w:type="dxa"/>
            <w:tcBorders>
              <w:top w:val="nil"/>
              <w:left w:val="nil"/>
              <w:bottom w:val="nil"/>
              <w:right w:val="nil"/>
            </w:tcBorders>
            <w:shd w:val="clear" w:color="auto" w:fill="auto"/>
            <w:vAlign w:val="center"/>
            <w:hideMark/>
          </w:tcPr>
          <w:p w14:paraId="264A4E4B"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Argentina</w:t>
            </w:r>
          </w:p>
        </w:tc>
        <w:tc>
          <w:tcPr>
            <w:tcW w:w="1001" w:type="dxa"/>
            <w:tcBorders>
              <w:top w:val="nil"/>
              <w:left w:val="nil"/>
              <w:bottom w:val="nil"/>
              <w:right w:val="nil"/>
            </w:tcBorders>
            <w:shd w:val="clear" w:color="auto" w:fill="auto"/>
            <w:vAlign w:val="center"/>
            <w:hideMark/>
          </w:tcPr>
          <w:p w14:paraId="0BAA6AD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0,50</w:t>
            </w:r>
          </w:p>
        </w:tc>
        <w:tc>
          <w:tcPr>
            <w:tcW w:w="1267" w:type="dxa"/>
            <w:tcBorders>
              <w:top w:val="nil"/>
              <w:left w:val="nil"/>
              <w:bottom w:val="nil"/>
              <w:right w:val="nil"/>
            </w:tcBorders>
            <w:shd w:val="clear" w:color="auto" w:fill="auto"/>
            <w:vAlign w:val="center"/>
            <w:hideMark/>
          </w:tcPr>
          <w:p w14:paraId="23D17A8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3657086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r>
      <w:tr w:rsidR="008F776F" w:rsidRPr="008F776F" w14:paraId="52217CAD" w14:textId="77777777" w:rsidTr="00DB6666">
        <w:trPr>
          <w:trHeight w:val="256"/>
        </w:trPr>
        <w:tc>
          <w:tcPr>
            <w:tcW w:w="1134" w:type="dxa"/>
            <w:tcBorders>
              <w:top w:val="nil"/>
              <w:left w:val="nil"/>
              <w:bottom w:val="nil"/>
              <w:right w:val="nil"/>
            </w:tcBorders>
            <w:shd w:val="clear" w:color="auto" w:fill="auto"/>
            <w:vAlign w:val="center"/>
            <w:hideMark/>
          </w:tcPr>
          <w:p w14:paraId="2F41FA9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1134" w:type="dxa"/>
            <w:tcBorders>
              <w:top w:val="nil"/>
              <w:left w:val="nil"/>
              <w:bottom w:val="nil"/>
              <w:right w:val="nil"/>
            </w:tcBorders>
            <w:shd w:val="clear" w:color="auto" w:fill="auto"/>
            <w:vAlign w:val="center"/>
            <w:hideMark/>
          </w:tcPr>
          <w:p w14:paraId="1137432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3969" w:type="dxa"/>
            <w:tcBorders>
              <w:top w:val="nil"/>
              <w:left w:val="nil"/>
              <w:bottom w:val="nil"/>
              <w:right w:val="nil"/>
            </w:tcBorders>
            <w:shd w:val="clear" w:color="auto" w:fill="auto"/>
            <w:vAlign w:val="center"/>
            <w:hideMark/>
          </w:tcPr>
          <w:p w14:paraId="10190AC3"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Australia</w:t>
            </w:r>
          </w:p>
        </w:tc>
        <w:tc>
          <w:tcPr>
            <w:tcW w:w="1001" w:type="dxa"/>
            <w:tcBorders>
              <w:top w:val="nil"/>
              <w:left w:val="nil"/>
              <w:bottom w:val="nil"/>
              <w:right w:val="nil"/>
            </w:tcBorders>
            <w:shd w:val="clear" w:color="auto" w:fill="auto"/>
            <w:vAlign w:val="center"/>
            <w:hideMark/>
          </w:tcPr>
          <w:p w14:paraId="2BBEA68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1,00</w:t>
            </w:r>
          </w:p>
        </w:tc>
        <w:tc>
          <w:tcPr>
            <w:tcW w:w="1267" w:type="dxa"/>
            <w:tcBorders>
              <w:top w:val="nil"/>
              <w:left w:val="nil"/>
              <w:bottom w:val="nil"/>
              <w:right w:val="nil"/>
            </w:tcBorders>
            <w:shd w:val="clear" w:color="auto" w:fill="auto"/>
            <w:vAlign w:val="center"/>
            <w:hideMark/>
          </w:tcPr>
          <w:p w14:paraId="4C07015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1134" w:type="dxa"/>
            <w:tcBorders>
              <w:top w:val="nil"/>
              <w:left w:val="nil"/>
              <w:bottom w:val="nil"/>
              <w:right w:val="nil"/>
            </w:tcBorders>
            <w:shd w:val="clear" w:color="auto" w:fill="auto"/>
            <w:vAlign w:val="center"/>
            <w:hideMark/>
          </w:tcPr>
          <w:p w14:paraId="43CAB22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r>
      <w:tr w:rsidR="008F776F" w:rsidRPr="008F776F" w14:paraId="0BC3DA0C" w14:textId="77777777" w:rsidTr="00DB6666">
        <w:trPr>
          <w:trHeight w:val="256"/>
        </w:trPr>
        <w:tc>
          <w:tcPr>
            <w:tcW w:w="1134" w:type="dxa"/>
            <w:tcBorders>
              <w:top w:val="nil"/>
              <w:left w:val="nil"/>
              <w:bottom w:val="nil"/>
              <w:right w:val="nil"/>
            </w:tcBorders>
            <w:shd w:val="clear" w:color="auto" w:fill="auto"/>
            <w:vAlign w:val="center"/>
            <w:hideMark/>
          </w:tcPr>
          <w:p w14:paraId="69B8D20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40.231</w:t>
            </w:r>
          </w:p>
        </w:tc>
        <w:tc>
          <w:tcPr>
            <w:tcW w:w="1134" w:type="dxa"/>
            <w:tcBorders>
              <w:top w:val="nil"/>
              <w:left w:val="nil"/>
              <w:bottom w:val="nil"/>
              <w:right w:val="nil"/>
            </w:tcBorders>
            <w:shd w:val="clear" w:color="auto" w:fill="auto"/>
            <w:vAlign w:val="center"/>
            <w:hideMark/>
          </w:tcPr>
          <w:p w14:paraId="725D9CC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40.231</w:t>
            </w:r>
          </w:p>
        </w:tc>
        <w:tc>
          <w:tcPr>
            <w:tcW w:w="3969" w:type="dxa"/>
            <w:tcBorders>
              <w:top w:val="nil"/>
              <w:left w:val="nil"/>
              <w:bottom w:val="nil"/>
              <w:right w:val="nil"/>
            </w:tcBorders>
            <w:shd w:val="clear" w:color="auto" w:fill="auto"/>
            <w:vAlign w:val="center"/>
            <w:hideMark/>
          </w:tcPr>
          <w:p w14:paraId="0C54300D"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 xml:space="preserve">Austria </w:t>
            </w:r>
          </w:p>
        </w:tc>
        <w:tc>
          <w:tcPr>
            <w:tcW w:w="1001" w:type="dxa"/>
            <w:tcBorders>
              <w:top w:val="nil"/>
              <w:left w:val="nil"/>
              <w:bottom w:val="nil"/>
              <w:right w:val="nil"/>
            </w:tcBorders>
            <w:shd w:val="clear" w:color="auto" w:fill="auto"/>
            <w:vAlign w:val="center"/>
            <w:hideMark/>
          </w:tcPr>
          <w:p w14:paraId="14C4073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0,75</w:t>
            </w:r>
          </w:p>
        </w:tc>
        <w:tc>
          <w:tcPr>
            <w:tcW w:w="1267" w:type="dxa"/>
            <w:tcBorders>
              <w:top w:val="nil"/>
              <w:left w:val="nil"/>
              <w:bottom w:val="nil"/>
              <w:right w:val="nil"/>
            </w:tcBorders>
            <w:shd w:val="clear" w:color="auto" w:fill="auto"/>
            <w:vAlign w:val="center"/>
            <w:hideMark/>
          </w:tcPr>
          <w:p w14:paraId="3F558E1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40.231</w:t>
            </w:r>
          </w:p>
        </w:tc>
        <w:tc>
          <w:tcPr>
            <w:tcW w:w="1134" w:type="dxa"/>
            <w:tcBorders>
              <w:top w:val="nil"/>
              <w:left w:val="nil"/>
              <w:bottom w:val="nil"/>
              <w:right w:val="nil"/>
            </w:tcBorders>
            <w:shd w:val="clear" w:color="auto" w:fill="auto"/>
            <w:vAlign w:val="center"/>
            <w:hideMark/>
          </w:tcPr>
          <w:p w14:paraId="5037E7C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40.231</w:t>
            </w:r>
          </w:p>
        </w:tc>
      </w:tr>
      <w:tr w:rsidR="008F776F" w:rsidRPr="008F776F" w14:paraId="128EF444" w14:textId="77777777" w:rsidTr="00DB6666">
        <w:trPr>
          <w:trHeight w:val="256"/>
        </w:trPr>
        <w:tc>
          <w:tcPr>
            <w:tcW w:w="1134" w:type="dxa"/>
            <w:tcBorders>
              <w:top w:val="nil"/>
              <w:left w:val="nil"/>
              <w:bottom w:val="nil"/>
              <w:right w:val="nil"/>
            </w:tcBorders>
            <w:shd w:val="clear" w:color="auto" w:fill="auto"/>
            <w:vAlign w:val="center"/>
            <w:hideMark/>
          </w:tcPr>
          <w:p w14:paraId="7390B18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10F7B0E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094B847D"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Azerbaiyán</w:t>
            </w:r>
          </w:p>
        </w:tc>
        <w:tc>
          <w:tcPr>
            <w:tcW w:w="1001" w:type="dxa"/>
            <w:tcBorders>
              <w:top w:val="nil"/>
              <w:left w:val="nil"/>
              <w:bottom w:val="nil"/>
              <w:right w:val="nil"/>
            </w:tcBorders>
            <w:shd w:val="clear" w:color="auto" w:fill="auto"/>
            <w:vAlign w:val="center"/>
            <w:hideMark/>
          </w:tcPr>
          <w:p w14:paraId="312663B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28CC0EB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375D54E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203C2603" w14:textId="77777777" w:rsidTr="00DB6666">
        <w:trPr>
          <w:trHeight w:val="256"/>
        </w:trPr>
        <w:tc>
          <w:tcPr>
            <w:tcW w:w="1134" w:type="dxa"/>
            <w:tcBorders>
              <w:top w:val="nil"/>
              <w:left w:val="nil"/>
              <w:bottom w:val="nil"/>
              <w:right w:val="nil"/>
            </w:tcBorders>
            <w:shd w:val="clear" w:color="auto" w:fill="auto"/>
            <w:vAlign w:val="center"/>
            <w:hideMark/>
          </w:tcPr>
          <w:p w14:paraId="113DA01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0433152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36BE621D" w14:textId="77777777" w:rsidR="008F776F" w:rsidRPr="008F776F" w:rsidRDefault="008F776F" w:rsidP="00DB6666">
            <w:pPr>
              <w:jc w:val="left"/>
              <w:rPr>
                <w:rFonts w:ascii="Arial Narrow" w:hAnsi="Arial Narrow" w:cs="Arial"/>
                <w:color w:val="000000"/>
                <w:sz w:val="18"/>
                <w:szCs w:val="18"/>
                <w:highlight w:val="cyan"/>
                <w:lang w:val="es-ES_tradnl"/>
              </w:rPr>
            </w:pPr>
            <w:proofErr w:type="spellStart"/>
            <w:r w:rsidRPr="008F776F">
              <w:rPr>
                <w:rFonts w:ascii="Arial Narrow" w:hAnsi="Arial Narrow"/>
                <w:color w:val="000000"/>
                <w:sz w:val="18"/>
                <w:lang w:val="es-ES_tradnl"/>
              </w:rPr>
              <w:t>Belarús</w:t>
            </w:r>
            <w:proofErr w:type="spellEnd"/>
          </w:p>
        </w:tc>
        <w:tc>
          <w:tcPr>
            <w:tcW w:w="1001" w:type="dxa"/>
            <w:tcBorders>
              <w:top w:val="nil"/>
              <w:left w:val="nil"/>
              <w:bottom w:val="nil"/>
              <w:right w:val="nil"/>
            </w:tcBorders>
            <w:shd w:val="clear" w:color="auto" w:fill="auto"/>
            <w:vAlign w:val="center"/>
            <w:hideMark/>
          </w:tcPr>
          <w:p w14:paraId="40C6C52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24875CF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78062EB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6B372DE6" w14:textId="77777777" w:rsidTr="00DB6666">
        <w:trPr>
          <w:trHeight w:val="256"/>
        </w:trPr>
        <w:tc>
          <w:tcPr>
            <w:tcW w:w="1134" w:type="dxa"/>
            <w:tcBorders>
              <w:top w:val="nil"/>
              <w:left w:val="nil"/>
              <w:bottom w:val="nil"/>
              <w:right w:val="nil"/>
            </w:tcBorders>
            <w:shd w:val="clear" w:color="auto" w:fill="auto"/>
            <w:vAlign w:val="center"/>
            <w:hideMark/>
          </w:tcPr>
          <w:p w14:paraId="3E8B05A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c>
          <w:tcPr>
            <w:tcW w:w="1134" w:type="dxa"/>
            <w:tcBorders>
              <w:top w:val="nil"/>
              <w:left w:val="nil"/>
              <w:bottom w:val="nil"/>
              <w:right w:val="nil"/>
            </w:tcBorders>
            <w:shd w:val="clear" w:color="auto" w:fill="auto"/>
            <w:vAlign w:val="center"/>
            <w:hideMark/>
          </w:tcPr>
          <w:p w14:paraId="766492D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c>
          <w:tcPr>
            <w:tcW w:w="3969" w:type="dxa"/>
            <w:tcBorders>
              <w:top w:val="nil"/>
              <w:left w:val="nil"/>
              <w:bottom w:val="nil"/>
              <w:right w:val="nil"/>
            </w:tcBorders>
            <w:shd w:val="clear" w:color="auto" w:fill="auto"/>
            <w:vAlign w:val="center"/>
            <w:hideMark/>
          </w:tcPr>
          <w:p w14:paraId="0B62EECC"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 xml:space="preserve">Bélgica </w:t>
            </w:r>
          </w:p>
        </w:tc>
        <w:tc>
          <w:tcPr>
            <w:tcW w:w="1001" w:type="dxa"/>
            <w:tcBorders>
              <w:top w:val="nil"/>
              <w:left w:val="nil"/>
              <w:bottom w:val="nil"/>
              <w:right w:val="nil"/>
            </w:tcBorders>
            <w:shd w:val="clear" w:color="auto" w:fill="auto"/>
            <w:vAlign w:val="center"/>
            <w:hideMark/>
          </w:tcPr>
          <w:p w14:paraId="6D6FB8B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1,50</w:t>
            </w:r>
          </w:p>
        </w:tc>
        <w:tc>
          <w:tcPr>
            <w:tcW w:w="1267" w:type="dxa"/>
            <w:tcBorders>
              <w:top w:val="nil"/>
              <w:left w:val="nil"/>
              <w:bottom w:val="nil"/>
              <w:right w:val="nil"/>
            </w:tcBorders>
            <w:shd w:val="clear" w:color="auto" w:fill="auto"/>
            <w:vAlign w:val="center"/>
            <w:hideMark/>
          </w:tcPr>
          <w:p w14:paraId="720F001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c>
          <w:tcPr>
            <w:tcW w:w="1134" w:type="dxa"/>
            <w:tcBorders>
              <w:top w:val="nil"/>
              <w:left w:val="nil"/>
              <w:bottom w:val="nil"/>
              <w:right w:val="nil"/>
            </w:tcBorders>
            <w:shd w:val="clear" w:color="auto" w:fill="auto"/>
            <w:vAlign w:val="center"/>
            <w:hideMark/>
          </w:tcPr>
          <w:p w14:paraId="4482DBC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r>
      <w:tr w:rsidR="008F776F" w:rsidRPr="008F776F" w14:paraId="5BE8E322" w14:textId="77777777" w:rsidTr="00DB6666">
        <w:trPr>
          <w:trHeight w:val="256"/>
        </w:trPr>
        <w:tc>
          <w:tcPr>
            <w:tcW w:w="1134" w:type="dxa"/>
            <w:tcBorders>
              <w:top w:val="nil"/>
              <w:left w:val="nil"/>
              <w:bottom w:val="nil"/>
              <w:right w:val="nil"/>
            </w:tcBorders>
            <w:shd w:val="clear" w:color="auto" w:fill="auto"/>
            <w:vAlign w:val="center"/>
            <w:hideMark/>
          </w:tcPr>
          <w:p w14:paraId="3EE8B60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009B427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5F51C3F8"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Bolivia (Estado Plurinacional de)</w:t>
            </w:r>
          </w:p>
        </w:tc>
        <w:tc>
          <w:tcPr>
            <w:tcW w:w="1001" w:type="dxa"/>
            <w:tcBorders>
              <w:top w:val="nil"/>
              <w:left w:val="nil"/>
              <w:bottom w:val="nil"/>
              <w:right w:val="nil"/>
            </w:tcBorders>
            <w:shd w:val="clear" w:color="auto" w:fill="auto"/>
            <w:vAlign w:val="center"/>
            <w:hideMark/>
          </w:tcPr>
          <w:p w14:paraId="5ED7DAC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19F1203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526DDDF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1EE13668" w14:textId="77777777" w:rsidTr="00DB6666">
        <w:trPr>
          <w:trHeight w:val="256"/>
        </w:trPr>
        <w:tc>
          <w:tcPr>
            <w:tcW w:w="1134" w:type="dxa"/>
            <w:tcBorders>
              <w:top w:val="nil"/>
              <w:left w:val="nil"/>
              <w:bottom w:val="nil"/>
              <w:right w:val="nil"/>
            </w:tcBorders>
            <w:shd w:val="clear" w:color="auto" w:fill="auto"/>
            <w:vAlign w:val="center"/>
            <w:hideMark/>
          </w:tcPr>
          <w:p w14:paraId="105E751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12BF59E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51E915F6"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 xml:space="preserve">Bosnia y Herzegovina </w:t>
            </w:r>
          </w:p>
        </w:tc>
        <w:tc>
          <w:tcPr>
            <w:tcW w:w="1001" w:type="dxa"/>
            <w:tcBorders>
              <w:top w:val="nil"/>
              <w:left w:val="nil"/>
              <w:bottom w:val="nil"/>
              <w:right w:val="nil"/>
            </w:tcBorders>
            <w:shd w:val="clear" w:color="auto" w:fill="auto"/>
            <w:vAlign w:val="center"/>
            <w:hideMark/>
          </w:tcPr>
          <w:p w14:paraId="75FC61C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6E40AA5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41D4E1A4"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20CBC0E2" w14:textId="77777777" w:rsidTr="00DB6666">
        <w:trPr>
          <w:trHeight w:val="256"/>
        </w:trPr>
        <w:tc>
          <w:tcPr>
            <w:tcW w:w="1134" w:type="dxa"/>
            <w:tcBorders>
              <w:top w:val="nil"/>
              <w:left w:val="nil"/>
              <w:bottom w:val="nil"/>
              <w:right w:val="nil"/>
            </w:tcBorders>
            <w:shd w:val="clear" w:color="auto" w:fill="auto"/>
            <w:vAlign w:val="center"/>
            <w:hideMark/>
          </w:tcPr>
          <w:p w14:paraId="40F107D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13.410</w:t>
            </w:r>
          </w:p>
        </w:tc>
        <w:tc>
          <w:tcPr>
            <w:tcW w:w="1134" w:type="dxa"/>
            <w:tcBorders>
              <w:top w:val="nil"/>
              <w:left w:val="nil"/>
              <w:bottom w:val="nil"/>
              <w:right w:val="nil"/>
            </w:tcBorders>
            <w:shd w:val="clear" w:color="auto" w:fill="auto"/>
            <w:vAlign w:val="center"/>
            <w:hideMark/>
          </w:tcPr>
          <w:p w14:paraId="79C7086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13.410</w:t>
            </w:r>
          </w:p>
        </w:tc>
        <w:tc>
          <w:tcPr>
            <w:tcW w:w="3969" w:type="dxa"/>
            <w:tcBorders>
              <w:top w:val="nil"/>
              <w:left w:val="nil"/>
              <w:bottom w:val="nil"/>
              <w:right w:val="nil"/>
            </w:tcBorders>
            <w:shd w:val="clear" w:color="auto" w:fill="auto"/>
            <w:vAlign w:val="center"/>
            <w:hideMark/>
          </w:tcPr>
          <w:p w14:paraId="6399C821"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Brasil</w:t>
            </w:r>
          </w:p>
        </w:tc>
        <w:tc>
          <w:tcPr>
            <w:tcW w:w="1001" w:type="dxa"/>
            <w:tcBorders>
              <w:top w:val="nil"/>
              <w:left w:val="nil"/>
              <w:bottom w:val="nil"/>
              <w:right w:val="nil"/>
            </w:tcBorders>
            <w:shd w:val="clear" w:color="auto" w:fill="auto"/>
            <w:vAlign w:val="center"/>
            <w:hideMark/>
          </w:tcPr>
          <w:p w14:paraId="1D9F981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0,25</w:t>
            </w:r>
          </w:p>
        </w:tc>
        <w:tc>
          <w:tcPr>
            <w:tcW w:w="1267" w:type="dxa"/>
            <w:tcBorders>
              <w:top w:val="nil"/>
              <w:left w:val="nil"/>
              <w:bottom w:val="nil"/>
              <w:right w:val="nil"/>
            </w:tcBorders>
            <w:shd w:val="clear" w:color="auto" w:fill="auto"/>
            <w:vAlign w:val="center"/>
            <w:hideMark/>
          </w:tcPr>
          <w:p w14:paraId="0E9A9F1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13.410</w:t>
            </w:r>
          </w:p>
        </w:tc>
        <w:tc>
          <w:tcPr>
            <w:tcW w:w="1134" w:type="dxa"/>
            <w:tcBorders>
              <w:top w:val="nil"/>
              <w:left w:val="nil"/>
              <w:bottom w:val="nil"/>
              <w:right w:val="nil"/>
            </w:tcBorders>
            <w:shd w:val="clear" w:color="auto" w:fill="auto"/>
            <w:vAlign w:val="center"/>
            <w:hideMark/>
          </w:tcPr>
          <w:p w14:paraId="5CD6356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13.410</w:t>
            </w:r>
          </w:p>
        </w:tc>
      </w:tr>
      <w:tr w:rsidR="008F776F" w:rsidRPr="008F776F" w14:paraId="4CF04FC3" w14:textId="77777777" w:rsidTr="00DB6666">
        <w:trPr>
          <w:trHeight w:val="256"/>
        </w:trPr>
        <w:tc>
          <w:tcPr>
            <w:tcW w:w="1134" w:type="dxa"/>
            <w:tcBorders>
              <w:top w:val="nil"/>
              <w:left w:val="nil"/>
              <w:bottom w:val="nil"/>
              <w:right w:val="nil"/>
            </w:tcBorders>
            <w:shd w:val="clear" w:color="auto" w:fill="auto"/>
            <w:vAlign w:val="center"/>
            <w:hideMark/>
          </w:tcPr>
          <w:p w14:paraId="43B3595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52785EF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6EE0E2B4"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Bulgaria</w:t>
            </w:r>
          </w:p>
        </w:tc>
        <w:tc>
          <w:tcPr>
            <w:tcW w:w="1001" w:type="dxa"/>
            <w:tcBorders>
              <w:top w:val="nil"/>
              <w:left w:val="nil"/>
              <w:bottom w:val="nil"/>
              <w:right w:val="nil"/>
            </w:tcBorders>
            <w:shd w:val="clear" w:color="auto" w:fill="auto"/>
            <w:vAlign w:val="center"/>
            <w:hideMark/>
          </w:tcPr>
          <w:p w14:paraId="44660894"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1963F2E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2A6A594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0BBD98F7" w14:textId="77777777" w:rsidTr="00DB6666">
        <w:trPr>
          <w:trHeight w:val="256"/>
        </w:trPr>
        <w:tc>
          <w:tcPr>
            <w:tcW w:w="1134" w:type="dxa"/>
            <w:tcBorders>
              <w:top w:val="nil"/>
              <w:left w:val="nil"/>
              <w:bottom w:val="nil"/>
              <w:right w:val="nil"/>
            </w:tcBorders>
            <w:shd w:val="clear" w:color="auto" w:fill="auto"/>
            <w:vAlign w:val="center"/>
            <w:hideMark/>
          </w:tcPr>
          <w:p w14:paraId="3A30CA8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1134" w:type="dxa"/>
            <w:tcBorders>
              <w:top w:val="nil"/>
              <w:left w:val="nil"/>
              <w:bottom w:val="nil"/>
              <w:right w:val="nil"/>
            </w:tcBorders>
            <w:shd w:val="clear" w:color="auto" w:fill="auto"/>
            <w:vAlign w:val="center"/>
            <w:hideMark/>
          </w:tcPr>
          <w:p w14:paraId="7CD74D7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3969" w:type="dxa"/>
            <w:tcBorders>
              <w:top w:val="nil"/>
              <w:left w:val="nil"/>
              <w:bottom w:val="nil"/>
              <w:right w:val="nil"/>
            </w:tcBorders>
            <w:shd w:val="clear" w:color="auto" w:fill="auto"/>
            <w:vAlign w:val="center"/>
            <w:hideMark/>
          </w:tcPr>
          <w:p w14:paraId="6AC41B62"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Canadá</w:t>
            </w:r>
          </w:p>
        </w:tc>
        <w:tc>
          <w:tcPr>
            <w:tcW w:w="1001" w:type="dxa"/>
            <w:tcBorders>
              <w:top w:val="nil"/>
              <w:left w:val="nil"/>
              <w:bottom w:val="nil"/>
              <w:right w:val="nil"/>
            </w:tcBorders>
            <w:shd w:val="clear" w:color="auto" w:fill="auto"/>
            <w:vAlign w:val="center"/>
            <w:hideMark/>
          </w:tcPr>
          <w:p w14:paraId="005B655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1,00</w:t>
            </w:r>
          </w:p>
        </w:tc>
        <w:tc>
          <w:tcPr>
            <w:tcW w:w="1267" w:type="dxa"/>
            <w:tcBorders>
              <w:top w:val="nil"/>
              <w:left w:val="nil"/>
              <w:bottom w:val="nil"/>
              <w:right w:val="nil"/>
            </w:tcBorders>
            <w:shd w:val="clear" w:color="auto" w:fill="auto"/>
            <w:vAlign w:val="center"/>
            <w:hideMark/>
          </w:tcPr>
          <w:p w14:paraId="4D4B228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1134" w:type="dxa"/>
            <w:tcBorders>
              <w:top w:val="nil"/>
              <w:left w:val="nil"/>
              <w:bottom w:val="nil"/>
              <w:right w:val="nil"/>
            </w:tcBorders>
            <w:shd w:val="clear" w:color="auto" w:fill="auto"/>
            <w:vAlign w:val="center"/>
            <w:hideMark/>
          </w:tcPr>
          <w:p w14:paraId="56796FA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r>
      <w:tr w:rsidR="008F776F" w:rsidRPr="008F776F" w14:paraId="4DDBBF5B" w14:textId="77777777" w:rsidTr="00DB6666">
        <w:trPr>
          <w:trHeight w:val="256"/>
        </w:trPr>
        <w:tc>
          <w:tcPr>
            <w:tcW w:w="1134" w:type="dxa"/>
            <w:tcBorders>
              <w:top w:val="nil"/>
              <w:left w:val="nil"/>
              <w:bottom w:val="nil"/>
              <w:right w:val="nil"/>
            </w:tcBorders>
            <w:shd w:val="clear" w:color="auto" w:fill="auto"/>
            <w:vAlign w:val="center"/>
            <w:hideMark/>
          </w:tcPr>
          <w:p w14:paraId="03A1E4C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74D307E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5EE2FFAF"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Colombia</w:t>
            </w:r>
          </w:p>
        </w:tc>
        <w:tc>
          <w:tcPr>
            <w:tcW w:w="1001" w:type="dxa"/>
            <w:tcBorders>
              <w:top w:val="nil"/>
              <w:left w:val="nil"/>
              <w:bottom w:val="nil"/>
              <w:right w:val="nil"/>
            </w:tcBorders>
            <w:shd w:val="clear" w:color="auto" w:fill="auto"/>
            <w:vAlign w:val="center"/>
            <w:hideMark/>
          </w:tcPr>
          <w:p w14:paraId="4577C39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1E97BB6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3DFDD4D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79A519A4" w14:textId="77777777" w:rsidTr="00DB6666">
        <w:trPr>
          <w:trHeight w:val="256"/>
        </w:trPr>
        <w:tc>
          <w:tcPr>
            <w:tcW w:w="1134" w:type="dxa"/>
            <w:tcBorders>
              <w:top w:val="nil"/>
              <w:left w:val="nil"/>
              <w:bottom w:val="nil"/>
              <w:right w:val="nil"/>
            </w:tcBorders>
            <w:shd w:val="clear" w:color="auto" w:fill="auto"/>
            <w:vAlign w:val="center"/>
            <w:hideMark/>
          </w:tcPr>
          <w:p w14:paraId="0248F22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437FACA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141013C9"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Costa Rica</w:t>
            </w:r>
          </w:p>
        </w:tc>
        <w:tc>
          <w:tcPr>
            <w:tcW w:w="1001" w:type="dxa"/>
            <w:tcBorders>
              <w:top w:val="nil"/>
              <w:left w:val="nil"/>
              <w:bottom w:val="nil"/>
              <w:right w:val="nil"/>
            </w:tcBorders>
            <w:shd w:val="clear" w:color="auto" w:fill="auto"/>
            <w:vAlign w:val="center"/>
            <w:hideMark/>
          </w:tcPr>
          <w:p w14:paraId="47D3D39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246861C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537CE68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4A292DF8" w14:textId="77777777" w:rsidTr="00DB6666">
        <w:trPr>
          <w:trHeight w:val="256"/>
        </w:trPr>
        <w:tc>
          <w:tcPr>
            <w:tcW w:w="1134" w:type="dxa"/>
            <w:tcBorders>
              <w:top w:val="nil"/>
              <w:left w:val="nil"/>
              <w:bottom w:val="nil"/>
              <w:right w:val="nil"/>
            </w:tcBorders>
            <w:shd w:val="clear" w:color="auto" w:fill="auto"/>
            <w:vAlign w:val="center"/>
            <w:hideMark/>
          </w:tcPr>
          <w:p w14:paraId="4DD59CC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16ECE71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196A6B46"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Croacia</w:t>
            </w:r>
          </w:p>
        </w:tc>
        <w:tc>
          <w:tcPr>
            <w:tcW w:w="1001" w:type="dxa"/>
            <w:tcBorders>
              <w:top w:val="nil"/>
              <w:left w:val="nil"/>
              <w:bottom w:val="nil"/>
              <w:right w:val="nil"/>
            </w:tcBorders>
            <w:shd w:val="clear" w:color="auto" w:fill="auto"/>
            <w:vAlign w:val="center"/>
            <w:hideMark/>
          </w:tcPr>
          <w:p w14:paraId="22A210F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3E71472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1AC31C8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54C6C6F3" w14:textId="77777777" w:rsidTr="00DB6666">
        <w:trPr>
          <w:trHeight w:val="256"/>
        </w:trPr>
        <w:tc>
          <w:tcPr>
            <w:tcW w:w="1134" w:type="dxa"/>
            <w:tcBorders>
              <w:top w:val="nil"/>
              <w:left w:val="nil"/>
              <w:bottom w:val="nil"/>
              <w:right w:val="nil"/>
            </w:tcBorders>
            <w:shd w:val="clear" w:color="auto" w:fill="auto"/>
            <w:vAlign w:val="center"/>
            <w:hideMark/>
          </w:tcPr>
          <w:p w14:paraId="28D56A4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1E5AB77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193D9811"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Chile</w:t>
            </w:r>
          </w:p>
        </w:tc>
        <w:tc>
          <w:tcPr>
            <w:tcW w:w="1001" w:type="dxa"/>
            <w:tcBorders>
              <w:top w:val="nil"/>
              <w:left w:val="nil"/>
              <w:bottom w:val="nil"/>
              <w:right w:val="nil"/>
            </w:tcBorders>
            <w:shd w:val="clear" w:color="auto" w:fill="auto"/>
            <w:vAlign w:val="center"/>
            <w:hideMark/>
          </w:tcPr>
          <w:p w14:paraId="6AFF885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681F167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0BAF07B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683E517F" w14:textId="77777777" w:rsidTr="00DB6666">
        <w:trPr>
          <w:trHeight w:val="256"/>
        </w:trPr>
        <w:tc>
          <w:tcPr>
            <w:tcW w:w="1134" w:type="dxa"/>
            <w:tcBorders>
              <w:top w:val="nil"/>
              <w:left w:val="nil"/>
              <w:bottom w:val="nil"/>
              <w:right w:val="nil"/>
            </w:tcBorders>
            <w:shd w:val="clear" w:color="auto" w:fill="auto"/>
            <w:vAlign w:val="center"/>
            <w:hideMark/>
          </w:tcPr>
          <w:p w14:paraId="68CB343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c>
          <w:tcPr>
            <w:tcW w:w="1134" w:type="dxa"/>
            <w:tcBorders>
              <w:top w:val="nil"/>
              <w:left w:val="nil"/>
              <w:bottom w:val="nil"/>
              <w:right w:val="nil"/>
            </w:tcBorders>
            <w:shd w:val="clear" w:color="auto" w:fill="auto"/>
            <w:vAlign w:val="center"/>
            <w:hideMark/>
          </w:tcPr>
          <w:p w14:paraId="569EF6F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c>
          <w:tcPr>
            <w:tcW w:w="3969" w:type="dxa"/>
            <w:tcBorders>
              <w:top w:val="nil"/>
              <w:left w:val="nil"/>
              <w:bottom w:val="nil"/>
              <w:right w:val="nil"/>
            </w:tcBorders>
            <w:shd w:val="clear" w:color="auto" w:fill="auto"/>
            <w:vAlign w:val="center"/>
            <w:hideMark/>
          </w:tcPr>
          <w:p w14:paraId="2B74A15E"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China</w:t>
            </w:r>
          </w:p>
        </w:tc>
        <w:tc>
          <w:tcPr>
            <w:tcW w:w="1001" w:type="dxa"/>
            <w:tcBorders>
              <w:top w:val="nil"/>
              <w:left w:val="nil"/>
              <w:bottom w:val="nil"/>
              <w:right w:val="nil"/>
            </w:tcBorders>
            <w:shd w:val="clear" w:color="auto" w:fill="auto"/>
            <w:vAlign w:val="center"/>
            <w:hideMark/>
          </w:tcPr>
          <w:p w14:paraId="345F6BD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2,00</w:t>
            </w:r>
          </w:p>
        </w:tc>
        <w:tc>
          <w:tcPr>
            <w:tcW w:w="1267" w:type="dxa"/>
            <w:tcBorders>
              <w:top w:val="nil"/>
              <w:left w:val="nil"/>
              <w:bottom w:val="nil"/>
              <w:right w:val="nil"/>
            </w:tcBorders>
            <w:shd w:val="clear" w:color="auto" w:fill="auto"/>
            <w:vAlign w:val="center"/>
            <w:hideMark/>
          </w:tcPr>
          <w:p w14:paraId="4BB9D98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c>
          <w:tcPr>
            <w:tcW w:w="1134" w:type="dxa"/>
            <w:tcBorders>
              <w:top w:val="nil"/>
              <w:left w:val="nil"/>
              <w:bottom w:val="nil"/>
              <w:right w:val="nil"/>
            </w:tcBorders>
            <w:shd w:val="clear" w:color="auto" w:fill="auto"/>
            <w:vAlign w:val="center"/>
            <w:hideMark/>
          </w:tcPr>
          <w:p w14:paraId="33DAB42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r>
      <w:tr w:rsidR="008F776F" w:rsidRPr="008F776F" w14:paraId="198637CA" w14:textId="77777777" w:rsidTr="00DB6666">
        <w:trPr>
          <w:trHeight w:val="256"/>
        </w:trPr>
        <w:tc>
          <w:tcPr>
            <w:tcW w:w="1134" w:type="dxa"/>
            <w:tcBorders>
              <w:top w:val="nil"/>
              <w:left w:val="nil"/>
              <w:bottom w:val="nil"/>
              <w:right w:val="nil"/>
            </w:tcBorders>
            <w:shd w:val="clear" w:color="auto" w:fill="auto"/>
            <w:vAlign w:val="center"/>
            <w:hideMark/>
          </w:tcPr>
          <w:p w14:paraId="39C975B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00B5BBA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3969" w:type="dxa"/>
            <w:tcBorders>
              <w:top w:val="nil"/>
              <w:left w:val="nil"/>
              <w:bottom w:val="nil"/>
              <w:right w:val="nil"/>
            </w:tcBorders>
            <w:shd w:val="clear" w:color="auto" w:fill="auto"/>
            <w:vAlign w:val="center"/>
            <w:hideMark/>
          </w:tcPr>
          <w:p w14:paraId="56EBFAA2"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Dinamarca</w:t>
            </w:r>
          </w:p>
        </w:tc>
        <w:tc>
          <w:tcPr>
            <w:tcW w:w="1001" w:type="dxa"/>
            <w:tcBorders>
              <w:top w:val="nil"/>
              <w:left w:val="nil"/>
              <w:bottom w:val="nil"/>
              <w:right w:val="nil"/>
            </w:tcBorders>
            <w:shd w:val="clear" w:color="auto" w:fill="auto"/>
            <w:vAlign w:val="center"/>
            <w:hideMark/>
          </w:tcPr>
          <w:p w14:paraId="35FB0F5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0,50</w:t>
            </w:r>
          </w:p>
        </w:tc>
        <w:tc>
          <w:tcPr>
            <w:tcW w:w="1267" w:type="dxa"/>
            <w:tcBorders>
              <w:top w:val="nil"/>
              <w:left w:val="nil"/>
              <w:bottom w:val="nil"/>
              <w:right w:val="nil"/>
            </w:tcBorders>
            <w:shd w:val="clear" w:color="auto" w:fill="auto"/>
            <w:vAlign w:val="center"/>
            <w:hideMark/>
          </w:tcPr>
          <w:p w14:paraId="7B875C0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12E2954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r>
      <w:tr w:rsidR="008F776F" w:rsidRPr="008F776F" w14:paraId="42089D42" w14:textId="77777777" w:rsidTr="00DB6666">
        <w:trPr>
          <w:trHeight w:val="256"/>
        </w:trPr>
        <w:tc>
          <w:tcPr>
            <w:tcW w:w="1134" w:type="dxa"/>
            <w:tcBorders>
              <w:top w:val="nil"/>
              <w:left w:val="nil"/>
              <w:bottom w:val="nil"/>
              <w:right w:val="nil"/>
            </w:tcBorders>
            <w:shd w:val="clear" w:color="auto" w:fill="auto"/>
            <w:vAlign w:val="center"/>
            <w:hideMark/>
          </w:tcPr>
          <w:p w14:paraId="4D16F62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04EF2C9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668E4337"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Ecuador</w:t>
            </w:r>
          </w:p>
        </w:tc>
        <w:tc>
          <w:tcPr>
            <w:tcW w:w="1001" w:type="dxa"/>
            <w:tcBorders>
              <w:top w:val="nil"/>
              <w:left w:val="nil"/>
              <w:bottom w:val="nil"/>
              <w:right w:val="nil"/>
            </w:tcBorders>
            <w:shd w:val="clear" w:color="auto" w:fill="auto"/>
            <w:vAlign w:val="center"/>
            <w:hideMark/>
          </w:tcPr>
          <w:p w14:paraId="7AB5952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2328FDC0"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769B61E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61846404" w14:textId="77777777" w:rsidTr="00DB6666">
        <w:trPr>
          <w:trHeight w:val="256"/>
        </w:trPr>
        <w:tc>
          <w:tcPr>
            <w:tcW w:w="1134" w:type="dxa"/>
            <w:tcBorders>
              <w:top w:val="nil"/>
              <w:left w:val="nil"/>
              <w:bottom w:val="nil"/>
              <w:right w:val="nil"/>
            </w:tcBorders>
            <w:shd w:val="clear" w:color="auto" w:fill="auto"/>
            <w:vAlign w:val="center"/>
            <w:hideMark/>
          </w:tcPr>
          <w:p w14:paraId="5F85D700"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2C95F5A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0FFE4C5C"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Egipto</w:t>
            </w:r>
          </w:p>
        </w:tc>
        <w:tc>
          <w:tcPr>
            <w:tcW w:w="1001" w:type="dxa"/>
            <w:tcBorders>
              <w:top w:val="nil"/>
              <w:left w:val="nil"/>
              <w:bottom w:val="nil"/>
              <w:right w:val="nil"/>
            </w:tcBorders>
            <w:shd w:val="clear" w:color="auto" w:fill="auto"/>
            <w:vAlign w:val="center"/>
            <w:hideMark/>
          </w:tcPr>
          <w:p w14:paraId="29C4117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61DF6E0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538CF44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2B686791" w14:textId="77777777" w:rsidTr="00DB6666">
        <w:trPr>
          <w:trHeight w:val="256"/>
        </w:trPr>
        <w:tc>
          <w:tcPr>
            <w:tcW w:w="1134" w:type="dxa"/>
            <w:tcBorders>
              <w:top w:val="nil"/>
              <w:left w:val="nil"/>
              <w:bottom w:val="nil"/>
              <w:right w:val="nil"/>
            </w:tcBorders>
            <w:shd w:val="clear" w:color="auto" w:fill="auto"/>
            <w:vAlign w:val="center"/>
            <w:hideMark/>
          </w:tcPr>
          <w:p w14:paraId="2EFDE2F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5CF80A3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3969" w:type="dxa"/>
            <w:tcBorders>
              <w:top w:val="nil"/>
              <w:left w:val="nil"/>
              <w:bottom w:val="nil"/>
              <w:right w:val="nil"/>
            </w:tcBorders>
            <w:shd w:val="clear" w:color="auto" w:fill="auto"/>
            <w:vAlign w:val="center"/>
            <w:hideMark/>
          </w:tcPr>
          <w:p w14:paraId="32AC076B"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Eslovaquia</w:t>
            </w:r>
          </w:p>
        </w:tc>
        <w:tc>
          <w:tcPr>
            <w:tcW w:w="1001" w:type="dxa"/>
            <w:tcBorders>
              <w:top w:val="nil"/>
              <w:left w:val="nil"/>
              <w:bottom w:val="nil"/>
              <w:right w:val="nil"/>
            </w:tcBorders>
            <w:shd w:val="clear" w:color="auto" w:fill="auto"/>
            <w:vAlign w:val="center"/>
            <w:hideMark/>
          </w:tcPr>
          <w:p w14:paraId="0CA552E4"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0,50</w:t>
            </w:r>
          </w:p>
        </w:tc>
        <w:tc>
          <w:tcPr>
            <w:tcW w:w="1267" w:type="dxa"/>
            <w:tcBorders>
              <w:top w:val="nil"/>
              <w:left w:val="nil"/>
              <w:bottom w:val="nil"/>
              <w:right w:val="nil"/>
            </w:tcBorders>
            <w:shd w:val="clear" w:color="auto" w:fill="auto"/>
            <w:vAlign w:val="center"/>
            <w:hideMark/>
          </w:tcPr>
          <w:p w14:paraId="3D699F1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1808F9E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r>
      <w:tr w:rsidR="008F776F" w:rsidRPr="008F776F" w14:paraId="7FE57427" w14:textId="77777777" w:rsidTr="00DB6666">
        <w:trPr>
          <w:trHeight w:val="256"/>
        </w:trPr>
        <w:tc>
          <w:tcPr>
            <w:tcW w:w="1134" w:type="dxa"/>
            <w:tcBorders>
              <w:top w:val="nil"/>
              <w:left w:val="nil"/>
              <w:bottom w:val="nil"/>
              <w:right w:val="nil"/>
            </w:tcBorders>
            <w:shd w:val="clear" w:color="auto" w:fill="auto"/>
            <w:vAlign w:val="center"/>
            <w:hideMark/>
          </w:tcPr>
          <w:p w14:paraId="5F59EC2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17C69DF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39A7E7B9"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Eslovenia</w:t>
            </w:r>
          </w:p>
        </w:tc>
        <w:tc>
          <w:tcPr>
            <w:tcW w:w="1001" w:type="dxa"/>
            <w:tcBorders>
              <w:top w:val="nil"/>
              <w:left w:val="nil"/>
              <w:bottom w:val="nil"/>
              <w:right w:val="nil"/>
            </w:tcBorders>
            <w:shd w:val="clear" w:color="auto" w:fill="auto"/>
            <w:vAlign w:val="center"/>
            <w:hideMark/>
          </w:tcPr>
          <w:p w14:paraId="797184D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1302F844"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73FB046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21F92E19" w14:textId="77777777" w:rsidTr="00DB6666">
        <w:trPr>
          <w:trHeight w:val="256"/>
        </w:trPr>
        <w:tc>
          <w:tcPr>
            <w:tcW w:w="1134" w:type="dxa"/>
            <w:tcBorders>
              <w:top w:val="nil"/>
              <w:left w:val="nil"/>
              <w:bottom w:val="nil"/>
              <w:right w:val="nil"/>
            </w:tcBorders>
            <w:shd w:val="clear" w:color="auto" w:fill="auto"/>
            <w:vAlign w:val="center"/>
            <w:hideMark/>
          </w:tcPr>
          <w:p w14:paraId="20A602F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c>
          <w:tcPr>
            <w:tcW w:w="1134" w:type="dxa"/>
            <w:tcBorders>
              <w:top w:val="nil"/>
              <w:left w:val="nil"/>
              <w:bottom w:val="nil"/>
              <w:right w:val="nil"/>
            </w:tcBorders>
            <w:shd w:val="clear" w:color="auto" w:fill="auto"/>
            <w:vAlign w:val="center"/>
            <w:hideMark/>
          </w:tcPr>
          <w:p w14:paraId="1BCC8EE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c>
          <w:tcPr>
            <w:tcW w:w="3969" w:type="dxa"/>
            <w:tcBorders>
              <w:top w:val="nil"/>
              <w:left w:val="nil"/>
              <w:bottom w:val="nil"/>
              <w:right w:val="nil"/>
            </w:tcBorders>
            <w:shd w:val="clear" w:color="auto" w:fill="auto"/>
            <w:vAlign w:val="center"/>
            <w:hideMark/>
          </w:tcPr>
          <w:p w14:paraId="11921CB7"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España</w:t>
            </w:r>
          </w:p>
        </w:tc>
        <w:tc>
          <w:tcPr>
            <w:tcW w:w="1001" w:type="dxa"/>
            <w:tcBorders>
              <w:top w:val="nil"/>
              <w:left w:val="nil"/>
              <w:bottom w:val="nil"/>
              <w:right w:val="nil"/>
            </w:tcBorders>
            <w:shd w:val="clear" w:color="auto" w:fill="auto"/>
            <w:vAlign w:val="center"/>
            <w:hideMark/>
          </w:tcPr>
          <w:p w14:paraId="2D645D3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2,00</w:t>
            </w:r>
          </w:p>
        </w:tc>
        <w:tc>
          <w:tcPr>
            <w:tcW w:w="1267" w:type="dxa"/>
            <w:tcBorders>
              <w:top w:val="nil"/>
              <w:left w:val="nil"/>
              <w:bottom w:val="nil"/>
              <w:right w:val="nil"/>
            </w:tcBorders>
            <w:shd w:val="clear" w:color="auto" w:fill="auto"/>
            <w:vAlign w:val="center"/>
            <w:hideMark/>
          </w:tcPr>
          <w:p w14:paraId="7E57E9E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c>
          <w:tcPr>
            <w:tcW w:w="1134" w:type="dxa"/>
            <w:tcBorders>
              <w:top w:val="nil"/>
              <w:left w:val="nil"/>
              <w:bottom w:val="nil"/>
              <w:right w:val="nil"/>
            </w:tcBorders>
            <w:shd w:val="clear" w:color="auto" w:fill="auto"/>
            <w:vAlign w:val="center"/>
            <w:hideMark/>
          </w:tcPr>
          <w:p w14:paraId="0DB6341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r>
      <w:tr w:rsidR="008F776F" w:rsidRPr="008F776F" w14:paraId="752A7D07" w14:textId="77777777" w:rsidTr="00DB6666">
        <w:trPr>
          <w:trHeight w:val="256"/>
        </w:trPr>
        <w:tc>
          <w:tcPr>
            <w:tcW w:w="1134" w:type="dxa"/>
            <w:tcBorders>
              <w:top w:val="nil"/>
              <w:left w:val="nil"/>
              <w:bottom w:val="nil"/>
              <w:right w:val="nil"/>
            </w:tcBorders>
            <w:shd w:val="clear" w:color="auto" w:fill="auto"/>
            <w:vAlign w:val="center"/>
            <w:hideMark/>
          </w:tcPr>
          <w:p w14:paraId="6F6A4374"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c>
          <w:tcPr>
            <w:tcW w:w="1134" w:type="dxa"/>
            <w:tcBorders>
              <w:top w:val="nil"/>
              <w:left w:val="nil"/>
              <w:bottom w:val="nil"/>
              <w:right w:val="nil"/>
            </w:tcBorders>
            <w:shd w:val="clear" w:color="auto" w:fill="auto"/>
            <w:vAlign w:val="center"/>
            <w:hideMark/>
          </w:tcPr>
          <w:p w14:paraId="5AAAB93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c>
          <w:tcPr>
            <w:tcW w:w="3969" w:type="dxa"/>
            <w:tcBorders>
              <w:top w:val="nil"/>
              <w:left w:val="nil"/>
              <w:bottom w:val="nil"/>
              <w:right w:val="nil"/>
            </w:tcBorders>
            <w:shd w:val="clear" w:color="auto" w:fill="auto"/>
            <w:vAlign w:val="center"/>
            <w:hideMark/>
          </w:tcPr>
          <w:p w14:paraId="628F76F9"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Estados Unidos de América</w:t>
            </w:r>
          </w:p>
        </w:tc>
        <w:tc>
          <w:tcPr>
            <w:tcW w:w="1001" w:type="dxa"/>
            <w:tcBorders>
              <w:top w:val="nil"/>
              <w:left w:val="nil"/>
              <w:bottom w:val="nil"/>
              <w:right w:val="nil"/>
            </w:tcBorders>
            <w:shd w:val="clear" w:color="auto" w:fill="auto"/>
            <w:vAlign w:val="center"/>
            <w:hideMark/>
          </w:tcPr>
          <w:p w14:paraId="34D4170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5,00</w:t>
            </w:r>
          </w:p>
        </w:tc>
        <w:tc>
          <w:tcPr>
            <w:tcW w:w="1267" w:type="dxa"/>
            <w:tcBorders>
              <w:top w:val="nil"/>
              <w:left w:val="nil"/>
              <w:bottom w:val="nil"/>
              <w:right w:val="nil"/>
            </w:tcBorders>
            <w:shd w:val="clear" w:color="auto" w:fill="auto"/>
            <w:vAlign w:val="center"/>
            <w:hideMark/>
          </w:tcPr>
          <w:p w14:paraId="478563C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c>
          <w:tcPr>
            <w:tcW w:w="1134" w:type="dxa"/>
            <w:tcBorders>
              <w:top w:val="nil"/>
              <w:left w:val="nil"/>
              <w:bottom w:val="nil"/>
              <w:right w:val="nil"/>
            </w:tcBorders>
            <w:shd w:val="clear" w:color="auto" w:fill="auto"/>
            <w:vAlign w:val="center"/>
            <w:hideMark/>
          </w:tcPr>
          <w:p w14:paraId="6352A90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r>
      <w:tr w:rsidR="008F776F" w:rsidRPr="008F776F" w14:paraId="3DBF2B96" w14:textId="77777777" w:rsidTr="00DB6666">
        <w:trPr>
          <w:trHeight w:val="256"/>
        </w:trPr>
        <w:tc>
          <w:tcPr>
            <w:tcW w:w="1134" w:type="dxa"/>
            <w:tcBorders>
              <w:top w:val="nil"/>
              <w:left w:val="nil"/>
              <w:bottom w:val="nil"/>
              <w:right w:val="nil"/>
            </w:tcBorders>
            <w:shd w:val="clear" w:color="auto" w:fill="auto"/>
            <w:vAlign w:val="center"/>
            <w:hideMark/>
          </w:tcPr>
          <w:p w14:paraId="7A0B646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2218EFE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31B9762C"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Estonia</w:t>
            </w:r>
          </w:p>
        </w:tc>
        <w:tc>
          <w:tcPr>
            <w:tcW w:w="1001" w:type="dxa"/>
            <w:tcBorders>
              <w:top w:val="nil"/>
              <w:left w:val="nil"/>
              <w:bottom w:val="nil"/>
              <w:right w:val="nil"/>
            </w:tcBorders>
            <w:shd w:val="clear" w:color="auto" w:fill="auto"/>
            <w:vAlign w:val="center"/>
            <w:hideMark/>
          </w:tcPr>
          <w:p w14:paraId="32F7415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52935C4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7A482BA4"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2C81D739" w14:textId="77777777" w:rsidTr="00DB6666">
        <w:trPr>
          <w:trHeight w:val="256"/>
        </w:trPr>
        <w:tc>
          <w:tcPr>
            <w:tcW w:w="1134" w:type="dxa"/>
            <w:tcBorders>
              <w:top w:val="nil"/>
              <w:left w:val="nil"/>
              <w:bottom w:val="nil"/>
              <w:right w:val="nil"/>
            </w:tcBorders>
            <w:shd w:val="clear" w:color="auto" w:fill="auto"/>
            <w:vAlign w:val="center"/>
            <w:hideMark/>
          </w:tcPr>
          <w:p w14:paraId="69F800D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c>
          <w:tcPr>
            <w:tcW w:w="1134" w:type="dxa"/>
            <w:tcBorders>
              <w:top w:val="nil"/>
              <w:left w:val="nil"/>
              <w:bottom w:val="nil"/>
              <w:right w:val="nil"/>
            </w:tcBorders>
            <w:shd w:val="clear" w:color="auto" w:fill="auto"/>
            <w:vAlign w:val="center"/>
            <w:hideMark/>
          </w:tcPr>
          <w:p w14:paraId="6A443E4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c>
          <w:tcPr>
            <w:tcW w:w="3969" w:type="dxa"/>
            <w:tcBorders>
              <w:top w:val="nil"/>
              <w:left w:val="nil"/>
              <w:bottom w:val="nil"/>
              <w:right w:val="nil"/>
            </w:tcBorders>
            <w:shd w:val="clear" w:color="auto" w:fill="auto"/>
            <w:vAlign w:val="center"/>
            <w:hideMark/>
          </w:tcPr>
          <w:p w14:paraId="5715CFEE"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 xml:space="preserve">Federación de Rusia </w:t>
            </w:r>
          </w:p>
        </w:tc>
        <w:tc>
          <w:tcPr>
            <w:tcW w:w="1001" w:type="dxa"/>
            <w:tcBorders>
              <w:top w:val="nil"/>
              <w:left w:val="nil"/>
              <w:bottom w:val="nil"/>
              <w:right w:val="nil"/>
            </w:tcBorders>
            <w:shd w:val="clear" w:color="auto" w:fill="auto"/>
            <w:vAlign w:val="center"/>
            <w:hideMark/>
          </w:tcPr>
          <w:p w14:paraId="7AD6C8C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2,00</w:t>
            </w:r>
          </w:p>
        </w:tc>
        <w:tc>
          <w:tcPr>
            <w:tcW w:w="1267" w:type="dxa"/>
            <w:tcBorders>
              <w:top w:val="nil"/>
              <w:left w:val="nil"/>
              <w:bottom w:val="nil"/>
              <w:right w:val="nil"/>
            </w:tcBorders>
            <w:shd w:val="clear" w:color="auto" w:fill="auto"/>
            <w:vAlign w:val="center"/>
            <w:hideMark/>
          </w:tcPr>
          <w:p w14:paraId="1CE09884"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c>
          <w:tcPr>
            <w:tcW w:w="1134" w:type="dxa"/>
            <w:tcBorders>
              <w:top w:val="nil"/>
              <w:left w:val="nil"/>
              <w:bottom w:val="nil"/>
              <w:right w:val="nil"/>
            </w:tcBorders>
            <w:shd w:val="clear" w:color="auto" w:fill="auto"/>
            <w:vAlign w:val="center"/>
            <w:hideMark/>
          </w:tcPr>
          <w:p w14:paraId="6F47B1E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r>
      <w:tr w:rsidR="008F776F" w:rsidRPr="008F776F" w14:paraId="2BACF8F5" w14:textId="77777777" w:rsidTr="00DB6666">
        <w:trPr>
          <w:trHeight w:val="256"/>
        </w:trPr>
        <w:tc>
          <w:tcPr>
            <w:tcW w:w="1134" w:type="dxa"/>
            <w:tcBorders>
              <w:top w:val="nil"/>
              <w:left w:val="nil"/>
              <w:bottom w:val="nil"/>
              <w:right w:val="nil"/>
            </w:tcBorders>
            <w:shd w:val="clear" w:color="auto" w:fill="auto"/>
            <w:vAlign w:val="center"/>
            <w:hideMark/>
          </w:tcPr>
          <w:p w14:paraId="0C2A5E9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1134" w:type="dxa"/>
            <w:tcBorders>
              <w:top w:val="nil"/>
              <w:left w:val="nil"/>
              <w:bottom w:val="nil"/>
              <w:right w:val="nil"/>
            </w:tcBorders>
            <w:shd w:val="clear" w:color="auto" w:fill="auto"/>
            <w:vAlign w:val="center"/>
            <w:hideMark/>
          </w:tcPr>
          <w:p w14:paraId="507B286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3969" w:type="dxa"/>
            <w:tcBorders>
              <w:top w:val="nil"/>
              <w:left w:val="nil"/>
              <w:bottom w:val="nil"/>
              <w:right w:val="nil"/>
            </w:tcBorders>
            <w:shd w:val="clear" w:color="auto" w:fill="auto"/>
            <w:vAlign w:val="center"/>
            <w:hideMark/>
          </w:tcPr>
          <w:p w14:paraId="1FCB0DE8"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Finlandia</w:t>
            </w:r>
          </w:p>
        </w:tc>
        <w:tc>
          <w:tcPr>
            <w:tcW w:w="1001" w:type="dxa"/>
            <w:tcBorders>
              <w:top w:val="nil"/>
              <w:left w:val="nil"/>
              <w:bottom w:val="nil"/>
              <w:right w:val="nil"/>
            </w:tcBorders>
            <w:shd w:val="clear" w:color="auto" w:fill="auto"/>
            <w:vAlign w:val="center"/>
            <w:hideMark/>
          </w:tcPr>
          <w:p w14:paraId="4BE1401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1,00</w:t>
            </w:r>
          </w:p>
        </w:tc>
        <w:tc>
          <w:tcPr>
            <w:tcW w:w="1267" w:type="dxa"/>
            <w:tcBorders>
              <w:top w:val="nil"/>
              <w:left w:val="nil"/>
              <w:bottom w:val="nil"/>
              <w:right w:val="nil"/>
            </w:tcBorders>
            <w:shd w:val="clear" w:color="auto" w:fill="auto"/>
            <w:vAlign w:val="center"/>
            <w:hideMark/>
          </w:tcPr>
          <w:p w14:paraId="1B6599A4"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1134" w:type="dxa"/>
            <w:tcBorders>
              <w:top w:val="nil"/>
              <w:left w:val="nil"/>
              <w:bottom w:val="nil"/>
              <w:right w:val="nil"/>
            </w:tcBorders>
            <w:shd w:val="clear" w:color="auto" w:fill="auto"/>
            <w:vAlign w:val="center"/>
            <w:hideMark/>
          </w:tcPr>
          <w:p w14:paraId="23C3DAC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r>
      <w:tr w:rsidR="008F776F" w:rsidRPr="008F776F" w14:paraId="4296B6AB" w14:textId="77777777" w:rsidTr="00DB6666">
        <w:trPr>
          <w:trHeight w:val="256"/>
        </w:trPr>
        <w:tc>
          <w:tcPr>
            <w:tcW w:w="1134" w:type="dxa"/>
            <w:tcBorders>
              <w:top w:val="nil"/>
              <w:left w:val="nil"/>
              <w:bottom w:val="nil"/>
              <w:right w:val="nil"/>
            </w:tcBorders>
            <w:shd w:val="clear" w:color="auto" w:fill="auto"/>
            <w:vAlign w:val="center"/>
            <w:hideMark/>
          </w:tcPr>
          <w:p w14:paraId="25D7A1B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c>
          <w:tcPr>
            <w:tcW w:w="1134" w:type="dxa"/>
            <w:tcBorders>
              <w:top w:val="nil"/>
              <w:left w:val="nil"/>
              <w:bottom w:val="nil"/>
              <w:right w:val="nil"/>
            </w:tcBorders>
            <w:shd w:val="clear" w:color="auto" w:fill="auto"/>
            <w:vAlign w:val="center"/>
            <w:hideMark/>
          </w:tcPr>
          <w:p w14:paraId="5C64246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c>
          <w:tcPr>
            <w:tcW w:w="3969" w:type="dxa"/>
            <w:tcBorders>
              <w:top w:val="nil"/>
              <w:left w:val="nil"/>
              <w:bottom w:val="nil"/>
              <w:right w:val="nil"/>
            </w:tcBorders>
            <w:shd w:val="clear" w:color="auto" w:fill="auto"/>
            <w:vAlign w:val="center"/>
            <w:hideMark/>
          </w:tcPr>
          <w:p w14:paraId="08D64ADC"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Francia</w:t>
            </w:r>
          </w:p>
        </w:tc>
        <w:tc>
          <w:tcPr>
            <w:tcW w:w="1001" w:type="dxa"/>
            <w:tcBorders>
              <w:top w:val="nil"/>
              <w:left w:val="nil"/>
              <w:bottom w:val="nil"/>
              <w:right w:val="nil"/>
            </w:tcBorders>
            <w:shd w:val="clear" w:color="auto" w:fill="auto"/>
            <w:vAlign w:val="center"/>
            <w:hideMark/>
          </w:tcPr>
          <w:p w14:paraId="2002848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5,00</w:t>
            </w:r>
          </w:p>
        </w:tc>
        <w:tc>
          <w:tcPr>
            <w:tcW w:w="1267" w:type="dxa"/>
            <w:tcBorders>
              <w:top w:val="nil"/>
              <w:left w:val="nil"/>
              <w:bottom w:val="nil"/>
              <w:right w:val="nil"/>
            </w:tcBorders>
            <w:shd w:val="clear" w:color="auto" w:fill="auto"/>
            <w:vAlign w:val="center"/>
            <w:hideMark/>
          </w:tcPr>
          <w:p w14:paraId="1BA422F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c>
          <w:tcPr>
            <w:tcW w:w="1134" w:type="dxa"/>
            <w:tcBorders>
              <w:top w:val="nil"/>
              <w:left w:val="nil"/>
              <w:bottom w:val="nil"/>
              <w:right w:val="nil"/>
            </w:tcBorders>
            <w:shd w:val="clear" w:color="auto" w:fill="auto"/>
            <w:vAlign w:val="center"/>
            <w:hideMark/>
          </w:tcPr>
          <w:p w14:paraId="02DF10D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r>
      <w:tr w:rsidR="008F776F" w:rsidRPr="008F776F" w14:paraId="47E22D9B" w14:textId="77777777" w:rsidTr="00DB6666">
        <w:trPr>
          <w:trHeight w:val="256"/>
        </w:trPr>
        <w:tc>
          <w:tcPr>
            <w:tcW w:w="1134" w:type="dxa"/>
            <w:tcBorders>
              <w:top w:val="nil"/>
              <w:left w:val="nil"/>
              <w:bottom w:val="nil"/>
              <w:right w:val="nil"/>
            </w:tcBorders>
            <w:shd w:val="clear" w:color="auto" w:fill="auto"/>
            <w:vAlign w:val="center"/>
            <w:hideMark/>
          </w:tcPr>
          <w:p w14:paraId="2AEA836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01C1047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64D59D47"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Georgia</w:t>
            </w:r>
          </w:p>
        </w:tc>
        <w:tc>
          <w:tcPr>
            <w:tcW w:w="1001" w:type="dxa"/>
            <w:tcBorders>
              <w:top w:val="nil"/>
              <w:left w:val="nil"/>
              <w:bottom w:val="nil"/>
              <w:right w:val="nil"/>
            </w:tcBorders>
            <w:shd w:val="clear" w:color="auto" w:fill="auto"/>
            <w:vAlign w:val="center"/>
            <w:hideMark/>
          </w:tcPr>
          <w:p w14:paraId="71FF884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731C1AA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18386E0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2BD9B817" w14:textId="77777777" w:rsidTr="00DB6666">
        <w:trPr>
          <w:trHeight w:val="256"/>
        </w:trPr>
        <w:tc>
          <w:tcPr>
            <w:tcW w:w="1134" w:type="dxa"/>
            <w:tcBorders>
              <w:top w:val="nil"/>
              <w:left w:val="nil"/>
              <w:bottom w:val="nil"/>
              <w:right w:val="nil"/>
            </w:tcBorders>
            <w:shd w:val="clear" w:color="auto" w:fill="auto"/>
            <w:vAlign w:val="center"/>
            <w:hideMark/>
          </w:tcPr>
          <w:p w14:paraId="4AFC611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4F25514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65ACB550"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Ghana</w:t>
            </w:r>
          </w:p>
        </w:tc>
        <w:tc>
          <w:tcPr>
            <w:tcW w:w="1001" w:type="dxa"/>
            <w:tcBorders>
              <w:top w:val="nil"/>
              <w:left w:val="nil"/>
              <w:bottom w:val="nil"/>
              <w:right w:val="nil"/>
            </w:tcBorders>
            <w:shd w:val="clear" w:color="auto" w:fill="auto"/>
            <w:vAlign w:val="center"/>
            <w:hideMark/>
          </w:tcPr>
          <w:p w14:paraId="2DB49CB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04EC425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76B8D53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26E41E21" w14:textId="77777777" w:rsidTr="00DB6666">
        <w:trPr>
          <w:trHeight w:val="256"/>
        </w:trPr>
        <w:tc>
          <w:tcPr>
            <w:tcW w:w="1134" w:type="dxa"/>
            <w:tcBorders>
              <w:top w:val="nil"/>
              <w:left w:val="nil"/>
              <w:bottom w:val="nil"/>
              <w:right w:val="nil"/>
            </w:tcBorders>
            <w:shd w:val="clear" w:color="auto" w:fill="auto"/>
            <w:vAlign w:val="center"/>
            <w:hideMark/>
          </w:tcPr>
          <w:p w14:paraId="5A781AE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4CACF3D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3969" w:type="dxa"/>
            <w:tcBorders>
              <w:top w:val="nil"/>
              <w:left w:val="nil"/>
              <w:bottom w:val="nil"/>
              <w:right w:val="nil"/>
            </w:tcBorders>
            <w:shd w:val="clear" w:color="auto" w:fill="auto"/>
            <w:vAlign w:val="center"/>
            <w:hideMark/>
          </w:tcPr>
          <w:p w14:paraId="221497B1"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Hungría</w:t>
            </w:r>
          </w:p>
        </w:tc>
        <w:tc>
          <w:tcPr>
            <w:tcW w:w="1001" w:type="dxa"/>
            <w:tcBorders>
              <w:top w:val="nil"/>
              <w:left w:val="nil"/>
              <w:bottom w:val="nil"/>
              <w:right w:val="nil"/>
            </w:tcBorders>
            <w:shd w:val="clear" w:color="auto" w:fill="auto"/>
            <w:vAlign w:val="center"/>
            <w:hideMark/>
          </w:tcPr>
          <w:p w14:paraId="0B0C2770"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0,50</w:t>
            </w:r>
          </w:p>
        </w:tc>
        <w:tc>
          <w:tcPr>
            <w:tcW w:w="1267" w:type="dxa"/>
            <w:tcBorders>
              <w:top w:val="nil"/>
              <w:left w:val="nil"/>
              <w:bottom w:val="nil"/>
              <w:right w:val="nil"/>
            </w:tcBorders>
            <w:shd w:val="clear" w:color="auto" w:fill="auto"/>
            <w:vAlign w:val="center"/>
            <w:hideMark/>
          </w:tcPr>
          <w:p w14:paraId="6C51A7C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139DC6E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r>
      <w:tr w:rsidR="008F776F" w:rsidRPr="008F776F" w14:paraId="2A89A1D6" w14:textId="77777777" w:rsidTr="00DB6666">
        <w:trPr>
          <w:trHeight w:val="256"/>
        </w:trPr>
        <w:tc>
          <w:tcPr>
            <w:tcW w:w="1134" w:type="dxa"/>
            <w:tcBorders>
              <w:top w:val="nil"/>
              <w:left w:val="nil"/>
              <w:bottom w:val="nil"/>
              <w:right w:val="nil"/>
            </w:tcBorders>
            <w:shd w:val="clear" w:color="auto" w:fill="auto"/>
            <w:vAlign w:val="center"/>
            <w:hideMark/>
          </w:tcPr>
          <w:p w14:paraId="186490C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1134" w:type="dxa"/>
            <w:tcBorders>
              <w:top w:val="nil"/>
              <w:left w:val="nil"/>
              <w:bottom w:val="nil"/>
              <w:right w:val="nil"/>
            </w:tcBorders>
            <w:shd w:val="clear" w:color="auto" w:fill="auto"/>
            <w:vAlign w:val="center"/>
            <w:hideMark/>
          </w:tcPr>
          <w:p w14:paraId="65133CB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3969" w:type="dxa"/>
            <w:tcBorders>
              <w:top w:val="nil"/>
              <w:left w:val="nil"/>
              <w:bottom w:val="nil"/>
              <w:right w:val="nil"/>
            </w:tcBorders>
            <w:shd w:val="clear" w:color="auto" w:fill="auto"/>
            <w:vAlign w:val="center"/>
            <w:hideMark/>
          </w:tcPr>
          <w:p w14:paraId="2E0D468C"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Irlanda</w:t>
            </w:r>
          </w:p>
        </w:tc>
        <w:tc>
          <w:tcPr>
            <w:tcW w:w="1001" w:type="dxa"/>
            <w:tcBorders>
              <w:top w:val="nil"/>
              <w:left w:val="nil"/>
              <w:bottom w:val="nil"/>
              <w:right w:val="nil"/>
            </w:tcBorders>
            <w:shd w:val="clear" w:color="auto" w:fill="auto"/>
            <w:vAlign w:val="center"/>
            <w:hideMark/>
          </w:tcPr>
          <w:p w14:paraId="4E582B5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1,00</w:t>
            </w:r>
          </w:p>
        </w:tc>
        <w:tc>
          <w:tcPr>
            <w:tcW w:w="1267" w:type="dxa"/>
            <w:tcBorders>
              <w:top w:val="nil"/>
              <w:left w:val="nil"/>
              <w:bottom w:val="nil"/>
              <w:right w:val="nil"/>
            </w:tcBorders>
            <w:shd w:val="clear" w:color="auto" w:fill="auto"/>
            <w:vAlign w:val="center"/>
            <w:hideMark/>
          </w:tcPr>
          <w:p w14:paraId="2782C70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1134" w:type="dxa"/>
            <w:tcBorders>
              <w:top w:val="nil"/>
              <w:left w:val="nil"/>
              <w:bottom w:val="nil"/>
              <w:right w:val="nil"/>
            </w:tcBorders>
            <w:shd w:val="clear" w:color="auto" w:fill="auto"/>
            <w:vAlign w:val="center"/>
            <w:hideMark/>
          </w:tcPr>
          <w:p w14:paraId="5F1B048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r>
      <w:tr w:rsidR="008F776F" w:rsidRPr="008F776F" w14:paraId="1C1BC414" w14:textId="77777777" w:rsidTr="00DB6666">
        <w:trPr>
          <w:trHeight w:val="256"/>
        </w:trPr>
        <w:tc>
          <w:tcPr>
            <w:tcW w:w="1134" w:type="dxa"/>
            <w:tcBorders>
              <w:top w:val="nil"/>
              <w:left w:val="nil"/>
              <w:bottom w:val="nil"/>
              <w:right w:val="nil"/>
            </w:tcBorders>
            <w:shd w:val="clear" w:color="auto" w:fill="auto"/>
            <w:vAlign w:val="center"/>
            <w:hideMark/>
          </w:tcPr>
          <w:p w14:paraId="7D124CB4"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42159DE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5257CBAF"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Islandia</w:t>
            </w:r>
          </w:p>
        </w:tc>
        <w:tc>
          <w:tcPr>
            <w:tcW w:w="1001" w:type="dxa"/>
            <w:tcBorders>
              <w:top w:val="nil"/>
              <w:left w:val="nil"/>
              <w:bottom w:val="nil"/>
              <w:right w:val="nil"/>
            </w:tcBorders>
            <w:shd w:val="clear" w:color="auto" w:fill="auto"/>
            <w:vAlign w:val="center"/>
            <w:hideMark/>
          </w:tcPr>
          <w:p w14:paraId="0D2DE2D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346381D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68799A2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07AA11E7" w14:textId="77777777" w:rsidTr="00DB6666">
        <w:trPr>
          <w:trHeight w:val="256"/>
        </w:trPr>
        <w:tc>
          <w:tcPr>
            <w:tcW w:w="1134" w:type="dxa"/>
            <w:tcBorders>
              <w:top w:val="nil"/>
              <w:left w:val="nil"/>
              <w:bottom w:val="nil"/>
              <w:right w:val="nil"/>
            </w:tcBorders>
            <w:shd w:val="clear" w:color="auto" w:fill="auto"/>
            <w:vAlign w:val="center"/>
            <w:hideMark/>
          </w:tcPr>
          <w:p w14:paraId="703DFB0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14D4D5A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3969" w:type="dxa"/>
            <w:tcBorders>
              <w:top w:val="nil"/>
              <w:left w:val="nil"/>
              <w:bottom w:val="nil"/>
              <w:right w:val="nil"/>
            </w:tcBorders>
            <w:shd w:val="clear" w:color="auto" w:fill="auto"/>
            <w:vAlign w:val="center"/>
            <w:hideMark/>
          </w:tcPr>
          <w:p w14:paraId="44151680"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Israel</w:t>
            </w:r>
          </w:p>
        </w:tc>
        <w:tc>
          <w:tcPr>
            <w:tcW w:w="1001" w:type="dxa"/>
            <w:tcBorders>
              <w:top w:val="nil"/>
              <w:left w:val="nil"/>
              <w:bottom w:val="nil"/>
              <w:right w:val="nil"/>
            </w:tcBorders>
            <w:shd w:val="clear" w:color="auto" w:fill="auto"/>
            <w:vAlign w:val="center"/>
            <w:hideMark/>
          </w:tcPr>
          <w:p w14:paraId="780CF42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0,50</w:t>
            </w:r>
          </w:p>
        </w:tc>
        <w:tc>
          <w:tcPr>
            <w:tcW w:w="1267" w:type="dxa"/>
            <w:tcBorders>
              <w:top w:val="nil"/>
              <w:left w:val="nil"/>
              <w:bottom w:val="nil"/>
              <w:right w:val="nil"/>
            </w:tcBorders>
            <w:shd w:val="clear" w:color="auto" w:fill="auto"/>
            <w:vAlign w:val="center"/>
            <w:hideMark/>
          </w:tcPr>
          <w:p w14:paraId="23FE88B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76CF3ED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r>
      <w:tr w:rsidR="008F776F" w:rsidRPr="008F776F" w14:paraId="44706322" w14:textId="77777777" w:rsidTr="00DB6666">
        <w:trPr>
          <w:trHeight w:val="256"/>
        </w:trPr>
        <w:tc>
          <w:tcPr>
            <w:tcW w:w="1134" w:type="dxa"/>
            <w:tcBorders>
              <w:top w:val="nil"/>
              <w:left w:val="nil"/>
              <w:bottom w:val="nil"/>
              <w:right w:val="nil"/>
            </w:tcBorders>
            <w:shd w:val="clear" w:color="auto" w:fill="auto"/>
            <w:vAlign w:val="center"/>
            <w:hideMark/>
          </w:tcPr>
          <w:p w14:paraId="227D781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c>
          <w:tcPr>
            <w:tcW w:w="1134" w:type="dxa"/>
            <w:tcBorders>
              <w:top w:val="nil"/>
              <w:left w:val="nil"/>
              <w:bottom w:val="nil"/>
              <w:right w:val="nil"/>
            </w:tcBorders>
            <w:shd w:val="clear" w:color="auto" w:fill="auto"/>
            <w:vAlign w:val="center"/>
            <w:hideMark/>
          </w:tcPr>
          <w:p w14:paraId="4275453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c>
          <w:tcPr>
            <w:tcW w:w="3969" w:type="dxa"/>
            <w:tcBorders>
              <w:top w:val="nil"/>
              <w:left w:val="nil"/>
              <w:bottom w:val="nil"/>
              <w:right w:val="nil"/>
            </w:tcBorders>
            <w:shd w:val="clear" w:color="auto" w:fill="auto"/>
            <w:vAlign w:val="center"/>
            <w:hideMark/>
          </w:tcPr>
          <w:p w14:paraId="27ED9C5C"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Italia</w:t>
            </w:r>
          </w:p>
        </w:tc>
        <w:tc>
          <w:tcPr>
            <w:tcW w:w="1001" w:type="dxa"/>
            <w:tcBorders>
              <w:top w:val="nil"/>
              <w:left w:val="nil"/>
              <w:bottom w:val="nil"/>
              <w:right w:val="nil"/>
            </w:tcBorders>
            <w:shd w:val="clear" w:color="auto" w:fill="auto"/>
            <w:vAlign w:val="center"/>
            <w:hideMark/>
          </w:tcPr>
          <w:p w14:paraId="61944A8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2,00</w:t>
            </w:r>
          </w:p>
        </w:tc>
        <w:tc>
          <w:tcPr>
            <w:tcW w:w="1267" w:type="dxa"/>
            <w:tcBorders>
              <w:top w:val="nil"/>
              <w:left w:val="nil"/>
              <w:bottom w:val="nil"/>
              <w:right w:val="nil"/>
            </w:tcBorders>
            <w:shd w:val="clear" w:color="auto" w:fill="auto"/>
            <w:vAlign w:val="center"/>
            <w:hideMark/>
          </w:tcPr>
          <w:p w14:paraId="10FC772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c>
          <w:tcPr>
            <w:tcW w:w="1134" w:type="dxa"/>
            <w:tcBorders>
              <w:top w:val="nil"/>
              <w:left w:val="nil"/>
              <w:bottom w:val="nil"/>
              <w:right w:val="nil"/>
            </w:tcBorders>
            <w:shd w:val="clear" w:color="auto" w:fill="auto"/>
            <w:vAlign w:val="center"/>
            <w:hideMark/>
          </w:tcPr>
          <w:p w14:paraId="4074305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r>
      <w:tr w:rsidR="008F776F" w:rsidRPr="008F776F" w14:paraId="671FFFD2" w14:textId="77777777" w:rsidTr="00DB6666">
        <w:trPr>
          <w:trHeight w:val="256"/>
        </w:trPr>
        <w:tc>
          <w:tcPr>
            <w:tcW w:w="1134" w:type="dxa"/>
            <w:tcBorders>
              <w:top w:val="nil"/>
              <w:left w:val="nil"/>
              <w:bottom w:val="nil"/>
              <w:right w:val="nil"/>
            </w:tcBorders>
            <w:shd w:val="clear" w:color="auto" w:fill="auto"/>
            <w:vAlign w:val="center"/>
            <w:hideMark/>
          </w:tcPr>
          <w:p w14:paraId="2697F92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c>
          <w:tcPr>
            <w:tcW w:w="1134" w:type="dxa"/>
            <w:tcBorders>
              <w:top w:val="nil"/>
              <w:left w:val="nil"/>
              <w:bottom w:val="nil"/>
              <w:right w:val="nil"/>
            </w:tcBorders>
            <w:shd w:val="clear" w:color="auto" w:fill="auto"/>
            <w:vAlign w:val="center"/>
            <w:hideMark/>
          </w:tcPr>
          <w:p w14:paraId="2F3E12E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c>
          <w:tcPr>
            <w:tcW w:w="3969" w:type="dxa"/>
            <w:tcBorders>
              <w:top w:val="nil"/>
              <w:left w:val="nil"/>
              <w:bottom w:val="nil"/>
              <w:right w:val="nil"/>
            </w:tcBorders>
            <w:shd w:val="clear" w:color="auto" w:fill="auto"/>
            <w:vAlign w:val="center"/>
            <w:hideMark/>
          </w:tcPr>
          <w:p w14:paraId="7B68EC0E"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Japón</w:t>
            </w:r>
          </w:p>
        </w:tc>
        <w:tc>
          <w:tcPr>
            <w:tcW w:w="1001" w:type="dxa"/>
            <w:tcBorders>
              <w:top w:val="nil"/>
              <w:left w:val="nil"/>
              <w:bottom w:val="nil"/>
              <w:right w:val="nil"/>
            </w:tcBorders>
            <w:shd w:val="clear" w:color="auto" w:fill="auto"/>
            <w:vAlign w:val="center"/>
            <w:hideMark/>
          </w:tcPr>
          <w:p w14:paraId="0334CCC0"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5,00</w:t>
            </w:r>
          </w:p>
        </w:tc>
        <w:tc>
          <w:tcPr>
            <w:tcW w:w="1267" w:type="dxa"/>
            <w:tcBorders>
              <w:top w:val="nil"/>
              <w:left w:val="nil"/>
              <w:bottom w:val="nil"/>
              <w:right w:val="nil"/>
            </w:tcBorders>
            <w:shd w:val="clear" w:color="auto" w:fill="auto"/>
            <w:vAlign w:val="center"/>
            <w:hideMark/>
          </w:tcPr>
          <w:p w14:paraId="1B9F9860"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c>
          <w:tcPr>
            <w:tcW w:w="1134" w:type="dxa"/>
            <w:tcBorders>
              <w:top w:val="nil"/>
              <w:left w:val="nil"/>
              <w:bottom w:val="nil"/>
              <w:right w:val="nil"/>
            </w:tcBorders>
            <w:shd w:val="clear" w:color="auto" w:fill="auto"/>
            <w:vAlign w:val="center"/>
            <w:hideMark/>
          </w:tcPr>
          <w:p w14:paraId="54A55E50"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r>
      <w:tr w:rsidR="008F776F" w:rsidRPr="008F776F" w14:paraId="13D09D4E" w14:textId="77777777" w:rsidTr="00DB6666">
        <w:trPr>
          <w:trHeight w:val="256"/>
        </w:trPr>
        <w:tc>
          <w:tcPr>
            <w:tcW w:w="1134" w:type="dxa"/>
            <w:tcBorders>
              <w:top w:val="nil"/>
              <w:left w:val="nil"/>
              <w:bottom w:val="nil"/>
              <w:right w:val="nil"/>
            </w:tcBorders>
            <w:shd w:val="clear" w:color="auto" w:fill="auto"/>
            <w:vAlign w:val="center"/>
            <w:hideMark/>
          </w:tcPr>
          <w:p w14:paraId="51A6168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6BBBCAF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1E66DC06"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Jordania</w:t>
            </w:r>
          </w:p>
        </w:tc>
        <w:tc>
          <w:tcPr>
            <w:tcW w:w="1001" w:type="dxa"/>
            <w:tcBorders>
              <w:top w:val="nil"/>
              <w:left w:val="nil"/>
              <w:bottom w:val="nil"/>
              <w:right w:val="nil"/>
            </w:tcBorders>
            <w:shd w:val="clear" w:color="auto" w:fill="auto"/>
            <w:vAlign w:val="center"/>
            <w:hideMark/>
          </w:tcPr>
          <w:p w14:paraId="6B1387C0"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674BCC14"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61E11AD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3D9B1C83" w14:textId="77777777" w:rsidTr="00DB6666">
        <w:trPr>
          <w:trHeight w:val="256"/>
        </w:trPr>
        <w:tc>
          <w:tcPr>
            <w:tcW w:w="1134" w:type="dxa"/>
            <w:tcBorders>
              <w:top w:val="nil"/>
              <w:left w:val="nil"/>
              <w:bottom w:val="nil"/>
              <w:right w:val="nil"/>
            </w:tcBorders>
            <w:shd w:val="clear" w:color="auto" w:fill="auto"/>
            <w:vAlign w:val="center"/>
            <w:hideMark/>
          </w:tcPr>
          <w:p w14:paraId="452F66F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468E035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512248B7" w14:textId="77777777" w:rsidR="008F776F" w:rsidRPr="008F776F" w:rsidRDefault="008F776F" w:rsidP="00DB6666">
            <w:pPr>
              <w:jc w:val="left"/>
              <w:rPr>
                <w:rFonts w:ascii="Arial Narrow" w:hAnsi="Arial Narrow" w:cs="Arial"/>
                <w:color w:val="000000"/>
                <w:sz w:val="18"/>
                <w:szCs w:val="18"/>
                <w:highlight w:val="cyan"/>
                <w:lang w:val="es-ES_tradnl"/>
              </w:rPr>
            </w:pPr>
            <w:proofErr w:type="spellStart"/>
            <w:r w:rsidRPr="008F776F">
              <w:rPr>
                <w:rFonts w:ascii="Arial Narrow" w:hAnsi="Arial Narrow"/>
                <w:color w:val="000000"/>
                <w:sz w:val="18"/>
                <w:lang w:val="es-ES_tradnl"/>
              </w:rPr>
              <w:t>Kenya</w:t>
            </w:r>
            <w:proofErr w:type="spellEnd"/>
          </w:p>
        </w:tc>
        <w:tc>
          <w:tcPr>
            <w:tcW w:w="1001" w:type="dxa"/>
            <w:tcBorders>
              <w:top w:val="nil"/>
              <w:left w:val="nil"/>
              <w:bottom w:val="nil"/>
              <w:right w:val="nil"/>
            </w:tcBorders>
            <w:shd w:val="clear" w:color="auto" w:fill="auto"/>
            <w:vAlign w:val="center"/>
            <w:hideMark/>
          </w:tcPr>
          <w:p w14:paraId="2B4C6BD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2DD235B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74640ED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329AE3F0" w14:textId="77777777" w:rsidTr="00DB6666">
        <w:trPr>
          <w:trHeight w:val="256"/>
        </w:trPr>
        <w:tc>
          <w:tcPr>
            <w:tcW w:w="1134" w:type="dxa"/>
            <w:tcBorders>
              <w:top w:val="nil"/>
              <w:left w:val="nil"/>
              <w:bottom w:val="nil"/>
              <w:right w:val="nil"/>
            </w:tcBorders>
            <w:shd w:val="clear" w:color="auto" w:fill="auto"/>
            <w:vAlign w:val="center"/>
            <w:hideMark/>
          </w:tcPr>
          <w:p w14:paraId="02A19A8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0CB28EE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3920130D"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Kirguistán</w:t>
            </w:r>
          </w:p>
        </w:tc>
        <w:tc>
          <w:tcPr>
            <w:tcW w:w="1001" w:type="dxa"/>
            <w:tcBorders>
              <w:top w:val="nil"/>
              <w:left w:val="nil"/>
              <w:bottom w:val="nil"/>
              <w:right w:val="nil"/>
            </w:tcBorders>
            <w:shd w:val="clear" w:color="auto" w:fill="auto"/>
            <w:vAlign w:val="center"/>
            <w:hideMark/>
          </w:tcPr>
          <w:p w14:paraId="1E87A4D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54CCAA5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4AAEE52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2363266A" w14:textId="77777777" w:rsidTr="00DB6666">
        <w:trPr>
          <w:trHeight w:val="256"/>
        </w:trPr>
        <w:tc>
          <w:tcPr>
            <w:tcW w:w="1134" w:type="dxa"/>
            <w:tcBorders>
              <w:top w:val="nil"/>
              <w:left w:val="nil"/>
              <w:bottom w:val="nil"/>
              <w:right w:val="nil"/>
            </w:tcBorders>
            <w:shd w:val="clear" w:color="auto" w:fill="auto"/>
            <w:vAlign w:val="center"/>
            <w:hideMark/>
          </w:tcPr>
          <w:p w14:paraId="7B2739F0"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2AE69E8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6C5C8213"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Letonia</w:t>
            </w:r>
          </w:p>
        </w:tc>
        <w:tc>
          <w:tcPr>
            <w:tcW w:w="1001" w:type="dxa"/>
            <w:tcBorders>
              <w:top w:val="nil"/>
              <w:left w:val="nil"/>
              <w:bottom w:val="nil"/>
              <w:right w:val="nil"/>
            </w:tcBorders>
            <w:shd w:val="clear" w:color="auto" w:fill="auto"/>
            <w:vAlign w:val="center"/>
            <w:hideMark/>
          </w:tcPr>
          <w:p w14:paraId="33F6F55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242F97F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50E6053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563B536C" w14:textId="77777777" w:rsidTr="00DB6666">
        <w:trPr>
          <w:trHeight w:val="256"/>
        </w:trPr>
        <w:tc>
          <w:tcPr>
            <w:tcW w:w="1134" w:type="dxa"/>
            <w:tcBorders>
              <w:top w:val="nil"/>
              <w:left w:val="nil"/>
              <w:bottom w:val="nil"/>
              <w:right w:val="nil"/>
            </w:tcBorders>
            <w:shd w:val="clear" w:color="auto" w:fill="auto"/>
            <w:vAlign w:val="center"/>
            <w:hideMark/>
          </w:tcPr>
          <w:p w14:paraId="2DC567A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092665E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211F5E61"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Lituania</w:t>
            </w:r>
          </w:p>
        </w:tc>
        <w:tc>
          <w:tcPr>
            <w:tcW w:w="1001" w:type="dxa"/>
            <w:tcBorders>
              <w:top w:val="nil"/>
              <w:left w:val="nil"/>
              <w:bottom w:val="nil"/>
              <w:right w:val="nil"/>
            </w:tcBorders>
            <w:shd w:val="clear" w:color="auto" w:fill="auto"/>
            <w:vAlign w:val="center"/>
            <w:hideMark/>
          </w:tcPr>
          <w:p w14:paraId="4B74697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4BFE8C8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7F6163B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74F247C1" w14:textId="77777777" w:rsidTr="00DB6666">
        <w:trPr>
          <w:trHeight w:val="256"/>
        </w:trPr>
        <w:tc>
          <w:tcPr>
            <w:tcW w:w="1134" w:type="dxa"/>
            <w:tcBorders>
              <w:top w:val="nil"/>
              <w:left w:val="nil"/>
              <w:bottom w:val="nil"/>
              <w:right w:val="nil"/>
            </w:tcBorders>
            <w:shd w:val="clear" w:color="auto" w:fill="auto"/>
            <w:vAlign w:val="center"/>
            <w:hideMark/>
          </w:tcPr>
          <w:p w14:paraId="3CFC3E7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33F501B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5950BDCC"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Macedonia del Norte</w:t>
            </w:r>
          </w:p>
        </w:tc>
        <w:tc>
          <w:tcPr>
            <w:tcW w:w="1001" w:type="dxa"/>
            <w:tcBorders>
              <w:top w:val="nil"/>
              <w:left w:val="nil"/>
              <w:bottom w:val="nil"/>
              <w:right w:val="nil"/>
            </w:tcBorders>
            <w:shd w:val="clear" w:color="auto" w:fill="auto"/>
            <w:vAlign w:val="center"/>
            <w:hideMark/>
          </w:tcPr>
          <w:p w14:paraId="098E2AE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2E10BA0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52BE98A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171FD433" w14:textId="77777777" w:rsidTr="00DB6666">
        <w:trPr>
          <w:trHeight w:val="256"/>
        </w:trPr>
        <w:tc>
          <w:tcPr>
            <w:tcW w:w="1134" w:type="dxa"/>
            <w:tcBorders>
              <w:top w:val="nil"/>
              <w:left w:val="nil"/>
              <w:bottom w:val="nil"/>
              <w:right w:val="nil"/>
            </w:tcBorders>
            <w:shd w:val="clear" w:color="auto" w:fill="auto"/>
            <w:vAlign w:val="center"/>
            <w:hideMark/>
          </w:tcPr>
          <w:p w14:paraId="0DB7AD34"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5A7C618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70B7713B"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Marruecos</w:t>
            </w:r>
          </w:p>
        </w:tc>
        <w:tc>
          <w:tcPr>
            <w:tcW w:w="1001" w:type="dxa"/>
            <w:tcBorders>
              <w:top w:val="nil"/>
              <w:left w:val="nil"/>
              <w:bottom w:val="nil"/>
              <w:right w:val="nil"/>
            </w:tcBorders>
            <w:shd w:val="clear" w:color="auto" w:fill="auto"/>
            <w:vAlign w:val="center"/>
            <w:hideMark/>
          </w:tcPr>
          <w:p w14:paraId="487FCCC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69E0FC1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7733BE7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3211A73E" w14:textId="77777777" w:rsidTr="00DB6666">
        <w:trPr>
          <w:trHeight w:val="256"/>
        </w:trPr>
        <w:tc>
          <w:tcPr>
            <w:tcW w:w="1134" w:type="dxa"/>
            <w:tcBorders>
              <w:top w:val="nil"/>
              <w:left w:val="nil"/>
              <w:bottom w:val="nil"/>
              <w:right w:val="nil"/>
            </w:tcBorders>
            <w:shd w:val="clear" w:color="auto" w:fill="auto"/>
            <w:vAlign w:val="center"/>
            <w:hideMark/>
          </w:tcPr>
          <w:p w14:paraId="3B1C55B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40,231</w:t>
            </w:r>
          </w:p>
        </w:tc>
        <w:tc>
          <w:tcPr>
            <w:tcW w:w="1134" w:type="dxa"/>
            <w:tcBorders>
              <w:top w:val="nil"/>
              <w:left w:val="nil"/>
              <w:bottom w:val="nil"/>
              <w:right w:val="nil"/>
            </w:tcBorders>
            <w:shd w:val="clear" w:color="auto" w:fill="auto"/>
            <w:vAlign w:val="center"/>
            <w:hideMark/>
          </w:tcPr>
          <w:p w14:paraId="4910EEE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40,231</w:t>
            </w:r>
          </w:p>
        </w:tc>
        <w:tc>
          <w:tcPr>
            <w:tcW w:w="3969" w:type="dxa"/>
            <w:tcBorders>
              <w:top w:val="nil"/>
              <w:left w:val="nil"/>
              <w:bottom w:val="nil"/>
              <w:right w:val="nil"/>
            </w:tcBorders>
            <w:shd w:val="clear" w:color="auto" w:fill="auto"/>
            <w:vAlign w:val="center"/>
            <w:hideMark/>
          </w:tcPr>
          <w:p w14:paraId="29A9C7D8"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México</w:t>
            </w:r>
          </w:p>
        </w:tc>
        <w:tc>
          <w:tcPr>
            <w:tcW w:w="1001" w:type="dxa"/>
            <w:tcBorders>
              <w:top w:val="nil"/>
              <w:left w:val="nil"/>
              <w:bottom w:val="nil"/>
              <w:right w:val="nil"/>
            </w:tcBorders>
            <w:shd w:val="clear" w:color="auto" w:fill="auto"/>
            <w:vAlign w:val="center"/>
            <w:hideMark/>
          </w:tcPr>
          <w:p w14:paraId="71647E9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0,75</w:t>
            </w:r>
          </w:p>
        </w:tc>
        <w:tc>
          <w:tcPr>
            <w:tcW w:w="1267" w:type="dxa"/>
            <w:tcBorders>
              <w:top w:val="nil"/>
              <w:left w:val="nil"/>
              <w:bottom w:val="nil"/>
              <w:right w:val="nil"/>
            </w:tcBorders>
            <w:shd w:val="clear" w:color="auto" w:fill="auto"/>
            <w:vAlign w:val="center"/>
            <w:hideMark/>
          </w:tcPr>
          <w:p w14:paraId="3759278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40,231</w:t>
            </w:r>
          </w:p>
        </w:tc>
        <w:tc>
          <w:tcPr>
            <w:tcW w:w="1134" w:type="dxa"/>
            <w:tcBorders>
              <w:top w:val="nil"/>
              <w:left w:val="nil"/>
              <w:bottom w:val="nil"/>
              <w:right w:val="nil"/>
            </w:tcBorders>
            <w:shd w:val="clear" w:color="auto" w:fill="auto"/>
            <w:vAlign w:val="center"/>
            <w:hideMark/>
          </w:tcPr>
          <w:p w14:paraId="724DE9D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40,231</w:t>
            </w:r>
          </w:p>
        </w:tc>
      </w:tr>
      <w:tr w:rsidR="008F776F" w:rsidRPr="008F776F" w14:paraId="204CA1F6" w14:textId="77777777" w:rsidTr="00DB6666">
        <w:trPr>
          <w:trHeight w:val="256"/>
        </w:trPr>
        <w:tc>
          <w:tcPr>
            <w:tcW w:w="1134" w:type="dxa"/>
            <w:tcBorders>
              <w:top w:val="nil"/>
              <w:left w:val="nil"/>
              <w:bottom w:val="nil"/>
              <w:right w:val="nil"/>
            </w:tcBorders>
            <w:shd w:val="clear" w:color="auto" w:fill="auto"/>
            <w:vAlign w:val="center"/>
            <w:hideMark/>
          </w:tcPr>
          <w:p w14:paraId="6A49B4F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28B121F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2E716C62"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Montenegro</w:t>
            </w:r>
          </w:p>
        </w:tc>
        <w:tc>
          <w:tcPr>
            <w:tcW w:w="1001" w:type="dxa"/>
            <w:tcBorders>
              <w:top w:val="nil"/>
              <w:left w:val="nil"/>
              <w:bottom w:val="nil"/>
              <w:right w:val="nil"/>
            </w:tcBorders>
            <w:shd w:val="clear" w:color="auto" w:fill="auto"/>
            <w:vAlign w:val="center"/>
            <w:hideMark/>
          </w:tcPr>
          <w:p w14:paraId="5057A90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4DFCE2B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79933B0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15358404" w14:textId="77777777" w:rsidTr="00DB6666">
        <w:trPr>
          <w:trHeight w:val="256"/>
        </w:trPr>
        <w:tc>
          <w:tcPr>
            <w:tcW w:w="1134" w:type="dxa"/>
            <w:tcBorders>
              <w:top w:val="nil"/>
              <w:left w:val="nil"/>
              <w:bottom w:val="nil"/>
              <w:right w:val="nil"/>
            </w:tcBorders>
            <w:shd w:val="clear" w:color="auto" w:fill="auto"/>
            <w:vAlign w:val="center"/>
            <w:hideMark/>
          </w:tcPr>
          <w:p w14:paraId="36EE1E2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68088CF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2B140FA2"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Nicaragua</w:t>
            </w:r>
          </w:p>
        </w:tc>
        <w:tc>
          <w:tcPr>
            <w:tcW w:w="1001" w:type="dxa"/>
            <w:tcBorders>
              <w:top w:val="nil"/>
              <w:left w:val="nil"/>
              <w:bottom w:val="nil"/>
              <w:right w:val="nil"/>
            </w:tcBorders>
            <w:shd w:val="clear" w:color="auto" w:fill="auto"/>
            <w:vAlign w:val="center"/>
            <w:hideMark/>
          </w:tcPr>
          <w:p w14:paraId="3BA88D0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4C36EA7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71CE5F9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6B4BB00A" w14:textId="77777777" w:rsidTr="00DB6666">
        <w:trPr>
          <w:trHeight w:val="256"/>
        </w:trPr>
        <w:tc>
          <w:tcPr>
            <w:tcW w:w="1134" w:type="dxa"/>
            <w:tcBorders>
              <w:top w:val="nil"/>
              <w:left w:val="nil"/>
              <w:bottom w:val="nil"/>
              <w:right w:val="nil"/>
            </w:tcBorders>
            <w:shd w:val="clear" w:color="auto" w:fill="auto"/>
            <w:vAlign w:val="center"/>
            <w:hideMark/>
          </w:tcPr>
          <w:p w14:paraId="41163970"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lastRenderedPageBreak/>
              <w:t>53.641</w:t>
            </w:r>
          </w:p>
        </w:tc>
        <w:tc>
          <w:tcPr>
            <w:tcW w:w="1134" w:type="dxa"/>
            <w:tcBorders>
              <w:top w:val="nil"/>
              <w:left w:val="nil"/>
              <w:bottom w:val="nil"/>
              <w:right w:val="nil"/>
            </w:tcBorders>
            <w:shd w:val="clear" w:color="auto" w:fill="auto"/>
            <w:vAlign w:val="center"/>
            <w:hideMark/>
          </w:tcPr>
          <w:p w14:paraId="0CA6491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3969" w:type="dxa"/>
            <w:tcBorders>
              <w:top w:val="nil"/>
              <w:left w:val="nil"/>
              <w:bottom w:val="nil"/>
              <w:right w:val="nil"/>
            </w:tcBorders>
            <w:shd w:val="clear" w:color="auto" w:fill="auto"/>
            <w:vAlign w:val="center"/>
            <w:hideMark/>
          </w:tcPr>
          <w:p w14:paraId="624DE0AC"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Noruega</w:t>
            </w:r>
          </w:p>
        </w:tc>
        <w:tc>
          <w:tcPr>
            <w:tcW w:w="1001" w:type="dxa"/>
            <w:tcBorders>
              <w:top w:val="nil"/>
              <w:left w:val="nil"/>
              <w:bottom w:val="nil"/>
              <w:right w:val="nil"/>
            </w:tcBorders>
            <w:shd w:val="clear" w:color="auto" w:fill="auto"/>
            <w:vAlign w:val="center"/>
            <w:hideMark/>
          </w:tcPr>
          <w:p w14:paraId="60B11BF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1,00</w:t>
            </w:r>
          </w:p>
        </w:tc>
        <w:tc>
          <w:tcPr>
            <w:tcW w:w="1267" w:type="dxa"/>
            <w:tcBorders>
              <w:top w:val="nil"/>
              <w:left w:val="nil"/>
              <w:bottom w:val="nil"/>
              <w:right w:val="nil"/>
            </w:tcBorders>
            <w:shd w:val="clear" w:color="auto" w:fill="auto"/>
            <w:vAlign w:val="center"/>
            <w:hideMark/>
          </w:tcPr>
          <w:p w14:paraId="058AF21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1134" w:type="dxa"/>
            <w:tcBorders>
              <w:top w:val="nil"/>
              <w:left w:val="nil"/>
              <w:bottom w:val="nil"/>
              <w:right w:val="nil"/>
            </w:tcBorders>
            <w:shd w:val="clear" w:color="auto" w:fill="auto"/>
            <w:vAlign w:val="center"/>
            <w:hideMark/>
          </w:tcPr>
          <w:p w14:paraId="3E76B6B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r>
      <w:tr w:rsidR="008F776F" w:rsidRPr="008F776F" w14:paraId="0FD68126" w14:textId="77777777" w:rsidTr="00DB6666">
        <w:trPr>
          <w:trHeight w:val="256"/>
        </w:trPr>
        <w:tc>
          <w:tcPr>
            <w:tcW w:w="1134" w:type="dxa"/>
            <w:tcBorders>
              <w:top w:val="nil"/>
              <w:left w:val="nil"/>
              <w:bottom w:val="nil"/>
              <w:right w:val="nil"/>
            </w:tcBorders>
            <w:shd w:val="clear" w:color="auto" w:fill="auto"/>
            <w:vAlign w:val="center"/>
            <w:hideMark/>
          </w:tcPr>
          <w:p w14:paraId="51AD669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1134" w:type="dxa"/>
            <w:tcBorders>
              <w:top w:val="nil"/>
              <w:left w:val="nil"/>
              <w:bottom w:val="nil"/>
              <w:right w:val="nil"/>
            </w:tcBorders>
            <w:shd w:val="clear" w:color="auto" w:fill="auto"/>
            <w:vAlign w:val="center"/>
            <w:hideMark/>
          </w:tcPr>
          <w:p w14:paraId="0446A65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3969" w:type="dxa"/>
            <w:tcBorders>
              <w:top w:val="nil"/>
              <w:left w:val="nil"/>
              <w:bottom w:val="nil"/>
              <w:right w:val="nil"/>
            </w:tcBorders>
            <w:shd w:val="clear" w:color="auto" w:fill="auto"/>
            <w:vAlign w:val="center"/>
            <w:hideMark/>
          </w:tcPr>
          <w:p w14:paraId="25677959"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Nueva Zelandia</w:t>
            </w:r>
          </w:p>
        </w:tc>
        <w:tc>
          <w:tcPr>
            <w:tcW w:w="1001" w:type="dxa"/>
            <w:tcBorders>
              <w:top w:val="nil"/>
              <w:left w:val="nil"/>
              <w:bottom w:val="nil"/>
              <w:right w:val="nil"/>
            </w:tcBorders>
            <w:shd w:val="clear" w:color="auto" w:fill="auto"/>
            <w:vAlign w:val="center"/>
            <w:hideMark/>
          </w:tcPr>
          <w:p w14:paraId="0DA711D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1,00</w:t>
            </w:r>
          </w:p>
        </w:tc>
        <w:tc>
          <w:tcPr>
            <w:tcW w:w="1267" w:type="dxa"/>
            <w:tcBorders>
              <w:top w:val="nil"/>
              <w:left w:val="nil"/>
              <w:bottom w:val="nil"/>
              <w:right w:val="nil"/>
            </w:tcBorders>
            <w:shd w:val="clear" w:color="auto" w:fill="auto"/>
            <w:vAlign w:val="center"/>
            <w:hideMark/>
          </w:tcPr>
          <w:p w14:paraId="5D643C0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1134" w:type="dxa"/>
            <w:tcBorders>
              <w:top w:val="nil"/>
              <w:left w:val="nil"/>
              <w:bottom w:val="nil"/>
              <w:right w:val="nil"/>
            </w:tcBorders>
            <w:shd w:val="clear" w:color="auto" w:fill="auto"/>
            <w:vAlign w:val="center"/>
            <w:hideMark/>
          </w:tcPr>
          <w:p w14:paraId="695F80A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r>
      <w:tr w:rsidR="008F776F" w:rsidRPr="008F776F" w14:paraId="22DA9A4D" w14:textId="77777777" w:rsidTr="00DB6666">
        <w:trPr>
          <w:trHeight w:val="256"/>
        </w:trPr>
        <w:tc>
          <w:tcPr>
            <w:tcW w:w="1134" w:type="dxa"/>
            <w:tcBorders>
              <w:top w:val="nil"/>
              <w:left w:val="nil"/>
              <w:bottom w:val="nil"/>
              <w:right w:val="nil"/>
            </w:tcBorders>
            <w:shd w:val="clear" w:color="auto" w:fill="auto"/>
            <w:hideMark/>
          </w:tcPr>
          <w:p w14:paraId="33254E6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hideMark/>
          </w:tcPr>
          <w:p w14:paraId="393E40E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244BC1B2"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Organización Africana de la Propiedad Intelectual (OAPI)</w:t>
            </w:r>
          </w:p>
        </w:tc>
        <w:tc>
          <w:tcPr>
            <w:tcW w:w="1001" w:type="dxa"/>
            <w:tcBorders>
              <w:top w:val="nil"/>
              <w:left w:val="nil"/>
              <w:bottom w:val="nil"/>
              <w:right w:val="nil"/>
            </w:tcBorders>
            <w:shd w:val="clear" w:color="auto" w:fill="auto"/>
            <w:hideMark/>
          </w:tcPr>
          <w:p w14:paraId="095287D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hideMark/>
          </w:tcPr>
          <w:p w14:paraId="3E32AD4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hideMark/>
          </w:tcPr>
          <w:p w14:paraId="392D888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6B50827A" w14:textId="77777777" w:rsidTr="00DB6666">
        <w:trPr>
          <w:trHeight w:val="256"/>
        </w:trPr>
        <w:tc>
          <w:tcPr>
            <w:tcW w:w="1134" w:type="dxa"/>
            <w:tcBorders>
              <w:top w:val="nil"/>
              <w:left w:val="nil"/>
              <w:bottom w:val="nil"/>
              <w:right w:val="nil"/>
            </w:tcBorders>
            <w:shd w:val="clear" w:color="auto" w:fill="auto"/>
            <w:vAlign w:val="center"/>
            <w:hideMark/>
          </w:tcPr>
          <w:p w14:paraId="375E42D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1134" w:type="dxa"/>
            <w:tcBorders>
              <w:top w:val="nil"/>
              <w:left w:val="nil"/>
              <w:bottom w:val="nil"/>
              <w:right w:val="nil"/>
            </w:tcBorders>
            <w:shd w:val="clear" w:color="auto" w:fill="auto"/>
            <w:vAlign w:val="center"/>
            <w:hideMark/>
          </w:tcPr>
          <w:p w14:paraId="36379EF4"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3969" w:type="dxa"/>
            <w:tcBorders>
              <w:top w:val="nil"/>
              <w:left w:val="nil"/>
              <w:bottom w:val="nil"/>
              <w:right w:val="nil"/>
            </w:tcBorders>
            <w:shd w:val="clear" w:color="auto" w:fill="auto"/>
            <w:vAlign w:val="center"/>
            <w:hideMark/>
          </w:tcPr>
          <w:p w14:paraId="0ED9D6DA"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Omán</w:t>
            </w:r>
          </w:p>
        </w:tc>
        <w:tc>
          <w:tcPr>
            <w:tcW w:w="1001" w:type="dxa"/>
            <w:tcBorders>
              <w:top w:val="nil"/>
              <w:left w:val="nil"/>
              <w:bottom w:val="nil"/>
              <w:right w:val="nil"/>
            </w:tcBorders>
            <w:shd w:val="clear" w:color="auto" w:fill="auto"/>
            <w:vAlign w:val="center"/>
            <w:hideMark/>
          </w:tcPr>
          <w:p w14:paraId="5614255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1,00</w:t>
            </w:r>
          </w:p>
        </w:tc>
        <w:tc>
          <w:tcPr>
            <w:tcW w:w="1267" w:type="dxa"/>
            <w:tcBorders>
              <w:top w:val="nil"/>
              <w:left w:val="nil"/>
              <w:bottom w:val="nil"/>
              <w:right w:val="nil"/>
            </w:tcBorders>
            <w:shd w:val="clear" w:color="auto" w:fill="auto"/>
            <w:vAlign w:val="center"/>
            <w:hideMark/>
          </w:tcPr>
          <w:p w14:paraId="5DEA352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1134" w:type="dxa"/>
            <w:tcBorders>
              <w:top w:val="nil"/>
              <w:left w:val="nil"/>
              <w:bottom w:val="nil"/>
              <w:right w:val="nil"/>
            </w:tcBorders>
            <w:shd w:val="clear" w:color="auto" w:fill="auto"/>
            <w:vAlign w:val="center"/>
            <w:hideMark/>
          </w:tcPr>
          <w:p w14:paraId="7D06073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r>
      <w:tr w:rsidR="008F776F" w:rsidRPr="008F776F" w14:paraId="47E4E901" w14:textId="77777777" w:rsidTr="00DB6666">
        <w:trPr>
          <w:trHeight w:val="256"/>
        </w:trPr>
        <w:tc>
          <w:tcPr>
            <w:tcW w:w="1134" w:type="dxa"/>
            <w:tcBorders>
              <w:top w:val="nil"/>
              <w:left w:val="nil"/>
              <w:bottom w:val="nil"/>
              <w:right w:val="nil"/>
            </w:tcBorders>
            <w:shd w:val="clear" w:color="auto" w:fill="auto"/>
            <w:vAlign w:val="center"/>
            <w:hideMark/>
          </w:tcPr>
          <w:p w14:paraId="0AAA81E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160,923</w:t>
            </w:r>
          </w:p>
        </w:tc>
        <w:tc>
          <w:tcPr>
            <w:tcW w:w="1134" w:type="dxa"/>
            <w:tcBorders>
              <w:top w:val="nil"/>
              <w:left w:val="nil"/>
              <w:bottom w:val="nil"/>
              <w:right w:val="nil"/>
            </w:tcBorders>
            <w:shd w:val="clear" w:color="auto" w:fill="auto"/>
            <w:vAlign w:val="center"/>
            <w:hideMark/>
          </w:tcPr>
          <w:p w14:paraId="4A47217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160,923</w:t>
            </w:r>
          </w:p>
        </w:tc>
        <w:tc>
          <w:tcPr>
            <w:tcW w:w="3969" w:type="dxa"/>
            <w:tcBorders>
              <w:top w:val="nil"/>
              <w:left w:val="nil"/>
              <w:bottom w:val="nil"/>
              <w:right w:val="nil"/>
            </w:tcBorders>
            <w:shd w:val="clear" w:color="auto" w:fill="auto"/>
            <w:vAlign w:val="center"/>
            <w:hideMark/>
          </w:tcPr>
          <w:p w14:paraId="25DB86D5"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 xml:space="preserve">Países Bajos </w:t>
            </w:r>
          </w:p>
        </w:tc>
        <w:tc>
          <w:tcPr>
            <w:tcW w:w="1001" w:type="dxa"/>
            <w:tcBorders>
              <w:top w:val="nil"/>
              <w:left w:val="nil"/>
              <w:bottom w:val="nil"/>
              <w:right w:val="nil"/>
            </w:tcBorders>
            <w:shd w:val="clear" w:color="auto" w:fill="auto"/>
            <w:vAlign w:val="center"/>
            <w:hideMark/>
          </w:tcPr>
          <w:p w14:paraId="71D0607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3,00</w:t>
            </w:r>
          </w:p>
        </w:tc>
        <w:tc>
          <w:tcPr>
            <w:tcW w:w="1267" w:type="dxa"/>
            <w:tcBorders>
              <w:top w:val="nil"/>
              <w:left w:val="nil"/>
              <w:bottom w:val="nil"/>
              <w:right w:val="nil"/>
            </w:tcBorders>
            <w:shd w:val="clear" w:color="auto" w:fill="auto"/>
            <w:vAlign w:val="center"/>
            <w:hideMark/>
          </w:tcPr>
          <w:p w14:paraId="62125D5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160,923</w:t>
            </w:r>
          </w:p>
        </w:tc>
        <w:tc>
          <w:tcPr>
            <w:tcW w:w="1134" w:type="dxa"/>
            <w:tcBorders>
              <w:top w:val="nil"/>
              <w:left w:val="nil"/>
              <w:bottom w:val="nil"/>
              <w:right w:val="nil"/>
            </w:tcBorders>
            <w:shd w:val="clear" w:color="auto" w:fill="auto"/>
            <w:vAlign w:val="center"/>
            <w:hideMark/>
          </w:tcPr>
          <w:p w14:paraId="7593F32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160,923</w:t>
            </w:r>
          </w:p>
        </w:tc>
      </w:tr>
      <w:tr w:rsidR="008F776F" w:rsidRPr="008F776F" w14:paraId="07C549BB" w14:textId="77777777" w:rsidTr="00DB6666">
        <w:trPr>
          <w:trHeight w:val="256"/>
        </w:trPr>
        <w:tc>
          <w:tcPr>
            <w:tcW w:w="1134" w:type="dxa"/>
            <w:tcBorders>
              <w:top w:val="nil"/>
              <w:left w:val="nil"/>
              <w:bottom w:val="nil"/>
              <w:right w:val="nil"/>
            </w:tcBorders>
            <w:shd w:val="clear" w:color="auto" w:fill="auto"/>
            <w:vAlign w:val="center"/>
            <w:hideMark/>
          </w:tcPr>
          <w:p w14:paraId="33CB955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242C28F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4D2CF5E2"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Panamá</w:t>
            </w:r>
          </w:p>
        </w:tc>
        <w:tc>
          <w:tcPr>
            <w:tcW w:w="1001" w:type="dxa"/>
            <w:tcBorders>
              <w:top w:val="nil"/>
              <w:left w:val="nil"/>
              <w:bottom w:val="nil"/>
              <w:right w:val="nil"/>
            </w:tcBorders>
            <w:shd w:val="clear" w:color="auto" w:fill="auto"/>
            <w:vAlign w:val="center"/>
            <w:hideMark/>
          </w:tcPr>
          <w:p w14:paraId="50E1AAA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7C5BBFE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66DEADF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38ACDA5C" w14:textId="77777777" w:rsidTr="00DB6666">
        <w:trPr>
          <w:trHeight w:val="256"/>
        </w:trPr>
        <w:tc>
          <w:tcPr>
            <w:tcW w:w="1134" w:type="dxa"/>
            <w:tcBorders>
              <w:top w:val="nil"/>
              <w:left w:val="nil"/>
              <w:bottom w:val="nil"/>
              <w:right w:val="nil"/>
            </w:tcBorders>
            <w:shd w:val="clear" w:color="auto" w:fill="auto"/>
            <w:vAlign w:val="center"/>
            <w:hideMark/>
          </w:tcPr>
          <w:p w14:paraId="36AA52B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3F3410C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4B742AAF"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Paraguay</w:t>
            </w:r>
          </w:p>
        </w:tc>
        <w:tc>
          <w:tcPr>
            <w:tcW w:w="1001" w:type="dxa"/>
            <w:tcBorders>
              <w:top w:val="nil"/>
              <w:left w:val="nil"/>
              <w:bottom w:val="nil"/>
              <w:right w:val="nil"/>
            </w:tcBorders>
            <w:shd w:val="clear" w:color="auto" w:fill="auto"/>
            <w:vAlign w:val="center"/>
            <w:hideMark/>
          </w:tcPr>
          <w:p w14:paraId="4296629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1E517E6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376BABD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4FA00257" w14:textId="77777777" w:rsidTr="00DB6666">
        <w:trPr>
          <w:trHeight w:val="256"/>
        </w:trPr>
        <w:tc>
          <w:tcPr>
            <w:tcW w:w="1134" w:type="dxa"/>
            <w:tcBorders>
              <w:top w:val="nil"/>
              <w:left w:val="nil"/>
              <w:bottom w:val="nil"/>
              <w:right w:val="nil"/>
            </w:tcBorders>
            <w:shd w:val="clear" w:color="auto" w:fill="auto"/>
            <w:vAlign w:val="center"/>
            <w:hideMark/>
          </w:tcPr>
          <w:p w14:paraId="5A41C12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279CDFA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483D9AC8"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Perú</w:t>
            </w:r>
          </w:p>
        </w:tc>
        <w:tc>
          <w:tcPr>
            <w:tcW w:w="1001" w:type="dxa"/>
            <w:tcBorders>
              <w:top w:val="nil"/>
              <w:left w:val="nil"/>
              <w:bottom w:val="nil"/>
              <w:right w:val="nil"/>
            </w:tcBorders>
            <w:shd w:val="clear" w:color="auto" w:fill="auto"/>
            <w:vAlign w:val="center"/>
            <w:hideMark/>
          </w:tcPr>
          <w:p w14:paraId="7E67C790"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6E5FE88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70678D2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52265441" w14:textId="77777777" w:rsidTr="00DB6666">
        <w:trPr>
          <w:trHeight w:val="256"/>
        </w:trPr>
        <w:tc>
          <w:tcPr>
            <w:tcW w:w="1134" w:type="dxa"/>
            <w:tcBorders>
              <w:top w:val="nil"/>
              <w:left w:val="nil"/>
              <w:bottom w:val="nil"/>
              <w:right w:val="nil"/>
            </w:tcBorders>
            <w:shd w:val="clear" w:color="auto" w:fill="auto"/>
            <w:vAlign w:val="center"/>
            <w:hideMark/>
          </w:tcPr>
          <w:p w14:paraId="48869B5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6F0273B4"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3969" w:type="dxa"/>
            <w:tcBorders>
              <w:top w:val="nil"/>
              <w:left w:val="nil"/>
              <w:bottom w:val="nil"/>
              <w:right w:val="nil"/>
            </w:tcBorders>
            <w:shd w:val="clear" w:color="auto" w:fill="auto"/>
            <w:vAlign w:val="center"/>
            <w:hideMark/>
          </w:tcPr>
          <w:p w14:paraId="4C1DC071"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Polonia</w:t>
            </w:r>
          </w:p>
        </w:tc>
        <w:tc>
          <w:tcPr>
            <w:tcW w:w="1001" w:type="dxa"/>
            <w:tcBorders>
              <w:top w:val="nil"/>
              <w:left w:val="nil"/>
              <w:bottom w:val="nil"/>
              <w:right w:val="nil"/>
            </w:tcBorders>
            <w:shd w:val="clear" w:color="auto" w:fill="auto"/>
            <w:vAlign w:val="center"/>
            <w:hideMark/>
          </w:tcPr>
          <w:p w14:paraId="2C6C993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0,50</w:t>
            </w:r>
          </w:p>
        </w:tc>
        <w:tc>
          <w:tcPr>
            <w:tcW w:w="1267" w:type="dxa"/>
            <w:tcBorders>
              <w:top w:val="nil"/>
              <w:left w:val="nil"/>
              <w:bottom w:val="nil"/>
              <w:right w:val="nil"/>
            </w:tcBorders>
            <w:shd w:val="clear" w:color="auto" w:fill="auto"/>
            <w:vAlign w:val="center"/>
            <w:hideMark/>
          </w:tcPr>
          <w:p w14:paraId="5D3F084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562E880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r>
      <w:tr w:rsidR="008F776F" w:rsidRPr="008F776F" w14:paraId="4031A7B1" w14:textId="77777777" w:rsidTr="00DB6666">
        <w:trPr>
          <w:trHeight w:val="256"/>
        </w:trPr>
        <w:tc>
          <w:tcPr>
            <w:tcW w:w="1134" w:type="dxa"/>
            <w:tcBorders>
              <w:top w:val="nil"/>
              <w:left w:val="nil"/>
              <w:bottom w:val="nil"/>
              <w:right w:val="nil"/>
            </w:tcBorders>
            <w:shd w:val="clear" w:color="auto" w:fill="auto"/>
            <w:vAlign w:val="center"/>
            <w:hideMark/>
          </w:tcPr>
          <w:p w14:paraId="237B334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486B19B0"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4FC5482F"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Portugal</w:t>
            </w:r>
          </w:p>
        </w:tc>
        <w:tc>
          <w:tcPr>
            <w:tcW w:w="1001" w:type="dxa"/>
            <w:tcBorders>
              <w:top w:val="nil"/>
              <w:left w:val="nil"/>
              <w:bottom w:val="nil"/>
              <w:right w:val="nil"/>
            </w:tcBorders>
            <w:shd w:val="clear" w:color="auto" w:fill="auto"/>
            <w:vAlign w:val="center"/>
            <w:hideMark/>
          </w:tcPr>
          <w:p w14:paraId="5E6F055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642CEBB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2A5CABA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7B1F9731" w14:textId="77777777" w:rsidTr="00DB6666">
        <w:trPr>
          <w:trHeight w:val="256"/>
        </w:trPr>
        <w:tc>
          <w:tcPr>
            <w:tcW w:w="1134" w:type="dxa"/>
            <w:tcBorders>
              <w:top w:val="nil"/>
              <w:left w:val="nil"/>
              <w:bottom w:val="nil"/>
              <w:right w:val="nil"/>
            </w:tcBorders>
            <w:shd w:val="clear" w:color="auto" w:fill="auto"/>
            <w:vAlign w:val="center"/>
            <w:hideMark/>
          </w:tcPr>
          <w:p w14:paraId="4BFB077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c>
          <w:tcPr>
            <w:tcW w:w="1134" w:type="dxa"/>
            <w:tcBorders>
              <w:top w:val="nil"/>
              <w:left w:val="nil"/>
              <w:bottom w:val="nil"/>
              <w:right w:val="nil"/>
            </w:tcBorders>
            <w:shd w:val="clear" w:color="auto" w:fill="auto"/>
            <w:vAlign w:val="center"/>
            <w:hideMark/>
          </w:tcPr>
          <w:p w14:paraId="785A5C1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c>
          <w:tcPr>
            <w:tcW w:w="3969" w:type="dxa"/>
            <w:tcBorders>
              <w:top w:val="nil"/>
              <w:left w:val="nil"/>
              <w:bottom w:val="nil"/>
              <w:right w:val="nil"/>
            </w:tcBorders>
            <w:shd w:val="clear" w:color="auto" w:fill="auto"/>
            <w:vAlign w:val="center"/>
            <w:hideMark/>
          </w:tcPr>
          <w:p w14:paraId="3D8B9B7F"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Reino Unido</w:t>
            </w:r>
          </w:p>
        </w:tc>
        <w:tc>
          <w:tcPr>
            <w:tcW w:w="1001" w:type="dxa"/>
            <w:tcBorders>
              <w:top w:val="nil"/>
              <w:left w:val="nil"/>
              <w:bottom w:val="nil"/>
              <w:right w:val="nil"/>
            </w:tcBorders>
            <w:shd w:val="clear" w:color="auto" w:fill="auto"/>
            <w:vAlign w:val="center"/>
            <w:hideMark/>
          </w:tcPr>
          <w:p w14:paraId="2FD9395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2,00</w:t>
            </w:r>
          </w:p>
        </w:tc>
        <w:tc>
          <w:tcPr>
            <w:tcW w:w="1267" w:type="dxa"/>
            <w:tcBorders>
              <w:top w:val="nil"/>
              <w:left w:val="nil"/>
              <w:bottom w:val="nil"/>
              <w:right w:val="nil"/>
            </w:tcBorders>
            <w:shd w:val="clear" w:color="auto" w:fill="auto"/>
            <w:vAlign w:val="center"/>
            <w:hideMark/>
          </w:tcPr>
          <w:p w14:paraId="3B7AAA0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c>
          <w:tcPr>
            <w:tcW w:w="1134" w:type="dxa"/>
            <w:tcBorders>
              <w:top w:val="nil"/>
              <w:left w:val="nil"/>
              <w:bottom w:val="nil"/>
              <w:right w:val="nil"/>
            </w:tcBorders>
            <w:shd w:val="clear" w:color="auto" w:fill="auto"/>
            <w:vAlign w:val="center"/>
            <w:hideMark/>
          </w:tcPr>
          <w:p w14:paraId="6BD8E6E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107.282</w:t>
            </w:r>
          </w:p>
        </w:tc>
      </w:tr>
      <w:tr w:rsidR="008F776F" w:rsidRPr="008F776F" w14:paraId="5F82E2F8" w14:textId="77777777" w:rsidTr="00DB6666">
        <w:trPr>
          <w:trHeight w:val="256"/>
        </w:trPr>
        <w:tc>
          <w:tcPr>
            <w:tcW w:w="1134" w:type="dxa"/>
            <w:tcBorders>
              <w:top w:val="nil"/>
              <w:left w:val="nil"/>
              <w:bottom w:val="nil"/>
              <w:right w:val="nil"/>
            </w:tcBorders>
            <w:shd w:val="clear" w:color="auto" w:fill="auto"/>
            <w:vAlign w:val="center"/>
            <w:hideMark/>
          </w:tcPr>
          <w:p w14:paraId="05F81A2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1A0F2A0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3969" w:type="dxa"/>
            <w:tcBorders>
              <w:top w:val="nil"/>
              <w:left w:val="nil"/>
              <w:bottom w:val="nil"/>
              <w:right w:val="nil"/>
            </w:tcBorders>
            <w:shd w:val="clear" w:color="auto" w:fill="auto"/>
            <w:vAlign w:val="center"/>
            <w:hideMark/>
          </w:tcPr>
          <w:p w14:paraId="52CCE1D4"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 xml:space="preserve">República Checa </w:t>
            </w:r>
          </w:p>
        </w:tc>
        <w:tc>
          <w:tcPr>
            <w:tcW w:w="1001" w:type="dxa"/>
            <w:tcBorders>
              <w:top w:val="nil"/>
              <w:left w:val="nil"/>
              <w:bottom w:val="nil"/>
              <w:right w:val="nil"/>
            </w:tcBorders>
            <w:shd w:val="clear" w:color="auto" w:fill="auto"/>
            <w:vAlign w:val="center"/>
            <w:hideMark/>
          </w:tcPr>
          <w:p w14:paraId="1900693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0,50</w:t>
            </w:r>
          </w:p>
        </w:tc>
        <w:tc>
          <w:tcPr>
            <w:tcW w:w="1267" w:type="dxa"/>
            <w:tcBorders>
              <w:top w:val="nil"/>
              <w:left w:val="nil"/>
              <w:bottom w:val="nil"/>
              <w:right w:val="nil"/>
            </w:tcBorders>
            <w:shd w:val="clear" w:color="auto" w:fill="auto"/>
            <w:vAlign w:val="center"/>
            <w:hideMark/>
          </w:tcPr>
          <w:p w14:paraId="3FD05B3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3747FB5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r>
      <w:tr w:rsidR="008F776F" w:rsidRPr="008F776F" w14:paraId="4DB5BBC1" w14:textId="77777777" w:rsidTr="00DB6666">
        <w:trPr>
          <w:trHeight w:val="256"/>
        </w:trPr>
        <w:tc>
          <w:tcPr>
            <w:tcW w:w="1134" w:type="dxa"/>
            <w:tcBorders>
              <w:top w:val="nil"/>
              <w:left w:val="nil"/>
              <w:bottom w:val="nil"/>
              <w:right w:val="nil"/>
            </w:tcBorders>
            <w:shd w:val="clear" w:color="auto" w:fill="auto"/>
            <w:vAlign w:val="center"/>
            <w:hideMark/>
          </w:tcPr>
          <w:p w14:paraId="3B4A292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c>
          <w:tcPr>
            <w:tcW w:w="1134" w:type="dxa"/>
            <w:tcBorders>
              <w:top w:val="nil"/>
              <w:left w:val="nil"/>
              <w:bottom w:val="nil"/>
              <w:right w:val="nil"/>
            </w:tcBorders>
            <w:shd w:val="clear" w:color="auto" w:fill="auto"/>
            <w:vAlign w:val="center"/>
            <w:hideMark/>
          </w:tcPr>
          <w:p w14:paraId="271A581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c>
          <w:tcPr>
            <w:tcW w:w="3969" w:type="dxa"/>
            <w:tcBorders>
              <w:top w:val="nil"/>
              <w:left w:val="nil"/>
              <w:bottom w:val="nil"/>
              <w:right w:val="nil"/>
            </w:tcBorders>
            <w:shd w:val="clear" w:color="auto" w:fill="auto"/>
            <w:vAlign w:val="center"/>
            <w:hideMark/>
          </w:tcPr>
          <w:p w14:paraId="38B28C20"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República de Corea</w:t>
            </w:r>
          </w:p>
        </w:tc>
        <w:tc>
          <w:tcPr>
            <w:tcW w:w="1001" w:type="dxa"/>
            <w:tcBorders>
              <w:top w:val="nil"/>
              <w:left w:val="nil"/>
              <w:bottom w:val="nil"/>
              <w:right w:val="nil"/>
            </w:tcBorders>
            <w:shd w:val="clear" w:color="auto" w:fill="auto"/>
            <w:vAlign w:val="center"/>
            <w:hideMark/>
          </w:tcPr>
          <w:p w14:paraId="34B687A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1,50</w:t>
            </w:r>
          </w:p>
        </w:tc>
        <w:tc>
          <w:tcPr>
            <w:tcW w:w="1267" w:type="dxa"/>
            <w:tcBorders>
              <w:top w:val="nil"/>
              <w:left w:val="nil"/>
              <w:bottom w:val="nil"/>
              <w:right w:val="nil"/>
            </w:tcBorders>
            <w:shd w:val="clear" w:color="auto" w:fill="auto"/>
            <w:vAlign w:val="center"/>
            <w:hideMark/>
          </w:tcPr>
          <w:p w14:paraId="5980192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c>
          <w:tcPr>
            <w:tcW w:w="1134" w:type="dxa"/>
            <w:tcBorders>
              <w:top w:val="nil"/>
              <w:left w:val="nil"/>
              <w:bottom w:val="nil"/>
              <w:right w:val="nil"/>
            </w:tcBorders>
            <w:shd w:val="clear" w:color="auto" w:fill="auto"/>
            <w:vAlign w:val="center"/>
            <w:hideMark/>
          </w:tcPr>
          <w:p w14:paraId="2252633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r>
      <w:tr w:rsidR="008F776F" w:rsidRPr="008F776F" w14:paraId="5DB03527" w14:textId="77777777" w:rsidTr="00DB6666">
        <w:trPr>
          <w:trHeight w:val="256"/>
        </w:trPr>
        <w:tc>
          <w:tcPr>
            <w:tcW w:w="1134" w:type="dxa"/>
            <w:tcBorders>
              <w:top w:val="nil"/>
              <w:left w:val="nil"/>
              <w:bottom w:val="nil"/>
              <w:right w:val="nil"/>
            </w:tcBorders>
            <w:shd w:val="clear" w:color="auto" w:fill="auto"/>
            <w:vAlign w:val="center"/>
            <w:hideMark/>
          </w:tcPr>
          <w:p w14:paraId="4FF0B57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606EE56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1963A9B0"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República de Moldova</w:t>
            </w:r>
          </w:p>
        </w:tc>
        <w:tc>
          <w:tcPr>
            <w:tcW w:w="1001" w:type="dxa"/>
            <w:tcBorders>
              <w:top w:val="nil"/>
              <w:left w:val="nil"/>
              <w:bottom w:val="nil"/>
              <w:right w:val="nil"/>
            </w:tcBorders>
            <w:shd w:val="clear" w:color="auto" w:fill="auto"/>
            <w:vAlign w:val="center"/>
            <w:hideMark/>
          </w:tcPr>
          <w:p w14:paraId="1F7195C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638C197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10BA7F3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349D50D1" w14:textId="77777777" w:rsidTr="00DB6666">
        <w:trPr>
          <w:trHeight w:val="256"/>
        </w:trPr>
        <w:tc>
          <w:tcPr>
            <w:tcW w:w="1134" w:type="dxa"/>
            <w:tcBorders>
              <w:top w:val="nil"/>
              <w:left w:val="nil"/>
              <w:bottom w:val="nil"/>
              <w:right w:val="nil"/>
            </w:tcBorders>
            <w:shd w:val="clear" w:color="auto" w:fill="auto"/>
            <w:vAlign w:val="center"/>
            <w:hideMark/>
          </w:tcPr>
          <w:p w14:paraId="4BF40BE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6C78BA7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6E962724"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República Dominicana</w:t>
            </w:r>
          </w:p>
        </w:tc>
        <w:tc>
          <w:tcPr>
            <w:tcW w:w="1001" w:type="dxa"/>
            <w:tcBorders>
              <w:top w:val="nil"/>
              <w:left w:val="nil"/>
              <w:bottom w:val="nil"/>
              <w:right w:val="nil"/>
            </w:tcBorders>
            <w:shd w:val="clear" w:color="auto" w:fill="auto"/>
            <w:vAlign w:val="center"/>
            <w:hideMark/>
          </w:tcPr>
          <w:p w14:paraId="11688E0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731DAFC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54ED748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70122EBB" w14:textId="77777777" w:rsidTr="00DB6666">
        <w:trPr>
          <w:trHeight w:val="256"/>
        </w:trPr>
        <w:tc>
          <w:tcPr>
            <w:tcW w:w="1134" w:type="dxa"/>
            <w:tcBorders>
              <w:top w:val="nil"/>
              <w:left w:val="nil"/>
              <w:bottom w:val="nil"/>
              <w:right w:val="nil"/>
            </w:tcBorders>
            <w:shd w:val="clear" w:color="auto" w:fill="auto"/>
            <w:vAlign w:val="center"/>
            <w:hideMark/>
          </w:tcPr>
          <w:p w14:paraId="1232249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28B367D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05A35D8E"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 xml:space="preserve">República Unida de </w:t>
            </w:r>
            <w:proofErr w:type="spellStart"/>
            <w:r w:rsidRPr="008F776F">
              <w:rPr>
                <w:rFonts w:ascii="Arial Narrow" w:hAnsi="Arial Narrow"/>
                <w:color w:val="000000"/>
                <w:sz w:val="18"/>
                <w:lang w:val="es-ES_tradnl"/>
              </w:rPr>
              <w:t>Tanzanía</w:t>
            </w:r>
            <w:proofErr w:type="spellEnd"/>
          </w:p>
        </w:tc>
        <w:tc>
          <w:tcPr>
            <w:tcW w:w="1001" w:type="dxa"/>
            <w:tcBorders>
              <w:top w:val="nil"/>
              <w:left w:val="nil"/>
              <w:bottom w:val="nil"/>
              <w:right w:val="nil"/>
            </w:tcBorders>
            <w:shd w:val="clear" w:color="auto" w:fill="auto"/>
            <w:vAlign w:val="center"/>
            <w:hideMark/>
          </w:tcPr>
          <w:p w14:paraId="6748B7C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6BBF00B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198A775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53418D50" w14:textId="77777777" w:rsidTr="00DB6666">
        <w:trPr>
          <w:trHeight w:val="256"/>
        </w:trPr>
        <w:tc>
          <w:tcPr>
            <w:tcW w:w="1134" w:type="dxa"/>
            <w:tcBorders>
              <w:top w:val="nil"/>
              <w:left w:val="nil"/>
              <w:bottom w:val="nil"/>
              <w:right w:val="nil"/>
            </w:tcBorders>
            <w:shd w:val="clear" w:color="auto" w:fill="auto"/>
            <w:vAlign w:val="center"/>
            <w:hideMark/>
          </w:tcPr>
          <w:p w14:paraId="0497B71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4B58C50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278C64AF"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Rumania</w:t>
            </w:r>
          </w:p>
        </w:tc>
        <w:tc>
          <w:tcPr>
            <w:tcW w:w="1001" w:type="dxa"/>
            <w:tcBorders>
              <w:top w:val="nil"/>
              <w:left w:val="nil"/>
              <w:bottom w:val="nil"/>
              <w:right w:val="nil"/>
            </w:tcBorders>
            <w:shd w:val="clear" w:color="auto" w:fill="auto"/>
            <w:vAlign w:val="center"/>
            <w:hideMark/>
          </w:tcPr>
          <w:p w14:paraId="4FFF42B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0EAE9E8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5C0552A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4035F64E" w14:textId="77777777" w:rsidTr="00DB6666">
        <w:trPr>
          <w:trHeight w:val="256"/>
        </w:trPr>
        <w:tc>
          <w:tcPr>
            <w:tcW w:w="1134" w:type="dxa"/>
            <w:tcBorders>
              <w:top w:val="nil"/>
              <w:left w:val="nil"/>
              <w:bottom w:val="nil"/>
              <w:right w:val="nil"/>
            </w:tcBorders>
            <w:shd w:val="clear" w:color="auto" w:fill="auto"/>
            <w:vAlign w:val="center"/>
            <w:hideMark/>
          </w:tcPr>
          <w:p w14:paraId="14D7276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1D1079F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1C2475EA"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San Vicente y las Granadinas</w:t>
            </w:r>
          </w:p>
        </w:tc>
        <w:tc>
          <w:tcPr>
            <w:tcW w:w="1001" w:type="dxa"/>
            <w:tcBorders>
              <w:top w:val="nil"/>
              <w:left w:val="nil"/>
              <w:bottom w:val="nil"/>
              <w:right w:val="nil"/>
            </w:tcBorders>
            <w:shd w:val="clear" w:color="auto" w:fill="auto"/>
            <w:vAlign w:val="center"/>
            <w:hideMark/>
          </w:tcPr>
          <w:p w14:paraId="3DCC62C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64F6652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5B93627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670E479D" w14:textId="77777777" w:rsidTr="00DB6666">
        <w:trPr>
          <w:trHeight w:val="256"/>
        </w:trPr>
        <w:tc>
          <w:tcPr>
            <w:tcW w:w="1134" w:type="dxa"/>
            <w:tcBorders>
              <w:top w:val="nil"/>
              <w:left w:val="nil"/>
              <w:bottom w:val="nil"/>
              <w:right w:val="nil"/>
            </w:tcBorders>
            <w:shd w:val="clear" w:color="auto" w:fill="auto"/>
            <w:vAlign w:val="center"/>
            <w:hideMark/>
          </w:tcPr>
          <w:p w14:paraId="7136DE3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60F7893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13580DD3"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Serbia</w:t>
            </w:r>
          </w:p>
        </w:tc>
        <w:tc>
          <w:tcPr>
            <w:tcW w:w="1001" w:type="dxa"/>
            <w:tcBorders>
              <w:top w:val="nil"/>
              <w:left w:val="nil"/>
              <w:bottom w:val="nil"/>
              <w:right w:val="nil"/>
            </w:tcBorders>
            <w:shd w:val="clear" w:color="auto" w:fill="auto"/>
            <w:vAlign w:val="center"/>
            <w:hideMark/>
          </w:tcPr>
          <w:p w14:paraId="3417216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76687C3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21738050"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5CF0CB0A" w14:textId="77777777" w:rsidTr="00DB6666">
        <w:trPr>
          <w:trHeight w:val="256"/>
        </w:trPr>
        <w:tc>
          <w:tcPr>
            <w:tcW w:w="1134" w:type="dxa"/>
            <w:tcBorders>
              <w:top w:val="nil"/>
              <w:left w:val="nil"/>
              <w:bottom w:val="nil"/>
              <w:right w:val="nil"/>
            </w:tcBorders>
            <w:shd w:val="clear" w:color="auto" w:fill="auto"/>
            <w:vAlign w:val="center"/>
            <w:hideMark/>
          </w:tcPr>
          <w:p w14:paraId="29DE47F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4F7BF18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60EE7CBF"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Singapur</w:t>
            </w:r>
          </w:p>
        </w:tc>
        <w:tc>
          <w:tcPr>
            <w:tcW w:w="1001" w:type="dxa"/>
            <w:tcBorders>
              <w:top w:val="nil"/>
              <w:left w:val="nil"/>
              <w:bottom w:val="nil"/>
              <w:right w:val="nil"/>
            </w:tcBorders>
            <w:shd w:val="clear" w:color="auto" w:fill="auto"/>
            <w:vAlign w:val="center"/>
            <w:hideMark/>
          </w:tcPr>
          <w:p w14:paraId="3834930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53F8BBF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084F154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01FBF6E9" w14:textId="77777777" w:rsidTr="00DB6666">
        <w:trPr>
          <w:trHeight w:val="256"/>
        </w:trPr>
        <w:tc>
          <w:tcPr>
            <w:tcW w:w="1134" w:type="dxa"/>
            <w:tcBorders>
              <w:top w:val="nil"/>
              <w:left w:val="nil"/>
              <w:bottom w:val="nil"/>
              <w:right w:val="nil"/>
            </w:tcBorders>
            <w:shd w:val="clear" w:color="auto" w:fill="auto"/>
            <w:vAlign w:val="center"/>
            <w:hideMark/>
          </w:tcPr>
          <w:p w14:paraId="1CAA34F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1134" w:type="dxa"/>
            <w:tcBorders>
              <w:top w:val="nil"/>
              <w:left w:val="nil"/>
              <w:bottom w:val="nil"/>
              <w:right w:val="nil"/>
            </w:tcBorders>
            <w:shd w:val="clear" w:color="auto" w:fill="auto"/>
            <w:vAlign w:val="center"/>
            <w:hideMark/>
          </w:tcPr>
          <w:p w14:paraId="48BDFA7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3969" w:type="dxa"/>
            <w:tcBorders>
              <w:top w:val="nil"/>
              <w:left w:val="nil"/>
              <w:bottom w:val="nil"/>
              <w:right w:val="nil"/>
            </w:tcBorders>
            <w:shd w:val="clear" w:color="auto" w:fill="auto"/>
            <w:vAlign w:val="center"/>
            <w:hideMark/>
          </w:tcPr>
          <w:p w14:paraId="3B3F4755"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Sudáfrica</w:t>
            </w:r>
          </w:p>
        </w:tc>
        <w:tc>
          <w:tcPr>
            <w:tcW w:w="1001" w:type="dxa"/>
            <w:tcBorders>
              <w:top w:val="nil"/>
              <w:left w:val="nil"/>
              <w:bottom w:val="nil"/>
              <w:right w:val="nil"/>
            </w:tcBorders>
            <w:shd w:val="clear" w:color="auto" w:fill="auto"/>
            <w:vAlign w:val="center"/>
            <w:hideMark/>
          </w:tcPr>
          <w:p w14:paraId="05A04B0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1,00</w:t>
            </w:r>
          </w:p>
        </w:tc>
        <w:tc>
          <w:tcPr>
            <w:tcW w:w="1267" w:type="dxa"/>
            <w:tcBorders>
              <w:top w:val="nil"/>
              <w:left w:val="nil"/>
              <w:bottom w:val="nil"/>
              <w:right w:val="nil"/>
            </w:tcBorders>
            <w:shd w:val="clear" w:color="auto" w:fill="auto"/>
            <w:vAlign w:val="center"/>
            <w:hideMark/>
          </w:tcPr>
          <w:p w14:paraId="716AA8B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c>
          <w:tcPr>
            <w:tcW w:w="1134" w:type="dxa"/>
            <w:tcBorders>
              <w:top w:val="nil"/>
              <w:left w:val="nil"/>
              <w:bottom w:val="nil"/>
              <w:right w:val="nil"/>
            </w:tcBorders>
            <w:shd w:val="clear" w:color="auto" w:fill="auto"/>
            <w:vAlign w:val="center"/>
            <w:hideMark/>
          </w:tcPr>
          <w:p w14:paraId="23D6C97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53.641</w:t>
            </w:r>
          </w:p>
        </w:tc>
      </w:tr>
      <w:tr w:rsidR="008F776F" w:rsidRPr="008F776F" w14:paraId="18A84E93" w14:textId="77777777" w:rsidTr="00DB6666">
        <w:trPr>
          <w:trHeight w:val="256"/>
        </w:trPr>
        <w:tc>
          <w:tcPr>
            <w:tcW w:w="1134" w:type="dxa"/>
            <w:tcBorders>
              <w:top w:val="nil"/>
              <w:left w:val="nil"/>
              <w:bottom w:val="nil"/>
              <w:right w:val="nil"/>
            </w:tcBorders>
            <w:shd w:val="clear" w:color="auto" w:fill="auto"/>
            <w:vAlign w:val="center"/>
            <w:hideMark/>
          </w:tcPr>
          <w:p w14:paraId="3A3BF4D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c>
          <w:tcPr>
            <w:tcW w:w="1134" w:type="dxa"/>
            <w:tcBorders>
              <w:top w:val="nil"/>
              <w:left w:val="nil"/>
              <w:bottom w:val="nil"/>
              <w:right w:val="nil"/>
            </w:tcBorders>
            <w:shd w:val="clear" w:color="auto" w:fill="auto"/>
            <w:vAlign w:val="center"/>
            <w:hideMark/>
          </w:tcPr>
          <w:p w14:paraId="292D2F7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c>
          <w:tcPr>
            <w:tcW w:w="3969" w:type="dxa"/>
            <w:tcBorders>
              <w:top w:val="nil"/>
              <w:left w:val="nil"/>
              <w:bottom w:val="nil"/>
              <w:right w:val="nil"/>
            </w:tcBorders>
            <w:shd w:val="clear" w:color="auto" w:fill="auto"/>
            <w:vAlign w:val="center"/>
            <w:hideMark/>
          </w:tcPr>
          <w:p w14:paraId="45835BD3"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Suecia</w:t>
            </w:r>
          </w:p>
        </w:tc>
        <w:tc>
          <w:tcPr>
            <w:tcW w:w="1001" w:type="dxa"/>
            <w:tcBorders>
              <w:top w:val="nil"/>
              <w:left w:val="nil"/>
              <w:bottom w:val="nil"/>
              <w:right w:val="nil"/>
            </w:tcBorders>
            <w:shd w:val="clear" w:color="auto" w:fill="auto"/>
            <w:vAlign w:val="center"/>
            <w:hideMark/>
          </w:tcPr>
          <w:p w14:paraId="5B6674D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1,50</w:t>
            </w:r>
          </w:p>
        </w:tc>
        <w:tc>
          <w:tcPr>
            <w:tcW w:w="1267" w:type="dxa"/>
            <w:tcBorders>
              <w:top w:val="nil"/>
              <w:left w:val="nil"/>
              <w:bottom w:val="nil"/>
              <w:right w:val="nil"/>
            </w:tcBorders>
            <w:shd w:val="clear" w:color="auto" w:fill="auto"/>
            <w:vAlign w:val="center"/>
            <w:hideMark/>
          </w:tcPr>
          <w:p w14:paraId="049CFEA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c>
          <w:tcPr>
            <w:tcW w:w="1134" w:type="dxa"/>
            <w:tcBorders>
              <w:top w:val="nil"/>
              <w:left w:val="nil"/>
              <w:bottom w:val="nil"/>
              <w:right w:val="nil"/>
            </w:tcBorders>
            <w:shd w:val="clear" w:color="auto" w:fill="auto"/>
            <w:vAlign w:val="center"/>
            <w:hideMark/>
          </w:tcPr>
          <w:p w14:paraId="15E1F60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r>
      <w:tr w:rsidR="008F776F" w:rsidRPr="008F776F" w14:paraId="7E724EE0" w14:textId="77777777" w:rsidTr="00DB6666">
        <w:trPr>
          <w:trHeight w:val="256"/>
        </w:trPr>
        <w:tc>
          <w:tcPr>
            <w:tcW w:w="1134" w:type="dxa"/>
            <w:tcBorders>
              <w:top w:val="nil"/>
              <w:left w:val="nil"/>
              <w:bottom w:val="nil"/>
              <w:right w:val="nil"/>
            </w:tcBorders>
            <w:shd w:val="clear" w:color="auto" w:fill="auto"/>
            <w:vAlign w:val="center"/>
            <w:hideMark/>
          </w:tcPr>
          <w:p w14:paraId="0BDB23B0"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c>
          <w:tcPr>
            <w:tcW w:w="1134" w:type="dxa"/>
            <w:tcBorders>
              <w:top w:val="nil"/>
              <w:left w:val="nil"/>
              <w:bottom w:val="nil"/>
              <w:right w:val="nil"/>
            </w:tcBorders>
            <w:shd w:val="clear" w:color="auto" w:fill="auto"/>
            <w:vAlign w:val="center"/>
            <w:hideMark/>
          </w:tcPr>
          <w:p w14:paraId="70F4D8F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c>
          <w:tcPr>
            <w:tcW w:w="3969" w:type="dxa"/>
            <w:tcBorders>
              <w:top w:val="nil"/>
              <w:left w:val="nil"/>
              <w:bottom w:val="nil"/>
              <w:right w:val="nil"/>
            </w:tcBorders>
            <w:shd w:val="clear" w:color="auto" w:fill="auto"/>
            <w:vAlign w:val="center"/>
            <w:hideMark/>
          </w:tcPr>
          <w:p w14:paraId="7C33BD16"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Suiza</w:t>
            </w:r>
          </w:p>
        </w:tc>
        <w:tc>
          <w:tcPr>
            <w:tcW w:w="1001" w:type="dxa"/>
            <w:tcBorders>
              <w:top w:val="nil"/>
              <w:left w:val="nil"/>
              <w:bottom w:val="nil"/>
              <w:right w:val="nil"/>
            </w:tcBorders>
            <w:shd w:val="clear" w:color="auto" w:fill="auto"/>
            <w:vAlign w:val="center"/>
            <w:hideMark/>
          </w:tcPr>
          <w:p w14:paraId="67E9FAE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1,50</w:t>
            </w:r>
          </w:p>
        </w:tc>
        <w:tc>
          <w:tcPr>
            <w:tcW w:w="1267" w:type="dxa"/>
            <w:tcBorders>
              <w:top w:val="nil"/>
              <w:left w:val="nil"/>
              <w:bottom w:val="nil"/>
              <w:right w:val="nil"/>
            </w:tcBorders>
            <w:shd w:val="clear" w:color="auto" w:fill="auto"/>
            <w:vAlign w:val="center"/>
            <w:hideMark/>
          </w:tcPr>
          <w:p w14:paraId="164AC71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c>
          <w:tcPr>
            <w:tcW w:w="1134" w:type="dxa"/>
            <w:tcBorders>
              <w:top w:val="nil"/>
              <w:left w:val="nil"/>
              <w:bottom w:val="nil"/>
              <w:right w:val="nil"/>
            </w:tcBorders>
            <w:shd w:val="clear" w:color="auto" w:fill="auto"/>
            <w:vAlign w:val="center"/>
            <w:hideMark/>
          </w:tcPr>
          <w:p w14:paraId="4DC44AB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80.462</w:t>
            </w:r>
          </w:p>
        </w:tc>
      </w:tr>
      <w:tr w:rsidR="008F776F" w:rsidRPr="008F776F" w14:paraId="1EA89969" w14:textId="77777777" w:rsidTr="00DB6666">
        <w:trPr>
          <w:trHeight w:val="256"/>
        </w:trPr>
        <w:tc>
          <w:tcPr>
            <w:tcW w:w="1134" w:type="dxa"/>
            <w:tcBorders>
              <w:top w:val="nil"/>
              <w:left w:val="nil"/>
              <w:bottom w:val="nil"/>
              <w:right w:val="nil"/>
            </w:tcBorders>
            <w:shd w:val="clear" w:color="auto" w:fill="auto"/>
            <w:vAlign w:val="center"/>
            <w:hideMark/>
          </w:tcPr>
          <w:p w14:paraId="0248DAC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3FFD608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766DE8C6"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 xml:space="preserve">Trinidad y </w:t>
            </w:r>
            <w:proofErr w:type="spellStart"/>
            <w:r w:rsidRPr="008F776F">
              <w:rPr>
                <w:rFonts w:ascii="Arial Narrow" w:hAnsi="Arial Narrow"/>
                <w:color w:val="000000"/>
                <w:sz w:val="18"/>
                <w:lang w:val="es-ES_tradnl"/>
              </w:rPr>
              <w:t>Tabago</w:t>
            </w:r>
            <w:proofErr w:type="spellEnd"/>
          </w:p>
        </w:tc>
        <w:tc>
          <w:tcPr>
            <w:tcW w:w="1001" w:type="dxa"/>
            <w:tcBorders>
              <w:top w:val="nil"/>
              <w:left w:val="nil"/>
              <w:bottom w:val="nil"/>
              <w:right w:val="nil"/>
            </w:tcBorders>
            <w:shd w:val="clear" w:color="auto" w:fill="auto"/>
            <w:vAlign w:val="center"/>
            <w:hideMark/>
          </w:tcPr>
          <w:p w14:paraId="7187E5D1"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058886B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61A5548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15603069" w14:textId="77777777" w:rsidTr="00DB6666">
        <w:trPr>
          <w:trHeight w:val="256"/>
        </w:trPr>
        <w:tc>
          <w:tcPr>
            <w:tcW w:w="1134" w:type="dxa"/>
            <w:tcBorders>
              <w:top w:val="nil"/>
              <w:left w:val="nil"/>
              <w:bottom w:val="nil"/>
              <w:right w:val="nil"/>
            </w:tcBorders>
            <w:shd w:val="clear" w:color="auto" w:fill="auto"/>
            <w:vAlign w:val="center"/>
            <w:hideMark/>
          </w:tcPr>
          <w:p w14:paraId="451206DE"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5F9E558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5844F96F"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Túnez</w:t>
            </w:r>
          </w:p>
        </w:tc>
        <w:tc>
          <w:tcPr>
            <w:tcW w:w="1001" w:type="dxa"/>
            <w:tcBorders>
              <w:top w:val="nil"/>
              <w:left w:val="nil"/>
              <w:bottom w:val="nil"/>
              <w:right w:val="nil"/>
            </w:tcBorders>
            <w:shd w:val="clear" w:color="auto" w:fill="auto"/>
            <w:vAlign w:val="center"/>
            <w:hideMark/>
          </w:tcPr>
          <w:p w14:paraId="6921F0C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561F4A9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097CD76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26695609" w14:textId="77777777" w:rsidTr="00DB6666">
        <w:trPr>
          <w:trHeight w:val="256"/>
        </w:trPr>
        <w:tc>
          <w:tcPr>
            <w:tcW w:w="1134" w:type="dxa"/>
            <w:tcBorders>
              <w:top w:val="nil"/>
              <w:left w:val="nil"/>
              <w:bottom w:val="nil"/>
              <w:right w:val="nil"/>
            </w:tcBorders>
            <w:shd w:val="clear" w:color="auto" w:fill="auto"/>
            <w:vAlign w:val="center"/>
            <w:hideMark/>
          </w:tcPr>
          <w:p w14:paraId="262DE325"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496FC25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3969" w:type="dxa"/>
            <w:tcBorders>
              <w:top w:val="nil"/>
              <w:left w:val="nil"/>
              <w:bottom w:val="nil"/>
              <w:right w:val="nil"/>
            </w:tcBorders>
            <w:shd w:val="clear" w:color="auto" w:fill="auto"/>
            <w:vAlign w:val="center"/>
            <w:hideMark/>
          </w:tcPr>
          <w:p w14:paraId="5F7FF493"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Türkiye</w:t>
            </w:r>
          </w:p>
        </w:tc>
        <w:tc>
          <w:tcPr>
            <w:tcW w:w="1001" w:type="dxa"/>
            <w:tcBorders>
              <w:top w:val="nil"/>
              <w:left w:val="nil"/>
              <w:bottom w:val="nil"/>
              <w:right w:val="nil"/>
            </w:tcBorders>
            <w:shd w:val="clear" w:color="auto" w:fill="auto"/>
            <w:vAlign w:val="center"/>
            <w:hideMark/>
          </w:tcPr>
          <w:p w14:paraId="4AD68B3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0,50</w:t>
            </w:r>
          </w:p>
        </w:tc>
        <w:tc>
          <w:tcPr>
            <w:tcW w:w="1267" w:type="dxa"/>
            <w:tcBorders>
              <w:top w:val="nil"/>
              <w:left w:val="nil"/>
              <w:bottom w:val="nil"/>
              <w:right w:val="nil"/>
            </w:tcBorders>
            <w:shd w:val="clear" w:color="auto" w:fill="auto"/>
            <w:vAlign w:val="center"/>
            <w:hideMark/>
          </w:tcPr>
          <w:p w14:paraId="23A862D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c>
          <w:tcPr>
            <w:tcW w:w="1134" w:type="dxa"/>
            <w:tcBorders>
              <w:top w:val="nil"/>
              <w:left w:val="nil"/>
              <w:bottom w:val="nil"/>
              <w:right w:val="nil"/>
            </w:tcBorders>
            <w:shd w:val="clear" w:color="auto" w:fill="auto"/>
            <w:vAlign w:val="center"/>
            <w:hideMark/>
          </w:tcPr>
          <w:p w14:paraId="0DE507C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w:t>
            </w:r>
          </w:p>
        </w:tc>
      </w:tr>
      <w:tr w:rsidR="008F776F" w:rsidRPr="008F776F" w14:paraId="5DF59BE8" w14:textId="77777777" w:rsidTr="00DB6666">
        <w:trPr>
          <w:trHeight w:val="256"/>
        </w:trPr>
        <w:tc>
          <w:tcPr>
            <w:tcW w:w="1134" w:type="dxa"/>
            <w:tcBorders>
              <w:top w:val="nil"/>
              <w:left w:val="nil"/>
              <w:bottom w:val="nil"/>
              <w:right w:val="nil"/>
            </w:tcBorders>
            <w:shd w:val="clear" w:color="auto" w:fill="auto"/>
            <w:vAlign w:val="center"/>
            <w:hideMark/>
          </w:tcPr>
          <w:p w14:paraId="321655D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1DE7BFEC"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5EBA77A8"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Ucrania</w:t>
            </w:r>
          </w:p>
        </w:tc>
        <w:tc>
          <w:tcPr>
            <w:tcW w:w="1001" w:type="dxa"/>
            <w:tcBorders>
              <w:top w:val="nil"/>
              <w:left w:val="nil"/>
              <w:bottom w:val="nil"/>
              <w:right w:val="nil"/>
            </w:tcBorders>
            <w:shd w:val="clear" w:color="auto" w:fill="auto"/>
            <w:vAlign w:val="center"/>
            <w:hideMark/>
          </w:tcPr>
          <w:p w14:paraId="328D475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70F6B03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42D419F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658C217C" w14:textId="77777777" w:rsidTr="00DB6666">
        <w:trPr>
          <w:trHeight w:val="256"/>
        </w:trPr>
        <w:tc>
          <w:tcPr>
            <w:tcW w:w="1134" w:type="dxa"/>
            <w:tcBorders>
              <w:top w:val="nil"/>
              <w:left w:val="nil"/>
              <w:bottom w:val="nil"/>
              <w:right w:val="nil"/>
            </w:tcBorders>
            <w:shd w:val="clear" w:color="auto" w:fill="auto"/>
            <w:vAlign w:val="center"/>
            <w:hideMark/>
          </w:tcPr>
          <w:p w14:paraId="326AF870"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c>
          <w:tcPr>
            <w:tcW w:w="1134" w:type="dxa"/>
            <w:tcBorders>
              <w:top w:val="nil"/>
              <w:left w:val="nil"/>
              <w:bottom w:val="nil"/>
              <w:right w:val="nil"/>
            </w:tcBorders>
            <w:shd w:val="clear" w:color="auto" w:fill="auto"/>
            <w:vAlign w:val="center"/>
            <w:hideMark/>
          </w:tcPr>
          <w:p w14:paraId="4CC99C6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c>
          <w:tcPr>
            <w:tcW w:w="3969" w:type="dxa"/>
            <w:tcBorders>
              <w:top w:val="nil"/>
              <w:left w:val="nil"/>
              <w:bottom w:val="nil"/>
              <w:right w:val="nil"/>
            </w:tcBorders>
            <w:shd w:val="clear" w:color="auto" w:fill="auto"/>
            <w:vAlign w:val="center"/>
            <w:hideMark/>
          </w:tcPr>
          <w:p w14:paraId="6D8212B4"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Unión Europea</w:t>
            </w:r>
          </w:p>
        </w:tc>
        <w:tc>
          <w:tcPr>
            <w:tcW w:w="1001" w:type="dxa"/>
            <w:tcBorders>
              <w:top w:val="nil"/>
              <w:left w:val="nil"/>
              <w:bottom w:val="nil"/>
              <w:right w:val="nil"/>
            </w:tcBorders>
            <w:shd w:val="clear" w:color="auto" w:fill="auto"/>
            <w:vAlign w:val="center"/>
            <w:hideMark/>
          </w:tcPr>
          <w:p w14:paraId="321463D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5,00</w:t>
            </w:r>
          </w:p>
        </w:tc>
        <w:tc>
          <w:tcPr>
            <w:tcW w:w="1267" w:type="dxa"/>
            <w:tcBorders>
              <w:top w:val="nil"/>
              <w:left w:val="nil"/>
              <w:bottom w:val="nil"/>
              <w:right w:val="nil"/>
            </w:tcBorders>
            <w:shd w:val="clear" w:color="auto" w:fill="auto"/>
            <w:vAlign w:val="center"/>
            <w:hideMark/>
          </w:tcPr>
          <w:p w14:paraId="534666CD"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c>
          <w:tcPr>
            <w:tcW w:w="1134" w:type="dxa"/>
            <w:tcBorders>
              <w:top w:val="nil"/>
              <w:left w:val="nil"/>
              <w:bottom w:val="nil"/>
              <w:right w:val="nil"/>
            </w:tcBorders>
            <w:shd w:val="clear" w:color="auto" w:fill="auto"/>
            <w:vAlign w:val="center"/>
            <w:hideMark/>
          </w:tcPr>
          <w:p w14:paraId="4EE2957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268.205</w:t>
            </w:r>
          </w:p>
        </w:tc>
      </w:tr>
      <w:tr w:rsidR="008F776F" w:rsidRPr="008F776F" w14:paraId="679F8E74" w14:textId="77777777" w:rsidTr="00DB6666">
        <w:trPr>
          <w:trHeight w:val="256"/>
        </w:trPr>
        <w:tc>
          <w:tcPr>
            <w:tcW w:w="1134" w:type="dxa"/>
            <w:tcBorders>
              <w:top w:val="nil"/>
              <w:left w:val="nil"/>
              <w:bottom w:val="nil"/>
              <w:right w:val="nil"/>
            </w:tcBorders>
            <w:shd w:val="clear" w:color="auto" w:fill="auto"/>
            <w:vAlign w:val="center"/>
            <w:hideMark/>
          </w:tcPr>
          <w:p w14:paraId="4BED818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718F6FC2"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hideMark/>
          </w:tcPr>
          <w:p w14:paraId="26BF6382"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Uruguay</w:t>
            </w:r>
          </w:p>
        </w:tc>
        <w:tc>
          <w:tcPr>
            <w:tcW w:w="1001" w:type="dxa"/>
            <w:tcBorders>
              <w:top w:val="nil"/>
              <w:left w:val="nil"/>
              <w:bottom w:val="nil"/>
              <w:right w:val="nil"/>
            </w:tcBorders>
            <w:shd w:val="clear" w:color="auto" w:fill="auto"/>
            <w:vAlign w:val="center"/>
            <w:hideMark/>
          </w:tcPr>
          <w:p w14:paraId="175939C9"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hideMark/>
          </w:tcPr>
          <w:p w14:paraId="550A996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hideMark/>
          </w:tcPr>
          <w:p w14:paraId="12ABE5E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34E07A0D" w14:textId="77777777" w:rsidTr="00DB6666">
        <w:trPr>
          <w:trHeight w:val="256"/>
        </w:trPr>
        <w:tc>
          <w:tcPr>
            <w:tcW w:w="1134" w:type="dxa"/>
            <w:tcBorders>
              <w:top w:val="nil"/>
              <w:left w:val="nil"/>
              <w:bottom w:val="nil"/>
              <w:right w:val="nil"/>
            </w:tcBorders>
            <w:shd w:val="clear" w:color="auto" w:fill="auto"/>
            <w:vAlign w:val="center"/>
          </w:tcPr>
          <w:p w14:paraId="6F28F98A"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tcPr>
          <w:p w14:paraId="11FA179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nil"/>
              <w:right w:val="nil"/>
            </w:tcBorders>
            <w:shd w:val="clear" w:color="auto" w:fill="auto"/>
            <w:vAlign w:val="center"/>
          </w:tcPr>
          <w:p w14:paraId="4267205E"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Uzbekistán</w:t>
            </w:r>
          </w:p>
        </w:tc>
        <w:tc>
          <w:tcPr>
            <w:tcW w:w="1001" w:type="dxa"/>
            <w:tcBorders>
              <w:top w:val="nil"/>
              <w:left w:val="nil"/>
              <w:bottom w:val="nil"/>
              <w:right w:val="nil"/>
            </w:tcBorders>
            <w:shd w:val="clear" w:color="auto" w:fill="auto"/>
            <w:vAlign w:val="center"/>
          </w:tcPr>
          <w:p w14:paraId="0951984F"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nil"/>
              <w:right w:val="nil"/>
            </w:tcBorders>
            <w:shd w:val="clear" w:color="auto" w:fill="auto"/>
            <w:vAlign w:val="center"/>
          </w:tcPr>
          <w:p w14:paraId="1A4CC03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nil"/>
              <w:right w:val="nil"/>
            </w:tcBorders>
            <w:shd w:val="clear" w:color="auto" w:fill="auto"/>
            <w:vAlign w:val="center"/>
          </w:tcPr>
          <w:p w14:paraId="0D774D63"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73401849" w14:textId="77777777" w:rsidTr="00DB6666">
        <w:trPr>
          <w:trHeight w:val="256"/>
        </w:trPr>
        <w:tc>
          <w:tcPr>
            <w:tcW w:w="1134" w:type="dxa"/>
            <w:tcBorders>
              <w:top w:val="nil"/>
              <w:left w:val="nil"/>
              <w:bottom w:val="single" w:sz="8" w:space="0" w:color="BFBFBF"/>
              <w:right w:val="nil"/>
            </w:tcBorders>
            <w:shd w:val="clear" w:color="auto" w:fill="auto"/>
            <w:vAlign w:val="center"/>
          </w:tcPr>
          <w:p w14:paraId="22B70936"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single" w:sz="8" w:space="0" w:color="BFBFBF"/>
              <w:right w:val="nil"/>
            </w:tcBorders>
            <w:shd w:val="clear" w:color="auto" w:fill="auto"/>
            <w:vAlign w:val="center"/>
          </w:tcPr>
          <w:p w14:paraId="62E910D7"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3969" w:type="dxa"/>
            <w:tcBorders>
              <w:top w:val="nil"/>
              <w:left w:val="nil"/>
              <w:bottom w:val="single" w:sz="8" w:space="0" w:color="BFBFBF"/>
              <w:right w:val="nil"/>
            </w:tcBorders>
            <w:shd w:val="clear" w:color="auto" w:fill="auto"/>
            <w:vAlign w:val="center"/>
          </w:tcPr>
          <w:p w14:paraId="2237F919" w14:textId="77777777" w:rsidR="008F776F" w:rsidRPr="008F776F" w:rsidRDefault="008F776F" w:rsidP="00DB6666">
            <w:pPr>
              <w:jc w:val="lef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 xml:space="preserve">Viet </w:t>
            </w:r>
            <w:proofErr w:type="spellStart"/>
            <w:r w:rsidRPr="008F776F">
              <w:rPr>
                <w:rFonts w:ascii="Arial Narrow" w:hAnsi="Arial Narrow"/>
                <w:color w:val="000000"/>
                <w:sz w:val="18"/>
                <w:lang w:val="es-ES_tradnl"/>
              </w:rPr>
              <w:t>Nam</w:t>
            </w:r>
            <w:proofErr w:type="spellEnd"/>
          </w:p>
        </w:tc>
        <w:tc>
          <w:tcPr>
            <w:tcW w:w="1001" w:type="dxa"/>
            <w:tcBorders>
              <w:top w:val="nil"/>
              <w:left w:val="nil"/>
              <w:bottom w:val="single" w:sz="8" w:space="0" w:color="BFBFBF"/>
              <w:right w:val="nil"/>
            </w:tcBorders>
            <w:shd w:val="clear" w:color="auto" w:fill="auto"/>
            <w:vAlign w:val="center"/>
          </w:tcPr>
          <w:p w14:paraId="585C0AA0"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0,20</w:t>
            </w:r>
          </w:p>
        </w:tc>
        <w:tc>
          <w:tcPr>
            <w:tcW w:w="1267" w:type="dxa"/>
            <w:tcBorders>
              <w:top w:val="nil"/>
              <w:left w:val="nil"/>
              <w:bottom w:val="single" w:sz="8" w:space="0" w:color="BFBFBF"/>
              <w:right w:val="nil"/>
            </w:tcBorders>
            <w:shd w:val="clear" w:color="auto" w:fill="auto"/>
            <w:vAlign w:val="center"/>
          </w:tcPr>
          <w:p w14:paraId="5E106E18"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c>
          <w:tcPr>
            <w:tcW w:w="1134" w:type="dxa"/>
            <w:tcBorders>
              <w:top w:val="nil"/>
              <w:left w:val="nil"/>
              <w:bottom w:val="single" w:sz="8" w:space="0" w:color="BFBFBF"/>
              <w:right w:val="nil"/>
            </w:tcBorders>
            <w:shd w:val="clear" w:color="auto" w:fill="auto"/>
            <w:vAlign w:val="center"/>
          </w:tcPr>
          <w:p w14:paraId="375C83FB" w14:textId="77777777" w:rsidR="008F776F" w:rsidRPr="008F776F" w:rsidRDefault="008F776F" w:rsidP="00DB6666">
            <w:pPr>
              <w:jc w:val="right"/>
              <w:rPr>
                <w:rFonts w:ascii="Arial Narrow" w:hAnsi="Arial Narrow" w:cs="Arial"/>
                <w:color w:val="000000"/>
                <w:sz w:val="18"/>
                <w:szCs w:val="18"/>
                <w:highlight w:val="cyan"/>
                <w:lang w:val="es-ES_tradnl"/>
              </w:rPr>
            </w:pPr>
            <w:r w:rsidRPr="008F776F">
              <w:rPr>
                <w:rFonts w:ascii="Arial Narrow" w:hAnsi="Arial Narrow"/>
                <w:color w:val="000000"/>
                <w:sz w:val="18"/>
                <w:lang w:val="es-ES_tradnl"/>
              </w:rPr>
              <w:t>10.728</w:t>
            </w:r>
          </w:p>
        </w:tc>
      </w:tr>
      <w:tr w:rsidR="008F776F" w:rsidRPr="008F776F" w14:paraId="05EFD2A4" w14:textId="77777777" w:rsidTr="00DB6666">
        <w:trPr>
          <w:trHeight w:val="275"/>
        </w:trPr>
        <w:tc>
          <w:tcPr>
            <w:tcW w:w="1134" w:type="dxa"/>
            <w:tcBorders>
              <w:top w:val="nil"/>
              <w:left w:val="nil"/>
              <w:bottom w:val="single" w:sz="8" w:space="0" w:color="BFBFBF"/>
              <w:right w:val="nil"/>
            </w:tcBorders>
            <w:shd w:val="clear" w:color="auto" w:fill="auto"/>
            <w:vAlign w:val="center"/>
            <w:hideMark/>
          </w:tcPr>
          <w:p w14:paraId="7CF09C21" w14:textId="77777777" w:rsidR="008F776F" w:rsidRPr="008F776F" w:rsidRDefault="008F776F" w:rsidP="00DB6666">
            <w:pPr>
              <w:jc w:val="right"/>
              <w:rPr>
                <w:rFonts w:ascii="Arial Narrow" w:hAnsi="Arial Narrow" w:cs="Arial"/>
                <w:b/>
                <w:bCs/>
                <w:color w:val="000000"/>
                <w:sz w:val="18"/>
                <w:szCs w:val="18"/>
                <w:highlight w:val="cyan"/>
                <w:lang w:val="es-ES_tradnl"/>
              </w:rPr>
            </w:pPr>
            <w:r w:rsidRPr="008F776F">
              <w:rPr>
                <w:rFonts w:ascii="Arial Narrow" w:hAnsi="Arial Narrow"/>
                <w:b/>
                <w:color w:val="000000"/>
                <w:sz w:val="18"/>
                <w:lang w:val="es-ES_tradnl"/>
              </w:rPr>
              <w:t>3.569.798</w:t>
            </w:r>
          </w:p>
        </w:tc>
        <w:tc>
          <w:tcPr>
            <w:tcW w:w="1134" w:type="dxa"/>
            <w:tcBorders>
              <w:top w:val="nil"/>
              <w:left w:val="nil"/>
              <w:bottom w:val="single" w:sz="8" w:space="0" w:color="BFBFBF"/>
              <w:right w:val="nil"/>
            </w:tcBorders>
            <w:shd w:val="clear" w:color="auto" w:fill="auto"/>
            <w:vAlign w:val="center"/>
            <w:hideMark/>
          </w:tcPr>
          <w:p w14:paraId="35A2A8AE" w14:textId="77777777" w:rsidR="008F776F" w:rsidRPr="008F776F" w:rsidRDefault="008F776F" w:rsidP="00DB6666">
            <w:pPr>
              <w:jc w:val="right"/>
              <w:rPr>
                <w:rFonts w:ascii="Arial Narrow" w:hAnsi="Arial Narrow" w:cs="Arial"/>
                <w:b/>
                <w:bCs/>
                <w:color w:val="000000"/>
                <w:sz w:val="18"/>
                <w:szCs w:val="18"/>
                <w:highlight w:val="cyan"/>
                <w:lang w:val="es-ES_tradnl"/>
              </w:rPr>
            </w:pPr>
            <w:r w:rsidRPr="008F776F">
              <w:rPr>
                <w:rFonts w:ascii="Arial Narrow" w:hAnsi="Arial Narrow"/>
                <w:b/>
                <w:color w:val="000000"/>
                <w:sz w:val="18"/>
                <w:lang w:val="es-ES_tradnl"/>
              </w:rPr>
              <w:t>3.569.798</w:t>
            </w:r>
          </w:p>
        </w:tc>
        <w:tc>
          <w:tcPr>
            <w:tcW w:w="3969" w:type="dxa"/>
            <w:tcBorders>
              <w:top w:val="nil"/>
              <w:left w:val="nil"/>
              <w:bottom w:val="single" w:sz="8" w:space="0" w:color="BFBFBF"/>
              <w:right w:val="nil"/>
            </w:tcBorders>
            <w:shd w:val="clear" w:color="auto" w:fill="auto"/>
            <w:vAlign w:val="center"/>
            <w:hideMark/>
          </w:tcPr>
          <w:p w14:paraId="3C2DFD71" w14:textId="77777777" w:rsidR="008F776F" w:rsidRPr="008F776F" w:rsidRDefault="008F776F" w:rsidP="00DB6666">
            <w:pPr>
              <w:jc w:val="right"/>
              <w:rPr>
                <w:rFonts w:ascii="Arial Narrow" w:hAnsi="Arial Narrow" w:cs="Arial"/>
                <w:b/>
                <w:bCs/>
                <w:color w:val="000000"/>
                <w:sz w:val="18"/>
                <w:szCs w:val="18"/>
                <w:highlight w:val="cyan"/>
                <w:lang w:val="es-ES_tradnl"/>
              </w:rPr>
            </w:pPr>
            <w:r w:rsidRPr="008F776F">
              <w:rPr>
                <w:rFonts w:ascii="Arial Narrow" w:hAnsi="Arial Narrow"/>
                <w:b/>
                <w:color w:val="000000"/>
                <w:sz w:val="18"/>
                <w:vertAlign w:val="superscript"/>
                <w:lang w:val="es-ES_tradnl"/>
              </w:rPr>
              <w:t> </w:t>
            </w:r>
          </w:p>
        </w:tc>
        <w:tc>
          <w:tcPr>
            <w:tcW w:w="1001" w:type="dxa"/>
            <w:tcBorders>
              <w:top w:val="nil"/>
              <w:left w:val="nil"/>
              <w:bottom w:val="single" w:sz="8" w:space="0" w:color="BFBFBF"/>
              <w:right w:val="nil"/>
            </w:tcBorders>
            <w:shd w:val="clear" w:color="auto" w:fill="auto"/>
            <w:vAlign w:val="center"/>
            <w:hideMark/>
          </w:tcPr>
          <w:p w14:paraId="4B60B6E9" w14:textId="77777777" w:rsidR="008F776F" w:rsidRPr="008F776F" w:rsidRDefault="008F776F" w:rsidP="00DB6666">
            <w:pPr>
              <w:jc w:val="right"/>
              <w:rPr>
                <w:rFonts w:ascii="Arial Narrow" w:hAnsi="Arial Narrow" w:cs="Arial"/>
                <w:b/>
                <w:bCs/>
                <w:color w:val="000000"/>
                <w:sz w:val="18"/>
                <w:szCs w:val="18"/>
                <w:highlight w:val="cyan"/>
                <w:lang w:val="es-ES_tradnl"/>
              </w:rPr>
            </w:pPr>
            <w:r w:rsidRPr="008F776F">
              <w:rPr>
                <w:rFonts w:ascii="Arial Narrow" w:hAnsi="Arial Narrow"/>
                <w:b/>
                <w:color w:val="000000"/>
                <w:sz w:val="18"/>
                <w:lang w:val="es-ES_tradnl"/>
              </w:rPr>
              <w:t>66,55</w:t>
            </w:r>
          </w:p>
        </w:tc>
        <w:tc>
          <w:tcPr>
            <w:tcW w:w="1267" w:type="dxa"/>
            <w:tcBorders>
              <w:top w:val="nil"/>
              <w:left w:val="nil"/>
              <w:bottom w:val="single" w:sz="8" w:space="0" w:color="BFBFBF"/>
              <w:right w:val="nil"/>
            </w:tcBorders>
            <w:shd w:val="clear" w:color="auto" w:fill="auto"/>
            <w:vAlign w:val="center"/>
            <w:hideMark/>
          </w:tcPr>
          <w:p w14:paraId="5855E0D5" w14:textId="77777777" w:rsidR="008F776F" w:rsidRPr="008F776F" w:rsidRDefault="008F776F" w:rsidP="00DB6666">
            <w:pPr>
              <w:jc w:val="right"/>
              <w:rPr>
                <w:rFonts w:ascii="Arial Narrow" w:hAnsi="Arial Narrow" w:cs="Arial"/>
                <w:b/>
                <w:bCs/>
                <w:color w:val="000000"/>
                <w:sz w:val="18"/>
                <w:szCs w:val="18"/>
                <w:highlight w:val="cyan"/>
                <w:lang w:val="es-ES_tradnl"/>
              </w:rPr>
            </w:pPr>
            <w:r w:rsidRPr="008F776F">
              <w:rPr>
                <w:rFonts w:ascii="Arial Narrow" w:hAnsi="Arial Narrow"/>
                <w:b/>
                <w:color w:val="000000"/>
                <w:sz w:val="18"/>
                <w:lang w:val="es-ES_tradnl"/>
              </w:rPr>
              <w:t>3.569.798</w:t>
            </w:r>
          </w:p>
        </w:tc>
        <w:tc>
          <w:tcPr>
            <w:tcW w:w="1134" w:type="dxa"/>
            <w:tcBorders>
              <w:top w:val="nil"/>
              <w:left w:val="nil"/>
              <w:bottom w:val="single" w:sz="8" w:space="0" w:color="BFBFBF"/>
              <w:right w:val="nil"/>
            </w:tcBorders>
            <w:shd w:val="clear" w:color="auto" w:fill="auto"/>
            <w:vAlign w:val="center"/>
            <w:hideMark/>
          </w:tcPr>
          <w:p w14:paraId="719F4390" w14:textId="77777777" w:rsidR="008F776F" w:rsidRPr="008F776F" w:rsidRDefault="008F776F" w:rsidP="00DB6666">
            <w:pPr>
              <w:jc w:val="right"/>
              <w:rPr>
                <w:rFonts w:ascii="Arial Narrow" w:hAnsi="Arial Narrow" w:cs="Arial"/>
                <w:b/>
                <w:bCs/>
                <w:color w:val="000000"/>
                <w:sz w:val="18"/>
                <w:szCs w:val="18"/>
                <w:highlight w:val="cyan"/>
                <w:lang w:val="es-ES_tradnl"/>
              </w:rPr>
            </w:pPr>
            <w:r w:rsidRPr="008F776F">
              <w:rPr>
                <w:rFonts w:ascii="Arial Narrow" w:hAnsi="Arial Narrow"/>
                <w:b/>
                <w:color w:val="000000"/>
                <w:sz w:val="18"/>
                <w:lang w:val="es-ES_tradnl"/>
              </w:rPr>
              <w:t>3.569.798</w:t>
            </w:r>
          </w:p>
        </w:tc>
      </w:tr>
    </w:tbl>
    <w:p w14:paraId="5C70A3A2" w14:textId="77777777" w:rsidR="008F776F" w:rsidRPr="008F776F" w:rsidRDefault="008F776F" w:rsidP="008F776F">
      <w:pPr>
        <w:rPr>
          <w:lang w:val="es-ES_tradnl"/>
        </w:rPr>
      </w:pPr>
    </w:p>
    <w:p w14:paraId="684277AF" w14:textId="77777777" w:rsidR="008F776F" w:rsidRPr="008F776F" w:rsidRDefault="008F776F" w:rsidP="008F776F">
      <w:pPr>
        <w:rPr>
          <w:lang w:val="es-ES_tradnl"/>
        </w:rPr>
      </w:pPr>
    </w:p>
    <w:p w14:paraId="58F65BC0" w14:textId="77777777" w:rsidR="008F776F" w:rsidRPr="008F776F" w:rsidRDefault="008F776F" w:rsidP="008F776F">
      <w:pPr>
        <w:rPr>
          <w:lang w:val="es-ES_tradnl"/>
        </w:rPr>
      </w:pPr>
    </w:p>
    <w:p w14:paraId="7E2AB328" w14:textId="77777777" w:rsidR="008F776F" w:rsidRPr="008F776F" w:rsidRDefault="008F776F" w:rsidP="008F776F">
      <w:pPr>
        <w:pStyle w:val="Endofdocument"/>
        <w:tabs>
          <w:tab w:val="decimal" w:pos="9071"/>
        </w:tabs>
        <w:ind w:right="-1"/>
        <w:jc w:val="right"/>
        <w:rPr>
          <w:lang w:val="es-ES_tradnl"/>
        </w:rPr>
      </w:pPr>
      <w:r w:rsidRPr="008F776F">
        <w:rPr>
          <w:rFonts w:ascii="Arial" w:hAnsi="Arial"/>
          <w:snapToGrid w:val="0"/>
          <w:sz w:val="20"/>
          <w:lang w:val="es-ES_tradnl"/>
        </w:rPr>
        <w:t>[Sigue el Apéndice III]</w:t>
      </w:r>
    </w:p>
    <w:p w14:paraId="472800A3" w14:textId="77777777" w:rsidR="008F776F" w:rsidRPr="008F776F" w:rsidRDefault="008F776F" w:rsidP="008F776F">
      <w:pPr>
        <w:rPr>
          <w:rFonts w:cs="Arial"/>
          <w:b/>
          <w:color w:val="0000FF"/>
          <w:lang w:val="es-ES_tradnl"/>
        </w:rPr>
        <w:sectPr w:rsidR="008F776F" w:rsidRPr="008F776F" w:rsidSect="00277D28">
          <w:headerReference w:type="even" r:id="rId31"/>
          <w:headerReference w:type="default" r:id="rId32"/>
          <w:footerReference w:type="even" r:id="rId33"/>
          <w:footerReference w:type="default" r:id="rId34"/>
          <w:headerReference w:type="first" r:id="rId35"/>
          <w:footerReference w:type="first" r:id="rId36"/>
          <w:pgSz w:w="11907" w:h="16840" w:code="9"/>
          <w:pgMar w:top="510" w:right="1134" w:bottom="1134" w:left="1134" w:header="510" w:footer="624" w:gutter="0"/>
          <w:cols w:space="720"/>
          <w:docGrid w:linePitch="272"/>
        </w:sectPr>
      </w:pPr>
      <w:r w:rsidRPr="008F776F">
        <w:rPr>
          <w:b/>
          <w:color w:val="0000FF"/>
          <w:lang w:val="es-ES_tradnl"/>
        </w:rPr>
        <w:t xml:space="preserve"> </w:t>
      </w:r>
    </w:p>
    <w:p w14:paraId="64AD57D6" w14:textId="77777777" w:rsidR="008F776F" w:rsidRPr="008F776F" w:rsidRDefault="008F776F" w:rsidP="008F776F">
      <w:pPr>
        <w:pStyle w:val="Heading9"/>
        <w:ind w:left="1985" w:hanging="1985"/>
        <w:rPr>
          <w:b w:val="0"/>
          <w:lang w:val="es-ES_tradnl"/>
        </w:rPr>
      </w:pPr>
      <w:bookmarkStart w:id="493" w:name="_Toc64471223"/>
      <w:bookmarkStart w:id="494" w:name="_Toc141978872"/>
      <w:r w:rsidRPr="008F776F">
        <w:rPr>
          <w:lang w:val="es-ES_tradnl"/>
        </w:rPr>
        <w:lastRenderedPageBreak/>
        <w:t>APÉNDICE III</w:t>
      </w:r>
      <w:r w:rsidRPr="008F776F">
        <w:rPr>
          <w:lang w:val="es-ES_tradnl"/>
        </w:rPr>
        <w:tab/>
      </w:r>
      <w:r w:rsidRPr="008F776F">
        <w:rPr>
          <w:spacing w:val="-4"/>
          <w:lang w:val="es-ES_tradnl"/>
        </w:rPr>
        <w:t>Definición de las fuentes de ingresos y categorías de gasto</w:t>
      </w:r>
      <w:bookmarkEnd w:id="493"/>
      <w:bookmarkEnd w:id="494"/>
    </w:p>
    <w:p w14:paraId="690F98C9" w14:textId="77777777" w:rsidR="008F776F" w:rsidRPr="008F776F" w:rsidRDefault="008F776F" w:rsidP="008F776F">
      <w:pPr>
        <w:rPr>
          <w:lang w:val="es-ES_tradnl"/>
        </w:rPr>
      </w:pPr>
    </w:p>
    <w:p w14:paraId="16655461" w14:textId="77777777" w:rsidR="008F776F" w:rsidRPr="008F776F" w:rsidRDefault="008F776F" w:rsidP="008F776F">
      <w:pPr>
        <w:rPr>
          <w:lang w:val="es-ES_tradnl"/>
        </w:rPr>
      </w:pPr>
    </w:p>
    <w:p w14:paraId="4862BC4B" w14:textId="77777777" w:rsidR="008F776F" w:rsidRPr="008F776F" w:rsidRDefault="008F776F" w:rsidP="008F776F">
      <w:pPr>
        <w:rPr>
          <w:color w:val="26724C" w:themeColor="accent1" w:themeShade="BF"/>
          <w:sz w:val="28"/>
          <w:lang w:val="es-ES_tradnl"/>
        </w:rPr>
      </w:pPr>
      <w:r w:rsidRPr="008F776F">
        <w:rPr>
          <w:color w:val="26724C" w:themeColor="accent1" w:themeShade="BF"/>
          <w:sz w:val="28"/>
          <w:lang w:val="es-ES_tradnl"/>
        </w:rPr>
        <w:t>Fuentes de ingresos</w:t>
      </w:r>
    </w:p>
    <w:p w14:paraId="0EDE65C9" w14:textId="77777777" w:rsidR="008F776F" w:rsidRPr="008F776F" w:rsidRDefault="008F776F" w:rsidP="008F776F">
      <w:pPr>
        <w:rPr>
          <w:lang w:val="es-ES_tradnl"/>
        </w:rPr>
      </w:pPr>
    </w:p>
    <w:p w14:paraId="04F39003" w14:textId="77777777" w:rsidR="008F776F" w:rsidRPr="008F776F" w:rsidRDefault="008F776F" w:rsidP="008F776F">
      <w:pPr>
        <w:rPr>
          <w:lang w:val="es-ES_tradnl"/>
        </w:rPr>
      </w:pPr>
      <w:r w:rsidRPr="008F776F">
        <w:rPr>
          <w:lang w:val="es-ES_tradnl"/>
        </w:rPr>
        <w:t>Contribuciones: contribuciones de los miembros de la Unión en virtud del Convenio de la UPOV (artículo 29 del Acta de 1991 y artículo 26 del Acta de 1978).</w:t>
      </w:r>
    </w:p>
    <w:p w14:paraId="0EE87B37" w14:textId="77777777" w:rsidR="008F776F" w:rsidRPr="008F776F" w:rsidRDefault="008F776F" w:rsidP="008F776F">
      <w:pPr>
        <w:rPr>
          <w:lang w:val="es-ES_tradnl"/>
        </w:rPr>
      </w:pPr>
    </w:p>
    <w:p w14:paraId="07CBA255" w14:textId="77777777" w:rsidR="008F776F" w:rsidRPr="008F776F" w:rsidRDefault="008F776F" w:rsidP="008F776F">
      <w:pPr>
        <w:spacing w:after="40"/>
        <w:rPr>
          <w:lang w:val="es-ES_tradnl"/>
        </w:rPr>
      </w:pPr>
      <w:r w:rsidRPr="008F776F">
        <w:rPr>
          <w:lang w:val="es-ES_tradnl"/>
        </w:rPr>
        <w:t>Tasas por herramientas y servicios informáticos de la UPOV: tasas en concepto de bases de datos y herramientas y servicios informáticos de la UPOV.</w:t>
      </w:r>
    </w:p>
    <w:p w14:paraId="2A1F56F2" w14:textId="77777777" w:rsidR="008F776F" w:rsidRPr="008F776F" w:rsidRDefault="008F776F" w:rsidP="008F776F">
      <w:pPr>
        <w:rPr>
          <w:lang w:val="es-ES_tradnl"/>
        </w:rPr>
      </w:pPr>
    </w:p>
    <w:p w14:paraId="0F574102" w14:textId="77777777" w:rsidR="008F776F" w:rsidRPr="008F776F" w:rsidRDefault="008F776F" w:rsidP="008F776F">
      <w:pPr>
        <w:spacing w:after="40"/>
        <w:rPr>
          <w:lang w:val="es-ES_tradnl"/>
        </w:rPr>
      </w:pPr>
      <w:r w:rsidRPr="008F776F">
        <w:rPr>
          <w:lang w:val="es-ES_tradnl"/>
        </w:rPr>
        <w:t>Ingresos diversos: ajustes contables (créditos) respecto de años anteriores, ajustes por fluctuación cambiaria, ingresos destinados a sufragar los gastos relativos a actividades extrapresupuestarias ejecutadas por la UPOV y financiadas mediante fondos fiduciarios, y tasas de los programas de enseñanza a distancia.</w:t>
      </w:r>
    </w:p>
    <w:p w14:paraId="21659AF5" w14:textId="77777777" w:rsidR="008F776F" w:rsidRPr="008F776F" w:rsidRDefault="008F776F" w:rsidP="008F776F">
      <w:pPr>
        <w:rPr>
          <w:sz w:val="24"/>
          <w:lang w:val="es-ES_tradnl"/>
        </w:rPr>
      </w:pPr>
    </w:p>
    <w:p w14:paraId="51F66971" w14:textId="77777777" w:rsidR="008F776F" w:rsidRPr="008F776F" w:rsidRDefault="008F776F" w:rsidP="008F776F">
      <w:pPr>
        <w:rPr>
          <w:sz w:val="24"/>
          <w:lang w:val="es-ES_tradnl"/>
        </w:rPr>
      </w:pPr>
    </w:p>
    <w:p w14:paraId="7537F5FB" w14:textId="77777777" w:rsidR="008F776F" w:rsidRPr="008F776F" w:rsidRDefault="008F776F" w:rsidP="008F776F">
      <w:pPr>
        <w:rPr>
          <w:color w:val="26724C" w:themeColor="accent1" w:themeShade="BF"/>
          <w:sz w:val="28"/>
          <w:szCs w:val="24"/>
          <w:lang w:val="es-ES_tradnl"/>
        </w:rPr>
      </w:pPr>
      <w:r w:rsidRPr="008F776F">
        <w:rPr>
          <w:color w:val="26724C" w:themeColor="accent1" w:themeShade="BF"/>
          <w:sz w:val="28"/>
          <w:lang w:val="es-ES_tradnl"/>
        </w:rPr>
        <w:t>Categorías de gasto</w:t>
      </w:r>
    </w:p>
    <w:p w14:paraId="7EE48787" w14:textId="77777777" w:rsidR="008F776F" w:rsidRPr="008F776F" w:rsidRDefault="008F776F" w:rsidP="008F776F">
      <w:pPr>
        <w:rPr>
          <w:lang w:val="es-ES_tradnl"/>
        </w:rPr>
      </w:pPr>
    </w:p>
    <w:p w14:paraId="2030553C" w14:textId="77777777" w:rsidR="008F776F" w:rsidRPr="008F776F" w:rsidRDefault="008F776F" w:rsidP="008F776F">
      <w:pPr>
        <w:rPr>
          <w:b/>
          <w:color w:val="26724C" w:themeColor="accent1" w:themeShade="BF"/>
          <w:lang w:val="es-ES_tradnl"/>
        </w:rPr>
      </w:pPr>
      <w:r w:rsidRPr="008F776F">
        <w:rPr>
          <w:b/>
          <w:color w:val="26724C" w:themeColor="accent1" w:themeShade="BF"/>
          <w:lang w:val="es-ES_tradnl"/>
        </w:rPr>
        <w:t>Recursos de personal</w:t>
      </w:r>
    </w:p>
    <w:p w14:paraId="794296C4" w14:textId="77777777" w:rsidR="008F776F" w:rsidRPr="008F776F" w:rsidRDefault="008F776F" w:rsidP="008F776F">
      <w:pPr>
        <w:rPr>
          <w:lang w:val="es-ES_tradnl"/>
        </w:rPr>
      </w:pPr>
    </w:p>
    <w:p w14:paraId="0A9ED158" w14:textId="77777777" w:rsidR="008F776F" w:rsidRPr="008F776F" w:rsidRDefault="008F776F" w:rsidP="008F776F">
      <w:pPr>
        <w:spacing w:after="40"/>
        <w:rPr>
          <w:lang w:val="es-ES_tradnl"/>
        </w:rPr>
      </w:pPr>
      <w:r w:rsidRPr="008F776F">
        <w:rPr>
          <w:b/>
          <w:lang w:val="es-ES_tradnl"/>
        </w:rPr>
        <w:t xml:space="preserve">Puestos: </w:t>
      </w:r>
      <w:r w:rsidRPr="008F776F">
        <w:rPr>
          <w:lang w:val="es-ES_tradnl"/>
        </w:rPr>
        <w:t>remuneración recibida por los miembros del personal, en particular, sueldos, ajustes por lugar de destino, prestaciones por personas a cargo, primas de idiomas y horas extraordinarias, subsidios de no residentes, primas por asignación y subsidios por gastos de representación.</w:t>
      </w:r>
    </w:p>
    <w:p w14:paraId="09D1E56E" w14:textId="77777777" w:rsidR="008F776F" w:rsidRPr="008F776F" w:rsidRDefault="008F776F" w:rsidP="008F776F">
      <w:pPr>
        <w:rPr>
          <w:color w:val="7F7F7F" w:themeColor="text1" w:themeTint="80"/>
          <w:lang w:val="es-ES_tradnl"/>
        </w:rPr>
      </w:pPr>
    </w:p>
    <w:p w14:paraId="545B52E0" w14:textId="77777777" w:rsidR="008F776F" w:rsidRPr="008F776F" w:rsidRDefault="008F776F" w:rsidP="008F776F">
      <w:pPr>
        <w:rPr>
          <w:lang w:val="es-ES_tradnl"/>
        </w:rPr>
      </w:pPr>
      <w:r w:rsidRPr="008F776F">
        <w:rPr>
          <w:b/>
          <w:lang w:val="es-ES_tradnl"/>
        </w:rPr>
        <w:t xml:space="preserve">Personal temporal: </w:t>
      </w:r>
      <w:r w:rsidRPr="008F776F">
        <w:rPr>
          <w:lang w:val="es-ES_tradnl"/>
        </w:rPr>
        <w:t>remuneración y subsidios pagados a profesionales o empleados de servicios generales con contratos de corta duración.</w:t>
      </w:r>
    </w:p>
    <w:p w14:paraId="4E8731C4" w14:textId="77777777" w:rsidR="008F776F" w:rsidRPr="008F776F" w:rsidRDefault="008F776F" w:rsidP="008F776F">
      <w:pPr>
        <w:rPr>
          <w:lang w:val="es-ES_tradnl"/>
        </w:rPr>
      </w:pPr>
    </w:p>
    <w:p w14:paraId="338D169A" w14:textId="77777777" w:rsidR="008F776F" w:rsidRPr="008F776F" w:rsidRDefault="008F776F" w:rsidP="008F776F">
      <w:pPr>
        <w:rPr>
          <w:b/>
          <w:color w:val="26724C" w:themeColor="accent1" w:themeShade="BF"/>
          <w:lang w:val="es-ES_tradnl"/>
        </w:rPr>
      </w:pPr>
      <w:r w:rsidRPr="008F776F">
        <w:rPr>
          <w:b/>
          <w:color w:val="26724C" w:themeColor="accent1" w:themeShade="BF"/>
          <w:lang w:val="es-ES_tradnl"/>
        </w:rPr>
        <w:t>Recursos no relativos a personal</w:t>
      </w:r>
    </w:p>
    <w:p w14:paraId="46A8E916" w14:textId="77777777" w:rsidR="008F776F" w:rsidRPr="008F776F" w:rsidRDefault="008F776F" w:rsidP="008F776F">
      <w:pPr>
        <w:rPr>
          <w:b/>
          <w:color w:val="26724C" w:themeColor="accent1" w:themeShade="BF"/>
          <w:lang w:val="es-ES_tradnl"/>
        </w:rPr>
      </w:pPr>
    </w:p>
    <w:p w14:paraId="5902D459" w14:textId="77777777" w:rsidR="008F776F" w:rsidRPr="008F776F" w:rsidRDefault="008F776F" w:rsidP="008F776F">
      <w:pPr>
        <w:rPr>
          <w:rFonts w:cs="Arial"/>
          <w:bCs/>
          <w:i/>
          <w:color w:val="26724C" w:themeColor="accent1" w:themeShade="BF"/>
          <w:lang w:val="es-ES_tradnl"/>
        </w:rPr>
      </w:pPr>
      <w:r w:rsidRPr="008F776F">
        <w:rPr>
          <w:i/>
          <w:color w:val="26724C" w:themeColor="accent1" w:themeShade="BF"/>
          <w:lang w:val="es-ES_tradnl"/>
        </w:rPr>
        <w:t>Pasantías y becas</w:t>
      </w:r>
    </w:p>
    <w:p w14:paraId="5C992EA0" w14:textId="77777777" w:rsidR="008F776F" w:rsidRPr="008F776F" w:rsidRDefault="008F776F" w:rsidP="008F776F">
      <w:pPr>
        <w:rPr>
          <w:rFonts w:cs="Arial"/>
          <w:lang w:val="es-ES_tradnl"/>
        </w:rPr>
      </w:pPr>
    </w:p>
    <w:p w14:paraId="7B9E9739" w14:textId="77777777" w:rsidR="008F776F" w:rsidRPr="008F776F" w:rsidRDefault="008F776F" w:rsidP="008F776F">
      <w:pPr>
        <w:rPr>
          <w:rFonts w:cs="Arial"/>
          <w:lang w:val="es-ES_tradnl"/>
        </w:rPr>
      </w:pPr>
      <w:r w:rsidRPr="008F776F">
        <w:rPr>
          <w:b/>
          <w:lang w:val="es-ES_tradnl"/>
        </w:rPr>
        <w:t xml:space="preserve">Pasantías: </w:t>
      </w:r>
      <w:r w:rsidRPr="008F776F">
        <w:rPr>
          <w:lang w:val="es-ES_tradnl"/>
        </w:rPr>
        <w:t>remuneración y subsidios pagados a los pasantes.</w:t>
      </w:r>
    </w:p>
    <w:p w14:paraId="0E1C6384" w14:textId="77777777" w:rsidR="008F776F" w:rsidRPr="008F776F" w:rsidRDefault="008F776F" w:rsidP="008F776F">
      <w:pPr>
        <w:rPr>
          <w:lang w:val="es-ES_tradnl"/>
        </w:rPr>
      </w:pPr>
    </w:p>
    <w:p w14:paraId="72227187" w14:textId="77777777" w:rsidR="008F776F" w:rsidRPr="008F776F" w:rsidRDefault="008F776F" w:rsidP="008F776F">
      <w:pPr>
        <w:rPr>
          <w:rFonts w:cs="Arial"/>
          <w:lang w:val="es-ES_tradnl"/>
        </w:rPr>
      </w:pPr>
      <w:r w:rsidRPr="008F776F">
        <w:rPr>
          <w:b/>
          <w:lang w:val="es-ES_tradnl"/>
        </w:rPr>
        <w:t>Becas:</w:t>
      </w:r>
      <w:r w:rsidRPr="008F776F">
        <w:rPr>
          <w:lang w:val="es-ES_tradnl"/>
        </w:rPr>
        <w:t xml:space="preserve"> gastos relacionados con una actividad de formación para la que se concede una subvención económica a personas cualificadas a fin de que cumplan determinados objetivos de aprendizaje.</w:t>
      </w:r>
    </w:p>
    <w:p w14:paraId="2E6A3930" w14:textId="77777777" w:rsidR="008F776F" w:rsidRPr="008F776F" w:rsidRDefault="008F776F" w:rsidP="008F776F">
      <w:pPr>
        <w:rPr>
          <w:u w:val="single"/>
          <w:lang w:val="es-ES_tradnl"/>
        </w:rPr>
      </w:pPr>
    </w:p>
    <w:p w14:paraId="3C20A4B4" w14:textId="77777777" w:rsidR="008F776F" w:rsidRPr="008F776F" w:rsidRDefault="008F776F" w:rsidP="008F776F">
      <w:pPr>
        <w:rPr>
          <w:rFonts w:cs="Arial"/>
          <w:bCs/>
          <w:i/>
          <w:color w:val="26724C" w:themeColor="accent1" w:themeShade="BF"/>
          <w:lang w:val="es-ES_tradnl"/>
        </w:rPr>
      </w:pPr>
      <w:r w:rsidRPr="008F776F">
        <w:rPr>
          <w:i/>
          <w:color w:val="26724C" w:themeColor="accent1" w:themeShade="BF"/>
          <w:lang w:val="es-ES_tradnl"/>
        </w:rPr>
        <w:t>Viajes, formación y subsidios</w:t>
      </w:r>
    </w:p>
    <w:p w14:paraId="4B5B650E" w14:textId="77777777" w:rsidR="008F776F" w:rsidRPr="008F776F" w:rsidRDefault="008F776F" w:rsidP="008F776F">
      <w:pPr>
        <w:rPr>
          <w:u w:val="single"/>
          <w:lang w:val="es-ES_tradnl"/>
        </w:rPr>
      </w:pPr>
    </w:p>
    <w:p w14:paraId="0C40B7DC" w14:textId="77777777" w:rsidR="008F776F" w:rsidRPr="008F776F" w:rsidRDefault="008F776F" w:rsidP="008F776F">
      <w:pPr>
        <w:rPr>
          <w:rFonts w:cs="Arial"/>
          <w:color w:val="000000"/>
          <w:lang w:val="es-ES_tradnl"/>
        </w:rPr>
      </w:pPr>
      <w:r w:rsidRPr="008F776F">
        <w:rPr>
          <w:b/>
          <w:color w:val="000000"/>
          <w:lang w:val="es-ES_tradnl"/>
        </w:rPr>
        <w:t xml:space="preserve">Misiones del personal: </w:t>
      </w:r>
      <w:r w:rsidRPr="008F776F">
        <w:rPr>
          <w:color w:val="000000"/>
          <w:lang w:val="es-ES_tradnl"/>
        </w:rPr>
        <w:t>gastos de viaje y dietas para el personal que efectúa viajes oficiales.</w:t>
      </w:r>
    </w:p>
    <w:p w14:paraId="29DA2A5F" w14:textId="77777777" w:rsidR="008F776F" w:rsidRPr="008F776F" w:rsidRDefault="008F776F" w:rsidP="008F776F">
      <w:pPr>
        <w:rPr>
          <w:lang w:val="es-ES_tradnl"/>
        </w:rPr>
      </w:pPr>
    </w:p>
    <w:p w14:paraId="319841E0" w14:textId="77777777" w:rsidR="008F776F" w:rsidRPr="008F776F" w:rsidRDefault="008F776F" w:rsidP="008F776F">
      <w:pPr>
        <w:rPr>
          <w:rFonts w:cs="Arial"/>
          <w:color w:val="000000"/>
          <w:lang w:val="es-ES_tradnl"/>
        </w:rPr>
      </w:pPr>
      <w:r w:rsidRPr="008F776F">
        <w:rPr>
          <w:b/>
          <w:color w:val="000000"/>
          <w:lang w:val="es-ES_tradnl"/>
        </w:rPr>
        <w:t xml:space="preserve">Viajes de terceros: </w:t>
      </w:r>
      <w:r w:rsidRPr="008F776F">
        <w:rPr>
          <w:color w:val="000000"/>
          <w:lang w:val="es-ES_tradnl"/>
        </w:rPr>
        <w:t>gastos de viaje y dietas para terceros, incluidos los gastos de viaje de funcionarios gubernamentales, participantes y conferenciantes que asistan a reuniones financiadas por la UPOV.</w:t>
      </w:r>
    </w:p>
    <w:p w14:paraId="3923ED2A" w14:textId="77777777" w:rsidR="008F776F" w:rsidRPr="008F776F" w:rsidRDefault="008F776F" w:rsidP="008F776F">
      <w:pPr>
        <w:rPr>
          <w:lang w:val="es-ES_tradnl"/>
        </w:rPr>
      </w:pPr>
    </w:p>
    <w:p w14:paraId="324E4657" w14:textId="77777777" w:rsidR="008F776F" w:rsidRPr="008F776F" w:rsidRDefault="008F776F" w:rsidP="008F776F">
      <w:pPr>
        <w:rPr>
          <w:rFonts w:cs="Arial"/>
          <w:color w:val="000000"/>
          <w:lang w:val="es-ES_tradnl"/>
        </w:rPr>
      </w:pPr>
      <w:r w:rsidRPr="008F776F">
        <w:rPr>
          <w:b/>
          <w:color w:val="000000"/>
          <w:lang w:val="es-ES_tradnl"/>
        </w:rPr>
        <w:t xml:space="preserve">Subvenciones para formación y viajes conexos: </w:t>
      </w:r>
      <w:r w:rsidRPr="008F776F">
        <w:rPr>
          <w:color w:val="000000"/>
          <w:lang w:val="es-ES_tradnl"/>
        </w:rPr>
        <w:t>gastos de viaje, dietas, formación y otros gastos de personas en formación inscritas en cursos, seminarios y becas.</w:t>
      </w:r>
    </w:p>
    <w:p w14:paraId="7FED4886" w14:textId="77777777" w:rsidR="008F776F" w:rsidRPr="008F776F" w:rsidRDefault="008F776F" w:rsidP="008F776F">
      <w:pPr>
        <w:rPr>
          <w:lang w:val="es-ES_tradnl"/>
        </w:rPr>
      </w:pPr>
    </w:p>
    <w:p w14:paraId="4D04437A" w14:textId="77777777" w:rsidR="008F776F" w:rsidRPr="008F776F" w:rsidRDefault="008F776F" w:rsidP="008F776F">
      <w:pPr>
        <w:rPr>
          <w:rFonts w:cs="Arial"/>
          <w:bCs/>
          <w:i/>
          <w:color w:val="26724C" w:themeColor="accent1" w:themeShade="BF"/>
          <w:lang w:val="es-ES_tradnl"/>
        </w:rPr>
      </w:pPr>
      <w:r w:rsidRPr="008F776F">
        <w:rPr>
          <w:i/>
          <w:color w:val="26724C" w:themeColor="accent1" w:themeShade="BF"/>
          <w:lang w:val="es-ES_tradnl"/>
        </w:rPr>
        <w:t>Servicios contractuales</w:t>
      </w:r>
    </w:p>
    <w:p w14:paraId="379D7078" w14:textId="77777777" w:rsidR="008F776F" w:rsidRPr="008F776F" w:rsidRDefault="008F776F" w:rsidP="008F776F">
      <w:pPr>
        <w:rPr>
          <w:u w:val="single"/>
          <w:lang w:val="es-ES_tradnl"/>
        </w:rPr>
      </w:pPr>
    </w:p>
    <w:p w14:paraId="2DF07A92" w14:textId="77777777" w:rsidR="008F776F" w:rsidRPr="008F776F" w:rsidRDefault="008F776F" w:rsidP="008F776F">
      <w:pPr>
        <w:rPr>
          <w:color w:val="000000"/>
          <w:szCs w:val="22"/>
          <w:lang w:val="es-ES_tradnl"/>
        </w:rPr>
      </w:pPr>
      <w:r w:rsidRPr="008F776F">
        <w:rPr>
          <w:b/>
          <w:color w:val="000000"/>
          <w:lang w:val="es-ES_tradnl"/>
        </w:rPr>
        <w:t>Conferencias:</w:t>
      </w:r>
      <w:r w:rsidRPr="008F776F">
        <w:rPr>
          <w:color w:val="000000"/>
          <w:lang w:val="es-ES_tradnl"/>
        </w:rPr>
        <w:t xml:space="preserve"> remuneración, gastos de viaje y dietas para intérpretes; alquiler de locales para conferencias y de equipo y plataformas de interpretación; refrigerios y recepciones.</w:t>
      </w:r>
    </w:p>
    <w:p w14:paraId="7D9AF7BF" w14:textId="77777777" w:rsidR="008F776F" w:rsidRPr="008F776F" w:rsidRDefault="008F776F" w:rsidP="008F776F">
      <w:pPr>
        <w:rPr>
          <w:lang w:val="es-ES_tradnl"/>
        </w:rPr>
      </w:pPr>
    </w:p>
    <w:p w14:paraId="3D1F49E1" w14:textId="77777777" w:rsidR="008F776F" w:rsidRPr="008F776F" w:rsidRDefault="008F776F" w:rsidP="008F776F">
      <w:pPr>
        <w:rPr>
          <w:color w:val="000000"/>
          <w:szCs w:val="22"/>
          <w:lang w:val="es-ES_tradnl"/>
        </w:rPr>
      </w:pPr>
      <w:r w:rsidRPr="008F776F">
        <w:rPr>
          <w:b/>
          <w:color w:val="000000"/>
          <w:lang w:val="es-ES_tradnl"/>
        </w:rPr>
        <w:t xml:space="preserve">Publicaciones: </w:t>
      </w:r>
      <w:r w:rsidRPr="008F776F">
        <w:rPr>
          <w:color w:val="000000"/>
          <w:lang w:val="es-ES_tradnl"/>
        </w:rPr>
        <w:t>impresión y encuadernación externas; revistas; papel e impresión; otro material impreso (reimpresión de artículos publicados en revistas); folletos; tratados; colecciones de textos; manuales; formularios de trabajo y demás material impreso; videos y otras formas de publicación electrónica.</w:t>
      </w:r>
    </w:p>
    <w:p w14:paraId="7462215D" w14:textId="77777777" w:rsidR="008F776F" w:rsidRPr="008F776F" w:rsidRDefault="008F776F" w:rsidP="008F776F">
      <w:pPr>
        <w:rPr>
          <w:lang w:val="es-ES_tradnl"/>
        </w:rPr>
      </w:pPr>
    </w:p>
    <w:p w14:paraId="73A6EAD0" w14:textId="77777777" w:rsidR="008F776F" w:rsidRPr="008F776F" w:rsidRDefault="008F776F" w:rsidP="008F776F">
      <w:pPr>
        <w:rPr>
          <w:color w:val="000000"/>
          <w:szCs w:val="22"/>
          <w:lang w:val="es-ES_tradnl"/>
        </w:rPr>
      </w:pPr>
      <w:r w:rsidRPr="008F776F">
        <w:rPr>
          <w:b/>
          <w:color w:val="000000"/>
          <w:lang w:val="es-ES_tradnl"/>
        </w:rPr>
        <w:t xml:space="preserve">Servicios contractuales individuales: </w:t>
      </w:r>
      <w:r w:rsidRPr="008F776F">
        <w:rPr>
          <w:color w:val="000000"/>
          <w:lang w:val="es-ES_tradnl"/>
        </w:rPr>
        <w:t>remuneración pagada en concepto de servicios prestados por individuos bajo contrato.</w:t>
      </w:r>
    </w:p>
    <w:p w14:paraId="658B1B7B" w14:textId="77777777" w:rsidR="008F776F" w:rsidRPr="008F776F" w:rsidRDefault="008F776F" w:rsidP="008F776F">
      <w:pPr>
        <w:rPr>
          <w:lang w:val="es-ES_tradnl"/>
        </w:rPr>
      </w:pPr>
    </w:p>
    <w:p w14:paraId="24AA2982" w14:textId="77777777" w:rsidR="008F776F" w:rsidRPr="008F776F" w:rsidRDefault="008F776F" w:rsidP="008F776F">
      <w:pPr>
        <w:rPr>
          <w:color w:val="000000"/>
          <w:szCs w:val="22"/>
          <w:lang w:val="es-ES_tradnl"/>
        </w:rPr>
      </w:pPr>
      <w:r w:rsidRPr="008F776F">
        <w:rPr>
          <w:b/>
          <w:color w:val="000000"/>
          <w:lang w:val="es-ES_tradnl"/>
        </w:rPr>
        <w:lastRenderedPageBreak/>
        <w:t xml:space="preserve">Otros servicios contractuales: </w:t>
      </w:r>
      <w:r w:rsidRPr="008F776F">
        <w:rPr>
          <w:color w:val="000000"/>
          <w:lang w:val="es-ES_tradnl"/>
        </w:rPr>
        <w:t xml:space="preserve">incluye el resto de </w:t>
      </w:r>
      <w:proofErr w:type="gramStart"/>
      <w:r w:rsidRPr="008F776F">
        <w:rPr>
          <w:color w:val="000000"/>
          <w:lang w:val="es-ES_tradnl"/>
        </w:rPr>
        <w:t>servicios</w:t>
      </w:r>
      <w:proofErr w:type="gramEnd"/>
      <w:r w:rsidRPr="008F776F">
        <w:rPr>
          <w:color w:val="000000"/>
          <w:lang w:val="es-ES_tradnl"/>
        </w:rPr>
        <w:t xml:space="preserve"> contractuales prestados por proveedores comerciales y no comerciales.</w:t>
      </w:r>
    </w:p>
    <w:p w14:paraId="2F072251" w14:textId="77777777" w:rsidR="008F776F" w:rsidRPr="008F776F" w:rsidRDefault="008F776F" w:rsidP="008F776F">
      <w:pPr>
        <w:rPr>
          <w:color w:val="000000"/>
          <w:szCs w:val="22"/>
          <w:lang w:val="es-ES_tradnl"/>
        </w:rPr>
      </w:pPr>
    </w:p>
    <w:p w14:paraId="3FBC38D8" w14:textId="77777777" w:rsidR="008F776F" w:rsidRPr="008F776F" w:rsidRDefault="008F776F" w:rsidP="008F776F">
      <w:pPr>
        <w:rPr>
          <w:rFonts w:cs="Arial"/>
          <w:bCs/>
          <w:i/>
          <w:color w:val="26724C" w:themeColor="accent1" w:themeShade="BF"/>
          <w:lang w:val="es-ES_tradnl"/>
        </w:rPr>
      </w:pPr>
      <w:r w:rsidRPr="008F776F">
        <w:rPr>
          <w:i/>
          <w:color w:val="26724C" w:themeColor="accent1" w:themeShade="BF"/>
          <w:lang w:val="es-ES_tradnl"/>
        </w:rPr>
        <w:t>Gastos de funcionamiento</w:t>
      </w:r>
    </w:p>
    <w:p w14:paraId="32DD91E2" w14:textId="77777777" w:rsidR="008F776F" w:rsidRPr="008F776F" w:rsidRDefault="008F776F" w:rsidP="008F776F">
      <w:pPr>
        <w:rPr>
          <w:b/>
          <w:u w:val="single"/>
          <w:lang w:val="es-ES_tradnl"/>
        </w:rPr>
      </w:pPr>
    </w:p>
    <w:p w14:paraId="793255A7" w14:textId="77777777" w:rsidR="008F776F" w:rsidRPr="008F776F" w:rsidRDefault="008F776F" w:rsidP="008F776F">
      <w:pPr>
        <w:rPr>
          <w:b/>
          <w:lang w:val="es-ES_tradnl"/>
        </w:rPr>
      </w:pPr>
      <w:r w:rsidRPr="008F776F">
        <w:rPr>
          <w:lang w:val="es-ES_tradnl"/>
        </w:rPr>
        <w:t xml:space="preserve">Todos los gastos derivados de la adquisición, alquiler, mejora y mantenimiento del espacio de oficinas, y alquiler o mantenimiento de equipo y mobiliario. Gastos de comunicación tales como teléfono, internet, fax y correo; otros gastos tales como la asistencia médica, el servicio de alojamiento, el Tribunal Administrativo, la Asociación de Personal, las atenciones sociales; las cargas bancarias; los intereses sobre préstamos bancarios y de otro tipo (salvo los intereses sobre préstamos inmobiliarios); los ajustes monetarios (débitos); los gastos de auditoría; los gastos imprevistos y los ajustes contables (débitos) relacionados con años anteriores; contribuciones a actividades administrativas conjuntas en el seno del sistema de las Naciones Unidas. </w:t>
      </w:r>
      <w:r w:rsidRPr="008F776F">
        <w:rPr>
          <w:color w:val="000000"/>
          <w:lang w:val="es-ES_tradnl"/>
        </w:rPr>
        <w:t>Además, todos los gastos comunes relativos a actividades efectuadas con la OMPI o a servicios prestados por esta organización.</w:t>
      </w:r>
    </w:p>
    <w:p w14:paraId="1B0CDD9C" w14:textId="77777777" w:rsidR="008F776F" w:rsidRPr="008F776F" w:rsidRDefault="008F776F" w:rsidP="008F776F">
      <w:pPr>
        <w:rPr>
          <w:b/>
          <w:lang w:val="es-ES_tradnl"/>
        </w:rPr>
      </w:pPr>
    </w:p>
    <w:p w14:paraId="579E598D" w14:textId="77777777" w:rsidR="008F776F" w:rsidRPr="008F776F" w:rsidRDefault="008F776F" w:rsidP="008F776F">
      <w:pPr>
        <w:rPr>
          <w:rFonts w:cs="Arial"/>
          <w:bCs/>
          <w:i/>
          <w:color w:val="26724C" w:themeColor="accent1" w:themeShade="BF"/>
          <w:lang w:val="es-ES_tradnl"/>
        </w:rPr>
      </w:pPr>
      <w:r w:rsidRPr="008F776F">
        <w:rPr>
          <w:i/>
          <w:color w:val="26724C" w:themeColor="accent1" w:themeShade="BF"/>
          <w:lang w:val="es-ES_tradnl"/>
        </w:rPr>
        <w:t>Equipo y suministros</w:t>
      </w:r>
    </w:p>
    <w:p w14:paraId="70DE52AE" w14:textId="77777777" w:rsidR="008F776F" w:rsidRPr="008F776F" w:rsidRDefault="008F776F" w:rsidP="008F776F">
      <w:pPr>
        <w:rPr>
          <w:rFonts w:cs="Arial"/>
          <w:lang w:val="es-ES_tradnl"/>
        </w:rPr>
      </w:pPr>
    </w:p>
    <w:p w14:paraId="1C16E2F6" w14:textId="77777777" w:rsidR="008F776F" w:rsidRPr="008F776F" w:rsidRDefault="008F776F" w:rsidP="008F776F">
      <w:pPr>
        <w:rPr>
          <w:rFonts w:cs="Arial"/>
          <w:color w:val="000000"/>
          <w:lang w:val="es-ES_tradnl"/>
        </w:rPr>
      </w:pPr>
      <w:r w:rsidRPr="008F776F">
        <w:rPr>
          <w:b/>
          <w:color w:val="000000"/>
          <w:lang w:val="es-ES_tradnl"/>
        </w:rPr>
        <w:t>Mobiliario y equipo</w:t>
      </w:r>
      <w:r w:rsidRPr="008F776F">
        <w:rPr>
          <w:color w:val="000000"/>
          <w:lang w:val="es-ES_tradnl"/>
        </w:rPr>
        <w:t>: compra de mobiliario y máquinas de oficina; equipo informático (computadoras de sobremesa y portátiles, impresoras, servidores, etc.); equipo para servicios de conferencias; equipo de reproducción; y equipo de transporte.</w:t>
      </w:r>
    </w:p>
    <w:p w14:paraId="350DB3AF" w14:textId="77777777" w:rsidR="008F776F" w:rsidRPr="008F776F" w:rsidRDefault="008F776F" w:rsidP="008F776F">
      <w:pPr>
        <w:rPr>
          <w:lang w:val="es-ES_tradnl"/>
        </w:rPr>
      </w:pPr>
    </w:p>
    <w:p w14:paraId="69B322E1" w14:textId="77777777" w:rsidR="008F776F" w:rsidRPr="008F776F" w:rsidRDefault="008F776F" w:rsidP="008F776F">
      <w:pPr>
        <w:rPr>
          <w:rFonts w:cs="Arial"/>
          <w:color w:val="000000"/>
          <w:lang w:val="es-ES_tradnl"/>
        </w:rPr>
      </w:pPr>
      <w:r w:rsidRPr="008F776F">
        <w:rPr>
          <w:b/>
          <w:color w:val="000000"/>
          <w:lang w:val="es-ES_tradnl"/>
        </w:rPr>
        <w:t xml:space="preserve">Suministros y material: </w:t>
      </w:r>
      <w:r w:rsidRPr="008F776F">
        <w:rPr>
          <w:color w:val="000000"/>
          <w:lang w:val="es-ES_tradnl"/>
        </w:rPr>
        <w:t>papel y material para oficina; material de reproducción interna (</w:t>
      </w:r>
      <w:r w:rsidRPr="008F776F">
        <w:rPr>
          <w:i/>
          <w:color w:val="000000"/>
          <w:lang w:val="es-ES_tradnl"/>
        </w:rPr>
        <w:t>offset</w:t>
      </w:r>
      <w:r w:rsidRPr="008F776F">
        <w:rPr>
          <w:color w:val="000000"/>
          <w:lang w:val="es-ES_tradnl"/>
        </w:rPr>
        <w:t>, microfilms, etc.); libros para la Biblioteca y suscripciones a revistas y publicaciones periódicas; uniformes; material para computadoras; programas informáticos y licencias conexas.</w:t>
      </w:r>
    </w:p>
    <w:p w14:paraId="184DF792" w14:textId="77777777" w:rsidR="008F776F" w:rsidRPr="008F776F" w:rsidRDefault="008F776F" w:rsidP="008F776F">
      <w:pPr>
        <w:pStyle w:val="endofdoc"/>
        <w:rPr>
          <w:rFonts w:cs="Arial"/>
          <w:lang w:val="es-ES_tradnl"/>
        </w:rPr>
      </w:pPr>
      <w:r w:rsidRPr="008F776F">
        <w:rPr>
          <w:lang w:val="es-ES_tradnl"/>
        </w:rPr>
        <w:t>[Fin del Apéndice III y del documento]</w:t>
      </w:r>
    </w:p>
    <w:p w14:paraId="021F49C0" w14:textId="77777777" w:rsidR="008B3D8D" w:rsidRPr="008F776F" w:rsidRDefault="008B3D8D">
      <w:pPr>
        <w:jc w:val="left"/>
        <w:rPr>
          <w:lang w:val="es-ES_tradnl"/>
        </w:rPr>
      </w:pPr>
    </w:p>
    <w:p w14:paraId="055CF696" w14:textId="77777777" w:rsidR="00050E16" w:rsidRPr="008F776F" w:rsidRDefault="00050E16" w:rsidP="009B440E">
      <w:pPr>
        <w:jc w:val="left"/>
        <w:rPr>
          <w:lang w:val="es-ES_tradnl"/>
        </w:rPr>
      </w:pPr>
    </w:p>
    <w:sectPr w:rsidR="00050E16" w:rsidRPr="008F776F" w:rsidSect="008F776F">
      <w:headerReference w:type="default" r:id="rId37"/>
      <w:headerReference w:type="first" r:id="rId38"/>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9781" w14:textId="77777777" w:rsidR="008F776F" w:rsidRDefault="008F776F" w:rsidP="006655D3">
      <w:r>
        <w:separator/>
      </w:r>
    </w:p>
    <w:p w14:paraId="7F961AEF" w14:textId="77777777" w:rsidR="008F776F" w:rsidRDefault="008F776F" w:rsidP="006655D3"/>
    <w:p w14:paraId="3C943251" w14:textId="77777777" w:rsidR="008F776F" w:rsidRDefault="008F776F" w:rsidP="006655D3"/>
  </w:endnote>
  <w:endnote w:type="continuationSeparator" w:id="0">
    <w:p w14:paraId="719C1AC0" w14:textId="77777777" w:rsidR="008F776F" w:rsidRDefault="008F776F" w:rsidP="006655D3">
      <w:r>
        <w:separator/>
      </w:r>
    </w:p>
    <w:p w14:paraId="0CBB2586" w14:textId="77777777" w:rsidR="008F776F" w:rsidRPr="00294751" w:rsidRDefault="008F776F">
      <w:pPr>
        <w:pStyle w:val="Footer"/>
        <w:spacing w:after="60"/>
        <w:rPr>
          <w:sz w:val="18"/>
          <w:lang w:val="fr-FR"/>
        </w:rPr>
      </w:pPr>
      <w:r w:rsidRPr="00294751">
        <w:rPr>
          <w:sz w:val="18"/>
          <w:lang w:val="fr-FR"/>
        </w:rPr>
        <w:t>[Suite de la note de la page précédente]</w:t>
      </w:r>
    </w:p>
    <w:p w14:paraId="029B3D35" w14:textId="77777777" w:rsidR="008F776F" w:rsidRPr="00294751" w:rsidRDefault="008F776F" w:rsidP="006655D3">
      <w:pPr>
        <w:rPr>
          <w:lang w:val="fr-FR"/>
        </w:rPr>
      </w:pPr>
    </w:p>
    <w:p w14:paraId="1887BE39" w14:textId="77777777" w:rsidR="008F776F" w:rsidRPr="00294751" w:rsidRDefault="008F776F" w:rsidP="006655D3">
      <w:pPr>
        <w:rPr>
          <w:lang w:val="fr-FR"/>
        </w:rPr>
      </w:pPr>
    </w:p>
  </w:endnote>
  <w:endnote w:type="continuationNotice" w:id="1">
    <w:p w14:paraId="55ED9B55" w14:textId="77777777" w:rsidR="008F776F" w:rsidRPr="00294751" w:rsidRDefault="008F776F" w:rsidP="006655D3">
      <w:pPr>
        <w:rPr>
          <w:lang w:val="fr-FR"/>
        </w:rPr>
      </w:pPr>
      <w:r w:rsidRPr="00294751">
        <w:rPr>
          <w:lang w:val="fr-FR"/>
        </w:rPr>
        <w:t>[Suite de la note page suivante]</w:t>
      </w:r>
    </w:p>
    <w:p w14:paraId="176CF694" w14:textId="77777777" w:rsidR="008F776F" w:rsidRPr="00294751" w:rsidRDefault="008F776F" w:rsidP="006655D3">
      <w:pPr>
        <w:rPr>
          <w:lang w:val="fr-FR"/>
        </w:rPr>
      </w:pPr>
    </w:p>
    <w:p w14:paraId="4A3C586B" w14:textId="77777777" w:rsidR="008F776F" w:rsidRPr="00294751" w:rsidRDefault="008F776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5797" w14:textId="77777777" w:rsidR="008F776F" w:rsidRDefault="008F776F" w:rsidP="008224B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5515" w14:textId="77777777" w:rsidR="008F776F" w:rsidRDefault="008F776F" w:rsidP="0077481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AFE9" w14:textId="77777777" w:rsidR="008F776F" w:rsidRDefault="008F776F" w:rsidP="0077481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F414" w14:textId="77777777" w:rsidR="008F776F" w:rsidRDefault="008F776F" w:rsidP="00774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DFFF" w14:textId="77777777" w:rsidR="008F776F" w:rsidRDefault="008F77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1641" w14:textId="77777777" w:rsidR="008F776F" w:rsidRDefault="008F77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2F31" w14:textId="77777777" w:rsidR="008F776F" w:rsidRDefault="008F776F" w:rsidP="008224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D4E9" w14:textId="77777777" w:rsidR="008F776F" w:rsidRDefault="008F77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6420" w14:textId="77777777" w:rsidR="008F776F" w:rsidRDefault="008F776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925F" w14:textId="77777777" w:rsidR="008F776F" w:rsidRDefault="008F776F" w:rsidP="008224B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FCCB" w14:textId="77777777" w:rsidR="008F776F" w:rsidRDefault="008F776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E3E2" w14:textId="77777777" w:rsidR="008F776F" w:rsidRDefault="008F7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CB7E2" w14:textId="77777777" w:rsidR="008F776F" w:rsidRDefault="008F776F" w:rsidP="006655D3">
      <w:r>
        <w:separator/>
      </w:r>
    </w:p>
  </w:footnote>
  <w:footnote w:type="continuationSeparator" w:id="0">
    <w:p w14:paraId="6F9DDB25" w14:textId="77777777" w:rsidR="008F776F" w:rsidRDefault="008F776F" w:rsidP="006655D3">
      <w:r>
        <w:separator/>
      </w:r>
    </w:p>
  </w:footnote>
  <w:footnote w:type="continuationNotice" w:id="1">
    <w:p w14:paraId="40DCA374" w14:textId="77777777" w:rsidR="008F776F" w:rsidRPr="00AB530F" w:rsidRDefault="008F776F" w:rsidP="00AB530F">
      <w:pPr>
        <w:pStyle w:val="Footer"/>
      </w:pPr>
    </w:p>
  </w:footnote>
  <w:footnote w:id="2">
    <w:p w14:paraId="3F81E175" w14:textId="77777777" w:rsidR="008F776F" w:rsidRPr="00C41CE2" w:rsidRDefault="008F776F" w:rsidP="008F776F">
      <w:pPr>
        <w:pStyle w:val="FootnoteText"/>
        <w:rPr>
          <w:lang w:val="es-ES"/>
        </w:rPr>
      </w:pPr>
      <w:r w:rsidRPr="006C7A02">
        <w:rPr>
          <w:rStyle w:val="FootnoteReference"/>
        </w:rPr>
        <w:footnoteRef/>
      </w:r>
      <w:r w:rsidRPr="00C41CE2">
        <w:rPr>
          <w:lang w:val="es-ES"/>
        </w:rPr>
        <w:tab/>
      </w:r>
      <w:r w:rsidRPr="00697B3A">
        <w:rPr>
          <w:lang w:val="es-ES_tradnl"/>
        </w:rPr>
        <w:t>Es posible que las cifras de los cuadros 1 a </w:t>
      </w:r>
      <w:r>
        <w:rPr>
          <w:lang w:val="es-ES_tradnl"/>
        </w:rPr>
        <w:t>7</w:t>
      </w:r>
      <w:r w:rsidRPr="00697B3A">
        <w:rPr>
          <w:lang w:val="es-ES_tradnl"/>
        </w:rPr>
        <w:t xml:space="preserve"> no se correspondan con el total debido al redondeo de los importes</w:t>
      </w:r>
      <w:r w:rsidRPr="00C41CE2">
        <w:rPr>
          <w:lang w:val="es-ES"/>
        </w:rPr>
        <w:t>.</w:t>
      </w:r>
    </w:p>
  </w:footnote>
  <w:footnote w:id="3">
    <w:p w14:paraId="74B32B41" w14:textId="77777777" w:rsidR="008F776F" w:rsidRPr="00B95F25" w:rsidRDefault="008F776F" w:rsidP="008F776F">
      <w:pPr>
        <w:pStyle w:val="FootnoteText"/>
        <w:rPr>
          <w:lang w:val="es-ES"/>
        </w:rPr>
      </w:pPr>
      <w:r>
        <w:rPr>
          <w:rStyle w:val="FootnoteReference"/>
        </w:rPr>
        <w:footnoteRef/>
      </w:r>
      <w:r w:rsidRPr="00B95F25">
        <w:rPr>
          <w:lang w:val="es-ES"/>
        </w:rPr>
        <w:tab/>
      </w:r>
      <w:r w:rsidRPr="00B95F25">
        <w:rPr>
          <w:rFonts w:cs="Arial"/>
          <w:lang w:val="es-ES"/>
        </w:rPr>
        <w:t>En el artículo 6.</w:t>
      </w:r>
      <w:r>
        <w:rPr>
          <w:rFonts w:cs="Arial"/>
          <w:lang w:val="es-ES"/>
        </w:rPr>
        <w:t>1</w:t>
      </w:r>
      <w:r w:rsidRPr="00B95F25">
        <w:rPr>
          <w:rFonts w:cs="Arial"/>
          <w:lang w:val="es-ES"/>
        </w:rPr>
        <w:t>)</w:t>
      </w:r>
      <w:r w:rsidRPr="00B95F25">
        <w:rPr>
          <w:lang w:val="es-ES"/>
        </w:rPr>
        <w:t xml:space="preserve"> </w:t>
      </w:r>
      <w:r>
        <w:rPr>
          <w:lang w:val="es-ES"/>
        </w:rPr>
        <w:t xml:space="preserve">del documento </w:t>
      </w:r>
      <w:r w:rsidRPr="00B95F25">
        <w:rPr>
          <w:rFonts w:cs="Arial"/>
          <w:lang w:val="es-ES"/>
        </w:rPr>
        <w:t xml:space="preserve">UPOV/INF/8 “Acuerdo entre la Organización Mundial de la Propiedad Intelectual y la Unión Internacional para la Protección de las Obtenciones Vegetales” </w:t>
      </w:r>
      <w:r w:rsidRPr="00B95F25">
        <w:rPr>
          <w:lang w:val="es-ES"/>
        </w:rPr>
        <w:t xml:space="preserve">se estipula lo siguiente: </w:t>
      </w:r>
      <w:r>
        <w:rPr>
          <w:lang w:val="es-ES"/>
        </w:rPr>
        <w:t xml:space="preserve">“1) </w:t>
      </w:r>
      <w:r w:rsidRPr="00B95F25">
        <w:rPr>
          <w:lang w:val="es-ES"/>
        </w:rPr>
        <w:t xml:space="preserve">A los fines de este acuerdo, se entenderá por </w:t>
      </w:r>
      <w:r>
        <w:rPr>
          <w:lang w:val="es-ES"/>
        </w:rPr>
        <w:t>‘</w:t>
      </w:r>
      <w:r w:rsidRPr="00B95F25">
        <w:rPr>
          <w:lang w:val="es-ES"/>
        </w:rPr>
        <w:t xml:space="preserve">el personal de la Oficina de </w:t>
      </w:r>
      <w:r>
        <w:rPr>
          <w:lang w:val="es-ES"/>
        </w:rPr>
        <w:t>la UPOV’</w:t>
      </w:r>
      <w:r w:rsidRPr="00B95F25">
        <w:rPr>
          <w:lang w:val="es-ES"/>
        </w:rPr>
        <w:t xml:space="preserve"> el Secretario General Adjunto de </w:t>
      </w:r>
      <w:r>
        <w:rPr>
          <w:lang w:val="es-ES"/>
        </w:rPr>
        <w:t>la UPOV</w:t>
      </w:r>
      <w:r w:rsidRPr="00B95F25">
        <w:rPr>
          <w:lang w:val="es-ES"/>
        </w:rPr>
        <w:t xml:space="preserve"> y cualquier otra persona que trabaje exclusivamente para </w:t>
      </w:r>
      <w:r>
        <w:rPr>
          <w:lang w:val="es-ES"/>
        </w:rPr>
        <w:t>la UPOV</w:t>
      </w:r>
      <w:r w:rsidRPr="00B95F25">
        <w:rPr>
          <w:lang w:val="es-ES"/>
        </w:rPr>
        <w:t xml:space="preserve">, mientras que se entenderá por </w:t>
      </w:r>
      <w:r>
        <w:rPr>
          <w:lang w:val="es-ES"/>
        </w:rPr>
        <w:t>‘</w:t>
      </w:r>
      <w:r w:rsidRPr="00B95F25">
        <w:rPr>
          <w:lang w:val="es-ES"/>
        </w:rPr>
        <w:t xml:space="preserve">la Oficina de </w:t>
      </w:r>
      <w:r>
        <w:rPr>
          <w:lang w:val="es-ES"/>
        </w:rPr>
        <w:t>la UPOV’</w:t>
      </w:r>
      <w:r w:rsidRPr="00B95F25">
        <w:rPr>
          <w:lang w:val="es-ES"/>
        </w:rPr>
        <w:t xml:space="preserve">, el Secretario General de </w:t>
      </w:r>
      <w:r>
        <w:rPr>
          <w:lang w:val="es-ES"/>
        </w:rPr>
        <w:t>la UPOV</w:t>
      </w:r>
      <w:r w:rsidRPr="00B95F25">
        <w:rPr>
          <w:lang w:val="es-ES"/>
        </w:rPr>
        <w:t xml:space="preserve"> y el personal de la Oficina de </w:t>
      </w:r>
      <w:r>
        <w:rPr>
          <w:lang w:val="es-ES"/>
        </w:rPr>
        <w:t>la UPOV</w:t>
      </w:r>
      <w:r w:rsidRPr="00B95F25">
        <w:rPr>
          <w:lang w:val="es-ES"/>
        </w:rPr>
        <w:t>.</w:t>
      </w:r>
      <w:r>
        <w:rPr>
          <w:lang w:val="es-ES"/>
        </w:rPr>
        <w:t>”</w:t>
      </w:r>
      <w:r w:rsidRPr="00B95F25">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FF5D1" w14:textId="77777777" w:rsidR="00182B99" w:rsidRPr="000A23DC" w:rsidRDefault="008F776F" w:rsidP="000A23DC">
    <w:pPr>
      <w:pStyle w:val="Header"/>
      <w:rPr>
        <w:rStyle w:val="PageNumber"/>
      </w:rPr>
    </w:pPr>
    <w:r>
      <w:rPr>
        <w:rStyle w:val="PageNumber"/>
      </w:rPr>
      <w:t>C/57/4</w:t>
    </w:r>
  </w:p>
  <w:p w14:paraId="37062BF1" w14:textId="77777777" w:rsidR="00182B99" w:rsidRPr="00202E38" w:rsidRDefault="008B3D8D" w:rsidP="008B3D8D">
    <w:pPr>
      <w:pStyle w:val="Header"/>
      <w:rPr>
        <w:lang w:val="de-DE"/>
      </w:rPr>
    </w:pPr>
    <w:proofErr w:type="spellStart"/>
    <w:r w:rsidRPr="008B3D8D">
      <w:t>página</w:t>
    </w:r>
    <w:proofErr w:type="spellEnd"/>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3D5DCC">
      <w:rPr>
        <w:rStyle w:val="PageNumber"/>
        <w:noProof/>
        <w:lang w:val="de-DE"/>
      </w:rPr>
      <w:t>2</w:t>
    </w:r>
    <w:r w:rsidR="00182B99" w:rsidRPr="00202E38">
      <w:rPr>
        <w:rStyle w:val="PageNumber"/>
        <w:lang w:val="de-DE"/>
      </w:rPr>
      <w:fldChar w:fldCharType="end"/>
    </w:r>
  </w:p>
  <w:p w14:paraId="02D08E4D" w14:textId="77777777" w:rsidR="00182B99" w:rsidRPr="00202E38" w:rsidRDefault="00182B99" w:rsidP="006655D3">
    <w:pP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28CA" w14:textId="77777777" w:rsidR="008F776F" w:rsidRPr="00996BEE" w:rsidRDefault="008F776F" w:rsidP="00495E48">
    <w:pPr>
      <w:pStyle w:val="Header"/>
      <w:jc w:val="right"/>
      <w:rPr>
        <w:b/>
        <w:color w:val="26724C" w:themeColor="accent1" w:themeShade="BF"/>
        <w:lang w:val="es-419"/>
      </w:rPr>
    </w:pPr>
    <w:r w:rsidRPr="00996BEE">
      <w:rPr>
        <w:b/>
        <w:color w:val="26724C" w:themeColor="accent1" w:themeShade="BF"/>
        <w:lang w:val="es-419"/>
      </w:rPr>
      <w:t>UPOV</w:t>
    </w:r>
  </w:p>
  <w:p w14:paraId="5408952A" w14:textId="77777777" w:rsidR="008F776F" w:rsidRPr="00996BEE" w:rsidRDefault="008F776F" w:rsidP="00495E48">
    <w:pPr>
      <w:pStyle w:val="Header"/>
      <w:jc w:val="right"/>
      <w:rPr>
        <w:color w:val="26724C" w:themeColor="accent1" w:themeShade="BF"/>
        <w:lang w:val="es-419"/>
      </w:rPr>
    </w:pPr>
    <w:r w:rsidRPr="00996BEE">
      <w:rPr>
        <w:color w:val="26724C" w:themeColor="accent1" w:themeShade="BF"/>
        <w:lang w:val="es-419"/>
      </w:rPr>
      <w:t>Anteproyecto de Programa y Presupuesto 2024</w:t>
    </w:r>
    <w:r w:rsidRPr="00996BEE">
      <w:rPr>
        <w:color w:val="26724C" w:themeColor="accent1" w:themeShade="BF"/>
        <w:lang w:val="es-419"/>
      </w:rPr>
      <w:noBreakHyphen/>
      <w:t>2025</w:t>
    </w:r>
  </w:p>
  <w:p w14:paraId="684F468B" w14:textId="77777777" w:rsidR="008F776F" w:rsidRPr="00996BEE" w:rsidRDefault="008F776F" w:rsidP="008B40C0">
    <w:pPr>
      <w:pStyle w:val="Header"/>
      <w:pBdr>
        <w:bottom w:val="single" w:sz="4" w:space="1" w:color="auto"/>
      </w:pBdr>
      <w:jc w:val="right"/>
      <w:rPr>
        <w:color w:val="26724C" w:themeColor="accent1" w:themeShade="BF"/>
        <w:lang w:val="es-419"/>
      </w:rPr>
    </w:pPr>
    <w:r w:rsidRPr="00996BEE">
      <w:rPr>
        <w:color w:val="26724C" w:themeColor="accent1" w:themeShade="BF"/>
        <w:lang w:val="es-419"/>
      </w:rPr>
      <w:t>Apéndice II,</w:t>
    </w:r>
    <w:r w:rsidRPr="00996BEE">
      <w:rPr>
        <w:lang w:val="es-419"/>
      </w:rPr>
      <w:t xml:space="preserve"> </w:t>
    </w:r>
    <w:r w:rsidRPr="00996BEE">
      <w:rPr>
        <w:color w:val="26724C" w:themeColor="accent1" w:themeShade="BF"/>
        <w:lang w:val="es-419"/>
      </w:rPr>
      <w:t xml:space="preserve">página </w:t>
    </w:r>
    <w:r w:rsidRPr="00996BEE">
      <w:rPr>
        <w:color w:val="26724C" w:themeColor="accent1" w:themeShade="BF"/>
        <w:lang w:val="es-419"/>
      </w:rPr>
      <w:fldChar w:fldCharType="begin"/>
    </w:r>
    <w:r w:rsidRPr="00996BEE">
      <w:rPr>
        <w:color w:val="26724C" w:themeColor="accent1" w:themeShade="BF"/>
        <w:lang w:val="es-419"/>
      </w:rPr>
      <w:instrText xml:space="preserve"> PAGE   \* MERGEFORMAT </w:instrText>
    </w:r>
    <w:r w:rsidRPr="00996BEE">
      <w:rPr>
        <w:color w:val="26724C" w:themeColor="accent1" w:themeShade="BF"/>
        <w:lang w:val="es-419"/>
      </w:rPr>
      <w:fldChar w:fldCharType="separate"/>
    </w:r>
    <w:r w:rsidRPr="00996BEE">
      <w:rPr>
        <w:color w:val="26724C" w:themeColor="accent1" w:themeShade="BF"/>
        <w:lang w:val="es-419"/>
      </w:rPr>
      <w:t>38</w:t>
    </w:r>
    <w:r w:rsidRPr="00996BEE">
      <w:rPr>
        <w:color w:val="26724C" w:themeColor="accent1" w:themeShade="BF"/>
        <w:lang w:val="es-419"/>
      </w:rPr>
      <w:fldChar w:fldCharType="end"/>
    </w:r>
  </w:p>
  <w:p w14:paraId="44523DFA" w14:textId="77777777" w:rsidR="008F776F" w:rsidRPr="00996BEE" w:rsidRDefault="008F776F" w:rsidP="00495E48">
    <w:pPr>
      <w:rPr>
        <w:lang w:val="es-419"/>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034E" w14:textId="77777777" w:rsidR="008F776F" w:rsidRPr="00996BEE" w:rsidRDefault="008F776F" w:rsidP="00277D28">
    <w:pPr>
      <w:pStyle w:val="Header"/>
      <w:jc w:val="right"/>
      <w:rPr>
        <w:b/>
        <w:color w:val="26724C" w:themeColor="accent1" w:themeShade="BF"/>
        <w:lang w:val="es-419"/>
      </w:rPr>
    </w:pPr>
    <w:r w:rsidRPr="00996BEE">
      <w:rPr>
        <w:b/>
        <w:color w:val="26724C" w:themeColor="accent1" w:themeShade="BF"/>
        <w:lang w:val="es-419"/>
      </w:rPr>
      <w:t>UPOV</w:t>
    </w:r>
  </w:p>
  <w:p w14:paraId="7DA5A452" w14:textId="77777777" w:rsidR="008F776F" w:rsidRPr="00996BEE" w:rsidRDefault="008F776F" w:rsidP="00277D28">
    <w:pPr>
      <w:pStyle w:val="Header"/>
      <w:jc w:val="right"/>
      <w:rPr>
        <w:color w:val="26724C" w:themeColor="accent1" w:themeShade="BF"/>
        <w:lang w:val="es-419"/>
      </w:rPr>
    </w:pPr>
    <w:r>
      <w:rPr>
        <w:color w:val="26724C" w:themeColor="accent1" w:themeShade="BF"/>
        <w:lang w:val="es-419"/>
      </w:rPr>
      <w:t>P</w:t>
    </w:r>
    <w:r w:rsidRPr="00996BEE">
      <w:rPr>
        <w:color w:val="26724C" w:themeColor="accent1" w:themeShade="BF"/>
        <w:lang w:val="es-419"/>
      </w:rPr>
      <w:t>royecto de Programa y Presupuesto 2024</w:t>
    </w:r>
    <w:r w:rsidRPr="00996BEE">
      <w:rPr>
        <w:color w:val="26724C" w:themeColor="accent1" w:themeShade="BF"/>
        <w:lang w:val="es-419"/>
      </w:rPr>
      <w:noBreakHyphen/>
      <w:t>2025</w:t>
    </w:r>
  </w:p>
  <w:p w14:paraId="569DC796" w14:textId="77777777" w:rsidR="008F776F" w:rsidRPr="00996BEE" w:rsidRDefault="008F776F" w:rsidP="00277D28">
    <w:pPr>
      <w:pStyle w:val="Header"/>
      <w:pBdr>
        <w:bottom w:val="single" w:sz="4" w:space="1" w:color="auto"/>
      </w:pBdr>
      <w:jc w:val="right"/>
      <w:rPr>
        <w:color w:val="26724C" w:themeColor="accent1" w:themeShade="BF"/>
        <w:lang w:val="es-419"/>
      </w:rPr>
    </w:pPr>
    <w:r w:rsidRPr="00996BEE">
      <w:rPr>
        <w:color w:val="26724C" w:themeColor="accent1" w:themeShade="BF"/>
        <w:lang w:val="es-419"/>
      </w:rPr>
      <w:t xml:space="preserve">Apéndice II, página </w:t>
    </w:r>
    <w:sdt>
      <w:sdtPr>
        <w:rPr>
          <w:color w:val="26724C" w:themeColor="accent1" w:themeShade="BF"/>
          <w:lang w:val="es-419"/>
        </w:rPr>
        <w:id w:val="-1212725565"/>
        <w:docPartObj>
          <w:docPartGallery w:val="Page Numbers (Top of Page)"/>
          <w:docPartUnique/>
        </w:docPartObj>
      </w:sdtPr>
      <w:sdtEndPr>
        <w:rPr>
          <w:noProof/>
        </w:rPr>
      </w:sdtEndPr>
      <w:sdtContent>
        <w:r w:rsidRPr="00996BEE">
          <w:rPr>
            <w:color w:val="26724C" w:themeColor="accent1" w:themeShade="BF"/>
            <w:lang w:val="es-419"/>
          </w:rPr>
          <w:fldChar w:fldCharType="begin"/>
        </w:r>
        <w:r w:rsidRPr="00996BEE">
          <w:rPr>
            <w:color w:val="26724C" w:themeColor="accent1" w:themeShade="BF"/>
            <w:lang w:val="es-419"/>
          </w:rPr>
          <w:instrText xml:space="preserve"> PAGE   \* MERGEFORMAT </w:instrText>
        </w:r>
        <w:r w:rsidRPr="00996BEE">
          <w:rPr>
            <w:color w:val="26724C" w:themeColor="accent1" w:themeShade="BF"/>
            <w:lang w:val="es-419"/>
          </w:rPr>
          <w:fldChar w:fldCharType="separate"/>
        </w:r>
        <w:r w:rsidR="00F47CE2">
          <w:rPr>
            <w:noProof/>
            <w:color w:val="26724C" w:themeColor="accent1" w:themeShade="BF"/>
            <w:lang w:val="es-419"/>
          </w:rPr>
          <w:t>20</w:t>
        </w:r>
        <w:r w:rsidRPr="00996BEE">
          <w:rPr>
            <w:color w:val="26724C" w:themeColor="accent1" w:themeShade="BF"/>
            <w:lang w:val="es-419"/>
          </w:rPr>
          <w:fldChar w:fldCharType="end"/>
        </w:r>
      </w:sdtContent>
    </w:sdt>
  </w:p>
  <w:p w14:paraId="7DFEB19C" w14:textId="77777777" w:rsidR="008F776F" w:rsidRPr="00996BEE" w:rsidRDefault="008F776F" w:rsidP="00277D28">
    <w:pPr>
      <w:pStyle w:val="Header"/>
      <w:jc w:val="right"/>
      <w:rPr>
        <w:color w:val="26724C" w:themeColor="accent1" w:themeShade="BF"/>
        <w:lang w:val="es-419"/>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7BF9" w14:textId="77777777" w:rsidR="008F776F" w:rsidRPr="00996BEE" w:rsidRDefault="008F776F" w:rsidP="00495E48">
    <w:pPr>
      <w:pStyle w:val="Header"/>
      <w:jc w:val="right"/>
      <w:rPr>
        <w:b/>
        <w:color w:val="26724C" w:themeColor="accent1" w:themeShade="BF"/>
        <w:lang w:val="es-419"/>
      </w:rPr>
    </w:pPr>
    <w:r w:rsidRPr="00996BEE">
      <w:rPr>
        <w:b/>
        <w:color w:val="26724C" w:themeColor="accent1" w:themeShade="BF"/>
        <w:lang w:val="es-419"/>
      </w:rPr>
      <w:t>UPOV</w:t>
    </w:r>
  </w:p>
  <w:p w14:paraId="263BD16E" w14:textId="77777777" w:rsidR="008F776F" w:rsidRPr="00996BEE" w:rsidRDefault="008F776F" w:rsidP="00495E48">
    <w:pPr>
      <w:pStyle w:val="Header"/>
      <w:jc w:val="right"/>
      <w:rPr>
        <w:color w:val="26724C" w:themeColor="accent1" w:themeShade="BF"/>
        <w:lang w:val="es-419"/>
      </w:rPr>
    </w:pPr>
    <w:r w:rsidRPr="00996BEE">
      <w:rPr>
        <w:color w:val="26724C" w:themeColor="accent1" w:themeShade="BF"/>
        <w:lang w:val="es-419"/>
      </w:rPr>
      <w:t>Anteproyecto de Programa y Presupuesto 2024</w:t>
    </w:r>
    <w:r w:rsidRPr="00996BEE">
      <w:rPr>
        <w:color w:val="26724C" w:themeColor="accent1" w:themeShade="BF"/>
        <w:lang w:val="es-419"/>
      </w:rPr>
      <w:noBreakHyphen/>
      <w:t>2025</w:t>
    </w:r>
  </w:p>
  <w:p w14:paraId="5FDE37DC" w14:textId="77777777" w:rsidR="008F776F" w:rsidRPr="00996BEE" w:rsidRDefault="008F776F" w:rsidP="008B40C0">
    <w:pPr>
      <w:pStyle w:val="Header"/>
      <w:pBdr>
        <w:bottom w:val="single" w:sz="4" w:space="1" w:color="auto"/>
      </w:pBdr>
      <w:jc w:val="right"/>
      <w:rPr>
        <w:color w:val="26724C" w:themeColor="accent1" w:themeShade="BF"/>
        <w:lang w:val="es-419"/>
      </w:rPr>
    </w:pPr>
    <w:r w:rsidRPr="00996BEE">
      <w:rPr>
        <w:color w:val="26724C" w:themeColor="accent1" w:themeShade="BF"/>
        <w:lang w:val="es-419"/>
      </w:rPr>
      <w:t xml:space="preserve">Apéndice II, página </w:t>
    </w:r>
    <w:sdt>
      <w:sdtPr>
        <w:rPr>
          <w:color w:val="26724C" w:themeColor="accent1" w:themeShade="BF"/>
          <w:lang w:val="es-419"/>
        </w:rPr>
        <w:id w:val="-990558987"/>
        <w:docPartObj>
          <w:docPartGallery w:val="Page Numbers (Top of Page)"/>
          <w:docPartUnique/>
        </w:docPartObj>
      </w:sdtPr>
      <w:sdtEndPr>
        <w:rPr>
          <w:noProof/>
        </w:rPr>
      </w:sdtEndPr>
      <w:sdtContent>
        <w:r w:rsidRPr="00996BEE">
          <w:rPr>
            <w:color w:val="26724C" w:themeColor="accent1" w:themeShade="BF"/>
            <w:lang w:val="es-419"/>
          </w:rPr>
          <w:fldChar w:fldCharType="begin"/>
        </w:r>
        <w:r w:rsidRPr="00996BEE">
          <w:rPr>
            <w:color w:val="26724C" w:themeColor="accent1" w:themeShade="BF"/>
            <w:lang w:val="es-419"/>
          </w:rPr>
          <w:instrText xml:space="preserve"> PAGE   \* MERGEFORMAT </w:instrText>
        </w:r>
        <w:r w:rsidRPr="00996BEE">
          <w:rPr>
            <w:color w:val="26724C" w:themeColor="accent1" w:themeShade="BF"/>
            <w:lang w:val="es-419"/>
          </w:rPr>
          <w:fldChar w:fldCharType="separate"/>
        </w:r>
        <w:r>
          <w:rPr>
            <w:noProof/>
            <w:color w:val="26724C" w:themeColor="accent1" w:themeShade="BF"/>
            <w:lang w:val="es-419"/>
          </w:rPr>
          <w:t>22</w:t>
        </w:r>
        <w:r w:rsidRPr="00996BEE">
          <w:rPr>
            <w:color w:val="26724C" w:themeColor="accent1" w:themeShade="BF"/>
            <w:lang w:val="es-419"/>
          </w:rPr>
          <w:fldChar w:fldCharType="end"/>
        </w:r>
      </w:sdtContent>
    </w:sdt>
  </w:p>
  <w:p w14:paraId="6B11D706" w14:textId="77777777" w:rsidR="008F776F" w:rsidRPr="00996BEE" w:rsidRDefault="008F776F" w:rsidP="008B40C0">
    <w:pPr>
      <w:pStyle w:val="Header"/>
      <w:jc w:val="right"/>
      <w:rPr>
        <w:lang w:val="es-419"/>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9A56" w14:textId="77777777" w:rsidR="008F776F" w:rsidRPr="00996BEE" w:rsidRDefault="008F776F" w:rsidP="00277D28">
    <w:pPr>
      <w:pStyle w:val="Header"/>
      <w:jc w:val="right"/>
      <w:rPr>
        <w:b/>
        <w:color w:val="26724C" w:themeColor="accent1" w:themeShade="BF"/>
        <w:lang w:val="es-419"/>
      </w:rPr>
    </w:pPr>
    <w:r w:rsidRPr="00996BEE">
      <w:rPr>
        <w:b/>
        <w:color w:val="26724C" w:themeColor="accent1" w:themeShade="BF"/>
        <w:lang w:val="es-419"/>
      </w:rPr>
      <w:t>UPOV</w:t>
    </w:r>
  </w:p>
  <w:p w14:paraId="00C5D7EC" w14:textId="77777777" w:rsidR="008F776F" w:rsidRPr="00996BEE" w:rsidRDefault="008F776F" w:rsidP="00277D28">
    <w:pPr>
      <w:pStyle w:val="Header"/>
      <w:jc w:val="right"/>
      <w:rPr>
        <w:color w:val="26724C" w:themeColor="accent1" w:themeShade="BF"/>
        <w:lang w:val="es-419"/>
      </w:rPr>
    </w:pPr>
    <w:r>
      <w:rPr>
        <w:color w:val="26724C" w:themeColor="accent1" w:themeShade="BF"/>
        <w:lang w:val="es-419"/>
      </w:rPr>
      <w:t>P</w:t>
    </w:r>
    <w:r w:rsidRPr="00996BEE">
      <w:rPr>
        <w:color w:val="26724C" w:themeColor="accent1" w:themeShade="BF"/>
        <w:lang w:val="es-419"/>
      </w:rPr>
      <w:t>royecto de Programa y Presupuesto 2024</w:t>
    </w:r>
    <w:r w:rsidRPr="00996BEE">
      <w:rPr>
        <w:color w:val="26724C" w:themeColor="accent1" w:themeShade="BF"/>
        <w:lang w:val="es-419"/>
      </w:rPr>
      <w:noBreakHyphen/>
      <w:t>2025</w:t>
    </w:r>
  </w:p>
  <w:p w14:paraId="40F93AE5" w14:textId="77777777" w:rsidR="008F776F" w:rsidRPr="00996BEE" w:rsidRDefault="008F776F" w:rsidP="00277D28">
    <w:pPr>
      <w:pStyle w:val="Header"/>
      <w:pBdr>
        <w:bottom w:val="single" w:sz="4" w:space="1" w:color="auto"/>
      </w:pBdr>
      <w:jc w:val="right"/>
      <w:rPr>
        <w:color w:val="26724C" w:themeColor="accent1" w:themeShade="BF"/>
        <w:lang w:val="es-419"/>
      </w:rPr>
    </w:pPr>
    <w:r w:rsidRPr="00996BEE">
      <w:rPr>
        <w:color w:val="26724C" w:themeColor="accent1" w:themeShade="BF"/>
        <w:lang w:val="es-419"/>
      </w:rPr>
      <w:t xml:space="preserve">Apéndice </w:t>
    </w:r>
    <w:r>
      <w:rPr>
        <w:color w:val="26724C" w:themeColor="accent1" w:themeShade="BF"/>
        <w:lang w:val="es-419"/>
      </w:rPr>
      <w:t>I</w:t>
    </w:r>
    <w:r w:rsidRPr="00996BEE">
      <w:rPr>
        <w:color w:val="26724C" w:themeColor="accent1" w:themeShade="BF"/>
        <w:lang w:val="es-419"/>
      </w:rPr>
      <w:t xml:space="preserve">II, página </w:t>
    </w:r>
    <w:sdt>
      <w:sdtPr>
        <w:rPr>
          <w:color w:val="26724C" w:themeColor="accent1" w:themeShade="BF"/>
          <w:lang w:val="es-419"/>
        </w:rPr>
        <w:id w:val="-92017894"/>
        <w:docPartObj>
          <w:docPartGallery w:val="Page Numbers (Top of Page)"/>
          <w:docPartUnique/>
        </w:docPartObj>
      </w:sdtPr>
      <w:sdtEndPr>
        <w:rPr>
          <w:noProof/>
        </w:rPr>
      </w:sdtEndPr>
      <w:sdtContent>
        <w:r w:rsidRPr="00996BEE">
          <w:rPr>
            <w:color w:val="26724C" w:themeColor="accent1" w:themeShade="BF"/>
            <w:lang w:val="es-419"/>
          </w:rPr>
          <w:fldChar w:fldCharType="begin"/>
        </w:r>
        <w:r w:rsidRPr="00996BEE">
          <w:rPr>
            <w:color w:val="26724C" w:themeColor="accent1" w:themeShade="BF"/>
            <w:lang w:val="es-419"/>
          </w:rPr>
          <w:instrText xml:space="preserve"> PAGE   \* MERGEFORMAT </w:instrText>
        </w:r>
        <w:r w:rsidRPr="00996BEE">
          <w:rPr>
            <w:color w:val="26724C" w:themeColor="accent1" w:themeShade="BF"/>
            <w:lang w:val="es-419"/>
          </w:rPr>
          <w:fldChar w:fldCharType="separate"/>
        </w:r>
        <w:r w:rsidR="00F47CE2">
          <w:rPr>
            <w:noProof/>
            <w:color w:val="26724C" w:themeColor="accent1" w:themeShade="BF"/>
            <w:lang w:val="es-419"/>
          </w:rPr>
          <w:t>23</w:t>
        </w:r>
        <w:r w:rsidRPr="00996BEE">
          <w:rPr>
            <w:color w:val="26724C" w:themeColor="accent1" w:themeShade="BF"/>
            <w:lang w:val="es-419"/>
          </w:rPr>
          <w:fldChar w:fldCharType="end"/>
        </w:r>
      </w:sdtContent>
    </w:sdt>
  </w:p>
  <w:p w14:paraId="34554BF2" w14:textId="77777777" w:rsidR="008F776F" w:rsidRPr="00996BEE" w:rsidRDefault="008F776F" w:rsidP="00277D28">
    <w:pPr>
      <w:pStyle w:val="Header"/>
      <w:jc w:val="right"/>
      <w:rPr>
        <w:color w:val="26724C" w:themeColor="accent1" w:themeShade="BF"/>
        <w:lang w:val="es-419"/>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7C9C" w14:textId="77777777" w:rsidR="008F776F" w:rsidRPr="00996BEE" w:rsidRDefault="008F776F" w:rsidP="00495E48">
    <w:pPr>
      <w:pStyle w:val="Header"/>
      <w:jc w:val="right"/>
      <w:rPr>
        <w:b/>
        <w:color w:val="26724C" w:themeColor="accent1" w:themeShade="BF"/>
        <w:lang w:val="es-419"/>
      </w:rPr>
    </w:pPr>
    <w:r w:rsidRPr="00996BEE">
      <w:rPr>
        <w:b/>
        <w:color w:val="26724C" w:themeColor="accent1" w:themeShade="BF"/>
        <w:lang w:val="es-419"/>
      </w:rPr>
      <w:t>UPOV</w:t>
    </w:r>
  </w:p>
  <w:p w14:paraId="19854E62" w14:textId="77777777" w:rsidR="008F776F" w:rsidRPr="00996BEE" w:rsidRDefault="008F776F" w:rsidP="00495E48">
    <w:pPr>
      <w:pStyle w:val="Header"/>
      <w:jc w:val="right"/>
      <w:rPr>
        <w:color w:val="26724C" w:themeColor="accent1" w:themeShade="BF"/>
        <w:lang w:val="es-419"/>
      </w:rPr>
    </w:pPr>
    <w:r>
      <w:rPr>
        <w:color w:val="26724C" w:themeColor="accent1" w:themeShade="BF"/>
        <w:lang w:val="es-419"/>
      </w:rPr>
      <w:t>P</w:t>
    </w:r>
    <w:r w:rsidRPr="00996BEE">
      <w:rPr>
        <w:color w:val="26724C" w:themeColor="accent1" w:themeShade="BF"/>
        <w:lang w:val="es-419"/>
      </w:rPr>
      <w:t>royecto de Programa y Presupuesto 2024</w:t>
    </w:r>
    <w:r w:rsidRPr="00996BEE">
      <w:rPr>
        <w:color w:val="26724C" w:themeColor="accent1" w:themeShade="BF"/>
        <w:lang w:val="es-419"/>
      </w:rPr>
      <w:noBreakHyphen/>
      <w:t>2025</w:t>
    </w:r>
  </w:p>
  <w:p w14:paraId="2A1CB3AF" w14:textId="77777777" w:rsidR="008F776F" w:rsidRPr="00996BEE" w:rsidRDefault="008F776F" w:rsidP="008B40C0">
    <w:pPr>
      <w:pStyle w:val="Header"/>
      <w:pBdr>
        <w:bottom w:val="single" w:sz="4" w:space="1" w:color="auto"/>
      </w:pBdr>
      <w:jc w:val="right"/>
      <w:rPr>
        <w:color w:val="26724C" w:themeColor="accent1" w:themeShade="BF"/>
        <w:lang w:val="es-419"/>
      </w:rPr>
    </w:pPr>
    <w:r w:rsidRPr="00996BEE">
      <w:rPr>
        <w:color w:val="26724C" w:themeColor="accent1" w:themeShade="BF"/>
        <w:lang w:val="es-419"/>
      </w:rPr>
      <w:t>Apéndice I</w:t>
    </w:r>
    <w:r>
      <w:rPr>
        <w:color w:val="26724C" w:themeColor="accent1" w:themeShade="BF"/>
        <w:lang w:val="es-419"/>
      </w:rPr>
      <w:t>I</w:t>
    </w:r>
    <w:r w:rsidRPr="00996BEE">
      <w:rPr>
        <w:color w:val="26724C" w:themeColor="accent1" w:themeShade="BF"/>
        <w:lang w:val="es-419"/>
      </w:rPr>
      <w:t xml:space="preserve">I, página </w:t>
    </w:r>
    <w:sdt>
      <w:sdtPr>
        <w:rPr>
          <w:color w:val="26724C" w:themeColor="accent1" w:themeShade="BF"/>
          <w:lang w:val="es-419"/>
        </w:rPr>
        <w:id w:val="775138996"/>
        <w:docPartObj>
          <w:docPartGallery w:val="Page Numbers (Top of Page)"/>
          <w:docPartUnique/>
        </w:docPartObj>
      </w:sdtPr>
      <w:sdtEndPr>
        <w:rPr>
          <w:noProof/>
        </w:rPr>
      </w:sdtEndPr>
      <w:sdtContent>
        <w:r w:rsidRPr="00996BEE">
          <w:rPr>
            <w:color w:val="26724C" w:themeColor="accent1" w:themeShade="BF"/>
            <w:lang w:val="es-419"/>
          </w:rPr>
          <w:fldChar w:fldCharType="begin"/>
        </w:r>
        <w:r w:rsidRPr="00996BEE">
          <w:rPr>
            <w:color w:val="26724C" w:themeColor="accent1" w:themeShade="BF"/>
            <w:lang w:val="es-419"/>
          </w:rPr>
          <w:instrText xml:space="preserve"> PAGE   \* MERGEFORMAT </w:instrText>
        </w:r>
        <w:r w:rsidRPr="00996BEE">
          <w:rPr>
            <w:color w:val="26724C" w:themeColor="accent1" w:themeShade="BF"/>
            <w:lang w:val="es-419"/>
          </w:rPr>
          <w:fldChar w:fldCharType="separate"/>
        </w:r>
        <w:r>
          <w:rPr>
            <w:noProof/>
            <w:color w:val="26724C" w:themeColor="accent1" w:themeShade="BF"/>
            <w:lang w:val="es-419"/>
          </w:rPr>
          <w:t>22</w:t>
        </w:r>
        <w:r w:rsidRPr="00996BEE">
          <w:rPr>
            <w:color w:val="26724C" w:themeColor="accent1" w:themeShade="BF"/>
            <w:lang w:val="es-419"/>
          </w:rPr>
          <w:fldChar w:fldCharType="end"/>
        </w:r>
      </w:sdtContent>
    </w:sdt>
  </w:p>
  <w:p w14:paraId="2A260F40" w14:textId="77777777" w:rsidR="008F776F" w:rsidRPr="00996BEE" w:rsidRDefault="008F776F" w:rsidP="008B40C0">
    <w:pPr>
      <w:pStyle w:val="Header"/>
      <w:jc w:val="right"/>
      <w:rPr>
        <w:lang w:val="es-4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C934" w14:textId="77777777" w:rsidR="008F776F" w:rsidRPr="00996BEE" w:rsidRDefault="008F776F" w:rsidP="00495E48">
    <w:pPr>
      <w:pStyle w:val="Header"/>
      <w:jc w:val="right"/>
      <w:rPr>
        <w:b/>
        <w:color w:val="26724C" w:themeColor="accent1" w:themeShade="BF"/>
        <w:lang w:val="es-419"/>
      </w:rPr>
    </w:pPr>
    <w:r w:rsidRPr="00996BEE">
      <w:rPr>
        <w:b/>
        <w:color w:val="26724C" w:themeColor="accent1" w:themeShade="BF"/>
        <w:lang w:val="es-419"/>
      </w:rPr>
      <w:t>UPOV</w:t>
    </w:r>
  </w:p>
  <w:p w14:paraId="19F88CA9" w14:textId="3648CE01" w:rsidR="008F776F" w:rsidRPr="00996BEE" w:rsidRDefault="008F776F" w:rsidP="00495E48">
    <w:pPr>
      <w:pStyle w:val="Header"/>
      <w:jc w:val="right"/>
      <w:rPr>
        <w:color w:val="26724C" w:themeColor="accent1" w:themeShade="BF"/>
        <w:lang w:val="es-419"/>
      </w:rPr>
    </w:pPr>
    <w:r w:rsidRPr="00996BEE">
      <w:rPr>
        <w:color w:val="26724C" w:themeColor="accent1" w:themeShade="BF"/>
        <w:lang w:val="es-419"/>
      </w:rPr>
      <w:t>Programa y Presupuesto 2024</w:t>
    </w:r>
    <w:r w:rsidRPr="00996BEE">
      <w:rPr>
        <w:color w:val="26724C" w:themeColor="accent1" w:themeShade="BF"/>
        <w:lang w:val="es-419"/>
      </w:rPr>
      <w:noBreakHyphen/>
      <w:t>2025 </w:t>
    </w:r>
  </w:p>
  <w:p w14:paraId="6F38EEC8" w14:textId="77777777" w:rsidR="008F776F" w:rsidRPr="00996BEE" w:rsidRDefault="008F776F" w:rsidP="008B40C0">
    <w:pPr>
      <w:pStyle w:val="Header"/>
      <w:pBdr>
        <w:bottom w:val="single" w:sz="4" w:space="1" w:color="auto"/>
      </w:pBdr>
      <w:jc w:val="right"/>
      <w:rPr>
        <w:color w:val="26724C" w:themeColor="accent1" w:themeShade="BF"/>
        <w:lang w:val="es-419"/>
      </w:rPr>
    </w:pPr>
    <w:r w:rsidRPr="00996BEE">
      <w:rPr>
        <w:color w:val="26724C" w:themeColor="accent1" w:themeShade="BF"/>
        <w:lang w:val="es-419"/>
      </w:rPr>
      <w:t xml:space="preserve">página </w:t>
    </w:r>
    <w:sdt>
      <w:sdtPr>
        <w:rPr>
          <w:color w:val="26724C" w:themeColor="accent1" w:themeShade="BF"/>
          <w:lang w:val="es-419"/>
        </w:rPr>
        <w:id w:val="-621460889"/>
        <w:docPartObj>
          <w:docPartGallery w:val="Page Numbers (Top of Page)"/>
          <w:docPartUnique/>
        </w:docPartObj>
      </w:sdtPr>
      <w:sdtEndPr>
        <w:rPr>
          <w:noProof/>
        </w:rPr>
      </w:sdtEndPr>
      <w:sdtContent>
        <w:r w:rsidRPr="00996BEE">
          <w:rPr>
            <w:color w:val="26724C" w:themeColor="accent1" w:themeShade="BF"/>
            <w:lang w:val="es-419"/>
          </w:rPr>
          <w:fldChar w:fldCharType="begin"/>
        </w:r>
        <w:r w:rsidRPr="00996BEE">
          <w:rPr>
            <w:color w:val="26724C" w:themeColor="accent1" w:themeShade="BF"/>
            <w:lang w:val="es-419"/>
          </w:rPr>
          <w:instrText xml:space="preserve"> PAGE   \* MERGEFORMAT </w:instrText>
        </w:r>
        <w:r w:rsidRPr="00996BEE">
          <w:rPr>
            <w:color w:val="26724C" w:themeColor="accent1" w:themeShade="BF"/>
            <w:lang w:val="es-419"/>
          </w:rPr>
          <w:fldChar w:fldCharType="separate"/>
        </w:r>
        <w:r w:rsidR="00F47CE2">
          <w:rPr>
            <w:noProof/>
            <w:color w:val="26724C" w:themeColor="accent1" w:themeShade="BF"/>
            <w:lang w:val="es-419"/>
          </w:rPr>
          <w:t>18</w:t>
        </w:r>
        <w:r w:rsidRPr="00996BEE">
          <w:rPr>
            <w:color w:val="26724C" w:themeColor="accent1" w:themeShade="BF"/>
            <w:lang w:val="es-419"/>
          </w:rPr>
          <w:fldChar w:fldCharType="end"/>
        </w:r>
      </w:sdtContent>
    </w:sdt>
  </w:p>
  <w:p w14:paraId="762D621E" w14:textId="77777777" w:rsidR="008F776F" w:rsidRPr="00996BEE" w:rsidRDefault="008F776F" w:rsidP="008224BD">
    <w:pPr>
      <w:pStyle w:val="Header"/>
      <w:rPr>
        <w:lang w:val="es-4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9223" w14:textId="77777777" w:rsidR="008F776F" w:rsidRPr="00996BEE" w:rsidRDefault="008F776F" w:rsidP="00495E48">
    <w:pPr>
      <w:pStyle w:val="Header"/>
      <w:jc w:val="right"/>
      <w:rPr>
        <w:b/>
        <w:color w:val="26724C" w:themeColor="accent1" w:themeShade="BF"/>
        <w:lang w:val="es-419"/>
      </w:rPr>
    </w:pPr>
    <w:r w:rsidRPr="00996BEE">
      <w:rPr>
        <w:b/>
        <w:color w:val="26724C" w:themeColor="accent1" w:themeShade="BF"/>
        <w:lang w:val="es-419"/>
      </w:rPr>
      <w:t>UPOV</w:t>
    </w:r>
  </w:p>
  <w:p w14:paraId="109C4D31" w14:textId="2213DFCC" w:rsidR="008F776F" w:rsidRPr="00996BEE" w:rsidRDefault="008F776F" w:rsidP="00495E48">
    <w:pPr>
      <w:pStyle w:val="Header"/>
      <w:jc w:val="right"/>
      <w:rPr>
        <w:color w:val="26724C" w:themeColor="accent1" w:themeShade="BF"/>
        <w:lang w:val="es-419"/>
      </w:rPr>
    </w:pPr>
    <w:r w:rsidRPr="00996BEE">
      <w:rPr>
        <w:color w:val="26724C" w:themeColor="accent1" w:themeShade="BF"/>
        <w:lang w:val="es-419"/>
      </w:rPr>
      <w:t>Programa y Presupuesto 2024</w:t>
    </w:r>
    <w:r w:rsidRPr="00996BEE">
      <w:rPr>
        <w:color w:val="26724C" w:themeColor="accent1" w:themeShade="BF"/>
        <w:lang w:val="es-419"/>
      </w:rPr>
      <w:noBreakHyphen/>
      <w:t>2025</w:t>
    </w:r>
  </w:p>
  <w:p w14:paraId="574A09AC" w14:textId="77777777" w:rsidR="008F776F" w:rsidRPr="00996BEE" w:rsidRDefault="008F776F" w:rsidP="008B40C0">
    <w:pPr>
      <w:pStyle w:val="Header"/>
      <w:pBdr>
        <w:bottom w:val="single" w:sz="4" w:space="1" w:color="auto"/>
      </w:pBdr>
      <w:jc w:val="right"/>
      <w:rPr>
        <w:color w:val="26724C" w:themeColor="accent1" w:themeShade="BF"/>
        <w:lang w:val="es-419"/>
      </w:rPr>
    </w:pPr>
    <w:r w:rsidRPr="00996BEE">
      <w:rPr>
        <w:color w:val="26724C" w:themeColor="accent1" w:themeShade="BF"/>
        <w:lang w:val="es-419"/>
      </w:rPr>
      <w:t xml:space="preserve">página </w:t>
    </w:r>
    <w:sdt>
      <w:sdtPr>
        <w:rPr>
          <w:color w:val="26724C" w:themeColor="accent1" w:themeShade="BF"/>
          <w:lang w:val="es-419"/>
        </w:rPr>
        <w:id w:val="1569839975"/>
        <w:docPartObj>
          <w:docPartGallery w:val="Page Numbers (Top of Page)"/>
          <w:docPartUnique/>
        </w:docPartObj>
      </w:sdtPr>
      <w:sdtEndPr>
        <w:rPr>
          <w:noProof/>
        </w:rPr>
      </w:sdtEndPr>
      <w:sdtContent>
        <w:r w:rsidRPr="00996BEE">
          <w:rPr>
            <w:color w:val="26724C" w:themeColor="accent1" w:themeShade="BF"/>
            <w:lang w:val="es-419"/>
          </w:rPr>
          <w:fldChar w:fldCharType="begin"/>
        </w:r>
        <w:r w:rsidRPr="00996BEE">
          <w:rPr>
            <w:color w:val="26724C" w:themeColor="accent1" w:themeShade="BF"/>
            <w:lang w:val="es-419"/>
          </w:rPr>
          <w:instrText xml:space="preserve"> PAGE   \* MERGEFORMAT </w:instrText>
        </w:r>
        <w:r w:rsidRPr="00996BEE">
          <w:rPr>
            <w:color w:val="26724C" w:themeColor="accent1" w:themeShade="BF"/>
            <w:lang w:val="es-419"/>
          </w:rPr>
          <w:fldChar w:fldCharType="separate"/>
        </w:r>
        <w:r w:rsidR="00F47CE2">
          <w:rPr>
            <w:noProof/>
            <w:color w:val="26724C" w:themeColor="accent1" w:themeShade="BF"/>
            <w:lang w:val="es-419"/>
          </w:rPr>
          <w:t>18</w:t>
        </w:r>
        <w:r w:rsidRPr="00996BEE">
          <w:rPr>
            <w:color w:val="26724C" w:themeColor="accent1" w:themeShade="BF"/>
            <w:lang w:val="es-419"/>
          </w:rPr>
          <w:fldChar w:fldCharType="end"/>
        </w:r>
      </w:sdtContent>
    </w:sdt>
  </w:p>
  <w:p w14:paraId="4E61E027" w14:textId="77777777" w:rsidR="008F776F" w:rsidRPr="00996BEE" w:rsidRDefault="008F776F" w:rsidP="00051507">
    <w:pPr>
      <w:pStyle w:val="Header"/>
      <w:rPr>
        <w:color w:val="194C33" w:themeColor="accent1" w:themeShade="80"/>
        <w:lang w:val="es-41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12B1" w14:textId="77777777" w:rsidR="008F776F" w:rsidRDefault="008F776F" w:rsidP="008F776F">
    <w:pPr>
      <w:pStyle w:val="Header"/>
    </w:pPr>
    <w:r>
      <w:t>C/57/4</w:t>
    </w:r>
  </w:p>
  <w:p w14:paraId="3702FE85" w14:textId="77777777" w:rsidR="008F776F" w:rsidRDefault="008F776F" w:rsidP="008F776F">
    <w:pPr>
      <w:pStyle w:val="Header"/>
    </w:pPr>
  </w:p>
  <w:p w14:paraId="08EB15A7" w14:textId="77777777" w:rsidR="008F776F" w:rsidRDefault="008F776F" w:rsidP="008F776F">
    <w:pPr>
      <w:pStyle w:val="Header"/>
    </w:pPr>
    <w:r>
      <w:t>ANEXO</w:t>
    </w:r>
  </w:p>
  <w:p w14:paraId="3DAA5945" w14:textId="77777777" w:rsidR="008F776F" w:rsidRDefault="008F776F" w:rsidP="008F776F">
    <w:pPr>
      <w:pStyle w:val="Header"/>
    </w:pPr>
  </w:p>
  <w:p w14:paraId="4B2F8F59" w14:textId="77777777" w:rsidR="008F776F" w:rsidRPr="008F776F" w:rsidRDefault="008F776F" w:rsidP="008F77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D978" w14:textId="348D11B5" w:rsidR="008F776F" w:rsidRPr="00996BEE" w:rsidRDefault="008F776F" w:rsidP="008224BD">
    <w:pPr>
      <w:pStyle w:val="Header"/>
      <w:rPr>
        <w:rStyle w:val="PageNumber"/>
        <w:lang w:val="es-419"/>
      </w:rPr>
    </w:pPr>
    <w:r w:rsidRPr="00996BEE">
      <w:rPr>
        <w:lang w:val="es-419"/>
      </w:rPr>
      <w:t>Programa y Presupuesto 2024</w:t>
    </w:r>
    <w:r w:rsidRPr="00996BEE">
      <w:rPr>
        <w:lang w:val="es-419"/>
      </w:rPr>
      <w:noBreakHyphen/>
      <w:t>2025</w:t>
    </w:r>
  </w:p>
  <w:p w14:paraId="5AFCA4E3" w14:textId="77777777" w:rsidR="008F776F" w:rsidRPr="00996BEE" w:rsidRDefault="008F776F" w:rsidP="008224BD">
    <w:pPr>
      <w:pStyle w:val="Header"/>
      <w:rPr>
        <w:lang w:val="es-419"/>
      </w:rPr>
    </w:pPr>
    <w:r w:rsidRPr="00996BEE">
      <w:rPr>
        <w:lang w:val="es-419"/>
      </w:rPr>
      <w:t xml:space="preserve">Anexo II, página </w:t>
    </w:r>
    <w:sdt>
      <w:sdtPr>
        <w:rPr>
          <w:lang w:val="es-419"/>
        </w:rPr>
        <w:id w:val="1872650395"/>
        <w:docPartObj>
          <w:docPartGallery w:val="Page Numbers (Top of Page)"/>
          <w:docPartUnique/>
        </w:docPartObj>
      </w:sdtPr>
      <w:sdtEndPr>
        <w:rPr>
          <w:noProof/>
        </w:rPr>
      </w:sdtEndPr>
      <w:sdtContent>
        <w:r w:rsidRPr="00996BEE">
          <w:rPr>
            <w:lang w:val="es-419"/>
          </w:rPr>
          <w:fldChar w:fldCharType="begin"/>
        </w:r>
        <w:r w:rsidRPr="00996BEE">
          <w:rPr>
            <w:lang w:val="es-419"/>
          </w:rPr>
          <w:instrText xml:space="preserve"> PAGE   \* MERGEFORMAT </w:instrText>
        </w:r>
        <w:r w:rsidRPr="00996BEE">
          <w:rPr>
            <w:lang w:val="es-419"/>
          </w:rPr>
          <w:fldChar w:fldCharType="separate"/>
        </w:r>
        <w:r w:rsidRPr="00996BEE">
          <w:rPr>
            <w:lang w:val="es-419"/>
          </w:rPr>
          <w:t>39</w:t>
        </w:r>
        <w:r w:rsidRPr="00996BEE">
          <w:rPr>
            <w:lang w:val="es-419"/>
          </w:rPr>
          <w:fldChar w:fldCharType="end"/>
        </w:r>
      </w:sdtContent>
    </w:sdt>
  </w:p>
  <w:p w14:paraId="294E7F91" w14:textId="77777777" w:rsidR="008F776F" w:rsidRPr="00996BEE" w:rsidRDefault="008F776F" w:rsidP="008224BD">
    <w:pPr>
      <w:pStyle w:val="Header"/>
      <w:rPr>
        <w:lang w:val="es-4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18C4" w14:textId="77777777" w:rsidR="008F776F" w:rsidRPr="00996BEE" w:rsidRDefault="008F776F" w:rsidP="00277D28">
    <w:pPr>
      <w:pStyle w:val="Header"/>
      <w:jc w:val="right"/>
      <w:rPr>
        <w:b/>
        <w:color w:val="26724C" w:themeColor="accent1" w:themeShade="BF"/>
        <w:lang w:val="es-419"/>
      </w:rPr>
    </w:pPr>
    <w:r w:rsidRPr="00996BEE">
      <w:rPr>
        <w:b/>
        <w:color w:val="26724C" w:themeColor="accent1" w:themeShade="BF"/>
        <w:lang w:val="es-419"/>
      </w:rPr>
      <w:t>UPOV</w:t>
    </w:r>
  </w:p>
  <w:p w14:paraId="140FDB04" w14:textId="77777777" w:rsidR="008F776F" w:rsidRPr="00996BEE" w:rsidRDefault="008F776F" w:rsidP="00277D28">
    <w:pPr>
      <w:pStyle w:val="Header"/>
      <w:jc w:val="right"/>
      <w:rPr>
        <w:color w:val="26724C" w:themeColor="accent1" w:themeShade="BF"/>
        <w:lang w:val="es-419"/>
      </w:rPr>
    </w:pPr>
    <w:r>
      <w:rPr>
        <w:color w:val="26724C" w:themeColor="accent1" w:themeShade="BF"/>
        <w:lang w:val="es-419"/>
      </w:rPr>
      <w:t>P</w:t>
    </w:r>
    <w:r w:rsidRPr="00996BEE">
      <w:rPr>
        <w:color w:val="26724C" w:themeColor="accent1" w:themeShade="BF"/>
        <w:lang w:val="es-419"/>
      </w:rPr>
      <w:t>royecto de Programa y Presupuesto 2024</w:t>
    </w:r>
    <w:r w:rsidRPr="00996BEE">
      <w:rPr>
        <w:color w:val="26724C" w:themeColor="accent1" w:themeShade="BF"/>
        <w:lang w:val="es-419"/>
      </w:rPr>
      <w:noBreakHyphen/>
      <w:t>2025</w:t>
    </w:r>
  </w:p>
  <w:p w14:paraId="3F51EAB1" w14:textId="77777777" w:rsidR="008F776F" w:rsidRPr="00996BEE" w:rsidRDefault="008F776F" w:rsidP="00277D28">
    <w:pPr>
      <w:pStyle w:val="Header"/>
      <w:pBdr>
        <w:bottom w:val="single" w:sz="4" w:space="1" w:color="auto"/>
      </w:pBdr>
      <w:jc w:val="right"/>
      <w:rPr>
        <w:color w:val="26724C" w:themeColor="accent1" w:themeShade="BF"/>
        <w:lang w:val="es-419"/>
      </w:rPr>
    </w:pPr>
    <w:r w:rsidRPr="00996BEE">
      <w:rPr>
        <w:color w:val="26724C" w:themeColor="accent1" w:themeShade="BF"/>
        <w:lang w:val="es-419"/>
      </w:rPr>
      <w:t xml:space="preserve">Apéndice I, página </w:t>
    </w:r>
    <w:sdt>
      <w:sdtPr>
        <w:rPr>
          <w:color w:val="26724C" w:themeColor="accent1" w:themeShade="BF"/>
          <w:lang w:val="es-419"/>
        </w:rPr>
        <w:id w:val="1225410642"/>
        <w:docPartObj>
          <w:docPartGallery w:val="Page Numbers (Top of Page)"/>
          <w:docPartUnique/>
        </w:docPartObj>
      </w:sdtPr>
      <w:sdtEndPr>
        <w:rPr>
          <w:noProof/>
        </w:rPr>
      </w:sdtEndPr>
      <w:sdtContent>
        <w:r w:rsidRPr="00996BEE">
          <w:rPr>
            <w:color w:val="26724C" w:themeColor="accent1" w:themeShade="BF"/>
            <w:lang w:val="es-419"/>
          </w:rPr>
          <w:fldChar w:fldCharType="begin"/>
        </w:r>
        <w:r w:rsidRPr="00996BEE">
          <w:rPr>
            <w:color w:val="26724C" w:themeColor="accent1" w:themeShade="BF"/>
            <w:lang w:val="es-419"/>
          </w:rPr>
          <w:instrText xml:space="preserve"> PAGE   \* MERGEFORMAT </w:instrText>
        </w:r>
        <w:r w:rsidRPr="00996BEE">
          <w:rPr>
            <w:color w:val="26724C" w:themeColor="accent1" w:themeShade="BF"/>
            <w:lang w:val="es-419"/>
          </w:rPr>
          <w:fldChar w:fldCharType="separate"/>
        </w:r>
        <w:r w:rsidR="00F47CE2">
          <w:rPr>
            <w:noProof/>
            <w:color w:val="26724C" w:themeColor="accent1" w:themeShade="BF"/>
            <w:lang w:val="es-419"/>
          </w:rPr>
          <w:t>19</w:t>
        </w:r>
        <w:r w:rsidRPr="00996BEE">
          <w:rPr>
            <w:color w:val="26724C" w:themeColor="accent1" w:themeShade="BF"/>
            <w:lang w:val="es-419"/>
          </w:rPr>
          <w:fldChar w:fldCharType="end"/>
        </w:r>
      </w:sdtContent>
    </w:sdt>
  </w:p>
  <w:p w14:paraId="44A551A8" w14:textId="77777777" w:rsidR="008F776F" w:rsidRPr="00996BEE" w:rsidRDefault="008F776F" w:rsidP="00277D28">
    <w:pPr>
      <w:pStyle w:val="Header"/>
      <w:jc w:val="right"/>
      <w:rPr>
        <w:color w:val="26724C" w:themeColor="accent1" w:themeShade="BF"/>
        <w:lang w:val="es-419"/>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BBC8" w14:textId="77777777" w:rsidR="008F776F" w:rsidRPr="00996BEE" w:rsidRDefault="008F776F" w:rsidP="00495E48">
    <w:pPr>
      <w:pStyle w:val="Header"/>
      <w:jc w:val="right"/>
      <w:rPr>
        <w:b/>
        <w:color w:val="26724C" w:themeColor="accent1" w:themeShade="BF"/>
        <w:lang w:val="es-419"/>
      </w:rPr>
    </w:pPr>
    <w:r w:rsidRPr="00996BEE">
      <w:rPr>
        <w:b/>
        <w:color w:val="26724C" w:themeColor="accent1" w:themeShade="BF"/>
        <w:lang w:val="es-419"/>
      </w:rPr>
      <w:t>UPOV</w:t>
    </w:r>
  </w:p>
  <w:p w14:paraId="5951BB5A" w14:textId="77777777" w:rsidR="008F776F" w:rsidRPr="00996BEE" w:rsidRDefault="008F776F" w:rsidP="008B40C0">
    <w:pPr>
      <w:pStyle w:val="Header"/>
      <w:jc w:val="right"/>
      <w:rPr>
        <w:color w:val="26724C" w:themeColor="accent1" w:themeShade="BF"/>
        <w:lang w:val="es-419"/>
      </w:rPr>
    </w:pPr>
    <w:r w:rsidRPr="00996BEE">
      <w:rPr>
        <w:color w:val="26724C" w:themeColor="accent1" w:themeShade="BF"/>
        <w:lang w:val="es-419"/>
      </w:rPr>
      <w:t>Anteproyecto de Programa y Presupuesto 2024</w:t>
    </w:r>
    <w:r w:rsidRPr="00996BEE">
      <w:rPr>
        <w:color w:val="26724C" w:themeColor="accent1" w:themeShade="BF"/>
        <w:lang w:val="es-419"/>
      </w:rPr>
      <w:noBreakHyphen/>
      <w:t>2025</w:t>
    </w:r>
  </w:p>
  <w:p w14:paraId="2F8D416A" w14:textId="77777777" w:rsidR="008F776F" w:rsidRPr="00996BEE" w:rsidRDefault="008F776F" w:rsidP="008B40C0">
    <w:pPr>
      <w:pStyle w:val="Header"/>
      <w:pBdr>
        <w:bottom w:val="single" w:sz="4" w:space="1" w:color="auto"/>
      </w:pBdr>
      <w:jc w:val="right"/>
      <w:rPr>
        <w:color w:val="26724C" w:themeColor="accent1" w:themeShade="BF"/>
        <w:lang w:val="es-419"/>
      </w:rPr>
    </w:pPr>
    <w:r w:rsidRPr="00996BEE">
      <w:rPr>
        <w:color w:val="26724C" w:themeColor="accent1" w:themeShade="BF"/>
        <w:lang w:val="es-419"/>
      </w:rPr>
      <w:t xml:space="preserve">Apéndice I, página </w:t>
    </w:r>
    <w:sdt>
      <w:sdtPr>
        <w:rPr>
          <w:color w:val="26724C" w:themeColor="accent1" w:themeShade="BF"/>
          <w:lang w:val="es-419"/>
        </w:rPr>
        <w:id w:val="1728342427"/>
        <w:docPartObj>
          <w:docPartGallery w:val="Page Numbers (Top of Page)"/>
          <w:docPartUnique/>
        </w:docPartObj>
      </w:sdtPr>
      <w:sdtEndPr>
        <w:rPr>
          <w:noProof/>
        </w:rPr>
      </w:sdtEndPr>
      <w:sdtContent>
        <w:r w:rsidRPr="00996BEE">
          <w:rPr>
            <w:color w:val="26724C" w:themeColor="accent1" w:themeShade="BF"/>
            <w:lang w:val="es-419"/>
          </w:rPr>
          <w:fldChar w:fldCharType="begin"/>
        </w:r>
        <w:r w:rsidRPr="00996BEE">
          <w:rPr>
            <w:color w:val="26724C" w:themeColor="accent1" w:themeShade="BF"/>
            <w:lang w:val="es-419"/>
          </w:rPr>
          <w:instrText xml:space="preserve"> PAGE   \* MERGEFORMAT </w:instrText>
        </w:r>
        <w:r w:rsidRPr="00996BEE">
          <w:rPr>
            <w:color w:val="26724C" w:themeColor="accent1" w:themeShade="BF"/>
            <w:lang w:val="es-419"/>
          </w:rPr>
          <w:fldChar w:fldCharType="separate"/>
        </w:r>
        <w:r w:rsidRPr="00996BEE">
          <w:rPr>
            <w:color w:val="26724C" w:themeColor="accent1" w:themeShade="BF"/>
            <w:lang w:val="es-419"/>
          </w:rPr>
          <w:t>38</w:t>
        </w:r>
        <w:r w:rsidRPr="00996BEE">
          <w:rPr>
            <w:color w:val="26724C" w:themeColor="accent1" w:themeShade="BF"/>
            <w:lang w:val="es-419"/>
          </w:rPr>
          <w:fldChar w:fldCharType="end"/>
        </w:r>
      </w:sdtContent>
    </w:sdt>
  </w:p>
  <w:p w14:paraId="5913518E" w14:textId="77777777" w:rsidR="008F776F" w:rsidRPr="00996BEE" w:rsidRDefault="008F776F" w:rsidP="008B40C0">
    <w:pPr>
      <w:pStyle w:val="Header"/>
      <w:jc w:val="right"/>
      <w:rPr>
        <w:color w:val="26724C" w:themeColor="accent1" w:themeShade="BF"/>
        <w:lang w:val="es-419"/>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90FC" w14:textId="77777777" w:rsidR="008F776F" w:rsidRPr="00996BEE" w:rsidRDefault="008F776F" w:rsidP="008224BD">
    <w:pPr>
      <w:pStyle w:val="Header"/>
      <w:rPr>
        <w:rStyle w:val="PageNumber"/>
        <w:lang w:val="es-419"/>
      </w:rPr>
    </w:pPr>
    <w:r w:rsidRPr="00996BEE">
      <w:rPr>
        <w:lang w:val="es-419"/>
      </w:rPr>
      <w:t>Anteproyecto de Programa y Presupuesto para el bienio 2024</w:t>
    </w:r>
    <w:r w:rsidRPr="00996BEE">
      <w:rPr>
        <w:lang w:val="es-419"/>
      </w:rPr>
      <w:noBreakHyphen/>
      <w:t>2025</w:t>
    </w:r>
  </w:p>
  <w:p w14:paraId="73D5DA20" w14:textId="77777777" w:rsidR="008F776F" w:rsidRPr="00996BEE" w:rsidRDefault="008F776F" w:rsidP="008224BD">
    <w:pPr>
      <w:pStyle w:val="Header"/>
      <w:rPr>
        <w:lang w:val="es-419"/>
      </w:rPr>
    </w:pPr>
    <w:r w:rsidRPr="00996BEE">
      <w:rPr>
        <w:lang w:val="es-419"/>
      </w:rPr>
      <w:t xml:space="preserve">Anexo II, página </w:t>
    </w:r>
    <w:sdt>
      <w:sdtPr>
        <w:rPr>
          <w:lang w:val="es-419"/>
        </w:rPr>
        <w:id w:val="1341588206"/>
        <w:docPartObj>
          <w:docPartGallery w:val="Page Numbers (Top of Page)"/>
          <w:docPartUnique/>
        </w:docPartObj>
      </w:sdtPr>
      <w:sdtEndPr>
        <w:rPr>
          <w:noProof/>
        </w:rPr>
      </w:sdtEndPr>
      <w:sdtContent>
        <w:r w:rsidRPr="00996BEE">
          <w:rPr>
            <w:lang w:val="es-419"/>
          </w:rPr>
          <w:fldChar w:fldCharType="begin"/>
        </w:r>
        <w:r w:rsidRPr="00996BEE">
          <w:rPr>
            <w:lang w:val="es-419"/>
          </w:rPr>
          <w:instrText xml:space="preserve"> PAGE   \* MERGEFORMAT </w:instrText>
        </w:r>
        <w:r w:rsidRPr="00996BEE">
          <w:rPr>
            <w:lang w:val="es-419"/>
          </w:rPr>
          <w:fldChar w:fldCharType="separate"/>
        </w:r>
        <w:r w:rsidRPr="00996BEE">
          <w:rPr>
            <w:lang w:val="es-419"/>
          </w:rPr>
          <w:t>39</w:t>
        </w:r>
        <w:r w:rsidRPr="00996BEE">
          <w:rPr>
            <w:lang w:val="es-419"/>
          </w:rPr>
          <w:fldChar w:fldCharType="end"/>
        </w:r>
      </w:sdtContent>
    </w:sdt>
  </w:p>
  <w:p w14:paraId="6E1E01DF" w14:textId="77777777" w:rsidR="008F776F" w:rsidRPr="00996BEE" w:rsidRDefault="008F776F" w:rsidP="008224BD">
    <w:pPr>
      <w:pStyle w:val="Header"/>
      <w:rPr>
        <w:lang w:val="es-419"/>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B4B7" w14:textId="77777777" w:rsidR="008F776F" w:rsidRPr="00996BEE" w:rsidRDefault="008F776F" w:rsidP="001A7881">
    <w:pPr>
      <w:pStyle w:val="Header"/>
      <w:rPr>
        <w:rStyle w:val="PageNumber"/>
        <w:lang w:val="es-419"/>
      </w:rPr>
    </w:pPr>
    <w:r w:rsidRPr="00996BEE">
      <w:rPr>
        <w:lang w:val="es-419"/>
      </w:rPr>
      <w:t>Anteproyecto de Programa y Presupuesto para el bienio 2024</w:t>
    </w:r>
    <w:r w:rsidRPr="00996BEE">
      <w:rPr>
        <w:lang w:val="es-419"/>
      </w:rPr>
      <w:noBreakHyphen/>
      <w:t>2025</w:t>
    </w:r>
  </w:p>
  <w:p w14:paraId="1A89A886" w14:textId="77777777" w:rsidR="008F776F" w:rsidRPr="00996BEE" w:rsidRDefault="008F776F" w:rsidP="001A7881">
    <w:pPr>
      <w:pStyle w:val="Header"/>
      <w:rPr>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553"/>
    <w:multiLevelType w:val="hybridMultilevel"/>
    <w:tmpl w:val="5226D9B2"/>
    <w:lvl w:ilvl="0" w:tplc="31920AC6">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338E"/>
    <w:multiLevelType w:val="multilevel"/>
    <w:tmpl w:val="5734F63E"/>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1644D"/>
    <w:multiLevelType w:val="hybridMultilevel"/>
    <w:tmpl w:val="66B2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690830">
    <w:abstractNumId w:val="0"/>
  </w:num>
  <w:num w:numId="2" w16cid:durableId="489176213">
    <w:abstractNumId w:val="3"/>
  </w:num>
  <w:num w:numId="3" w16cid:durableId="20021938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5818756">
    <w:abstractNumId w:val="2"/>
  </w:num>
  <w:num w:numId="5" w16cid:durableId="108988703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76F"/>
    <w:rsid w:val="00010CF3"/>
    <w:rsid w:val="00011E27"/>
    <w:rsid w:val="000148BC"/>
    <w:rsid w:val="00024AB8"/>
    <w:rsid w:val="00030854"/>
    <w:rsid w:val="00036028"/>
    <w:rsid w:val="00044642"/>
    <w:rsid w:val="000446B9"/>
    <w:rsid w:val="00047E21"/>
    <w:rsid w:val="00050E16"/>
    <w:rsid w:val="000638A9"/>
    <w:rsid w:val="00085505"/>
    <w:rsid w:val="000976E2"/>
    <w:rsid w:val="000A014B"/>
    <w:rsid w:val="000A23DC"/>
    <w:rsid w:val="000A7839"/>
    <w:rsid w:val="000C4E25"/>
    <w:rsid w:val="000C7021"/>
    <w:rsid w:val="000D6BBC"/>
    <w:rsid w:val="000D7780"/>
    <w:rsid w:val="000E636A"/>
    <w:rsid w:val="000F2F11"/>
    <w:rsid w:val="00105929"/>
    <w:rsid w:val="00110C36"/>
    <w:rsid w:val="001131D5"/>
    <w:rsid w:val="001342BD"/>
    <w:rsid w:val="00141DB8"/>
    <w:rsid w:val="001677A8"/>
    <w:rsid w:val="00172084"/>
    <w:rsid w:val="0017474A"/>
    <w:rsid w:val="001758C6"/>
    <w:rsid w:val="00182B99"/>
    <w:rsid w:val="001A18EE"/>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A7F"/>
    <w:rsid w:val="00313F48"/>
    <w:rsid w:val="003152FE"/>
    <w:rsid w:val="00327436"/>
    <w:rsid w:val="00344BD6"/>
    <w:rsid w:val="0035528D"/>
    <w:rsid w:val="00361821"/>
    <w:rsid w:val="00361E9E"/>
    <w:rsid w:val="003B031A"/>
    <w:rsid w:val="003C7FBE"/>
    <w:rsid w:val="003D227C"/>
    <w:rsid w:val="003D2B4D"/>
    <w:rsid w:val="003D5DCC"/>
    <w:rsid w:val="00401DDB"/>
    <w:rsid w:val="0040557F"/>
    <w:rsid w:val="00405DF2"/>
    <w:rsid w:val="00444A88"/>
    <w:rsid w:val="00474DA4"/>
    <w:rsid w:val="00476B4D"/>
    <w:rsid w:val="004805FA"/>
    <w:rsid w:val="004935D2"/>
    <w:rsid w:val="004B1215"/>
    <w:rsid w:val="004D047D"/>
    <w:rsid w:val="004F1E9E"/>
    <w:rsid w:val="004F305A"/>
    <w:rsid w:val="004F5117"/>
    <w:rsid w:val="00512164"/>
    <w:rsid w:val="00520297"/>
    <w:rsid w:val="005338F9"/>
    <w:rsid w:val="0054281C"/>
    <w:rsid w:val="00544581"/>
    <w:rsid w:val="00545E42"/>
    <w:rsid w:val="0055268D"/>
    <w:rsid w:val="00566FC7"/>
    <w:rsid w:val="00576BE4"/>
    <w:rsid w:val="00586B76"/>
    <w:rsid w:val="005A400A"/>
    <w:rsid w:val="005F7B92"/>
    <w:rsid w:val="00612379"/>
    <w:rsid w:val="006153B6"/>
    <w:rsid w:val="0061555F"/>
    <w:rsid w:val="00636CA6"/>
    <w:rsid w:val="00637EDD"/>
    <w:rsid w:val="00641200"/>
    <w:rsid w:val="00645CA8"/>
    <w:rsid w:val="00655737"/>
    <w:rsid w:val="006655D3"/>
    <w:rsid w:val="00667404"/>
    <w:rsid w:val="00687EB4"/>
    <w:rsid w:val="00695C56"/>
    <w:rsid w:val="006A32E5"/>
    <w:rsid w:val="006A5CDE"/>
    <w:rsid w:val="006A644A"/>
    <w:rsid w:val="006B17D2"/>
    <w:rsid w:val="006C224E"/>
    <w:rsid w:val="006D780A"/>
    <w:rsid w:val="0071271E"/>
    <w:rsid w:val="00732DEC"/>
    <w:rsid w:val="00735BD5"/>
    <w:rsid w:val="00751613"/>
    <w:rsid w:val="007556F6"/>
    <w:rsid w:val="00760EEF"/>
    <w:rsid w:val="00775143"/>
    <w:rsid w:val="00777EE5"/>
    <w:rsid w:val="00783722"/>
    <w:rsid w:val="00784836"/>
    <w:rsid w:val="0079023E"/>
    <w:rsid w:val="007A2854"/>
    <w:rsid w:val="007C190D"/>
    <w:rsid w:val="007C1D92"/>
    <w:rsid w:val="007C4CB9"/>
    <w:rsid w:val="007D0B9D"/>
    <w:rsid w:val="007D19B0"/>
    <w:rsid w:val="007F498F"/>
    <w:rsid w:val="0080679D"/>
    <w:rsid w:val="008108B0"/>
    <w:rsid w:val="00811B20"/>
    <w:rsid w:val="008211B5"/>
    <w:rsid w:val="0082296E"/>
    <w:rsid w:val="00824099"/>
    <w:rsid w:val="008364BE"/>
    <w:rsid w:val="00846D7C"/>
    <w:rsid w:val="008574A4"/>
    <w:rsid w:val="00864C55"/>
    <w:rsid w:val="00867AC1"/>
    <w:rsid w:val="00890DF8"/>
    <w:rsid w:val="008A743F"/>
    <w:rsid w:val="008B3D8D"/>
    <w:rsid w:val="008C0970"/>
    <w:rsid w:val="008D0BC5"/>
    <w:rsid w:val="008D2CF7"/>
    <w:rsid w:val="008F776F"/>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C3021"/>
    <w:rsid w:val="009D690D"/>
    <w:rsid w:val="009E65B6"/>
    <w:rsid w:val="00A20FB2"/>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004F"/>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1841"/>
    <w:rsid w:val="00E07D87"/>
    <w:rsid w:val="00E32F7E"/>
    <w:rsid w:val="00E4161B"/>
    <w:rsid w:val="00E5267B"/>
    <w:rsid w:val="00E63C0E"/>
    <w:rsid w:val="00E72D49"/>
    <w:rsid w:val="00E7593C"/>
    <w:rsid w:val="00E7678A"/>
    <w:rsid w:val="00E935F1"/>
    <w:rsid w:val="00E94A81"/>
    <w:rsid w:val="00EA1FFB"/>
    <w:rsid w:val="00EA65D2"/>
    <w:rsid w:val="00EB048E"/>
    <w:rsid w:val="00EB4E9C"/>
    <w:rsid w:val="00EB7224"/>
    <w:rsid w:val="00EC2265"/>
    <w:rsid w:val="00ED4FEA"/>
    <w:rsid w:val="00EE34DF"/>
    <w:rsid w:val="00EF2F89"/>
    <w:rsid w:val="00F03E98"/>
    <w:rsid w:val="00F1237A"/>
    <w:rsid w:val="00F22CBD"/>
    <w:rsid w:val="00F272F1"/>
    <w:rsid w:val="00F45372"/>
    <w:rsid w:val="00F47CE2"/>
    <w:rsid w:val="00F560F7"/>
    <w:rsid w:val="00F6334D"/>
    <w:rsid w:val="00FA49AB"/>
    <w:rsid w:val="00FD3F87"/>
    <w:rsid w:val="00FD4BBE"/>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1A486F"/>
  <w15:docId w15:val="{0B7312B0-6C9C-46A6-9FDD-96A3EC0F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776F"/>
    <w:pPr>
      <w:jc w:val="both"/>
    </w:pPr>
    <w:rPr>
      <w:rFonts w:ascii="Arial" w:hAnsi="Arial"/>
    </w:rPr>
  </w:style>
  <w:style w:type="paragraph" w:styleId="Heading1">
    <w:name w:val="heading 1"/>
    <w:next w:val="Normal"/>
    <w:link w:val="Heading1Char"/>
    <w:qFormat/>
    <w:rsid w:val="008F776F"/>
    <w:pPr>
      <w:keepNext/>
      <w:numPr>
        <w:numId w:val="5"/>
      </w:numPr>
      <w:outlineLvl w:val="0"/>
    </w:pPr>
    <w:rPr>
      <w:rFonts w:ascii="Arial" w:hAnsi="Arial"/>
      <w:caps/>
      <w:color w:val="26724C" w:themeColor="accent1" w:themeShade="BF"/>
      <w:sz w:val="32"/>
      <w:szCs w:val="24"/>
    </w:rPr>
  </w:style>
  <w:style w:type="paragraph" w:styleId="Heading2">
    <w:name w:val="heading 2"/>
    <w:next w:val="Normal"/>
    <w:link w:val="Heading2Char"/>
    <w:qFormat/>
    <w:rsid w:val="008F776F"/>
    <w:pPr>
      <w:keepNext/>
      <w:ind w:left="2694" w:hanging="2694"/>
      <w:jc w:val="both"/>
      <w:outlineLvl w:val="1"/>
    </w:pPr>
    <w:rPr>
      <w:rFonts w:ascii="Arial" w:hAnsi="Arial"/>
      <w:color w:val="26724C" w:themeColor="accent1" w:themeShade="BF"/>
      <w:sz w:val="28"/>
    </w:rPr>
  </w:style>
  <w:style w:type="paragraph" w:styleId="Heading3">
    <w:name w:val="heading 3"/>
    <w:next w:val="Normal"/>
    <w:link w:val="Heading3Char"/>
    <w:autoRedefine/>
    <w:qFormat/>
    <w:rsid w:val="008F776F"/>
    <w:pPr>
      <w:keepNext/>
      <w:keepLines/>
      <w:jc w:val="both"/>
      <w:outlineLvl w:val="2"/>
    </w:pPr>
    <w:rPr>
      <w:rFonts w:ascii="Arial" w:hAnsi="Arial"/>
      <w:b/>
      <w:color w:val="26724C" w:themeColor="accent1" w:themeShade="BF"/>
      <w:sz w:val="22"/>
      <w:lang w:val="es-ES_tradnl"/>
    </w:rPr>
  </w:style>
  <w:style w:type="paragraph" w:styleId="Heading4">
    <w:name w:val="heading 4"/>
    <w:next w:val="Normal"/>
    <w:link w:val="Heading4Char"/>
    <w:autoRedefine/>
    <w:qFormat/>
    <w:rsid w:val="008F776F"/>
    <w:pPr>
      <w:keepNext/>
      <w:tabs>
        <w:tab w:val="left" w:pos="1418"/>
      </w:tabs>
      <w:ind w:left="567"/>
      <w:jc w:val="both"/>
      <w:outlineLvl w:val="3"/>
    </w:pPr>
    <w:rPr>
      <w:rFonts w:ascii="Arial" w:hAnsi="Arial"/>
      <w:u w:val="single"/>
    </w:rPr>
  </w:style>
  <w:style w:type="paragraph" w:styleId="Heading5">
    <w:name w:val="heading 5"/>
    <w:next w:val="Normal"/>
    <w:link w:val="Heading5Char"/>
    <w:autoRedefine/>
    <w:qFormat/>
    <w:rsid w:val="008F776F"/>
    <w:pPr>
      <w:keepNext/>
      <w:keepLines/>
      <w:ind w:left="567" w:hanging="567"/>
      <w:jc w:val="both"/>
      <w:outlineLvl w:val="4"/>
    </w:pPr>
    <w:rPr>
      <w:rFonts w:ascii="Arial" w:hAnsi="Arial"/>
      <w:i/>
      <w:color w:val="26724C" w:themeColor="accent1" w:themeShade="BF"/>
    </w:rPr>
  </w:style>
  <w:style w:type="paragraph" w:styleId="Heading6">
    <w:name w:val="heading 6"/>
    <w:basedOn w:val="Normal"/>
    <w:next w:val="Normal"/>
    <w:link w:val="Heading6Char"/>
    <w:semiHidden/>
    <w:unhideWhenUsed/>
    <w:qFormat/>
    <w:rsid w:val="008F776F"/>
    <w:pPr>
      <w:keepNext/>
      <w:keepLines/>
      <w:spacing w:before="40"/>
      <w:outlineLvl w:val="5"/>
    </w:pPr>
    <w:rPr>
      <w:rFonts w:asciiTheme="majorHAnsi" w:eastAsiaTheme="majorEastAsia" w:hAnsiTheme="majorHAnsi" w:cstheme="majorBidi"/>
      <w:color w:val="194C32" w:themeColor="accent1" w:themeShade="7F"/>
    </w:rPr>
  </w:style>
  <w:style w:type="paragraph" w:styleId="Heading9">
    <w:name w:val="heading 9"/>
    <w:basedOn w:val="Heading2"/>
    <w:next w:val="Normal"/>
    <w:link w:val="Heading9Char"/>
    <w:qFormat/>
    <w:rsid w:val="008F776F"/>
    <w:pPr>
      <w:ind w:left="2127" w:hanging="2127"/>
      <w:outlineLvl w:val="8"/>
    </w:pPr>
    <w:rPr>
      <w:rFonts w:ascii="Arial Bold" w:hAnsi="Arial Bold"/>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F776F"/>
    <w:pPr>
      <w:jc w:val="center"/>
    </w:pPr>
    <w:rPr>
      <w:rFonts w:ascii="Arial" w:hAnsi="Arial"/>
    </w:rPr>
  </w:style>
  <w:style w:type="paragraph" w:styleId="Footer">
    <w:name w:val="footer"/>
    <w:aliases w:val="doc_path_name"/>
    <w:link w:val="FooterChar"/>
    <w:autoRedefine/>
    <w:rsid w:val="008F776F"/>
    <w:pPr>
      <w:jc w:val="both"/>
    </w:pPr>
    <w:rPr>
      <w:rFonts w:ascii="Arial" w:hAnsi="Arial"/>
      <w:sz w:val="14"/>
    </w:rPr>
  </w:style>
  <w:style w:type="character" w:styleId="PageNumber">
    <w:name w:val="page number"/>
    <w:basedOn w:val="DefaultParagraphFont"/>
    <w:rsid w:val="008F776F"/>
    <w:rPr>
      <w:rFonts w:ascii="Arial" w:hAnsi="Arial"/>
      <w:sz w:val="20"/>
    </w:rPr>
  </w:style>
  <w:style w:type="paragraph" w:styleId="Title">
    <w:name w:val="Title"/>
    <w:basedOn w:val="Normal"/>
    <w:link w:val="TitleChar"/>
    <w:qFormat/>
    <w:rsid w:val="008F776F"/>
    <w:pPr>
      <w:spacing w:after="300"/>
      <w:jc w:val="center"/>
    </w:pPr>
    <w:rPr>
      <w:b/>
      <w:caps/>
      <w:kern w:val="28"/>
      <w:sz w:val="30"/>
    </w:rPr>
  </w:style>
  <w:style w:type="paragraph" w:customStyle="1" w:styleId="preparedby">
    <w:name w:val="preparedby"/>
    <w:basedOn w:val="Normal"/>
    <w:next w:val="Normal"/>
    <w:semiHidden/>
    <w:rsid w:val="008F776F"/>
    <w:pPr>
      <w:spacing w:after="600"/>
      <w:jc w:val="center"/>
    </w:pPr>
    <w:rPr>
      <w:i/>
    </w:rPr>
  </w:style>
  <w:style w:type="paragraph" w:customStyle="1" w:styleId="Docoriginal">
    <w:name w:val="Doc_original"/>
    <w:basedOn w:val="Code"/>
    <w:link w:val="DocoriginalChar"/>
    <w:rsid w:val="008F776F"/>
    <w:pPr>
      <w:spacing w:before="240" w:line="240" w:lineRule="exact"/>
      <w:ind w:left="0"/>
      <w:contextualSpacing/>
      <w:jc w:val="left"/>
    </w:pPr>
    <w:rPr>
      <w:sz w:val="18"/>
    </w:rPr>
  </w:style>
  <w:style w:type="paragraph" w:customStyle="1" w:styleId="DecisionParagraphs">
    <w:name w:val="DecisionParagraphs"/>
    <w:basedOn w:val="Normal"/>
    <w:rsid w:val="008F776F"/>
    <w:pPr>
      <w:tabs>
        <w:tab w:val="left" w:pos="5387"/>
        <w:tab w:val="left" w:pos="5954"/>
      </w:tabs>
      <w:ind w:left="4820"/>
    </w:pPr>
    <w:rPr>
      <w:i/>
    </w:rPr>
  </w:style>
  <w:style w:type="paragraph" w:styleId="FootnoteText">
    <w:name w:val="footnote text"/>
    <w:link w:val="FootnoteTextChar"/>
    <w:autoRedefine/>
    <w:rsid w:val="008F776F"/>
    <w:pPr>
      <w:spacing w:before="60"/>
      <w:ind w:left="284" w:hanging="284"/>
      <w:jc w:val="both"/>
    </w:pPr>
    <w:rPr>
      <w:rFonts w:ascii="Arial" w:hAnsi="Arial"/>
      <w:sz w:val="16"/>
    </w:rPr>
  </w:style>
  <w:style w:type="character" w:styleId="FootnoteReference">
    <w:name w:val="footnote reference"/>
    <w:basedOn w:val="DefaultParagraphFont"/>
    <w:rsid w:val="008F776F"/>
    <w:rPr>
      <w:vertAlign w:val="superscript"/>
    </w:rPr>
  </w:style>
  <w:style w:type="paragraph" w:styleId="Closing">
    <w:name w:val="Closing"/>
    <w:basedOn w:val="Normal"/>
    <w:link w:val="ClosingChar"/>
    <w:rsid w:val="008F776F"/>
    <w:pPr>
      <w:ind w:left="4536"/>
      <w:jc w:val="center"/>
    </w:pPr>
  </w:style>
  <w:style w:type="paragraph" w:styleId="Index1">
    <w:name w:val="index 1"/>
    <w:basedOn w:val="Normal"/>
    <w:next w:val="Normal"/>
    <w:semiHidden/>
    <w:rsid w:val="008F776F"/>
    <w:pPr>
      <w:tabs>
        <w:tab w:val="right" w:leader="dot" w:pos="9071"/>
      </w:tabs>
      <w:ind w:left="284" w:hanging="284"/>
    </w:pPr>
    <w:rPr>
      <w:sz w:val="24"/>
    </w:rPr>
  </w:style>
  <w:style w:type="paragraph" w:styleId="Index2">
    <w:name w:val="index 2"/>
    <w:basedOn w:val="Normal"/>
    <w:next w:val="Normal"/>
    <w:semiHidden/>
    <w:rsid w:val="008F776F"/>
    <w:pPr>
      <w:tabs>
        <w:tab w:val="right" w:leader="dot" w:pos="9071"/>
      </w:tabs>
      <w:ind w:left="568" w:hanging="284"/>
    </w:pPr>
    <w:rPr>
      <w:sz w:val="24"/>
    </w:rPr>
  </w:style>
  <w:style w:type="paragraph" w:styleId="Index3">
    <w:name w:val="index 3"/>
    <w:basedOn w:val="Normal"/>
    <w:next w:val="Normal"/>
    <w:semiHidden/>
    <w:rsid w:val="008F776F"/>
    <w:pPr>
      <w:tabs>
        <w:tab w:val="right" w:leader="dot" w:pos="9071"/>
      </w:tabs>
      <w:ind w:left="851" w:hanging="284"/>
    </w:pPr>
    <w:rPr>
      <w:sz w:val="24"/>
    </w:rPr>
  </w:style>
  <w:style w:type="paragraph" w:styleId="MacroText">
    <w:name w:val="macro"/>
    <w:link w:val="MacroTextChar"/>
    <w:semiHidden/>
    <w:rsid w:val="008F77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8F776F"/>
    <w:pPr>
      <w:ind w:left="4536"/>
      <w:jc w:val="center"/>
    </w:pPr>
  </w:style>
  <w:style w:type="character" w:customStyle="1" w:styleId="Doclang">
    <w:name w:val="Doc_lang"/>
    <w:basedOn w:val="DefaultParagraphFont"/>
    <w:rsid w:val="008F776F"/>
    <w:rPr>
      <w:rFonts w:ascii="Arial" w:hAnsi="Arial"/>
      <w:sz w:val="20"/>
      <w:lang w:val="en-US"/>
    </w:rPr>
  </w:style>
  <w:style w:type="paragraph" w:customStyle="1" w:styleId="Session">
    <w:name w:val="Session"/>
    <w:basedOn w:val="Normal"/>
    <w:semiHidden/>
    <w:rsid w:val="008F776F"/>
    <w:pPr>
      <w:spacing w:before="60"/>
      <w:jc w:val="center"/>
    </w:pPr>
    <w:rPr>
      <w:b/>
    </w:rPr>
  </w:style>
  <w:style w:type="paragraph" w:customStyle="1" w:styleId="Organizer">
    <w:name w:val="Organizer"/>
    <w:basedOn w:val="Normal"/>
    <w:semiHidden/>
    <w:rsid w:val="008F776F"/>
    <w:pPr>
      <w:spacing w:after="600"/>
      <w:ind w:left="-993" w:right="-994"/>
      <w:jc w:val="center"/>
    </w:pPr>
    <w:rPr>
      <w:b/>
      <w:caps/>
      <w:kern w:val="26"/>
      <w:sz w:val="26"/>
    </w:rPr>
  </w:style>
  <w:style w:type="paragraph" w:styleId="BodyText">
    <w:name w:val="Body Text"/>
    <w:basedOn w:val="Normal"/>
    <w:link w:val="BodyTextChar"/>
    <w:rsid w:val="008F776F"/>
  </w:style>
  <w:style w:type="paragraph" w:customStyle="1" w:styleId="Disclaimer">
    <w:name w:val="Disclaimer"/>
    <w:next w:val="Normal"/>
    <w:qFormat/>
    <w:rsid w:val="008F776F"/>
    <w:pPr>
      <w:spacing w:after="600"/>
    </w:pPr>
    <w:rPr>
      <w:rFonts w:ascii="Arial" w:hAnsi="Arial"/>
      <w:i/>
      <w:iCs/>
      <w:color w:val="A6A6A6" w:themeColor="background1" w:themeShade="A6"/>
    </w:rPr>
  </w:style>
  <w:style w:type="paragraph" w:customStyle="1" w:styleId="upove">
    <w:name w:val="upov_e"/>
    <w:basedOn w:val="Normal"/>
    <w:rsid w:val="008F776F"/>
    <w:pPr>
      <w:spacing w:before="120"/>
    </w:pPr>
    <w:rPr>
      <w:sz w:val="16"/>
    </w:rPr>
  </w:style>
  <w:style w:type="paragraph" w:customStyle="1" w:styleId="TitleofDoc">
    <w:name w:val="Title of Doc"/>
    <w:basedOn w:val="Normal"/>
    <w:semiHidden/>
    <w:rsid w:val="008F776F"/>
    <w:pPr>
      <w:spacing w:before="1200"/>
      <w:jc w:val="center"/>
    </w:pPr>
    <w:rPr>
      <w:caps/>
    </w:rPr>
  </w:style>
  <w:style w:type="paragraph" w:customStyle="1" w:styleId="preparedby0">
    <w:name w:val="prepared by"/>
    <w:basedOn w:val="Normal"/>
    <w:semiHidden/>
    <w:rsid w:val="008F776F"/>
    <w:pPr>
      <w:spacing w:before="600" w:after="600"/>
      <w:jc w:val="center"/>
    </w:pPr>
    <w:rPr>
      <w:i/>
    </w:rPr>
  </w:style>
  <w:style w:type="paragraph" w:customStyle="1" w:styleId="PlaceAndDate">
    <w:name w:val="PlaceAndDate"/>
    <w:basedOn w:val="Session"/>
    <w:semiHidden/>
    <w:rsid w:val="008F776F"/>
  </w:style>
  <w:style w:type="paragraph" w:styleId="EndnoteText">
    <w:name w:val="endnote text"/>
    <w:basedOn w:val="Normal"/>
    <w:link w:val="EndnoteTextChar"/>
    <w:semiHidden/>
    <w:rsid w:val="008F776F"/>
  </w:style>
  <w:style w:type="character" w:styleId="EndnoteReference">
    <w:name w:val="endnote reference"/>
    <w:basedOn w:val="DefaultParagraphFont"/>
    <w:semiHidden/>
    <w:rsid w:val="008F776F"/>
    <w:rPr>
      <w:vertAlign w:val="superscript"/>
    </w:rPr>
  </w:style>
  <w:style w:type="paragraph" w:customStyle="1" w:styleId="SessionMeetingPlace">
    <w:name w:val="Session_MeetingPlace"/>
    <w:basedOn w:val="Normal"/>
    <w:semiHidden/>
    <w:rsid w:val="008F776F"/>
    <w:pPr>
      <w:spacing w:before="480"/>
      <w:jc w:val="center"/>
    </w:pPr>
    <w:rPr>
      <w:b/>
      <w:bCs/>
      <w:kern w:val="28"/>
      <w:sz w:val="24"/>
    </w:rPr>
  </w:style>
  <w:style w:type="paragraph" w:customStyle="1" w:styleId="Original">
    <w:name w:val="Original"/>
    <w:basedOn w:val="Normal"/>
    <w:semiHidden/>
    <w:rsid w:val="008F776F"/>
    <w:pPr>
      <w:spacing w:before="60"/>
      <w:ind w:left="1276"/>
    </w:pPr>
    <w:rPr>
      <w:b/>
      <w:sz w:val="22"/>
    </w:rPr>
  </w:style>
  <w:style w:type="paragraph" w:styleId="Date">
    <w:name w:val="Date"/>
    <w:basedOn w:val="Normal"/>
    <w:link w:val="DateChar"/>
    <w:semiHidden/>
    <w:rsid w:val="008F776F"/>
    <w:pPr>
      <w:spacing w:line="340" w:lineRule="exact"/>
      <w:ind w:left="1276"/>
    </w:pPr>
    <w:rPr>
      <w:b/>
      <w:sz w:val="22"/>
    </w:rPr>
  </w:style>
  <w:style w:type="paragraph" w:customStyle="1" w:styleId="Code">
    <w:name w:val="Code"/>
    <w:basedOn w:val="Normal"/>
    <w:link w:val="CodeChar"/>
    <w:semiHidden/>
    <w:rsid w:val="008F776F"/>
    <w:pPr>
      <w:spacing w:line="340" w:lineRule="atLeast"/>
      <w:ind w:left="1276"/>
    </w:pPr>
    <w:rPr>
      <w:b/>
      <w:bCs/>
      <w:spacing w:val="10"/>
    </w:rPr>
  </w:style>
  <w:style w:type="paragraph" w:customStyle="1" w:styleId="Country">
    <w:name w:val="Country"/>
    <w:basedOn w:val="Normal"/>
    <w:semiHidden/>
    <w:rsid w:val="008F776F"/>
    <w:pPr>
      <w:spacing w:before="60" w:after="480"/>
      <w:jc w:val="center"/>
    </w:pPr>
  </w:style>
  <w:style w:type="paragraph" w:customStyle="1" w:styleId="Lettrine">
    <w:name w:val="Lettrine"/>
    <w:basedOn w:val="Normal"/>
    <w:rsid w:val="008F776F"/>
    <w:pPr>
      <w:spacing w:line="340" w:lineRule="atLeast"/>
      <w:jc w:val="right"/>
    </w:pPr>
    <w:rPr>
      <w:b/>
      <w:bCs/>
      <w:sz w:val="36"/>
    </w:rPr>
  </w:style>
  <w:style w:type="paragraph" w:customStyle="1" w:styleId="LogoUPOV">
    <w:name w:val="LogoUPOV"/>
    <w:basedOn w:val="Normal"/>
    <w:rsid w:val="008F776F"/>
    <w:pPr>
      <w:spacing w:before="600" w:after="80"/>
      <w:jc w:val="center"/>
    </w:pPr>
    <w:rPr>
      <w:snapToGrid w:val="0"/>
    </w:rPr>
  </w:style>
  <w:style w:type="paragraph" w:customStyle="1" w:styleId="Sessiontc">
    <w:name w:val="Session_tc"/>
    <w:basedOn w:val="StyleSessionAllcaps"/>
    <w:rsid w:val="008F776F"/>
    <w:pPr>
      <w:spacing w:before="0" w:line="280" w:lineRule="exact"/>
      <w:jc w:val="left"/>
    </w:pPr>
    <w:rPr>
      <w:caps w:val="0"/>
      <w:sz w:val="20"/>
    </w:rPr>
  </w:style>
  <w:style w:type="paragraph" w:customStyle="1" w:styleId="TitreUpov">
    <w:name w:val="TitreUpov"/>
    <w:basedOn w:val="Normal"/>
    <w:semiHidden/>
    <w:rsid w:val="008F776F"/>
    <w:pPr>
      <w:spacing w:before="60"/>
      <w:jc w:val="center"/>
    </w:pPr>
    <w:rPr>
      <w:b/>
      <w:sz w:val="24"/>
    </w:rPr>
  </w:style>
  <w:style w:type="paragraph" w:customStyle="1" w:styleId="StyleSessionAllcaps">
    <w:name w:val="Style Session + All caps"/>
    <w:basedOn w:val="Session"/>
    <w:semiHidden/>
    <w:rsid w:val="008F776F"/>
    <w:pPr>
      <w:spacing w:before="480"/>
    </w:pPr>
    <w:rPr>
      <w:bCs/>
      <w:caps/>
      <w:kern w:val="28"/>
      <w:sz w:val="24"/>
    </w:rPr>
  </w:style>
  <w:style w:type="paragraph" w:customStyle="1" w:styleId="plcountry">
    <w:name w:val="plcountry"/>
    <w:basedOn w:val="Normal"/>
    <w:rsid w:val="008F776F"/>
    <w:pPr>
      <w:keepNext/>
      <w:keepLines/>
      <w:spacing w:before="180" w:after="120"/>
      <w:jc w:val="left"/>
    </w:pPr>
    <w:rPr>
      <w:caps/>
      <w:noProof/>
      <w:snapToGrid w:val="0"/>
      <w:u w:val="single"/>
    </w:rPr>
  </w:style>
  <w:style w:type="paragraph" w:customStyle="1" w:styleId="pldetails">
    <w:name w:val="pldetails"/>
    <w:basedOn w:val="Normal"/>
    <w:rsid w:val="008F776F"/>
    <w:pPr>
      <w:keepLines/>
      <w:spacing w:before="60" w:after="60"/>
      <w:jc w:val="left"/>
    </w:pPr>
    <w:rPr>
      <w:noProof/>
      <w:snapToGrid w:val="0"/>
    </w:rPr>
  </w:style>
  <w:style w:type="paragraph" w:customStyle="1" w:styleId="plheading">
    <w:name w:val="plheading"/>
    <w:basedOn w:val="Normal"/>
    <w:rsid w:val="008F776F"/>
    <w:pPr>
      <w:keepNext/>
      <w:spacing w:before="480" w:after="120"/>
      <w:jc w:val="center"/>
    </w:pPr>
    <w:rPr>
      <w:caps/>
      <w:snapToGrid w:val="0"/>
      <w:u w:val="single"/>
    </w:rPr>
  </w:style>
  <w:style w:type="paragraph" w:customStyle="1" w:styleId="Sessiontcplacedate">
    <w:name w:val="Session_tc_place_date"/>
    <w:basedOn w:val="SessionMeetingPlace"/>
    <w:rsid w:val="008F776F"/>
    <w:pPr>
      <w:spacing w:before="240"/>
      <w:contextualSpacing/>
      <w:jc w:val="left"/>
    </w:pPr>
    <w:rPr>
      <w:sz w:val="20"/>
    </w:rPr>
  </w:style>
  <w:style w:type="paragraph" w:customStyle="1" w:styleId="Titleofdoc0">
    <w:name w:val="Title_of_doc"/>
    <w:basedOn w:val="TitleofDoc"/>
    <w:rsid w:val="008F776F"/>
    <w:pPr>
      <w:spacing w:before="600" w:after="240"/>
      <w:jc w:val="left"/>
    </w:pPr>
    <w:rPr>
      <w:b/>
    </w:rPr>
  </w:style>
  <w:style w:type="paragraph" w:customStyle="1" w:styleId="preparedby1">
    <w:name w:val="prepared_by"/>
    <w:basedOn w:val="preparedby0"/>
    <w:rsid w:val="008F776F"/>
    <w:pPr>
      <w:spacing w:before="0" w:after="240"/>
    </w:pPr>
    <w:rPr>
      <w:iCs/>
    </w:rPr>
  </w:style>
  <w:style w:type="character" w:customStyle="1" w:styleId="CodeChar">
    <w:name w:val="Code Char"/>
    <w:basedOn w:val="DefaultParagraphFont"/>
    <w:link w:val="Code"/>
    <w:semiHidden/>
    <w:rsid w:val="008F776F"/>
    <w:rPr>
      <w:rFonts w:ascii="Arial" w:hAnsi="Arial"/>
      <w:b/>
      <w:bCs/>
      <w:spacing w:val="10"/>
    </w:rPr>
  </w:style>
  <w:style w:type="paragraph" w:customStyle="1" w:styleId="endofdoc">
    <w:name w:val="end_of_doc"/>
    <w:next w:val="Header"/>
    <w:autoRedefine/>
    <w:rsid w:val="008F776F"/>
    <w:pPr>
      <w:spacing w:before="480"/>
      <w:ind w:left="567" w:hanging="567"/>
      <w:jc w:val="right"/>
    </w:pPr>
    <w:rPr>
      <w:rFonts w:ascii="Arial" w:hAnsi="Arial"/>
    </w:rPr>
  </w:style>
  <w:style w:type="character" w:customStyle="1" w:styleId="DocoriginalChar">
    <w:name w:val="Doc_original Char"/>
    <w:basedOn w:val="CodeChar"/>
    <w:link w:val="Docoriginal"/>
    <w:rsid w:val="008F776F"/>
    <w:rPr>
      <w:rFonts w:ascii="Arial" w:hAnsi="Arial"/>
      <w:b/>
      <w:bCs/>
      <w:spacing w:val="10"/>
      <w:sz w:val="18"/>
    </w:rPr>
  </w:style>
  <w:style w:type="paragraph" w:styleId="TOC2">
    <w:name w:val="toc 2"/>
    <w:next w:val="Normal"/>
    <w:autoRedefine/>
    <w:uiPriority w:val="39"/>
    <w:rsid w:val="008F776F"/>
    <w:pPr>
      <w:tabs>
        <w:tab w:val="right" w:pos="9629"/>
      </w:tabs>
      <w:spacing w:before="60"/>
      <w:ind w:left="567" w:right="567"/>
    </w:pPr>
    <w:rPr>
      <w:rFonts w:ascii="Arial" w:hAnsi="Arial" w:cstheme="minorHAnsi"/>
      <w:iCs/>
      <w:lang w:val="es-ES_tradnl"/>
    </w:rPr>
  </w:style>
  <w:style w:type="paragraph" w:styleId="TOC3">
    <w:name w:val="toc 3"/>
    <w:next w:val="Normal"/>
    <w:autoRedefine/>
    <w:uiPriority w:val="39"/>
    <w:rsid w:val="008F776F"/>
    <w:pPr>
      <w:tabs>
        <w:tab w:val="right" w:pos="9629"/>
      </w:tabs>
      <w:spacing w:before="120" w:after="120"/>
      <w:ind w:left="1134" w:right="284"/>
      <w:contextualSpacing/>
    </w:pPr>
    <w:rPr>
      <w:rFonts w:ascii="Arial" w:hAnsi="Arial" w:cstheme="minorHAnsi"/>
      <w:i/>
      <w:lang w:val="es-ES_tradnl"/>
    </w:rPr>
  </w:style>
  <w:style w:type="character" w:styleId="Hyperlink">
    <w:name w:val="Hyperlink"/>
    <w:basedOn w:val="DefaultParagraphFont"/>
    <w:uiPriority w:val="99"/>
    <w:rsid w:val="008F776F"/>
    <w:rPr>
      <w:rFonts w:ascii="Arial" w:hAnsi="Arial"/>
      <w:color w:val="0000FF"/>
      <w:u w:val="single"/>
    </w:rPr>
  </w:style>
  <w:style w:type="paragraph" w:styleId="TOC4">
    <w:name w:val="toc 4"/>
    <w:next w:val="Normal"/>
    <w:autoRedefine/>
    <w:uiPriority w:val="39"/>
    <w:rsid w:val="008F776F"/>
    <w:pPr>
      <w:tabs>
        <w:tab w:val="left" w:pos="1985"/>
        <w:tab w:val="right" w:pos="9629"/>
      </w:tabs>
      <w:spacing w:before="100"/>
      <w:ind w:left="1984" w:right="567" w:hanging="1383"/>
    </w:pPr>
    <w:rPr>
      <w:rFonts w:asciiTheme="minorHAnsi" w:hAnsiTheme="minorHAnsi" w:cstheme="minorHAnsi"/>
      <w:lang w:val="es-ES_tradnl"/>
    </w:rPr>
  </w:style>
  <w:style w:type="paragraph" w:styleId="TOC1">
    <w:name w:val="toc 1"/>
    <w:next w:val="Normal"/>
    <w:autoRedefine/>
    <w:uiPriority w:val="39"/>
    <w:rsid w:val="008F776F"/>
    <w:pPr>
      <w:tabs>
        <w:tab w:val="left" w:pos="400"/>
        <w:tab w:val="right" w:pos="9629"/>
      </w:tabs>
      <w:spacing w:before="180" w:after="120"/>
      <w:ind w:right="284"/>
    </w:pPr>
    <w:rPr>
      <w:rFonts w:ascii="Arial" w:hAnsi="Arial" w:cstheme="minorHAnsi"/>
      <w:bCs/>
      <w:lang w:val="es-ES_tradnl"/>
    </w:rPr>
  </w:style>
  <w:style w:type="paragraph" w:styleId="TOC5">
    <w:name w:val="toc 5"/>
    <w:next w:val="Normal"/>
    <w:autoRedefine/>
    <w:uiPriority w:val="39"/>
    <w:rsid w:val="008F776F"/>
    <w:pPr>
      <w:ind w:left="800"/>
    </w:pPr>
    <w:rPr>
      <w:rFonts w:asciiTheme="minorHAnsi" w:hAnsiTheme="minorHAnsi" w:cstheme="minorHAnsi"/>
      <w:lang w:val="es-ES_tradnl"/>
    </w:rPr>
  </w:style>
  <w:style w:type="paragraph" w:styleId="BalloonText">
    <w:name w:val="Balloon Text"/>
    <w:basedOn w:val="Normal"/>
    <w:link w:val="BalloonTextChar"/>
    <w:rsid w:val="008F776F"/>
    <w:rPr>
      <w:rFonts w:ascii="Tahoma" w:hAnsi="Tahoma" w:cs="Tahoma"/>
      <w:sz w:val="16"/>
      <w:szCs w:val="16"/>
    </w:rPr>
  </w:style>
  <w:style w:type="character" w:customStyle="1" w:styleId="BalloonTextChar">
    <w:name w:val="Balloon Text Char"/>
    <w:basedOn w:val="DefaultParagraphFont"/>
    <w:link w:val="BalloonText"/>
    <w:rsid w:val="008F776F"/>
    <w:rPr>
      <w:rFonts w:ascii="Tahoma" w:hAnsi="Tahoma" w:cs="Tahoma"/>
      <w:sz w:val="16"/>
      <w:szCs w:val="16"/>
    </w:rPr>
  </w:style>
  <w:style w:type="paragraph" w:customStyle="1" w:styleId="Doccode">
    <w:name w:val="Doc_code"/>
    <w:qFormat/>
    <w:rsid w:val="008F776F"/>
    <w:rPr>
      <w:rFonts w:ascii="Arial" w:hAnsi="Arial"/>
      <w:b/>
      <w:bCs/>
      <w:spacing w:val="10"/>
      <w:sz w:val="18"/>
    </w:rPr>
  </w:style>
  <w:style w:type="character" w:customStyle="1" w:styleId="Heading6Char">
    <w:name w:val="Heading 6 Char"/>
    <w:basedOn w:val="DefaultParagraphFont"/>
    <w:link w:val="Heading6"/>
    <w:semiHidden/>
    <w:rsid w:val="008F776F"/>
    <w:rPr>
      <w:rFonts w:asciiTheme="majorHAnsi" w:eastAsiaTheme="majorEastAsia" w:hAnsiTheme="majorHAnsi" w:cstheme="majorBidi"/>
      <w:color w:val="194C32" w:themeColor="accent1" w:themeShade="7F"/>
    </w:rPr>
  </w:style>
  <w:style w:type="table" w:styleId="TableGrid">
    <w:name w:val="Table Grid"/>
    <w:basedOn w:val="TableNormal"/>
    <w:rsid w:val="008F776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8F776F"/>
    <w:pPr>
      <w:spacing w:before="120"/>
      <w:ind w:left="567" w:right="707"/>
    </w:pPr>
    <w:rPr>
      <w:rFonts w:cs="Arial"/>
    </w:rPr>
  </w:style>
  <w:style w:type="paragraph" w:customStyle="1" w:styleId="Inf4Heading4">
    <w:name w:val="Inf_4_Heading_4"/>
    <w:basedOn w:val="Heading4"/>
    <w:next w:val="Normal"/>
    <w:rsid w:val="008F776F"/>
    <w:pPr>
      <w:spacing w:before="120"/>
      <w:ind w:left="0"/>
    </w:pPr>
    <w:rPr>
      <w:rFonts w:ascii="Times New Roman" w:hAnsi="Times New Roman"/>
      <w:b/>
      <w:bCs/>
      <w:sz w:val="22"/>
      <w:u w:val="none"/>
    </w:rPr>
  </w:style>
  <w:style w:type="paragraph" w:customStyle="1" w:styleId="Inf4Heading6">
    <w:name w:val="Inf_4_Heading_6"/>
    <w:basedOn w:val="Normal"/>
    <w:rsid w:val="008F776F"/>
    <w:pPr>
      <w:keepNext/>
      <w:spacing w:before="108"/>
      <w:ind w:left="567"/>
      <w:outlineLvl w:val="5"/>
    </w:pPr>
    <w:rPr>
      <w:b/>
      <w:bCs/>
      <w:szCs w:val="24"/>
    </w:rPr>
  </w:style>
  <w:style w:type="paragraph" w:customStyle="1" w:styleId="Inf4Heading3">
    <w:name w:val="Inf_4_Heading_3"/>
    <w:basedOn w:val="Heading3"/>
    <w:rsid w:val="008F776F"/>
    <w:pPr>
      <w:keepNext w:val="0"/>
      <w:spacing w:before="240"/>
      <w:jc w:val="center"/>
    </w:pPr>
    <w:rPr>
      <w:rFonts w:cs="Arial"/>
      <w:b w:val="0"/>
      <w:bCs/>
      <w:i/>
    </w:rPr>
  </w:style>
  <w:style w:type="character" w:customStyle="1" w:styleId="Heading3Char">
    <w:name w:val="Heading 3 Char"/>
    <w:basedOn w:val="DefaultParagraphFont"/>
    <w:link w:val="Heading3"/>
    <w:rsid w:val="008F776F"/>
    <w:rPr>
      <w:rFonts w:ascii="Arial" w:hAnsi="Arial"/>
      <w:b/>
      <w:color w:val="26724C" w:themeColor="accent1" w:themeShade="BF"/>
      <w:sz w:val="22"/>
      <w:lang w:val="es-ES_tradnl"/>
    </w:rPr>
  </w:style>
  <w:style w:type="paragraph" w:customStyle="1" w:styleId="StyleDocoriginalNotBold">
    <w:name w:val="Style Doc_original + Not Bold"/>
    <w:basedOn w:val="Docoriginal"/>
    <w:link w:val="StyleDocoriginalNotBoldChar"/>
    <w:autoRedefine/>
    <w:rsid w:val="008F776F"/>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8F776F"/>
    <w:rPr>
      <w:rFonts w:ascii="Arial" w:hAnsi="Arial"/>
      <w:b/>
      <w:bCs/>
      <w:spacing w:val="10"/>
      <w:sz w:val="18"/>
      <w:lang w:val="fr-FR"/>
    </w:rPr>
  </w:style>
  <w:style w:type="paragraph" w:customStyle="1" w:styleId="StyleDocnumber">
    <w:name w:val="Style Doc_number"/>
    <w:basedOn w:val="Docoriginal"/>
    <w:rsid w:val="008F776F"/>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8F776F"/>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8F776F"/>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8F776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F776F"/>
    <w:rPr>
      <w:rFonts w:ascii="Arial" w:hAnsi="Arial"/>
      <w:b w:val="0"/>
      <w:bCs w:val="0"/>
      <w:spacing w:val="10"/>
      <w:sz w:val="18"/>
      <w:lang w:val="fr-FR"/>
    </w:rPr>
  </w:style>
  <w:style w:type="character" w:customStyle="1" w:styleId="StyleDocoriginalNotBold1">
    <w:name w:val="Style Doc_original + Not Bold1"/>
    <w:basedOn w:val="DefaultParagraphFont"/>
    <w:rsid w:val="008F776F"/>
    <w:rPr>
      <w:rFonts w:ascii="Arial" w:hAnsi="Arial"/>
      <w:b/>
      <w:bCs/>
      <w:spacing w:val="10"/>
      <w:lang w:val="en-US" w:eastAsia="en-US" w:bidi="ar-SA"/>
    </w:rPr>
  </w:style>
  <w:style w:type="character" w:customStyle="1" w:styleId="StyleDoclangBold">
    <w:name w:val="Style Doc_lang + Bold"/>
    <w:basedOn w:val="Doclang"/>
    <w:rsid w:val="008F776F"/>
    <w:rPr>
      <w:rFonts w:ascii="Arial" w:hAnsi="Arial"/>
      <w:b/>
      <w:bCs/>
      <w:sz w:val="20"/>
      <w:lang w:val="en-US"/>
    </w:rPr>
  </w:style>
  <w:style w:type="paragraph" w:styleId="ListParagraph">
    <w:name w:val="List Paragraph"/>
    <w:basedOn w:val="Normal"/>
    <w:uiPriority w:val="34"/>
    <w:qFormat/>
    <w:rsid w:val="008F776F"/>
    <w:pPr>
      <w:ind w:left="720"/>
      <w:contextualSpacing/>
    </w:pPr>
  </w:style>
  <w:style w:type="paragraph" w:customStyle="1" w:styleId="ZchnZchn1">
    <w:name w:val="Zchn Zchn1"/>
    <w:basedOn w:val="Normal"/>
    <w:rsid w:val="008F776F"/>
    <w:pPr>
      <w:spacing w:after="160" w:line="240" w:lineRule="exact"/>
      <w:jc w:val="left"/>
    </w:pPr>
    <w:rPr>
      <w:rFonts w:ascii="Verdana" w:eastAsia="PMingLiU" w:hAnsi="Verdana"/>
    </w:rPr>
  </w:style>
  <w:style w:type="paragraph" w:styleId="Subtitle">
    <w:name w:val="Subtitle"/>
    <w:basedOn w:val="Normal"/>
    <w:link w:val="SubtitleChar"/>
    <w:qFormat/>
    <w:rsid w:val="008F776F"/>
    <w:pPr>
      <w:jc w:val="center"/>
    </w:pPr>
    <w:rPr>
      <w:rFonts w:ascii="Times New Roman" w:hAnsi="Times New Roman"/>
      <w:b/>
      <w:caps/>
      <w:color w:val="0000FF"/>
      <w:sz w:val="28"/>
    </w:rPr>
  </w:style>
  <w:style w:type="character" w:customStyle="1" w:styleId="SubtitleChar">
    <w:name w:val="Subtitle Char"/>
    <w:basedOn w:val="DefaultParagraphFont"/>
    <w:link w:val="Subtitle"/>
    <w:rsid w:val="008F776F"/>
    <w:rPr>
      <w:b/>
      <w:caps/>
      <w:color w:val="0000FF"/>
      <w:sz w:val="28"/>
    </w:rPr>
  </w:style>
  <w:style w:type="paragraph" w:customStyle="1" w:styleId="Endofdocument">
    <w:name w:val="End of document"/>
    <w:basedOn w:val="Normal"/>
    <w:rsid w:val="008F776F"/>
    <w:pPr>
      <w:ind w:left="4536"/>
      <w:jc w:val="center"/>
    </w:pPr>
    <w:rPr>
      <w:rFonts w:ascii="Times New Roman" w:hAnsi="Times New Roman"/>
      <w:sz w:val="24"/>
    </w:rPr>
  </w:style>
  <w:style w:type="paragraph" w:customStyle="1" w:styleId="BodyTextKeep">
    <w:name w:val="Body Text Keep"/>
    <w:basedOn w:val="BodyText"/>
    <w:rsid w:val="008F776F"/>
    <w:pPr>
      <w:keepNext/>
      <w:spacing w:after="160"/>
      <w:jc w:val="left"/>
    </w:pPr>
    <w:rPr>
      <w:rFonts w:ascii="Times New Roman" w:hAnsi="Times New Roman"/>
    </w:rPr>
  </w:style>
  <w:style w:type="character" w:styleId="Emphasis">
    <w:name w:val="Emphasis"/>
    <w:basedOn w:val="DefaultParagraphFont"/>
    <w:qFormat/>
    <w:rsid w:val="008F776F"/>
    <w:rPr>
      <w:i/>
      <w:iCs/>
    </w:rPr>
  </w:style>
  <w:style w:type="character" w:customStyle="1" w:styleId="HeaderChar">
    <w:name w:val="Header Char"/>
    <w:basedOn w:val="DefaultParagraphFont"/>
    <w:link w:val="Header"/>
    <w:uiPriority w:val="99"/>
    <w:rsid w:val="008F776F"/>
    <w:rPr>
      <w:rFonts w:ascii="Arial" w:hAnsi="Arial"/>
    </w:rPr>
  </w:style>
  <w:style w:type="character" w:styleId="CommentReference">
    <w:name w:val="annotation reference"/>
    <w:basedOn w:val="DefaultParagraphFont"/>
    <w:rsid w:val="008F776F"/>
    <w:rPr>
      <w:sz w:val="16"/>
      <w:szCs w:val="16"/>
    </w:rPr>
  </w:style>
  <w:style w:type="paragraph" w:styleId="CommentText">
    <w:name w:val="annotation text"/>
    <w:basedOn w:val="Normal"/>
    <w:link w:val="CommentTextChar"/>
    <w:rsid w:val="008F776F"/>
  </w:style>
  <w:style w:type="character" w:customStyle="1" w:styleId="CommentTextChar">
    <w:name w:val="Comment Text Char"/>
    <w:basedOn w:val="DefaultParagraphFont"/>
    <w:link w:val="CommentText"/>
    <w:rsid w:val="008F776F"/>
    <w:rPr>
      <w:rFonts w:ascii="Arial" w:hAnsi="Arial"/>
    </w:rPr>
  </w:style>
  <w:style w:type="paragraph" w:styleId="CommentSubject">
    <w:name w:val="annotation subject"/>
    <w:basedOn w:val="CommentText"/>
    <w:next w:val="CommentText"/>
    <w:link w:val="CommentSubjectChar"/>
    <w:rsid w:val="008F776F"/>
    <w:rPr>
      <w:b/>
      <w:bCs/>
    </w:rPr>
  </w:style>
  <w:style w:type="character" w:customStyle="1" w:styleId="CommentSubjectChar">
    <w:name w:val="Comment Subject Char"/>
    <w:basedOn w:val="CommentTextChar"/>
    <w:link w:val="CommentSubject"/>
    <w:rsid w:val="008F776F"/>
    <w:rPr>
      <w:rFonts w:ascii="Arial" w:hAnsi="Arial"/>
      <w:b/>
      <w:bCs/>
    </w:rPr>
  </w:style>
  <w:style w:type="paragraph" w:styleId="NormalWeb">
    <w:name w:val="Normal (Web)"/>
    <w:basedOn w:val="Normal"/>
    <w:uiPriority w:val="99"/>
    <w:unhideWhenUsed/>
    <w:rsid w:val="008F776F"/>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8F776F"/>
    <w:pPr>
      <w:keepLines/>
      <w:spacing w:before="480" w:line="276" w:lineRule="auto"/>
      <w:ind w:left="567" w:hanging="567"/>
      <w:outlineLvl w:val="9"/>
    </w:pPr>
    <w:rPr>
      <w:rFonts w:asciiTheme="majorHAnsi" w:eastAsiaTheme="majorEastAsia" w:hAnsiTheme="majorHAnsi" w:cstheme="majorBidi"/>
      <w:b/>
      <w:bCs/>
      <w:caps w:val="0"/>
      <w:sz w:val="28"/>
      <w:szCs w:val="28"/>
      <w:lang w:eastAsia="ja-JP"/>
    </w:rPr>
  </w:style>
  <w:style w:type="paragraph" w:customStyle="1" w:styleId="figures">
    <w:name w:val="figures"/>
    <w:basedOn w:val="Normal"/>
    <w:next w:val="Normal"/>
    <w:qFormat/>
    <w:rsid w:val="008F776F"/>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8F776F"/>
    <w:rPr>
      <w:rFonts w:ascii="Arial" w:hAnsi="Arial"/>
    </w:rPr>
  </w:style>
  <w:style w:type="paragraph" w:styleId="Caption">
    <w:name w:val="caption"/>
    <w:basedOn w:val="Heading9"/>
    <w:next w:val="Normal"/>
    <w:unhideWhenUsed/>
    <w:qFormat/>
    <w:rsid w:val="008F776F"/>
    <w:pPr>
      <w:spacing w:after="120"/>
      <w:jc w:val="center"/>
    </w:pPr>
    <w:rPr>
      <w:rFonts w:eastAsiaTheme="minorEastAsia"/>
      <w:bCs/>
      <w:szCs w:val="18"/>
    </w:rPr>
  </w:style>
  <w:style w:type="paragraph" w:styleId="BodyText3">
    <w:name w:val="Body Text 3"/>
    <w:basedOn w:val="Normal"/>
    <w:link w:val="BodyText3Char"/>
    <w:rsid w:val="008F776F"/>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8F776F"/>
    <w:rPr>
      <w:sz w:val="16"/>
      <w:szCs w:val="16"/>
    </w:rPr>
  </w:style>
  <w:style w:type="paragraph" w:customStyle="1" w:styleId="annexiparanumbered">
    <w:name w:val="annex_i_para_numbered"/>
    <w:basedOn w:val="ListParagraph"/>
    <w:qFormat/>
    <w:rsid w:val="008F776F"/>
    <w:pPr>
      <w:numPr>
        <w:numId w:val="4"/>
      </w:numPr>
    </w:pPr>
  </w:style>
  <w:style w:type="character" w:styleId="FollowedHyperlink">
    <w:name w:val="FollowedHyperlink"/>
    <w:basedOn w:val="DefaultParagraphFont"/>
    <w:semiHidden/>
    <w:unhideWhenUsed/>
    <w:rsid w:val="008F776F"/>
    <w:rPr>
      <w:color w:val="FFCCCC" w:themeColor="followedHyperlink"/>
      <w:u w:val="single"/>
    </w:rPr>
  </w:style>
  <w:style w:type="paragraph" w:customStyle="1" w:styleId="Default">
    <w:name w:val="Default"/>
    <w:rsid w:val="008F776F"/>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8F776F"/>
    <w:rPr>
      <w:rFonts w:ascii="Arial" w:hAnsi="Arial"/>
      <w:sz w:val="16"/>
    </w:rPr>
  </w:style>
  <w:style w:type="paragraph" w:styleId="TOC6">
    <w:name w:val="toc 6"/>
    <w:basedOn w:val="Normal"/>
    <w:next w:val="Normal"/>
    <w:autoRedefine/>
    <w:unhideWhenUsed/>
    <w:rsid w:val="008F776F"/>
    <w:pPr>
      <w:ind w:left="1000"/>
      <w:jc w:val="left"/>
    </w:pPr>
    <w:rPr>
      <w:rFonts w:asciiTheme="minorHAnsi" w:hAnsiTheme="minorHAnsi" w:cstheme="minorHAnsi"/>
    </w:rPr>
  </w:style>
  <w:style w:type="paragraph" w:styleId="TOC7">
    <w:name w:val="toc 7"/>
    <w:basedOn w:val="Normal"/>
    <w:next w:val="Normal"/>
    <w:autoRedefine/>
    <w:unhideWhenUsed/>
    <w:rsid w:val="008F776F"/>
    <w:pPr>
      <w:ind w:left="1200"/>
      <w:jc w:val="left"/>
    </w:pPr>
    <w:rPr>
      <w:rFonts w:asciiTheme="minorHAnsi" w:hAnsiTheme="minorHAnsi" w:cstheme="minorHAnsi"/>
    </w:rPr>
  </w:style>
  <w:style w:type="paragraph" w:styleId="TOC8">
    <w:name w:val="toc 8"/>
    <w:basedOn w:val="Normal"/>
    <w:next w:val="Normal"/>
    <w:autoRedefine/>
    <w:unhideWhenUsed/>
    <w:rsid w:val="008F776F"/>
    <w:pPr>
      <w:ind w:left="1400"/>
      <w:jc w:val="left"/>
    </w:pPr>
    <w:rPr>
      <w:rFonts w:asciiTheme="minorHAnsi" w:hAnsiTheme="minorHAnsi" w:cstheme="minorHAnsi"/>
    </w:rPr>
  </w:style>
  <w:style w:type="paragraph" w:styleId="TOC9">
    <w:name w:val="toc 9"/>
    <w:basedOn w:val="Normal"/>
    <w:next w:val="Normal"/>
    <w:autoRedefine/>
    <w:unhideWhenUsed/>
    <w:rsid w:val="008F776F"/>
    <w:pPr>
      <w:ind w:left="1600"/>
      <w:jc w:val="left"/>
    </w:pPr>
    <w:rPr>
      <w:rFonts w:asciiTheme="minorHAnsi" w:hAnsiTheme="minorHAnsi" w:cstheme="minorHAnsi"/>
    </w:rPr>
  </w:style>
  <w:style w:type="paragraph" w:styleId="Revision">
    <w:name w:val="Revision"/>
    <w:hidden/>
    <w:uiPriority w:val="99"/>
    <w:semiHidden/>
    <w:rsid w:val="008F776F"/>
    <w:rPr>
      <w:rFonts w:ascii="Arial" w:hAnsi="Arial"/>
    </w:rPr>
  </w:style>
  <w:style w:type="character" w:customStyle="1" w:styleId="FooterChar">
    <w:name w:val="Footer Char"/>
    <w:aliases w:val="doc_path_name Char"/>
    <w:basedOn w:val="DefaultParagraphFont"/>
    <w:link w:val="Footer"/>
    <w:rsid w:val="008F776F"/>
    <w:rPr>
      <w:rFonts w:ascii="Arial" w:hAnsi="Arial"/>
      <w:sz w:val="14"/>
    </w:rPr>
  </w:style>
  <w:style w:type="character" w:customStyle="1" w:styleId="Heading1Char">
    <w:name w:val="Heading 1 Char"/>
    <w:basedOn w:val="DefaultParagraphFont"/>
    <w:link w:val="Heading1"/>
    <w:rsid w:val="008F776F"/>
    <w:rPr>
      <w:rFonts w:ascii="Arial" w:hAnsi="Arial"/>
      <w:caps/>
      <w:color w:val="26724C" w:themeColor="accent1" w:themeShade="BF"/>
      <w:sz w:val="32"/>
      <w:szCs w:val="24"/>
    </w:rPr>
  </w:style>
  <w:style w:type="character" w:customStyle="1" w:styleId="Heading2Char">
    <w:name w:val="Heading 2 Char"/>
    <w:basedOn w:val="DefaultParagraphFont"/>
    <w:link w:val="Heading2"/>
    <w:rsid w:val="008F776F"/>
    <w:rPr>
      <w:rFonts w:ascii="Arial" w:hAnsi="Arial"/>
      <w:color w:val="26724C" w:themeColor="accent1" w:themeShade="BF"/>
      <w:sz w:val="28"/>
    </w:rPr>
  </w:style>
  <w:style w:type="character" w:customStyle="1" w:styleId="Heading4Char">
    <w:name w:val="Heading 4 Char"/>
    <w:basedOn w:val="DefaultParagraphFont"/>
    <w:link w:val="Heading4"/>
    <w:rsid w:val="008F776F"/>
    <w:rPr>
      <w:rFonts w:ascii="Arial" w:hAnsi="Arial"/>
      <w:u w:val="single"/>
    </w:rPr>
  </w:style>
  <w:style w:type="character" w:customStyle="1" w:styleId="Heading5Char">
    <w:name w:val="Heading 5 Char"/>
    <w:basedOn w:val="DefaultParagraphFont"/>
    <w:link w:val="Heading5"/>
    <w:rsid w:val="008F776F"/>
    <w:rPr>
      <w:rFonts w:ascii="Arial" w:hAnsi="Arial"/>
      <w:i/>
      <w:color w:val="26724C" w:themeColor="accent1" w:themeShade="BF"/>
    </w:rPr>
  </w:style>
  <w:style w:type="character" w:customStyle="1" w:styleId="Heading9Char">
    <w:name w:val="Heading 9 Char"/>
    <w:basedOn w:val="DefaultParagraphFont"/>
    <w:link w:val="Heading9"/>
    <w:rsid w:val="008F776F"/>
    <w:rPr>
      <w:rFonts w:ascii="Arial Bold" w:hAnsi="Arial Bold"/>
      <w:b/>
      <w:color w:val="26724C" w:themeColor="accent1" w:themeShade="BF"/>
      <w:sz w:val="28"/>
      <w:szCs w:val="32"/>
    </w:rPr>
  </w:style>
  <w:style w:type="character" w:customStyle="1" w:styleId="TitleChar">
    <w:name w:val="Title Char"/>
    <w:basedOn w:val="DefaultParagraphFont"/>
    <w:link w:val="Title"/>
    <w:rsid w:val="008F776F"/>
    <w:rPr>
      <w:rFonts w:ascii="Arial" w:hAnsi="Arial"/>
      <w:b/>
      <w:caps/>
      <w:kern w:val="28"/>
      <w:sz w:val="30"/>
    </w:rPr>
  </w:style>
  <w:style w:type="character" w:customStyle="1" w:styleId="ClosingChar">
    <w:name w:val="Closing Char"/>
    <w:basedOn w:val="DefaultParagraphFont"/>
    <w:link w:val="Closing"/>
    <w:rsid w:val="008F776F"/>
    <w:rPr>
      <w:rFonts w:ascii="Arial" w:hAnsi="Arial"/>
    </w:rPr>
  </w:style>
  <w:style w:type="character" w:customStyle="1" w:styleId="MacroTextChar">
    <w:name w:val="Macro Text Char"/>
    <w:basedOn w:val="DefaultParagraphFont"/>
    <w:link w:val="MacroText"/>
    <w:semiHidden/>
    <w:rsid w:val="008F776F"/>
    <w:rPr>
      <w:rFonts w:ascii="Courier New" w:hAnsi="Courier New"/>
      <w:sz w:val="16"/>
    </w:rPr>
  </w:style>
  <w:style w:type="character" w:customStyle="1" w:styleId="SignatureChar">
    <w:name w:val="Signature Char"/>
    <w:basedOn w:val="DefaultParagraphFont"/>
    <w:link w:val="Signature"/>
    <w:rsid w:val="008F776F"/>
    <w:rPr>
      <w:rFonts w:ascii="Arial" w:hAnsi="Arial"/>
    </w:rPr>
  </w:style>
  <w:style w:type="character" w:customStyle="1" w:styleId="EndnoteTextChar">
    <w:name w:val="Endnote Text Char"/>
    <w:basedOn w:val="DefaultParagraphFont"/>
    <w:link w:val="EndnoteText"/>
    <w:semiHidden/>
    <w:rsid w:val="008F776F"/>
    <w:rPr>
      <w:rFonts w:ascii="Arial" w:hAnsi="Arial"/>
    </w:rPr>
  </w:style>
  <w:style w:type="character" w:customStyle="1" w:styleId="DateChar">
    <w:name w:val="Date Char"/>
    <w:basedOn w:val="DefaultParagraphFont"/>
    <w:link w:val="Date"/>
    <w:semiHidden/>
    <w:rsid w:val="008F776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image" Target="media/image2.emf"/><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s://www.upov.int/about/es/faq.html"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8" Type="http://schemas.openxmlformats.org/officeDocument/2006/relationships/header" Target="header1.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7%20(2023)\templates\c_57_ES.dotx" TargetMode="Externa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c_57_ES.dotx</Template>
  <TotalTime>2</TotalTime>
  <Pages>24</Pages>
  <Words>9408</Words>
  <Characters>52634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C/57/4</vt:lpstr>
    </vt:vector>
  </TitlesOfParts>
  <Company>UPOV</Company>
  <LinksUpToDate>false</LinksUpToDate>
  <CharactersWithSpaces>61919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C/57/4 Rev.</dc:title>
  <dc:creator>SANCHEZ VIZCAINO GOMEZ Rosa Maria</dc:creator>
  <cp:lastModifiedBy>SANCHEZ VIZCAINO GOMEZ Rosa Maria</cp:lastModifiedBy>
  <cp:revision>3</cp:revision>
  <cp:lastPrinted>2016-11-22T15:41:00Z</cp:lastPrinted>
  <dcterms:created xsi:type="dcterms:W3CDTF">2023-11-13T10:55:00Z</dcterms:created>
  <dcterms:modified xsi:type="dcterms:W3CDTF">2023-11-13T10:57:00Z</dcterms:modified>
</cp:coreProperties>
</file>