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72633" w14:paraId="6A76B6F1" w14:textId="77777777" w:rsidTr="00EB4E9C">
        <w:tc>
          <w:tcPr>
            <w:tcW w:w="6522" w:type="dxa"/>
          </w:tcPr>
          <w:p w14:paraId="3DD19907" w14:textId="77777777" w:rsidR="00DC3802" w:rsidRPr="00F72633" w:rsidRDefault="00DC3802" w:rsidP="00AC2883">
            <w:pPr>
              <w:rPr>
                <w:lang w:val="es-419"/>
              </w:rPr>
            </w:pPr>
            <w:r w:rsidRPr="00F72633">
              <w:rPr>
                <w:noProof/>
                <w:lang w:eastAsia="en-US"/>
              </w:rPr>
              <w:drawing>
                <wp:inline distT="0" distB="0" distL="0" distR="0" wp14:anchorId="4279AF8F" wp14:editId="5150DE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864FB" w14:textId="0E440B6C" w:rsidR="00DC3802" w:rsidRPr="00F72633" w:rsidRDefault="003A7075" w:rsidP="00AC2883">
            <w:pPr>
              <w:pStyle w:val="Lettrine"/>
              <w:rPr>
                <w:lang w:val="es-419"/>
              </w:rPr>
            </w:pPr>
            <w:r w:rsidRPr="00F72633">
              <w:rPr>
                <w:lang w:val="es-419"/>
              </w:rPr>
              <w:t>S</w:t>
            </w:r>
          </w:p>
        </w:tc>
      </w:tr>
      <w:tr w:rsidR="00DC3802" w:rsidRPr="00F72633" w14:paraId="6329EC60" w14:textId="77777777" w:rsidTr="00645CA8">
        <w:trPr>
          <w:trHeight w:val="219"/>
        </w:trPr>
        <w:tc>
          <w:tcPr>
            <w:tcW w:w="6522" w:type="dxa"/>
          </w:tcPr>
          <w:p w14:paraId="67551982" w14:textId="69153D2D" w:rsidR="00DC3802" w:rsidRPr="00F72633" w:rsidRDefault="003A7075" w:rsidP="00AC2883">
            <w:pPr>
              <w:pStyle w:val="upove"/>
              <w:rPr>
                <w:lang w:val="es-419"/>
              </w:rPr>
            </w:pPr>
            <w:r w:rsidRPr="00F72633">
              <w:rPr>
                <w:lang w:val="es-419"/>
              </w:rPr>
              <w:t>Unión Internacional para la Protección de las Obtenciones Vegetales</w:t>
            </w:r>
          </w:p>
        </w:tc>
        <w:tc>
          <w:tcPr>
            <w:tcW w:w="3117" w:type="dxa"/>
          </w:tcPr>
          <w:p w14:paraId="46C087E3" w14:textId="77777777" w:rsidR="00DC3802" w:rsidRPr="00F72633" w:rsidRDefault="00DC3802" w:rsidP="00DA4973">
            <w:pPr>
              <w:rPr>
                <w:lang w:val="es-419"/>
              </w:rPr>
            </w:pPr>
          </w:p>
        </w:tc>
      </w:tr>
    </w:tbl>
    <w:p w14:paraId="5A5E01B4" w14:textId="77777777" w:rsidR="00DC3802" w:rsidRPr="00F72633" w:rsidRDefault="00DC3802" w:rsidP="00DC3802">
      <w:pPr>
        <w:rPr>
          <w:lang w:val="es-419"/>
        </w:rPr>
      </w:pPr>
    </w:p>
    <w:p w14:paraId="637446A2" w14:textId="77777777" w:rsidR="001D736D" w:rsidRPr="00F72633" w:rsidRDefault="001D736D" w:rsidP="001D736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F72633" w14:paraId="75B902E7" w14:textId="77777777" w:rsidTr="00B904E7">
        <w:tc>
          <w:tcPr>
            <w:tcW w:w="6512" w:type="dxa"/>
          </w:tcPr>
          <w:p w14:paraId="7EC6926F" w14:textId="4BDE139F" w:rsidR="00B91BD8" w:rsidRPr="00A8435C" w:rsidRDefault="003A7075" w:rsidP="00B91BD8">
            <w:pPr>
              <w:pStyle w:val="Sessiontc"/>
              <w:spacing w:line="240" w:lineRule="auto"/>
              <w:rPr>
                <w:lang w:val="es-419"/>
              </w:rPr>
            </w:pPr>
            <w:r w:rsidRPr="00A8435C">
              <w:rPr>
                <w:lang w:val="es-419"/>
              </w:rPr>
              <w:t>Consejo</w:t>
            </w:r>
          </w:p>
          <w:p w14:paraId="22ECA782" w14:textId="7BBE0E54" w:rsidR="00B91BD8" w:rsidRPr="00A8435C" w:rsidRDefault="003A7075" w:rsidP="00B91BD8">
            <w:pPr>
              <w:pStyle w:val="Sessiontcplacedate"/>
              <w:rPr>
                <w:lang w:val="es-419"/>
              </w:rPr>
            </w:pPr>
            <w:r w:rsidRPr="00A8435C">
              <w:rPr>
                <w:lang w:val="es-419"/>
              </w:rPr>
              <w:t>Quincuagésima séptima sesión ordinaria</w:t>
            </w:r>
          </w:p>
          <w:p w14:paraId="6BE2F161" w14:textId="42982AA7" w:rsidR="001D736D" w:rsidRPr="00A8435C" w:rsidRDefault="003A7075" w:rsidP="003A7075">
            <w:pPr>
              <w:pStyle w:val="Sessiontcplacedate"/>
              <w:rPr>
                <w:sz w:val="22"/>
                <w:lang w:val="es-419"/>
              </w:rPr>
            </w:pPr>
            <w:r w:rsidRPr="00A8435C">
              <w:rPr>
                <w:lang w:val="es-419"/>
              </w:rPr>
              <w:t>Ginebra, 27 de octubre de 2022</w:t>
            </w:r>
          </w:p>
        </w:tc>
        <w:tc>
          <w:tcPr>
            <w:tcW w:w="3127" w:type="dxa"/>
          </w:tcPr>
          <w:p w14:paraId="7C52F731" w14:textId="77777777" w:rsidR="001D736D" w:rsidRPr="00A8435C" w:rsidRDefault="003E3C19" w:rsidP="00B904E7">
            <w:pPr>
              <w:pStyle w:val="Doccode"/>
              <w:rPr>
                <w:lang w:val="es-419"/>
              </w:rPr>
            </w:pPr>
            <w:r w:rsidRPr="00A8435C">
              <w:rPr>
                <w:lang w:val="es-419"/>
              </w:rPr>
              <w:t>C/57/2</w:t>
            </w:r>
          </w:p>
          <w:p w14:paraId="15E214CE" w14:textId="54F9AB72" w:rsidR="001D736D" w:rsidRPr="00A8435C" w:rsidRDefault="001D736D" w:rsidP="00B904E7">
            <w:pPr>
              <w:pStyle w:val="Docoriginal"/>
              <w:rPr>
                <w:lang w:val="es-419"/>
              </w:rPr>
            </w:pPr>
            <w:r w:rsidRPr="00A8435C">
              <w:rPr>
                <w:lang w:val="es-419"/>
              </w:rPr>
              <w:t>Original:</w:t>
            </w:r>
            <w:r w:rsidR="00933446" w:rsidRPr="00A8435C">
              <w:rPr>
                <w:b w:val="0"/>
                <w:spacing w:val="0"/>
                <w:lang w:val="es-419"/>
              </w:rPr>
              <w:t xml:space="preserve"> </w:t>
            </w:r>
            <w:r w:rsidR="003A7075" w:rsidRPr="00A8435C">
              <w:rPr>
                <w:b w:val="0"/>
                <w:spacing w:val="0"/>
                <w:lang w:val="es-419"/>
              </w:rPr>
              <w:t>Inglés</w:t>
            </w:r>
          </w:p>
          <w:p w14:paraId="1D44DC02" w14:textId="48A8A08F" w:rsidR="001D736D" w:rsidRPr="00F72633" w:rsidRDefault="009C20C7" w:rsidP="003A7075">
            <w:pPr>
              <w:pStyle w:val="Docoriginal"/>
              <w:rPr>
                <w:lang w:val="es-419"/>
              </w:rPr>
            </w:pPr>
            <w:r w:rsidRPr="00A8435C">
              <w:rPr>
                <w:lang w:val="es-419"/>
              </w:rPr>
              <w:t>Fecha</w:t>
            </w:r>
            <w:r w:rsidR="001D736D" w:rsidRPr="00A8435C">
              <w:rPr>
                <w:lang w:val="es-419"/>
              </w:rPr>
              <w:t>:</w:t>
            </w:r>
            <w:r w:rsidR="00933446" w:rsidRPr="00A8435C">
              <w:rPr>
                <w:b w:val="0"/>
                <w:spacing w:val="0"/>
                <w:lang w:val="es-419"/>
              </w:rPr>
              <w:t xml:space="preserve"> </w:t>
            </w:r>
            <w:r w:rsidR="00A8435C" w:rsidRPr="00A8435C">
              <w:rPr>
                <w:b w:val="0"/>
                <w:spacing w:val="0"/>
                <w:lang w:val="es-419"/>
              </w:rPr>
              <w:t>14</w:t>
            </w:r>
            <w:r w:rsidR="003A7075" w:rsidRPr="00A8435C">
              <w:rPr>
                <w:b w:val="0"/>
                <w:spacing w:val="0"/>
                <w:lang w:val="es-419"/>
              </w:rPr>
              <w:t xml:space="preserve"> de agosto de</w:t>
            </w:r>
            <w:r w:rsidR="001D736D" w:rsidRPr="00A8435C">
              <w:rPr>
                <w:b w:val="0"/>
                <w:spacing w:val="0"/>
                <w:lang w:val="es-419"/>
              </w:rPr>
              <w:t xml:space="preserve"> 202</w:t>
            </w:r>
            <w:r w:rsidR="003E3C19" w:rsidRPr="00A8435C">
              <w:rPr>
                <w:b w:val="0"/>
                <w:spacing w:val="0"/>
                <w:lang w:val="es-419"/>
              </w:rPr>
              <w:t>3</w:t>
            </w:r>
          </w:p>
        </w:tc>
      </w:tr>
    </w:tbl>
    <w:p w14:paraId="55B15160" w14:textId="54C7602A" w:rsidR="003E3C19" w:rsidRPr="00F72633" w:rsidRDefault="003A7075" w:rsidP="003E3C19">
      <w:pPr>
        <w:pStyle w:val="Titleofdoc0"/>
        <w:rPr>
          <w:lang w:val="es-419"/>
        </w:rPr>
      </w:pPr>
      <w:r w:rsidRPr="00F72633">
        <w:rPr>
          <w:lang w:val="es-419"/>
        </w:rPr>
        <w:t>Informe sobre el rendimiento de la UPOV en</w:t>
      </w:r>
      <w:r w:rsidR="003E3C19" w:rsidRPr="00F72633">
        <w:rPr>
          <w:lang w:val="es-419"/>
        </w:rPr>
        <w:t xml:space="preserve"> 2022</w:t>
      </w:r>
    </w:p>
    <w:p w14:paraId="0E8BBAA7" w14:textId="31CC9E39" w:rsidR="003E3C19" w:rsidRPr="00F72633" w:rsidRDefault="003A7075" w:rsidP="003E3C19">
      <w:pPr>
        <w:pStyle w:val="preparedby1"/>
        <w:jc w:val="left"/>
        <w:rPr>
          <w:lang w:val="es-419"/>
        </w:rPr>
      </w:pPr>
      <w:r w:rsidRPr="00F72633">
        <w:rPr>
          <w:lang w:val="es-419"/>
        </w:rPr>
        <w:t>Documento preparado por la Oficina de la Unión</w:t>
      </w:r>
    </w:p>
    <w:p w14:paraId="218445ED" w14:textId="2C695C7F" w:rsidR="003E3C19" w:rsidRPr="00F72633" w:rsidRDefault="008376DA" w:rsidP="003E3C19">
      <w:pPr>
        <w:pStyle w:val="Disclaimer"/>
        <w:rPr>
          <w:lang w:val="es-419"/>
        </w:rPr>
      </w:pPr>
      <w:r w:rsidRPr="00F72633">
        <w:rPr>
          <w:lang w:val="es-419"/>
        </w:rPr>
        <w:t>Descargo de responsabilidad: el presente documento no constituye un documento de política u orientación de la UPOV</w:t>
      </w:r>
    </w:p>
    <w:p w14:paraId="6A7B63D8" w14:textId="749930EE" w:rsidR="003E3C19" w:rsidRPr="00F72633" w:rsidRDefault="003E3C19" w:rsidP="003E3C19">
      <w:pPr>
        <w:autoSpaceDE w:val="0"/>
        <w:autoSpaceDN w:val="0"/>
        <w:adjustRightInd w:val="0"/>
        <w:spacing w:after="254"/>
        <w:rPr>
          <w:rFonts w:eastAsia="Times New Roman"/>
          <w:color w:val="000000"/>
          <w:lang w:val="es-419" w:eastAsia="en-US"/>
        </w:rPr>
      </w:pPr>
      <w:r w:rsidRPr="00F72633">
        <w:rPr>
          <w:rFonts w:eastAsia="Times New Roman"/>
          <w:color w:val="000000"/>
          <w:lang w:val="es-419" w:eastAsia="en-US"/>
        </w:rPr>
        <w:fldChar w:fldCharType="begin"/>
      </w:r>
      <w:r w:rsidRPr="00F72633">
        <w:rPr>
          <w:rFonts w:eastAsia="Times New Roman"/>
          <w:color w:val="000000"/>
          <w:lang w:val="es-419" w:eastAsia="en-US"/>
        </w:rPr>
        <w:instrText xml:space="preserve"> AUTONUM  </w:instrText>
      </w:r>
      <w:r w:rsidRPr="00F72633">
        <w:rPr>
          <w:rFonts w:eastAsia="Times New Roman"/>
          <w:color w:val="000000"/>
          <w:lang w:val="es-419" w:eastAsia="en-US"/>
        </w:rPr>
        <w:fldChar w:fldCharType="end"/>
      </w:r>
      <w:r w:rsidRPr="00F72633">
        <w:rPr>
          <w:rFonts w:eastAsia="Times New Roman"/>
          <w:color w:val="000000"/>
          <w:lang w:val="es-419" w:eastAsia="en-US"/>
        </w:rPr>
        <w:tab/>
      </w:r>
      <w:r w:rsidR="001D3CF7" w:rsidRPr="00F72633">
        <w:rPr>
          <w:lang w:val="es-419"/>
        </w:rPr>
        <w:t>El </w:t>
      </w:r>
      <w:r w:rsidR="00F52A4C" w:rsidRPr="00F72633">
        <w:rPr>
          <w:lang w:val="es-419"/>
        </w:rPr>
        <w:t xml:space="preserve">informe </w:t>
      </w:r>
      <w:r w:rsidR="001D3CF7" w:rsidRPr="00F72633">
        <w:rPr>
          <w:lang w:val="es-419"/>
        </w:rPr>
        <w:t>sobre el rendimiento de la UPOV en </w:t>
      </w:r>
      <w:r w:rsidR="00E762E6" w:rsidRPr="00F72633">
        <w:rPr>
          <w:lang w:val="es-419"/>
        </w:rPr>
        <w:t>2022</w:t>
      </w:r>
      <w:r w:rsidR="001D3CF7" w:rsidRPr="00F72633">
        <w:rPr>
          <w:lang w:val="es-419"/>
        </w:rPr>
        <w:t xml:space="preserve"> ha sido preparado d</w:t>
      </w:r>
      <w:r w:rsidR="00071F28" w:rsidRPr="00F72633">
        <w:rPr>
          <w:lang w:val="es-419"/>
        </w:rPr>
        <w:t>e conformidad con los artículos </w:t>
      </w:r>
      <w:r w:rsidR="001D3CF7" w:rsidRPr="00F72633">
        <w:rPr>
          <w:lang w:val="es-419"/>
        </w:rPr>
        <w:t>2.14 y 2.14</w:t>
      </w:r>
      <w:r w:rsidR="001D3CF7" w:rsidRPr="00F72633">
        <w:rPr>
          <w:i/>
          <w:lang w:val="es-419"/>
        </w:rPr>
        <w:t>bis</w:t>
      </w:r>
      <w:r w:rsidR="001D3CF7" w:rsidRPr="00F72633">
        <w:rPr>
          <w:lang w:val="es-419"/>
        </w:rPr>
        <w:t xml:space="preserve"> del Reglamento Financiero y la Reglamentación Financiera y da cuenta del rendimiento con arreglo a los criterios establecidos por el </w:t>
      </w:r>
      <w:r w:rsidR="00AB1673" w:rsidRPr="00F72633">
        <w:rPr>
          <w:lang w:val="es-419"/>
        </w:rPr>
        <w:t xml:space="preserve">Programa y Presupuesto para </w:t>
      </w:r>
      <w:r w:rsidR="001D3CF7" w:rsidRPr="00F72633">
        <w:rPr>
          <w:lang w:val="es-419"/>
        </w:rPr>
        <w:t>el bienio 202</w:t>
      </w:r>
      <w:r w:rsidR="00E762E6" w:rsidRPr="00F72633">
        <w:rPr>
          <w:lang w:val="es-419"/>
        </w:rPr>
        <w:t>2</w:t>
      </w:r>
      <w:r w:rsidR="001D3CF7" w:rsidRPr="00F72633">
        <w:rPr>
          <w:lang w:val="es-419"/>
        </w:rPr>
        <w:t>-202</w:t>
      </w:r>
      <w:r w:rsidR="00E762E6" w:rsidRPr="00F72633">
        <w:rPr>
          <w:lang w:val="es-419"/>
        </w:rPr>
        <w:t>3</w:t>
      </w:r>
      <w:r w:rsidR="001D3CF7" w:rsidRPr="00F72633">
        <w:rPr>
          <w:lang w:val="es-419"/>
        </w:rPr>
        <w:t xml:space="preserve"> (documento C/5</w:t>
      </w:r>
      <w:r w:rsidR="00E762E6" w:rsidRPr="00F72633">
        <w:rPr>
          <w:lang w:val="es-419"/>
        </w:rPr>
        <w:t>5</w:t>
      </w:r>
      <w:r w:rsidR="001D3CF7" w:rsidRPr="00F72633">
        <w:rPr>
          <w:lang w:val="es-419"/>
        </w:rPr>
        <w:t>/4 Rev.).</w:t>
      </w:r>
    </w:p>
    <w:p w14:paraId="1AB25201" w14:textId="3D02BE9B" w:rsidR="003E3C19" w:rsidRPr="00F72633" w:rsidRDefault="003E3C19" w:rsidP="003E3C19">
      <w:pPr>
        <w:pStyle w:val="DecisionParagraphs"/>
        <w:rPr>
          <w:lang w:val="es-419"/>
        </w:rPr>
      </w:pPr>
      <w:r w:rsidRPr="00F72633">
        <w:rPr>
          <w:lang w:val="es-419"/>
        </w:rPr>
        <w:fldChar w:fldCharType="begin"/>
      </w:r>
      <w:r w:rsidRPr="00F72633">
        <w:rPr>
          <w:lang w:val="es-419"/>
        </w:rPr>
        <w:instrText xml:space="preserve"> AUTONUM  </w:instrText>
      </w:r>
      <w:r w:rsidRPr="00F72633">
        <w:rPr>
          <w:lang w:val="es-419"/>
        </w:rPr>
        <w:fldChar w:fldCharType="end"/>
      </w:r>
      <w:r w:rsidRPr="00F72633">
        <w:rPr>
          <w:lang w:val="es-419"/>
        </w:rPr>
        <w:tab/>
      </w:r>
      <w:r w:rsidR="00E762E6" w:rsidRPr="00F72633">
        <w:rPr>
          <w:lang w:val="es-419"/>
        </w:rPr>
        <w:t>Se invita al Consejo a tomar nota del informe sobre el rendimiento de la UPOV en 2022.</w:t>
      </w:r>
    </w:p>
    <w:p w14:paraId="46009F7E" w14:textId="77777777" w:rsidR="003E3C19" w:rsidRPr="00F72633" w:rsidRDefault="003E3C19" w:rsidP="003E3C19">
      <w:pPr>
        <w:jc w:val="left"/>
        <w:rPr>
          <w:lang w:val="es-419"/>
        </w:rPr>
      </w:pPr>
    </w:p>
    <w:p w14:paraId="20F38848" w14:textId="77777777" w:rsidR="003E3C19" w:rsidRPr="00F72633" w:rsidRDefault="003E3C19" w:rsidP="003E3C19">
      <w:pPr>
        <w:jc w:val="left"/>
        <w:rPr>
          <w:lang w:val="es-419"/>
        </w:rPr>
      </w:pPr>
    </w:p>
    <w:p w14:paraId="39BFEE06" w14:textId="77777777" w:rsidR="003E3C19" w:rsidRPr="00F72633" w:rsidRDefault="003E3C19" w:rsidP="003E3C19">
      <w:pPr>
        <w:rPr>
          <w:lang w:val="es-419"/>
        </w:rPr>
      </w:pPr>
    </w:p>
    <w:p w14:paraId="131B3B0B" w14:textId="71A0AE3E" w:rsidR="003E3C19" w:rsidRPr="00F72633" w:rsidRDefault="00D44072" w:rsidP="00A8435C">
      <w:pPr>
        <w:pStyle w:val="Endofdocument-Annex"/>
        <w:ind w:left="4820"/>
        <w:rPr>
          <w:lang w:val="es-419"/>
        </w:rPr>
      </w:pPr>
      <w:r w:rsidRPr="00F72633">
        <w:rPr>
          <w:lang w:val="es-419"/>
        </w:rPr>
        <w:t>[Sigue el informe sob</w:t>
      </w:r>
      <w:r w:rsidR="00441426">
        <w:rPr>
          <w:lang w:val="es-419"/>
        </w:rPr>
        <w:t xml:space="preserve">re el rendimiento de la </w:t>
      </w:r>
      <w:r w:rsidR="00A8435C">
        <w:rPr>
          <w:lang w:val="es-419"/>
        </w:rPr>
        <w:t>UPOV en </w:t>
      </w:r>
      <w:r w:rsidRPr="00F72633">
        <w:rPr>
          <w:lang w:val="es-419"/>
        </w:rPr>
        <w:t>2022</w:t>
      </w:r>
      <w:r w:rsidR="003E3C19" w:rsidRPr="00F72633">
        <w:rPr>
          <w:lang w:val="es-419"/>
        </w:rPr>
        <w:t>]</w:t>
      </w:r>
    </w:p>
    <w:p w14:paraId="16B4C6D4" w14:textId="77777777" w:rsidR="003E3C19" w:rsidRPr="00F72633" w:rsidRDefault="003E3C19" w:rsidP="003E3C19">
      <w:pPr>
        <w:rPr>
          <w:lang w:val="es-419"/>
        </w:rPr>
      </w:pPr>
    </w:p>
    <w:p w14:paraId="303C5E7A" w14:textId="77777777" w:rsidR="003E3C19" w:rsidRPr="00F72633" w:rsidRDefault="003E3C19" w:rsidP="003E3C19">
      <w:pPr>
        <w:jc w:val="left"/>
        <w:rPr>
          <w:lang w:val="es-419"/>
        </w:rPr>
        <w:sectPr w:rsidR="003E3C19" w:rsidRPr="00F72633" w:rsidSect="0004198B">
          <w:headerReference w:type="default" r:id="rId9"/>
          <w:footerReference w:type="default" r:id="rId10"/>
          <w:pgSz w:w="11907" w:h="16840" w:code="9"/>
          <w:pgMar w:top="510" w:right="1134" w:bottom="1134" w:left="1134" w:header="510" w:footer="680" w:gutter="0"/>
          <w:pgNumType w:start="1"/>
          <w:cols w:space="720"/>
          <w:titlePg/>
        </w:sectPr>
      </w:pPr>
    </w:p>
    <w:p w14:paraId="17012F49" w14:textId="77777777" w:rsidR="003E3C19" w:rsidRPr="00F72633" w:rsidRDefault="003E3C19" w:rsidP="003E3C19">
      <w:pPr>
        <w:rPr>
          <w:lang w:val="es-419"/>
        </w:rPr>
      </w:pPr>
    </w:p>
    <w:p w14:paraId="237FC981" w14:textId="77777777" w:rsidR="003E3C19" w:rsidRPr="00F72633" w:rsidRDefault="003E3C19" w:rsidP="003E3C19">
      <w:pPr>
        <w:rPr>
          <w:lang w:val="es-419"/>
        </w:rPr>
      </w:pPr>
    </w:p>
    <w:p w14:paraId="7862265D" w14:textId="77777777" w:rsidR="003E3C19" w:rsidRPr="00F72633" w:rsidRDefault="003E3C19" w:rsidP="003E3C19">
      <w:pPr>
        <w:rPr>
          <w:lang w:val="es-419"/>
        </w:rPr>
      </w:pPr>
    </w:p>
    <w:p w14:paraId="6866A915" w14:textId="77777777" w:rsidR="003E3C19" w:rsidRPr="00F72633" w:rsidRDefault="003E3C19" w:rsidP="003E3C19">
      <w:pPr>
        <w:rPr>
          <w:lang w:val="es-419"/>
        </w:rPr>
      </w:pPr>
    </w:p>
    <w:p w14:paraId="457168AA" w14:textId="77777777" w:rsidR="003E3C19" w:rsidRPr="00F72633" w:rsidRDefault="003E3C19" w:rsidP="003E3C19">
      <w:pPr>
        <w:rPr>
          <w:rFonts w:eastAsiaTheme="minorHAnsi" w:cstheme="minorBidi"/>
          <w:b/>
          <w:sz w:val="44"/>
          <w:szCs w:val="22"/>
          <w:lang w:val="es-419" w:eastAsia="en-US"/>
        </w:rPr>
      </w:pPr>
      <w:r w:rsidRPr="00F72633">
        <w:rPr>
          <w:noProof/>
          <w:lang w:eastAsia="en-US"/>
        </w:rPr>
        <w:drawing>
          <wp:inline distT="0" distB="0" distL="0" distR="0" wp14:anchorId="2678E276" wp14:editId="06948FE7">
            <wp:extent cx="2217320" cy="568411"/>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9838" cy="584438"/>
                    </a:xfrm>
                    <a:prstGeom prst="rect">
                      <a:avLst/>
                    </a:prstGeom>
                  </pic:spPr>
                </pic:pic>
              </a:graphicData>
            </a:graphic>
          </wp:inline>
        </w:drawing>
      </w:r>
    </w:p>
    <w:p w14:paraId="2AC91A06" w14:textId="77777777" w:rsidR="003E3C19" w:rsidRPr="00F72633" w:rsidRDefault="003E3C19" w:rsidP="003E3C19">
      <w:pPr>
        <w:rPr>
          <w:rFonts w:eastAsiaTheme="minorHAnsi" w:cstheme="minorBidi"/>
          <w:b/>
          <w:sz w:val="44"/>
          <w:szCs w:val="22"/>
          <w:lang w:val="es-419" w:eastAsia="en-US"/>
        </w:rPr>
      </w:pPr>
    </w:p>
    <w:p w14:paraId="7FF830F7" w14:textId="77777777" w:rsidR="003E3C19" w:rsidRPr="00F72633" w:rsidRDefault="003E3C19" w:rsidP="003E3C19">
      <w:pPr>
        <w:rPr>
          <w:rFonts w:eastAsiaTheme="minorHAnsi" w:cstheme="minorBidi"/>
          <w:b/>
          <w:sz w:val="44"/>
          <w:szCs w:val="22"/>
          <w:lang w:val="es-419" w:eastAsia="en-US"/>
        </w:rPr>
      </w:pPr>
    </w:p>
    <w:p w14:paraId="6F7B7D4C" w14:textId="77777777" w:rsidR="003E3C19" w:rsidRPr="00F72633" w:rsidRDefault="003E3C19" w:rsidP="003E3C19">
      <w:pPr>
        <w:rPr>
          <w:rFonts w:eastAsiaTheme="minorHAnsi" w:cstheme="minorBidi"/>
          <w:b/>
          <w:sz w:val="44"/>
          <w:szCs w:val="22"/>
          <w:lang w:val="es-419" w:eastAsia="en-US"/>
        </w:rPr>
      </w:pPr>
    </w:p>
    <w:p w14:paraId="6F82B954" w14:textId="77777777" w:rsidR="003E3C19" w:rsidRPr="00F72633" w:rsidRDefault="0093419C" w:rsidP="003E3C19">
      <w:pPr>
        <w:rPr>
          <w:rFonts w:eastAsiaTheme="minorHAnsi" w:cstheme="minorBidi"/>
          <w:b/>
          <w:sz w:val="44"/>
          <w:szCs w:val="22"/>
          <w:lang w:val="es-419" w:eastAsia="en-US"/>
        </w:rPr>
      </w:pPr>
      <w:r w:rsidRPr="00F72633">
        <w:rPr>
          <w:noProof/>
          <w:lang w:eastAsia="en-US"/>
        </w:rPr>
        <mc:AlternateContent>
          <mc:Choice Requires="wps">
            <w:drawing>
              <wp:anchor distT="0" distB="0" distL="71755" distR="71755" simplePos="0" relativeHeight="251659264" behindDoc="0" locked="0" layoutInCell="1" allowOverlap="1" wp14:anchorId="0C614BE4" wp14:editId="01DD4305">
                <wp:simplePos x="0" y="0"/>
                <wp:positionH relativeFrom="margin">
                  <wp:posOffset>-853440</wp:posOffset>
                </wp:positionH>
                <wp:positionV relativeFrom="page">
                  <wp:posOffset>3256915</wp:posOffset>
                </wp:positionV>
                <wp:extent cx="7693025" cy="27717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693025" cy="277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6F3A4A" w14:textId="25189847" w:rsidR="000D20D3" w:rsidRPr="00803DFC" w:rsidRDefault="000D20D3" w:rsidP="003E3C19">
                            <w:pPr>
                              <w:ind w:left="-142"/>
                              <w:jc w:val="center"/>
                              <w:rPr>
                                <w:rFonts w:eastAsiaTheme="minorHAnsi" w:cstheme="minorBidi"/>
                                <w:color w:val="155F1A"/>
                                <w:sz w:val="52"/>
                                <w:szCs w:val="22"/>
                                <w:lang w:val="es-ES"/>
                              </w:rPr>
                            </w:pPr>
                            <w:r w:rsidRPr="00803DFC">
                              <w:rPr>
                                <w:color w:val="155F1A"/>
                                <w:sz w:val="52"/>
                                <w:lang w:val="es-ES"/>
                              </w:rPr>
                              <w:t>Inf</w:t>
                            </w:r>
                            <w:r>
                              <w:rPr>
                                <w:color w:val="155F1A"/>
                                <w:sz w:val="52"/>
                                <w:lang w:val="es-ES"/>
                              </w:rPr>
                              <w:t>orme sobre el rendimiento de la </w:t>
                            </w:r>
                            <w:r w:rsidRPr="00803DFC">
                              <w:rPr>
                                <w:color w:val="155F1A"/>
                                <w:sz w:val="52"/>
                                <w:lang w:val="es-ES"/>
                              </w:rPr>
                              <w:t>UPOV en</w:t>
                            </w:r>
                            <w:r w:rsidRPr="00803DFC">
                              <w:rPr>
                                <w:rFonts w:eastAsiaTheme="minorHAnsi" w:cstheme="minorBidi"/>
                                <w:color w:val="155F1A"/>
                                <w:sz w:val="52"/>
                                <w:szCs w:val="22"/>
                                <w:lang w:val="es-ES" w:eastAsia="en-US"/>
                              </w:rPr>
                              <w:t xml:space="preserve"> 20</w:t>
                            </w:r>
                            <w:r w:rsidRPr="00803DFC">
                              <w:rPr>
                                <w:rFonts w:eastAsiaTheme="minorHAnsi" w:cstheme="minorBidi"/>
                                <w:color w:val="155F1A"/>
                                <w:sz w:val="52"/>
                                <w:szCs w:val="22"/>
                                <w:lang w:val="es-ES"/>
                              </w:rPr>
                              <w:t>22</w:t>
                            </w:r>
                          </w:p>
                          <w:p w14:paraId="601C03EB" w14:textId="77777777" w:rsidR="000D20D3" w:rsidRPr="00803DFC" w:rsidRDefault="000D20D3" w:rsidP="008C7F60">
                            <w:pPr>
                              <w:rPr>
                                <w:smallCaps/>
                                <w:color w:val="404040" w:themeColor="text1" w:themeTint="BF"/>
                                <w:sz w:val="36"/>
                                <w:szCs w:val="36"/>
                                <w:lang w:val="es-ES"/>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
            <w:pict>
              <v:shapetype w14:anchorId="0C614BE4" id="_x0000_t202" coordsize="21600,21600" o:spt="202" path="m,l,21600r21600,l21600,xe">
                <v:stroke joinstyle="miter"/>
                <v:path gradientshapeok="t" o:connecttype="rect"/>
              </v:shapetype>
              <v:shape id="Text Box 154" o:spid="_x0000_s1026" type="#_x0000_t202" style="position:absolute;left:0;text-align:left;margin-left:-67.2pt;margin-top:256.45pt;width:605.75pt;height:218.2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" filled="f" stroked="f" strokeweight=".5pt">
                <v:textbox inset="126pt,0,54pt,0">
                  <w:txbxContent>
                    <w:p w14:paraId="626F3A4A" w14:textId="25189847" w:rsidR="000D20D3" w:rsidRPr="00803DFC" w:rsidRDefault="000D20D3" w:rsidP="003E3C19">
                      <w:pPr>
                        <w:ind w:left="-142"/>
                        <w:jc w:val="center"/>
                        <w:rPr>
                          <w:rFonts w:eastAsiaTheme="minorHAnsi" w:cstheme="minorBidi"/>
                          <w:color w:val="155F1A"/>
                          <w:sz w:val="52"/>
                          <w:szCs w:val="22"/>
                          <w:lang w:val="es-ES"/>
                        </w:rPr>
                      </w:pPr>
                      <w:r w:rsidRPr="00803DFC">
                        <w:rPr>
                          <w:color w:val="155F1A"/>
                          <w:sz w:val="52"/>
                          <w:lang w:val="es-ES"/>
                        </w:rPr>
                        <w:t>Inf</w:t>
                      </w:r>
                      <w:r>
                        <w:rPr>
                          <w:color w:val="155F1A"/>
                          <w:sz w:val="52"/>
                          <w:lang w:val="es-ES"/>
                        </w:rPr>
                        <w:t>orme sobre el rendimiento de la </w:t>
                      </w:r>
                      <w:r w:rsidRPr="00803DFC">
                        <w:rPr>
                          <w:color w:val="155F1A"/>
                          <w:sz w:val="52"/>
                          <w:lang w:val="es-ES"/>
                        </w:rPr>
                        <w:t>UPOV en</w:t>
                      </w:r>
                      <w:r w:rsidRPr="00803DFC">
                        <w:rPr>
                          <w:rFonts w:eastAsiaTheme="minorHAnsi" w:cstheme="minorBidi"/>
                          <w:color w:val="155F1A"/>
                          <w:sz w:val="52"/>
                          <w:szCs w:val="22"/>
                          <w:lang w:val="es-ES" w:eastAsia="en-US"/>
                        </w:rPr>
                        <w:t xml:space="preserve"> 20</w:t>
                      </w:r>
                      <w:r w:rsidRPr="00803DFC">
                        <w:rPr>
                          <w:rFonts w:eastAsiaTheme="minorHAnsi" w:cstheme="minorBidi"/>
                          <w:color w:val="155F1A"/>
                          <w:sz w:val="52"/>
                          <w:szCs w:val="22"/>
                          <w:lang w:val="es-ES"/>
                        </w:rPr>
                        <w:t>22</w:t>
                      </w:r>
                    </w:p>
                    <w:p w14:paraId="601C03EB" w14:textId="77777777" w:rsidR="000D20D3" w:rsidRPr="00803DFC" w:rsidRDefault="000D20D3" w:rsidP="008C7F60">
                      <w:pPr>
                        <w:rPr>
                          <w:smallCaps/>
                          <w:color w:val="404040" w:themeColor="text1" w:themeTint="BF"/>
                          <w:sz w:val="36"/>
                          <w:szCs w:val="36"/>
                          <w:lang w:val="es-ES"/>
                        </w:rPr>
                      </w:pPr>
                    </w:p>
                  </w:txbxContent>
                </v:textbox>
                <w10:wrap type="square" anchorx="margin" anchory="page"/>
              </v:shape>
            </w:pict>
          </mc:Fallback>
        </mc:AlternateContent>
      </w:r>
    </w:p>
    <w:p w14:paraId="050CBAF0" w14:textId="77777777" w:rsidR="003E3C19" w:rsidRPr="00F72633" w:rsidRDefault="003E3C19" w:rsidP="003E3C19">
      <w:pPr>
        <w:rPr>
          <w:rFonts w:eastAsiaTheme="minorHAnsi" w:cstheme="minorBidi"/>
          <w:b/>
          <w:sz w:val="44"/>
          <w:szCs w:val="22"/>
          <w:lang w:val="es-419" w:eastAsia="en-US"/>
        </w:rPr>
      </w:pPr>
    </w:p>
    <w:p w14:paraId="546C408F" w14:textId="77777777" w:rsidR="003E3C19" w:rsidRPr="00F72633" w:rsidRDefault="003E3C19" w:rsidP="003E3C19">
      <w:pPr>
        <w:rPr>
          <w:rFonts w:eastAsiaTheme="minorHAnsi" w:cstheme="minorBidi"/>
          <w:b/>
          <w:sz w:val="44"/>
          <w:szCs w:val="22"/>
          <w:lang w:val="es-419" w:eastAsia="en-US"/>
        </w:rPr>
      </w:pPr>
    </w:p>
    <w:p w14:paraId="57F590B4" w14:textId="77777777" w:rsidR="003E3C19" w:rsidRPr="00F72633" w:rsidRDefault="003E3C19" w:rsidP="003E3C19">
      <w:pPr>
        <w:rPr>
          <w:rFonts w:eastAsiaTheme="minorHAnsi" w:cstheme="minorBidi"/>
          <w:b/>
          <w:sz w:val="44"/>
          <w:szCs w:val="22"/>
          <w:lang w:val="es-419" w:eastAsia="en-US"/>
        </w:rPr>
      </w:pPr>
    </w:p>
    <w:p w14:paraId="02BD32AB" w14:textId="77777777" w:rsidR="003E3C19" w:rsidRPr="00F72633" w:rsidRDefault="003E3C19" w:rsidP="003E3C19">
      <w:pPr>
        <w:rPr>
          <w:rFonts w:eastAsiaTheme="minorHAnsi" w:cstheme="minorBidi"/>
          <w:b/>
          <w:sz w:val="44"/>
          <w:szCs w:val="22"/>
          <w:lang w:val="es-419" w:eastAsia="en-US"/>
        </w:rPr>
      </w:pPr>
    </w:p>
    <w:p w14:paraId="2F4D8577" w14:textId="77777777" w:rsidR="003E3C19" w:rsidRPr="00F72633" w:rsidRDefault="003E3C19" w:rsidP="003E3C19">
      <w:pPr>
        <w:rPr>
          <w:rFonts w:eastAsiaTheme="minorHAnsi" w:cstheme="minorBidi"/>
          <w:b/>
          <w:sz w:val="44"/>
          <w:szCs w:val="22"/>
          <w:lang w:val="es-419" w:eastAsia="en-US"/>
        </w:rPr>
      </w:pPr>
    </w:p>
    <w:p w14:paraId="4C05FAAD" w14:textId="77777777" w:rsidR="003E3C19" w:rsidRPr="00F72633" w:rsidRDefault="003E3C19" w:rsidP="003E3C19">
      <w:pPr>
        <w:rPr>
          <w:rFonts w:eastAsiaTheme="minorHAnsi" w:cstheme="minorBidi"/>
          <w:b/>
          <w:sz w:val="44"/>
          <w:szCs w:val="22"/>
          <w:lang w:val="es-419" w:eastAsia="en-US"/>
        </w:rPr>
      </w:pPr>
    </w:p>
    <w:p w14:paraId="1C6EA487" w14:textId="77777777" w:rsidR="003E3C19" w:rsidRPr="00F72633" w:rsidRDefault="003E3C19" w:rsidP="003E3C19">
      <w:pPr>
        <w:rPr>
          <w:rFonts w:eastAsiaTheme="minorHAnsi" w:cstheme="minorBidi"/>
          <w:b/>
          <w:sz w:val="44"/>
          <w:szCs w:val="22"/>
          <w:lang w:val="es-419" w:eastAsia="en-US"/>
        </w:rPr>
      </w:pPr>
    </w:p>
    <w:p w14:paraId="5BAA952D" w14:textId="77777777" w:rsidR="003E3C19" w:rsidRPr="00F72633" w:rsidRDefault="003E3C19" w:rsidP="003E3C19">
      <w:pPr>
        <w:rPr>
          <w:rFonts w:eastAsiaTheme="minorHAnsi" w:cstheme="minorBidi"/>
          <w:b/>
          <w:sz w:val="44"/>
          <w:szCs w:val="22"/>
          <w:lang w:val="es-419" w:eastAsia="en-US"/>
        </w:rPr>
      </w:pPr>
    </w:p>
    <w:p w14:paraId="3A29B9C9" w14:textId="77777777" w:rsidR="003E3C19" w:rsidRPr="00F72633" w:rsidRDefault="003E3C19" w:rsidP="003E3C19">
      <w:pPr>
        <w:rPr>
          <w:rFonts w:eastAsiaTheme="minorHAnsi" w:cstheme="minorBidi"/>
          <w:b/>
          <w:sz w:val="44"/>
          <w:szCs w:val="22"/>
          <w:lang w:val="es-419" w:eastAsia="en-US"/>
        </w:rPr>
      </w:pPr>
    </w:p>
    <w:p w14:paraId="6DC93712" w14:textId="77777777" w:rsidR="003E3C19" w:rsidRPr="00F72633" w:rsidRDefault="003E3C19" w:rsidP="003E3C19">
      <w:pPr>
        <w:rPr>
          <w:rFonts w:eastAsiaTheme="minorHAnsi" w:cstheme="minorBidi"/>
          <w:b/>
          <w:sz w:val="44"/>
          <w:szCs w:val="22"/>
          <w:lang w:val="es-419" w:eastAsia="en-US"/>
        </w:rPr>
      </w:pPr>
      <w:r w:rsidRPr="00F72633">
        <w:rPr>
          <w:rFonts w:eastAsiaTheme="minorHAnsi" w:cstheme="minorBidi"/>
          <w:b/>
          <w:sz w:val="44"/>
          <w:szCs w:val="22"/>
          <w:lang w:val="es-419" w:eastAsia="en-US"/>
        </w:rPr>
        <w:br w:type="page"/>
      </w:r>
    </w:p>
    <w:p w14:paraId="5B52B2AF" w14:textId="55F7C41C" w:rsidR="003E3C19" w:rsidRPr="00F72633" w:rsidRDefault="001B7DBA" w:rsidP="003E3C19">
      <w:pPr>
        <w:tabs>
          <w:tab w:val="left" w:pos="567"/>
          <w:tab w:val="left" w:pos="5670"/>
        </w:tabs>
        <w:spacing w:after="360"/>
        <w:rPr>
          <w:rFonts w:eastAsiaTheme="minorHAnsi" w:cstheme="minorBidi"/>
          <w:caps/>
          <w:color w:val="155F1A"/>
          <w:sz w:val="44"/>
          <w:szCs w:val="22"/>
          <w:lang w:val="es-419" w:eastAsia="en-US"/>
        </w:rPr>
      </w:pPr>
      <w:bookmarkStart w:id="0" w:name="_Toc454544456"/>
      <w:bookmarkStart w:id="1" w:name="_Toc482087920"/>
      <w:bookmarkStart w:id="2" w:name="_Toc482087986"/>
      <w:bookmarkStart w:id="3" w:name="_Toc503366678"/>
      <w:bookmarkStart w:id="4" w:name="_Toc382905012"/>
      <w:bookmarkStart w:id="5" w:name="_Toc420582484"/>
      <w:r w:rsidRPr="00F72633">
        <w:rPr>
          <w:rFonts w:eastAsiaTheme="minorHAnsi" w:cstheme="minorBidi"/>
          <w:caps/>
          <w:color w:val="155F1A"/>
          <w:sz w:val="44"/>
          <w:szCs w:val="22"/>
          <w:lang w:val="es-419" w:eastAsia="en-US"/>
        </w:rPr>
        <w:lastRenderedPageBreak/>
        <w:t>ÍNDICE</w:t>
      </w:r>
    </w:p>
    <w:p w14:paraId="080F5470" w14:textId="60EDD446" w:rsidR="000D20D3" w:rsidRDefault="003E3C19">
      <w:pPr>
        <w:pStyle w:val="TOC1"/>
        <w:rPr>
          <w:rFonts w:asciiTheme="minorHAnsi" w:eastAsiaTheme="minorEastAsia" w:hAnsiTheme="minorHAnsi"/>
          <w:b w:val="0"/>
          <w:bCs w:val="0"/>
          <w:caps w:val="0"/>
          <w:color w:val="auto"/>
          <w:sz w:val="22"/>
        </w:rPr>
      </w:pPr>
      <w:r w:rsidRPr="00F72633">
        <w:rPr>
          <w:rFonts w:eastAsiaTheme="minorHAnsi"/>
          <w:noProof w:val="0"/>
          <w:lang w:val="es-419"/>
        </w:rPr>
        <w:fldChar w:fldCharType="begin"/>
      </w:r>
      <w:r w:rsidRPr="00F72633">
        <w:rPr>
          <w:rFonts w:eastAsiaTheme="minorHAnsi"/>
          <w:noProof w:val="0"/>
          <w:lang w:val="es-419"/>
        </w:rPr>
        <w:instrText xml:space="preserve"> TOC \o "1-2" \u </w:instrText>
      </w:r>
      <w:r w:rsidRPr="00F72633">
        <w:rPr>
          <w:rFonts w:eastAsiaTheme="minorHAnsi"/>
          <w:noProof w:val="0"/>
          <w:lang w:val="es-419"/>
        </w:rPr>
        <w:fldChar w:fldCharType="separate"/>
      </w:r>
      <w:r w:rsidR="000D20D3" w:rsidRPr="005043EB">
        <w:rPr>
          <w:lang w:val="es-419"/>
        </w:rPr>
        <w:t>RESUMEN</w:t>
      </w:r>
      <w:r w:rsidR="000D20D3">
        <w:tab/>
      </w:r>
      <w:r w:rsidR="000D20D3">
        <w:fldChar w:fldCharType="begin"/>
      </w:r>
      <w:r w:rsidR="000D20D3">
        <w:instrText xml:space="preserve"> PAGEREF _Toc143527464 \h </w:instrText>
      </w:r>
      <w:r w:rsidR="000D20D3">
        <w:fldChar w:fldCharType="separate"/>
      </w:r>
      <w:r w:rsidR="00C64BD1">
        <w:t>3</w:t>
      </w:r>
      <w:r w:rsidR="000D20D3">
        <w:fldChar w:fldCharType="end"/>
      </w:r>
    </w:p>
    <w:p w14:paraId="4F270123" w14:textId="4886F789" w:rsidR="000D20D3" w:rsidRDefault="000D20D3">
      <w:pPr>
        <w:pStyle w:val="TOC2"/>
        <w:rPr>
          <w:rFonts w:asciiTheme="minorHAnsi" w:eastAsiaTheme="minorEastAsia" w:hAnsiTheme="minorHAnsi" w:cstheme="minorBidi"/>
          <w:b w:val="0"/>
          <w:bCs w:val="0"/>
          <w:iCs w:val="0"/>
          <w:sz w:val="22"/>
          <w:szCs w:val="22"/>
        </w:rPr>
      </w:pPr>
      <w:r w:rsidRPr="005043EB">
        <w:rPr>
          <w:lang w:val="es-419"/>
        </w:rPr>
        <w:t>Panorama financiero</w:t>
      </w:r>
      <w:r>
        <w:tab/>
      </w:r>
      <w:r>
        <w:fldChar w:fldCharType="begin"/>
      </w:r>
      <w:r>
        <w:instrText xml:space="preserve"> PAGEREF _Toc143527465 \h </w:instrText>
      </w:r>
      <w:r>
        <w:fldChar w:fldCharType="separate"/>
      </w:r>
      <w:r w:rsidR="00C64BD1">
        <w:t>3</w:t>
      </w:r>
      <w:r>
        <w:fldChar w:fldCharType="end"/>
      </w:r>
    </w:p>
    <w:p w14:paraId="26637B40" w14:textId="4B5EEE70" w:rsidR="000D20D3" w:rsidRDefault="000D20D3">
      <w:pPr>
        <w:pStyle w:val="TOC2"/>
        <w:rPr>
          <w:rFonts w:asciiTheme="minorHAnsi" w:eastAsiaTheme="minorEastAsia" w:hAnsiTheme="minorHAnsi" w:cstheme="minorBidi"/>
          <w:b w:val="0"/>
          <w:bCs w:val="0"/>
          <w:iCs w:val="0"/>
          <w:sz w:val="22"/>
          <w:szCs w:val="22"/>
        </w:rPr>
      </w:pPr>
      <w:r w:rsidRPr="005043EB">
        <w:rPr>
          <w:lang w:val="es-419"/>
        </w:rPr>
        <w:t>Política general sobre protección de las variedades vegetales (Subprograma UV.1)</w:t>
      </w:r>
      <w:r>
        <w:tab/>
      </w:r>
      <w:r>
        <w:fldChar w:fldCharType="begin"/>
      </w:r>
      <w:r>
        <w:instrText xml:space="preserve"> PAGEREF _Toc143527466 \h </w:instrText>
      </w:r>
      <w:r>
        <w:fldChar w:fldCharType="separate"/>
      </w:r>
      <w:r w:rsidR="00C64BD1">
        <w:t>4</w:t>
      </w:r>
      <w:r>
        <w:fldChar w:fldCharType="end"/>
      </w:r>
    </w:p>
    <w:p w14:paraId="517C106E" w14:textId="2EE81376" w:rsidR="000D20D3" w:rsidRDefault="000D20D3">
      <w:pPr>
        <w:pStyle w:val="TOC2"/>
        <w:rPr>
          <w:rFonts w:asciiTheme="minorHAnsi" w:eastAsiaTheme="minorEastAsia" w:hAnsiTheme="minorHAnsi" w:cstheme="minorBidi"/>
          <w:b w:val="0"/>
          <w:bCs w:val="0"/>
          <w:iCs w:val="0"/>
          <w:sz w:val="22"/>
          <w:szCs w:val="22"/>
        </w:rPr>
      </w:pPr>
      <w:r w:rsidRPr="005043EB">
        <w:rPr>
          <w:lang w:val="es-419"/>
        </w:rPr>
        <w:t>Servicios prestados a la Unión para mejorar la eficacia del sistema de la UPOV (Subprograma UV.2)</w:t>
      </w:r>
      <w:r>
        <w:tab/>
      </w:r>
      <w:r>
        <w:fldChar w:fldCharType="begin"/>
      </w:r>
      <w:r>
        <w:instrText xml:space="preserve"> PAGEREF _Toc143527467 \h </w:instrText>
      </w:r>
      <w:r>
        <w:fldChar w:fldCharType="separate"/>
      </w:r>
      <w:r w:rsidR="00C64BD1">
        <w:t>6</w:t>
      </w:r>
      <w:r>
        <w:fldChar w:fldCharType="end"/>
      </w:r>
    </w:p>
    <w:p w14:paraId="1F8F1F0F" w14:textId="5046771F" w:rsidR="000D20D3" w:rsidRDefault="000D20D3">
      <w:pPr>
        <w:pStyle w:val="TOC2"/>
        <w:rPr>
          <w:rFonts w:asciiTheme="minorHAnsi" w:eastAsiaTheme="minorEastAsia" w:hAnsiTheme="minorHAnsi" w:cstheme="minorBidi"/>
          <w:b w:val="0"/>
          <w:bCs w:val="0"/>
          <w:iCs w:val="0"/>
          <w:sz w:val="22"/>
          <w:szCs w:val="22"/>
        </w:rPr>
      </w:pPr>
      <w:r w:rsidRPr="005043EB">
        <w:rPr>
          <w:lang w:val="es-419"/>
        </w:rPr>
        <w:t>Asistencia para la introducción y aplicación del sistema de la UPOV (Subprograma UV.3)</w:t>
      </w:r>
      <w:r>
        <w:tab/>
      </w:r>
      <w:r>
        <w:fldChar w:fldCharType="begin"/>
      </w:r>
      <w:r>
        <w:instrText xml:space="preserve"> PAGEREF _Toc143527468 \h </w:instrText>
      </w:r>
      <w:r>
        <w:fldChar w:fldCharType="separate"/>
      </w:r>
      <w:r w:rsidR="00C64BD1">
        <w:t>8</w:t>
      </w:r>
      <w:r>
        <w:fldChar w:fldCharType="end"/>
      </w:r>
    </w:p>
    <w:p w14:paraId="50A746C8" w14:textId="600402A6" w:rsidR="000D20D3" w:rsidRDefault="000D20D3">
      <w:pPr>
        <w:pStyle w:val="TOC2"/>
        <w:rPr>
          <w:rFonts w:asciiTheme="minorHAnsi" w:eastAsiaTheme="minorEastAsia" w:hAnsiTheme="minorHAnsi" w:cstheme="minorBidi"/>
          <w:b w:val="0"/>
          <w:bCs w:val="0"/>
          <w:iCs w:val="0"/>
          <w:sz w:val="22"/>
          <w:szCs w:val="22"/>
        </w:rPr>
      </w:pPr>
      <w:r w:rsidRPr="005043EB">
        <w:rPr>
          <w:lang w:val="es-419"/>
        </w:rPr>
        <w:t>Relaciones exteriores (Subprograma UV.4)</w:t>
      </w:r>
      <w:r>
        <w:tab/>
      </w:r>
      <w:r>
        <w:fldChar w:fldCharType="begin"/>
      </w:r>
      <w:r>
        <w:instrText xml:space="preserve"> PAGEREF _Toc143527469 \h </w:instrText>
      </w:r>
      <w:r>
        <w:fldChar w:fldCharType="separate"/>
      </w:r>
      <w:r w:rsidR="00C64BD1">
        <w:t>9</w:t>
      </w:r>
      <w:r>
        <w:fldChar w:fldCharType="end"/>
      </w:r>
    </w:p>
    <w:p w14:paraId="3C5359AC" w14:textId="6B8ED83E" w:rsidR="000D20D3" w:rsidRDefault="000D20D3">
      <w:pPr>
        <w:pStyle w:val="TOC1"/>
        <w:rPr>
          <w:rFonts w:asciiTheme="minorHAnsi" w:eastAsiaTheme="minorEastAsia" w:hAnsiTheme="minorHAnsi"/>
          <w:b w:val="0"/>
          <w:bCs w:val="0"/>
          <w:caps w:val="0"/>
          <w:color w:val="auto"/>
          <w:sz w:val="22"/>
        </w:rPr>
      </w:pPr>
      <w:r w:rsidRPr="005043EB">
        <w:rPr>
          <w:lang w:val="es-419"/>
        </w:rPr>
        <w:t>I.</w:t>
      </w:r>
      <w:r>
        <w:rPr>
          <w:rFonts w:asciiTheme="minorHAnsi" w:eastAsiaTheme="minorEastAsia" w:hAnsiTheme="minorHAnsi"/>
          <w:b w:val="0"/>
          <w:bCs w:val="0"/>
          <w:caps w:val="0"/>
          <w:color w:val="auto"/>
          <w:sz w:val="22"/>
        </w:rPr>
        <w:tab/>
      </w:r>
      <w:r w:rsidRPr="005043EB">
        <w:rPr>
          <w:lang w:val="es-419"/>
        </w:rPr>
        <w:t>PANORAMA FINANCIERO Y DE RESULTADOS</w:t>
      </w:r>
      <w:r>
        <w:tab/>
      </w:r>
      <w:r>
        <w:fldChar w:fldCharType="begin"/>
      </w:r>
      <w:r>
        <w:instrText xml:space="preserve"> PAGEREF _Toc143527470 \h </w:instrText>
      </w:r>
      <w:r>
        <w:fldChar w:fldCharType="separate"/>
      </w:r>
      <w:r w:rsidR="00C64BD1">
        <w:t>11</w:t>
      </w:r>
      <w:r>
        <w:fldChar w:fldCharType="end"/>
      </w:r>
    </w:p>
    <w:p w14:paraId="64A3EE5A" w14:textId="521C6879" w:rsidR="000D20D3" w:rsidRDefault="000D20D3">
      <w:pPr>
        <w:pStyle w:val="TOC1"/>
        <w:rPr>
          <w:rFonts w:asciiTheme="minorHAnsi" w:eastAsiaTheme="minorEastAsia" w:hAnsiTheme="minorHAnsi"/>
          <w:b w:val="0"/>
          <w:bCs w:val="0"/>
          <w:caps w:val="0"/>
          <w:color w:val="auto"/>
          <w:sz w:val="22"/>
        </w:rPr>
      </w:pPr>
      <w:r w:rsidRPr="005043EB">
        <w:rPr>
          <w:lang w:val="es-419"/>
        </w:rPr>
        <w:t>II.</w:t>
      </w:r>
      <w:r>
        <w:rPr>
          <w:rFonts w:asciiTheme="minorHAnsi" w:eastAsiaTheme="minorEastAsia" w:hAnsiTheme="minorHAnsi"/>
          <w:b w:val="0"/>
          <w:bCs w:val="0"/>
          <w:caps w:val="0"/>
          <w:color w:val="auto"/>
          <w:sz w:val="22"/>
        </w:rPr>
        <w:tab/>
      </w:r>
      <w:r w:rsidRPr="005043EB">
        <w:rPr>
          <w:lang w:val="es-419"/>
        </w:rPr>
        <w:t>Rendimiento del programa</w:t>
      </w:r>
      <w:r>
        <w:tab/>
      </w:r>
      <w:r>
        <w:fldChar w:fldCharType="begin"/>
      </w:r>
      <w:r>
        <w:instrText xml:space="preserve"> PAGEREF _Toc143527471 \h </w:instrText>
      </w:r>
      <w:r>
        <w:fldChar w:fldCharType="separate"/>
      </w:r>
      <w:r w:rsidR="00C64BD1">
        <w:t>18</w:t>
      </w:r>
      <w:r>
        <w:fldChar w:fldCharType="end"/>
      </w:r>
    </w:p>
    <w:p w14:paraId="7FFBEED9" w14:textId="16A7A796" w:rsidR="000D20D3" w:rsidRDefault="000D20D3">
      <w:pPr>
        <w:pStyle w:val="TOC2"/>
        <w:rPr>
          <w:rFonts w:asciiTheme="minorHAnsi" w:eastAsiaTheme="minorEastAsia" w:hAnsiTheme="minorHAnsi" w:cstheme="minorBidi"/>
          <w:b w:val="0"/>
          <w:bCs w:val="0"/>
          <w:iCs w:val="0"/>
          <w:sz w:val="22"/>
          <w:szCs w:val="22"/>
        </w:rPr>
      </w:pPr>
      <w:r w:rsidRPr="005043EB">
        <w:rPr>
          <w:lang w:val="es-419"/>
        </w:rPr>
        <w:t>SUBPROGRAMA UV.1: Política general sobre protección de las variedades vegetales</w:t>
      </w:r>
      <w:r>
        <w:tab/>
      </w:r>
      <w:r>
        <w:fldChar w:fldCharType="begin"/>
      </w:r>
      <w:r>
        <w:instrText xml:space="preserve"> PAGEREF _Toc143527472 \h </w:instrText>
      </w:r>
      <w:r>
        <w:fldChar w:fldCharType="separate"/>
      </w:r>
      <w:r w:rsidR="00C64BD1">
        <w:t>18</w:t>
      </w:r>
      <w:r>
        <w:fldChar w:fldCharType="end"/>
      </w:r>
    </w:p>
    <w:p w14:paraId="7F06FA35" w14:textId="5C296A82" w:rsidR="000D20D3" w:rsidRDefault="000D20D3">
      <w:pPr>
        <w:pStyle w:val="TOC2"/>
        <w:rPr>
          <w:rFonts w:asciiTheme="minorHAnsi" w:eastAsiaTheme="minorEastAsia" w:hAnsiTheme="minorHAnsi" w:cstheme="minorBidi"/>
          <w:b w:val="0"/>
          <w:bCs w:val="0"/>
          <w:iCs w:val="0"/>
          <w:sz w:val="22"/>
          <w:szCs w:val="22"/>
        </w:rPr>
      </w:pPr>
      <w:r w:rsidRPr="005043EB">
        <w:rPr>
          <w:lang w:val="es-419"/>
        </w:rPr>
        <w:t>SUBPROGRAMA UV.2: Servicios prestados a la Unión para mejorar la eficacia del sistema de la UPOV</w:t>
      </w:r>
      <w:r>
        <w:tab/>
      </w:r>
      <w:r>
        <w:fldChar w:fldCharType="begin"/>
      </w:r>
      <w:r>
        <w:instrText xml:space="preserve"> PAGEREF _Toc143527473 \h </w:instrText>
      </w:r>
      <w:r>
        <w:fldChar w:fldCharType="separate"/>
      </w:r>
      <w:r w:rsidR="00C64BD1">
        <w:t>22</w:t>
      </w:r>
      <w:r>
        <w:fldChar w:fldCharType="end"/>
      </w:r>
    </w:p>
    <w:p w14:paraId="49B9BB5D" w14:textId="4C572920" w:rsidR="000D20D3" w:rsidRDefault="000D20D3">
      <w:pPr>
        <w:pStyle w:val="TOC2"/>
        <w:rPr>
          <w:rFonts w:asciiTheme="minorHAnsi" w:eastAsiaTheme="minorEastAsia" w:hAnsiTheme="minorHAnsi" w:cstheme="minorBidi"/>
          <w:b w:val="0"/>
          <w:bCs w:val="0"/>
          <w:iCs w:val="0"/>
          <w:sz w:val="22"/>
          <w:szCs w:val="22"/>
        </w:rPr>
      </w:pPr>
      <w:r w:rsidRPr="005043EB">
        <w:rPr>
          <w:lang w:val="es-419"/>
        </w:rPr>
        <w:t>SUBPROGRAMA UV.3: Asistencia para la introducción y aplicación del sistema de la UPOV</w:t>
      </w:r>
      <w:r>
        <w:tab/>
      </w:r>
      <w:r>
        <w:fldChar w:fldCharType="begin"/>
      </w:r>
      <w:r>
        <w:instrText xml:space="preserve"> PAGEREF _Toc143527474 \h </w:instrText>
      </w:r>
      <w:r>
        <w:fldChar w:fldCharType="separate"/>
      </w:r>
      <w:r w:rsidR="00C64BD1">
        <w:t>25</w:t>
      </w:r>
      <w:r>
        <w:fldChar w:fldCharType="end"/>
      </w:r>
    </w:p>
    <w:p w14:paraId="7555BF37" w14:textId="71BC51C0" w:rsidR="000D20D3" w:rsidRDefault="000D20D3">
      <w:pPr>
        <w:pStyle w:val="TOC2"/>
        <w:rPr>
          <w:rFonts w:asciiTheme="minorHAnsi" w:eastAsiaTheme="minorEastAsia" w:hAnsiTheme="minorHAnsi" w:cstheme="minorBidi"/>
          <w:b w:val="0"/>
          <w:bCs w:val="0"/>
          <w:iCs w:val="0"/>
          <w:sz w:val="22"/>
          <w:szCs w:val="22"/>
        </w:rPr>
      </w:pPr>
      <w:r w:rsidRPr="005043EB">
        <w:rPr>
          <w:lang w:val="es-419"/>
        </w:rPr>
        <w:t>SUBPROGRAMA UV.4: Relaciones exteriores</w:t>
      </w:r>
      <w:r>
        <w:tab/>
      </w:r>
      <w:r>
        <w:fldChar w:fldCharType="begin"/>
      </w:r>
      <w:r>
        <w:instrText xml:space="preserve"> PAGEREF _Toc143527475 \h </w:instrText>
      </w:r>
      <w:r>
        <w:fldChar w:fldCharType="separate"/>
      </w:r>
      <w:r w:rsidR="00C64BD1">
        <w:t>30</w:t>
      </w:r>
      <w:r>
        <w:fldChar w:fldCharType="end"/>
      </w:r>
    </w:p>
    <w:p w14:paraId="7595986A" w14:textId="6EE2FC38" w:rsidR="000D20D3" w:rsidRDefault="000D20D3">
      <w:pPr>
        <w:pStyle w:val="TOC1"/>
        <w:rPr>
          <w:rFonts w:asciiTheme="minorHAnsi" w:eastAsiaTheme="minorEastAsia" w:hAnsiTheme="minorHAnsi"/>
          <w:b w:val="0"/>
          <w:bCs w:val="0"/>
          <w:caps w:val="0"/>
          <w:color w:val="auto"/>
          <w:sz w:val="22"/>
        </w:rPr>
      </w:pPr>
      <w:r w:rsidRPr="005043EB">
        <w:rPr>
          <w:lang w:val="es-419"/>
        </w:rPr>
        <w:t>iii.</w:t>
      </w:r>
      <w:r>
        <w:rPr>
          <w:rFonts w:asciiTheme="minorHAnsi" w:eastAsiaTheme="minorEastAsia" w:hAnsiTheme="minorHAnsi"/>
          <w:b w:val="0"/>
          <w:bCs w:val="0"/>
          <w:caps w:val="0"/>
          <w:color w:val="auto"/>
          <w:sz w:val="22"/>
        </w:rPr>
        <w:tab/>
      </w:r>
      <w:r w:rsidRPr="005043EB">
        <w:rPr>
          <w:lang w:val="es-419"/>
        </w:rPr>
        <w:t>anexos</w:t>
      </w:r>
      <w:r>
        <w:tab/>
      </w:r>
      <w:r>
        <w:fldChar w:fldCharType="begin"/>
      </w:r>
      <w:r>
        <w:instrText xml:space="preserve"> PAGEREF _Toc143527476 \h </w:instrText>
      </w:r>
      <w:r>
        <w:fldChar w:fldCharType="separate"/>
      </w:r>
      <w:r w:rsidR="00C64BD1">
        <w:t>33</w:t>
      </w:r>
      <w:r>
        <w:fldChar w:fldCharType="end"/>
      </w:r>
    </w:p>
    <w:p w14:paraId="07050908" w14:textId="426B5193" w:rsidR="000D20D3" w:rsidRDefault="000D20D3">
      <w:pPr>
        <w:pStyle w:val="TOC2"/>
        <w:rPr>
          <w:rFonts w:asciiTheme="minorHAnsi" w:eastAsiaTheme="minorEastAsia" w:hAnsiTheme="minorHAnsi" w:cstheme="minorBidi"/>
          <w:b w:val="0"/>
          <w:bCs w:val="0"/>
          <w:iCs w:val="0"/>
          <w:sz w:val="22"/>
          <w:szCs w:val="22"/>
        </w:rPr>
      </w:pPr>
      <w:r w:rsidRPr="005043EB">
        <w:rPr>
          <w:lang w:val="es-419"/>
        </w:rPr>
        <w:t>ANEXO I</w:t>
      </w:r>
      <w:r>
        <w:rPr>
          <w:rFonts w:asciiTheme="minorHAnsi" w:eastAsiaTheme="minorEastAsia" w:hAnsiTheme="minorHAnsi" w:cstheme="minorBidi"/>
          <w:b w:val="0"/>
          <w:bCs w:val="0"/>
          <w:iCs w:val="0"/>
          <w:sz w:val="22"/>
          <w:szCs w:val="22"/>
        </w:rPr>
        <w:tab/>
      </w:r>
      <w:r w:rsidRPr="005043EB">
        <w:rPr>
          <w:lang w:val="es-419"/>
        </w:rPr>
        <w:t>Fondos extrapresupuestarios (fondos fiduciarios)</w:t>
      </w:r>
      <w:r>
        <w:tab/>
      </w:r>
      <w:r>
        <w:fldChar w:fldCharType="begin"/>
      </w:r>
      <w:r>
        <w:instrText xml:space="preserve"> PAGEREF _Toc143527477 \h </w:instrText>
      </w:r>
      <w:r>
        <w:fldChar w:fldCharType="separate"/>
      </w:r>
      <w:r w:rsidR="00C64BD1">
        <w:t>33</w:t>
      </w:r>
      <w:r>
        <w:fldChar w:fldCharType="end"/>
      </w:r>
    </w:p>
    <w:p w14:paraId="67382862" w14:textId="75DDFF2E" w:rsidR="000D20D3" w:rsidRDefault="000D20D3">
      <w:pPr>
        <w:pStyle w:val="TOC2"/>
        <w:rPr>
          <w:rFonts w:asciiTheme="minorHAnsi" w:eastAsiaTheme="minorEastAsia" w:hAnsiTheme="minorHAnsi" w:cstheme="minorBidi"/>
          <w:b w:val="0"/>
          <w:bCs w:val="0"/>
          <w:iCs w:val="0"/>
          <w:sz w:val="22"/>
          <w:szCs w:val="22"/>
        </w:rPr>
      </w:pPr>
      <w:r w:rsidRPr="005043EB">
        <w:rPr>
          <w:lang w:val="es-419"/>
        </w:rPr>
        <w:t>ANEXO II</w:t>
      </w:r>
      <w:r>
        <w:rPr>
          <w:rFonts w:asciiTheme="minorHAnsi" w:eastAsiaTheme="minorEastAsia" w:hAnsiTheme="minorHAnsi" w:cstheme="minorBidi"/>
          <w:b w:val="0"/>
          <w:bCs w:val="0"/>
          <w:iCs w:val="0"/>
          <w:sz w:val="22"/>
          <w:szCs w:val="22"/>
        </w:rPr>
        <w:tab/>
      </w:r>
      <w:r w:rsidRPr="005043EB">
        <w:rPr>
          <w:lang w:val="es-419"/>
        </w:rPr>
        <w:t>Fondo de operaciones y contribuciones</w:t>
      </w:r>
      <w:r>
        <w:tab/>
      </w:r>
      <w:r>
        <w:fldChar w:fldCharType="begin"/>
      </w:r>
      <w:r>
        <w:instrText xml:space="preserve"> PAGEREF _Toc143527478 \h </w:instrText>
      </w:r>
      <w:r>
        <w:fldChar w:fldCharType="separate"/>
      </w:r>
      <w:r w:rsidR="00C64BD1">
        <w:t>36</w:t>
      </w:r>
      <w:r>
        <w:fldChar w:fldCharType="end"/>
      </w:r>
    </w:p>
    <w:p w14:paraId="70722572" w14:textId="17F4409F" w:rsidR="000D20D3" w:rsidRDefault="000D20D3">
      <w:pPr>
        <w:pStyle w:val="TOC2"/>
        <w:rPr>
          <w:rFonts w:asciiTheme="minorHAnsi" w:eastAsiaTheme="minorEastAsia" w:hAnsiTheme="minorHAnsi" w:cstheme="minorBidi"/>
          <w:b w:val="0"/>
          <w:bCs w:val="0"/>
          <w:iCs w:val="0"/>
          <w:sz w:val="22"/>
          <w:szCs w:val="22"/>
        </w:rPr>
      </w:pPr>
      <w:r w:rsidRPr="005043EB">
        <w:rPr>
          <w:lang w:val="es-419"/>
        </w:rPr>
        <w:t>ANEXO III</w:t>
      </w:r>
      <w:r>
        <w:rPr>
          <w:rFonts w:asciiTheme="minorHAnsi" w:eastAsiaTheme="minorEastAsia" w:hAnsiTheme="minorHAnsi" w:cstheme="minorBidi"/>
          <w:b w:val="0"/>
          <w:bCs w:val="0"/>
          <w:iCs w:val="0"/>
          <w:sz w:val="22"/>
          <w:szCs w:val="22"/>
        </w:rPr>
        <w:tab/>
      </w:r>
      <w:r w:rsidRPr="005043EB">
        <w:rPr>
          <w:lang w:val="es-419"/>
        </w:rPr>
        <w:t>Situación en relación con la UPOV</w:t>
      </w:r>
      <w:r>
        <w:tab/>
      </w:r>
      <w:r>
        <w:fldChar w:fldCharType="begin"/>
      </w:r>
      <w:r>
        <w:instrText xml:space="preserve"> PAGEREF _Toc143527479 \h </w:instrText>
      </w:r>
      <w:r>
        <w:fldChar w:fldCharType="separate"/>
      </w:r>
      <w:r w:rsidR="00C64BD1">
        <w:t>40</w:t>
      </w:r>
      <w:r>
        <w:fldChar w:fldCharType="end"/>
      </w:r>
    </w:p>
    <w:p w14:paraId="66136B31" w14:textId="463757A6" w:rsidR="000D20D3" w:rsidRDefault="000D20D3">
      <w:pPr>
        <w:pStyle w:val="TOC2"/>
        <w:rPr>
          <w:rFonts w:asciiTheme="minorHAnsi" w:eastAsiaTheme="minorEastAsia" w:hAnsiTheme="minorHAnsi" w:cstheme="minorBidi"/>
          <w:b w:val="0"/>
          <w:bCs w:val="0"/>
          <w:iCs w:val="0"/>
          <w:sz w:val="22"/>
          <w:szCs w:val="22"/>
        </w:rPr>
      </w:pPr>
      <w:r w:rsidRPr="005043EB">
        <w:rPr>
          <w:lang w:val="es-419"/>
        </w:rPr>
        <w:t>ANEXO IV</w:t>
      </w:r>
      <w:r>
        <w:rPr>
          <w:rFonts w:asciiTheme="minorHAnsi" w:eastAsiaTheme="minorEastAsia" w:hAnsiTheme="minorHAnsi" w:cstheme="minorBidi"/>
          <w:b w:val="0"/>
          <w:bCs w:val="0"/>
          <w:iCs w:val="0"/>
          <w:sz w:val="22"/>
          <w:szCs w:val="22"/>
        </w:rPr>
        <w:tab/>
      </w:r>
      <w:r w:rsidRPr="005043EB">
        <w:rPr>
          <w:lang w:val="es-419"/>
        </w:rPr>
        <w:t>Miembros de la Unión</w:t>
      </w:r>
      <w:r>
        <w:tab/>
      </w:r>
      <w:r>
        <w:fldChar w:fldCharType="begin"/>
      </w:r>
      <w:r>
        <w:instrText xml:space="preserve"> PAGEREF _Toc143527480 \h </w:instrText>
      </w:r>
      <w:r>
        <w:fldChar w:fldCharType="separate"/>
      </w:r>
      <w:r w:rsidR="00C64BD1">
        <w:t>42</w:t>
      </w:r>
      <w:r>
        <w:fldChar w:fldCharType="end"/>
      </w:r>
    </w:p>
    <w:p w14:paraId="12041C7B" w14:textId="7925062F" w:rsidR="000D20D3" w:rsidRDefault="000D20D3">
      <w:pPr>
        <w:pStyle w:val="TOC2"/>
        <w:rPr>
          <w:rFonts w:asciiTheme="minorHAnsi" w:eastAsiaTheme="minorEastAsia" w:hAnsiTheme="minorHAnsi" w:cstheme="minorBidi"/>
          <w:b w:val="0"/>
          <w:bCs w:val="0"/>
          <w:iCs w:val="0"/>
          <w:sz w:val="22"/>
          <w:szCs w:val="22"/>
        </w:rPr>
      </w:pPr>
      <w:r w:rsidRPr="005043EB">
        <w:rPr>
          <w:lang w:val="es-419"/>
        </w:rPr>
        <w:t>ANEXO V</w:t>
      </w:r>
      <w:r>
        <w:rPr>
          <w:rFonts w:asciiTheme="minorHAnsi" w:eastAsiaTheme="minorEastAsia" w:hAnsiTheme="minorHAnsi" w:cstheme="minorBidi"/>
          <w:b w:val="0"/>
          <w:bCs w:val="0"/>
          <w:iCs w:val="0"/>
          <w:sz w:val="22"/>
          <w:szCs w:val="22"/>
        </w:rPr>
        <w:tab/>
      </w:r>
      <w:r w:rsidRPr="005043EB">
        <w:rPr>
          <w:lang w:val="es-419"/>
        </w:rPr>
        <w:t>Lista de actividades en 2022</w:t>
      </w:r>
      <w:r>
        <w:tab/>
      </w:r>
      <w:r>
        <w:fldChar w:fldCharType="begin"/>
      </w:r>
      <w:r>
        <w:instrText xml:space="preserve"> PAGEREF _Toc143527481 \h </w:instrText>
      </w:r>
      <w:r>
        <w:fldChar w:fldCharType="separate"/>
      </w:r>
      <w:r w:rsidR="00C64BD1">
        <w:t>43</w:t>
      </w:r>
      <w:r>
        <w:fldChar w:fldCharType="end"/>
      </w:r>
    </w:p>
    <w:p w14:paraId="42C560D1" w14:textId="592AC2FC" w:rsidR="000D20D3" w:rsidRDefault="000D20D3">
      <w:pPr>
        <w:pStyle w:val="TOC1"/>
        <w:rPr>
          <w:rFonts w:asciiTheme="minorHAnsi" w:eastAsiaTheme="minorEastAsia" w:hAnsiTheme="minorHAnsi"/>
          <w:b w:val="0"/>
          <w:bCs w:val="0"/>
          <w:caps w:val="0"/>
          <w:color w:val="auto"/>
          <w:sz w:val="22"/>
        </w:rPr>
      </w:pPr>
      <w:r w:rsidRPr="005043EB">
        <w:rPr>
          <w:lang w:val="es-419"/>
        </w:rPr>
        <w:t>iv.</w:t>
      </w:r>
      <w:r>
        <w:rPr>
          <w:rFonts w:asciiTheme="minorHAnsi" w:eastAsiaTheme="minorEastAsia" w:hAnsiTheme="minorHAnsi"/>
          <w:b w:val="0"/>
          <w:bCs w:val="0"/>
          <w:caps w:val="0"/>
          <w:color w:val="auto"/>
          <w:sz w:val="22"/>
        </w:rPr>
        <w:tab/>
      </w:r>
      <w:r w:rsidRPr="005043EB">
        <w:rPr>
          <w:lang w:val="es-419"/>
        </w:rPr>
        <w:t>apéndice</w:t>
      </w:r>
      <w:r>
        <w:tab/>
      </w:r>
      <w:r>
        <w:fldChar w:fldCharType="begin"/>
      </w:r>
      <w:r>
        <w:instrText xml:space="preserve"> PAGEREF _Toc143527482 \h </w:instrText>
      </w:r>
      <w:r>
        <w:fldChar w:fldCharType="separate"/>
      </w:r>
      <w:r w:rsidR="00C64BD1">
        <w:t>44</w:t>
      </w:r>
      <w:r>
        <w:fldChar w:fldCharType="end"/>
      </w:r>
    </w:p>
    <w:p w14:paraId="29200C5E" w14:textId="51AD21BB" w:rsidR="000D20D3" w:rsidRDefault="000D20D3">
      <w:pPr>
        <w:pStyle w:val="TOC2"/>
        <w:rPr>
          <w:rFonts w:asciiTheme="minorHAnsi" w:eastAsiaTheme="minorEastAsia" w:hAnsiTheme="minorHAnsi" w:cstheme="minorBidi"/>
          <w:b w:val="0"/>
          <w:bCs w:val="0"/>
          <w:iCs w:val="0"/>
          <w:sz w:val="22"/>
          <w:szCs w:val="22"/>
        </w:rPr>
      </w:pPr>
      <w:r w:rsidRPr="005043EB">
        <w:rPr>
          <w:lang w:val="es-419"/>
        </w:rPr>
        <w:t>SIGLAS Y ABREVIATURAS</w:t>
      </w:r>
      <w:r>
        <w:tab/>
      </w:r>
      <w:r>
        <w:fldChar w:fldCharType="begin"/>
      </w:r>
      <w:r>
        <w:instrText xml:space="preserve"> PAGEREF _Toc143527483 \h </w:instrText>
      </w:r>
      <w:r>
        <w:fldChar w:fldCharType="separate"/>
      </w:r>
      <w:r w:rsidR="00C64BD1">
        <w:t>44</w:t>
      </w:r>
      <w:r>
        <w:fldChar w:fldCharType="end"/>
      </w:r>
    </w:p>
    <w:p w14:paraId="1F121BEE" w14:textId="40C95D5B" w:rsidR="003E3C19" w:rsidRPr="00F72633" w:rsidRDefault="003E3C19" w:rsidP="0004663A">
      <w:pPr>
        <w:rPr>
          <w:lang w:val="es-419"/>
        </w:rPr>
      </w:pPr>
      <w:r w:rsidRPr="00F72633">
        <w:rPr>
          <w:lang w:val="es-419"/>
        </w:rPr>
        <w:fldChar w:fldCharType="end"/>
      </w:r>
      <w:r w:rsidRPr="00F72633">
        <w:rPr>
          <w:lang w:val="es-419"/>
        </w:rPr>
        <w:br w:type="page"/>
      </w:r>
    </w:p>
    <w:p w14:paraId="14C632C9" w14:textId="0BB80024" w:rsidR="003E3C19" w:rsidRPr="00F72633" w:rsidRDefault="00803DFC" w:rsidP="003E3C19">
      <w:pPr>
        <w:pStyle w:val="Heading1"/>
        <w:rPr>
          <w:lang w:val="es-419"/>
        </w:rPr>
      </w:pPr>
      <w:bookmarkStart w:id="6" w:name="_Toc143527464"/>
      <w:r w:rsidRPr="00F72633">
        <w:rPr>
          <w:lang w:val="es-419"/>
        </w:rPr>
        <w:lastRenderedPageBreak/>
        <w:t>RESUMEN</w:t>
      </w:r>
      <w:bookmarkEnd w:id="6"/>
    </w:p>
    <w:p w14:paraId="1296FAC6" w14:textId="57567868" w:rsidR="00816B4B" w:rsidRPr="00F72633" w:rsidRDefault="00803DFC" w:rsidP="00703E60">
      <w:pPr>
        <w:pStyle w:val="Heading2"/>
        <w:rPr>
          <w:lang w:val="es-419"/>
        </w:rPr>
      </w:pPr>
      <w:bookmarkStart w:id="7" w:name="_Toc143527465"/>
      <w:r w:rsidRPr="00F72633">
        <w:rPr>
          <w:lang w:val="es-419"/>
        </w:rPr>
        <w:t>Panorama financiero</w:t>
      </w:r>
      <w:bookmarkEnd w:id="7"/>
    </w:p>
    <w:p w14:paraId="451F48C8" w14:textId="438F2632" w:rsidR="008327D3" w:rsidRPr="00F72633" w:rsidRDefault="00314E31" w:rsidP="00816B4B">
      <w:pPr>
        <w:pStyle w:val="annexiparanumbered"/>
        <w:numPr>
          <w:ilvl w:val="0"/>
          <w:numId w:val="0"/>
        </w:numPr>
        <w:rPr>
          <w:lang w:val="es-419"/>
        </w:rPr>
      </w:pPr>
      <w:r w:rsidRPr="00F72633">
        <w:rPr>
          <w:lang w:val="es-419"/>
        </w:rPr>
        <w:t>El resultado presupuestario general de la UPOV e</w:t>
      </w:r>
      <w:r w:rsidR="000A05E5" w:rsidRPr="00F72633">
        <w:rPr>
          <w:lang w:val="es-419"/>
        </w:rPr>
        <w:t xml:space="preserve">n 2022 </w:t>
      </w:r>
      <w:r w:rsidRPr="00F72633">
        <w:rPr>
          <w:lang w:val="es-419"/>
        </w:rPr>
        <w:t>ascendió a un superávit de 0,2 millones de francos suizos.</w:t>
      </w:r>
    </w:p>
    <w:p w14:paraId="5C380C1A" w14:textId="77777777" w:rsidR="008327D3" w:rsidRPr="00F72633" w:rsidRDefault="008327D3" w:rsidP="00816B4B">
      <w:pPr>
        <w:pStyle w:val="annexiparanumbered"/>
        <w:numPr>
          <w:ilvl w:val="0"/>
          <w:numId w:val="0"/>
        </w:numPr>
        <w:rPr>
          <w:lang w:val="es-419"/>
        </w:rPr>
      </w:pPr>
    </w:p>
    <w:p w14:paraId="6D352D6A" w14:textId="0502F83F" w:rsidR="00816B4B" w:rsidRPr="00F72633" w:rsidRDefault="00314E31" w:rsidP="00816B4B">
      <w:pPr>
        <w:pStyle w:val="annexiparanumbered"/>
        <w:numPr>
          <w:ilvl w:val="0"/>
          <w:numId w:val="0"/>
        </w:numPr>
        <w:rPr>
          <w:lang w:val="es-419"/>
        </w:rPr>
      </w:pPr>
      <w:r w:rsidRPr="00F72633">
        <w:rPr>
          <w:lang w:val="es-419"/>
        </w:rPr>
        <w:t>Los ingresos globales correspondientes a 2022 se ajustaron al presupuesto.</w:t>
      </w:r>
      <w:r w:rsidR="00816B4B" w:rsidRPr="00F72633">
        <w:rPr>
          <w:lang w:val="es-419"/>
        </w:rPr>
        <w:t xml:space="preserve"> </w:t>
      </w:r>
      <w:r w:rsidR="000D20D3">
        <w:rPr>
          <w:lang w:val="es-419"/>
        </w:rPr>
        <w:t xml:space="preserve"> </w:t>
      </w:r>
      <w:r w:rsidR="00FC4923" w:rsidRPr="00F72633">
        <w:rPr>
          <w:lang w:val="es-419"/>
        </w:rPr>
        <w:t>Los ingresos superiores a los presupuestados</w:t>
      </w:r>
      <w:r w:rsidR="00816B4B" w:rsidRPr="00F72633">
        <w:rPr>
          <w:lang w:val="es-419"/>
        </w:rPr>
        <w:t xml:space="preserve"> </w:t>
      </w:r>
      <w:r w:rsidR="00FC4923" w:rsidRPr="00F72633">
        <w:rPr>
          <w:lang w:val="es-419"/>
        </w:rPr>
        <w:t>derivados de las nuevas contribuciones recibidas de Ghana y San Vicente y las Granadinas (0,2 unidades cada uno, respectivamente)</w:t>
      </w:r>
      <w:r w:rsidR="00816B4B" w:rsidRPr="00F72633">
        <w:rPr>
          <w:lang w:val="es-419"/>
        </w:rPr>
        <w:t xml:space="preserve">, </w:t>
      </w:r>
      <w:r w:rsidR="00FC4923" w:rsidRPr="00F72633">
        <w:rPr>
          <w:lang w:val="es-419"/>
        </w:rPr>
        <w:t xml:space="preserve">de las tasas de </w:t>
      </w:r>
      <w:r w:rsidR="000D20D3">
        <w:rPr>
          <w:lang w:val="es-419"/>
        </w:rPr>
        <w:t>UPOV PRISMA</w:t>
      </w:r>
      <w:r w:rsidR="00FC4923" w:rsidRPr="00F72633">
        <w:rPr>
          <w:lang w:val="es-419"/>
        </w:rPr>
        <w:t xml:space="preserve"> y de los cursos de enseñanza a distancia</w:t>
      </w:r>
      <w:r w:rsidR="00816B4B" w:rsidRPr="00F72633">
        <w:rPr>
          <w:lang w:val="es-419"/>
        </w:rPr>
        <w:t xml:space="preserve"> </w:t>
      </w:r>
      <w:r w:rsidR="00FC4923" w:rsidRPr="00F72633">
        <w:rPr>
          <w:lang w:val="es-419"/>
        </w:rPr>
        <w:t>se vieron contrarrestados por unos ingresos inferiores a los presupuestados procedentes de las tasas de PLUTO y de los costos de apoyo a los programas relacionados con los fondos fiduciarios.</w:t>
      </w:r>
      <w:r w:rsidR="00816B4B" w:rsidRPr="00F72633">
        <w:rPr>
          <w:lang w:val="es-419"/>
        </w:rPr>
        <w:t xml:space="preserve"> </w:t>
      </w:r>
      <w:r w:rsidR="000D20D3">
        <w:rPr>
          <w:lang w:val="es-419"/>
        </w:rPr>
        <w:t xml:space="preserve"> </w:t>
      </w:r>
      <w:r w:rsidR="00671ECD" w:rsidRPr="00F72633">
        <w:rPr>
          <w:lang w:val="es-419"/>
        </w:rPr>
        <w:t xml:space="preserve">Debido a un problema con el mecanismo de facturación, los ingresos procedentes de PLUTO no reflejan el número de usuarios que pagaron tasas en 2022. </w:t>
      </w:r>
      <w:r w:rsidR="000D20D3">
        <w:rPr>
          <w:lang w:val="es-419"/>
        </w:rPr>
        <w:t xml:space="preserve"> </w:t>
      </w:r>
      <w:r w:rsidR="00671ECD" w:rsidRPr="00F72633">
        <w:rPr>
          <w:lang w:val="es-419"/>
        </w:rPr>
        <w:t>Este problema se rectificará en 2023</w:t>
      </w:r>
      <w:r w:rsidR="00816B4B" w:rsidRPr="00F72633">
        <w:rPr>
          <w:lang w:val="es-419"/>
        </w:rPr>
        <w:t>.</w:t>
      </w:r>
    </w:p>
    <w:p w14:paraId="2C1C31E5" w14:textId="77777777" w:rsidR="00816B4B" w:rsidRPr="00F72633" w:rsidRDefault="00816B4B" w:rsidP="00816B4B">
      <w:pPr>
        <w:rPr>
          <w:lang w:val="es-419"/>
        </w:rPr>
      </w:pPr>
    </w:p>
    <w:p w14:paraId="50B2F7BB" w14:textId="10F0E41D" w:rsidR="00703E60" w:rsidRPr="00F72633" w:rsidRDefault="006A2BF0" w:rsidP="00703E60">
      <w:pPr>
        <w:rPr>
          <w:lang w:val="es-419"/>
        </w:rPr>
      </w:pPr>
      <w:r w:rsidRPr="00F72633">
        <w:rPr>
          <w:lang w:val="es-419"/>
        </w:rPr>
        <w:t>Los ingresos distintos de las unidades de contribución, que en 2022 ascendieron al 6,2</w:t>
      </w:r>
      <w:r w:rsidR="0093607B" w:rsidRPr="00F72633">
        <w:rPr>
          <w:lang w:val="es-419"/>
        </w:rPr>
        <w:t> </w:t>
      </w:r>
      <w:r w:rsidRPr="00F72633">
        <w:rPr>
          <w:lang w:val="es-419"/>
        </w:rPr>
        <w:t>%, se ajustan al objetivo fijado en el Plan Operativo Estratégico para el período 2023-2027 de alcanzar el 10</w:t>
      </w:r>
      <w:r w:rsidR="0093607B" w:rsidRPr="00F72633">
        <w:rPr>
          <w:lang w:val="es-419"/>
        </w:rPr>
        <w:t> </w:t>
      </w:r>
      <w:r w:rsidRPr="00F72633">
        <w:rPr>
          <w:lang w:val="es-419"/>
        </w:rPr>
        <w:t>% en 2027.</w:t>
      </w:r>
    </w:p>
    <w:p w14:paraId="7CD69D18" w14:textId="6488D1D4" w:rsidR="00703E60" w:rsidRPr="00F72633" w:rsidRDefault="00703E60" w:rsidP="00703E60">
      <w:pPr>
        <w:rPr>
          <w:lang w:val="es-419"/>
        </w:rPr>
      </w:pPr>
    </w:p>
    <w:p w14:paraId="50558B97" w14:textId="11B84DE6" w:rsidR="00703E60" w:rsidRPr="00F72633" w:rsidRDefault="008D23D2" w:rsidP="00AF3F69">
      <w:pPr>
        <w:pStyle w:val="Caption"/>
        <w:rPr>
          <w:lang w:val="es-419"/>
        </w:rPr>
      </w:pPr>
      <w:r w:rsidRPr="00F72633">
        <w:rPr>
          <w:lang w:val="es-419"/>
        </w:rPr>
        <w:t>Figur</w:t>
      </w:r>
      <w:r w:rsidR="006A2BF0" w:rsidRPr="00F72633">
        <w:rPr>
          <w:lang w:val="es-419"/>
        </w:rPr>
        <w:t>a</w:t>
      </w:r>
      <w:r w:rsidR="00286329" w:rsidRPr="00F72633">
        <w:rPr>
          <w:lang w:val="es-419"/>
        </w:rPr>
        <w:t xml:space="preserve"> 1. </w:t>
      </w:r>
      <w:r w:rsidR="006A2BF0" w:rsidRPr="00F72633">
        <w:rPr>
          <w:lang w:val="es-419"/>
        </w:rPr>
        <w:t>Ingresos distintos de las unidades de contribución</w:t>
      </w:r>
    </w:p>
    <w:p w14:paraId="61B346E7" w14:textId="309172FD" w:rsidR="00422C38" w:rsidRPr="00F72633" w:rsidRDefault="00422C38" w:rsidP="00422C38">
      <w:pPr>
        <w:jc w:val="center"/>
        <w:rPr>
          <w:lang w:val="es-419"/>
        </w:rPr>
      </w:pPr>
      <w:r w:rsidRPr="00F72633">
        <w:rPr>
          <w:noProof/>
          <w:lang w:eastAsia="en-US"/>
        </w:rPr>
        <w:drawing>
          <wp:inline distT="0" distB="0" distL="0" distR="0" wp14:anchorId="6FE9C506" wp14:editId="678074FD">
            <wp:extent cx="3085676" cy="2724249"/>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6520" cy="2760309"/>
                    </a:xfrm>
                    <a:prstGeom prst="rect">
                      <a:avLst/>
                    </a:prstGeom>
                    <a:noFill/>
                    <a:ln>
                      <a:noFill/>
                    </a:ln>
                  </pic:spPr>
                </pic:pic>
              </a:graphicData>
            </a:graphic>
          </wp:inline>
        </w:drawing>
      </w:r>
    </w:p>
    <w:p w14:paraId="7CD91304" w14:textId="5C027148" w:rsidR="00703E60" w:rsidRPr="00F72633" w:rsidRDefault="00703E60" w:rsidP="00703E60">
      <w:pPr>
        <w:jc w:val="center"/>
        <w:rPr>
          <w:lang w:val="es-419"/>
        </w:rPr>
      </w:pPr>
    </w:p>
    <w:p w14:paraId="2EBB87A0" w14:textId="77777777" w:rsidR="00F4247D" w:rsidRPr="00F72633" w:rsidRDefault="00F4247D" w:rsidP="00703E60">
      <w:pPr>
        <w:jc w:val="center"/>
        <w:rPr>
          <w:lang w:val="es-419"/>
        </w:rPr>
      </w:pPr>
    </w:p>
    <w:p w14:paraId="6B4ED2AC" w14:textId="2EC7A9D5" w:rsidR="00816B4B" w:rsidRPr="00F72633" w:rsidRDefault="00C72CEC" w:rsidP="000A05E5">
      <w:pPr>
        <w:rPr>
          <w:lang w:val="es-419"/>
        </w:rPr>
      </w:pPr>
      <w:r w:rsidRPr="00F72633">
        <w:rPr>
          <w:lang w:val="es-419"/>
        </w:rPr>
        <w:t>Para que la ejecución del Programa y Presupuesto bienal sea prudente, los gastos se contienen en el primer año del bieni</w:t>
      </w:r>
      <w:r w:rsidR="0093607B" w:rsidRPr="00F72633">
        <w:rPr>
          <w:lang w:val="es-419"/>
        </w:rPr>
        <w:t xml:space="preserve">o. </w:t>
      </w:r>
      <w:r w:rsidR="000D20D3">
        <w:rPr>
          <w:lang w:val="es-419"/>
        </w:rPr>
        <w:t xml:space="preserve"> </w:t>
      </w:r>
      <w:r w:rsidRPr="00F72633">
        <w:rPr>
          <w:lang w:val="es-419"/>
        </w:rPr>
        <w:t>En 2022 el saldo global de los gastos alcanzó el 47</w:t>
      </w:r>
      <w:r w:rsidR="0093607B" w:rsidRPr="00F72633">
        <w:rPr>
          <w:lang w:val="es-419"/>
        </w:rPr>
        <w:t> </w:t>
      </w:r>
      <w:r w:rsidRPr="00F72633">
        <w:rPr>
          <w:lang w:val="es-419"/>
        </w:rPr>
        <w:t>% d</w:t>
      </w:r>
      <w:r w:rsidR="0093607B" w:rsidRPr="00F72633">
        <w:rPr>
          <w:lang w:val="es-419"/>
        </w:rPr>
        <w:t xml:space="preserve">el presupuesto bienal 2022/23. </w:t>
      </w:r>
      <w:r w:rsidR="000D20D3">
        <w:rPr>
          <w:lang w:val="es-419"/>
        </w:rPr>
        <w:t xml:space="preserve"> </w:t>
      </w:r>
      <w:r w:rsidRPr="00F72633">
        <w:rPr>
          <w:lang w:val="es-419"/>
        </w:rPr>
        <w:t>Los gastos de personal representaron el 43</w:t>
      </w:r>
      <w:r w:rsidR="0093607B" w:rsidRPr="00F72633">
        <w:rPr>
          <w:lang w:val="es-419"/>
        </w:rPr>
        <w:t> </w:t>
      </w:r>
      <w:r w:rsidRPr="00F72633">
        <w:rPr>
          <w:lang w:val="es-419"/>
        </w:rPr>
        <w:t xml:space="preserve">% del presupuesto bienal, debido a que un puesto estuvo vacante durante la mayor parte del año y a que la contratación del personal temporal se retrasó hasta el segundo año del bienio. </w:t>
      </w:r>
      <w:r w:rsidR="000D20D3">
        <w:rPr>
          <w:lang w:val="es-419"/>
        </w:rPr>
        <w:t xml:space="preserve"> </w:t>
      </w:r>
      <w:r w:rsidRPr="00F72633">
        <w:rPr>
          <w:lang w:val="es-419"/>
        </w:rPr>
        <w:t xml:space="preserve">Todo ello se vio compensado con un aumento de los gastos en servicios contractuales. </w:t>
      </w:r>
      <w:r w:rsidR="000D20D3">
        <w:rPr>
          <w:lang w:val="es-419"/>
        </w:rPr>
        <w:t xml:space="preserve"> </w:t>
      </w:r>
      <w:r w:rsidRPr="00F72633">
        <w:rPr>
          <w:lang w:val="es-419"/>
        </w:rPr>
        <w:t xml:space="preserve">No se incurrió en gastos </w:t>
      </w:r>
      <w:r w:rsidR="003220C7" w:rsidRPr="00F72633">
        <w:rPr>
          <w:lang w:val="es-419"/>
        </w:rPr>
        <w:t xml:space="preserve">en concepto </w:t>
      </w:r>
      <w:r w:rsidRPr="00F72633">
        <w:rPr>
          <w:lang w:val="es-419"/>
        </w:rPr>
        <w:t xml:space="preserve">de pasantías y </w:t>
      </w:r>
      <w:r w:rsidR="006E3D1B" w:rsidRPr="00F72633">
        <w:rPr>
          <w:lang w:val="es-419"/>
        </w:rPr>
        <w:t>beca</w:t>
      </w:r>
      <w:r w:rsidRPr="00F72633">
        <w:rPr>
          <w:lang w:val="es-419"/>
        </w:rPr>
        <w:t>s, ya que la pandemia de COVID</w:t>
      </w:r>
      <w:r w:rsidR="000C68F0" w:rsidRPr="00F72633">
        <w:rPr>
          <w:lang w:val="es-419"/>
        </w:rPr>
        <w:noBreakHyphen/>
      </w:r>
      <w:r w:rsidRPr="00F72633">
        <w:rPr>
          <w:lang w:val="es-419"/>
        </w:rPr>
        <w:t>19 sigue restringiendo la m</w:t>
      </w:r>
      <w:r w:rsidR="00524AD3" w:rsidRPr="00F72633">
        <w:rPr>
          <w:lang w:val="es-419"/>
        </w:rPr>
        <w:t xml:space="preserve">ovilidad de </w:t>
      </w:r>
      <w:r w:rsidR="003220C7" w:rsidRPr="00F72633">
        <w:rPr>
          <w:lang w:val="es-419"/>
        </w:rPr>
        <w:t xml:space="preserve">los </w:t>
      </w:r>
      <w:r w:rsidR="00524AD3" w:rsidRPr="00F72633">
        <w:rPr>
          <w:lang w:val="es-419"/>
        </w:rPr>
        <w:t>posibles be</w:t>
      </w:r>
      <w:r w:rsidR="006E3D1B" w:rsidRPr="00F72633">
        <w:rPr>
          <w:lang w:val="es-419"/>
        </w:rPr>
        <w:t>c</w:t>
      </w:r>
      <w:r w:rsidR="00524AD3" w:rsidRPr="00F72633">
        <w:rPr>
          <w:lang w:val="es-419"/>
        </w:rPr>
        <w:t xml:space="preserve">arios. </w:t>
      </w:r>
      <w:r w:rsidR="000D20D3">
        <w:rPr>
          <w:lang w:val="es-419"/>
        </w:rPr>
        <w:t xml:space="preserve"> </w:t>
      </w:r>
      <w:r w:rsidRPr="00F72633">
        <w:rPr>
          <w:lang w:val="es-419"/>
        </w:rPr>
        <w:t xml:space="preserve">Los gastos </w:t>
      </w:r>
      <w:r w:rsidR="003220C7" w:rsidRPr="00F72633">
        <w:rPr>
          <w:lang w:val="es-419"/>
        </w:rPr>
        <w:t>de</w:t>
      </w:r>
      <w:r w:rsidRPr="00F72633">
        <w:rPr>
          <w:lang w:val="es-419"/>
        </w:rPr>
        <w:t xml:space="preserve"> viajes, formación y </w:t>
      </w:r>
      <w:r w:rsidR="003220C7" w:rsidRPr="00F72633">
        <w:rPr>
          <w:lang w:val="es-419"/>
        </w:rPr>
        <w:t>subsidio</w:t>
      </w:r>
      <w:r w:rsidRPr="00F72633">
        <w:rPr>
          <w:lang w:val="es-419"/>
        </w:rPr>
        <w:t>s en 2022 apenas representaron el 10</w:t>
      </w:r>
      <w:r w:rsidR="0093607B" w:rsidRPr="00F72633">
        <w:rPr>
          <w:lang w:val="es-419"/>
        </w:rPr>
        <w:t> </w:t>
      </w:r>
      <w:r w:rsidRPr="00F72633">
        <w:rPr>
          <w:lang w:val="es-419"/>
        </w:rPr>
        <w:t>% del presupuesto bienal</w:t>
      </w:r>
      <w:r w:rsidR="00524AD3" w:rsidRPr="00F72633">
        <w:rPr>
          <w:lang w:val="es-419"/>
        </w:rPr>
        <w:t xml:space="preserve"> </w:t>
      </w:r>
      <w:r w:rsidR="003220C7" w:rsidRPr="00F72633">
        <w:rPr>
          <w:lang w:val="es-419"/>
        </w:rPr>
        <w:t>debido a la adaptación a</w:t>
      </w:r>
      <w:r w:rsidR="00524AD3" w:rsidRPr="00F72633">
        <w:rPr>
          <w:lang w:val="es-419"/>
        </w:rPr>
        <w:t xml:space="preserve"> la “nueva normalidad”</w:t>
      </w:r>
      <w:r w:rsidRPr="00F72633">
        <w:rPr>
          <w:lang w:val="es-419"/>
        </w:rPr>
        <w:t xml:space="preserve">, </w:t>
      </w:r>
      <w:r w:rsidR="00E13495" w:rsidRPr="00F72633">
        <w:rPr>
          <w:lang w:val="es-419"/>
        </w:rPr>
        <w:t xml:space="preserve">y </w:t>
      </w:r>
      <w:r w:rsidRPr="00F72633">
        <w:rPr>
          <w:lang w:val="es-419"/>
        </w:rPr>
        <w:t xml:space="preserve">en particular </w:t>
      </w:r>
      <w:r w:rsidR="00E13495" w:rsidRPr="00F72633">
        <w:rPr>
          <w:lang w:val="es-419"/>
        </w:rPr>
        <w:t>a</w:t>
      </w:r>
      <w:r w:rsidRPr="00F72633">
        <w:rPr>
          <w:lang w:val="es-419"/>
        </w:rPr>
        <w:t>l aumento del uso de herramientas para la celebración de reuniones virtuales o híbridas, lo que se tradujo en una reducción de los gastos de viaje.</w:t>
      </w:r>
    </w:p>
    <w:p w14:paraId="49F5109D" w14:textId="77777777" w:rsidR="00703E60" w:rsidRPr="00F72633" w:rsidRDefault="00703E60" w:rsidP="000A05E5">
      <w:pPr>
        <w:rPr>
          <w:lang w:val="es-419"/>
        </w:rPr>
      </w:pPr>
    </w:p>
    <w:p w14:paraId="598B21E3" w14:textId="77777777" w:rsidR="00816B4B" w:rsidRPr="00F72633" w:rsidRDefault="00816B4B" w:rsidP="00816B4B">
      <w:pPr>
        <w:rPr>
          <w:lang w:val="es-419"/>
        </w:rPr>
      </w:pPr>
    </w:p>
    <w:p w14:paraId="56173F1B" w14:textId="77777777" w:rsidR="000D20D3" w:rsidRDefault="000D20D3">
      <w:pPr>
        <w:jc w:val="left"/>
        <w:rPr>
          <w:rFonts w:eastAsia="Times New Roman"/>
          <w:b/>
          <w:bCs/>
          <w:iCs/>
          <w:color w:val="155F1A"/>
          <w:sz w:val="28"/>
          <w:szCs w:val="28"/>
          <w:lang w:val="es-419" w:eastAsia="en-US"/>
        </w:rPr>
      </w:pPr>
      <w:bookmarkStart w:id="8" w:name="_Toc143527466"/>
      <w:r>
        <w:rPr>
          <w:lang w:val="es-419"/>
        </w:rPr>
        <w:br w:type="page"/>
      </w:r>
    </w:p>
    <w:p w14:paraId="499FECE9" w14:textId="026E21E7" w:rsidR="003E3C19" w:rsidRPr="00F72633" w:rsidRDefault="00632634" w:rsidP="00C64BD1">
      <w:pPr>
        <w:pStyle w:val="Heading2"/>
        <w:ind w:left="0" w:firstLine="0"/>
        <w:jc w:val="both"/>
        <w:rPr>
          <w:lang w:val="es-419"/>
        </w:rPr>
      </w:pPr>
      <w:r w:rsidRPr="00F72633">
        <w:rPr>
          <w:lang w:val="es-419"/>
        </w:rPr>
        <w:lastRenderedPageBreak/>
        <w:t>Política general sobre protección de las variedades vegetales (</w:t>
      </w:r>
      <w:r w:rsidR="00C91BED" w:rsidRPr="00F72633">
        <w:rPr>
          <w:lang w:val="es-419"/>
        </w:rPr>
        <w:t>S</w:t>
      </w:r>
      <w:r w:rsidRPr="00F72633">
        <w:rPr>
          <w:lang w:val="es-419"/>
        </w:rPr>
        <w:t>ub</w:t>
      </w:r>
      <w:r w:rsidR="003E3C19" w:rsidRPr="00F72633">
        <w:rPr>
          <w:lang w:val="es-419"/>
        </w:rPr>
        <w:t>program</w:t>
      </w:r>
      <w:r w:rsidRPr="00F72633">
        <w:rPr>
          <w:lang w:val="es-419"/>
        </w:rPr>
        <w:t>a</w:t>
      </w:r>
      <w:r w:rsidR="003E3C19" w:rsidRPr="00F72633">
        <w:rPr>
          <w:lang w:val="es-419"/>
        </w:rPr>
        <w:t xml:space="preserve"> UV.1)</w:t>
      </w:r>
      <w:bookmarkEnd w:id="8"/>
    </w:p>
    <w:p w14:paraId="1750929E" w14:textId="085FA54F" w:rsidR="00114036" w:rsidRPr="00F72633" w:rsidRDefault="00B3228C" w:rsidP="00114036">
      <w:pPr>
        <w:pStyle w:val="Heading3"/>
        <w:rPr>
          <w:lang w:val="es-419"/>
        </w:rPr>
      </w:pPr>
      <w:r w:rsidRPr="00F72633">
        <w:rPr>
          <w:lang w:val="es-419"/>
        </w:rPr>
        <w:t>Crecimiento del Sistema de la</w:t>
      </w:r>
      <w:r w:rsidR="00114036" w:rsidRPr="00F72633">
        <w:rPr>
          <w:lang w:val="es-419"/>
        </w:rPr>
        <w:t xml:space="preserve"> UPOV</w:t>
      </w:r>
    </w:p>
    <w:p w14:paraId="0915876D" w14:textId="7E9E2A81" w:rsidR="00D840C5" w:rsidRPr="00F72633" w:rsidRDefault="008B01AA" w:rsidP="007C5346">
      <w:pPr>
        <w:rPr>
          <w:lang w:val="es-419"/>
        </w:rPr>
      </w:pPr>
      <w:r w:rsidRPr="00F72633">
        <w:rPr>
          <w:lang w:val="es-419"/>
        </w:rPr>
        <w:t xml:space="preserve">Los informes de 2022 pusieron de manifiesto que 2021 fue un año récord en lo que respecta a la protección de las obtenciones vegetales, ya que se superaron por primera vez los </w:t>
      </w:r>
      <w:r w:rsidR="00D44E1E" w:rsidRPr="00F72633">
        <w:rPr>
          <w:lang w:val="es-419"/>
        </w:rPr>
        <w:t xml:space="preserve">hitos </w:t>
      </w:r>
      <w:r w:rsidRPr="00F72633">
        <w:rPr>
          <w:lang w:val="es-419"/>
        </w:rPr>
        <w:t>siguientes:</w:t>
      </w:r>
    </w:p>
    <w:p w14:paraId="19F913C7" w14:textId="77777777" w:rsidR="00D840C5" w:rsidRPr="00F72633" w:rsidRDefault="00D840C5" w:rsidP="007C5346">
      <w:pPr>
        <w:rPr>
          <w:lang w:val="es-419"/>
        </w:rPr>
      </w:pPr>
    </w:p>
    <w:p w14:paraId="03786F18" w14:textId="5A001B64" w:rsidR="00D840C5" w:rsidRPr="00F72633" w:rsidRDefault="00874D41" w:rsidP="00F72633">
      <w:pPr>
        <w:pStyle w:val="ListParagraph"/>
        <w:numPr>
          <w:ilvl w:val="0"/>
          <w:numId w:val="38"/>
        </w:numPr>
        <w:tabs>
          <w:tab w:val="left" w:pos="3402"/>
        </w:tabs>
        <w:ind w:left="810" w:hanging="390"/>
        <w:rPr>
          <w:lang w:val="es-419"/>
        </w:rPr>
      </w:pPr>
      <w:r w:rsidRPr="00F72633">
        <w:rPr>
          <w:lang w:val="es-419"/>
        </w:rPr>
        <w:t>25 </w:t>
      </w:r>
      <w:r w:rsidR="00C504DC" w:rsidRPr="00F72633">
        <w:rPr>
          <w:lang w:val="es-419"/>
        </w:rPr>
        <w:t xml:space="preserve">000 </w:t>
      </w:r>
      <w:r w:rsidR="00093907" w:rsidRPr="00F72633">
        <w:rPr>
          <w:lang w:val="es-419"/>
        </w:rPr>
        <w:t>solicitudes</w:t>
      </w:r>
      <w:r w:rsidR="00626C39" w:rsidRPr="00F72633">
        <w:rPr>
          <w:lang w:val="es-419"/>
        </w:rPr>
        <w:tab/>
      </w:r>
      <w:r w:rsidR="00C504DC" w:rsidRPr="00F72633">
        <w:rPr>
          <w:lang w:val="es-419"/>
        </w:rPr>
        <w:t>(</w:t>
      </w:r>
      <w:r w:rsidR="008B01AA" w:rsidRPr="00F72633">
        <w:rPr>
          <w:lang w:val="es-419"/>
        </w:rPr>
        <w:t>aumento del 12</w:t>
      </w:r>
      <w:r w:rsidR="0093607B" w:rsidRPr="00F72633">
        <w:rPr>
          <w:lang w:val="es-419"/>
        </w:rPr>
        <w:t> </w:t>
      </w:r>
      <w:r w:rsidR="008B01AA" w:rsidRPr="00F72633">
        <w:rPr>
          <w:lang w:val="es-419"/>
        </w:rPr>
        <w:t>%</w:t>
      </w:r>
      <w:r w:rsidR="00C504DC" w:rsidRPr="00F72633">
        <w:rPr>
          <w:lang w:val="es-419"/>
        </w:rPr>
        <w:t>)</w:t>
      </w:r>
    </w:p>
    <w:p w14:paraId="3E4AAF3B" w14:textId="4DA300F2" w:rsidR="00C504DC" w:rsidRPr="00F72633" w:rsidRDefault="00874D41" w:rsidP="008B01AA">
      <w:pPr>
        <w:pStyle w:val="ListParagraph"/>
        <w:numPr>
          <w:ilvl w:val="0"/>
          <w:numId w:val="38"/>
        </w:numPr>
        <w:rPr>
          <w:lang w:val="es-419"/>
        </w:rPr>
      </w:pPr>
      <w:r w:rsidRPr="00F72633">
        <w:rPr>
          <w:lang w:val="es-419"/>
        </w:rPr>
        <w:t>15 </w:t>
      </w:r>
      <w:r w:rsidR="00C504DC" w:rsidRPr="00F72633">
        <w:rPr>
          <w:lang w:val="es-419"/>
        </w:rPr>
        <w:t>000</w:t>
      </w:r>
      <w:r w:rsidR="008B01AA" w:rsidRPr="00F72633">
        <w:rPr>
          <w:lang w:val="es-419"/>
        </w:rPr>
        <w:t xml:space="preserve"> títulos concedidos</w:t>
      </w:r>
      <w:r w:rsidR="00C504DC" w:rsidRPr="00F72633">
        <w:rPr>
          <w:lang w:val="es-419"/>
        </w:rPr>
        <w:t xml:space="preserve"> </w:t>
      </w:r>
      <w:r w:rsidR="007B60D6" w:rsidRPr="00F72633">
        <w:rPr>
          <w:lang w:val="es-419"/>
        </w:rPr>
        <w:tab/>
      </w:r>
      <w:r w:rsidR="00C504DC" w:rsidRPr="00F72633">
        <w:rPr>
          <w:lang w:val="es-419"/>
        </w:rPr>
        <w:t>(</w:t>
      </w:r>
      <w:r w:rsidR="008B01AA" w:rsidRPr="00F72633">
        <w:rPr>
          <w:lang w:val="es-419"/>
        </w:rPr>
        <w:t>aumento del</w:t>
      </w:r>
      <w:r w:rsidR="0093607B" w:rsidRPr="00F72633">
        <w:rPr>
          <w:lang w:val="es-419"/>
        </w:rPr>
        <w:t> </w:t>
      </w:r>
      <w:r w:rsidR="00C504DC" w:rsidRPr="00F72633">
        <w:rPr>
          <w:lang w:val="es-419"/>
        </w:rPr>
        <w:t>9</w:t>
      </w:r>
      <w:r w:rsidR="00201141" w:rsidRPr="00F72633">
        <w:rPr>
          <w:lang w:val="es-419"/>
        </w:rPr>
        <w:t> </w:t>
      </w:r>
      <w:r w:rsidR="008B01AA" w:rsidRPr="00F72633">
        <w:rPr>
          <w:lang w:val="es-419"/>
        </w:rPr>
        <w:t>%</w:t>
      </w:r>
      <w:r w:rsidR="00C504DC" w:rsidRPr="00F72633">
        <w:rPr>
          <w:lang w:val="es-419"/>
        </w:rPr>
        <w:t>)</w:t>
      </w:r>
    </w:p>
    <w:p w14:paraId="52313729" w14:textId="3C3EBE74" w:rsidR="00D840C5" w:rsidRPr="00F72633" w:rsidRDefault="00874D41" w:rsidP="008B01AA">
      <w:pPr>
        <w:pStyle w:val="ListParagraph"/>
        <w:numPr>
          <w:ilvl w:val="0"/>
          <w:numId w:val="38"/>
        </w:numPr>
        <w:rPr>
          <w:lang w:val="es-419"/>
        </w:rPr>
      </w:pPr>
      <w:r w:rsidRPr="00F72633">
        <w:rPr>
          <w:lang w:val="es-419"/>
        </w:rPr>
        <w:t>150 </w:t>
      </w:r>
      <w:r w:rsidR="00C504DC" w:rsidRPr="00F72633">
        <w:rPr>
          <w:lang w:val="es-419"/>
        </w:rPr>
        <w:t xml:space="preserve">000 </w:t>
      </w:r>
      <w:r w:rsidR="008B01AA" w:rsidRPr="00F72633">
        <w:rPr>
          <w:lang w:val="es-419"/>
        </w:rPr>
        <w:t>títulos en vigor</w:t>
      </w:r>
      <w:r w:rsidR="00C504DC" w:rsidRPr="00F72633">
        <w:rPr>
          <w:lang w:val="es-419"/>
        </w:rPr>
        <w:t xml:space="preserve"> </w:t>
      </w:r>
      <w:r w:rsidR="007B60D6" w:rsidRPr="00F72633">
        <w:rPr>
          <w:lang w:val="es-419"/>
        </w:rPr>
        <w:tab/>
      </w:r>
      <w:r w:rsidR="00C504DC" w:rsidRPr="00F72633">
        <w:rPr>
          <w:lang w:val="es-419"/>
        </w:rPr>
        <w:t>(</w:t>
      </w:r>
      <w:r w:rsidR="0093607B" w:rsidRPr="00F72633">
        <w:rPr>
          <w:lang w:val="es-419"/>
        </w:rPr>
        <w:t>aumento del </w:t>
      </w:r>
      <w:r w:rsidR="008B01AA" w:rsidRPr="00F72633">
        <w:rPr>
          <w:lang w:val="es-419"/>
        </w:rPr>
        <w:t>9</w:t>
      </w:r>
      <w:r w:rsidR="00201141" w:rsidRPr="00F72633">
        <w:rPr>
          <w:lang w:val="es-419"/>
        </w:rPr>
        <w:t> </w:t>
      </w:r>
      <w:r w:rsidR="008B01AA" w:rsidRPr="00F72633">
        <w:rPr>
          <w:lang w:val="es-419"/>
        </w:rPr>
        <w:t>%</w:t>
      </w:r>
      <w:r w:rsidR="00C504DC" w:rsidRPr="00F72633">
        <w:rPr>
          <w:lang w:val="es-419"/>
        </w:rPr>
        <w:t>)</w:t>
      </w:r>
    </w:p>
    <w:p w14:paraId="451DF9BC" w14:textId="77777777" w:rsidR="00C504DC" w:rsidRPr="00F72633" w:rsidRDefault="00C504DC" w:rsidP="00C504DC">
      <w:pPr>
        <w:rPr>
          <w:lang w:val="es-419"/>
        </w:rPr>
      </w:pPr>
    </w:p>
    <w:p w14:paraId="2A0272F8" w14:textId="77C12920" w:rsidR="007B60D6" w:rsidRPr="00F72633" w:rsidRDefault="00093907" w:rsidP="007B60D6">
      <w:pPr>
        <w:rPr>
          <w:lang w:val="es-419"/>
        </w:rPr>
      </w:pPr>
      <w:r w:rsidRPr="00F72633">
        <w:rPr>
          <w:lang w:val="es-419"/>
        </w:rPr>
        <w:t>Más del 56</w:t>
      </w:r>
      <w:r w:rsidR="0093607B" w:rsidRPr="00F72633">
        <w:rPr>
          <w:lang w:val="es-419"/>
        </w:rPr>
        <w:t> </w:t>
      </w:r>
      <w:r w:rsidR="00874D41" w:rsidRPr="00F72633">
        <w:rPr>
          <w:lang w:val="es-419"/>
        </w:rPr>
        <w:t>% (187 190) de los 331 </w:t>
      </w:r>
      <w:r w:rsidRPr="00F72633">
        <w:rPr>
          <w:lang w:val="es-419"/>
        </w:rPr>
        <w:t>078 títulos concedidos con arreglo al sistema de la UPOV ya no están en vigor, lo que significa que las variedades en cuestión se encuentran disponibles sin restricciones en los territorios correspondientes.</w:t>
      </w:r>
    </w:p>
    <w:p w14:paraId="4853B7F2" w14:textId="77777777" w:rsidR="00384C8A" w:rsidRPr="00F72633" w:rsidRDefault="00384C8A" w:rsidP="007B60D6">
      <w:pPr>
        <w:rPr>
          <w:lang w:val="es-419"/>
        </w:rPr>
      </w:pPr>
    </w:p>
    <w:p w14:paraId="3B016D7C" w14:textId="3A39DF11" w:rsidR="00F9364A" w:rsidRPr="00F72633" w:rsidRDefault="00B745EC" w:rsidP="00AF3F69">
      <w:pPr>
        <w:pStyle w:val="Caption"/>
        <w:rPr>
          <w:lang w:val="es-419"/>
        </w:rPr>
      </w:pPr>
      <w:r w:rsidRPr="00F72633">
        <w:rPr>
          <w:lang w:val="es-419"/>
        </w:rPr>
        <w:t>Figur</w:t>
      </w:r>
      <w:r w:rsidR="00093907" w:rsidRPr="00F72633">
        <w:rPr>
          <w:lang w:val="es-419"/>
        </w:rPr>
        <w:t>a</w:t>
      </w:r>
      <w:r w:rsidR="00286329" w:rsidRPr="00F72633">
        <w:rPr>
          <w:lang w:val="es-419"/>
        </w:rPr>
        <w:t xml:space="preserve"> 2. </w:t>
      </w:r>
      <w:r w:rsidRPr="00F72633">
        <w:rPr>
          <w:lang w:val="es-419"/>
        </w:rPr>
        <w:t xml:space="preserve">Total </w:t>
      </w:r>
      <w:r w:rsidR="000B1759" w:rsidRPr="00F72633">
        <w:rPr>
          <w:lang w:val="es-419"/>
        </w:rPr>
        <w:t>de solicitudes presentadas</w:t>
      </w:r>
      <w:r w:rsidRPr="00F72633">
        <w:rPr>
          <w:lang w:val="es-419"/>
        </w:rPr>
        <w:t>, t</w:t>
      </w:r>
      <w:r w:rsidR="000B1759" w:rsidRPr="00F72633">
        <w:rPr>
          <w:lang w:val="es-419"/>
        </w:rPr>
        <w:t>ítulos otorgados</w:t>
      </w:r>
      <w:r w:rsidRPr="00F72633">
        <w:rPr>
          <w:lang w:val="es-419"/>
        </w:rPr>
        <w:t xml:space="preserve"> </w:t>
      </w:r>
      <w:r w:rsidR="000B1759" w:rsidRPr="00F72633">
        <w:rPr>
          <w:lang w:val="es-419"/>
        </w:rPr>
        <w:t>y títulos en vigor</w:t>
      </w:r>
    </w:p>
    <w:p w14:paraId="05CA4F04" w14:textId="561AF5EA" w:rsidR="001F7D4F" w:rsidRPr="00F72633" w:rsidRDefault="001F7D4F" w:rsidP="001F7D4F">
      <w:pPr>
        <w:jc w:val="center"/>
        <w:rPr>
          <w:lang w:val="es-419"/>
        </w:rPr>
      </w:pPr>
      <w:r w:rsidRPr="00F72633">
        <w:rPr>
          <w:noProof/>
          <w:lang w:eastAsia="en-US"/>
        </w:rPr>
        <w:drawing>
          <wp:inline distT="0" distB="0" distL="0" distR="0" wp14:anchorId="4C63DD6C" wp14:editId="2ED45979">
            <wp:extent cx="3554655" cy="2607420"/>
            <wp:effectExtent l="0" t="0" r="825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1811" cy="2620004"/>
                    </a:xfrm>
                    <a:prstGeom prst="rect">
                      <a:avLst/>
                    </a:prstGeom>
                    <a:noFill/>
                    <a:ln>
                      <a:noFill/>
                    </a:ln>
                  </pic:spPr>
                </pic:pic>
              </a:graphicData>
            </a:graphic>
          </wp:inline>
        </w:drawing>
      </w:r>
    </w:p>
    <w:p w14:paraId="574A380D" w14:textId="3D20118C" w:rsidR="007C5346" w:rsidRPr="00F72633" w:rsidRDefault="00890B27" w:rsidP="00066D8F">
      <w:pPr>
        <w:autoSpaceDE w:val="0"/>
        <w:autoSpaceDN w:val="0"/>
        <w:adjustRightInd w:val="0"/>
        <w:spacing w:before="120" w:after="120"/>
        <w:rPr>
          <w:lang w:val="es-419"/>
        </w:rPr>
      </w:pPr>
      <w:r w:rsidRPr="00F72633">
        <w:rPr>
          <w:lang w:val="es-419"/>
        </w:rPr>
        <w:t>En la figura 3 se muestra que el aumento reciente del número de solicitudes y títulos concedidos se debe al gran crecimiento registrado en la región asiática, especialmente en China, que representó el 42</w:t>
      </w:r>
      <w:r w:rsidR="0093607B" w:rsidRPr="00F72633">
        <w:rPr>
          <w:lang w:val="es-419"/>
        </w:rPr>
        <w:t> </w:t>
      </w:r>
      <w:r w:rsidRPr="00F72633">
        <w:rPr>
          <w:lang w:val="es-419"/>
        </w:rPr>
        <w:t xml:space="preserve">% de las solicitudes de los miembros de la UPOV en 2021. </w:t>
      </w:r>
      <w:r w:rsidR="00D16324">
        <w:rPr>
          <w:lang w:val="es-419"/>
        </w:rPr>
        <w:t xml:space="preserve"> </w:t>
      </w:r>
      <w:r w:rsidRPr="00F72633">
        <w:rPr>
          <w:lang w:val="es-419"/>
        </w:rPr>
        <w:t>Las figuras 4 y 5 muestran asimismo que el aumento del número de solicitudes y títulos concedidos se debe principalmente al incremento del número de solicitudes presentadas por residentes.</w:t>
      </w:r>
    </w:p>
    <w:tbl>
      <w:tblPr>
        <w:tblW w:w="10556" w:type="dxa"/>
        <w:jc w:val="center"/>
        <w:tblLayout w:type="fixed"/>
        <w:tblCellMar>
          <w:left w:w="57" w:type="dxa"/>
          <w:right w:w="57" w:type="dxa"/>
        </w:tblCellMar>
        <w:tblLook w:val="0000" w:firstRow="0" w:lastRow="0" w:firstColumn="0" w:lastColumn="0" w:noHBand="0" w:noVBand="0"/>
      </w:tblPr>
      <w:tblGrid>
        <w:gridCol w:w="10556"/>
      </w:tblGrid>
      <w:tr w:rsidR="007C5346" w:rsidRPr="00F72633" w14:paraId="1E1CE57A" w14:textId="77777777" w:rsidTr="000D20D3">
        <w:trPr>
          <w:jc w:val="center"/>
        </w:trPr>
        <w:tc>
          <w:tcPr>
            <w:tcW w:w="10556" w:type="dxa"/>
            <w:tcMar>
              <w:left w:w="28" w:type="dxa"/>
              <w:right w:w="28" w:type="dxa"/>
            </w:tcMar>
          </w:tcPr>
          <w:p w14:paraId="3F76ADD4" w14:textId="5B732874" w:rsidR="00B745EC" w:rsidRPr="00F72633" w:rsidRDefault="007C5346" w:rsidP="00AF3F69">
            <w:pPr>
              <w:pStyle w:val="Caption"/>
              <w:rPr>
                <w:lang w:val="es-419"/>
              </w:rPr>
            </w:pPr>
            <w:r w:rsidRPr="00F72633">
              <w:rPr>
                <w:lang w:val="es-419"/>
              </w:rPr>
              <w:t>Figur</w:t>
            </w:r>
            <w:r w:rsidR="00FA1942" w:rsidRPr="00F72633">
              <w:rPr>
                <w:lang w:val="es-419"/>
              </w:rPr>
              <w:t>a</w:t>
            </w:r>
            <w:r w:rsidRPr="00F72633">
              <w:rPr>
                <w:lang w:val="es-419"/>
              </w:rPr>
              <w:t xml:space="preserve"> </w:t>
            </w:r>
            <w:r w:rsidR="00B745EC" w:rsidRPr="00F72633">
              <w:rPr>
                <w:lang w:val="es-419"/>
              </w:rPr>
              <w:t>3</w:t>
            </w:r>
            <w:r w:rsidR="00CC0311" w:rsidRPr="00F72633">
              <w:rPr>
                <w:lang w:val="es-419"/>
              </w:rPr>
              <w:t xml:space="preserve">. </w:t>
            </w:r>
            <w:r w:rsidR="00FA1942" w:rsidRPr="00F72633">
              <w:rPr>
                <w:lang w:val="es-419"/>
              </w:rPr>
              <w:t>Solicitudes de derechos de obtentor</w:t>
            </w:r>
            <w:r w:rsidR="00B745EC" w:rsidRPr="00F72633">
              <w:rPr>
                <w:lang w:val="es-419"/>
              </w:rPr>
              <w:t xml:space="preserve"> </w:t>
            </w:r>
            <w:r w:rsidR="00FA1942" w:rsidRPr="00F72633">
              <w:rPr>
                <w:lang w:val="es-419"/>
              </w:rPr>
              <w:t xml:space="preserve">por </w:t>
            </w:r>
            <w:r w:rsidR="00B745EC" w:rsidRPr="00F72633">
              <w:rPr>
                <w:lang w:val="es-419"/>
              </w:rPr>
              <w:t>regi</w:t>
            </w:r>
            <w:r w:rsidR="00FA1942" w:rsidRPr="00F72633">
              <w:rPr>
                <w:lang w:val="es-419"/>
              </w:rPr>
              <w:t>ó</w:t>
            </w:r>
            <w:r w:rsidR="00B745EC" w:rsidRPr="00F72633">
              <w:rPr>
                <w:lang w:val="es-419"/>
              </w:rPr>
              <w:t>n</w:t>
            </w:r>
          </w:p>
          <w:p w14:paraId="46F773A9" w14:textId="0FE6C6C3" w:rsidR="007C5346" w:rsidRPr="00F72633" w:rsidRDefault="00D16324" w:rsidP="000D20D3">
            <w:pPr>
              <w:jc w:val="center"/>
              <w:rPr>
                <w:lang w:val="es-419"/>
              </w:rPr>
            </w:pPr>
            <w:r w:rsidRPr="00D16324">
              <w:rPr>
                <w:noProof/>
                <w:lang w:eastAsia="en-US"/>
              </w:rPr>
              <w:drawing>
                <wp:inline distT="0" distB="0" distL="0" distR="0" wp14:anchorId="6516CCF0" wp14:editId="704005D0">
                  <wp:extent cx="3715200" cy="2466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5200" cy="2466000"/>
                          </a:xfrm>
                          <a:prstGeom prst="rect">
                            <a:avLst/>
                          </a:prstGeom>
                          <a:noFill/>
                          <a:ln>
                            <a:noFill/>
                          </a:ln>
                        </pic:spPr>
                      </pic:pic>
                    </a:graphicData>
                  </a:graphic>
                </wp:inline>
              </w:drawing>
            </w:r>
          </w:p>
        </w:tc>
      </w:tr>
    </w:tbl>
    <w:p w14:paraId="09070E2B" w14:textId="77777777" w:rsidR="00F72633" w:rsidRPr="00F72633" w:rsidRDefault="00F72633">
      <w:pPr>
        <w:rPr>
          <w:lang w:val="es-419"/>
        </w:rPr>
      </w:pPr>
      <w:r w:rsidRPr="00F72633">
        <w:rPr>
          <w:bCs/>
          <w:lang w:val="es-419"/>
        </w:rPr>
        <w:br w:type="page"/>
      </w:r>
    </w:p>
    <w:tbl>
      <w:tblPr>
        <w:tblW w:w="10556" w:type="dxa"/>
        <w:jc w:val="center"/>
        <w:tblLayout w:type="fixed"/>
        <w:tblCellMar>
          <w:left w:w="57" w:type="dxa"/>
          <w:right w:w="57" w:type="dxa"/>
        </w:tblCellMar>
        <w:tblLook w:val="0000" w:firstRow="0" w:lastRow="0" w:firstColumn="0" w:lastColumn="0" w:noHBand="0" w:noVBand="0"/>
      </w:tblPr>
      <w:tblGrid>
        <w:gridCol w:w="5278"/>
        <w:gridCol w:w="5278"/>
      </w:tblGrid>
      <w:tr w:rsidR="00770FBE" w:rsidRPr="00F72633" w14:paraId="079CA3FD" w14:textId="77777777" w:rsidTr="002C67C9">
        <w:trPr>
          <w:trHeight w:val="3231"/>
          <w:jc w:val="center"/>
        </w:trPr>
        <w:tc>
          <w:tcPr>
            <w:tcW w:w="5278" w:type="dxa"/>
            <w:tcMar>
              <w:left w:w="28" w:type="dxa"/>
              <w:right w:w="28" w:type="dxa"/>
            </w:tcMar>
          </w:tcPr>
          <w:p w14:paraId="559C2CF2" w14:textId="1ED60FEA" w:rsidR="000D6F86" w:rsidRPr="00F72633" w:rsidRDefault="00770FBE" w:rsidP="00AF3F69">
            <w:pPr>
              <w:pStyle w:val="Caption"/>
              <w:rPr>
                <w:lang w:val="es-419"/>
              </w:rPr>
            </w:pPr>
            <w:r w:rsidRPr="00F72633">
              <w:rPr>
                <w:lang w:val="es-419"/>
              </w:rPr>
              <w:lastRenderedPageBreak/>
              <w:t>Figur</w:t>
            </w:r>
            <w:r w:rsidR="001F62BD" w:rsidRPr="00F72633">
              <w:rPr>
                <w:lang w:val="es-419"/>
              </w:rPr>
              <w:t>a</w:t>
            </w:r>
            <w:r w:rsidRPr="00F72633">
              <w:rPr>
                <w:lang w:val="es-419"/>
              </w:rPr>
              <w:t xml:space="preserve"> </w:t>
            </w:r>
            <w:r w:rsidR="00B745EC" w:rsidRPr="00F72633">
              <w:rPr>
                <w:lang w:val="es-419"/>
              </w:rPr>
              <w:t>4</w:t>
            </w:r>
            <w:r w:rsidR="00CC0311" w:rsidRPr="00F72633">
              <w:rPr>
                <w:lang w:val="es-419"/>
              </w:rPr>
              <w:t xml:space="preserve">. </w:t>
            </w:r>
            <w:r w:rsidR="001F62BD" w:rsidRPr="00F72633">
              <w:rPr>
                <w:lang w:val="es-419"/>
              </w:rPr>
              <w:t xml:space="preserve">Solicitudes de derechos de obtentor </w:t>
            </w:r>
            <w:r w:rsidR="00775977">
              <w:rPr>
                <w:lang w:val="es-419"/>
              </w:rPr>
              <w:br/>
            </w:r>
            <w:r w:rsidR="001F62BD" w:rsidRPr="00F72633">
              <w:rPr>
                <w:lang w:val="es-419"/>
              </w:rPr>
              <w:t>por residentes/no residentes</w:t>
            </w:r>
          </w:p>
          <w:p w14:paraId="2F157D3C" w14:textId="14304464" w:rsidR="00CC0311" w:rsidRPr="00F72633" w:rsidRDefault="00CC0311" w:rsidP="00CC0311">
            <w:pPr>
              <w:jc w:val="center"/>
              <w:rPr>
                <w:lang w:val="es-419"/>
              </w:rPr>
            </w:pPr>
            <w:r w:rsidRPr="00F72633">
              <w:rPr>
                <w:noProof/>
                <w:lang w:eastAsia="en-US"/>
              </w:rPr>
              <w:drawing>
                <wp:inline distT="0" distB="0" distL="0" distR="0" wp14:anchorId="1D0CEED4" wp14:editId="354767C6">
                  <wp:extent cx="3320424" cy="23325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20424" cy="2332566"/>
                          </a:xfrm>
                          <a:prstGeom prst="rect">
                            <a:avLst/>
                          </a:prstGeom>
                          <a:noFill/>
                          <a:ln>
                            <a:noFill/>
                          </a:ln>
                        </pic:spPr>
                      </pic:pic>
                    </a:graphicData>
                  </a:graphic>
                </wp:inline>
              </w:drawing>
            </w:r>
          </w:p>
          <w:p w14:paraId="63751F85" w14:textId="2823985F" w:rsidR="00770FBE" w:rsidRPr="00F72633" w:rsidRDefault="00770FBE" w:rsidP="00AF3F69">
            <w:pPr>
              <w:pStyle w:val="Caption"/>
              <w:rPr>
                <w:lang w:val="es-419"/>
              </w:rPr>
            </w:pPr>
          </w:p>
        </w:tc>
        <w:tc>
          <w:tcPr>
            <w:tcW w:w="5278" w:type="dxa"/>
            <w:tcMar>
              <w:left w:w="28" w:type="dxa"/>
              <w:right w:w="28" w:type="dxa"/>
            </w:tcMar>
          </w:tcPr>
          <w:p w14:paraId="3CEAAF1D" w14:textId="1E82597D" w:rsidR="00CC0311" w:rsidRPr="00F72633" w:rsidRDefault="00770FBE" w:rsidP="00CC0311">
            <w:pPr>
              <w:pStyle w:val="Caption"/>
              <w:rPr>
                <w:lang w:val="es-419"/>
              </w:rPr>
            </w:pPr>
            <w:r w:rsidRPr="00F72633">
              <w:rPr>
                <w:lang w:val="es-419"/>
              </w:rPr>
              <w:t>Figur</w:t>
            </w:r>
            <w:r w:rsidR="001F62BD" w:rsidRPr="00F72633">
              <w:rPr>
                <w:lang w:val="es-419"/>
              </w:rPr>
              <w:t>a</w:t>
            </w:r>
            <w:r w:rsidRPr="00F72633">
              <w:rPr>
                <w:lang w:val="es-419"/>
              </w:rPr>
              <w:t xml:space="preserve"> </w:t>
            </w:r>
            <w:r w:rsidR="00B745EC" w:rsidRPr="00F72633">
              <w:rPr>
                <w:lang w:val="es-419"/>
              </w:rPr>
              <w:t>5</w:t>
            </w:r>
            <w:r w:rsidR="00CC0311" w:rsidRPr="00F72633">
              <w:rPr>
                <w:lang w:val="es-419"/>
              </w:rPr>
              <w:t xml:space="preserve">. </w:t>
            </w:r>
            <w:r w:rsidR="0070748B" w:rsidRPr="00F72633">
              <w:rPr>
                <w:lang w:val="es-419"/>
              </w:rPr>
              <w:t xml:space="preserve">Títulos de derechos de obtentor concedidos </w:t>
            </w:r>
            <w:r w:rsidR="00775977">
              <w:rPr>
                <w:lang w:val="es-419"/>
              </w:rPr>
              <w:br/>
            </w:r>
            <w:r w:rsidR="0070748B" w:rsidRPr="00F72633">
              <w:rPr>
                <w:lang w:val="es-419"/>
              </w:rPr>
              <w:t>a residentes/no residentes</w:t>
            </w:r>
          </w:p>
          <w:p w14:paraId="5E4409B8" w14:textId="565A13D3" w:rsidR="00CC0311" w:rsidRPr="00F72633" w:rsidRDefault="00CC0311" w:rsidP="00CC0311">
            <w:pPr>
              <w:rPr>
                <w:lang w:val="es-419"/>
              </w:rPr>
            </w:pPr>
            <w:r w:rsidRPr="00F72633">
              <w:rPr>
                <w:noProof/>
                <w:lang w:eastAsia="en-US"/>
              </w:rPr>
              <w:drawing>
                <wp:inline distT="0" distB="0" distL="0" distR="0" wp14:anchorId="6B1938D8" wp14:editId="4CA6D39F">
                  <wp:extent cx="3250274" cy="2349288"/>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4734" cy="2352512"/>
                          </a:xfrm>
                          <a:prstGeom prst="rect">
                            <a:avLst/>
                          </a:prstGeom>
                          <a:noFill/>
                          <a:ln>
                            <a:noFill/>
                          </a:ln>
                        </pic:spPr>
                      </pic:pic>
                    </a:graphicData>
                  </a:graphic>
                </wp:inline>
              </w:drawing>
            </w:r>
          </w:p>
          <w:p w14:paraId="07F61BFE" w14:textId="2F711CC5" w:rsidR="00770FBE" w:rsidRPr="00F72633" w:rsidRDefault="00770FBE" w:rsidP="00770FBE">
            <w:pPr>
              <w:spacing w:line="360" w:lineRule="auto"/>
              <w:ind w:left="-57"/>
              <w:jc w:val="center"/>
              <w:rPr>
                <w:color w:val="008080"/>
                <w:sz w:val="18"/>
                <w:szCs w:val="18"/>
                <w:lang w:val="es-419"/>
              </w:rPr>
            </w:pPr>
          </w:p>
        </w:tc>
      </w:tr>
    </w:tbl>
    <w:p w14:paraId="1F4BC3AE" w14:textId="77777777" w:rsidR="007C5346" w:rsidRPr="00F72633" w:rsidRDefault="007C5346" w:rsidP="007C5346">
      <w:pPr>
        <w:autoSpaceDE w:val="0"/>
        <w:autoSpaceDN w:val="0"/>
        <w:adjustRightInd w:val="0"/>
        <w:rPr>
          <w:lang w:val="es-419"/>
        </w:rPr>
      </w:pPr>
    </w:p>
    <w:p w14:paraId="389EA87A" w14:textId="16183687" w:rsidR="008C37A1" w:rsidRPr="00F72633" w:rsidRDefault="00197188" w:rsidP="007C5346">
      <w:pPr>
        <w:rPr>
          <w:lang w:val="es-419"/>
        </w:rPr>
      </w:pPr>
      <w:r w:rsidRPr="00F72633">
        <w:rPr>
          <w:lang w:val="es-419"/>
        </w:rPr>
        <w:t>El análisis por tipo de cultivo</w:t>
      </w:r>
      <w:r w:rsidRPr="00F72633">
        <w:rPr>
          <w:rStyle w:val="FootnoteReference"/>
          <w:lang w:val="es-419"/>
        </w:rPr>
        <w:footnoteReference w:id="2"/>
      </w:r>
      <w:r w:rsidRPr="00F72633">
        <w:rPr>
          <w:lang w:val="es-419"/>
        </w:rPr>
        <w:t xml:space="preserve"> indica que el porcentaje de solicitudes y títulos concedidos para cultivos agrícolas ha aumentado considerablemente en los últimos diez años, mientras que el de cultivos ornamentales ha experimentado un descenso notable. </w:t>
      </w:r>
      <w:r w:rsidR="00256943">
        <w:rPr>
          <w:lang w:val="es-419"/>
        </w:rPr>
        <w:t xml:space="preserve"> </w:t>
      </w:r>
      <w:r w:rsidRPr="00F72633">
        <w:rPr>
          <w:lang w:val="es-419"/>
        </w:rPr>
        <w:t>En 2012 casi la mitad de las solicitudes y títulos concedidos fueron para cultivos ornamentales, pero en 2022 dicha cuota fue inferior a un tercio:</w:t>
      </w:r>
    </w:p>
    <w:p w14:paraId="39B227FD" w14:textId="77777777" w:rsidR="008C37A1" w:rsidRPr="00F72633" w:rsidRDefault="008C37A1" w:rsidP="007C5346">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728B4" w:rsidRPr="00F72633" w14:paraId="215D8EFC" w14:textId="77777777" w:rsidTr="009728B4">
        <w:tc>
          <w:tcPr>
            <w:tcW w:w="4819" w:type="dxa"/>
          </w:tcPr>
          <w:p w14:paraId="02B4DC52" w14:textId="05E35A56" w:rsidR="009728B4" w:rsidRPr="00F72633" w:rsidRDefault="00F350FC" w:rsidP="009728B4">
            <w:pPr>
              <w:keepNext/>
              <w:jc w:val="center"/>
              <w:rPr>
                <w:rFonts w:ascii="Arial Narrow" w:hAnsi="Arial Narrow"/>
                <w:i/>
                <w:sz w:val="18"/>
                <w:szCs w:val="18"/>
                <w:lang w:val="es-419" w:eastAsia="ja-JP"/>
              </w:rPr>
            </w:pPr>
            <w:r w:rsidRPr="00F72633">
              <w:rPr>
                <w:rFonts w:ascii="Arial Narrow" w:hAnsi="Arial Narrow"/>
                <w:i/>
                <w:snapToGrid w:val="0"/>
                <w:sz w:val="18"/>
                <w:szCs w:val="18"/>
                <w:lang w:val="es-419" w:eastAsia="ja-JP"/>
              </w:rPr>
              <w:t>Solicitudes presentadas por tipo de cultivo</w:t>
            </w:r>
          </w:p>
          <w:p w14:paraId="6F74ED3C" w14:textId="77777777" w:rsidR="009728B4" w:rsidRPr="00F72633" w:rsidRDefault="009728B4" w:rsidP="009728B4">
            <w:pPr>
              <w:keepNext/>
              <w:jc w:val="center"/>
              <w:rPr>
                <w:rFonts w:ascii="Arial Narrow" w:hAnsi="Arial Narrow"/>
                <w:sz w:val="18"/>
                <w:szCs w:val="18"/>
                <w:lang w:val="es-419"/>
              </w:rPr>
            </w:pPr>
          </w:p>
          <w:tbl>
            <w:tblPr>
              <w:tblW w:w="4057"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02"/>
              <w:gridCol w:w="717"/>
              <w:gridCol w:w="777"/>
              <w:gridCol w:w="530"/>
              <w:gridCol w:w="881"/>
              <w:gridCol w:w="750"/>
            </w:tblGrid>
            <w:tr w:rsidR="009728B4" w:rsidRPr="00F72633" w14:paraId="7EFDFD0B"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73BE0085" w14:textId="77777777" w:rsidR="009728B4" w:rsidRPr="00F72633" w:rsidRDefault="009728B4" w:rsidP="009728B4">
                  <w:pPr>
                    <w:jc w:val="left"/>
                    <w:rPr>
                      <w:rFonts w:ascii="Arial Narrow" w:hAnsi="Arial Narrow"/>
                      <w:snapToGrid w:val="0"/>
                      <w:sz w:val="16"/>
                      <w:szCs w:val="18"/>
                      <w:lang w:val="es-419" w:eastAsia="ja-JP"/>
                    </w:rPr>
                  </w:pPr>
                </w:p>
              </w:tc>
              <w:tc>
                <w:tcPr>
                  <w:tcW w:w="3636" w:type="dxa"/>
                  <w:gridSpan w:val="5"/>
                  <w:tcBorders>
                    <w:top w:val="nil"/>
                    <w:left w:val="nil"/>
                    <w:bottom w:val="nil"/>
                    <w:right w:val="nil"/>
                  </w:tcBorders>
                  <w:shd w:val="clear" w:color="auto" w:fill="D6F4D6" w:themeFill="accent2" w:themeFillTint="33"/>
                  <w:vAlign w:val="bottom"/>
                </w:tcPr>
                <w:p w14:paraId="5B26EA79" w14:textId="47229819"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Tipo de cultivo</w:t>
                  </w:r>
                </w:p>
              </w:tc>
            </w:tr>
            <w:tr w:rsidR="009728B4" w:rsidRPr="00F72633" w14:paraId="501EE926"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70E18E12" w14:textId="137F32C8" w:rsidR="009728B4" w:rsidRPr="00F72633" w:rsidRDefault="00F350FC" w:rsidP="009728B4">
                  <w:pPr>
                    <w:jc w:val="left"/>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Año</w:t>
                  </w:r>
                </w:p>
              </w:tc>
              <w:tc>
                <w:tcPr>
                  <w:tcW w:w="757" w:type="dxa"/>
                  <w:tcBorders>
                    <w:top w:val="nil"/>
                    <w:left w:val="nil"/>
                    <w:bottom w:val="nil"/>
                    <w:right w:val="nil"/>
                  </w:tcBorders>
                  <w:shd w:val="clear" w:color="auto" w:fill="D6F4D6" w:themeFill="accent2" w:themeFillTint="33"/>
                  <w:vAlign w:val="bottom"/>
                </w:tcPr>
                <w:p w14:paraId="18144B24" w14:textId="4D5F2734"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Agrícolas</w:t>
                  </w:r>
                </w:p>
              </w:tc>
              <w:tc>
                <w:tcPr>
                  <w:tcW w:w="830" w:type="dxa"/>
                  <w:tcBorders>
                    <w:top w:val="nil"/>
                    <w:left w:val="nil"/>
                    <w:bottom w:val="nil"/>
                    <w:right w:val="nil"/>
                  </w:tcBorders>
                  <w:shd w:val="clear" w:color="auto" w:fill="D6F4D6" w:themeFill="accent2" w:themeFillTint="33"/>
                  <w:vAlign w:val="bottom"/>
                </w:tcPr>
                <w:p w14:paraId="5D936EA1" w14:textId="0CA49A8F"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Árboles forestales</w:t>
                  </w:r>
                </w:p>
              </w:tc>
              <w:tc>
                <w:tcPr>
                  <w:tcW w:w="392" w:type="dxa"/>
                  <w:tcBorders>
                    <w:top w:val="nil"/>
                    <w:left w:val="nil"/>
                    <w:bottom w:val="nil"/>
                    <w:right w:val="nil"/>
                  </w:tcBorders>
                  <w:shd w:val="clear" w:color="auto" w:fill="D6F4D6" w:themeFill="accent2" w:themeFillTint="33"/>
                  <w:vAlign w:val="bottom"/>
                </w:tcPr>
                <w:p w14:paraId="7C080C6C" w14:textId="5FC8DEBD"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Frutales</w:t>
                  </w:r>
                </w:p>
              </w:tc>
              <w:tc>
                <w:tcPr>
                  <w:tcW w:w="871" w:type="dxa"/>
                  <w:tcBorders>
                    <w:top w:val="nil"/>
                    <w:left w:val="nil"/>
                    <w:bottom w:val="nil"/>
                    <w:right w:val="nil"/>
                  </w:tcBorders>
                  <w:shd w:val="clear" w:color="auto" w:fill="D6F4D6" w:themeFill="accent2" w:themeFillTint="33"/>
                  <w:vAlign w:val="bottom"/>
                </w:tcPr>
                <w:p w14:paraId="5BD187B0" w14:textId="7A68FBB1"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Ornamentales</w:t>
                  </w:r>
                </w:p>
              </w:tc>
              <w:tc>
                <w:tcPr>
                  <w:tcW w:w="786" w:type="dxa"/>
                  <w:tcBorders>
                    <w:top w:val="nil"/>
                    <w:left w:val="nil"/>
                    <w:bottom w:val="nil"/>
                    <w:right w:val="nil"/>
                  </w:tcBorders>
                  <w:shd w:val="clear" w:color="auto" w:fill="D6F4D6" w:themeFill="accent2" w:themeFillTint="33"/>
                  <w:vAlign w:val="bottom"/>
                </w:tcPr>
                <w:p w14:paraId="104F5FE7" w14:textId="3962041C"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Hortícolas</w:t>
                  </w:r>
                </w:p>
              </w:tc>
            </w:tr>
            <w:tr w:rsidR="009728B4" w:rsidRPr="00F72633" w14:paraId="0778E065" w14:textId="77777777" w:rsidTr="009728B4">
              <w:trPr>
                <w:cantSplit/>
                <w:jc w:val="center"/>
              </w:trPr>
              <w:tc>
                <w:tcPr>
                  <w:tcW w:w="421" w:type="dxa"/>
                  <w:tcBorders>
                    <w:top w:val="nil"/>
                    <w:left w:val="nil"/>
                    <w:bottom w:val="single" w:sz="8" w:space="0" w:color="D9D9D9" w:themeColor="background1" w:themeShade="D9"/>
                    <w:right w:val="nil"/>
                  </w:tcBorders>
                  <w:shd w:val="clear" w:color="auto" w:fill="auto"/>
                </w:tcPr>
                <w:p w14:paraId="4CE3348A" w14:textId="77777777" w:rsidR="009728B4" w:rsidRPr="00F72633" w:rsidRDefault="009728B4" w:rsidP="009728B4">
                  <w:pPr>
                    <w:jc w:val="left"/>
                    <w:rPr>
                      <w:rFonts w:ascii="Arial Narrow" w:hAnsi="Arial Narrow"/>
                      <w:snapToGrid w:val="0"/>
                      <w:sz w:val="16"/>
                      <w:lang w:val="es-419" w:eastAsia="ja-JP"/>
                    </w:rPr>
                  </w:pPr>
                  <w:r w:rsidRPr="00F72633">
                    <w:rPr>
                      <w:rFonts w:ascii="Arial Narrow" w:hAnsi="Arial Narrow"/>
                      <w:snapToGrid w:val="0"/>
                      <w:sz w:val="16"/>
                      <w:lang w:val="es-419" w:eastAsia="ja-JP"/>
                    </w:rPr>
                    <w:t>2012</w:t>
                  </w:r>
                </w:p>
              </w:tc>
              <w:tc>
                <w:tcPr>
                  <w:tcW w:w="757" w:type="dxa"/>
                  <w:tcBorders>
                    <w:top w:val="nil"/>
                    <w:left w:val="nil"/>
                    <w:bottom w:val="single" w:sz="8" w:space="0" w:color="D9D9D9" w:themeColor="background1" w:themeShade="D9"/>
                    <w:right w:val="nil"/>
                  </w:tcBorders>
                </w:tcPr>
                <w:p w14:paraId="436374E3" w14:textId="77991E1C"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27</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830" w:type="dxa"/>
                  <w:tcBorders>
                    <w:top w:val="nil"/>
                    <w:left w:val="nil"/>
                    <w:bottom w:val="single" w:sz="8" w:space="0" w:color="D9D9D9" w:themeColor="background1" w:themeShade="D9"/>
                    <w:right w:val="nil"/>
                  </w:tcBorders>
                </w:tcPr>
                <w:p w14:paraId="598811BD" w14:textId="49886161" w:rsidR="009728B4" w:rsidRPr="00F72633" w:rsidRDefault="009728B4" w:rsidP="00F350FC">
                  <w:pPr>
                    <w:jc w:val="center"/>
                    <w:rPr>
                      <w:rFonts w:ascii="Arial Narrow" w:hAnsi="Arial Narrow"/>
                      <w:snapToGrid w:val="0"/>
                      <w:sz w:val="16"/>
                      <w:lang w:val="es-419" w:eastAsia="ja-JP"/>
                    </w:rPr>
                  </w:pPr>
                  <w:r w:rsidRPr="00F72633">
                    <w:rPr>
                      <w:rFonts w:ascii="Arial Narrow" w:hAnsi="Arial Narrow"/>
                      <w:snapToGrid w:val="0"/>
                      <w:sz w:val="16"/>
                      <w:lang w:val="es-419" w:eastAsia="ja-JP"/>
                    </w:rPr>
                    <w:t>0</w:t>
                  </w:r>
                  <w:r w:rsidR="00F350FC" w:rsidRPr="00F72633">
                    <w:rPr>
                      <w:rFonts w:ascii="Arial Narrow" w:hAnsi="Arial Narrow"/>
                      <w:snapToGrid w:val="0"/>
                      <w:sz w:val="16"/>
                      <w:lang w:val="es-419" w:eastAsia="ja-JP"/>
                    </w:rPr>
                    <w:t>,</w:t>
                  </w:r>
                  <w:r w:rsidRPr="00F72633">
                    <w:rPr>
                      <w:rFonts w:ascii="Arial Narrow" w:hAnsi="Arial Narrow"/>
                      <w:snapToGrid w:val="0"/>
                      <w:sz w:val="16"/>
                      <w:lang w:val="es-419" w:eastAsia="ja-JP"/>
                    </w:rPr>
                    <w:t>9</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392" w:type="dxa"/>
                  <w:tcBorders>
                    <w:top w:val="nil"/>
                    <w:left w:val="nil"/>
                    <w:bottom w:val="single" w:sz="8" w:space="0" w:color="D9D9D9" w:themeColor="background1" w:themeShade="D9"/>
                    <w:right w:val="nil"/>
                  </w:tcBorders>
                </w:tcPr>
                <w:p w14:paraId="541D615E" w14:textId="2316332E"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12</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871" w:type="dxa"/>
                  <w:tcBorders>
                    <w:top w:val="nil"/>
                    <w:left w:val="nil"/>
                    <w:bottom w:val="single" w:sz="8" w:space="0" w:color="D9D9D9" w:themeColor="background1" w:themeShade="D9"/>
                    <w:right w:val="nil"/>
                  </w:tcBorders>
                </w:tcPr>
                <w:p w14:paraId="062D2799" w14:textId="02A3D1B5"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48</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786" w:type="dxa"/>
                  <w:tcBorders>
                    <w:top w:val="nil"/>
                    <w:left w:val="nil"/>
                    <w:bottom w:val="single" w:sz="8" w:space="0" w:color="D9D9D9" w:themeColor="background1" w:themeShade="D9"/>
                    <w:right w:val="nil"/>
                  </w:tcBorders>
                </w:tcPr>
                <w:p w14:paraId="0D54C0E6" w14:textId="07C48BF3"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12</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r>
            <w:tr w:rsidR="009728B4" w:rsidRPr="00F72633" w14:paraId="70B101FB" w14:textId="77777777" w:rsidTr="009728B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14:paraId="434535F1" w14:textId="77777777" w:rsidR="009728B4" w:rsidRPr="00F72633" w:rsidRDefault="009728B4" w:rsidP="009728B4">
                  <w:pPr>
                    <w:jc w:val="left"/>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14:paraId="513341AE" w14:textId="68065895"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39</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14:paraId="366B95F7" w14:textId="5F640405"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0,</w:t>
                  </w:r>
                  <w:r w:rsidR="009728B4" w:rsidRPr="00F72633">
                    <w:rPr>
                      <w:rFonts w:ascii="Arial Narrow" w:hAnsi="Arial Narrow"/>
                      <w:snapToGrid w:val="0"/>
                      <w:sz w:val="16"/>
                      <w:szCs w:val="18"/>
                      <w:lang w:val="es-419" w:eastAsia="ja-JP"/>
                    </w:rPr>
                    <w:t>7</w:t>
                  </w:r>
                  <w:r w:rsidR="00C86A7D" w:rsidRPr="00F72633">
                    <w:rPr>
                      <w:rFonts w:ascii="Arial Narrow" w:hAnsi="Arial Narrow"/>
                      <w:snapToGrid w:val="0"/>
                      <w:sz w:val="16"/>
                      <w:szCs w:val="18"/>
                      <w:lang w:val="es-419" w:eastAsia="ja-JP"/>
                    </w:rPr>
                    <w:t> </w:t>
                  </w:r>
                  <w:r w:rsidR="009728B4" w:rsidRPr="00F72633">
                    <w:rPr>
                      <w:rFonts w:ascii="Arial Narrow" w:hAnsi="Arial Narrow"/>
                      <w:snapToGrid w:val="0"/>
                      <w:sz w:val="16"/>
                      <w:szCs w:val="18"/>
                      <w:lang w:val="es-419" w:eastAsia="ja-JP"/>
                    </w:rPr>
                    <w:t>%</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14:paraId="5864F1D5" w14:textId="3A3638F6"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15</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39E4EB3" w14:textId="0A1CDD96"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28</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14:paraId="5B3DE618" w14:textId="1F617F3C"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17</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r>
          </w:tbl>
          <w:p w14:paraId="51A5DD2A" w14:textId="77777777" w:rsidR="009728B4" w:rsidRPr="00F72633" w:rsidRDefault="009728B4" w:rsidP="0079482E">
            <w:pPr>
              <w:rPr>
                <w:lang w:val="es-419"/>
              </w:rPr>
            </w:pPr>
          </w:p>
        </w:tc>
        <w:tc>
          <w:tcPr>
            <w:tcW w:w="4820" w:type="dxa"/>
          </w:tcPr>
          <w:p w14:paraId="63226C26" w14:textId="239EF503" w:rsidR="009728B4" w:rsidRPr="00F72633" w:rsidRDefault="009728B4" w:rsidP="009728B4">
            <w:pPr>
              <w:keepNext/>
              <w:jc w:val="center"/>
              <w:rPr>
                <w:rFonts w:ascii="Arial Narrow" w:hAnsi="Arial Narrow"/>
                <w:i/>
                <w:sz w:val="18"/>
                <w:szCs w:val="18"/>
                <w:lang w:val="es-419"/>
              </w:rPr>
            </w:pPr>
            <w:r w:rsidRPr="00F72633">
              <w:rPr>
                <w:rFonts w:ascii="Arial Narrow" w:hAnsi="Arial Narrow"/>
                <w:i/>
                <w:snapToGrid w:val="0"/>
                <w:sz w:val="18"/>
                <w:szCs w:val="18"/>
                <w:lang w:val="es-419" w:eastAsia="ja-JP"/>
              </w:rPr>
              <w:t>T</w:t>
            </w:r>
            <w:r w:rsidR="00F350FC" w:rsidRPr="00F72633">
              <w:rPr>
                <w:rFonts w:ascii="Arial Narrow" w:hAnsi="Arial Narrow"/>
                <w:i/>
                <w:snapToGrid w:val="0"/>
                <w:sz w:val="18"/>
                <w:szCs w:val="18"/>
                <w:lang w:val="es-419" w:eastAsia="ja-JP"/>
              </w:rPr>
              <w:t>ítulos otorgados</w:t>
            </w:r>
            <w:r w:rsidRPr="00F72633">
              <w:rPr>
                <w:rFonts w:ascii="Arial Narrow" w:hAnsi="Arial Narrow"/>
                <w:i/>
                <w:snapToGrid w:val="0"/>
                <w:sz w:val="18"/>
                <w:szCs w:val="18"/>
                <w:lang w:val="es-419" w:eastAsia="ja-JP"/>
              </w:rPr>
              <w:t xml:space="preserve"> </w:t>
            </w:r>
            <w:r w:rsidR="00F350FC" w:rsidRPr="00F72633">
              <w:rPr>
                <w:rFonts w:ascii="Arial Narrow" w:hAnsi="Arial Narrow"/>
                <w:i/>
                <w:snapToGrid w:val="0"/>
                <w:sz w:val="18"/>
                <w:szCs w:val="18"/>
                <w:lang w:val="es-419" w:eastAsia="ja-JP"/>
              </w:rPr>
              <w:t>por tipo de cultivo</w:t>
            </w:r>
          </w:p>
          <w:p w14:paraId="3A9BCA1E" w14:textId="77777777" w:rsidR="009728B4" w:rsidRPr="00F72633" w:rsidRDefault="009728B4" w:rsidP="009728B4">
            <w:pPr>
              <w:keepNext/>
              <w:jc w:val="center"/>
              <w:rPr>
                <w:rFonts w:ascii="Arial Narrow" w:hAnsi="Arial Narrow"/>
                <w:sz w:val="18"/>
                <w:szCs w:val="18"/>
                <w:lang w:val="es-419"/>
              </w:rPr>
            </w:pPr>
          </w:p>
          <w:tbl>
            <w:tblPr>
              <w:tblW w:w="400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395"/>
              <w:gridCol w:w="702"/>
              <w:gridCol w:w="757"/>
              <w:gridCol w:w="530"/>
              <w:gridCol w:w="881"/>
              <w:gridCol w:w="736"/>
            </w:tblGrid>
            <w:tr w:rsidR="009728B4" w:rsidRPr="00F72633" w14:paraId="65066083"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05A5B259" w14:textId="77777777" w:rsidR="009728B4" w:rsidRPr="00F72633" w:rsidRDefault="009728B4" w:rsidP="009728B4">
                  <w:pPr>
                    <w:jc w:val="left"/>
                    <w:rPr>
                      <w:rFonts w:ascii="Arial Narrow" w:hAnsi="Arial Narrow"/>
                      <w:snapToGrid w:val="0"/>
                      <w:sz w:val="16"/>
                      <w:szCs w:val="18"/>
                      <w:lang w:val="es-419" w:eastAsia="ja-JP"/>
                    </w:rPr>
                  </w:pPr>
                </w:p>
              </w:tc>
              <w:tc>
                <w:tcPr>
                  <w:tcW w:w="3580" w:type="dxa"/>
                  <w:gridSpan w:val="5"/>
                  <w:tcBorders>
                    <w:top w:val="nil"/>
                    <w:left w:val="nil"/>
                    <w:bottom w:val="nil"/>
                    <w:right w:val="nil"/>
                  </w:tcBorders>
                  <w:shd w:val="clear" w:color="auto" w:fill="D6F4D6" w:themeFill="accent2" w:themeFillTint="33"/>
                  <w:vAlign w:val="bottom"/>
                </w:tcPr>
                <w:p w14:paraId="40B7C4D1" w14:textId="0F842378"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Tipo de cultivo</w:t>
                  </w:r>
                </w:p>
              </w:tc>
            </w:tr>
            <w:tr w:rsidR="009728B4" w:rsidRPr="00F72633" w14:paraId="5638E61F" w14:textId="77777777" w:rsidTr="00593F08">
              <w:trPr>
                <w:cantSplit/>
                <w:jc w:val="center"/>
              </w:trPr>
              <w:tc>
                <w:tcPr>
                  <w:tcW w:w="421" w:type="dxa"/>
                  <w:tcBorders>
                    <w:top w:val="nil"/>
                    <w:left w:val="nil"/>
                    <w:bottom w:val="nil"/>
                    <w:right w:val="nil"/>
                  </w:tcBorders>
                  <w:shd w:val="clear" w:color="auto" w:fill="D6F4D6" w:themeFill="accent2" w:themeFillTint="33"/>
                  <w:vAlign w:val="bottom"/>
                </w:tcPr>
                <w:p w14:paraId="40B17295" w14:textId="6F4E0659" w:rsidR="009728B4" w:rsidRPr="00F72633" w:rsidRDefault="00F350FC" w:rsidP="009728B4">
                  <w:pPr>
                    <w:jc w:val="left"/>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Año</w:t>
                  </w:r>
                </w:p>
              </w:tc>
              <w:tc>
                <w:tcPr>
                  <w:tcW w:w="757" w:type="dxa"/>
                  <w:tcBorders>
                    <w:top w:val="nil"/>
                    <w:left w:val="nil"/>
                    <w:bottom w:val="nil"/>
                    <w:right w:val="nil"/>
                  </w:tcBorders>
                  <w:shd w:val="clear" w:color="auto" w:fill="D6F4D6" w:themeFill="accent2" w:themeFillTint="33"/>
                  <w:vAlign w:val="bottom"/>
                </w:tcPr>
                <w:p w14:paraId="728594AB" w14:textId="4D81FB37"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Agrícolas</w:t>
                  </w:r>
                </w:p>
              </w:tc>
              <w:tc>
                <w:tcPr>
                  <w:tcW w:w="830" w:type="dxa"/>
                  <w:tcBorders>
                    <w:top w:val="nil"/>
                    <w:left w:val="nil"/>
                    <w:bottom w:val="nil"/>
                    <w:right w:val="nil"/>
                  </w:tcBorders>
                  <w:shd w:val="clear" w:color="auto" w:fill="D6F4D6" w:themeFill="accent2" w:themeFillTint="33"/>
                  <w:vAlign w:val="bottom"/>
                </w:tcPr>
                <w:p w14:paraId="09A55C76" w14:textId="7ECDA78B"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Árboles forestales</w:t>
                  </w:r>
                </w:p>
              </w:tc>
              <w:tc>
                <w:tcPr>
                  <w:tcW w:w="392" w:type="dxa"/>
                  <w:tcBorders>
                    <w:top w:val="nil"/>
                    <w:left w:val="nil"/>
                    <w:bottom w:val="nil"/>
                    <w:right w:val="nil"/>
                  </w:tcBorders>
                  <w:shd w:val="clear" w:color="auto" w:fill="D6F4D6" w:themeFill="accent2" w:themeFillTint="33"/>
                  <w:vAlign w:val="bottom"/>
                </w:tcPr>
                <w:p w14:paraId="27D8C38E" w14:textId="560B296A"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Frutales</w:t>
                  </w:r>
                </w:p>
              </w:tc>
              <w:tc>
                <w:tcPr>
                  <w:tcW w:w="815" w:type="dxa"/>
                  <w:tcBorders>
                    <w:top w:val="nil"/>
                    <w:left w:val="nil"/>
                    <w:bottom w:val="nil"/>
                    <w:right w:val="nil"/>
                  </w:tcBorders>
                  <w:shd w:val="clear" w:color="auto" w:fill="D6F4D6" w:themeFill="accent2" w:themeFillTint="33"/>
                  <w:vAlign w:val="bottom"/>
                </w:tcPr>
                <w:p w14:paraId="41D2EA44" w14:textId="73CDCC68"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Ornamentales</w:t>
                  </w:r>
                </w:p>
              </w:tc>
              <w:tc>
                <w:tcPr>
                  <w:tcW w:w="786" w:type="dxa"/>
                  <w:tcBorders>
                    <w:top w:val="nil"/>
                    <w:left w:val="nil"/>
                    <w:bottom w:val="nil"/>
                    <w:right w:val="nil"/>
                  </w:tcBorders>
                  <w:shd w:val="clear" w:color="auto" w:fill="D6F4D6" w:themeFill="accent2" w:themeFillTint="33"/>
                  <w:vAlign w:val="bottom"/>
                </w:tcPr>
                <w:p w14:paraId="5371F7B6" w14:textId="5EC762C6"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Hortícolas</w:t>
                  </w:r>
                </w:p>
              </w:tc>
            </w:tr>
            <w:tr w:rsidR="009728B4" w:rsidRPr="00F72633" w14:paraId="5FCB640B" w14:textId="77777777" w:rsidTr="009728B4">
              <w:trPr>
                <w:cantSplit/>
                <w:jc w:val="center"/>
              </w:trPr>
              <w:tc>
                <w:tcPr>
                  <w:tcW w:w="421" w:type="dxa"/>
                  <w:tcBorders>
                    <w:top w:val="nil"/>
                    <w:left w:val="nil"/>
                    <w:bottom w:val="single" w:sz="8" w:space="0" w:color="D9D9D9" w:themeColor="background1" w:themeShade="D9"/>
                    <w:right w:val="nil"/>
                  </w:tcBorders>
                  <w:shd w:val="clear" w:color="auto" w:fill="auto"/>
                </w:tcPr>
                <w:p w14:paraId="5FE10768" w14:textId="77777777" w:rsidR="009728B4" w:rsidRPr="00F72633" w:rsidRDefault="009728B4" w:rsidP="009728B4">
                  <w:pPr>
                    <w:jc w:val="left"/>
                    <w:rPr>
                      <w:rFonts w:ascii="Arial Narrow" w:hAnsi="Arial Narrow"/>
                      <w:snapToGrid w:val="0"/>
                      <w:sz w:val="16"/>
                      <w:lang w:val="es-419" w:eastAsia="ja-JP"/>
                    </w:rPr>
                  </w:pPr>
                  <w:r w:rsidRPr="00F72633">
                    <w:rPr>
                      <w:rFonts w:ascii="Arial Narrow" w:hAnsi="Arial Narrow"/>
                      <w:snapToGrid w:val="0"/>
                      <w:sz w:val="16"/>
                      <w:lang w:val="es-419" w:eastAsia="ja-JP"/>
                    </w:rPr>
                    <w:t>2012</w:t>
                  </w:r>
                </w:p>
              </w:tc>
              <w:tc>
                <w:tcPr>
                  <w:tcW w:w="757" w:type="dxa"/>
                  <w:tcBorders>
                    <w:top w:val="nil"/>
                    <w:left w:val="nil"/>
                    <w:bottom w:val="single" w:sz="8" w:space="0" w:color="D9D9D9" w:themeColor="background1" w:themeShade="D9"/>
                    <w:right w:val="nil"/>
                  </w:tcBorders>
                </w:tcPr>
                <w:p w14:paraId="56E5F9F2" w14:textId="3D666515"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26</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830" w:type="dxa"/>
                  <w:tcBorders>
                    <w:top w:val="nil"/>
                    <w:left w:val="nil"/>
                    <w:bottom w:val="single" w:sz="8" w:space="0" w:color="D9D9D9" w:themeColor="background1" w:themeShade="D9"/>
                    <w:right w:val="nil"/>
                  </w:tcBorders>
                </w:tcPr>
                <w:p w14:paraId="4FB29899" w14:textId="76B3DC53" w:rsidR="009728B4" w:rsidRPr="00F72633" w:rsidRDefault="00F350FC"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0,</w:t>
                  </w:r>
                  <w:r w:rsidR="009728B4" w:rsidRPr="00F72633">
                    <w:rPr>
                      <w:rFonts w:ascii="Arial Narrow" w:hAnsi="Arial Narrow"/>
                      <w:snapToGrid w:val="0"/>
                      <w:sz w:val="16"/>
                      <w:lang w:val="es-419" w:eastAsia="ja-JP"/>
                    </w:rPr>
                    <w:t>7</w:t>
                  </w:r>
                  <w:r w:rsidR="00C86A7D" w:rsidRPr="00F72633">
                    <w:rPr>
                      <w:rFonts w:ascii="Arial Narrow" w:hAnsi="Arial Narrow"/>
                      <w:snapToGrid w:val="0"/>
                      <w:sz w:val="16"/>
                      <w:lang w:val="es-419" w:eastAsia="ja-JP"/>
                    </w:rPr>
                    <w:t> </w:t>
                  </w:r>
                  <w:r w:rsidR="009728B4" w:rsidRPr="00F72633">
                    <w:rPr>
                      <w:rFonts w:ascii="Arial Narrow" w:hAnsi="Arial Narrow"/>
                      <w:snapToGrid w:val="0"/>
                      <w:sz w:val="16"/>
                      <w:lang w:val="es-419" w:eastAsia="ja-JP"/>
                    </w:rPr>
                    <w:t>%</w:t>
                  </w:r>
                </w:p>
              </w:tc>
              <w:tc>
                <w:tcPr>
                  <w:tcW w:w="392" w:type="dxa"/>
                  <w:tcBorders>
                    <w:top w:val="nil"/>
                    <w:left w:val="nil"/>
                    <w:bottom w:val="single" w:sz="8" w:space="0" w:color="D9D9D9" w:themeColor="background1" w:themeShade="D9"/>
                    <w:right w:val="nil"/>
                  </w:tcBorders>
                </w:tcPr>
                <w:p w14:paraId="1194FDB3" w14:textId="5B700D29"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9</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815" w:type="dxa"/>
                  <w:tcBorders>
                    <w:top w:val="nil"/>
                    <w:left w:val="nil"/>
                    <w:bottom w:val="single" w:sz="8" w:space="0" w:color="D9D9D9" w:themeColor="background1" w:themeShade="D9"/>
                    <w:right w:val="nil"/>
                  </w:tcBorders>
                </w:tcPr>
                <w:p w14:paraId="1BD586E2" w14:textId="5427721A"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48</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c>
                <w:tcPr>
                  <w:tcW w:w="786" w:type="dxa"/>
                  <w:tcBorders>
                    <w:top w:val="nil"/>
                    <w:left w:val="nil"/>
                    <w:bottom w:val="single" w:sz="8" w:space="0" w:color="D9D9D9" w:themeColor="background1" w:themeShade="D9"/>
                    <w:right w:val="nil"/>
                  </w:tcBorders>
                </w:tcPr>
                <w:p w14:paraId="69A4512F" w14:textId="1F4E83E7" w:rsidR="009728B4" w:rsidRPr="00F72633" w:rsidRDefault="009728B4" w:rsidP="009728B4">
                  <w:pPr>
                    <w:jc w:val="center"/>
                    <w:rPr>
                      <w:rFonts w:ascii="Arial Narrow" w:hAnsi="Arial Narrow"/>
                      <w:snapToGrid w:val="0"/>
                      <w:sz w:val="16"/>
                      <w:lang w:val="es-419" w:eastAsia="ja-JP"/>
                    </w:rPr>
                  </w:pPr>
                  <w:r w:rsidRPr="00F72633">
                    <w:rPr>
                      <w:rFonts w:ascii="Arial Narrow" w:hAnsi="Arial Narrow"/>
                      <w:snapToGrid w:val="0"/>
                      <w:sz w:val="16"/>
                      <w:lang w:val="es-419" w:eastAsia="ja-JP"/>
                    </w:rPr>
                    <w:t>15</w:t>
                  </w:r>
                  <w:r w:rsidR="00C86A7D" w:rsidRPr="00F72633">
                    <w:rPr>
                      <w:rFonts w:ascii="Arial Narrow" w:hAnsi="Arial Narrow"/>
                      <w:snapToGrid w:val="0"/>
                      <w:sz w:val="16"/>
                      <w:lang w:val="es-419" w:eastAsia="ja-JP"/>
                    </w:rPr>
                    <w:t> </w:t>
                  </w:r>
                  <w:r w:rsidRPr="00F72633">
                    <w:rPr>
                      <w:rFonts w:ascii="Arial Narrow" w:hAnsi="Arial Narrow"/>
                      <w:snapToGrid w:val="0"/>
                      <w:sz w:val="16"/>
                      <w:lang w:val="es-419" w:eastAsia="ja-JP"/>
                    </w:rPr>
                    <w:t>%</w:t>
                  </w:r>
                </w:p>
              </w:tc>
            </w:tr>
            <w:tr w:rsidR="009728B4" w:rsidRPr="00F72633" w14:paraId="57B692FE" w14:textId="77777777" w:rsidTr="009728B4">
              <w:trPr>
                <w:cantSplit/>
                <w:jc w:val="center"/>
              </w:trPr>
              <w:tc>
                <w:tcPr>
                  <w:tcW w:w="421" w:type="dxa"/>
                  <w:tcBorders>
                    <w:top w:val="single" w:sz="8" w:space="0" w:color="D9D9D9" w:themeColor="background1" w:themeShade="D9"/>
                    <w:left w:val="nil"/>
                    <w:bottom w:val="single" w:sz="8" w:space="0" w:color="D9D9D9" w:themeColor="background1" w:themeShade="D9"/>
                    <w:right w:val="nil"/>
                  </w:tcBorders>
                  <w:shd w:val="clear" w:color="auto" w:fill="auto"/>
                </w:tcPr>
                <w:p w14:paraId="18C9F063" w14:textId="77777777" w:rsidR="009728B4" w:rsidRPr="00F72633" w:rsidRDefault="009728B4" w:rsidP="009728B4">
                  <w:pPr>
                    <w:jc w:val="left"/>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2022</w:t>
                  </w:r>
                </w:p>
              </w:tc>
              <w:tc>
                <w:tcPr>
                  <w:tcW w:w="757" w:type="dxa"/>
                  <w:tcBorders>
                    <w:top w:val="single" w:sz="8" w:space="0" w:color="D9D9D9" w:themeColor="background1" w:themeShade="D9"/>
                    <w:left w:val="nil"/>
                    <w:bottom w:val="single" w:sz="8" w:space="0" w:color="D9D9D9" w:themeColor="background1" w:themeShade="D9"/>
                    <w:right w:val="nil"/>
                  </w:tcBorders>
                  <w:shd w:val="clear" w:color="auto" w:fill="auto"/>
                </w:tcPr>
                <w:p w14:paraId="1617B925" w14:textId="5E3AF13C"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42</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830" w:type="dxa"/>
                  <w:tcBorders>
                    <w:top w:val="single" w:sz="8" w:space="0" w:color="D9D9D9" w:themeColor="background1" w:themeShade="D9"/>
                    <w:left w:val="nil"/>
                    <w:bottom w:val="single" w:sz="8" w:space="0" w:color="D9D9D9" w:themeColor="background1" w:themeShade="D9"/>
                    <w:right w:val="nil"/>
                  </w:tcBorders>
                  <w:shd w:val="clear" w:color="auto" w:fill="auto"/>
                </w:tcPr>
                <w:p w14:paraId="2726763E" w14:textId="54E68A36" w:rsidR="009728B4" w:rsidRPr="00F72633" w:rsidRDefault="00F350FC"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0,</w:t>
                  </w:r>
                  <w:r w:rsidR="009728B4" w:rsidRPr="00F72633">
                    <w:rPr>
                      <w:rFonts w:ascii="Arial Narrow" w:hAnsi="Arial Narrow"/>
                      <w:snapToGrid w:val="0"/>
                      <w:sz w:val="16"/>
                      <w:szCs w:val="18"/>
                      <w:lang w:val="es-419" w:eastAsia="ja-JP"/>
                    </w:rPr>
                    <w:t>5</w:t>
                  </w:r>
                  <w:r w:rsidR="00C86A7D" w:rsidRPr="00F72633">
                    <w:rPr>
                      <w:rFonts w:ascii="Arial Narrow" w:hAnsi="Arial Narrow"/>
                      <w:snapToGrid w:val="0"/>
                      <w:sz w:val="16"/>
                      <w:szCs w:val="18"/>
                      <w:lang w:val="es-419" w:eastAsia="ja-JP"/>
                    </w:rPr>
                    <w:t> </w:t>
                  </w:r>
                  <w:r w:rsidR="009728B4" w:rsidRPr="00F72633">
                    <w:rPr>
                      <w:rFonts w:ascii="Arial Narrow" w:hAnsi="Arial Narrow"/>
                      <w:snapToGrid w:val="0"/>
                      <w:sz w:val="16"/>
                      <w:szCs w:val="18"/>
                      <w:lang w:val="es-419" w:eastAsia="ja-JP"/>
                    </w:rPr>
                    <w:t>%</w:t>
                  </w:r>
                </w:p>
              </w:tc>
              <w:tc>
                <w:tcPr>
                  <w:tcW w:w="392" w:type="dxa"/>
                  <w:tcBorders>
                    <w:top w:val="single" w:sz="8" w:space="0" w:color="D9D9D9" w:themeColor="background1" w:themeShade="D9"/>
                    <w:left w:val="nil"/>
                    <w:bottom w:val="single" w:sz="8" w:space="0" w:color="D9D9D9" w:themeColor="background1" w:themeShade="D9"/>
                    <w:right w:val="nil"/>
                  </w:tcBorders>
                  <w:shd w:val="clear" w:color="auto" w:fill="auto"/>
                </w:tcPr>
                <w:p w14:paraId="0992EC0A" w14:textId="4287FA31"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12</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815" w:type="dxa"/>
                  <w:tcBorders>
                    <w:top w:val="single" w:sz="8" w:space="0" w:color="D9D9D9" w:themeColor="background1" w:themeShade="D9"/>
                    <w:left w:val="nil"/>
                    <w:bottom w:val="single" w:sz="8" w:space="0" w:color="D9D9D9" w:themeColor="background1" w:themeShade="D9"/>
                    <w:right w:val="nil"/>
                  </w:tcBorders>
                  <w:shd w:val="clear" w:color="auto" w:fill="auto"/>
                </w:tcPr>
                <w:p w14:paraId="6475E1FF" w14:textId="2C961596"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30</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c>
                <w:tcPr>
                  <w:tcW w:w="786" w:type="dxa"/>
                  <w:tcBorders>
                    <w:top w:val="single" w:sz="8" w:space="0" w:color="D9D9D9" w:themeColor="background1" w:themeShade="D9"/>
                    <w:left w:val="nil"/>
                    <w:bottom w:val="single" w:sz="8" w:space="0" w:color="D9D9D9" w:themeColor="background1" w:themeShade="D9"/>
                    <w:right w:val="nil"/>
                  </w:tcBorders>
                  <w:shd w:val="clear" w:color="auto" w:fill="auto"/>
                </w:tcPr>
                <w:p w14:paraId="196BCD7A" w14:textId="55291ED0" w:rsidR="009728B4" w:rsidRPr="00F72633" w:rsidRDefault="009728B4" w:rsidP="009728B4">
                  <w:pPr>
                    <w:jc w:val="center"/>
                    <w:rPr>
                      <w:rFonts w:ascii="Arial Narrow" w:hAnsi="Arial Narrow"/>
                      <w:snapToGrid w:val="0"/>
                      <w:sz w:val="16"/>
                      <w:szCs w:val="18"/>
                      <w:lang w:val="es-419" w:eastAsia="ja-JP"/>
                    </w:rPr>
                  </w:pPr>
                  <w:r w:rsidRPr="00F72633">
                    <w:rPr>
                      <w:rFonts w:ascii="Arial Narrow" w:hAnsi="Arial Narrow"/>
                      <w:snapToGrid w:val="0"/>
                      <w:sz w:val="16"/>
                      <w:szCs w:val="18"/>
                      <w:lang w:val="es-419" w:eastAsia="ja-JP"/>
                    </w:rPr>
                    <w:t>15</w:t>
                  </w:r>
                  <w:r w:rsidR="00C86A7D" w:rsidRPr="00F72633">
                    <w:rPr>
                      <w:rFonts w:ascii="Arial Narrow" w:hAnsi="Arial Narrow"/>
                      <w:snapToGrid w:val="0"/>
                      <w:sz w:val="16"/>
                      <w:szCs w:val="18"/>
                      <w:lang w:val="es-419" w:eastAsia="ja-JP"/>
                    </w:rPr>
                    <w:t> </w:t>
                  </w:r>
                  <w:r w:rsidRPr="00F72633">
                    <w:rPr>
                      <w:rFonts w:ascii="Arial Narrow" w:hAnsi="Arial Narrow"/>
                      <w:snapToGrid w:val="0"/>
                      <w:sz w:val="16"/>
                      <w:szCs w:val="18"/>
                      <w:lang w:val="es-419" w:eastAsia="ja-JP"/>
                    </w:rPr>
                    <w:t>%</w:t>
                  </w:r>
                </w:p>
              </w:tc>
            </w:tr>
          </w:tbl>
          <w:p w14:paraId="1231F3AA" w14:textId="77777777" w:rsidR="009728B4" w:rsidRPr="00F72633" w:rsidRDefault="009728B4" w:rsidP="0079482E">
            <w:pPr>
              <w:rPr>
                <w:lang w:val="es-419"/>
              </w:rPr>
            </w:pPr>
          </w:p>
        </w:tc>
      </w:tr>
    </w:tbl>
    <w:p w14:paraId="1D43254D" w14:textId="77777777" w:rsidR="00683CCA" w:rsidRPr="00F72633" w:rsidRDefault="00683CCA" w:rsidP="0079482E">
      <w:pPr>
        <w:rPr>
          <w:lang w:val="es-419"/>
        </w:rPr>
      </w:pPr>
    </w:p>
    <w:p w14:paraId="33FAC6F3" w14:textId="77777777" w:rsidR="009959A4" w:rsidRPr="00F72633" w:rsidRDefault="009959A4" w:rsidP="0079482E">
      <w:pPr>
        <w:rPr>
          <w:lang w:val="es-419"/>
        </w:rPr>
      </w:pPr>
    </w:p>
    <w:p w14:paraId="36AF3929" w14:textId="5EDB6D4D" w:rsidR="00114036" w:rsidRPr="00F72633" w:rsidRDefault="009A1B7E" w:rsidP="00114036">
      <w:pPr>
        <w:pStyle w:val="Heading3"/>
        <w:rPr>
          <w:lang w:val="es-419"/>
        </w:rPr>
      </w:pPr>
      <w:r w:rsidRPr="00F72633">
        <w:rPr>
          <w:lang w:val="es-419"/>
        </w:rPr>
        <w:t>Plan Operativo Estratégico</w:t>
      </w:r>
    </w:p>
    <w:p w14:paraId="7B30AE69" w14:textId="69DB95F2" w:rsidR="00E717B2" w:rsidRPr="00F72633" w:rsidRDefault="009A1B7E" w:rsidP="0079482E">
      <w:pPr>
        <w:rPr>
          <w:color w:val="000000" w:themeColor="text1"/>
          <w:lang w:val="es-419"/>
        </w:rPr>
      </w:pPr>
      <w:r w:rsidRPr="00F72633">
        <w:rPr>
          <w:lang w:val="es-419"/>
        </w:rPr>
        <w:t>El crecimiento del sistema de la UPOV es un aspecto importante del Plan Operativo Estratégico para el período 2023-2027, aprobado por el Consejo en 2022.</w:t>
      </w:r>
    </w:p>
    <w:p w14:paraId="159FEE27" w14:textId="77777777" w:rsidR="00E717B2" w:rsidRPr="00F72633" w:rsidRDefault="00E717B2" w:rsidP="0079482E">
      <w:pPr>
        <w:rPr>
          <w:color w:val="000000" w:themeColor="text1"/>
          <w:lang w:val="es-419"/>
        </w:rPr>
      </w:pPr>
    </w:p>
    <w:p w14:paraId="33801952" w14:textId="0A71BDDC" w:rsidR="00E717B2" w:rsidRPr="00F72633" w:rsidRDefault="009A1B7E" w:rsidP="00E717B2">
      <w:pPr>
        <w:rPr>
          <w:rFonts w:eastAsia="Times New Roman" w:cs="Times New Roman"/>
          <w:color w:val="000000" w:themeColor="text1"/>
          <w:lang w:val="es-419" w:eastAsia="en-US"/>
        </w:rPr>
      </w:pPr>
      <w:r w:rsidRPr="00F72633">
        <w:rPr>
          <w:color w:val="000000" w:themeColor="text1"/>
          <w:lang w:val="es-419"/>
        </w:rPr>
        <w:t>El Edificio de la Estrategia resume la misión, los pilares estratégicos y el fundamento de la UPOV, al tiempo que proporciona un marco para responder a la necesidad de un sistema eficaz de protección de las obtenciones vegetales que fomente el desarrollo de nuevas variedades vegetales, en beneficio de la sociedad.</w:t>
      </w:r>
    </w:p>
    <w:p w14:paraId="54583FBF" w14:textId="77777777" w:rsidR="00E717B2" w:rsidRPr="00F72633" w:rsidRDefault="00E717B2" w:rsidP="00E717B2">
      <w:pPr>
        <w:rPr>
          <w:lang w:val="es-419"/>
        </w:rPr>
      </w:pPr>
    </w:p>
    <w:p w14:paraId="58925DDF" w14:textId="3B6423AD" w:rsidR="00E717B2" w:rsidRPr="00F72633" w:rsidRDefault="000E2F92" w:rsidP="00E717B2">
      <w:pPr>
        <w:rPr>
          <w:color w:val="000000" w:themeColor="text1"/>
          <w:lang w:val="es-419"/>
        </w:rPr>
      </w:pPr>
      <w:r w:rsidRPr="00F72633">
        <w:rPr>
          <w:color w:val="000000" w:themeColor="text1"/>
          <w:lang w:val="es-419"/>
        </w:rPr>
        <w:t>El Edificio de la Estrategia se basa en la mejora continua, partiendo de los puntos fuertes de la UPOV y definiendo el rumbo futuro con un nuevo enfoque</w:t>
      </w:r>
      <w:r w:rsidR="00E717B2" w:rsidRPr="00F72633">
        <w:rPr>
          <w:color w:val="000000" w:themeColor="text1"/>
          <w:lang w:val="es-419"/>
        </w:rPr>
        <w:t xml:space="preserve"> </w:t>
      </w:r>
      <w:r w:rsidRPr="00F72633">
        <w:rPr>
          <w:color w:val="000000" w:themeColor="text1"/>
          <w:lang w:val="es-419"/>
        </w:rPr>
        <w:t>centrado en la prestación de servicios a los miembros de la UPOV y a los usuarios del sistema de la UPOV.</w:t>
      </w:r>
    </w:p>
    <w:p w14:paraId="0BB97DFD" w14:textId="77777777" w:rsidR="00F10D24" w:rsidRPr="00F72633" w:rsidRDefault="00F10D24" w:rsidP="00E717B2">
      <w:pPr>
        <w:rPr>
          <w:color w:val="000000" w:themeColor="text1"/>
          <w:lang w:val="es-419"/>
        </w:rPr>
      </w:pPr>
    </w:p>
    <w:p w14:paraId="02282BE7" w14:textId="50832F4C" w:rsidR="00E717B2" w:rsidRPr="00F72633" w:rsidRDefault="007C279B" w:rsidP="00E4717B">
      <w:pPr>
        <w:jc w:val="center"/>
        <w:rPr>
          <w:color w:val="000000" w:themeColor="text1"/>
          <w:lang w:val="es-419"/>
        </w:rPr>
      </w:pPr>
      <w:r w:rsidRPr="00F72633">
        <w:rPr>
          <w:noProof/>
          <w:lang w:eastAsia="en-US"/>
        </w:rPr>
        <w:lastRenderedPageBreak/>
        <w:drawing>
          <wp:inline distT="0" distB="0" distL="0" distR="0" wp14:anchorId="198B581E" wp14:editId="1B93DCAB">
            <wp:extent cx="5982758" cy="3961651"/>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8502" cy="3972076"/>
                    </a:xfrm>
                    <a:prstGeom prst="rect">
                      <a:avLst/>
                    </a:prstGeom>
                    <a:noFill/>
                    <a:ln>
                      <a:noFill/>
                    </a:ln>
                  </pic:spPr>
                </pic:pic>
              </a:graphicData>
            </a:graphic>
          </wp:inline>
        </w:drawing>
      </w:r>
    </w:p>
    <w:p w14:paraId="78FF892B" w14:textId="77777777" w:rsidR="004F63C9" w:rsidRPr="00F72633" w:rsidRDefault="004F63C9">
      <w:pPr>
        <w:rPr>
          <w:lang w:val="es-419"/>
        </w:rPr>
      </w:pPr>
    </w:p>
    <w:p w14:paraId="7E3E26EF" w14:textId="77777777" w:rsidR="004F63C9" w:rsidRPr="00F72633" w:rsidRDefault="004F63C9">
      <w:pPr>
        <w:rPr>
          <w:lang w:val="es-419"/>
        </w:rPr>
      </w:pPr>
    </w:p>
    <w:p w14:paraId="17478EAB" w14:textId="6DF4F1EA" w:rsidR="00114036" w:rsidRPr="00F72633" w:rsidRDefault="005A3E97" w:rsidP="00114036">
      <w:pPr>
        <w:pStyle w:val="Heading3"/>
        <w:rPr>
          <w:lang w:val="es-419"/>
        </w:rPr>
      </w:pPr>
      <w:r w:rsidRPr="00F72633">
        <w:rPr>
          <w:lang w:val="es-419"/>
        </w:rPr>
        <w:t>Labor de los comités de la UPOV</w:t>
      </w:r>
    </w:p>
    <w:p w14:paraId="2F39047F" w14:textId="38F752FC" w:rsidR="00114036" w:rsidRPr="00F72633" w:rsidRDefault="00CA6A39" w:rsidP="00114036">
      <w:pPr>
        <w:rPr>
          <w:lang w:val="es-419"/>
        </w:rPr>
      </w:pPr>
      <w:r w:rsidRPr="00F72633">
        <w:rPr>
          <w:lang w:val="es-419"/>
        </w:rPr>
        <w:t>En el Comité Técnico se puso en marcha una revisión para evaluar la posibilidad de que su labor y la de sus Grupos de Trabajo Técnico</w:t>
      </w:r>
      <w:r w:rsidR="0048095B" w:rsidRPr="00F72633">
        <w:rPr>
          <w:lang w:val="es-419"/>
        </w:rPr>
        <w:t xml:space="preserve"> (TWP)</w:t>
      </w:r>
      <w:r w:rsidRPr="00F72633">
        <w:rPr>
          <w:lang w:val="es-419"/>
        </w:rPr>
        <w:t xml:space="preserve"> sea más eficaz, sobre todo con vistas a aumentar la cooperación como beneficio fundamental de la pertenencia a la UPOV</w:t>
      </w:r>
      <w:r w:rsidR="00114036" w:rsidRPr="00F72633">
        <w:rPr>
          <w:lang w:val="es-419"/>
        </w:rPr>
        <w:t xml:space="preserve">. </w:t>
      </w:r>
      <w:r w:rsidR="00962011" w:rsidRPr="00F72633">
        <w:rPr>
          <w:lang w:val="es-419"/>
        </w:rPr>
        <w:t xml:space="preserve">En particular, el Comité Técnico acordó además que las reuniones de los </w:t>
      </w:r>
      <w:r w:rsidR="0048095B" w:rsidRPr="00F72633">
        <w:rPr>
          <w:lang w:val="es-419"/>
        </w:rPr>
        <w:t>TWP</w:t>
      </w:r>
      <w:r w:rsidR="00962011" w:rsidRPr="00F72633">
        <w:rPr>
          <w:lang w:val="es-419"/>
        </w:rPr>
        <w:t xml:space="preserve"> se alternen, de manera que un año sean presenciales y el siguiente virtuales; se celebrarán al menos dos reuniones virtuales de los TWP en un año natural para que los especialistas puedan participar electrónicamente en todos los debates sobre las directrices de examen y los documentos TGP y TWP.</w:t>
      </w:r>
    </w:p>
    <w:p w14:paraId="396E55D4" w14:textId="77777777" w:rsidR="00114036" w:rsidRPr="00F72633" w:rsidRDefault="00114036" w:rsidP="00E717B2">
      <w:pPr>
        <w:rPr>
          <w:snapToGrid w:val="0"/>
          <w:lang w:val="es-419"/>
        </w:rPr>
      </w:pPr>
    </w:p>
    <w:p w14:paraId="58DF69C0" w14:textId="77777777" w:rsidR="00361EE2" w:rsidRPr="00F72633" w:rsidRDefault="00361EE2" w:rsidP="00361EE2">
      <w:pPr>
        <w:rPr>
          <w:snapToGrid w:val="0"/>
          <w:lang w:val="es-419"/>
        </w:rPr>
      </w:pPr>
    </w:p>
    <w:p w14:paraId="0DE8CC63" w14:textId="30D4CBFD" w:rsidR="003E3C19" w:rsidRPr="00F72633" w:rsidRDefault="00E8065C" w:rsidP="00C64BD1">
      <w:pPr>
        <w:pStyle w:val="Heading2"/>
        <w:ind w:left="0" w:firstLine="0"/>
        <w:jc w:val="both"/>
        <w:rPr>
          <w:lang w:val="es-419"/>
        </w:rPr>
      </w:pPr>
      <w:bookmarkStart w:id="9" w:name="_Toc143527467"/>
      <w:r w:rsidRPr="00F72633">
        <w:rPr>
          <w:lang w:val="es-419"/>
        </w:rPr>
        <w:t>Servicios prestados a la Unión para mejora</w:t>
      </w:r>
      <w:r w:rsidR="00C64BD1">
        <w:rPr>
          <w:lang w:val="es-419"/>
        </w:rPr>
        <w:t>r la eficacia del sistema de la </w:t>
      </w:r>
      <w:r w:rsidRPr="00F72633">
        <w:rPr>
          <w:lang w:val="es-419"/>
        </w:rPr>
        <w:t>UPOV</w:t>
      </w:r>
      <w:r w:rsidR="003E3C19" w:rsidRPr="00F72633">
        <w:rPr>
          <w:lang w:val="es-419"/>
        </w:rPr>
        <w:t xml:space="preserve"> (Subprogram</w:t>
      </w:r>
      <w:r w:rsidRPr="00F72633">
        <w:rPr>
          <w:lang w:val="es-419"/>
        </w:rPr>
        <w:t>a</w:t>
      </w:r>
      <w:r w:rsidR="003E3C19" w:rsidRPr="00F72633">
        <w:rPr>
          <w:lang w:val="es-419"/>
        </w:rPr>
        <w:t xml:space="preserve"> UV.2)</w:t>
      </w:r>
      <w:bookmarkEnd w:id="9"/>
    </w:p>
    <w:p w14:paraId="36F59914" w14:textId="68DD129D" w:rsidR="00703E60" w:rsidRPr="00F72633" w:rsidRDefault="00256943" w:rsidP="00226D24">
      <w:pPr>
        <w:pStyle w:val="Heading3"/>
        <w:rPr>
          <w:lang w:val="es-419"/>
        </w:rPr>
      </w:pPr>
      <w:r>
        <w:rPr>
          <w:lang w:val="es-419"/>
        </w:rPr>
        <w:t>UPOV e-PVP</w:t>
      </w:r>
    </w:p>
    <w:p w14:paraId="06FE6711" w14:textId="0E54270F" w:rsidR="00226D24" w:rsidRPr="00F72633" w:rsidRDefault="002B7DE9" w:rsidP="003162DA">
      <w:pPr>
        <w:pStyle w:val="Heading5"/>
        <w:jc w:val="both"/>
        <w:rPr>
          <w:color w:val="auto"/>
          <w:lang w:val="es-419"/>
        </w:rPr>
      </w:pPr>
      <w:r w:rsidRPr="00F72633">
        <w:rPr>
          <w:color w:val="auto"/>
          <w:lang w:val="es-419"/>
        </w:rPr>
        <w:t xml:space="preserve">En el Plan Operativo Estratégico se explica que </w:t>
      </w:r>
      <w:r w:rsidR="007871BB" w:rsidRPr="00F72633">
        <w:rPr>
          <w:color w:val="auto"/>
          <w:lang w:val="es-419"/>
        </w:rPr>
        <w:t xml:space="preserve">la </w:t>
      </w:r>
      <w:r w:rsidRPr="00F72633">
        <w:rPr>
          <w:color w:val="auto"/>
          <w:lang w:val="es-419"/>
        </w:rPr>
        <w:t xml:space="preserve">evolución de las tecnologías de la información (TI), acompañada por la creación del puesto de oficial de TI de la UPOV, ha permitido a la </w:t>
      </w:r>
      <w:r w:rsidR="00256943">
        <w:rPr>
          <w:color w:val="auto"/>
          <w:lang w:val="es-419"/>
        </w:rPr>
        <w:t>UPOV</w:t>
      </w:r>
      <w:r w:rsidRPr="00F72633">
        <w:rPr>
          <w:color w:val="auto"/>
          <w:lang w:val="es-419"/>
        </w:rPr>
        <w:t xml:space="preserve"> desarrollar la iniciativa </w:t>
      </w:r>
      <w:r w:rsidR="00256943">
        <w:rPr>
          <w:color w:val="auto"/>
          <w:lang w:val="es-419"/>
        </w:rPr>
        <w:t>UPOV </w:t>
      </w:r>
      <w:r w:rsidRPr="00F72633">
        <w:rPr>
          <w:color w:val="auto"/>
          <w:lang w:val="es-419"/>
        </w:rPr>
        <w:t xml:space="preserve">e-PVP, que ofrece una oportunidad para prestar servicios a los miembros de la Unión de una forma que permita mejorar la eficiencia del sistema </w:t>
      </w:r>
      <w:r w:rsidR="002D7CDC" w:rsidRPr="00F72633">
        <w:rPr>
          <w:color w:val="auto"/>
          <w:lang w:val="es-419"/>
        </w:rPr>
        <w:t>global de la UPOV y lograr una “</w:t>
      </w:r>
      <w:r w:rsidRPr="00F72633">
        <w:rPr>
          <w:color w:val="auto"/>
          <w:lang w:val="es-419"/>
        </w:rPr>
        <w:t>igualación</w:t>
      </w:r>
      <w:r w:rsidR="002D7CDC" w:rsidRPr="00F72633">
        <w:rPr>
          <w:color w:val="auto"/>
          <w:lang w:val="es-419"/>
        </w:rPr>
        <w:t>”</w:t>
      </w:r>
      <w:r w:rsidRPr="00F72633">
        <w:rPr>
          <w:color w:val="auto"/>
          <w:lang w:val="es-419"/>
        </w:rPr>
        <w:t xml:space="preserve"> del conjunto de la UPOV. </w:t>
      </w:r>
      <w:r w:rsidR="00256943">
        <w:rPr>
          <w:color w:val="auto"/>
          <w:lang w:val="es-419"/>
        </w:rPr>
        <w:t xml:space="preserve"> UPOV e</w:t>
      </w:r>
      <w:r w:rsidR="00256943">
        <w:rPr>
          <w:color w:val="auto"/>
          <w:lang w:val="es-419"/>
        </w:rPr>
        <w:noBreakHyphen/>
      </w:r>
      <w:r w:rsidRPr="00F72633">
        <w:rPr>
          <w:color w:val="auto"/>
          <w:lang w:val="es-419"/>
        </w:rPr>
        <w:t xml:space="preserve">PVP permitirá ofrecer una asistencia coherente y completa orientada a la aplicación del sistema de protección de las obtenciones vegetales de la UPOV, de modo que los miembros de la Unión puedan utilizar algunos de sus componentes o todos ellos, según se considere oportuno. </w:t>
      </w:r>
      <w:r w:rsidR="00256943">
        <w:rPr>
          <w:color w:val="auto"/>
          <w:lang w:val="es-419"/>
        </w:rPr>
        <w:t>UPOV e</w:t>
      </w:r>
      <w:r w:rsidR="00256943">
        <w:rPr>
          <w:color w:val="auto"/>
          <w:lang w:val="es-419"/>
        </w:rPr>
        <w:noBreakHyphen/>
      </w:r>
      <w:r w:rsidR="00256943" w:rsidRPr="00F72633">
        <w:rPr>
          <w:color w:val="auto"/>
          <w:lang w:val="es-419"/>
        </w:rPr>
        <w:t xml:space="preserve">PVP </w:t>
      </w:r>
      <w:r w:rsidRPr="00F72633">
        <w:rPr>
          <w:color w:val="auto"/>
          <w:lang w:val="es-419"/>
        </w:rPr>
        <w:t>comprende el siguiente paquete de herramientas compatibles:</w:t>
      </w:r>
    </w:p>
    <w:p w14:paraId="68C49FA3" w14:textId="77777777" w:rsidR="00226D24" w:rsidRPr="00F72633" w:rsidRDefault="00226D24" w:rsidP="00226D24">
      <w:pPr>
        <w:rPr>
          <w:lang w:val="es-419"/>
        </w:rPr>
      </w:pPr>
    </w:p>
    <w:p w14:paraId="5A2D0D59" w14:textId="25AF5F16" w:rsidR="00226D24" w:rsidRPr="00F72633" w:rsidRDefault="001A098E" w:rsidP="002D7CDC">
      <w:pPr>
        <w:pStyle w:val="ListParagraph"/>
        <w:keepNext/>
        <w:numPr>
          <w:ilvl w:val="0"/>
          <w:numId w:val="40"/>
        </w:numPr>
        <w:spacing w:before="120" w:after="120"/>
        <w:ind w:left="930" w:hanging="357"/>
        <w:rPr>
          <w:lang w:val="es-419"/>
        </w:rPr>
      </w:pPr>
      <w:r w:rsidRPr="00F72633">
        <w:rPr>
          <w:lang w:val="es-419"/>
        </w:rPr>
        <w:t>s</w:t>
      </w:r>
      <w:r w:rsidR="002D7CDC" w:rsidRPr="00F72633">
        <w:rPr>
          <w:lang w:val="es-419"/>
        </w:rPr>
        <w:t>olicitud de derechos de obtentor</w:t>
      </w:r>
    </w:p>
    <w:p w14:paraId="0D660712" w14:textId="1567A142" w:rsidR="00226D24" w:rsidRPr="00F72633" w:rsidRDefault="001A098E" w:rsidP="002D7CDC">
      <w:pPr>
        <w:pStyle w:val="ListParagraph"/>
        <w:numPr>
          <w:ilvl w:val="1"/>
          <w:numId w:val="40"/>
        </w:numPr>
        <w:spacing w:after="40"/>
        <w:ind w:left="1287" w:hanging="357"/>
        <w:contextualSpacing/>
        <w:rPr>
          <w:color w:val="000000" w:themeColor="text1"/>
          <w:lang w:val="es-419"/>
        </w:rPr>
      </w:pPr>
      <w:r w:rsidRPr="00F72633">
        <w:rPr>
          <w:color w:val="000000" w:themeColor="text1"/>
          <w:lang w:val="es-419"/>
        </w:rPr>
        <w:t>a</w:t>
      </w:r>
      <w:r w:rsidR="002D7CDC" w:rsidRPr="00F72633">
        <w:rPr>
          <w:color w:val="000000" w:themeColor="text1"/>
          <w:lang w:val="es-419"/>
        </w:rPr>
        <w:t>mpliación</w:t>
      </w:r>
      <w:r w:rsidR="002D7CDC" w:rsidRPr="00F72633">
        <w:rPr>
          <w:lang w:val="es-419"/>
        </w:rPr>
        <w:t xml:space="preserve"> de la cobertura de </w:t>
      </w:r>
      <w:r w:rsidR="000D20D3">
        <w:rPr>
          <w:lang w:val="es-419"/>
        </w:rPr>
        <w:t>UPOV PRISMA</w:t>
      </w:r>
      <w:r w:rsidR="002D7CDC" w:rsidRPr="00F72633">
        <w:rPr>
          <w:lang w:val="es-419"/>
        </w:rPr>
        <w:t xml:space="preserve"> a más miembros de la Unión y a más cultivos o especies</w:t>
      </w:r>
    </w:p>
    <w:p w14:paraId="1E29FB0F" w14:textId="4F7D18CC" w:rsidR="00226D24" w:rsidRPr="00F72633" w:rsidRDefault="001A098E" w:rsidP="00256943">
      <w:pPr>
        <w:pStyle w:val="ListParagraph"/>
        <w:numPr>
          <w:ilvl w:val="1"/>
          <w:numId w:val="40"/>
        </w:numPr>
        <w:spacing w:after="40"/>
        <w:ind w:left="1287" w:hanging="357"/>
        <w:contextualSpacing/>
        <w:rPr>
          <w:color w:val="000000" w:themeColor="text1"/>
          <w:lang w:val="es-419"/>
        </w:rPr>
      </w:pPr>
      <w:r w:rsidRPr="00F72633">
        <w:rPr>
          <w:color w:val="000000" w:themeColor="text1"/>
          <w:lang w:val="es-419"/>
        </w:rPr>
        <w:t>i</w:t>
      </w:r>
      <w:r w:rsidR="002D7CDC" w:rsidRPr="00F72633">
        <w:rPr>
          <w:color w:val="000000" w:themeColor="text1"/>
          <w:lang w:val="es-419"/>
        </w:rPr>
        <w:t>nstrumento que proporcione información a los solicitantes de protección de obtenciones vegetales sobre la cooperación en el examen DHE entre los miembros de la Unión en un formato fácil de usar (Instrumento de preparativos para el examen DHE – DART)</w:t>
      </w:r>
    </w:p>
    <w:p w14:paraId="4B9126CB" w14:textId="1CD2A824" w:rsidR="00226D24" w:rsidRPr="00F72633" w:rsidRDefault="001A098E" w:rsidP="00F72633">
      <w:pPr>
        <w:pStyle w:val="ListParagraph"/>
        <w:keepNext/>
        <w:numPr>
          <w:ilvl w:val="0"/>
          <w:numId w:val="40"/>
        </w:numPr>
        <w:spacing w:before="120" w:after="120"/>
        <w:ind w:left="930" w:hanging="357"/>
        <w:rPr>
          <w:lang w:val="es-419"/>
        </w:rPr>
      </w:pPr>
      <w:r w:rsidRPr="00F72633">
        <w:rPr>
          <w:lang w:val="es-419"/>
        </w:rPr>
        <w:lastRenderedPageBreak/>
        <w:t>a</w:t>
      </w:r>
      <w:r w:rsidR="002D7CDC" w:rsidRPr="00F72633">
        <w:rPr>
          <w:lang w:val="es-419"/>
        </w:rPr>
        <w:t>dministración de la Oficina de protección de las obtenciones vegetales</w:t>
      </w:r>
    </w:p>
    <w:p w14:paraId="1A8A2A5E" w14:textId="31B33F5A" w:rsidR="00226D24" w:rsidRPr="00F72633" w:rsidRDefault="001A098E" w:rsidP="002D7CDC">
      <w:pPr>
        <w:pStyle w:val="ListParagraph"/>
        <w:numPr>
          <w:ilvl w:val="1"/>
          <w:numId w:val="40"/>
        </w:numPr>
        <w:spacing w:after="40"/>
        <w:ind w:left="1287" w:hanging="357"/>
        <w:contextualSpacing/>
        <w:rPr>
          <w:lang w:val="es-419"/>
        </w:rPr>
      </w:pPr>
      <w:r w:rsidRPr="00F72633">
        <w:rPr>
          <w:lang w:val="es-419"/>
        </w:rPr>
        <w:t>m</w:t>
      </w:r>
      <w:r w:rsidR="002D7CDC" w:rsidRPr="00F72633">
        <w:rPr>
          <w:lang w:val="es-419"/>
        </w:rPr>
        <w:t xml:space="preserve">ódulo de administración electrónica de la protección de las obtenciones vegetales para que los </w:t>
      </w:r>
      <w:r w:rsidR="002D7CDC" w:rsidRPr="00F72633">
        <w:rPr>
          <w:color w:val="000000" w:themeColor="text1"/>
          <w:lang w:val="es-419"/>
        </w:rPr>
        <w:t>miembros</w:t>
      </w:r>
      <w:r w:rsidR="002D7CDC" w:rsidRPr="00F72633">
        <w:rPr>
          <w:lang w:val="es-419"/>
        </w:rPr>
        <w:t xml:space="preserve"> de la Unión puedan gestionar y publicar las solicitudes de protección de las obtenciones vegetales, incluida la transmisión de datos a la base de datos PLUTO</w:t>
      </w:r>
    </w:p>
    <w:p w14:paraId="41880BD9" w14:textId="48BF5C7E" w:rsidR="00226D24" w:rsidRPr="00F72633" w:rsidRDefault="001A098E" w:rsidP="002D7CDC">
      <w:pPr>
        <w:pStyle w:val="ListParagraph"/>
        <w:numPr>
          <w:ilvl w:val="1"/>
          <w:numId w:val="40"/>
        </w:numPr>
        <w:spacing w:after="40"/>
        <w:ind w:left="1287" w:hanging="357"/>
        <w:contextualSpacing/>
        <w:rPr>
          <w:lang w:val="es-419"/>
        </w:rPr>
      </w:pPr>
      <w:r w:rsidRPr="00F72633">
        <w:rPr>
          <w:rFonts w:cs="Arial"/>
          <w:snapToGrid w:val="0"/>
          <w:color w:val="000000"/>
          <w:lang w:val="es-419"/>
        </w:rPr>
        <w:t>h</w:t>
      </w:r>
      <w:r w:rsidR="002D7CDC" w:rsidRPr="00F72633">
        <w:rPr>
          <w:rFonts w:cs="Arial"/>
          <w:snapToGrid w:val="0"/>
          <w:color w:val="000000"/>
          <w:lang w:val="es-419"/>
        </w:rPr>
        <w:t>erramienta de la UPOV para la búsqueda de similitud a los fines de la denominación de variedades basada en el algoritmo acordado por la UPOV con arreglo a la base de datos PLUTO</w:t>
      </w:r>
    </w:p>
    <w:p w14:paraId="1B3B6A69" w14:textId="53E946CF" w:rsidR="00226D24" w:rsidRPr="00F72633" w:rsidRDefault="001A098E" w:rsidP="00C313FC">
      <w:pPr>
        <w:pStyle w:val="ListParagraph"/>
        <w:keepNext/>
        <w:numPr>
          <w:ilvl w:val="0"/>
          <w:numId w:val="40"/>
        </w:numPr>
        <w:spacing w:before="120" w:after="120"/>
        <w:ind w:left="930" w:hanging="357"/>
        <w:rPr>
          <w:lang w:val="es-419"/>
        </w:rPr>
      </w:pPr>
      <w:r w:rsidRPr="00F72633">
        <w:rPr>
          <w:lang w:val="es-419"/>
        </w:rPr>
        <w:t>f</w:t>
      </w:r>
      <w:r w:rsidR="00C313FC" w:rsidRPr="00F72633">
        <w:rPr>
          <w:lang w:val="es-419"/>
        </w:rPr>
        <w:t>acilitar la cooperación</w:t>
      </w:r>
    </w:p>
    <w:p w14:paraId="516E0B2C" w14:textId="4E73EE82" w:rsidR="00226D24" w:rsidRPr="00F72633" w:rsidRDefault="001A098E" w:rsidP="00C313FC">
      <w:pPr>
        <w:pStyle w:val="ListParagraph"/>
        <w:numPr>
          <w:ilvl w:val="1"/>
          <w:numId w:val="40"/>
        </w:numPr>
        <w:spacing w:after="40"/>
        <w:ind w:left="1287" w:hanging="357"/>
        <w:contextualSpacing/>
        <w:rPr>
          <w:lang w:val="es-419"/>
        </w:rPr>
      </w:pPr>
      <w:r w:rsidRPr="00F72633">
        <w:rPr>
          <w:rFonts w:cs="Arial"/>
          <w:snapToGrid w:val="0"/>
          <w:color w:val="000000"/>
          <w:lang w:val="es-419"/>
        </w:rPr>
        <w:t>p</w:t>
      </w:r>
      <w:r w:rsidR="00C313FC" w:rsidRPr="00F72633">
        <w:rPr>
          <w:rFonts w:cs="Arial"/>
          <w:snapToGrid w:val="0"/>
          <w:color w:val="000000"/>
          <w:lang w:val="es-419"/>
        </w:rPr>
        <w:t>lataformas</w:t>
      </w:r>
      <w:r w:rsidR="00C313FC" w:rsidRPr="00F72633">
        <w:rPr>
          <w:lang w:val="es-419"/>
        </w:rPr>
        <w:t xml:space="preserve"> de cooperación de los miembros de la UPOV (por ejemplo, e-PVP Asia) para cooperar en la administración y el examen de las solicitudes</w:t>
      </w:r>
    </w:p>
    <w:p w14:paraId="05AF6656" w14:textId="0ADA44F8" w:rsidR="00226D24" w:rsidRPr="00F72633" w:rsidRDefault="001A098E" w:rsidP="00C313FC">
      <w:pPr>
        <w:pStyle w:val="ListParagraph"/>
        <w:numPr>
          <w:ilvl w:val="1"/>
          <w:numId w:val="40"/>
        </w:numPr>
        <w:spacing w:after="40"/>
        <w:ind w:left="1287" w:hanging="357"/>
        <w:contextualSpacing/>
        <w:rPr>
          <w:color w:val="000000" w:themeColor="text1"/>
          <w:lang w:val="es-419"/>
        </w:rPr>
      </w:pPr>
      <w:r w:rsidRPr="00F72633">
        <w:rPr>
          <w:color w:val="000000" w:themeColor="text1"/>
          <w:lang w:val="es-419"/>
        </w:rPr>
        <w:t>u</w:t>
      </w:r>
      <w:r w:rsidR="00C313FC" w:rsidRPr="00F72633">
        <w:rPr>
          <w:color w:val="000000" w:themeColor="text1"/>
          <w:lang w:val="es-419"/>
        </w:rPr>
        <w:t xml:space="preserve">na </w:t>
      </w:r>
      <w:r w:rsidR="00C313FC" w:rsidRPr="00F72633">
        <w:rPr>
          <w:rFonts w:cs="Arial"/>
          <w:snapToGrid w:val="0"/>
          <w:color w:val="000000"/>
          <w:lang w:val="es-419"/>
        </w:rPr>
        <w:t>plataforma</w:t>
      </w:r>
      <w:r w:rsidR="00C313FC" w:rsidRPr="00F72633">
        <w:rPr>
          <w:color w:val="000000" w:themeColor="text1"/>
          <w:lang w:val="es-419"/>
        </w:rPr>
        <w:t xml:space="preserve"> para intercambiar los informes DHE existentes</w:t>
      </w:r>
    </w:p>
    <w:p w14:paraId="34F5B26E" w14:textId="57A9F2BD" w:rsidR="00226D24" w:rsidRPr="00F72633" w:rsidRDefault="00296562" w:rsidP="00C313FC">
      <w:pPr>
        <w:pStyle w:val="ListParagraph"/>
        <w:numPr>
          <w:ilvl w:val="1"/>
          <w:numId w:val="40"/>
        </w:numPr>
        <w:spacing w:after="40"/>
        <w:ind w:left="1287" w:hanging="357"/>
        <w:contextualSpacing/>
        <w:rPr>
          <w:color w:val="000000" w:themeColor="text1"/>
          <w:lang w:val="es-419"/>
        </w:rPr>
      </w:pPr>
      <w:r>
        <w:rPr>
          <w:color w:val="000000" w:themeColor="text1"/>
          <w:lang w:val="es-419"/>
        </w:rPr>
        <w:t xml:space="preserve">una </w:t>
      </w:r>
      <w:r w:rsidR="001A098E" w:rsidRPr="00F72633">
        <w:rPr>
          <w:color w:val="000000" w:themeColor="text1"/>
          <w:lang w:val="es-419"/>
        </w:rPr>
        <w:t>p</w:t>
      </w:r>
      <w:r w:rsidR="00C313FC" w:rsidRPr="00F72633">
        <w:rPr>
          <w:color w:val="000000" w:themeColor="text1"/>
          <w:lang w:val="es-419"/>
        </w:rPr>
        <w:t>lataforma para que los miembros de la UPOV pongan a disposición de otros miembros de la Unión sus procedimientos de examen DHE documentados y la información sobre sus sistemas de gestión de calidad</w:t>
      </w:r>
    </w:p>
    <w:p w14:paraId="50CB00D9" w14:textId="27E67CCB" w:rsidR="00226D24" w:rsidRPr="00F72633" w:rsidRDefault="00296562" w:rsidP="00C313FC">
      <w:pPr>
        <w:pStyle w:val="ListParagraph"/>
        <w:numPr>
          <w:ilvl w:val="1"/>
          <w:numId w:val="40"/>
        </w:numPr>
        <w:spacing w:after="40"/>
        <w:ind w:left="1287" w:hanging="357"/>
        <w:contextualSpacing/>
        <w:rPr>
          <w:lang w:val="es-419"/>
        </w:rPr>
      </w:pPr>
      <w:r>
        <w:rPr>
          <w:lang w:val="es-419"/>
        </w:rPr>
        <w:t xml:space="preserve">un </w:t>
      </w:r>
      <w:r w:rsidR="001A098E" w:rsidRPr="00F72633">
        <w:rPr>
          <w:lang w:val="es-419"/>
        </w:rPr>
        <w:t>m</w:t>
      </w:r>
      <w:r w:rsidR="00C313FC" w:rsidRPr="00F72633">
        <w:rPr>
          <w:lang w:val="es-419"/>
        </w:rPr>
        <w:t>ódulo para que los miembros de la UPOV utilicen la plantilla web de documentos TG y la base de datos de caracteres para elaborar las directrices de examen propias de cada autoridad en su idioma</w:t>
      </w:r>
      <w:r>
        <w:rPr>
          <w:lang w:val="es-419"/>
        </w:rPr>
        <w:t xml:space="preserve"> (IATG)</w:t>
      </w:r>
    </w:p>
    <w:p w14:paraId="16EC6B56" w14:textId="797D05F6" w:rsidR="00226D24" w:rsidRPr="00F72633" w:rsidRDefault="00296562" w:rsidP="00C313FC">
      <w:pPr>
        <w:pStyle w:val="ListParagraph"/>
        <w:numPr>
          <w:ilvl w:val="1"/>
          <w:numId w:val="40"/>
        </w:numPr>
        <w:spacing w:after="40"/>
        <w:ind w:left="1287" w:hanging="357"/>
        <w:contextualSpacing/>
        <w:rPr>
          <w:lang w:val="es-419"/>
        </w:rPr>
      </w:pPr>
      <w:r>
        <w:rPr>
          <w:lang w:val="es-419"/>
        </w:rPr>
        <w:t xml:space="preserve">una </w:t>
      </w:r>
      <w:r w:rsidR="001A098E" w:rsidRPr="00F72633">
        <w:rPr>
          <w:lang w:val="es-419"/>
        </w:rPr>
        <w:t>p</w:t>
      </w:r>
      <w:r w:rsidR="00C313FC" w:rsidRPr="00F72633">
        <w:rPr>
          <w:lang w:val="es-419"/>
        </w:rPr>
        <w:t>lataforma o portal para las bases de datos de los miembros de la UPOV que contengan información descriptiva sobre las variedades (por ejemplo, la base de datos PLUTO)</w:t>
      </w:r>
    </w:p>
    <w:p w14:paraId="06DE884E" w14:textId="77777777" w:rsidR="007357A1" w:rsidRPr="00F72633" w:rsidRDefault="007357A1" w:rsidP="007357A1">
      <w:pPr>
        <w:spacing w:after="40"/>
        <w:contextualSpacing/>
        <w:rPr>
          <w:lang w:val="es-419"/>
        </w:rPr>
      </w:pPr>
    </w:p>
    <w:p w14:paraId="221FC572" w14:textId="3B1DC2A5" w:rsidR="007357A1" w:rsidRPr="00F72633" w:rsidRDefault="0033491F" w:rsidP="007357A1">
      <w:pPr>
        <w:spacing w:after="40"/>
        <w:contextualSpacing/>
        <w:rPr>
          <w:lang w:val="es-419"/>
        </w:rPr>
      </w:pPr>
      <w:r w:rsidRPr="00F72633">
        <w:rPr>
          <w:lang w:val="es-419"/>
        </w:rPr>
        <w:t xml:space="preserve">El Consejo Administrativo y Jurídico (CAJ) aprobó la propuesta de ampliar el alcance de las reuniones EAF a fin de que incluya la comunicación de las novedades relativas al </w:t>
      </w:r>
      <w:r w:rsidR="00886081">
        <w:rPr>
          <w:lang w:val="es-419"/>
        </w:rPr>
        <w:t>UPOV </w:t>
      </w:r>
      <w:r w:rsidRPr="00F72633">
        <w:rPr>
          <w:lang w:val="es-419"/>
        </w:rPr>
        <w:t>e-PVP y de cambiar el nombre de la</w:t>
      </w:r>
      <w:r w:rsidR="00561560" w:rsidRPr="00F72633">
        <w:rPr>
          <w:lang w:val="es-419"/>
        </w:rPr>
        <w:t>s reuniones a “reunión sobre</w:t>
      </w:r>
      <w:r w:rsidRPr="00F72633">
        <w:rPr>
          <w:lang w:val="es-419"/>
        </w:rPr>
        <w:t xml:space="preserve"> solicitudes electrónicas”</w:t>
      </w:r>
      <w:r w:rsidR="007357A1" w:rsidRPr="00F72633">
        <w:rPr>
          <w:lang w:val="es-419"/>
        </w:rPr>
        <w:t>.</w:t>
      </w:r>
    </w:p>
    <w:p w14:paraId="37E6673A" w14:textId="77777777" w:rsidR="00226D24" w:rsidRPr="00F72633" w:rsidRDefault="00226D24" w:rsidP="008A7976">
      <w:pPr>
        <w:rPr>
          <w:lang w:val="es-419"/>
        </w:rPr>
      </w:pPr>
    </w:p>
    <w:p w14:paraId="1D12FA7B" w14:textId="3D0B6B66" w:rsidR="00226D24" w:rsidRPr="00F72633" w:rsidRDefault="000D20D3" w:rsidP="00071F28">
      <w:pPr>
        <w:pStyle w:val="Heading4"/>
        <w:keepLines/>
        <w:rPr>
          <w:lang w:val="es-419"/>
        </w:rPr>
      </w:pPr>
      <w:r>
        <w:rPr>
          <w:lang w:val="es-419"/>
        </w:rPr>
        <w:t>UPOV PRISMA</w:t>
      </w:r>
    </w:p>
    <w:p w14:paraId="7C20156D" w14:textId="74A32A7B" w:rsidR="00226D24" w:rsidRPr="00F72633" w:rsidRDefault="00C36155" w:rsidP="00071F28">
      <w:pPr>
        <w:pStyle w:val="xxmsonormal"/>
        <w:keepNext/>
        <w:keepLines/>
        <w:jc w:val="both"/>
        <w:rPr>
          <w:rFonts w:ascii="Arial" w:hAnsi="Arial" w:cs="Arial"/>
          <w:iCs/>
          <w:sz w:val="20"/>
          <w:szCs w:val="20"/>
          <w:lang w:val="es-419"/>
        </w:rPr>
      </w:pPr>
      <w:r w:rsidRPr="00F72633">
        <w:rPr>
          <w:rFonts w:ascii="Arial" w:hAnsi="Arial" w:cs="Arial"/>
          <w:iCs/>
          <w:sz w:val="20"/>
          <w:szCs w:val="20"/>
          <w:lang w:val="es-419"/>
        </w:rPr>
        <w:t xml:space="preserve">El número de solicitudes presentadas a través de </w:t>
      </w:r>
      <w:r w:rsidR="000D20D3">
        <w:rPr>
          <w:rFonts w:ascii="Arial" w:hAnsi="Arial" w:cs="Arial"/>
          <w:iCs/>
          <w:sz w:val="20"/>
          <w:szCs w:val="20"/>
          <w:lang w:val="es-419"/>
        </w:rPr>
        <w:t>UPOV PRISMA</w:t>
      </w:r>
      <w:r w:rsidRPr="00F72633">
        <w:rPr>
          <w:rFonts w:ascii="Arial" w:hAnsi="Arial" w:cs="Arial"/>
          <w:iCs/>
          <w:sz w:val="20"/>
          <w:szCs w:val="20"/>
          <w:lang w:val="es-419"/>
        </w:rPr>
        <w:t xml:space="preserve"> en 2022 fue </w:t>
      </w:r>
      <w:r w:rsidR="007F0A4A" w:rsidRPr="00F72633">
        <w:rPr>
          <w:rFonts w:ascii="Arial" w:hAnsi="Arial" w:cs="Arial"/>
          <w:iCs/>
          <w:sz w:val="20"/>
          <w:szCs w:val="20"/>
          <w:lang w:val="es-419"/>
        </w:rPr>
        <w:t>de 1 907, frente a las</w:t>
      </w:r>
      <w:r w:rsidR="00886081">
        <w:rPr>
          <w:rFonts w:ascii="Arial" w:hAnsi="Arial" w:cs="Arial"/>
          <w:iCs/>
          <w:sz w:val="20"/>
          <w:szCs w:val="20"/>
          <w:lang w:val="es-419"/>
        </w:rPr>
        <w:t xml:space="preserve"> 2 508 </w:t>
      </w:r>
      <w:r w:rsidR="008B0D9B" w:rsidRPr="00F72633">
        <w:rPr>
          <w:rFonts w:ascii="Arial" w:hAnsi="Arial" w:cs="Arial"/>
          <w:iCs/>
          <w:sz w:val="20"/>
          <w:szCs w:val="20"/>
          <w:lang w:val="es-419"/>
        </w:rPr>
        <w:t>de </w:t>
      </w:r>
      <w:r w:rsidRPr="00F72633">
        <w:rPr>
          <w:rFonts w:ascii="Arial" w:hAnsi="Arial" w:cs="Arial"/>
          <w:iCs/>
          <w:sz w:val="20"/>
          <w:szCs w:val="20"/>
          <w:lang w:val="es-419"/>
        </w:rPr>
        <w:t xml:space="preserve">2021. </w:t>
      </w:r>
      <w:r w:rsidR="00886081">
        <w:rPr>
          <w:rFonts w:ascii="Arial" w:hAnsi="Arial" w:cs="Arial"/>
          <w:iCs/>
          <w:sz w:val="20"/>
          <w:szCs w:val="20"/>
          <w:lang w:val="es-419"/>
        </w:rPr>
        <w:t xml:space="preserve"> </w:t>
      </w:r>
      <w:r w:rsidRPr="00F72633">
        <w:rPr>
          <w:rFonts w:ascii="Arial" w:hAnsi="Arial" w:cs="Arial"/>
          <w:iCs/>
          <w:sz w:val="20"/>
          <w:szCs w:val="20"/>
          <w:lang w:val="es-419"/>
        </w:rPr>
        <w:t xml:space="preserve">Ello indica un crecimiento subyacente, una vez que a la cifra de 2021 se le resta el pico puntual de unas 800 solicitudes registrado en junio de 2021, resultado de un período de transición conforme al acuerdo de retirada del Reino Unido de la Unión Europea. </w:t>
      </w:r>
      <w:r w:rsidR="00886081">
        <w:rPr>
          <w:rFonts w:ascii="Arial" w:hAnsi="Arial" w:cs="Arial"/>
          <w:iCs/>
          <w:sz w:val="20"/>
          <w:szCs w:val="20"/>
          <w:lang w:val="es-419"/>
        </w:rPr>
        <w:t xml:space="preserve"> </w:t>
      </w:r>
      <w:r w:rsidRPr="00F72633">
        <w:rPr>
          <w:rFonts w:ascii="Arial" w:hAnsi="Arial" w:cs="Arial"/>
          <w:iCs/>
          <w:sz w:val="20"/>
          <w:szCs w:val="20"/>
          <w:lang w:val="es-419"/>
        </w:rPr>
        <w:t>Durante este período de transición, en el caso de una solicitud de protección comunitaria de obtenciones vegetales presentada antes del 31 de diciembre de 2020, pero aún no resuelta por la Oficina Comunitaria de Variedades Vegetales de la Unión Eur</w:t>
      </w:r>
      <w:r w:rsidR="008B0D9B" w:rsidRPr="00F72633">
        <w:rPr>
          <w:rFonts w:ascii="Arial" w:hAnsi="Arial" w:cs="Arial"/>
          <w:iCs/>
          <w:sz w:val="20"/>
          <w:szCs w:val="20"/>
          <w:lang w:val="es-419"/>
        </w:rPr>
        <w:t>opea </w:t>
      </w:r>
      <w:r w:rsidRPr="00F72633">
        <w:rPr>
          <w:rFonts w:ascii="Arial" w:hAnsi="Arial" w:cs="Arial"/>
          <w:iCs/>
          <w:sz w:val="20"/>
          <w:szCs w:val="20"/>
          <w:lang w:val="es-419"/>
        </w:rPr>
        <w:t xml:space="preserve">(OCVV), las solicitudes de derechos de obtentor presentadas en el Reino Unido en los seis meses siguientes al </w:t>
      </w:r>
      <w:r w:rsidR="00886081">
        <w:rPr>
          <w:rFonts w:ascii="Arial" w:hAnsi="Arial" w:cs="Arial"/>
          <w:iCs/>
          <w:sz w:val="20"/>
          <w:szCs w:val="20"/>
          <w:lang w:val="es-419"/>
        </w:rPr>
        <w:br/>
      </w:r>
      <w:r w:rsidRPr="00F72633">
        <w:rPr>
          <w:rFonts w:ascii="Arial" w:hAnsi="Arial" w:cs="Arial"/>
          <w:iCs/>
          <w:sz w:val="20"/>
          <w:szCs w:val="20"/>
          <w:lang w:val="es-419"/>
        </w:rPr>
        <w:t>31 de diciembre de 2020 recibieron la misma fecha de prioridad que la solicitud de protección comunitaria de obtenciones vegetales.</w:t>
      </w:r>
    </w:p>
    <w:p w14:paraId="75E2E125" w14:textId="77777777" w:rsidR="00B745EC" w:rsidRPr="00F72633" w:rsidRDefault="00B745EC" w:rsidP="006E2386">
      <w:pPr>
        <w:rPr>
          <w:lang w:val="es-419"/>
        </w:rPr>
      </w:pPr>
    </w:p>
    <w:p w14:paraId="1BE42DAC" w14:textId="029F2B6B" w:rsidR="0044103E" w:rsidRPr="00F72633" w:rsidRDefault="0044103E" w:rsidP="00AF3F69">
      <w:pPr>
        <w:pStyle w:val="Caption"/>
        <w:rPr>
          <w:iCs/>
          <w:lang w:val="es-419"/>
        </w:rPr>
      </w:pPr>
      <w:r w:rsidRPr="00F72633">
        <w:rPr>
          <w:lang w:val="es-419"/>
        </w:rPr>
        <w:t>Figur</w:t>
      </w:r>
      <w:r w:rsidR="00B14422" w:rsidRPr="00F72633">
        <w:rPr>
          <w:lang w:val="es-419"/>
        </w:rPr>
        <w:t>a</w:t>
      </w:r>
      <w:r w:rsidR="00854A00" w:rsidRPr="00F72633">
        <w:rPr>
          <w:lang w:val="es-419"/>
        </w:rPr>
        <w:t xml:space="preserve"> 6. </w:t>
      </w:r>
      <w:r w:rsidR="00B14422" w:rsidRPr="00F72633">
        <w:rPr>
          <w:iCs/>
          <w:lang w:val="es-419"/>
        </w:rPr>
        <w:t xml:space="preserve">Número de solicitudes presentadas a través de </w:t>
      </w:r>
      <w:r w:rsidR="000D20D3">
        <w:rPr>
          <w:iCs/>
          <w:lang w:val="es-419"/>
        </w:rPr>
        <w:t>UPOV PRISMA</w:t>
      </w:r>
    </w:p>
    <w:p w14:paraId="33DEF1F1" w14:textId="4FDBBDED" w:rsidR="00854A00" w:rsidRPr="00F72633" w:rsidRDefault="00854A00" w:rsidP="00854A00">
      <w:pPr>
        <w:jc w:val="center"/>
        <w:rPr>
          <w:lang w:val="es-419"/>
        </w:rPr>
      </w:pPr>
      <w:r w:rsidRPr="00F72633">
        <w:rPr>
          <w:noProof/>
          <w:lang w:eastAsia="en-US"/>
        </w:rPr>
        <w:drawing>
          <wp:inline distT="0" distB="0" distL="0" distR="0" wp14:anchorId="4897FC6B" wp14:editId="5A0E3942">
            <wp:extent cx="3568700" cy="2677361"/>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8627" cy="2692311"/>
                    </a:xfrm>
                    <a:prstGeom prst="rect">
                      <a:avLst/>
                    </a:prstGeom>
                    <a:noFill/>
                    <a:ln>
                      <a:noFill/>
                    </a:ln>
                  </pic:spPr>
                </pic:pic>
              </a:graphicData>
            </a:graphic>
          </wp:inline>
        </w:drawing>
      </w:r>
    </w:p>
    <w:p w14:paraId="1BB8E23F" w14:textId="4A1489A0" w:rsidR="003162DA" w:rsidRPr="00F72633" w:rsidRDefault="003162DA" w:rsidP="003162DA">
      <w:pPr>
        <w:jc w:val="center"/>
        <w:rPr>
          <w:lang w:val="es-419"/>
        </w:rPr>
      </w:pPr>
    </w:p>
    <w:p w14:paraId="1ECC5EA9" w14:textId="77777777" w:rsidR="009959A4" w:rsidRPr="00F72633" w:rsidRDefault="009959A4" w:rsidP="003162DA">
      <w:pPr>
        <w:jc w:val="center"/>
        <w:rPr>
          <w:lang w:val="es-419"/>
        </w:rPr>
      </w:pPr>
    </w:p>
    <w:p w14:paraId="21582FB8" w14:textId="77777777" w:rsidR="004E26CE" w:rsidRPr="00F72633" w:rsidRDefault="004E26CE" w:rsidP="003162DA">
      <w:pPr>
        <w:jc w:val="center"/>
        <w:rPr>
          <w:lang w:val="es-419"/>
        </w:rPr>
      </w:pPr>
    </w:p>
    <w:p w14:paraId="4F2B73C5" w14:textId="503B03EA" w:rsidR="003162DA" w:rsidRPr="00F72633" w:rsidRDefault="00FA1ED9" w:rsidP="000F2182">
      <w:pPr>
        <w:pStyle w:val="Heading4"/>
        <w:rPr>
          <w:lang w:val="es-419"/>
        </w:rPr>
      </w:pPr>
      <w:r w:rsidRPr="00F72633">
        <w:rPr>
          <w:lang w:val="es-419"/>
        </w:rPr>
        <w:t>Base de datos PLUTO</w:t>
      </w:r>
    </w:p>
    <w:p w14:paraId="510522CF" w14:textId="0BBF7E44" w:rsidR="003162DA" w:rsidRPr="00F72633" w:rsidRDefault="00FA1ED9" w:rsidP="003162DA">
      <w:pPr>
        <w:rPr>
          <w:lang w:val="es-419" w:eastAsia="en-US"/>
        </w:rPr>
      </w:pPr>
      <w:r w:rsidRPr="00F72633">
        <w:rPr>
          <w:lang w:val="es-419" w:eastAsia="en-US"/>
        </w:rPr>
        <w:t>El número de usuarios registrados de PLUTO aumentó un 132</w:t>
      </w:r>
      <w:r w:rsidR="0093607B" w:rsidRPr="00F72633">
        <w:rPr>
          <w:lang w:val="es-419" w:eastAsia="en-US"/>
        </w:rPr>
        <w:t> </w:t>
      </w:r>
      <w:r w:rsidR="00874D41" w:rsidRPr="00F72633">
        <w:rPr>
          <w:lang w:val="es-419" w:eastAsia="en-US"/>
        </w:rPr>
        <w:t>%, pasando de 1 314 en 2021 a 3 </w:t>
      </w:r>
      <w:r w:rsidRPr="00F72633">
        <w:rPr>
          <w:lang w:val="es-419" w:eastAsia="en-US"/>
        </w:rPr>
        <w:t>054 en 2022.</w:t>
      </w:r>
    </w:p>
    <w:p w14:paraId="5AB131E6" w14:textId="1A3D01E4" w:rsidR="00A4152B" w:rsidRPr="00F72633" w:rsidRDefault="00EF5943" w:rsidP="00A4152B">
      <w:pPr>
        <w:pStyle w:val="Heading3"/>
        <w:rPr>
          <w:lang w:val="es-419"/>
        </w:rPr>
      </w:pPr>
      <w:r w:rsidRPr="00F72633">
        <w:rPr>
          <w:lang w:val="es-419"/>
        </w:rPr>
        <w:lastRenderedPageBreak/>
        <w:t>Orientaciones y material de información</w:t>
      </w:r>
    </w:p>
    <w:p w14:paraId="5AD41FE4" w14:textId="007BB2D3" w:rsidR="007F7AB1" w:rsidRPr="00F72633" w:rsidRDefault="00EF5943" w:rsidP="00A4152B">
      <w:pPr>
        <w:tabs>
          <w:tab w:val="left" w:pos="851"/>
        </w:tabs>
        <w:rPr>
          <w:lang w:val="es-419"/>
        </w:rPr>
      </w:pPr>
      <w:r w:rsidRPr="00F72633">
        <w:rPr>
          <w:lang w:val="es-419"/>
        </w:rPr>
        <w:t>La Colección de la UPOV ofrece una serie de documentos de orientación y material de información relativos a la protección de las obtenciones vegetales con arreglo al Convenio de la UPOV.</w:t>
      </w:r>
    </w:p>
    <w:p w14:paraId="16D857C8" w14:textId="77777777" w:rsidR="007F7AB1" w:rsidRPr="00F72633" w:rsidRDefault="007F7AB1" w:rsidP="00A4152B">
      <w:pPr>
        <w:tabs>
          <w:tab w:val="left" w:pos="851"/>
        </w:tabs>
        <w:rPr>
          <w:lang w:val="es-419"/>
        </w:rPr>
      </w:pPr>
    </w:p>
    <w:p w14:paraId="04AC40FE" w14:textId="7C58485F" w:rsidR="00A4152B" w:rsidRPr="00F72633" w:rsidRDefault="00EF5943" w:rsidP="00A4152B">
      <w:pPr>
        <w:tabs>
          <w:tab w:val="left" w:pos="851"/>
        </w:tabs>
        <w:rPr>
          <w:lang w:val="es-419"/>
        </w:rPr>
      </w:pPr>
      <w:r w:rsidRPr="00F72633">
        <w:rPr>
          <w:lang w:val="es-419"/>
        </w:rPr>
        <w:t>La serie de notas explicativas (EXN) y documentos de información (INF) ya está prácticamente</w:t>
      </w:r>
      <w:r w:rsidR="00E42F29" w:rsidRPr="00F72633">
        <w:rPr>
          <w:lang w:val="es-419"/>
        </w:rPr>
        <w:t xml:space="preserve"> completa. </w:t>
      </w:r>
      <w:r w:rsidR="00683617">
        <w:rPr>
          <w:lang w:val="es-419"/>
        </w:rPr>
        <w:t xml:space="preserve"> </w:t>
      </w:r>
      <w:r w:rsidR="00E42F29" w:rsidRPr="00F72633">
        <w:rPr>
          <w:lang w:val="es-419"/>
        </w:rPr>
        <w:t>En </w:t>
      </w:r>
      <w:r w:rsidRPr="00F72633">
        <w:rPr>
          <w:lang w:val="es-419"/>
        </w:rPr>
        <w:t xml:space="preserve">2022 la labor se centró en tres temas: el Comité Consultivo creó un grupo de trabajo sobre variedades esencialmente derivadas (CC/WG-EDV) encargado de avanzar en la revisión de las Notas explicativas sobre las variedades esencialmente derivadas; se creó un grupo de trabajo sobre el producto de la cosecha y la utilización no autorizada de material de reproducción o de multiplicación (WG-HRV) encargado de estudiar posibles revisiones de las notas explicativas pertinentes; y se creó un </w:t>
      </w:r>
      <w:r w:rsidR="00683617">
        <w:rPr>
          <w:lang w:val="es-419"/>
        </w:rPr>
        <w:t>g</w:t>
      </w:r>
      <w:r w:rsidR="00683617" w:rsidRPr="00683617">
        <w:rPr>
          <w:lang w:val="es-419"/>
        </w:rPr>
        <w:t xml:space="preserve">rupo de trabajo </w:t>
      </w:r>
      <w:r w:rsidR="00683617">
        <w:rPr>
          <w:lang w:val="es-419"/>
        </w:rPr>
        <w:t xml:space="preserve">encargado de elaborar </w:t>
      </w:r>
      <w:r w:rsidR="00683617" w:rsidRPr="00683617">
        <w:rPr>
          <w:lang w:val="es-419"/>
        </w:rPr>
        <w:t xml:space="preserve">orientaciones relativas a los agricultores a pequeña escala en un marco privado y con fines no comerciales </w:t>
      </w:r>
      <w:r w:rsidR="001C4A24" w:rsidRPr="00F72633">
        <w:rPr>
          <w:lang w:val="es-419"/>
        </w:rPr>
        <w:t>(WG</w:t>
      </w:r>
      <w:r w:rsidR="001C4A24" w:rsidRPr="00F72633">
        <w:rPr>
          <w:lang w:val="es-419"/>
        </w:rPr>
        <w:noBreakHyphen/>
      </w:r>
      <w:r w:rsidRPr="00F72633">
        <w:rPr>
          <w:lang w:val="es-419"/>
        </w:rPr>
        <w:t>SHF).</w:t>
      </w:r>
    </w:p>
    <w:p w14:paraId="5F45FFA0" w14:textId="77777777" w:rsidR="007F7AB1" w:rsidRPr="00F72633" w:rsidRDefault="007F7AB1" w:rsidP="00A4152B">
      <w:pPr>
        <w:tabs>
          <w:tab w:val="left" w:pos="851"/>
        </w:tabs>
        <w:rPr>
          <w:lang w:val="es-419"/>
        </w:rPr>
      </w:pPr>
    </w:p>
    <w:p w14:paraId="1B6C958A" w14:textId="12D2B6A9" w:rsidR="007F7AB1" w:rsidRPr="00F72633" w:rsidRDefault="00495686" w:rsidP="007F7AB1">
      <w:pPr>
        <w:rPr>
          <w:lang w:val="es-419"/>
        </w:rPr>
      </w:pPr>
      <w:r w:rsidRPr="00F72633">
        <w:rPr>
          <w:lang w:val="es-419"/>
        </w:rPr>
        <w:t xml:space="preserve">La revisión para evaluar las posibilidades de la labor del Comité Técnico </w:t>
      </w:r>
      <w:r w:rsidR="00773B98" w:rsidRPr="00F72633">
        <w:rPr>
          <w:lang w:val="es-419"/>
        </w:rPr>
        <w:t>y sus Grupos de Trabajo Técnico </w:t>
      </w:r>
      <w:r w:rsidRPr="00F72633">
        <w:rPr>
          <w:lang w:val="es-419"/>
        </w:rPr>
        <w:t>(TWP</w:t>
      </w:r>
      <w:r w:rsidR="007F7AB1" w:rsidRPr="00F72633">
        <w:rPr>
          <w:lang w:val="es-419"/>
        </w:rPr>
        <w:t>) (</w:t>
      </w:r>
      <w:r w:rsidRPr="00F72633">
        <w:rPr>
          <w:lang w:val="es-419"/>
        </w:rPr>
        <w:t>véase más arriba</w:t>
      </w:r>
      <w:r w:rsidR="007F7AB1" w:rsidRPr="00F72633">
        <w:rPr>
          <w:lang w:val="es-419"/>
        </w:rPr>
        <w:t xml:space="preserve">) </w:t>
      </w:r>
      <w:r w:rsidRPr="00F72633">
        <w:rPr>
          <w:lang w:val="es-419"/>
        </w:rPr>
        <w:t xml:space="preserve">tiene por objeto evaluar las necesidades de los miembros de la Unión y los observadores en relación con las orientaciones técnicas facilitadas por la UPOV, así como determinar si los TWP, en su formato actual, atienden dichas necesidades. </w:t>
      </w:r>
      <w:r w:rsidR="00683617">
        <w:rPr>
          <w:lang w:val="es-419"/>
        </w:rPr>
        <w:t xml:space="preserve"> </w:t>
      </w:r>
      <w:r w:rsidRPr="00F72633">
        <w:rPr>
          <w:lang w:val="es-419"/>
        </w:rPr>
        <w:t xml:space="preserve">La encuesta se lleva a cabo en el contexto de la evolución que ha seguido la labor de los TWP. </w:t>
      </w:r>
      <w:r w:rsidR="00683617">
        <w:rPr>
          <w:lang w:val="es-419"/>
        </w:rPr>
        <w:t xml:space="preserve"> </w:t>
      </w:r>
      <w:r w:rsidRPr="00F72633">
        <w:rPr>
          <w:lang w:val="es-419"/>
        </w:rPr>
        <w:t xml:space="preserve">Por ejemplo, los gráficos 7 y 8 muestran la reducción progresiva del número de nuevas directrices de examen y de nuevos documentos TGP en curso de elaboración. </w:t>
      </w:r>
      <w:r w:rsidR="00683617">
        <w:rPr>
          <w:lang w:val="es-419"/>
        </w:rPr>
        <w:t xml:space="preserve"> </w:t>
      </w:r>
      <w:r w:rsidR="00B21C90" w:rsidRPr="00F72633">
        <w:rPr>
          <w:lang w:val="es-419"/>
        </w:rPr>
        <w:t xml:space="preserve">En particular, en esta revisión se tendrá en cuenta que es poco probable que la adopción de nuevas directrices de examen aumente de manera considerable el número de solicitudes de protección de obtenciones vegetales cubiertas por las directrices de examen, por lo que se seguirá prestando más atención a la revisión de las directrices de examen. </w:t>
      </w:r>
      <w:r w:rsidR="00DB547B">
        <w:rPr>
          <w:lang w:val="es-419"/>
        </w:rPr>
        <w:t xml:space="preserve"> </w:t>
      </w:r>
      <w:r w:rsidR="00B21C90" w:rsidRPr="00F72633">
        <w:rPr>
          <w:lang w:val="es-419"/>
        </w:rPr>
        <w:t xml:space="preserve">Actualmente en la labor relativa a las directrices de examen también se tienen en cuenta las ventajas que supone para </w:t>
      </w:r>
      <w:r w:rsidR="000D20D3">
        <w:rPr>
          <w:lang w:val="es-419"/>
        </w:rPr>
        <w:t>UPOV PRISMA</w:t>
      </w:r>
      <w:r w:rsidR="00B21C90" w:rsidRPr="00F72633">
        <w:rPr>
          <w:lang w:val="es-419"/>
        </w:rPr>
        <w:t xml:space="preserve"> y los solicitantes que las directrices de examen se actualicen para reflejar las necesidades de todos los miembros de la UPOV.</w:t>
      </w:r>
    </w:p>
    <w:p w14:paraId="2FB17EA4" w14:textId="77777777" w:rsidR="007F7AB1" w:rsidRPr="00F72633" w:rsidRDefault="007F7AB1" w:rsidP="007F7AB1">
      <w:pPr>
        <w:rPr>
          <w:lang w:val="es-419"/>
        </w:rPr>
      </w:pPr>
    </w:p>
    <w:tbl>
      <w:tblPr>
        <w:tblStyle w:val="TableGrid"/>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4815"/>
      </w:tblGrid>
      <w:tr w:rsidR="00593F08" w:rsidRPr="00F72633" w14:paraId="3A760DE7" w14:textId="77777777" w:rsidTr="00D92C58">
        <w:tc>
          <w:tcPr>
            <w:tcW w:w="4814" w:type="dxa"/>
            <w:hideMark/>
          </w:tcPr>
          <w:p w14:paraId="2CE354AC" w14:textId="58F276D1" w:rsidR="007F7AB1" w:rsidRPr="00F72633" w:rsidRDefault="007F7AB1" w:rsidP="00D14FC1">
            <w:pPr>
              <w:pStyle w:val="Caption"/>
              <w:rPr>
                <w:lang w:val="es-419"/>
              </w:rPr>
            </w:pPr>
            <w:r w:rsidRPr="00F72633">
              <w:rPr>
                <w:lang w:val="es-419"/>
              </w:rPr>
              <w:t>Figur</w:t>
            </w:r>
            <w:r w:rsidR="00D14FC1" w:rsidRPr="00F72633">
              <w:rPr>
                <w:lang w:val="es-419"/>
              </w:rPr>
              <w:t>a</w:t>
            </w:r>
            <w:r w:rsidRPr="00F72633">
              <w:rPr>
                <w:lang w:val="es-419"/>
              </w:rPr>
              <w:t xml:space="preserve"> </w:t>
            </w:r>
            <w:r w:rsidR="0044103E" w:rsidRPr="00F72633">
              <w:rPr>
                <w:lang w:val="es-419"/>
              </w:rPr>
              <w:t>7</w:t>
            </w:r>
            <w:r w:rsidR="00950913" w:rsidRPr="00F72633">
              <w:rPr>
                <w:lang w:val="es-419"/>
              </w:rPr>
              <w:t xml:space="preserve">. </w:t>
            </w:r>
            <w:r w:rsidRPr="00F72633">
              <w:rPr>
                <w:lang w:val="es-419"/>
              </w:rPr>
              <w:t>N</w:t>
            </w:r>
            <w:r w:rsidR="00D14FC1" w:rsidRPr="00F72633">
              <w:rPr>
                <w:lang w:val="es-419"/>
              </w:rPr>
              <w:t>úmero de directrices de examen examinadas en los</w:t>
            </w:r>
            <w:r w:rsidRPr="00F72633">
              <w:rPr>
                <w:lang w:val="es-419"/>
              </w:rPr>
              <w:t> TWP</w:t>
            </w:r>
          </w:p>
          <w:p w14:paraId="47541333" w14:textId="13AA4FFA" w:rsidR="008110FC" w:rsidRPr="00F72633" w:rsidRDefault="008110FC" w:rsidP="008110FC">
            <w:pPr>
              <w:jc w:val="center"/>
              <w:rPr>
                <w:lang w:val="es-419"/>
              </w:rPr>
            </w:pPr>
            <w:r w:rsidRPr="00F72633">
              <w:rPr>
                <w:noProof/>
                <w:lang w:eastAsia="en-US"/>
              </w:rPr>
              <w:drawing>
                <wp:inline distT="0" distB="0" distL="0" distR="0" wp14:anchorId="368E3384" wp14:editId="46233B1F">
                  <wp:extent cx="2764367" cy="202574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9846" cy="2051747"/>
                          </a:xfrm>
                          <a:prstGeom prst="rect">
                            <a:avLst/>
                          </a:prstGeom>
                          <a:noFill/>
                          <a:ln>
                            <a:noFill/>
                          </a:ln>
                        </pic:spPr>
                      </pic:pic>
                    </a:graphicData>
                  </a:graphic>
                </wp:inline>
              </w:drawing>
            </w:r>
          </w:p>
        </w:tc>
        <w:tc>
          <w:tcPr>
            <w:tcW w:w="4815" w:type="dxa"/>
            <w:hideMark/>
          </w:tcPr>
          <w:p w14:paraId="43632F1D" w14:textId="40DC804F" w:rsidR="007F7AB1" w:rsidRPr="00F72633" w:rsidRDefault="007F7AB1" w:rsidP="00D14FC1">
            <w:pPr>
              <w:pStyle w:val="Caption"/>
              <w:rPr>
                <w:lang w:val="es-419"/>
              </w:rPr>
            </w:pPr>
            <w:r w:rsidRPr="00F72633">
              <w:rPr>
                <w:lang w:val="es-419"/>
              </w:rPr>
              <w:t>Figur</w:t>
            </w:r>
            <w:r w:rsidR="00D14FC1" w:rsidRPr="00F72633">
              <w:rPr>
                <w:lang w:val="es-419"/>
              </w:rPr>
              <w:t>a</w:t>
            </w:r>
            <w:r w:rsidRPr="00F72633">
              <w:rPr>
                <w:lang w:val="es-419"/>
              </w:rPr>
              <w:t xml:space="preserve"> </w:t>
            </w:r>
            <w:r w:rsidR="0044103E" w:rsidRPr="00F72633">
              <w:rPr>
                <w:lang w:val="es-419"/>
              </w:rPr>
              <w:t>8</w:t>
            </w:r>
            <w:r w:rsidR="00950913" w:rsidRPr="00F72633">
              <w:rPr>
                <w:lang w:val="es-419"/>
              </w:rPr>
              <w:t xml:space="preserve">. </w:t>
            </w:r>
            <w:r w:rsidRPr="00F72633">
              <w:rPr>
                <w:lang w:val="es-419"/>
              </w:rPr>
              <w:t>N</w:t>
            </w:r>
            <w:r w:rsidR="00D14FC1" w:rsidRPr="00F72633">
              <w:rPr>
                <w:lang w:val="es-419"/>
              </w:rPr>
              <w:t>úmero de documentos</w:t>
            </w:r>
            <w:r w:rsidRPr="00F72633">
              <w:rPr>
                <w:lang w:val="es-419"/>
              </w:rPr>
              <w:t xml:space="preserve"> TGP </w:t>
            </w:r>
            <w:r w:rsidR="00D14FC1" w:rsidRPr="00F72633">
              <w:rPr>
                <w:lang w:val="es-419"/>
              </w:rPr>
              <w:t>examinados en los TWP</w:t>
            </w:r>
          </w:p>
          <w:p w14:paraId="7F715926" w14:textId="60B75553" w:rsidR="008110FC" w:rsidRPr="00F72633" w:rsidRDefault="008110FC" w:rsidP="008110FC">
            <w:pPr>
              <w:jc w:val="center"/>
              <w:rPr>
                <w:lang w:val="es-419"/>
              </w:rPr>
            </w:pPr>
            <w:r w:rsidRPr="00F72633">
              <w:rPr>
                <w:noProof/>
                <w:lang w:eastAsia="en-US"/>
              </w:rPr>
              <w:drawing>
                <wp:inline distT="0" distB="0" distL="0" distR="0" wp14:anchorId="395CA4C3" wp14:editId="0B8C2735">
                  <wp:extent cx="2768388" cy="202064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77540" cy="2027321"/>
                          </a:xfrm>
                          <a:prstGeom prst="rect">
                            <a:avLst/>
                          </a:prstGeom>
                          <a:noFill/>
                          <a:ln>
                            <a:noFill/>
                          </a:ln>
                        </pic:spPr>
                      </pic:pic>
                    </a:graphicData>
                  </a:graphic>
                </wp:inline>
              </w:drawing>
            </w:r>
          </w:p>
        </w:tc>
      </w:tr>
      <w:tr w:rsidR="00593F08" w:rsidRPr="00F72633" w14:paraId="2C4E2B30" w14:textId="77777777" w:rsidTr="00D92C58">
        <w:tc>
          <w:tcPr>
            <w:tcW w:w="4814" w:type="dxa"/>
            <w:hideMark/>
          </w:tcPr>
          <w:p w14:paraId="5E001D93" w14:textId="0FBDB171" w:rsidR="007F7AB1" w:rsidRPr="00F72633" w:rsidRDefault="007F7AB1" w:rsidP="004906E9">
            <w:pPr>
              <w:jc w:val="left"/>
              <w:rPr>
                <w:rFonts w:eastAsiaTheme="minorHAnsi"/>
                <w:lang w:val="es-419" w:eastAsia="en-US"/>
              </w:rPr>
            </w:pPr>
          </w:p>
        </w:tc>
        <w:tc>
          <w:tcPr>
            <w:tcW w:w="4815" w:type="dxa"/>
            <w:hideMark/>
          </w:tcPr>
          <w:p w14:paraId="457B7541" w14:textId="2DD6E4F6" w:rsidR="007F7AB1" w:rsidRPr="00F72633" w:rsidRDefault="007F7AB1" w:rsidP="004906E9">
            <w:pPr>
              <w:keepLines/>
              <w:jc w:val="center"/>
              <w:rPr>
                <w:lang w:val="es-419"/>
              </w:rPr>
            </w:pPr>
          </w:p>
        </w:tc>
      </w:tr>
    </w:tbl>
    <w:p w14:paraId="4DDB8B7B" w14:textId="3CD9FC56" w:rsidR="007F7AB1" w:rsidRDefault="007F7AB1" w:rsidP="007F7AB1">
      <w:pPr>
        <w:rPr>
          <w:lang w:val="es-419"/>
        </w:rPr>
      </w:pPr>
    </w:p>
    <w:p w14:paraId="11B24C4E" w14:textId="77777777" w:rsidR="00DB547B" w:rsidRPr="00F72633" w:rsidRDefault="00DB547B" w:rsidP="007F7AB1">
      <w:pPr>
        <w:rPr>
          <w:lang w:val="es-419"/>
        </w:rPr>
      </w:pPr>
    </w:p>
    <w:p w14:paraId="597F43CC" w14:textId="26420212" w:rsidR="003E3C19" w:rsidRPr="00F72633" w:rsidRDefault="00E8065C" w:rsidP="00C64BD1">
      <w:pPr>
        <w:pStyle w:val="Heading2"/>
        <w:ind w:left="0" w:firstLine="0"/>
        <w:jc w:val="both"/>
        <w:rPr>
          <w:lang w:val="es-419"/>
        </w:rPr>
      </w:pPr>
      <w:bookmarkStart w:id="10" w:name="_Toc143527468"/>
      <w:r w:rsidRPr="00F72633">
        <w:rPr>
          <w:lang w:val="es-419"/>
        </w:rPr>
        <w:t>Asistencia para la introducción y aplicación del sistema de la UPOV (Sub</w:t>
      </w:r>
      <w:r w:rsidR="00AA52D3" w:rsidRPr="00F72633">
        <w:rPr>
          <w:lang w:val="es-419"/>
        </w:rPr>
        <w:t>p</w:t>
      </w:r>
      <w:r w:rsidR="003E3C19" w:rsidRPr="00F72633">
        <w:rPr>
          <w:lang w:val="es-419"/>
        </w:rPr>
        <w:t>rogram</w:t>
      </w:r>
      <w:r w:rsidRPr="00F72633">
        <w:rPr>
          <w:lang w:val="es-419"/>
        </w:rPr>
        <w:t>a</w:t>
      </w:r>
      <w:r w:rsidR="003E3C19" w:rsidRPr="00F72633">
        <w:rPr>
          <w:lang w:val="es-419"/>
        </w:rPr>
        <w:t xml:space="preserve"> UV.3)</w:t>
      </w:r>
      <w:bookmarkEnd w:id="10"/>
    </w:p>
    <w:p w14:paraId="0258DEC0" w14:textId="7813730C" w:rsidR="007E3F09" w:rsidRPr="00F72633" w:rsidRDefault="004241BE" w:rsidP="008D6E31">
      <w:pPr>
        <w:pStyle w:val="Heading3"/>
        <w:rPr>
          <w:lang w:val="es-419"/>
        </w:rPr>
      </w:pPr>
      <w:r w:rsidRPr="00F72633">
        <w:rPr>
          <w:lang w:val="es-419"/>
        </w:rPr>
        <w:t>Sensibilización</w:t>
      </w:r>
    </w:p>
    <w:p w14:paraId="266625F9" w14:textId="2981BA75" w:rsidR="008D6E31" w:rsidRPr="00F72633" w:rsidRDefault="006524DD" w:rsidP="008D6E31">
      <w:pPr>
        <w:tabs>
          <w:tab w:val="left" w:pos="851"/>
        </w:tabs>
        <w:rPr>
          <w:lang w:val="es-419"/>
        </w:rPr>
      </w:pPr>
      <w:r w:rsidRPr="00F72633">
        <w:rPr>
          <w:lang w:val="es-419"/>
        </w:rPr>
        <w:t xml:space="preserve">La UPOV logró tener más impacto en la asistencia prestada en los procesos </w:t>
      </w:r>
      <w:r w:rsidR="00495262">
        <w:rPr>
          <w:lang w:val="es-419"/>
        </w:rPr>
        <w:t xml:space="preserve">legislativos o de adhesión a la UPOV </w:t>
      </w:r>
      <w:r w:rsidRPr="00F72633">
        <w:rPr>
          <w:lang w:val="es-419"/>
        </w:rPr>
        <w:t>conectando con los responsables políticos desde la perspectiva del desarrollo agrícola.</w:t>
      </w:r>
      <w:r w:rsidR="004D0C2A" w:rsidRPr="00F72633">
        <w:rPr>
          <w:lang w:val="es-419"/>
        </w:rPr>
        <w:t xml:space="preserve"> </w:t>
      </w:r>
      <w:r w:rsidR="00495262">
        <w:rPr>
          <w:lang w:val="es-419"/>
        </w:rPr>
        <w:t xml:space="preserve"> </w:t>
      </w:r>
      <w:r w:rsidRPr="00F72633">
        <w:rPr>
          <w:lang w:val="es-419"/>
        </w:rPr>
        <w:t xml:space="preserve">En su primera intervención ante el Consejo en 2022, Ghana, el miembro más reciente de la UPOV, declaró que su pertenencia a la UPOV era </w:t>
      </w:r>
      <w:r w:rsidR="0009463F" w:rsidRPr="00F72633">
        <w:rPr>
          <w:lang w:val="es-419"/>
        </w:rPr>
        <w:t>“</w:t>
      </w:r>
      <w:r w:rsidRPr="00F72633">
        <w:rPr>
          <w:lang w:val="es-419"/>
        </w:rPr>
        <w:t>esencial para su seguridad alimentaria y nutricional, además de para lograr sus obj</w:t>
      </w:r>
      <w:r w:rsidR="0009463F" w:rsidRPr="00F72633">
        <w:rPr>
          <w:lang w:val="es-419"/>
        </w:rPr>
        <w:t>etivos nacionales de desarrollo”</w:t>
      </w:r>
      <w:r w:rsidRPr="00F72633">
        <w:rPr>
          <w:lang w:val="es-419"/>
        </w:rPr>
        <w:t>.</w:t>
      </w:r>
    </w:p>
    <w:p w14:paraId="37CB7A1B" w14:textId="77777777" w:rsidR="004D0C2A" w:rsidRPr="00F72633" w:rsidRDefault="004D0C2A" w:rsidP="008D6E31">
      <w:pPr>
        <w:tabs>
          <w:tab w:val="left" w:pos="851"/>
        </w:tabs>
        <w:rPr>
          <w:lang w:val="es-419"/>
        </w:rPr>
      </w:pPr>
    </w:p>
    <w:p w14:paraId="14183494" w14:textId="2FF4B3B0" w:rsidR="00A77EE2" w:rsidRPr="00F72633" w:rsidRDefault="009B5D99" w:rsidP="00495262">
      <w:pPr>
        <w:rPr>
          <w:lang w:val="es-419"/>
        </w:rPr>
      </w:pPr>
      <w:r w:rsidRPr="00F72633">
        <w:rPr>
          <w:lang w:val="es-419"/>
        </w:rPr>
        <w:t xml:space="preserve">Ha aumentado la participación en actividades con los miembros de la UPOV y otros asociados de formación con miras a explicar la función que desempeñan la UPOV y la protección de las obtenciones vegetales en lo que respecta a garantizar la seguridad alimentaria y el suministro de alimentos a escala mundial y proteger el medio ambiente. </w:t>
      </w:r>
      <w:r w:rsidR="00495262">
        <w:rPr>
          <w:lang w:val="es-419"/>
        </w:rPr>
        <w:t xml:space="preserve"> </w:t>
      </w:r>
      <w:r w:rsidRPr="00F72633">
        <w:rPr>
          <w:lang w:val="es-419"/>
        </w:rPr>
        <w:t xml:space="preserve">Por ejemplo, en 2022 se puso en marcha un nuevo enfoque del programa de formación de formadores con el fin de proporcionar un foro en el que altos funcionarios y especialistas destacados puedan intercambiar información y experiencias para dar a conocer los efectos de la protección de las obtenciones </w:t>
      </w:r>
      <w:r w:rsidRPr="00F72633">
        <w:rPr>
          <w:lang w:val="es-419"/>
        </w:rPr>
        <w:lastRenderedPageBreak/>
        <w:t>vegetales con arreglo al Convenio de la UPOV y su relación con importantes ámbitos políticos (por ejemplo la relación de la protección de las obtenciones vegetales y la innovación en el sector agrícola, las sinergias entre el fitomejoramiento y la conservación de los recursos genéticos).</w:t>
      </w:r>
    </w:p>
    <w:p w14:paraId="7FA5D246" w14:textId="77777777" w:rsidR="005D2411" w:rsidRPr="00F72633" w:rsidRDefault="005D2411" w:rsidP="003E3C19">
      <w:pPr>
        <w:rPr>
          <w:lang w:val="es-419"/>
        </w:rPr>
      </w:pPr>
    </w:p>
    <w:p w14:paraId="1780D6B2" w14:textId="12D1A934" w:rsidR="008D6E31" w:rsidRPr="00F72633" w:rsidRDefault="009B5D99" w:rsidP="008D6E31">
      <w:pPr>
        <w:pStyle w:val="Heading3"/>
        <w:rPr>
          <w:lang w:val="es-419"/>
        </w:rPr>
      </w:pPr>
      <w:r w:rsidRPr="00F72633">
        <w:rPr>
          <w:lang w:val="es-419"/>
        </w:rPr>
        <w:t>Elaboración de legislación</w:t>
      </w:r>
    </w:p>
    <w:p w14:paraId="0E7B0919" w14:textId="15306F48" w:rsidR="00F2246C" w:rsidRPr="00F72633" w:rsidRDefault="002832D8" w:rsidP="00A44941">
      <w:pPr>
        <w:autoSpaceDE w:val="0"/>
        <w:autoSpaceDN w:val="0"/>
        <w:adjustRightInd w:val="0"/>
        <w:rPr>
          <w:lang w:val="es-419"/>
        </w:rPr>
      </w:pPr>
      <w:r w:rsidRPr="00F72633">
        <w:rPr>
          <w:lang w:val="es-419"/>
        </w:rPr>
        <w:t xml:space="preserve">La UPOV logró tener más impacto en la asistencia prestada en los procesos </w:t>
      </w:r>
      <w:r w:rsidR="002D5C82">
        <w:rPr>
          <w:lang w:val="es-419"/>
        </w:rPr>
        <w:t>legislativos o de adhesión a la UPOV</w:t>
      </w:r>
      <w:r w:rsidRPr="00F72633">
        <w:rPr>
          <w:lang w:val="es-419"/>
        </w:rPr>
        <w:t xml:space="preserve"> aumentando los conocimientos y recursos adicionales mediante el establecimiento de alianzas</w:t>
      </w:r>
      <w:r w:rsidR="004D0C2A" w:rsidRPr="00F72633">
        <w:rPr>
          <w:lang w:val="es-419"/>
        </w:rPr>
        <w:t xml:space="preserve"> </w:t>
      </w:r>
      <w:r w:rsidRPr="00F72633">
        <w:rPr>
          <w:lang w:val="es-419"/>
        </w:rPr>
        <w:t xml:space="preserve">(por </w:t>
      </w:r>
      <w:r w:rsidR="002D5C82" w:rsidRPr="00F72633">
        <w:rPr>
          <w:lang w:val="es-419"/>
        </w:rPr>
        <w:t>ejemplo,</w:t>
      </w:r>
      <w:r w:rsidRPr="00F72633">
        <w:rPr>
          <w:lang w:val="es-419"/>
        </w:rPr>
        <w:t xml:space="preserve"> mediante un taller de redacción de legislación con arreglo al Convenio de la UPOV y cooperando con los miembros de la UPOV y la OMPI).</w:t>
      </w:r>
    </w:p>
    <w:p w14:paraId="2118AA86" w14:textId="77777777" w:rsidR="00F2246C" w:rsidRPr="00F72633" w:rsidRDefault="00F2246C" w:rsidP="00A44941">
      <w:pPr>
        <w:autoSpaceDE w:val="0"/>
        <w:autoSpaceDN w:val="0"/>
        <w:adjustRightInd w:val="0"/>
        <w:rPr>
          <w:lang w:val="es-419"/>
        </w:rPr>
      </w:pPr>
    </w:p>
    <w:p w14:paraId="4A529120" w14:textId="6B6FFE87" w:rsidR="004D0C2A" w:rsidRPr="00F72633" w:rsidRDefault="00D51CF0" w:rsidP="004D0C2A">
      <w:pPr>
        <w:tabs>
          <w:tab w:val="left" w:pos="851"/>
        </w:tabs>
        <w:rPr>
          <w:lang w:val="es-419"/>
        </w:rPr>
      </w:pPr>
      <w:r w:rsidRPr="00F72633">
        <w:rPr>
          <w:lang w:val="es-419"/>
        </w:rPr>
        <w:t>En octubre de 2022 el Consejo adoptó una decisión favorable respecto de la conformidad del proyecto de Ley para la Protección de las Obtenciones Vegetales de Armenia.</w:t>
      </w:r>
    </w:p>
    <w:p w14:paraId="5C96462D" w14:textId="20A6BBA4" w:rsidR="004D0C2A" w:rsidRDefault="004D0C2A" w:rsidP="004D0C2A">
      <w:pPr>
        <w:tabs>
          <w:tab w:val="left" w:pos="851"/>
        </w:tabs>
        <w:rPr>
          <w:lang w:val="es-419"/>
        </w:rPr>
      </w:pPr>
    </w:p>
    <w:p w14:paraId="377957EC" w14:textId="77777777" w:rsidR="002D5C82" w:rsidRPr="00F72633" w:rsidRDefault="002D5C82" w:rsidP="004D0C2A">
      <w:pPr>
        <w:tabs>
          <w:tab w:val="left" w:pos="851"/>
        </w:tabs>
        <w:rPr>
          <w:lang w:val="es-419"/>
        </w:rPr>
      </w:pPr>
    </w:p>
    <w:p w14:paraId="0C0F061E" w14:textId="06CAA4E1" w:rsidR="003E3C19" w:rsidRPr="00F72633" w:rsidRDefault="00D37FD8" w:rsidP="004906E9">
      <w:pPr>
        <w:pStyle w:val="Heading2"/>
        <w:keepNext/>
        <w:rPr>
          <w:lang w:val="es-419"/>
        </w:rPr>
      </w:pPr>
      <w:bookmarkStart w:id="11" w:name="_Toc143527469"/>
      <w:r w:rsidRPr="00F72633">
        <w:rPr>
          <w:lang w:val="es-419"/>
        </w:rPr>
        <w:t>Relaciones exteriores</w:t>
      </w:r>
      <w:r w:rsidR="003E3C19" w:rsidRPr="00F72633">
        <w:rPr>
          <w:lang w:val="es-419"/>
        </w:rPr>
        <w:t xml:space="preserve"> (Sub</w:t>
      </w:r>
      <w:r w:rsidRPr="00F72633">
        <w:rPr>
          <w:lang w:val="es-419"/>
        </w:rPr>
        <w:t>p</w:t>
      </w:r>
      <w:r w:rsidR="003E3C19" w:rsidRPr="00F72633">
        <w:rPr>
          <w:lang w:val="es-419"/>
        </w:rPr>
        <w:t>rogram</w:t>
      </w:r>
      <w:r w:rsidRPr="00F72633">
        <w:rPr>
          <w:lang w:val="es-419"/>
        </w:rPr>
        <w:t>a</w:t>
      </w:r>
      <w:r w:rsidR="003E3C19" w:rsidRPr="00F72633">
        <w:rPr>
          <w:lang w:val="es-419"/>
        </w:rPr>
        <w:t xml:space="preserve"> UV.4)</w:t>
      </w:r>
      <w:bookmarkEnd w:id="11"/>
    </w:p>
    <w:p w14:paraId="376A513D" w14:textId="71AB936D" w:rsidR="00606610" w:rsidRPr="00F72633" w:rsidRDefault="00606610" w:rsidP="00606610">
      <w:pPr>
        <w:pStyle w:val="Heading3"/>
        <w:rPr>
          <w:lang w:val="es-419"/>
        </w:rPr>
      </w:pPr>
      <w:r w:rsidRPr="00F72633">
        <w:rPr>
          <w:lang w:val="es-419"/>
        </w:rPr>
        <w:t>Seminar</w:t>
      </w:r>
      <w:r w:rsidR="003260FD" w:rsidRPr="00F72633">
        <w:rPr>
          <w:lang w:val="es-419"/>
        </w:rPr>
        <w:t>io</w:t>
      </w:r>
    </w:p>
    <w:p w14:paraId="04BB6EAD" w14:textId="717955F4" w:rsidR="00136D49" w:rsidRPr="00F72633" w:rsidRDefault="006A0748" w:rsidP="004906E9">
      <w:pPr>
        <w:keepNext/>
        <w:tabs>
          <w:tab w:val="left" w:pos="851"/>
        </w:tabs>
        <w:rPr>
          <w:lang w:val="es-419"/>
        </w:rPr>
      </w:pPr>
      <w:r w:rsidRPr="00F72633">
        <w:rPr>
          <w:lang w:val="es-419"/>
        </w:rPr>
        <w:t xml:space="preserve">En octubre de 2022 la UPOV organizó un seminario sobre la importancia del fitomejoramiento y la protección de las obtenciones vegetales a la hora de propiciar que la agricultura mitigue los efectos del </w:t>
      </w:r>
      <w:r w:rsidR="002C278B" w:rsidRPr="00F72633">
        <w:rPr>
          <w:lang w:val="es-419"/>
        </w:rPr>
        <w:t>cambio climático y se adapte a e</w:t>
      </w:r>
      <w:r w:rsidRPr="00F72633">
        <w:rPr>
          <w:lang w:val="es-419"/>
        </w:rPr>
        <w:t>ste</w:t>
      </w:r>
      <w:r w:rsidR="00CA0E00" w:rsidRPr="00F72633">
        <w:rPr>
          <w:rStyle w:val="FootnoteReference"/>
          <w:lang w:val="es-419"/>
        </w:rPr>
        <w:footnoteReference w:id="3"/>
      </w:r>
      <w:r w:rsidR="00136D49" w:rsidRPr="00F72633">
        <w:rPr>
          <w:lang w:val="es-419"/>
        </w:rPr>
        <w:t xml:space="preserve">. </w:t>
      </w:r>
      <w:r w:rsidR="002D5C82">
        <w:rPr>
          <w:lang w:val="es-419"/>
        </w:rPr>
        <w:t xml:space="preserve"> </w:t>
      </w:r>
      <w:r w:rsidRPr="00F72633">
        <w:rPr>
          <w:lang w:val="es-419"/>
        </w:rPr>
        <w:t xml:space="preserve">El presidente del Consejo, Sr. </w:t>
      </w:r>
      <w:r w:rsidR="00136D49" w:rsidRPr="00F72633">
        <w:rPr>
          <w:lang w:val="es-419"/>
        </w:rPr>
        <w:t xml:space="preserve">Marien Valstar, </w:t>
      </w:r>
      <w:r w:rsidRPr="00F72633">
        <w:rPr>
          <w:lang w:val="es-419"/>
        </w:rPr>
        <w:t xml:space="preserve">formuló las </w:t>
      </w:r>
      <w:r w:rsidR="00517EEF" w:rsidRPr="00F72633">
        <w:rPr>
          <w:lang w:val="es-419"/>
        </w:rPr>
        <w:t>conclusiones</w:t>
      </w:r>
      <w:r w:rsidRPr="00F72633">
        <w:rPr>
          <w:lang w:val="es-419"/>
        </w:rPr>
        <w:t xml:space="preserve"> siguientes</w:t>
      </w:r>
      <w:r w:rsidR="00136D49" w:rsidRPr="00F72633">
        <w:rPr>
          <w:lang w:val="es-419"/>
        </w:rPr>
        <w:t>:</w:t>
      </w:r>
    </w:p>
    <w:p w14:paraId="25918A56" w14:textId="77777777" w:rsidR="003E3C19" w:rsidRPr="00F72633" w:rsidRDefault="003E3C19" w:rsidP="003E3C19">
      <w:pPr>
        <w:keepNext/>
        <w:rPr>
          <w:rFonts w:asciiTheme="majorHAnsi" w:hAnsiTheme="majorHAnsi" w:cstheme="majorHAnsi"/>
          <w:lang w:val="es-419"/>
        </w:rPr>
      </w:pPr>
    </w:p>
    <w:p w14:paraId="5B74D484" w14:textId="67184E95" w:rsidR="00136D49" w:rsidRPr="00F72633" w:rsidRDefault="004F2EB1" w:rsidP="002D5C82">
      <w:pPr>
        <w:pStyle w:val="ListParagraph"/>
        <w:numPr>
          <w:ilvl w:val="0"/>
          <w:numId w:val="41"/>
        </w:numPr>
        <w:autoSpaceDE w:val="0"/>
        <w:autoSpaceDN w:val="0"/>
        <w:adjustRightInd w:val="0"/>
        <w:rPr>
          <w:rFonts w:asciiTheme="majorHAnsi" w:hAnsiTheme="majorHAnsi" w:cstheme="majorHAnsi"/>
          <w:lang w:val="es-419"/>
        </w:rPr>
      </w:pPr>
      <w:r w:rsidRPr="00F72633">
        <w:rPr>
          <w:rFonts w:asciiTheme="majorHAnsi" w:hAnsiTheme="majorHAnsi" w:cstheme="majorHAnsi"/>
          <w:lang w:val="es-419"/>
        </w:rPr>
        <w:t xml:space="preserve">El </w:t>
      </w:r>
      <w:r w:rsidR="007402C0" w:rsidRPr="00F72633">
        <w:rPr>
          <w:rFonts w:asciiTheme="majorHAnsi" w:hAnsiTheme="majorHAnsi" w:cstheme="majorHAnsi"/>
          <w:lang w:val="es-419"/>
        </w:rPr>
        <w:t xml:space="preserve">cambio climático nos afecta cada vez más a todos en todo el mundo: agricultores, obtentores y consumidores. </w:t>
      </w:r>
      <w:r w:rsidR="002D5C82">
        <w:rPr>
          <w:rFonts w:asciiTheme="majorHAnsi" w:hAnsiTheme="majorHAnsi" w:cstheme="majorHAnsi"/>
          <w:lang w:val="es-419"/>
        </w:rPr>
        <w:t xml:space="preserve"> </w:t>
      </w:r>
      <w:r w:rsidR="007402C0" w:rsidRPr="00F72633">
        <w:rPr>
          <w:rFonts w:asciiTheme="majorHAnsi" w:hAnsiTheme="majorHAnsi" w:cstheme="majorHAnsi"/>
          <w:lang w:val="es-419"/>
        </w:rPr>
        <w:t>Los efectos son bióticos (nuevas plagas y enfermedades) y abióticos (calor, sequía, lluvia y cambios estacionales);</w:t>
      </w:r>
    </w:p>
    <w:p w14:paraId="2C09AC8A" w14:textId="77777777" w:rsidR="00136D49" w:rsidRPr="00F72633" w:rsidRDefault="00136D49" w:rsidP="002D5C82">
      <w:pPr>
        <w:autoSpaceDE w:val="0"/>
        <w:autoSpaceDN w:val="0"/>
        <w:adjustRightInd w:val="0"/>
        <w:rPr>
          <w:rFonts w:asciiTheme="majorHAnsi" w:eastAsia="Times New Roman" w:hAnsiTheme="majorHAnsi" w:cstheme="majorHAnsi"/>
          <w:lang w:val="es-419" w:eastAsia="en-US"/>
        </w:rPr>
      </w:pPr>
    </w:p>
    <w:p w14:paraId="0A2CE2C8" w14:textId="7EB932FC" w:rsidR="00136D49" w:rsidRPr="00F72633" w:rsidRDefault="004F2EB1" w:rsidP="002D5C82">
      <w:pPr>
        <w:pStyle w:val="ListParagraph"/>
        <w:numPr>
          <w:ilvl w:val="0"/>
          <w:numId w:val="41"/>
        </w:numPr>
        <w:autoSpaceDE w:val="0"/>
        <w:autoSpaceDN w:val="0"/>
        <w:adjustRightInd w:val="0"/>
        <w:rPr>
          <w:rFonts w:asciiTheme="majorHAnsi" w:hAnsiTheme="majorHAnsi" w:cstheme="majorHAnsi"/>
          <w:lang w:val="es-419"/>
        </w:rPr>
      </w:pPr>
      <w:r w:rsidRPr="00F72633">
        <w:rPr>
          <w:rFonts w:asciiTheme="majorHAnsi" w:hAnsiTheme="majorHAnsi" w:cstheme="majorHAnsi"/>
          <w:lang w:val="es-419"/>
        </w:rPr>
        <w:t xml:space="preserve">Para </w:t>
      </w:r>
      <w:r w:rsidR="00544568" w:rsidRPr="00F72633">
        <w:rPr>
          <w:rFonts w:asciiTheme="majorHAnsi" w:hAnsiTheme="majorHAnsi" w:cstheme="majorHAnsi"/>
          <w:lang w:val="es-419"/>
        </w:rPr>
        <w:t xml:space="preserve">reaccionar a estos efectos se necesitan varias estrategias. </w:t>
      </w:r>
      <w:r w:rsidR="002D5C82">
        <w:rPr>
          <w:rFonts w:asciiTheme="majorHAnsi" w:hAnsiTheme="majorHAnsi" w:cstheme="majorHAnsi"/>
          <w:lang w:val="es-419"/>
        </w:rPr>
        <w:t xml:space="preserve"> </w:t>
      </w:r>
      <w:r w:rsidR="00544568" w:rsidRPr="00F72633">
        <w:rPr>
          <w:rFonts w:asciiTheme="majorHAnsi" w:hAnsiTheme="majorHAnsi" w:cstheme="majorHAnsi"/>
          <w:lang w:val="es-419"/>
        </w:rPr>
        <w:t>El fitomejoramiento debe tener un papel fundamental en estas estrategias; los agricultores necesitan obtenciones vegetales para hacer frente al cambio climático, pero también para aumentar la productividad de manera sostenible a fin de reducir el cambio climático;</w:t>
      </w:r>
    </w:p>
    <w:p w14:paraId="7704D26B" w14:textId="77777777" w:rsidR="00136D49" w:rsidRPr="00F72633" w:rsidRDefault="00136D49" w:rsidP="002D5C82">
      <w:pPr>
        <w:autoSpaceDE w:val="0"/>
        <w:autoSpaceDN w:val="0"/>
        <w:adjustRightInd w:val="0"/>
        <w:ind w:firstLine="60"/>
        <w:rPr>
          <w:rFonts w:asciiTheme="majorHAnsi" w:eastAsia="Times New Roman" w:hAnsiTheme="majorHAnsi" w:cstheme="majorHAnsi"/>
          <w:lang w:val="es-419" w:eastAsia="en-US"/>
        </w:rPr>
      </w:pPr>
    </w:p>
    <w:p w14:paraId="0F0942D1" w14:textId="3E16918D" w:rsidR="00136D49" w:rsidRPr="00F72633" w:rsidRDefault="004F2EB1" w:rsidP="002D5C82">
      <w:pPr>
        <w:pStyle w:val="ListParagraph"/>
        <w:numPr>
          <w:ilvl w:val="0"/>
          <w:numId w:val="41"/>
        </w:numPr>
        <w:autoSpaceDE w:val="0"/>
        <w:autoSpaceDN w:val="0"/>
        <w:adjustRightInd w:val="0"/>
        <w:rPr>
          <w:rFonts w:asciiTheme="majorHAnsi" w:hAnsiTheme="majorHAnsi" w:cstheme="majorHAnsi"/>
          <w:lang w:val="es-419"/>
        </w:rPr>
      </w:pPr>
      <w:r w:rsidRPr="00F72633">
        <w:rPr>
          <w:rFonts w:asciiTheme="majorHAnsi" w:hAnsiTheme="majorHAnsi" w:cstheme="majorHAnsi"/>
          <w:lang w:val="es-419"/>
        </w:rPr>
        <w:t xml:space="preserve">El </w:t>
      </w:r>
      <w:r w:rsidR="00037BAB" w:rsidRPr="00F72633">
        <w:rPr>
          <w:rFonts w:asciiTheme="majorHAnsi" w:hAnsiTheme="majorHAnsi" w:cstheme="majorHAnsi"/>
          <w:lang w:val="es-419"/>
        </w:rPr>
        <w:t>fitomejoramiento es un proceso muy prolongado para el que es necesario que las instituciones públicas y las empresas privadas inviertan a largo plazo. Los obtentores necesitan un marco jurídico que promueva la innovación y respalde la conservación y utilización de los recursos genéticos;</w:t>
      </w:r>
    </w:p>
    <w:p w14:paraId="71550DC9" w14:textId="77777777" w:rsidR="00136D49" w:rsidRPr="00F72633" w:rsidRDefault="00136D49" w:rsidP="002D5C82">
      <w:pPr>
        <w:autoSpaceDE w:val="0"/>
        <w:autoSpaceDN w:val="0"/>
        <w:adjustRightInd w:val="0"/>
        <w:ind w:firstLine="60"/>
        <w:rPr>
          <w:rFonts w:asciiTheme="majorHAnsi" w:eastAsia="Times New Roman" w:hAnsiTheme="majorHAnsi" w:cstheme="majorHAnsi"/>
          <w:lang w:val="es-419" w:eastAsia="en-US"/>
        </w:rPr>
      </w:pPr>
    </w:p>
    <w:p w14:paraId="66FECB42" w14:textId="7420DB77" w:rsidR="00EB364F" w:rsidRPr="00F72633" w:rsidRDefault="004F2EB1" w:rsidP="002D5C82">
      <w:pPr>
        <w:pStyle w:val="ListParagraph"/>
        <w:numPr>
          <w:ilvl w:val="0"/>
          <w:numId w:val="41"/>
        </w:numPr>
        <w:autoSpaceDE w:val="0"/>
        <w:autoSpaceDN w:val="0"/>
        <w:adjustRightInd w:val="0"/>
        <w:rPr>
          <w:rFonts w:asciiTheme="majorHAnsi" w:hAnsiTheme="majorHAnsi" w:cstheme="majorHAnsi"/>
          <w:lang w:val="es-419"/>
        </w:rPr>
      </w:pPr>
      <w:r w:rsidRPr="00F72633">
        <w:rPr>
          <w:rFonts w:asciiTheme="majorHAnsi" w:hAnsiTheme="majorHAnsi" w:cstheme="majorHAnsi"/>
          <w:lang w:val="es-419"/>
        </w:rPr>
        <w:t xml:space="preserve">El </w:t>
      </w:r>
      <w:r w:rsidR="003D2C44" w:rsidRPr="00F72633">
        <w:rPr>
          <w:rFonts w:asciiTheme="majorHAnsi" w:hAnsiTheme="majorHAnsi" w:cstheme="majorHAnsi"/>
          <w:lang w:val="es-419"/>
        </w:rPr>
        <w:t>sistema de la UPOV hace posible que los obtentores proporcionen a los agricultores las variedades que necesitan para alimentar el mundo a pesar del cambio climático</w:t>
      </w:r>
      <w:r w:rsidR="00136D49" w:rsidRPr="00F72633">
        <w:rPr>
          <w:rFonts w:asciiTheme="majorHAnsi" w:hAnsiTheme="majorHAnsi" w:cstheme="majorHAnsi"/>
          <w:lang w:val="es-419"/>
        </w:rPr>
        <w:t>.</w:t>
      </w:r>
    </w:p>
    <w:p w14:paraId="57C88AE7" w14:textId="77777777" w:rsidR="00EB364F" w:rsidRPr="00F72633" w:rsidRDefault="00EB364F" w:rsidP="007E3F09">
      <w:pPr>
        <w:autoSpaceDE w:val="0"/>
        <w:autoSpaceDN w:val="0"/>
        <w:adjustRightInd w:val="0"/>
        <w:jc w:val="left"/>
        <w:rPr>
          <w:rFonts w:asciiTheme="majorHAnsi" w:eastAsia="Times New Roman" w:hAnsiTheme="majorHAnsi" w:cstheme="majorHAnsi"/>
          <w:lang w:val="es-419" w:eastAsia="en-US"/>
        </w:rPr>
      </w:pPr>
    </w:p>
    <w:p w14:paraId="43859749" w14:textId="77777777" w:rsidR="009959A4" w:rsidRPr="00F72633" w:rsidRDefault="009959A4" w:rsidP="007E3F09">
      <w:pPr>
        <w:autoSpaceDE w:val="0"/>
        <w:autoSpaceDN w:val="0"/>
        <w:adjustRightInd w:val="0"/>
        <w:jc w:val="left"/>
        <w:rPr>
          <w:rFonts w:ascii="ArialMT" w:eastAsia="Times New Roman" w:hAnsi="ArialMT" w:cs="ArialMT"/>
          <w:sz w:val="19"/>
          <w:szCs w:val="19"/>
          <w:lang w:val="es-419" w:eastAsia="en-US"/>
        </w:rPr>
      </w:pPr>
    </w:p>
    <w:p w14:paraId="77099D6A" w14:textId="77777777" w:rsidR="00606610" w:rsidRPr="00F72633" w:rsidRDefault="00606610" w:rsidP="00606610">
      <w:pPr>
        <w:pStyle w:val="Heading3"/>
        <w:rPr>
          <w:lang w:val="es-419"/>
        </w:rPr>
      </w:pPr>
      <w:r w:rsidRPr="00F72633">
        <w:rPr>
          <w:lang w:val="es-419"/>
        </w:rPr>
        <w:t>Videos</w:t>
      </w:r>
    </w:p>
    <w:p w14:paraId="46E8D9CD" w14:textId="4EBB6C6D" w:rsidR="00136D49" w:rsidRPr="00F72633" w:rsidRDefault="0029494D" w:rsidP="007E3F09">
      <w:pPr>
        <w:rPr>
          <w:snapToGrid w:val="0"/>
          <w:lang w:val="es-419"/>
        </w:rPr>
      </w:pPr>
      <w:r w:rsidRPr="00F72633">
        <w:rPr>
          <w:lang w:val="es-419"/>
        </w:rPr>
        <w:t>La UPOV también publicó los videos siguientes para sensibilizar sobre la función que desempeña la protección de las obtenciones vegetales</w:t>
      </w:r>
      <w:r w:rsidR="000A581C" w:rsidRPr="00F72633">
        <w:rPr>
          <w:rStyle w:val="FootnoteReference"/>
          <w:snapToGrid w:val="0"/>
          <w:lang w:val="es-419"/>
        </w:rPr>
        <w:footnoteReference w:id="4"/>
      </w:r>
      <w:r w:rsidR="00136D49" w:rsidRPr="00F72633">
        <w:rPr>
          <w:snapToGrid w:val="0"/>
          <w:lang w:val="es-419"/>
        </w:rPr>
        <w:t>:</w:t>
      </w:r>
    </w:p>
    <w:p w14:paraId="6DF875B2" w14:textId="77777777" w:rsidR="00136D49" w:rsidRPr="00F72633" w:rsidRDefault="00136D49" w:rsidP="007E3F09">
      <w:pPr>
        <w:rPr>
          <w:snapToGrid w:val="0"/>
          <w:lang w:val="es-419"/>
        </w:rPr>
      </w:pPr>
    </w:p>
    <w:p w14:paraId="6FC820E7" w14:textId="37631E39" w:rsidR="00136D49" w:rsidRPr="00F72633" w:rsidRDefault="008D163D" w:rsidP="000A581C">
      <w:pPr>
        <w:pStyle w:val="ListParagraph"/>
        <w:numPr>
          <w:ilvl w:val="0"/>
          <w:numId w:val="42"/>
        </w:numPr>
        <w:spacing w:after="60"/>
        <w:ind w:left="714" w:hanging="357"/>
        <w:rPr>
          <w:i/>
          <w:lang w:val="es-419"/>
        </w:rPr>
      </w:pPr>
      <w:r w:rsidRPr="00F72633">
        <w:rPr>
          <w:i/>
          <w:lang w:val="es-419"/>
        </w:rPr>
        <w:t>Cómo la UPOV ayuda a una empresa familiar de fitomejoramiento de los Países Bajos a operar a nivel mundial</w:t>
      </w:r>
    </w:p>
    <w:p w14:paraId="6BA325D7" w14:textId="0B469A16" w:rsidR="00136D49" w:rsidRPr="00F72633" w:rsidRDefault="00136D49" w:rsidP="008D163D">
      <w:pPr>
        <w:pStyle w:val="ListParagraph"/>
        <w:numPr>
          <w:ilvl w:val="0"/>
          <w:numId w:val="42"/>
        </w:numPr>
        <w:spacing w:after="60"/>
        <w:rPr>
          <w:lang w:val="es-419"/>
        </w:rPr>
      </w:pPr>
      <w:r w:rsidRPr="00F72633">
        <w:rPr>
          <w:i/>
          <w:lang w:val="es-419"/>
        </w:rPr>
        <w:t>Netherlands Triple Helix - government, business and academia working together. Learn how this complements plant variety protection</w:t>
      </w:r>
      <w:r w:rsidR="008D163D" w:rsidRPr="00F72633">
        <w:rPr>
          <w:lang w:val="es-419"/>
        </w:rPr>
        <w:t xml:space="preserve"> (La triple hélice de los Países Bajos: el gobierno, las empresas y el mundo académico trabajan juntos. </w:t>
      </w:r>
      <w:r w:rsidR="00B22F3E" w:rsidRPr="00F72633">
        <w:rPr>
          <w:lang w:val="es-419"/>
        </w:rPr>
        <w:t xml:space="preserve">Cómo </w:t>
      </w:r>
      <w:r w:rsidR="008D163D" w:rsidRPr="00F72633">
        <w:rPr>
          <w:lang w:val="es-419"/>
        </w:rPr>
        <w:t>se complementa la protección de las obtenciones vegetales)</w:t>
      </w:r>
    </w:p>
    <w:p w14:paraId="6CEFA6E8" w14:textId="337CA714" w:rsidR="00136D49" w:rsidRPr="00F72633" w:rsidRDefault="008D163D" w:rsidP="000A581C">
      <w:pPr>
        <w:pStyle w:val="ListParagraph"/>
        <w:numPr>
          <w:ilvl w:val="0"/>
          <w:numId w:val="42"/>
        </w:numPr>
        <w:spacing w:after="60"/>
        <w:ind w:left="714" w:hanging="357"/>
        <w:rPr>
          <w:i/>
          <w:lang w:val="es-419"/>
        </w:rPr>
      </w:pPr>
      <w:r w:rsidRPr="00F72633">
        <w:rPr>
          <w:i/>
          <w:lang w:val="es-419"/>
        </w:rPr>
        <w:t>Nuevas variedades de frijoles (</w:t>
      </w:r>
      <w:r w:rsidR="004F2EB1" w:rsidRPr="00F72633">
        <w:rPr>
          <w:i/>
          <w:lang w:val="es-419"/>
        </w:rPr>
        <w:t xml:space="preserve">Phaseolus </w:t>
      </w:r>
      <w:r w:rsidRPr="00F72633">
        <w:rPr>
          <w:i/>
          <w:lang w:val="es-419"/>
        </w:rPr>
        <w:t>vulgaris): impacto logrado por EMBRAPA a través de la protección de obtenciones vegetales en el Brasil</w:t>
      </w:r>
    </w:p>
    <w:p w14:paraId="40E31196" w14:textId="544265C5" w:rsidR="00136D49" w:rsidRPr="00F72633" w:rsidRDefault="00136D49" w:rsidP="00B23B49">
      <w:pPr>
        <w:pStyle w:val="ListParagraph"/>
        <w:numPr>
          <w:ilvl w:val="0"/>
          <w:numId w:val="42"/>
        </w:numPr>
        <w:spacing w:after="60"/>
        <w:rPr>
          <w:lang w:val="es-419"/>
        </w:rPr>
      </w:pPr>
      <w:r w:rsidRPr="00F72633">
        <w:rPr>
          <w:i/>
          <w:lang w:val="es-419"/>
        </w:rPr>
        <w:t xml:space="preserve">New Varieties of trees and herbs with high quality developed in China </w:t>
      </w:r>
      <w:r w:rsidRPr="00F72633">
        <w:rPr>
          <w:lang w:val="es-419"/>
        </w:rPr>
        <w:t>(National Forestry and Grassland Administration (NFGA))</w:t>
      </w:r>
      <w:r w:rsidR="00B23B49" w:rsidRPr="00F72633">
        <w:rPr>
          <w:lang w:val="es-419"/>
        </w:rPr>
        <w:t xml:space="preserve"> (Desarrollo de nuevas variedades de árboles y hierbas de gran calidad en China (Administración Estatal de Silvicultura y Pastizales))</w:t>
      </w:r>
    </w:p>
    <w:p w14:paraId="62267258" w14:textId="71948089" w:rsidR="00136D49" w:rsidRPr="00F72633" w:rsidRDefault="00B23B49" w:rsidP="00606610">
      <w:pPr>
        <w:pStyle w:val="ListParagraph"/>
        <w:numPr>
          <w:ilvl w:val="0"/>
          <w:numId w:val="42"/>
        </w:numPr>
        <w:rPr>
          <w:i/>
          <w:lang w:val="es-419"/>
        </w:rPr>
      </w:pPr>
      <w:r w:rsidRPr="00F72633">
        <w:rPr>
          <w:i/>
          <w:lang w:val="es-419"/>
        </w:rPr>
        <w:t>Mejores opciones para los productores de frambuesa en Chile</w:t>
      </w:r>
    </w:p>
    <w:p w14:paraId="576881C8" w14:textId="49F1FFA4" w:rsidR="0079482E" w:rsidRPr="00F72633" w:rsidRDefault="004F2EB1" w:rsidP="00606610">
      <w:pPr>
        <w:pStyle w:val="Heading3"/>
        <w:rPr>
          <w:snapToGrid w:val="0"/>
          <w:lang w:val="es-419"/>
        </w:rPr>
      </w:pPr>
      <w:r w:rsidRPr="00F72633">
        <w:rPr>
          <w:lang w:val="es-419"/>
        </w:rPr>
        <w:lastRenderedPageBreak/>
        <w:t>Redes</w:t>
      </w:r>
      <w:r w:rsidR="00216AFA" w:rsidRPr="00F72633">
        <w:rPr>
          <w:lang w:val="es-419"/>
        </w:rPr>
        <w:t xml:space="preserve"> s</w:t>
      </w:r>
      <w:r w:rsidR="00606610" w:rsidRPr="00F72633">
        <w:rPr>
          <w:lang w:val="es-419"/>
        </w:rPr>
        <w:t>ocial</w:t>
      </w:r>
      <w:r w:rsidR="00216AFA" w:rsidRPr="00F72633">
        <w:rPr>
          <w:lang w:val="es-419"/>
        </w:rPr>
        <w:t>es</w:t>
      </w:r>
    </w:p>
    <w:p w14:paraId="5F47B62A" w14:textId="2A666C92" w:rsidR="003E3C19" w:rsidRPr="00F72633" w:rsidRDefault="00536105" w:rsidP="003E3C19">
      <w:pPr>
        <w:autoSpaceDE w:val="0"/>
        <w:autoSpaceDN w:val="0"/>
        <w:adjustRightInd w:val="0"/>
        <w:rPr>
          <w:szCs w:val="19"/>
          <w:lang w:val="es-419"/>
        </w:rPr>
      </w:pPr>
      <w:r w:rsidRPr="00F72633">
        <w:rPr>
          <w:szCs w:val="19"/>
          <w:lang w:val="es-419"/>
        </w:rPr>
        <w:t>La UPOV siguió publicando contenidos en l</w:t>
      </w:r>
      <w:r w:rsidR="004F2EB1" w:rsidRPr="00F72633">
        <w:rPr>
          <w:szCs w:val="19"/>
          <w:lang w:val="es-419"/>
        </w:rPr>
        <w:t>a</w:t>
      </w:r>
      <w:r w:rsidRPr="00F72633">
        <w:rPr>
          <w:szCs w:val="19"/>
          <w:lang w:val="es-419"/>
        </w:rPr>
        <w:t xml:space="preserve">s </w:t>
      </w:r>
      <w:r w:rsidR="004F2EB1" w:rsidRPr="00F72633">
        <w:rPr>
          <w:szCs w:val="19"/>
          <w:lang w:val="es-419"/>
        </w:rPr>
        <w:t>redes sociales</w:t>
      </w:r>
      <w:r w:rsidRPr="00F72633">
        <w:rPr>
          <w:szCs w:val="19"/>
          <w:lang w:val="es-419"/>
        </w:rPr>
        <w:t xml:space="preserve"> con regularidad. El número de seguidores en LinkedIn siguió aumentando considerablemente, mientras que el de seguidores en Twitter fue muy moderado. El número de visitas al sitio web de la UPOV aumentó ligeramente (4</w:t>
      </w:r>
      <w:r w:rsidR="00201141" w:rsidRPr="00F72633">
        <w:rPr>
          <w:szCs w:val="19"/>
          <w:lang w:val="es-419"/>
        </w:rPr>
        <w:t> </w:t>
      </w:r>
      <w:r w:rsidRPr="00F72633">
        <w:rPr>
          <w:szCs w:val="19"/>
          <w:lang w:val="es-419"/>
        </w:rPr>
        <w:t>%), mientras que el de nuevos visitantes disminuyó un 6</w:t>
      </w:r>
      <w:r w:rsidR="00201141" w:rsidRPr="00F72633">
        <w:rPr>
          <w:szCs w:val="19"/>
          <w:lang w:val="es-419"/>
        </w:rPr>
        <w:t> </w:t>
      </w:r>
      <w:r w:rsidRPr="00F72633">
        <w:rPr>
          <w:szCs w:val="19"/>
          <w:lang w:val="es-419"/>
        </w:rPr>
        <w:t>%. Se está llevando a cabo un examen de la actividad de la UPOV en l</w:t>
      </w:r>
      <w:r w:rsidR="004F2EB1" w:rsidRPr="00F72633">
        <w:rPr>
          <w:szCs w:val="19"/>
          <w:lang w:val="es-419"/>
        </w:rPr>
        <w:t>a</w:t>
      </w:r>
      <w:r w:rsidRPr="00F72633">
        <w:rPr>
          <w:szCs w:val="19"/>
          <w:lang w:val="es-419"/>
        </w:rPr>
        <w:t xml:space="preserve">s </w:t>
      </w:r>
      <w:r w:rsidR="004F2EB1" w:rsidRPr="00F72633">
        <w:rPr>
          <w:szCs w:val="19"/>
          <w:lang w:val="es-419"/>
        </w:rPr>
        <w:t>redes sociales</w:t>
      </w:r>
      <w:r w:rsidRPr="00F72633">
        <w:rPr>
          <w:szCs w:val="19"/>
          <w:lang w:val="es-419"/>
        </w:rPr>
        <w:t xml:space="preserve"> con el fin de utilizar los recursos de manera más eficaz.</w:t>
      </w:r>
    </w:p>
    <w:p w14:paraId="5D24414C" w14:textId="77777777" w:rsidR="00606610" w:rsidRPr="00F72633" w:rsidRDefault="00606610" w:rsidP="003E3C19">
      <w:pPr>
        <w:autoSpaceDE w:val="0"/>
        <w:autoSpaceDN w:val="0"/>
        <w:adjustRightInd w:val="0"/>
        <w:rPr>
          <w:szCs w:val="19"/>
          <w:lang w:val="es-419"/>
        </w:rPr>
      </w:pPr>
    </w:p>
    <w:p w14:paraId="52E9EADB" w14:textId="130A4C5D" w:rsidR="003E3C19" w:rsidRPr="00F72633" w:rsidRDefault="003E3C19" w:rsidP="00A85A24">
      <w:pPr>
        <w:pStyle w:val="Heading1"/>
        <w:ind w:left="851" w:hanging="851"/>
        <w:jc w:val="left"/>
        <w:rPr>
          <w:lang w:val="es-419"/>
        </w:rPr>
      </w:pPr>
      <w:bookmarkStart w:id="12" w:name="_Toc80365149"/>
      <w:bookmarkStart w:id="13" w:name="_Toc143527470"/>
      <w:bookmarkStart w:id="14" w:name="_Toc80365150"/>
      <w:bookmarkStart w:id="15" w:name="_Toc419283235"/>
      <w:bookmarkStart w:id="16" w:name="_Toc505584723"/>
      <w:bookmarkStart w:id="17" w:name="_Toc505584724"/>
      <w:r w:rsidRPr="00F72633">
        <w:rPr>
          <w:lang w:val="es-419"/>
        </w:rPr>
        <w:lastRenderedPageBreak/>
        <w:t>I.</w:t>
      </w:r>
      <w:r w:rsidRPr="00F72633">
        <w:rPr>
          <w:lang w:val="es-419"/>
        </w:rPr>
        <w:tab/>
      </w:r>
      <w:bookmarkEnd w:id="12"/>
      <w:r w:rsidR="00A85A24" w:rsidRPr="00F72633">
        <w:rPr>
          <w:lang w:val="es-419"/>
        </w:rPr>
        <w:t>PANORAMA FINANCIERO Y DE RESULTADOS</w:t>
      </w:r>
      <w:bookmarkEnd w:id="13"/>
    </w:p>
    <w:p w14:paraId="72E3C320" w14:textId="0D739ECE" w:rsidR="001645C8" w:rsidRPr="00F72633" w:rsidRDefault="000B79AD" w:rsidP="003E3C19">
      <w:pPr>
        <w:rPr>
          <w:lang w:val="es-419"/>
        </w:rPr>
      </w:pPr>
      <w:r w:rsidRPr="00F72633">
        <w:rPr>
          <w:b/>
          <w:color w:val="26724C" w:themeColor="accent1" w:themeShade="BF"/>
          <w:sz w:val="22"/>
          <w:lang w:val="es-419"/>
        </w:rPr>
        <w:t>Principales parámetros financieros</w:t>
      </w:r>
    </w:p>
    <w:p w14:paraId="26C18E39" w14:textId="77777777" w:rsidR="001645C8" w:rsidRPr="00F72633" w:rsidRDefault="001645C8" w:rsidP="003E3C19">
      <w:pPr>
        <w:pStyle w:val="annexiparanumbered"/>
        <w:numPr>
          <w:ilvl w:val="0"/>
          <w:numId w:val="0"/>
        </w:numPr>
        <w:rPr>
          <w:lang w:val="es-419"/>
        </w:rPr>
      </w:pPr>
    </w:p>
    <w:p w14:paraId="754BC14E" w14:textId="7B5FDA67" w:rsidR="000B79AD" w:rsidRPr="00F72633" w:rsidRDefault="000B79AD" w:rsidP="000B79AD">
      <w:pPr>
        <w:pStyle w:val="annexiparanumbered"/>
        <w:numPr>
          <w:ilvl w:val="0"/>
          <w:numId w:val="0"/>
        </w:numPr>
        <w:rPr>
          <w:lang w:val="es-419"/>
        </w:rPr>
      </w:pPr>
      <w:r w:rsidRPr="00F72633">
        <w:rPr>
          <w:lang w:val="es-419"/>
        </w:rPr>
        <w:t xml:space="preserve">En el cuadro 1 se expone el resultado presupuestario general de la UPOV, además de los fondos de reserva y de </w:t>
      </w:r>
      <w:r w:rsidR="00810113" w:rsidRPr="00F72633">
        <w:rPr>
          <w:lang w:val="es-419"/>
        </w:rPr>
        <w:t>operaciones </w:t>
      </w:r>
      <w:r w:rsidRPr="00F72633">
        <w:rPr>
          <w:lang w:val="es-419"/>
        </w:rPr>
        <w:t xml:space="preserve">(FRO), a finales de 2022. </w:t>
      </w:r>
      <w:r w:rsidR="00003E83">
        <w:rPr>
          <w:lang w:val="es-419"/>
        </w:rPr>
        <w:t xml:space="preserve"> </w:t>
      </w:r>
      <w:r w:rsidRPr="00F72633">
        <w:rPr>
          <w:lang w:val="es-419"/>
        </w:rPr>
        <w:t>Los ingresos totales (antes de los ajustes con arreglo a las IPSAS) fueron de 3,8 millones de francos suizos y los gastos totales fueron de 3,6 millones de francos suizos, lo que arroja un superávit presupuestario de 0,2 millones de francos suizos en 2022.</w:t>
      </w:r>
    </w:p>
    <w:p w14:paraId="7643C478" w14:textId="77777777" w:rsidR="000B79AD" w:rsidRPr="00F72633" w:rsidRDefault="000B79AD" w:rsidP="000B79AD">
      <w:pPr>
        <w:pStyle w:val="annexiparanumbered"/>
        <w:numPr>
          <w:ilvl w:val="0"/>
          <w:numId w:val="0"/>
        </w:numPr>
        <w:rPr>
          <w:lang w:val="es-419"/>
        </w:rPr>
      </w:pPr>
    </w:p>
    <w:p w14:paraId="78ECE1FA" w14:textId="23BCC77F" w:rsidR="001645C8" w:rsidRPr="00F72633" w:rsidRDefault="00003E83" w:rsidP="000B79AD">
      <w:pPr>
        <w:rPr>
          <w:rFonts w:eastAsia="Times New Roman"/>
          <w:color w:val="000000"/>
          <w:lang w:val="es-419" w:eastAsia="en-US"/>
        </w:rPr>
      </w:pPr>
      <w:r>
        <w:rPr>
          <w:lang w:val="es-419"/>
        </w:rPr>
        <w:t xml:space="preserve">Al final del ejercicio 2022, el total de los FRO ascendió a </w:t>
      </w:r>
      <w:r w:rsidR="000B79AD" w:rsidRPr="00F72633">
        <w:rPr>
          <w:lang w:val="es-419"/>
        </w:rPr>
        <w:t>0,3 millones de fran</w:t>
      </w:r>
      <w:r>
        <w:rPr>
          <w:lang w:val="es-419"/>
        </w:rPr>
        <w:t xml:space="preserve">cos suizos, cifra que comprende </w:t>
      </w:r>
      <w:r w:rsidR="000B79AD" w:rsidRPr="00F72633">
        <w:rPr>
          <w:lang w:val="es-419"/>
        </w:rPr>
        <w:t>0,9 millones de franc</w:t>
      </w:r>
      <w:r>
        <w:rPr>
          <w:lang w:val="es-419"/>
        </w:rPr>
        <w:t xml:space="preserve">os suizos del fondo de reserva, </w:t>
      </w:r>
      <w:r w:rsidR="000B79AD" w:rsidRPr="00F72633">
        <w:rPr>
          <w:lang w:val="es-419"/>
        </w:rPr>
        <w:t>0,6 millones de francos suizos del fondo de operaciones y pérdidas actuariales en los activos netos de 1,1 millones de francos suizos.</w:t>
      </w:r>
    </w:p>
    <w:p w14:paraId="32A62F4E" w14:textId="77777777" w:rsidR="001645C8" w:rsidRPr="00F72633" w:rsidRDefault="001645C8" w:rsidP="003E3C19">
      <w:pPr>
        <w:pStyle w:val="annexiparanumbered"/>
        <w:numPr>
          <w:ilvl w:val="0"/>
          <w:numId w:val="0"/>
        </w:numPr>
        <w:rPr>
          <w:lang w:val="es-419"/>
        </w:rPr>
      </w:pPr>
    </w:p>
    <w:p w14:paraId="2C718400" w14:textId="49E88883" w:rsidR="001645C8" w:rsidRPr="00F72633" w:rsidRDefault="000B79AD" w:rsidP="003E3C19">
      <w:pPr>
        <w:autoSpaceDE w:val="0"/>
        <w:autoSpaceDN w:val="0"/>
        <w:adjustRightInd w:val="0"/>
        <w:jc w:val="center"/>
        <w:rPr>
          <w:b/>
          <w:color w:val="155F1A"/>
          <w:sz w:val="18"/>
          <w:szCs w:val="18"/>
          <w:lang w:val="es-419"/>
        </w:rPr>
      </w:pPr>
      <w:r w:rsidRPr="00F72633">
        <w:rPr>
          <w:b/>
          <w:color w:val="155F1A"/>
          <w:sz w:val="18"/>
          <w:lang w:val="es-419"/>
        </w:rPr>
        <w:t>Cuadro 1. Principales parámetros financieros</w:t>
      </w:r>
      <w:r w:rsidR="001645C8" w:rsidRPr="00F72633">
        <w:rPr>
          <w:b/>
          <w:color w:val="155F1A"/>
          <w:sz w:val="18"/>
          <w:szCs w:val="18"/>
          <w:lang w:val="es-419"/>
        </w:rPr>
        <w:t xml:space="preserve"> 2022</w:t>
      </w:r>
    </w:p>
    <w:p w14:paraId="19E1C47A" w14:textId="6DEF80FF" w:rsidR="001645C8" w:rsidRPr="00F72633" w:rsidRDefault="001645C8" w:rsidP="003E3C19">
      <w:pPr>
        <w:autoSpaceDE w:val="0"/>
        <w:autoSpaceDN w:val="0"/>
        <w:adjustRightInd w:val="0"/>
        <w:jc w:val="center"/>
        <w:rPr>
          <w:i/>
          <w:sz w:val="14"/>
          <w:szCs w:val="18"/>
          <w:lang w:val="es-419"/>
        </w:rPr>
      </w:pPr>
      <w:r w:rsidRPr="00F72633">
        <w:rPr>
          <w:i/>
          <w:sz w:val="14"/>
          <w:szCs w:val="18"/>
          <w:lang w:val="es-419"/>
        </w:rPr>
        <w:t>(</w:t>
      </w:r>
      <w:r w:rsidR="00221BC7" w:rsidRPr="00F72633">
        <w:rPr>
          <w:i/>
          <w:sz w:val="14"/>
          <w:lang w:val="es-419"/>
        </w:rPr>
        <w:t>en miles de francos suizos</w:t>
      </w:r>
      <w:r w:rsidRPr="00F72633">
        <w:rPr>
          <w:i/>
          <w:sz w:val="14"/>
          <w:szCs w:val="18"/>
          <w:lang w:val="es-419"/>
        </w:rPr>
        <w:t>)</w:t>
      </w:r>
    </w:p>
    <w:p w14:paraId="053B32F2" w14:textId="77777777" w:rsidR="001645C8" w:rsidRPr="00F72633" w:rsidRDefault="001645C8" w:rsidP="003E3C19">
      <w:pPr>
        <w:autoSpaceDE w:val="0"/>
        <w:autoSpaceDN w:val="0"/>
        <w:adjustRightInd w:val="0"/>
        <w:jc w:val="center"/>
        <w:rPr>
          <w:i/>
          <w:sz w:val="14"/>
          <w:szCs w:val="18"/>
          <w:lang w:val="es-419"/>
        </w:rPr>
      </w:pPr>
    </w:p>
    <w:tbl>
      <w:tblPr>
        <w:tblW w:w="9000" w:type="dxa"/>
        <w:jc w:val="center"/>
        <w:tblLook w:val="04A0" w:firstRow="1" w:lastRow="0" w:firstColumn="1" w:lastColumn="0" w:noHBand="0" w:noVBand="1"/>
      </w:tblPr>
      <w:tblGrid>
        <w:gridCol w:w="3420"/>
        <w:gridCol w:w="2004"/>
        <w:gridCol w:w="1236"/>
        <w:gridCol w:w="2340"/>
      </w:tblGrid>
      <w:tr w:rsidR="001645C8" w:rsidRPr="00F72633" w14:paraId="55AFFEEF" w14:textId="77777777" w:rsidTr="00405932">
        <w:trPr>
          <w:trHeight w:val="427"/>
          <w:jc w:val="center"/>
        </w:trPr>
        <w:tc>
          <w:tcPr>
            <w:tcW w:w="3420" w:type="dxa"/>
            <w:vMerge w:val="restart"/>
            <w:tcBorders>
              <w:top w:val="nil"/>
              <w:left w:val="nil"/>
              <w:bottom w:val="nil"/>
              <w:right w:val="nil"/>
            </w:tcBorders>
            <w:shd w:val="clear" w:color="000000" w:fill="C7CFD8"/>
            <w:vAlign w:val="center"/>
            <w:hideMark/>
          </w:tcPr>
          <w:p w14:paraId="4B1E3159" w14:textId="5DFBEDFB" w:rsidR="001645C8" w:rsidRPr="00F72633" w:rsidRDefault="00221BC7"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Principales parámetros financieros</w:t>
            </w:r>
          </w:p>
        </w:tc>
        <w:tc>
          <w:tcPr>
            <w:tcW w:w="2004" w:type="dxa"/>
            <w:vMerge w:val="restart"/>
            <w:tcBorders>
              <w:top w:val="nil"/>
              <w:left w:val="nil"/>
              <w:bottom w:val="nil"/>
              <w:right w:val="nil"/>
            </w:tcBorders>
            <w:shd w:val="clear" w:color="000000" w:fill="C7CFD8"/>
            <w:vAlign w:val="center"/>
            <w:hideMark/>
          </w:tcPr>
          <w:p w14:paraId="60580F74" w14:textId="36742E80" w:rsidR="001645C8" w:rsidRPr="00F72633" w:rsidRDefault="00221BC7" w:rsidP="009C20C7">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P</w:t>
            </w:r>
            <w:r w:rsidR="009C20C7" w:rsidRPr="00F72633">
              <w:rPr>
                <w:rFonts w:ascii="Arial Narrow" w:hAnsi="Arial Narrow"/>
                <w:b/>
                <w:color w:val="000000"/>
                <w:sz w:val="16"/>
                <w:lang w:val="es-419"/>
              </w:rPr>
              <w:t>rograma y Presupuesto</w:t>
            </w:r>
            <w:r w:rsidRPr="00F72633">
              <w:rPr>
                <w:rFonts w:ascii="Arial Narrow" w:eastAsia="Times New Roman" w:hAnsi="Arial Narrow"/>
                <w:b/>
                <w:bCs/>
                <w:color w:val="000000"/>
                <w:sz w:val="16"/>
                <w:szCs w:val="16"/>
                <w:lang w:val="es-419" w:eastAsia="en-US"/>
              </w:rPr>
              <w:t xml:space="preserve"> 2022/23</w:t>
            </w:r>
          </w:p>
        </w:tc>
        <w:tc>
          <w:tcPr>
            <w:tcW w:w="1236" w:type="dxa"/>
            <w:vMerge w:val="restart"/>
            <w:tcBorders>
              <w:top w:val="nil"/>
              <w:left w:val="nil"/>
              <w:bottom w:val="nil"/>
              <w:right w:val="nil"/>
            </w:tcBorders>
            <w:shd w:val="clear" w:color="000000" w:fill="C7CFD8"/>
            <w:vAlign w:val="center"/>
            <w:hideMark/>
          </w:tcPr>
          <w:p w14:paraId="2D55B31A" w14:textId="3C1A123B" w:rsidR="001645C8" w:rsidRPr="00F72633" w:rsidRDefault="00221BC7" w:rsidP="00221BC7">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Cifras reales de</w:t>
            </w:r>
            <w:r w:rsidRPr="00F72633">
              <w:rPr>
                <w:rFonts w:ascii="Arial Narrow" w:eastAsia="Times New Roman" w:hAnsi="Arial Narrow"/>
                <w:b/>
                <w:bCs/>
                <w:color w:val="000000"/>
                <w:sz w:val="16"/>
                <w:szCs w:val="16"/>
                <w:lang w:val="es-419" w:eastAsia="en-US"/>
              </w:rPr>
              <w:t xml:space="preserve"> 2022</w:t>
            </w:r>
          </w:p>
        </w:tc>
        <w:tc>
          <w:tcPr>
            <w:tcW w:w="2340" w:type="dxa"/>
            <w:vMerge w:val="restart"/>
            <w:tcBorders>
              <w:top w:val="nil"/>
              <w:left w:val="nil"/>
              <w:bottom w:val="nil"/>
              <w:right w:val="nil"/>
            </w:tcBorders>
            <w:shd w:val="clear" w:color="000000" w:fill="C7CFD8"/>
            <w:vAlign w:val="center"/>
            <w:hideMark/>
          </w:tcPr>
          <w:p w14:paraId="4BC4BDBE" w14:textId="7FBDE8C4" w:rsidR="001645C8" w:rsidRPr="00F72633" w:rsidRDefault="00221BC7" w:rsidP="002278C4">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 xml:space="preserve">Cifras reales de </w:t>
            </w:r>
            <w:r w:rsidR="001645C8" w:rsidRPr="00F72633">
              <w:rPr>
                <w:rFonts w:ascii="Arial Narrow" w:eastAsia="Times New Roman" w:hAnsi="Arial Narrow"/>
                <w:b/>
                <w:bCs/>
                <w:color w:val="000000"/>
                <w:sz w:val="16"/>
                <w:szCs w:val="16"/>
                <w:lang w:val="es-419" w:eastAsia="en-US"/>
              </w:rPr>
              <w:t xml:space="preserve">2022 </w:t>
            </w:r>
            <w:r w:rsidR="00003E83">
              <w:rPr>
                <w:rFonts w:ascii="Arial Narrow" w:eastAsia="Times New Roman" w:hAnsi="Arial Narrow"/>
                <w:b/>
                <w:bCs/>
                <w:color w:val="000000"/>
                <w:sz w:val="16"/>
                <w:szCs w:val="16"/>
                <w:lang w:val="es-419" w:eastAsia="en-US"/>
              </w:rPr>
              <w:br/>
            </w:r>
            <w:r w:rsidRPr="00F72633">
              <w:rPr>
                <w:rFonts w:ascii="Arial Narrow" w:hAnsi="Arial Narrow"/>
                <w:b/>
                <w:color w:val="000000"/>
                <w:sz w:val="16"/>
                <w:lang w:val="es-419"/>
              </w:rPr>
              <w:t xml:space="preserve">en comparación con el </w:t>
            </w:r>
            <w:r w:rsidR="00003E83">
              <w:rPr>
                <w:rFonts w:ascii="Arial Narrow" w:hAnsi="Arial Narrow"/>
                <w:b/>
                <w:color w:val="000000"/>
                <w:sz w:val="16"/>
                <w:lang w:val="es-419"/>
              </w:rPr>
              <w:br/>
            </w:r>
            <w:r w:rsidR="002278C4" w:rsidRPr="00F72633">
              <w:rPr>
                <w:rFonts w:ascii="Arial Narrow" w:hAnsi="Arial Narrow"/>
                <w:b/>
                <w:color w:val="000000"/>
                <w:sz w:val="16"/>
                <w:lang w:val="es-419"/>
              </w:rPr>
              <w:t>Programa y Presupuesto</w:t>
            </w:r>
          </w:p>
        </w:tc>
      </w:tr>
      <w:tr w:rsidR="001645C8" w:rsidRPr="00F72633" w14:paraId="53D803B6" w14:textId="77777777" w:rsidTr="00003E83">
        <w:trPr>
          <w:trHeight w:val="314"/>
          <w:jc w:val="center"/>
        </w:trPr>
        <w:tc>
          <w:tcPr>
            <w:tcW w:w="3420" w:type="dxa"/>
            <w:vMerge/>
            <w:tcBorders>
              <w:top w:val="nil"/>
              <w:left w:val="nil"/>
              <w:bottom w:val="nil"/>
              <w:right w:val="nil"/>
            </w:tcBorders>
            <w:vAlign w:val="center"/>
            <w:hideMark/>
          </w:tcPr>
          <w:p w14:paraId="5BD3F9A7" w14:textId="77777777" w:rsidR="001645C8" w:rsidRPr="00F72633" w:rsidRDefault="001645C8" w:rsidP="00F90BBB">
            <w:pPr>
              <w:jc w:val="left"/>
              <w:rPr>
                <w:rFonts w:ascii="Arial Narrow" w:eastAsia="Times New Roman" w:hAnsi="Arial Narrow"/>
                <w:b/>
                <w:bCs/>
                <w:sz w:val="16"/>
                <w:szCs w:val="16"/>
                <w:lang w:val="es-419" w:eastAsia="en-US"/>
              </w:rPr>
            </w:pPr>
          </w:p>
        </w:tc>
        <w:tc>
          <w:tcPr>
            <w:tcW w:w="2004" w:type="dxa"/>
            <w:vMerge/>
            <w:tcBorders>
              <w:top w:val="nil"/>
              <w:left w:val="nil"/>
              <w:bottom w:val="nil"/>
              <w:right w:val="nil"/>
            </w:tcBorders>
            <w:vAlign w:val="center"/>
            <w:hideMark/>
          </w:tcPr>
          <w:p w14:paraId="6E1D6BE8"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1236" w:type="dxa"/>
            <w:vMerge/>
            <w:tcBorders>
              <w:top w:val="nil"/>
              <w:left w:val="nil"/>
              <w:bottom w:val="nil"/>
              <w:right w:val="nil"/>
            </w:tcBorders>
            <w:vAlign w:val="center"/>
            <w:hideMark/>
          </w:tcPr>
          <w:p w14:paraId="79C1A73A"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2340" w:type="dxa"/>
            <w:vMerge/>
            <w:tcBorders>
              <w:top w:val="nil"/>
              <w:left w:val="nil"/>
              <w:bottom w:val="nil"/>
              <w:right w:val="nil"/>
            </w:tcBorders>
            <w:vAlign w:val="center"/>
            <w:hideMark/>
          </w:tcPr>
          <w:p w14:paraId="15395755"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r>
      <w:tr w:rsidR="001645C8" w:rsidRPr="00F72633" w14:paraId="1ED6638A" w14:textId="77777777" w:rsidTr="00405932">
        <w:trPr>
          <w:trHeight w:hRule="exact" w:val="20"/>
          <w:jc w:val="center"/>
        </w:trPr>
        <w:tc>
          <w:tcPr>
            <w:tcW w:w="3420" w:type="dxa"/>
            <w:tcBorders>
              <w:top w:val="nil"/>
              <w:left w:val="nil"/>
              <w:bottom w:val="nil"/>
              <w:right w:val="nil"/>
            </w:tcBorders>
            <w:shd w:val="clear" w:color="auto" w:fill="auto"/>
            <w:vAlign w:val="center"/>
            <w:hideMark/>
          </w:tcPr>
          <w:p w14:paraId="211340ED" w14:textId="77777777" w:rsidR="001645C8" w:rsidRPr="00F72633" w:rsidRDefault="001645C8" w:rsidP="00F90BBB">
            <w:pPr>
              <w:jc w:val="center"/>
              <w:rPr>
                <w:rFonts w:ascii="Arial Narrow" w:eastAsia="Times New Roman" w:hAnsi="Arial Narrow"/>
                <w:b/>
                <w:bCs/>
                <w:color w:val="000000"/>
                <w:sz w:val="16"/>
                <w:szCs w:val="16"/>
                <w:lang w:val="es-419" w:eastAsia="en-US"/>
              </w:rPr>
            </w:pPr>
          </w:p>
        </w:tc>
        <w:tc>
          <w:tcPr>
            <w:tcW w:w="2004" w:type="dxa"/>
            <w:tcBorders>
              <w:top w:val="nil"/>
              <w:left w:val="nil"/>
              <w:bottom w:val="nil"/>
              <w:right w:val="nil"/>
            </w:tcBorders>
            <w:shd w:val="clear" w:color="auto" w:fill="auto"/>
            <w:vAlign w:val="center"/>
            <w:hideMark/>
          </w:tcPr>
          <w:p w14:paraId="7AAE7579"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36" w:type="dxa"/>
            <w:tcBorders>
              <w:top w:val="nil"/>
              <w:left w:val="nil"/>
              <w:bottom w:val="nil"/>
              <w:right w:val="nil"/>
            </w:tcBorders>
            <w:shd w:val="clear" w:color="auto" w:fill="auto"/>
            <w:vAlign w:val="center"/>
            <w:hideMark/>
          </w:tcPr>
          <w:p w14:paraId="11DD97B3" w14:textId="77777777" w:rsidR="001645C8" w:rsidRPr="00F72633" w:rsidRDefault="001645C8" w:rsidP="00F90BBB">
            <w:pPr>
              <w:rPr>
                <w:rFonts w:ascii="Arial Narrow" w:eastAsia="Times New Roman" w:hAnsi="Arial Narrow" w:cs="Times New Roman"/>
                <w:sz w:val="16"/>
                <w:szCs w:val="16"/>
                <w:lang w:val="es-419" w:eastAsia="en-US"/>
              </w:rPr>
            </w:pPr>
          </w:p>
        </w:tc>
        <w:tc>
          <w:tcPr>
            <w:tcW w:w="2340" w:type="dxa"/>
            <w:tcBorders>
              <w:top w:val="nil"/>
              <w:left w:val="nil"/>
              <w:bottom w:val="nil"/>
              <w:right w:val="nil"/>
            </w:tcBorders>
            <w:shd w:val="clear" w:color="auto" w:fill="auto"/>
            <w:noWrap/>
            <w:vAlign w:val="center"/>
            <w:hideMark/>
          </w:tcPr>
          <w:p w14:paraId="7D116180" w14:textId="77777777" w:rsidR="001645C8" w:rsidRPr="00F72633" w:rsidRDefault="001645C8" w:rsidP="00F90BBB">
            <w:pPr>
              <w:rPr>
                <w:rFonts w:ascii="Arial Narrow" w:eastAsia="Times New Roman" w:hAnsi="Arial Narrow" w:cs="Times New Roman"/>
                <w:sz w:val="16"/>
                <w:szCs w:val="16"/>
                <w:lang w:val="es-419" w:eastAsia="en-US"/>
              </w:rPr>
            </w:pPr>
          </w:p>
        </w:tc>
      </w:tr>
      <w:tr w:rsidR="001645C8" w:rsidRPr="00F72633" w14:paraId="03050C96" w14:textId="77777777" w:rsidTr="00405932">
        <w:trPr>
          <w:trHeight w:val="324"/>
          <w:jc w:val="center"/>
        </w:trPr>
        <w:tc>
          <w:tcPr>
            <w:tcW w:w="3420" w:type="dxa"/>
            <w:tcBorders>
              <w:top w:val="nil"/>
              <w:left w:val="nil"/>
              <w:bottom w:val="nil"/>
              <w:right w:val="nil"/>
            </w:tcBorders>
            <w:shd w:val="clear" w:color="auto" w:fill="auto"/>
            <w:vAlign w:val="center"/>
            <w:hideMark/>
          </w:tcPr>
          <w:p w14:paraId="21B55850" w14:textId="7F13CFEC"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Ingresos</w:t>
            </w:r>
          </w:p>
        </w:tc>
        <w:tc>
          <w:tcPr>
            <w:tcW w:w="2004" w:type="dxa"/>
            <w:tcBorders>
              <w:top w:val="nil"/>
              <w:left w:val="nil"/>
              <w:bottom w:val="nil"/>
              <w:right w:val="nil"/>
            </w:tcBorders>
            <w:shd w:val="clear" w:color="auto" w:fill="auto"/>
            <w:vAlign w:val="center"/>
            <w:hideMark/>
          </w:tcPr>
          <w:p w14:paraId="4509AADC" w14:textId="375C2818" w:rsidR="001645C8" w:rsidRPr="00F72633" w:rsidRDefault="001645C8" w:rsidP="00405932">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7</w:t>
            </w:r>
            <w:r w:rsidR="00D86EED" w:rsidRPr="00F72633">
              <w:rPr>
                <w:rFonts w:ascii="Arial Narrow" w:eastAsia="Times New Roman" w:hAnsi="Arial Narrow"/>
                <w:color w:val="000000"/>
                <w:sz w:val="16"/>
                <w:szCs w:val="16"/>
                <w:lang w:val="es-419" w:eastAsia="en-US"/>
              </w:rPr>
              <w:t> </w:t>
            </w:r>
            <w:r w:rsidRPr="00F72633">
              <w:rPr>
                <w:rFonts w:ascii="Arial Narrow" w:eastAsia="Times New Roman" w:hAnsi="Arial Narrow"/>
                <w:color w:val="000000"/>
                <w:sz w:val="16"/>
                <w:szCs w:val="16"/>
                <w:lang w:val="es-419" w:eastAsia="en-US"/>
              </w:rPr>
              <w:t xml:space="preserve">635 </w:t>
            </w:r>
          </w:p>
        </w:tc>
        <w:tc>
          <w:tcPr>
            <w:tcW w:w="1236" w:type="dxa"/>
            <w:tcBorders>
              <w:top w:val="nil"/>
              <w:left w:val="nil"/>
              <w:bottom w:val="nil"/>
              <w:right w:val="nil"/>
            </w:tcBorders>
            <w:shd w:val="clear" w:color="auto" w:fill="auto"/>
            <w:vAlign w:val="center"/>
            <w:hideMark/>
          </w:tcPr>
          <w:p w14:paraId="1EECA3CC" w14:textId="473244D0" w:rsidR="001645C8" w:rsidRPr="00F72633" w:rsidRDefault="001645C8" w:rsidP="00405932">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3</w:t>
            </w:r>
            <w:r w:rsidR="00D86EED" w:rsidRPr="00F72633">
              <w:rPr>
                <w:rFonts w:ascii="Arial Narrow" w:eastAsia="Times New Roman" w:hAnsi="Arial Narrow"/>
                <w:color w:val="000000"/>
                <w:sz w:val="16"/>
                <w:szCs w:val="16"/>
                <w:lang w:val="es-419" w:eastAsia="en-US"/>
              </w:rPr>
              <w:t> </w:t>
            </w:r>
            <w:r w:rsidRPr="00F72633">
              <w:rPr>
                <w:rFonts w:ascii="Arial Narrow" w:eastAsia="Times New Roman" w:hAnsi="Arial Narrow"/>
                <w:color w:val="000000"/>
                <w:sz w:val="16"/>
                <w:szCs w:val="16"/>
                <w:lang w:val="es-419" w:eastAsia="en-US"/>
              </w:rPr>
              <w:t xml:space="preserve">804 </w:t>
            </w:r>
          </w:p>
        </w:tc>
        <w:tc>
          <w:tcPr>
            <w:tcW w:w="2340" w:type="dxa"/>
            <w:tcBorders>
              <w:top w:val="nil"/>
              <w:left w:val="nil"/>
              <w:bottom w:val="nil"/>
              <w:right w:val="nil"/>
            </w:tcBorders>
            <w:shd w:val="clear" w:color="auto" w:fill="auto"/>
            <w:noWrap/>
            <w:vAlign w:val="center"/>
            <w:hideMark/>
          </w:tcPr>
          <w:p w14:paraId="775495D5" w14:textId="0F3053D8"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50</w:t>
            </w:r>
            <w:r w:rsidR="00C70DE2" w:rsidRPr="00F72633">
              <w:rPr>
                <w:rFonts w:ascii="Arial Narrow" w:eastAsia="Times New Roman" w:hAnsi="Arial Narrow"/>
                <w:sz w:val="16"/>
                <w:szCs w:val="16"/>
                <w:lang w:val="es-419" w:eastAsia="en-US"/>
              </w:rPr>
              <w:t> %</w:t>
            </w:r>
          </w:p>
        </w:tc>
      </w:tr>
      <w:tr w:rsidR="001645C8" w:rsidRPr="00F72633" w14:paraId="73E444A3" w14:textId="77777777" w:rsidTr="00405932">
        <w:trPr>
          <w:trHeight w:val="324"/>
          <w:jc w:val="center"/>
        </w:trPr>
        <w:tc>
          <w:tcPr>
            <w:tcW w:w="3420" w:type="dxa"/>
            <w:tcBorders>
              <w:top w:val="nil"/>
              <w:left w:val="nil"/>
              <w:bottom w:val="nil"/>
              <w:right w:val="nil"/>
            </w:tcBorders>
            <w:shd w:val="clear" w:color="auto" w:fill="auto"/>
            <w:vAlign w:val="center"/>
            <w:hideMark/>
          </w:tcPr>
          <w:p w14:paraId="73C081DF" w14:textId="11E2BBDD"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Gastos</w:t>
            </w:r>
          </w:p>
        </w:tc>
        <w:tc>
          <w:tcPr>
            <w:tcW w:w="2004" w:type="dxa"/>
            <w:tcBorders>
              <w:top w:val="nil"/>
              <w:left w:val="nil"/>
              <w:bottom w:val="nil"/>
              <w:right w:val="nil"/>
            </w:tcBorders>
            <w:shd w:val="clear" w:color="auto" w:fill="auto"/>
            <w:vAlign w:val="center"/>
            <w:hideMark/>
          </w:tcPr>
          <w:p w14:paraId="3B434EBC" w14:textId="24DD61FB" w:rsidR="001645C8" w:rsidRPr="00F72633" w:rsidRDefault="001645C8" w:rsidP="00405932">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7</w:t>
            </w:r>
            <w:r w:rsidR="00D86EED" w:rsidRPr="00F72633">
              <w:rPr>
                <w:rFonts w:ascii="Arial Narrow" w:eastAsia="Times New Roman" w:hAnsi="Arial Narrow"/>
                <w:color w:val="000000"/>
                <w:sz w:val="16"/>
                <w:szCs w:val="16"/>
                <w:lang w:val="es-419" w:eastAsia="en-US"/>
              </w:rPr>
              <w:t> </w:t>
            </w:r>
            <w:r w:rsidRPr="00F72633">
              <w:rPr>
                <w:rFonts w:ascii="Arial Narrow" w:eastAsia="Times New Roman" w:hAnsi="Arial Narrow"/>
                <w:color w:val="000000"/>
                <w:sz w:val="16"/>
                <w:szCs w:val="16"/>
                <w:lang w:val="es-419" w:eastAsia="en-US"/>
              </w:rPr>
              <w:t xml:space="preserve">635 </w:t>
            </w:r>
          </w:p>
        </w:tc>
        <w:tc>
          <w:tcPr>
            <w:tcW w:w="1236" w:type="dxa"/>
            <w:tcBorders>
              <w:top w:val="nil"/>
              <w:left w:val="nil"/>
              <w:bottom w:val="nil"/>
              <w:right w:val="nil"/>
            </w:tcBorders>
            <w:shd w:val="clear" w:color="auto" w:fill="auto"/>
            <w:vAlign w:val="center"/>
            <w:hideMark/>
          </w:tcPr>
          <w:p w14:paraId="2030637B" w14:textId="19D6B44D" w:rsidR="001645C8" w:rsidRPr="00F72633" w:rsidRDefault="001645C8" w:rsidP="00405932">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3</w:t>
            </w:r>
            <w:r w:rsidR="00D86EED" w:rsidRPr="00F72633">
              <w:rPr>
                <w:rFonts w:ascii="Arial Narrow" w:eastAsia="Times New Roman" w:hAnsi="Arial Narrow"/>
                <w:color w:val="000000"/>
                <w:sz w:val="16"/>
                <w:szCs w:val="16"/>
                <w:lang w:val="es-419" w:eastAsia="en-US"/>
              </w:rPr>
              <w:t> </w:t>
            </w:r>
            <w:r w:rsidRPr="00F72633">
              <w:rPr>
                <w:rFonts w:ascii="Arial Narrow" w:eastAsia="Times New Roman" w:hAnsi="Arial Narrow"/>
                <w:color w:val="000000"/>
                <w:sz w:val="16"/>
                <w:szCs w:val="16"/>
                <w:lang w:val="es-419" w:eastAsia="en-US"/>
              </w:rPr>
              <w:t xml:space="preserve">575 </w:t>
            </w:r>
          </w:p>
        </w:tc>
        <w:tc>
          <w:tcPr>
            <w:tcW w:w="2340" w:type="dxa"/>
            <w:tcBorders>
              <w:top w:val="nil"/>
              <w:left w:val="nil"/>
              <w:bottom w:val="nil"/>
              <w:right w:val="nil"/>
            </w:tcBorders>
            <w:shd w:val="clear" w:color="auto" w:fill="auto"/>
            <w:noWrap/>
            <w:vAlign w:val="center"/>
            <w:hideMark/>
          </w:tcPr>
          <w:p w14:paraId="7B652FB6" w14:textId="46B29FE8"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47</w:t>
            </w:r>
            <w:r w:rsidR="00C70DE2" w:rsidRPr="00F72633">
              <w:rPr>
                <w:rFonts w:ascii="Arial Narrow" w:eastAsia="Times New Roman" w:hAnsi="Arial Narrow"/>
                <w:sz w:val="16"/>
                <w:szCs w:val="16"/>
                <w:lang w:val="es-419" w:eastAsia="en-US"/>
              </w:rPr>
              <w:t> %</w:t>
            </w:r>
          </w:p>
        </w:tc>
      </w:tr>
      <w:tr w:rsidR="001645C8" w:rsidRPr="00F72633" w14:paraId="5CC3E350" w14:textId="77777777" w:rsidTr="00405932">
        <w:trPr>
          <w:trHeight w:val="383"/>
          <w:jc w:val="center"/>
        </w:trPr>
        <w:tc>
          <w:tcPr>
            <w:tcW w:w="3420" w:type="dxa"/>
            <w:tcBorders>
              <w:top w:val="single" w:sz="4" w:space="0" w:color="C7CFD8"/>
              <w:left w:val="nil"/>
              <w:bottom w:val="single" w:sz="12" w:space="0" w:color="C7CFD8"/>
              <w:right w:val="nil"/>
            </w:tcBorders>
            <w:shd w:val="clear" w:color="auto" w:fill="auto"/>
            <w:noWrap/>
            <w:vAlign w:val="center"/>
            <w:hideMark/>
          </w:tcPr>
          <w:p w14:paraId="172A143C" w14:textId="317D32DB" w:rsidR="001645C8" w:rsidRPr="00F72633" w:rsidRDefault="00405932"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Resultado presupuestario</w:t>
            </w:r>
          </w:p>
        </w:tc>
        <w:tc>
          <w:tcPr>
            <w:tcW w:w="2004" w:type="dxa"/>
            <w:tcBorders>
              <w:top w:val="single" w:sz="4" w:space="0" w:color="C7CFD8"/>
              <w:left w:val="nil"/>
              <w:bottom w:val="single" w:sz="12" w:space="0" w:color="C7CFD8"/>
              <w:right w:val="nil"/>
            </w:tcBorders>
            <w:shd w:val="clear" w:color="auto" w:fill="auto"/>
            <w:noWrap/>
            <w:vAlign w:val="center"/>
            <w:hideMark/>
          </w:tcPr>
          <w:p w14:paraId="4456EE61" w14:textId="77777777" w:rsidR="001645C8" w:rsidRPr="00F72633" w:rsidRDefault="001645C8" w:rsidP="00F90BBB">
            <w:pPr>
              <w:ind w:firstLineChars="100" w:firstLine="160"/>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w:t>
            </w:r>
          </w:p>
        </w:tc>
        <w:tc>
          <w:tcPr>
            <w:tcW w:w="1236" w:type="dxa"/>
            <w:tcBorders>
              <w:top w:val="single" w:sz="4" w:space="0" w:color="C7CFD8"/>
              <w:left w:val="nil"/>
              <w:bottom w:val="single" w:sz="12" w:space="0" w:color="C7CFD8"/>
              <w:right w:val="nil"/>
            </w:tcBorders>
            <w:shd w:val="clear" w:color="auto" w:fill="auto"/>
            <w:noWrap/>
            <w:vAlign w:val="center"/>
            <w:hideMark/>
          </w:tcPr>
          <w:p w14:paraId="5603DC0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230 </w:t>
            </w:r>
          </w:p>
        </w:tc>
        <w:tc>
          <w:tcPr>
            <w:tcW w:w="2340" w:type="dxa"/>
            <w:tcBorders>
              <w:top w:val="single" w:sz="4" w:space="0" w:color="C7CFD8"/>
              <w:left w:val="nil"/>
              <w:bottom w:val="single" w:sz="12" w:space="0" w:color="C7CFD8"/>
              <w:right w:val="nil"/>
            </w:tcBorders>
            <w:shd w:val="clear" w:color="auto" w:fill="auto"/>
            <w:noWrap/>
            <w:vAlign w:val="center"/>
            <w:hideMark/>
          </w:tcPr>
          <w:p w14:paraId="6D1BC0E4" w14:textId="1D45EA5F" w:rsidR="001645C8" w:rsidRPr="00F72633" w:rsidRDefault="001645C8" w:rsidP="00F26124">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n</w:t>
            </w:r>
            <w:r w:rsidR="00F26124" w:rsidRPr="00F72633">
              <w:rPr>
                <w:rFonts w:ascii="Arial Narrow" w:eastAsia="Times New Roman" w:hAnsi="Arial Narrow"/>
                <w:b/>
                <w:bCs/>
                <w:sz w:val="16"/>
                <w:szCs w:val="16"/>
                <w:lang w:val="es-419" w:eastAsia="en-US"/>
              </w:rPr>
              <w:t>.d.</w:t>
            </w:r>
          </w:p>
        </w:tc>
      </w:tr>
      <w:tr w:rsidR="001645C8" w:rsidRPr="00F72633" w14:paraId="45A45FFE" w14:textId="77777777" w:rsidTr="00405932">
        <w:trPr>
          <w:trHeight w:val="177"/>
          <w:jc w:val="center"/>
        </w:trPr>
        <w:tc>
          <w:tcPr>
            <w:tcW w:w="3420" w:type="dxa"/>
            <w:tcBorders>
              <w:top w:val="nil"/>
              <w:left w:val="nil"/>
              <w:bottom w:val="nil"/>
              <w:right w:val="nil"/>
            </w:tcBorders>
            <w:shd w:val="clear" w:color="auto" w:fill="auto"/>
            <w:vAlign w:val="center"/>
            <w:hideMark/>
          </w:tcPr>
          <w:p w14:paraId="61F450E6" w14:textId="77777777" w:rsidR="001645C8" w:rsidRPr="00F72633" w:rsidRDefault="001645C8" w:rsidP="00F90BBB">
            <w:pPr>
              <w:jc w:val="right"/>
              <w:rPr>
                <w:rFonts w:ascii="Arial Narrow" w:eastAsia="Times New Roman" w:hAnsi="Arial Narrow"/>
                <w:b/>
                <w:bCs/>
                <w:sz w:val="16"/>
                <w:szCs w:val="16"/>
                <w:lang w:val="es-419" w:eastAsia="en-US"/>
              </w:rPr>
            </w:pPr>
          </w:p>
        </w:tc>
        <w:tc>
          <w:tcPr>
            <w:tcW w:w="2004" w:type="dxa"/>
            <w:tcBorders>
              <w:top w:val="nil"/>
              <w:left w:val="nil"/>
              <w:bottom w:val="nil"/>
              <w:right w:val="nil"/>
            </w:tcBorders>
            <w:shd w:val="clear" w:color="auto" w:fill="auto"/>
            <w:vAlign w:val="center"/>
            <w:hideMark/>
          </w:tcPr>
          <w:p w14:paraId="74D0636A"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36" w:type="dxa"/>
            <w:tcBorders>
              <w:top w:val="nil"/>
              <w:left w:val="nil"/>
              <w:bottom w:val="nil"/>
              <w:right w:val="nil"/>
            </w:tcBorders>
            <w:shd w:val="clear" w:color="auto" w:fill="auto"/>
            <w:vAlign w:val="center"/>
            <w:hideMark/>
          </w:tcPr>
          <w:p w14:paraId="7982CDDE"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2340" w:type="dxa"/>
            <w:tcBorders>
              <w:top w:val="nil"/>
              <w:left w:val="nil"/>
              <w:bottom w:val="nil"/>
              <w:right w:val="nil"/>
            </w:tcBorders>
            <w:shd w:val="clear" w:color="auto" w:fill="auto"/>
            <w:noWrap/>
            <w:vAlign w:val="center"/>
            <w:hideMark/>
          </w:tcPr>
          <w:p w14:paraId="2A20C14D"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23AF3C5D" w14:textId="77777777" w:rsidTr="00405932">
        <w:trPr>
          <w:trHeight w:val="324"/>
          <w:jc w:val="center"/>
        </w:trPr>
        <w:tc>
          <w:tcPr>
            <w:tcW w:w="3420" w:type="dxa"/>
            <w:tcBorders>
              <w:top w:val="nil"/>
              <w:left w:val="nil"/>
              <w:bottom w:val="nil"/>
              <w:right w:val="nil"/>
            </w:tcBorders>
            <w:shd w:val="clear" w:color="auto" w:fill="auto"/>
            <w:noWrap/>
            <w:hideMark/>
          </w:tcPr>
          <w:p w14:paraId="4E0375E1" w14:textId="26B71B01"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Ajuste IPSAS a los ingresos del presupuesto ordinario</w:t>
            </w:r>
          </w:p>
        </w:tc>
        <w:tc>
          <w:tcPr>
            <w:tcW w:w="2004" w:type="dxa"/>
            <w:tcBorders>
              <w:top w:val="nil"/>
              <w:left w:val="nil"/>
              <w:bottom w:val="nil"/>
              <w:right w:val="nil"/>
            </w:tcBorders>
            <w:shd w:val="clear" w:color="auto" w:fill="auto"/>
            <w:vAlign w:val="center"/>
            <w:hideMark/>
          </w:tcPr>
          <w:p w14:paraId="75CE1413" w14:textId="77777777" w:rsidR="001645C8" w:rsidRPr="00F72633" w:rsidRDefault="001645C8" w:rsidP="00F90BBB">
            <w:pPr>
              <w:jc w:val="left"/>
              <w:rPr>
                <w:rFonts w:ascii="Arial Narrow" w:eastAsia="Times New Roman" w:hAnsi="Arial Narrow"/>
                <w:sz w:val="16"/>
                <w:szCs w:val="16"/>
                <w:lang w:val="es-419" w:eastAsia="en-US"/>
              </w:rPr>
            </w:pPr>
          </w:p>
        </w:tc>
        <w:tc>
          <w:tcPr>
            <w:tcW w:w="1236" w:type="dxa"/>
            <w:tcBorders>
              <w:top w:val="nil"/>
              <w:left w:val="nil"/>
              <w:bottom w:val="nil"/>
              <w:right w:val="nil"/>
            </w:tcBorders>
            <w:shd w:val="clear" w:color="auto" w:fill="auto"/>
            <w:vAlign w:val="center"/>
            <w:hideMark/>
          </w:tcPr>
          <w:p w14:paraId="7DE506D9" w14:textId="77777777" w:rsidR="001645C8" w:rsidRPr="00F72633" w:rsidRDefault="001645C8" w:rsidP="00F90BBB">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 xml:space="preserve">- </w:t>
            </w:r>
          </w:p>
        </w:tc>
        <w:tc>
          <w:tcPr>
            <w:tcW w:w="2340" w:type="dxa"/>
            <w:tcBorders>
              <w:top w:val="nil"/>
              <w:left w:val="nil"/>
              <w:bottom w:val="nil"/>
              <w:right w:val="nil"/>
            </w:tcBorders>
            <w:shd w:val="clear" w:color="auto" w:fill="auto"/>
            <w:noWrap/>
            <w:vAlign w:val="center"/>
            <w:hideMark/>
          </w:tcPr>
          <w:p w14:paraId="5644AD0A" w14:textId="77777777" w:rsidR="001645C8" w:rsidRPr="00F72633" w:rsidRDefault="001645C8" w:rsidP="00F90BBB">
            <w:pPr>
              <w:jc w:val="right"/>
              <w:rPr>
                <w:rFonts w:ascii="Arial Narrow" w:eastAsia="Times New Roman" w:hAnsi="Arial Narrow"/>
                <w:color w:val="000000"/>
                <w:sz w:val="16"/>
                <w:szCs w:val="16"/>
                <w:lang w:val="es-419" w:eastAsia="en-US"/>
              </w:rPr>
            </w:pPr>
          </w:p>
        </w:tc>
      </w:tr>
      <w:tr w:rsidR="001645C8" w:rsidRPr="00F72633" w14:paraId="6B970AAC" w14:textId="77777777" w:rsidTr="00405932">
        <w:trPr>
          <w:trHeight w:val="324"/>
          <w:jc w:val="center"/>
        </w:trPr>
        <w:tc>
          <w:tcPr>
            <w:tcW w:w="3420" w:type="dxa"/>
            <w:tcBorders>
              <w:top w:val="nil"/>
              <w:left w:val="nil"/>
              <w:bottom w:val="nil"/>
              <w:right w:val="nil"/>
            </w:tcBorders>
            <w:shd w:val="clear" w:color="auto" w:fill="auto"/>
            <w:noWrap/>
            <w:hideMark/>
          </w:tcPr>
          <w:p w14:paraId="14AB8C90" w14:textId="1F0B06FB"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Ajuste IPSAS a los gastos del presupuesto ordinario</w:t>
            </w:r>
          </w:p>
        </w:tc>
        <w:tc>
          <w:tcPr>
            <w:tcW w:w="2004" w:type="dxa"/>
            <w:tcBorders>
              <w:top w:val="nil"/>
              <w:left w:val="nil"/>
              <w:bottom w:val="nil"/>
              <w:right w:val="nil"/>
            </w:tcBorders>
            <w:shd w:val="clear" w:color="auto" w:fill="auto"/>
            <w:vAlign w:val="center"/>
            <w:hideMark/>
          </w:tcPr>
          <w:p w14:paraId="143C1C73" w14:textId="77777777" w:rsidR="001645C8" w:rsidRPr="00F72633" w:rsidRDefault="001645C8" w:rsidP="00F90BBB">
            <w:pPr>
              <w:jc w:val="left"/>
              <w:rPr>
                <w:rFonts w:ascii="Arial Narrow" w:eastAsia="Times New Roman" w:hAnsi="Arial Narrow"/>
                <w:sz w:val="16"/>
                <w:szCs w:val="16"/>
                <w:lang w:val="es-419" w:eastAsia="en-US"/>
              </w:rPr>
            </w:pPr>
          </w:p>
        </w:tc>
        <w:tc>
          <w:tcPr>
            <w:tcW w:w="1236" w:type="dxa"/>
            <w:tcBorders>
              <w:top w:val="nil"/>
              <w:left w:val="nil"/>
              <w:bottom w:val="nil"/>
              <w:right w:val="nil"/>
            </w:tcBorders>
            <w:shd w:val="clear" w:color="auto" w:fill="auto"/>
            <w:vAlign w:val="center"/>
            <w:hideMark/>
          </w:tcPr>
          <w:p w14:paraId="611C1ABA" w14:textId="77777777" w:rsidR="001645C8" w:rsidRPr="00F72633" w:rsidRDefault="001645C8" w:rsidP="00F90BBB">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(132)</w:t>
            </w:r>
          </w:p>
        </w:tc>
        <w:tc>
          <w:tcPr>
            <w:tcW w:w="2340" w:type="dxa"/>
            <w:tcBorders>
              <w:top w:val="nil"/>
              <w:left w:val="nil"/>
              <w:bottom w:val="nil"/>
              <w:right w:val="nil"/>
            </w:tcBorders>
            <w:shd w:val="clear" w:color="auto" w:fill="auto"/>
            <w:noWrap/>
            <w:vAlign w:val="center"/>
            <w:hideMark/>
          </w:tcPr>
          <w:p w14:paraId="0E3A3F32" w14:textId="77777777" w:rsidR="001645C8" w:rsidRPr="00F72633" w:rsidRDefault="001645C8" w:rsidP="00F90BBB">
            <w:pPr>
              <w:jc w:val="right"/>
              <w:rPr>
                <w:rFonts w:ascii="Arial Narrow" w:eastAsia="Times New Roman" w:hAnsi="Arial Narrow"/>
                <w:color w:val="000000"/>
                <w:sz w:val="16"/>
                <w:szCs w:val="16"/>
                <w:lang w:val="es-419" w:eastAsia="en-US"/>
              </w:rPr>
            </w:pPr>
          </w:p>
        </w:tc>
      </w:tr>
      <w:tr w:rsidR="001645C8" w:rsidRPr="00F72633" w14:paraId="7D060E8D" w14:textId="77777777" w:rsidTr="00405932">
        <w:trPr>
          <w:trHeight w:val="59"/>
          <w:jc w:val="center"/>
        </w:trPr>
        <w:tc>
          <w:tcPr>
            <w:tcW w:w="3420" w:type="dxa"/>
            <w:tcBorders>
              <w:top w:val="nil"/>
              <w:left w:val="nil"/>
              <w:bottom w:val="nil"/>
              <w:right w:val="nil"/>
            </w:tcBorders>
            <w:shd w:val="clear" w:color="auto" w:fill="auto"/>
            <w:vAlign w:val="center"/>
            <w:hideMark/>
          </w:tcPr>
          <w:p w14:paraId="1C815A74" w14:textId="77777777" w:rsidR="001645C8" w:rsidRPr="00F72633" w:rsidRDefault="001645C8" w:rsidP="00F90BBB">
            <w:pPr>
              <w:jc w:val="right"/>
              <w:rPr>
                <w:rFonts w:ascii="Arial Narrow" w:eastAsia="Times New Roman" w:hAnsi="Arial Narrow" w:cs="Times New Roman"/>
                <w:sz w:val="16"/>
                <w:szCs w:val="16"/>
                <w:lang w:val="es-419" w:eastAsia="en-US"/>
              </w:rPr>
            </w:pPr>
          </w:p>
        </w:tc>
        <w:tc>
          <w:tcPr>
            <w:tcW w:w="2004" w:type="dxa"/>
            <w:tcBorders>
              <w:top w:val="nil"/>
              <w:left w:val="nil"/>
              <w:bottom w:val="nil"/>
              <w:right w:val="nil"/>
            </w:tcBorders>
            <w:shd w:val="clear" w:color="auto" w:fill="auto"/>
            <w:vAlign w:val="center"/>
            <w:hideMark/>
          </w:tcPr>
          <w:p w14:paraId="2977D242"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36" w:type="dxa"/>
            <w:tcBorders>
              <w:top w:val="nil"/>
              <w:left w:val="nil"/>
              <w:bottom w:val="nil"/>
              <w:right w:val="nil"/>
            </w:tcBorders>
            <w:shd w:val="clear" w:color="auto" w:fill="auto"/>
            <w:vAlign w:val="center"/>
            <w:hideMark/>
          </w:tcPr>
          <w:p w14:paraId="74C9F7B4"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2340" w:type="dxa"/>
            <w:tcBorders>
              <w:top w:val="nil"/>
              <w:left w:val="nil"/>
              <w:bottom w:val="nil"/>
              <w:right w:val="nil"/>
            </w:tcBorders>
            <w:shd w:val="clear" w:color="auto" w:fill="auto"/>
            <w:noWrap/>
            <w:vAlign w:val="center"/>
            <w:hideMark/>
          </w:tcPr>
          <w:p w14:paraId="0330AA68"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4CBF4155" w14:textId="77777777" w:rsidTr="00405932">
        <w:trPr>
          <w:trHeight w:val="324"/>
          <w:jc w:val="center"/>
        </w:trPr>
        <w:tc>
          <w:tcPr>
            <w:tcW w:w="3420" w:type="dxa"/>
            <w:tcBorders>
              <w:top w:val="single" w:sz="4" w:space="0" w:color="C7CFD8"/>
              <w:left w:val="nil"/>
              <w:bottom w:val="single" w:sz="12" w:space="0" w:color="C7CFD8"/>
              <w:right w:val="nil"/>
            </w:tcBorders>
            <w:shd w:val="clear" w:color="auto" w:fill="auto"/>
            <w:noWrap/>
            <w:vAlign w:val="center"/>
            <w:hideMark/>
          </w:tcPr>
          <w:p w14:paraId="6C692EF5" w14:textId="1219EA5F" w:rsidR="001645C8" w:rsidRPr="00F72633" w:rsidRDefault="00405932"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Superávit / (Déficit)</w:t>
            </w:r>
          </w:p>
        </w:tc>
        <w:tc>
          <w:tcPr>
            <w:tcW w:w="2004" w:type="dxa"/>
            <w:tcBorders>
              <w:top w:val="single" w:sz="4" w:space="0" w:color="C7CFD8"/>
              <w:left w:val="nil"/>
              <w:bottom w:val="single" w:sz="12" w:space="0" w:color="C7CFD8"/>
              <w:right w:val="nil"/>
            </w:tcBorders>
            <w:shd w:val="clear" w:color="auto" w:fill="auto"/>
            <w:noWrap/>
            <w:vAlign w:val="center"/>
            <w:hideMark/>
          </w:tcPr>
          <w:p w14:paraId="1A3B67F7"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236" w:type="dxa"/>
            <w:tcBorders>
              <w:top w:val="single" w:sz="4" w:space="0" w:color="C7CFD8"/>
              <w:left w:val="nil"/>
              <w:bottom w:val="single" w:sz="12" w:space="0" w:color="C7CFD8"/>
              <w:right w:val="nil"/>
            </w:tcBorders>
            <w:shd w:val="clear" w:color="auto" w:fill="auto"/>
            <w:noWrap/>
            <w:vAlign w:val="center"/>
            <w:hideMark/>
          </w:tcPr>
          <w:p w14:paraId="7410250D"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97 </w:t>
            </w:r>
          </w:p>
        </w:tc>
        <w:tc>
          <w:tcPr>
            <w:tcW w:w="2340" w:type="dxa"/>
            <w:tcBorders>
              <w:top w:val="single" w:sz="4" w:space="0" w:color="C7CFD8"/>
              <w:left w:val="nil"/>
              <w:bottom w:val="single" w:sz="12" w:space="0" w:color="C7CFD8"/>
              <w:right w:val="nil"/>
            </w:tcBorders>
            <w:shd w:val="clear" w:color="auto" w:fill="auto"/>
            <w:noWrap/>
            <w:vAlign w:val="center"/>
            <w:hideMark/>
          </w:tcPr>
          <w:p w14:paraId="2A6A5803"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r>
      <w:tr w:rsidR="001645C8" w:rsidRPr="00F72633" w14:paraId="15A501D6" w14:textId="77777777" w:rsidTr="00405932">
        <w:trPr>
          <w:trHeight w:hRule="exact" w:val="20"/>
          <w:jc w:val="center"/>
        </w:trPr>
        <w:tc>
          <w:tcPr>
            <w:tcW w:w="3420" w:type="dxa"/>
            <w:tcBorders>
              <w:top w:val="nil"/>
              <w:left w:val="nil"/>
              <w:bottom w:val="nil"/>
              <w:right w:val="nil"/>
            </w:tcBorders>
            <w:shd w:val="clear" w:color="auto" w:fill="auto"/>
            <w:vAlign w:val="center"/>
            <w:hideMark/>
          </w:tcPr>
          <w:p w14:paraId="603A3657" w14:textId="77777777" w:rsidR="001645C8" w:rsidRPr="00F72633" w:rsidRDefault="001645C8" w:rsidP="00F90BBB">
            <w:pPr>
              <w:jc w:val="left"/>
              <w:rPr>
                <w:rFonts w:ascii="Arial Narrow" w:eastAsia="Times New Roman" w:hAnsi="Arial Narrow"/>
                <w:b/>
                <w:bCs/>
                <w:sz w:val="16"/>
                <w:szCs w:val="16"/>
                <w:lang w:val="es-419" w:eastAsia="en-US"/>
              </w:rPr>
            </w:pPr>
          </w:p>
        </w:tc>
        <w:tc>
          <w:tcPr>
            <w:tcW w:w="2004" w:type="dxa"/>
            <w:tcBorders>
              <w:top w:val="nil"/>
              <w:left w:val="nil"/>
              <w:bottom w:val="nil"/>
              <w:right w:val="nil"/>
            </w:tcBorders>
            <w:shd w:val="clear" w:color="auto" w:fill="auto"/>
            <w:vAlign w:val="center"/>
            <w:hideMark/>
          </w:tcPr>
          <w:p w14:paraId="344386FD"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36" w:type="dxa"/>
            <w:tcBorders>
              <w:top w:val="nil"/>
              <w:left w:val="nil"/>
              <w:bottom w:val="nil"/>
              <w:right w:val="nil"/>
            </w:tcBorders>
            <w:shd w:val="clear" w:color="auto" w:fill="auto"/>
            <w:vAlign w:val="center"/>
            <w:hideMark/>
          </w:tcPr>
          <w:p w14:paraId="1D9E7A85"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2340" w:type="dxa"/>
            <w:tcBorders>
              <w:top w:val="nil"/>
              <w:left w:val="nil"/>
              <w:bottom w:val="nil"/>
              <w:right w:val="nil"/>
            </w:tcBorders>
            <w:shd w:val="clear" w:color="auto" w:fill="auto"/>
            <w:noWrap/>
            <w:vAlign w:val="center"/>
            <w:hideMark/>
          </w:tcPr>
          <w:p w14:paraId="63CEF54A"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1B33CA29" w14:textId="77777777" w:rsidTr="00405932">
        <w:trPr>
          <w:trHeight w:hRule="exact" w:val="144"/>
          <w:jc w:val="center"/>
        </w:trPr>
        <w:tc>
          <w:tcPr>
            <w:tcW w:w="3420" w:type="dxa"/>
            <w:tcBorders>
              <w:top w:val="nil"/>
              <w:left w:val="nil"/>
              <w:bottom w:val="nil"/>
              <w:right w:val="nil"/>
            </w:tcBorders>
            <w:shd w:val="clear" w:color="auto" w:fill="auto"/>
            <w:vAlign w:val="center"/>
            <w:hideMark/>
          </w:tcPr>
          <w:p w14:paraId="76441C12" w14:textId="77777777" w:rsidR="001645C8" w:rsidRPr="00F72633" w:rsidRDefault="001645C8" w:rsidP="00F90BBB">
            <w:pPr>
              <w:jc w:val="right"/>
              <w:rPr>
                <w:rFonts w:ascii="Arial Narrow" w:eastAsia="Times New Roman" w:hAnsi="Arial Narrow" w:cs="Times New Roman"/>
                <w:sz w:val="16"/>
                <w:szCs w:val="16"/>
                <w:lang w:val="es-419" w:eastAsia="en-US"/>
              </w:rPr>
            </w:pPr>
          </w:p>
        </w:tc>
        <w:tc>
          <w:tcPr>
            <w:tcW w:w="2004" w:type="dxa"/>
            <w:tcBorders>
              <w:top w:val="nil"/>
              <w:left w:val="nil"/>
              <w:bottom w:val="nil"/>
              <w:right w:val="nil"/>
            </w:tcBorders>
            <w:shd w:val="clear" w:color="auto" w:fill="auto"/>
            <w:vAlign w:val="center"/>
            <w:hideMark/>
          </w:tcPr>
          <w:p w14:paraId="2DF5DA9F"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36" w:type="dxa"/>
            <w:tcBorders>
              <w:top w:val="nil"/>
              <w:left w:val="nil"/>
              <w:bottom w:val="nil"/>
              <w:right w:val="nil"/>
            </w:tcBorders>
            <w:shd w:val="clear" w:color="auto" w:fill="auto"/>
            <w:vAlign w:val="center"/>
            <w:hideMark/>
          </w:tcPr>
          <w:p w14:paraId="4BD0D7CF"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2340" w:type="dxa"/>
            <w:tcBorders>
              <w:top w:val="nil"/>
              <w:left w:val="nil"/>
              <w:bottom w:val="nil"/>
              <w:right w:val="nil"/>
            </w:tcBorders>
            <w:shd w:val="clear" w:color="auto" w:fill="auto"/>
            <w:noWrap/>
            <w:vAlign w:val="center"/>
            <w:hideMark/>
          </w:tcPr>
          <w:p w14:paraId="25F3F612"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7FB4CB08" w14:textId="77777777" w:rsidTr="00003E83">
        <w:trPr>
          <w:trHeight w:val="511"/>
          <w:jc w:val="center"/>
        </w:trPr>
        <w:tc>
          <w:tcPr>
            <w:tcW w:w="3420" w:type="dxa"/>
            <w:tcBorders>
              <w:top w:val="nil"/>
              <w:left w:val="nil"/>
              <w:bottom w:val="nil"/>
              <w:right w:val="nil"/>
            </w:tcBorders>
            <w:shd w:val="clear" w:color="000000" w:fill="C7CFD8"/>
            <w:noWrap/>
            <w:vAlign w:val="center"/>
            <w:hideMark/>
          </w:tcPr>
          <w:p w14:paraId="2CDF5486" w14:textId="697FE5D1" w:rsidR="001645C8" w:rsidRPr="00F72633" w:rsidRDefault="00405932"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Fondos de reserva y de operaciones (FRO)</w:t>
            </w:r>
          </w:p>
        </w:tc>
        <w:tc>
          <w:tcPr>
            <w:tcW w:w="2004" w:type="dxa"/>
            <w:tcBorders>
              <w:top w:val="nil"/>
              <w:left w:val="nil"/>
              <w:bottom w:val="nil"/>
              <w:right w:val="nil"/>
            </w:tcBorders>
            <w:shd w:val="clear" w:color="000000" w:fill="C7CFD8"/>
            <w:vAlign w:val="center"/>
            <w:hideMark/>
          </w:tcPr>
          <w:p w14:paraId="0EBA530D" w14:textId="77777777" w:rsidR="001645C8" w:rsidRPr="00F72633" w:rsidRDefault="001645C8" w:rsidP="00F90BBB">
            <w:pPr>
              <w:jc w:val="left"/>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vertAlign w:val="superscript"/>
                <w:lang w:val="es-419" w:eastAsia="en-US"/>
              </w:rPr>
              <w:t> </w:t>
            </w:r>
          </w:p>
        </w:tc>
        <w:tc>
          <w:tcPr>
            <w:tcW w:w="1236" w:type="dxa"/>
            <w:tcBorders>
              <w:top w:val="nil"/>
              <w:left w:val="nil"/>
              <w:bottom w:val="nil"/>
              <w:right w:val="nil"/>
            </w:tcBorders>
            <w:shd w:val="clear" w:color="000000" w:fill="C7CFD8"/>
            <w:vAlign w:val="center"/>
            <w:hideMark/>
          </w:tcPr>
          <w:p w14:paraId="1D10E04F" w14:textId="77777777" w:rsidR="001645C8" w:rsidRPr="00F72633" w:rsidRDefault="001645C8" w:rsidP="00F90BBB">
            <w:pPr>
              <w:jc w:val="left"/>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w:t>
            </w:r>
          </w:p>
        </w:tc>
        <w:tc>
          <w:tcPr>
            <w:tcW w:w="2340" w:type="dxa"/>
            <w:tcBorders>
              <w:top w:val="nil"/>
              <w:left w:val="nil"/>
              <w:bottom w:val="nil"/>
              <w:right w:val="nil"/>
            </w:tcBorders>
            <w:shd w:val="clear" w:color="auto" w:fill="auto"/>
            <w:noWrap/>
            <w:vAlign w:val="center"/>
            <w:hideMark/>
          </w:tcPr>
          <w:p w14:paraId="2B79EE39"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r>
      <w:tr w:rsidR="001645C8" w:rsidRPr="00F72633" w14:paraId="780D4F2E" w14:textId="77777777" w:rsidTr="00405932">
        <w:trPr>
          <w:trHeight w:val="324"/>
          <w:jc w:val="center"/>
        </w:trPr>
        <w:tc>
          <w:tcPr>
            <w:tcW w:w="3420" w:type="dxa"/>
            <w:tcBorders>
              <w:top w:val="nil"/>
              <w:left w:val="nil"/>
              <w:bottom w:val="nil"/>
              <w:right w:val="nil"/>
            </w:tcBorders>
            <w:shd w:val="clear" w:color="auto" w:fill="auto"/>
            <w:vAlign w:val="center"/>
            <w:hideMark/>
          </w:tcPr>
          <w:p w14:paraId="55DDF94D" w14:textId="6C57C2B2"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Fondo de reserva</w:t>
            </w:r>
          </w:p>
        </w:tc>
        <w:tc>
          <w:tcPr>
            <w:tcW w:w="2004" w:type="dxa"/>
            <w:tcBorders>
              <w:top w:val="nil"/>
              <w:left w:val="nil"/>
              <w:bottom w:val="nil"/>
              <w:right w:val="nil"/>
            </w:tcBorders>
            <w:shd w:val="clear" w:color="auto" w:fill="auto"/>
            <w:vAlign w:val="center"/>
            <w:hideMark/>
          </w:tcPr>
          <w:p w14:paraId="3FB1E181" w14:textId="77777777" w:rsidR="001645C8" w:rsidRPr="00F72633" w:rsidRDefault="001645C8" w:rsidP="00F90BBB">
            <w:pPr>
              <w:jc w:val="left"/>
              <w:rPr>
                <w:rFonts w:ascii="Arial Narrow" w:eastAsia="Times New Roman" w:hAnsi="Arial Narrow"/>
                <w:sz w:val="16"/>
                <w:szCs w:val="16"/>
                <w:lang w:val="es-419" w:eastAsia="en-US"/>
              </w:rPr>
            </w:pPr>
          </w:p>
        </w:tc>
        <w:tc>
          <w:tcPr>
            <w:tcW w:w="1236" w:type="dxa"/>
            <w:tcBorders>
              <w:top w:val="nil"/>
              <w:left w:val="nil"/>
              <w:bottom w:val="nil"/>
              <w:right w:val="nil"/>
            </w:tcBorders>
            <w:shd w:val="clear" w:color="auto" w:fill="auto"/>
            <w:vAlign w:val="center"/>
            <w:hideMark/>
          </w:tcPr>
          <w:p w14:paraId="2624E63C" w14:textId="77777777" w:rsidR="001645C8" w:rsidRPr="00F72633" w:rsidRDefault="001645C8" w:rsidP="00F90BBB">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 xml:space="preserve">890 </w:t>
            </w:r>
          </w:p>
        </w:tc>
        <w:tc>
          <w:tcPr>
            <w:tcW w:w="2340" w:type="dxa"/>
            <w:tcBorders>
              <w:top w:val="nil"/>
              <w:left w:val="nil"/>
              <w:bottom w:val="nil"/>
              <w:right w:val="nil"/>
            </w:tcBorders>
            <w:shd w:val="clear" w:color="auto" w:fill="auto"/>
            <w:noWrap/>
            <w:vAlign w:val="center"/>
            <w:hideMark/>
          </w:tcPr>
          <w:p w14:paraId="70A15380" w14:textId="77777777" w:rsidR="001645C8" w:rsidRPr="00F72633" w:rsidRDefault="001645C8" w:rsidP="00F90BBB">
            <w:pPr>
              <w:jc w:val="left"/>
              <w:rPr>
                <w:rFonts w:ascii="Arial Narrow" w:eastAsia="Times New Roman" w:hAnsi="Arial Narrow"/>
                <w:color w:val="000000"/>
                <w:sz w:val="16"/>
                <w:szCs w:val="16"/>
                <w:lang w:val="es-419" w:eastAsia="en-US"/>
              </w:rPr>
            </w:pPr>
          </w:p>
        </w:tc>
      </w:tr>
      <w:tr w:rsidR="001645C8" w:rsidRPr="00F72633" w14:paraId="298DCFBB" w14:textId="77777777" w:rsidTr="00405932">
        <w:trPr>
          <w:trHeight w:val="324"/>
          <w:jc w:val="center"/>
        </w:trPr>
        <w:tc>
          <w:tcPr>
            <w:tcW w:w="3420" w:type="dxa"/>
            <w:tcBorders>
              <w:top w:val="nil"/>
              <w:left w:val="nil"/>
              <w:bottom w:val="nil"/>
              <w:right w:val="nil"/>
            </w:tcBorders>
            <w:shd w:val="clear" w:color="auto" w:fill="auto"/>
            <w:vAlign w:val="center"/>
            <w:hideMark/>
          </w:tcPr>
          <w:p w14:paraId="31A39751" w14:textId="0DD84E73"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Fondo de operaciones</w:t>
            </w:r>
          </w:p>
        </w:tc>
        <w:tc>
          <w:tcPr>
            <w:tcW w:w="2004" w:type="dxa"/>
            <w:tcBorders>
              <w:top w:val="nil"/>
              <w:left w:val="nil"/>
              <w:bottom w:val="nil"/>
              <w:right w:val="nil"/>
            </w:tcBorders>
            <w:shd w:val="clear" w:color="auto" w:fill="auto"/>
            <w:vAlign w:val="center"/>
            <w:hideMark/>
          </w:tcPr>
          <w:p w14:paraId="6BF0BEC9" w14:textId="77777777" w:rsidR="001645C8" w:rsidRPr="00F72633" w:rsidRDefault="001645C8" w:rsidP="00F90BBB">
            <w:pPr>
              <w:jc w:val="left"/>
              <w:rPr>
                <w:rFonts w:ascii="Arial Narrow" w:eastAsia="Times New Roman" w:hAnsi="Arial Narrow"/>
                <w:sz w:val="16"/>
                <w:szCs w:val="16"/>
                <w:lang w:val="es-419" w:eastAsia="en-US"/>
              </w:rPr>
            </w:pPr>
          </w:p>
        </w:tc>
        <w:tc>
          <w:tcPr>
            <w:tcW w:w="1236" w:type="dxa"/>
            <w:tcBorders>
              <w:top w:val="nil"/>
              <w:left w:val="nil"/>
              <w:bottom w:val="nil"/>
              <w:right w:val="nil"/>
            </w:tcBorders>
            <w:shd w:val="clear" w:color="auto" w:fill="auto"/>
            <w:vAlign w:val="center"/>
            <w:hideMark/>
          </w:tcPr>
          <w:p w14:paraId="0DD42659" w14:textId="77777777" w:rsidR="001645C8" w:rsidRPr="00F72633" w:rsidRDefault="001645C8" w:rsidP="00D948CA">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 xml:space="preserve">578 </w:t>
            </w:r>
          </w:p>
        </w:tc>
        <w:tc>
          <w:tcPr>
            <w:tcW w:w="2340" w:type="dxa"/>
            <w:tcBorders>
              <w:top w:val="nil"/>
              <w:left w:val="nil"/>
              <w:bottom w:val="nil"/>
              <w:right w:val="nil"/>
            </w:tcBorders>
            <w:shd w:val="clear" w:color="auto" w:fill="auto"/>
            <w:noWrap/>
            <w:vAlign w:val="center"/>
            <w:hideMark/>
          </w:tcPr>
          <w:p w14:paraId="1ECFEB97" w14:textId="77777777" w:rsidR="001645C8" w:rsidRPr="00F72633" w:rsidRDefault="001645C8" w:rsidP="00F90BBB">
            <w:pPr>
              <w:jc w:val="left"/>
              <w:rPr>
                <w:rFonts w:ascii="Arial Narrow" w:eastAsia="Times New Roman" w:hAnsi="Arial Narrow"/>
                <w:color w:val="000000"/>
                <w:sz w:val="16"/>
                <w:szCs w:val="16"/>
                <w:lang w:val="es-419" w:eastAsia="en-US"/>
              </w:rPr>
            </w:pPr>
          </w:p>
        </w:tc>
      </w:tr>
      <w:tr w:rsidR="001645C8" w:rsidRPr="00F72633" w14:paraId="0D68743E" w14:textId="77777777" w:rsidTr="00405932">
        <w:trPr>
          <w:trHeight w:val="324"/>
          <w:jc w:val="center"/>
        </w:trPr>
        <w:tc>
          <w:tcPr>
            <w:tcW w:w="3420" w:type="dxa"/>
            <w:tcBorders>
              <w:top w:val="nil"/>
              <w:left w:val="nil"/>
              <w:bottom w:val="nil"/>
              <w:right w:val="nil"/>
            </w:tcBorders>
            <w:shd w:val="clear" w:color="auto" w:fill="auto"/>
            <w:vAlign w:val="center"/>
            <w:hideMark/>
          </w:tcPr>
          <w:p w14:paraId="40670489" w14:textId="45773F88" w:rsidR="001645C8" w:rsidRPr="00F72633" w:rsidRDefault="00405932" w:rsidP="00F90BBB">
            <w:pPr>
              <w:jc w:val="left"/>
              <w:rPr>
                <w:rFonts w:ascii="Arial Narrow" w:eastAsia="Times New Roman" w:hAnsi="Arial Narrow"/>
                <w:sz w:val="16"/>
                <w:szCs w:val="16"/>
                <w:lang w:val="es-419" w:eastAsia="en-US"/>
              </w:rPr>
            </w:pPr>
            <w:r w:rsidRPr="00F72633">
              <w:rPr>
                <w:rFonts w:ascii="Arial Narrow" w:hAnsi="Arial Narrow"/>
                <w:sz w:val="16"/>
                <w:lang w:val="es-419"/>
              </w:rPr>
              <w:t>Ganancias/(pérdidas) actuariales en los activos netos</w:t>
            </w:r>
          </w:p>
        </w:tc>
        <w:tc>
          <w:tcPr>
            <w:tcW w:w="2004" w:type="dxa"/>
            <w:tcBorders>
              <w:top w:val="nil"/>
              <w:left w:val="nil"/>
              <w:bottom w:val="nil"/>
              <w:right w:val="nil"/>
            </w:tcBorders>
            <w:shd w:val="clear" w:color="auto" w:fill="auto"/>
            <w:vAlign w:val="center"/>
            <w:hideMark/>
          </w:tcPr>
          <w:p w14:paraId="4B25E02C" w14:textId="77777777" w:rsidR="001645C8" w:rsidRPr="00F72633" w:rsidRDefault="001645C8" w:rsidP="00F90BBB">
            <w:pPr>
              <w:jc w:val="left"/>
              <w:rPr>
                <w:rFonts w:ascii="Arial Narrow" w:eastAsia="Times New Roman" w:hAnsi="Arial Narrow"/>
                <w:sz w:val="16"/>
                <w:szCs w:val="16"/>
                <w:lang w:val="es-419" w:eastAsia="en-US"/>
              </w:rPr>
            </w:pPr>
          </w:p>
        </w:tc>
        <w:tc>
          <w:tcPr>
            <w:tcW w:w="1236" w:type="dxa"/>
            <w:tcBorders>
              <w:top w:val="nil"/>
              <w:left w:val="nil"/>
              <w:bottom w:val="nil"/>
              <w:right w:val="nil"/>
            </w:tcBorders>
            <w:shd w:val="clear" w:color="auto" w:fill="auto"/>
            <w:vAlign w:val="center"/>
            <w:hideMark/>
          </w:tcPr>
          <w:p w14:paraId="0715E11D" w14:textId="4F600583" w:rsidR="001645C8" w:rsidRPr="00F72633" w:rsidRDefault="001645C8" w:rsidP="00405932">
            <w:pPr>
              <w:jc w:val="right"/>
              <w:rPr>
                <w:rFonts w:ascii="Arial Narrow" w:eastAsia="Times New Roman" w:hAnsi="Arial Narrow"/>
                <w:color w:val="000000"/>
                <w:sz w:val="16"/>
                <w:szCs w:val="16"/>
                <w:lang w:val="es-419" w:eastAsia="en-US"/>
              </w:rPr>
            </w:pPr>
            <w:r w:rsidRPr="00F72633">
              <w:rPr>
                <w:rFonts w:ascii="Arial Narrow" w:eastAsia="Times New Roman" w:hAnsi="Arial Narrow"/>
                <w:color w:val="000000"/>
                <w:sz w:val="16"/>
                <w:szCs w:val="16"/>
                <w:lang w:val="es-419" w:eastAsia="en-US"/>
              </w:rPr>
              <w:t>(1</w:t>
            </w:r>
            <w:r w:rsidR="00D86EED" w:rsidRPr="00F72633">
              <w:rPr>
                <w:rFonts w:ascii="Arial Narrow" w:eastAsia="Times New Roman" w:hAnsi="Arial Narrow"/>
                <w:color w:val="000000"/>
                <w:sz w:val="16"/>
                <w:szCs w:val="16"/>
                <w:lang w:val="es-419" w:eastAsia="en-US"/>
              </w:rPr>
              <w:t> </w:t>
            </w:r>
            <w:r w:rsidRPr="00F72633">
              <w:rPr>
                <w:rFonts w:ascii="Arial Narrow" w:eastAsia="Times New Roman" w:hAnsi="Arial Narrow"/>
                <w:color w:val="000000"/>
                <w:sz w:val="16"/>
                <w:szCs w:val="16"/>
                <w:lang w:val="es-419" w:eastAsia="en-US"/>
              </w:rPr>
              <w:t>137)</w:t>
            </w:r>
          </w:p>
        </w:tc>
        <w:tc>
          <w:tcPr>
            <w:tcW w:w="2340" w:type="dxa"/>
            <w:tcBorders>
              <w:top w:val="nil"/>
              <w:left w:val="nil"/>
              <w:bottom w:val="nil"/>
              <w:right w:val="nil"/>
            </w:tcBorders>
            <w:shd w:val="clear" w:color="auto" w:fill="auto"/>
            <w:noWrap/>
            <w:vAlign w:val="center"/>
            <w:hideMark/>
          </w:tcPr>
          <w:p w14:paraId="6D69C2F0" w14:textId="77777777" w:rsidR="001645C8" w:rsidRPr="00F72633" w:rsidRDefault="001645C8" w:rsidP="00F90BBB">
            <w:pPr>
              <w:jc w:val="right"/>
              <w:rPr>
                <w:rFonts w:ascii="Arial Narrow" w:eastAsia="Times New Roman" w:hAnsi="Arial Narrow"/>
                <w:color w:val="000000"/>
                <w:sz w:val="16"/>
                <w:szCs w:val="16"/>
                <w:lang w:val="es-419" w:eastAsia="en-US"/>
              </w:rPr>
            </w:pPr>
          </w:p>
        </w:tc>
      </w:tr>
      <w:tr w:rsidR="001645C8" w:rsidRPr="00F72633" w14:paraId="36192466" w14:textId="77777777" w:rsidTr="00405932">
        <w:trPr>
          <w:trHeight w:val="398"/>
          <w:jc w:val="center"/>
        </w:trPr>
        <w:tc>
          <w:tcPr>
            <w:tcW w:w="3420" w:type="dxa"/>
            <w:tcBorders>
              <w:top w:val="single" w:sz="4" w:space="0" w:color="C7CFD8"/>
              <w:left w:val="nil"/>
              <w:bottom w:val="single" w:sz="12" w:space="0" w:color="C7CFD8"/>
              <w:right w:val="nil"/>
            </w:tcBorders>
            <w:shd w:val="clear" w:color="auto" w:fill="auto"/>
            <w:noWrap/>
            <w:vAlign w:val="center"/>
            <w:hideMark/>
          </w:tcPr>
          <w:p w14:paraId="7B401628" w14:textId="61CE7390" w:rsidR="001645C8" w:rsidRPr="00F72633" w:rsidRDefault="00405932"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Total FRO al final del período</w:t>
            </w:r>
          </w:p>
        </w:tc>
        <w:tc>
          <w:tcPr>
            <w:tcW w:w="2004" w:type="dxa"/>
            <w:tcBorders>
              <w:top w:val="single" w:sz="4" w:space="0" w:color="C7CFD8"/>
              <w:left w:val="nil"/>
              <w:bottom w:val="single" w:sz="12" w:space="0" w:color="C7CFD8"/>
              <w:right w:val="nil"/>
            </w:tcBorders>
            <w:shd w:val="clear" w:color="auto" w:fill="auto"/>
            <w:noWrap/>
            <w:vAlign w:val="center"/>
            <w:hideMark/>
          </w:tcPr>
          <w:p w14:paraId="649F001A"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236" w:type="dxa"/>
            <w:tcBorders>
              <w:top w:val="single" w:sz="4" w:space="0" w:color="C7CFD8"/>
              <w:left w:val="nil"/>
              <w:bottom w:val="single" w:sz="12" w:space="0" w:color="C7CFD8"/>
              <w:right w:val="nil"/>
            </w:tcBorders>
            <w:shd w:val="clear" w:color="auto" w:fill="auto"/>
            <w:noWrap/>
            <w:vAlign w:val="center"/>
            <w:hideMark/>
          </w:tcPr>
          <w:p w14:paraId="42D3E426"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332 </w:t>
            </w:r>
          </w:p>
        </w:tc>
        <w:tc>
          <w:tcPr>
            <w:tcW w:w="2340" w:type="dxa"/>
            <w:tcBorders>
              <w:top w:val="nil"/>
              <w:left w:val="nil"/>
              <w:bottom w:val="nil"/>
              <w:right w:val="nil"/>
            </w:tcBorders>
            <w:shd w:val="clear" w:color="auto" w:fill="auto"/>
            <w:noWrap/>
            <w:vAlign w:val="center"/>
            <w:hideMark/>
          </w:tcPr>
          <w:p w14:paraId="55E46590" w14:textId="77777777" w:rsidR="001645C8" w:rsidRPr="00F72633" w:rsidRDefault="001645C8" w:rsidP="00F90BBB">
            <w:pPr>
              <w:jc w:val="right"/>
              <w:rPr>
                <w:rFonts w:ascii="Arial Narrow" w:eastAsia="Times New Roman" w:hAnsi="Arial Narrow"/>
                <w:b/>
                <w:bCs/>
                <w:sz w:val="16"/>
                <w:szCs w:val="16"/>
                <w:lang w:val="es-419" w:eastAsia="en-US"/>
              </w:rPr>
            </w:pPr>
          </w:p>
        </w:tc>
      </w:tr>
    </w:tbl>
    <w:p w14:paraId="03E7C1D8" w14:textId="77777777" w:rsidR="001645C8" w:rsidRPr="00F72633" w:rsidRDefault="001645C8" w:rsidP="003E3C19">
      <w:pPr>
        <w:rPr>
          <w:lang w:val="es-419"/>
        </w:rPr>
      </w:pPr>
    </w:p>
    <w:p w14:paraId="6D043DA1" w14:textId="438A630D" w:rsidR="001645C8" w:rsidRPr="00F72633" w:rsidRDefault="00405932" w:rsidP="003E3C19">
      <w:pPr>
        <w:keepNext/>
        <w:autoSpaceDE w:val="0"/>
        <w:autoSpaceDN w:val="0"/>
        <w:adjustRightInd w:val="0"/>
        <w:jc w:val="center"/>
        <w:rPr>
          <w:b/>
          <w:color w:val="155F1A"/>
          <w:sz w:val="18"/>
          <w:szCs w:val="18"/>
          <w:lang w:val="es-419"/>
        </w:rPr>
      </w:pPr>
      <w:r w:rsidRPr="00F72633">
        <w:rPr>
          <w:b/>
          <w:color w:val="155F1A"/>
          <w:sz w:val="18"/>
          <w:lang w:val="es-419"/>
        </w:rPr>
        <w:t>Gráfico 1. Ingresos, gastos y resultado presupuestario en</w:t>
      </w:r>
      <w:r w:rsidR="001645C8" w:rsidRPr="00F72633">
        <w:rPr>
          <w:b/>
          <w:color w:val="155F1A"/>
          <w:sz w:val="18"/>
          <w:szCs w:val="18"/>
          <w:lang w:val="es-419"/>
        </w:rPr>
        <w:t xml:space="preserve"> 2022</w:t>
      </w:r>
    </w:p>
    <w:p w14:paraId="56BD323D" w14:textId="5179918F" w:rsidR="001645C8" w:rsidRPr="00F72633" w:rsidRDefault="007C279B" w:rsidP="00E4717B">
      <w:pPr>
        <w:keepNext/>
        <w:autoSpaceDE w:val="0"/>
        <w:autoSpaceDN w:val="0"/>
        <w:adjustRightInd w:val="0"/>
        <w:jc w:val="center"/>
        <w:rPr>
          <w:b/>
          <w:color w:val="155F1A"/>
          <w:sz w:val="18"/>
          <w:szCs w:val="18"/>
          <w:lang w:val="es-419"/>
        </w:rPr>
      </w:pPr>
      <w:r w:rsidRPr="00F72633">
        <w:rPr>
          <w:noProof/>
          <w:lang w:eastAsia="en-US"/>
        </w:rPr>
        <w:drawing>
          <wp:inline distT="0" distB="0" distL="0" distR="0" wp14:anchorId="6548F9DE" wp14:editId="68FE530E">
            <wp:extent cx="4109509" cy="2697109"/>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57" cy="2716173"/>
                    </a:xfrm>
                    <a:prstGeom prst="rect">
                      <a:avLst/>
                    </a:prstGeom>
                    <a:noFill/>
                    <a:ln>
                      <a:noFill/>
                    </a:ln>
                  </pic:spPr>
                </pic:pic>
              </a:graphicData>
            </a:graphic>
          </wp:inline>
        </w:drawing>
      </w:r>
    </w:p>
    <w:p w14:paraId="333D259A" w14:textId="11BF12F5" w:rsidR="001645C8" w:rsidRPr="00F72633" w:rsidRDefault="004E7A9B" w:rsidP="003E3C19">
      <w:pPr>
        <w:jc w:val="left"/>
        <w:rPr>
          <w:sz w:val="14"/>
          <w:szCs w:val="16"/>
          <w:lang w:val="es-419"/>
        </w:rPr>
      </w:pPr>
      <w:r w:rsidRPr="00F72633">
        <w:rPr>
          <w:sz w:val="14"/>
          <w:lang w:val="es-419"/>
        </w:rPr>
        <w:t xml:space="preserve">Nota: </w:t>
      </w:r>
      <w:r w:rsidR="007F7226" w:rsidRPr="00F72633">
        <w:rPr>
          <w:sz w:val="14"/>
          <w:lang w:val="es-419"/>
        </w:rPr>
        <w:t xml:space="preserve">A </w:t>
      </w:r>
      <w:r w:rsidRPr="00F72633">
        <w:rPr>
          <w:sz w:val="14"/>
          <w:lang w:val="es-419"/>
        </w:rPr>
        <w:t>lo largo del documento puede ocurrir que las cifras de los cuadros no se correspondan con el total, debido al redondeo de los importes.</w:t>
      </w:r>
    </w:p>
    <w:p w14:paraId="4693B85F" w14:textId="31FCC181" w:rsidR="001645C8" w:rsidRPr="00F72633" w:rsidRDefault="00524AD3" w:rsidP="006C7717">
      <w:pPr>
        <w:keepNext/>
        <w:rPr>
          <w:b/>
          <w:color w:val="26724C" w:themeColor="accent1" w:themeShade="BF"/>
          <w:sz w:val="22"/>
          <w:lang w:val="es-419"/>
        </w:rPr>
      </w:pPr>
      <w:r w:rsidRPr="00F72633">
        <w:rPr>
          <w:b/>
          <w:color w:val="26724C" w:themeColor="accent1" w:themeShade="BF"/>
          <w:sz w:val="22"/>
          <w:lang w:val="es-419"/>
        </w:rPr>
        <w:lastRenderedPageBreak/>
        <w:t>Ingresos</w:t>
      </w:r>
    </w:p>
    <w:p w14:paraId="2C14FD1D" w14:textId="77777777" w:rsidR="001645C8" w:rsidRPr="00F72633" w:rsidRDefault="001645C8" w:rsidP="006C7717">
      <w:pPr>
        <w:keepNext/>
        <w:rPr>
          <w:lang w:val="es-419"/>
        </w:rPr>
      </w:pPr>
    </w:p>
    <w:p w14:paraId="3C3F0AE4" w14:textId="60AD47A7" w:rsidR="001645C8" w:rsidRPr="00F72633" w:rsidRDefault="00524AD3" w:rsidP="00D5490C">
      <w:pPr>
        <w:autoSpaceDE w:val="0"/>
        <w:autoSpaceDN w:val="0"/>
        <w:adjustRightInd w:val="0"/>
        <w:rPr>
          <w:rFonts w:eastAsia="Times New Roman"/>
          <w:color w:val="000000"/>
          <w:lang w:val="es-419" w:eastAsia="en-US"/>
        </w:rPr>
      </w:pPr>
      <w:r w:rsidRPr="00F72633">
        <w:rPr>
          <w:lang w:val="es-419"/>
        </w:rPr>
        <w:t>Los in</w:t>
      </w:r>
      <w:r w:rsidR="00810113" w:rsidRPr="00F72633">
        <w:rPr>
          <w:lang w:val="es-419"/>
        </w:rPr>
        <w:t>gresos reales ascendieron a 3,8 </w:t>
      </w:r>
      <w:r w:rsidRPr="00F72633">
        <w:rPr>
          <w:lang w:val="es-419"/>
        </w:rPr>
        <w:t>mill</w:t>
      </w:r>
      <w:r w:rsidR="00810113" w:rsidRPr="00F72633">
        <w:rPr>
          <w:lang w:val="es-419"/>
        </w:rPr>
        <w:t xml:space="preserve">ones de francos suizos en 2022, </w:t>
      </w:r>
      <w:r w:rsidRPr="00F72633">
        <w:rPr>
          <w:lang w:val="es-419"/>
        </w:rPr>
        <w:t>en consonancia con la cifra presupuestada (50</w:t>
      </w:r>
      <w:r w:rsidR="00C70DE2" w:rsidRPr="00F72633">
        <w:rPr>
          <w:lang w:val="es-419"/>
        </w:rPr>
        <w:t> %</w:t>
      </w:r>
      <w:r w:rsidR="003A20EA" w:rsidRPr="00F72633">
        <w:rPr>
          <w:lang w:val="es-419"/>
        </w:rPr>
        <w:t xml:space="preserve"> </w:t>
      </w:r>
      <w:r w:rsidRPr="00F72633">
        <w:rPr>
          <w:lang w:val="es-419"/>
        </w:rPr>
        <w:t>del presupuesto bienal). Véase el cuadro 2.</w:t>
      </w:r>
    </w:p>
    <w:p w14:paraId="59919FFF" w14:textId="77777777" w:rsidR="001645C8" w:rsidRPr="00F72633" w:rsidRDefault="001645C8" w:rsidP="00F90BBB">
      <w:pPr>
        <w:autoSpaceDE w:val="0"/>
        <w:autoSpaceDN w:val="0"/>
        <w:adjustRightInd w:val="0"/>
        <w:jc w:val="left"/>
        <w:rPr>
          <w:rFonts w:eastAsia="Times New Roman"/>
          <w:color w:val="000000"/>
          <w:lang w:val="es-419" w:eastAsia="en-US"/>
        </w:rPr>
      </w:pPr>
    </w:p>
    <w:p w14:paraId="42B3EB4E" w14:textId="344E3D04" w:rsidR="001645C8" w:rsidRPr="00F72633" w:rsidRDefault="00DE3A81" w:rsidP="00F90BBB">
      <w:pPr>
        <w:pStyle w:val="annexiparanumbered"/>
        <w:numPr>
          <w:ilvl w:val="0"/>
          <w:numId w:val="0"/>
        </w:numPr>
        <w:rPr>
          <w:lang w:val="es-419"/>
        </w:rPr>
      </w:pPr>
      <w:r w:rsidRPr="00F72633">
        <w:rPr>
          <w:lang w:val="es-419"/>
        </w:rPr>
        <w:t>Los ingresos superiores a los presupuestados derivados de las nuevas contribuciones recibidas de Ghana</w:t>
      </w:r>
      <w:r w:rsidR="00810113" w:rsidRPr="00F72633">
        <w:rPr>
          <w:lang w:val="es-419"/>
        </w:rPr>
        <w:t xml:space="preserve"> y San Vicente y las Granadinas (0,2 </w:t>
      </w:r>
      <w:r w:rsidRPr="00F72633">
        <w:rPr>
          <w:lang w:val="es-419"/>
        </w:rPr>
        <w:t xml:space="preserve">unidades cada uno, respectivamente), de las tasas de </w:t>
      </w:r>
      <w:r w:rsidR="000D20D3">
        <w:rPr>
          <w:lang w:val="es-419"/>
        </w:rPr>
        <w:t>UPOV PRISMA</w:t>
      </w:r>
      <w:r w:rsidRPr="00F72633">
        <w:rPr>
          <w:lang w:val="es-419"/>
        </w:rPr>
        <w:t xml:space="preserve"> y de los cursos de enseñanza a distancia se vieron contrarrestados por unos ingresos inferiores a los presupuestados procedentes de las tasas de PLUTO y de los costos de apoyo a los programas relacionados con los fondos fiduciarios. </w:t>
      </w:r>
      <w:r w:rsidR="00D5490C">
        <w:rPr>
          <w:lang w:val="es-419"/>
        </w:rPr>
        <w:t xml:space="preserve"> </w:t>
      </w:r>
      <w:r w:rsidRPr="00F72633">
        <w:rPr>
          <w:lang w:val="es-419"/>
        </w:rPr>
        <w:t>Debido a un problema con el mecanismo de facturación, los ingresos procedentes de PLUTO no reflejan el número d</w:t>
      </w:r>
      <w:r w:rsidR="00BB3ABE" w:rsidRPr="00F72633">
        <w:rPr>
          <w:lang w:val="es-419"/>
        </w:rPr>
        <w:t>e usuarios que pagaron tasas en </w:t>
      </w:r>
      <w:r w:rsidRPr="00F72633">
        <w:rPr>
          <w:lang w:val="es-419"/>
        </w:rPr>
        <w:t xml:space="preserve">2022. </w:t>
      </w:r>
      <w:r w:rsidR="00BB3ABE" w:rsidRPr="00F72633">
        <w:rPr>
          <w:lang w:val="es-419"/>
        </w:rPr>
        <w:t>Este problema se rectificará en </w:t>
      </w:r>
      <w:r w:rsidRPr="00F72633">
        <w:rPr>
          <w:lang w:val="es-419"/>
        </w:rPr>
        <w:t>2023.</w:t>
      </w:r>
    </w:p>
    <w:p w14:paraId="0B56D7DF" w14:textId="77777777" w:rsidR="001645C8" w:rsidRPr="00F72633" w:rsidRDefault="001645C8" w:rsidP="003E3C19">
      <w:pPr>
        <w:pStyle w:val="annexiparanumbered"/>
        <w:numPr>
          <w:ilvl w:val="0"/>
          <w:numId w:val="0"/>
        </w:numPr>
        <w:rPr>
          <w:lang w:val="es-419"/>
        </w:rPr>
      </w:pPr>
    </w:p>
    <w:p w14:paraId="1DA432E5" w14:textId="77777777" w:rsidR="001645C8" w:rsidRPr="00F72633" w:rsidRDefault="001645C8" w:rsidP="003E3C19">
      <w:pPr>
        <w:pStyle w:val="annexiparanumbered"/>
        <w:numPr>
          <w:ilvl w:val="0"/>
          <w:numId w:val="0"/>
        </w:numPr>
        <w:rPr>
          <w:lang w:val="es-419"/>
        </w:rPr>
      </w:pPr>
    </w:p>
    <w:p w14:paraId="3F414D77" w14:textId="7C5E764B" w:rsidR="001645C8" w:rsidRPr="00F72633" w:rsidRDefault="00DE3A81" w:rsidP="003E3C19">
      <w:pPr>
        <w:autoSpaceDE w:val="0"/>
        <w:autoSpaceDN w:val="0"/>
        <w:adjustRightInd w:val="0"/>
        <w:jc w:val="center"/>
        <w:rPr>
          <w:b/>
          <w:color w:val="155F1A"/>
          <w:sz w:val="18"/>
          <w:szCs w:val="18"/>
          <w:lang w:val="es-419"/>
        </w:rPr>
      </w:pPr>
      <w:r w:rsidRPr="00F72633">
        <w:rPr>
          <w:b/>
          <w:color w:val="155F1A"/>
          <w:sz w:val="18"/>
          <w:lang w:val="es-419"/>
        </w:rPr>
        <w:t>Cuadro 2. Ingresos en</w:t>
      </w:r>
      <w:r w:rsidR="001645C8" w:rsidRPr="00F72633">
        <w:rPr>
          <w:b/>
          <w:color w:val="155F1A"/>
          <w:sz w:val="18"/>
          <w:szCs w:val="18"/>
          <w:lang w:val="es-419"/>
        </w:rPr>
        <w:t xml:space="preserve"> 2022</w:t>
      </w:r>
    </w:p>
    <w:p w14:paraId="474592A4" w14:textId="0EB7B12E" w:rsidR="001645C8" w:rsidRPr="00F72633" w:rsidRDefault="001645C8" w:rsidP="003E3C19">
      <w:pPr>
        <w:autoSpaceDE w:val="0"/>
        <w:autoSpaceDN w:val="0"/>
        <w:adjustRightInd w:val="0"/>
        <w:jc w:val="center"/>
        <w:rPr>
          <w:i/>
          <w:sz w:val="14"/>
          <w:szCs w:val="18"/>
          <w:lang w:val="es-419"/>
        </w:rPr>
      </w:pPr>
      <w:r w:rsidRPr="00F72633">
        <w:rPr>
          <w:i/>
          <w:sz w:val="14"/>
          <w:szCs w:val="18"/>
          <w:lang w:val="es-419"/>
        </w:rPr>
        <w:t>(</w:t>
      </w:r>
      <w:r w:rsidR="00DE3A81" w:rsidRPr="00F72633">
        <w:rPr>
          <w:i/>
          <w:sz w:val="14"/>
          <w:lang w:val="es-419"/>
        </w:rPr>
        <w:t>en miles de francos suizos</w:t>
      </w:r>
      <w:r w:rsidRPr="00F72633">
        <w:rPr>
          <w:i/>
          <w:sz w:val="14"/>
          <w:szCs w:val="18"/>
          <w:lang w:val="es-419"/>
        </w:rPr>
        <w:t>)</w:t>
      </w:r>
    </w:p>
    <w:p w14:paraId="53177132" w14:textId="77777777" w:rsidR="001645C8" w:rsidRPr="00F72633" w:rsidRDefault="001645C8" w:rsidP="003E3C19">
      <w:pPr>
        <w:rPr>
          <w:rFonts w:eastAsia="Times New Roman"/>
          <w:sz w:val="18"/>
          <w:szCs w:val="18"/>
          <w:lang w:val="es-419" w:eastAsia="en-US"/>
        </w:rPr>
      </w:pPr>
    </w:p>
    <w:tbl>
      <w:tblPr>
        <w:tblW w:w="7938" w:type="dxa"/>
        <w:jc w:val="center"/>
        <w:tblLook w:val="04A0" w:firstRow="1" w:lastRow="0" w:firstColumn="1" w:lastColumn="0" w:noHBand="0" w:noVBand="1"/>
      </w:tblPr>
      <w:tblGrid>
        <w:gridCol w:w="3567"/>
        <w:gridCol w:w="1500"/>
        <w:gridCol w:w="1233"/>
        <w:gridCol w:w="1638"/>
      </w:tblGrid>
      <w:tr w:rsidR="001645C8" w:rsidRPr="00F72633" w14:paraId="6B24CD6F" w14:textId="77777777" w:rsidTr="00D5490C">
        <w:trPr>
          <w:trHeight w:val="720"/>
          <w:jc w:val="center"/>
        </w:trPr>
        <w:tc>
          <w:tcPr>
            <w:tcW w:w="3567" w:type="dxa"/>
            <w:tcBorders>
              <w:top w:val="nil"/>
              <w:left w:val="nil"/>
              <w:bottom w:val="nil"/>
              <w:right w:val="nil"/>
            </w:tcBorders>
            <w:shd w:val="clear" w:color="000000" w:fill="C7CFD8"/>
            <w:noWrap/>
            <w:vAlign w:val="center"/>
            <w:hideMark/>
          </w:tcPr>
          <w:p w14:paraId="455E8047" w14:textId="674F9108" w:rsidR="001645C8" w:rsidRPr="00F72633" w:rsidRDefault="00301354" w:rsidP="00F90BBB">
            <w:pPr>
              <w:ind w:firstLineChars="200" w:firstLine="321"/>
              <w:jc w:val="left"/>
              <w:rPr>
                <w:rFonts w:ascii="Arial Narrow" w:eastAsia="Times New Roman" w:hAnsi="Arial Narrow"/>
                <w:b/>
                <w:bCs/>
                <w:sz w:val="16"/>
                <w:szCs w:val="16"/>
                <w:lang w:val="es-419" w:eastAsia="en-US"/>
              </w:rPr>
            </w:pPr>
            <w:r w:rsidRPr="00F72633">
              <w:rPr>
                <w:rFonts w:ascii="Arial Narrow" w:hAnsi="Arial Narrow"/>
                <w:b/>
                <w:sz w:val="16"/>
                <w:lang w:val="es-419"/>
              </w:rPr>
              <w:t>Ingresos</w:t>
            </w:r>
          </w:p>
        </w:tc>
        <w:tc>
          <w:tcPr>
            <w:tcW w:w="1500" w:type="dxa"/>
            <w:tcBorders>
              <w:top w:val="nil"/>
              <w:left w:val="nil"/>
              <w:right w:val="nil"/>
            </w:tcBorders>
            <w:shd w:val="clear" w:color="000000" w:fill="C7CFD8"/>
            <w:noWrap/>
            <w:vAlign w:val="center"/>
            <w:hideMark/>
          </w:tcPr>
          <w:p w14:paraId="2A6127DD" w14:textId="509D4105" w:rsidR="001645C8" w:rsidRPr="00F72633" w:rsidRDefault="00301354" w:rsidP="00301354">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xml:space="preserve">Estimaciones para </w:t>
            </w:r>
            <w:r w:rsidR="001645C8" w:rsidRPr="00F72633">
              <w:rPr>
                <w:rFonts w:ascii="Arial Narrow" w:eastAsia="Times New Roman" w:hAnsi="Arial Narrow"/>
                <w:b/>
                <w:bCs/>
                <w:color w:val="000000"/>
                <w:sz w:val="16"/>
                <w:szCs w:val="16"/>
                <w:lang w:val="es-419" w:eastAsia="en-US"/>
              </w:rPr>
              <w:t>2022/23</w:t>
            </w:r>
          </w:p>
        </w:tc>
        <w:tc>
          <w:tcPr>
            <w:tcW w:w="1233" w:type="dxa"/>
            <w:tcBorders>
              <w:top w:val="nil"/>
              <w:left w:val="nil"/>
              <w:right w:val="nil"/>
            </w:tcBorders>
            <w:shd w:val="clear" w:color="000000" w:fill="C7CFD8"/>
            <w:noWrap/>
            <w:vAlign w:val="center"/>
            <w:hideMark/>
          </w:tcPr>
          <w:p w14:paraId="625A65D4" w14:textId="6FE65E26" w:rsidR="001645C8" w:rsidRPr="00F72633" w:rsidRDefault="00301354" w:rsidP="00301354">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xml:space="preserve">Cifra real de </w:t>
            </w:r>
            <w:r w:rsidR="001645C8" w:rsidRPr="00F72633">
              <w:rPr>
                <w:rFonts w:ascii="Arial Narrow" w:eastAsia="Times New Roman" w:hAnsi="Arial Narrow"/>
                <w:b/>
                <w:bCs/>
                <w:color w:val="000000"/>
                <w:sz w:val="16"/>
                <w:szCs w:val="16"/>
                <w:lang w:val="es-419" w:eastAsia="en-US"/>
              </w:rPr>
              <w:t>2022</w:t>
            </w:r>
          </w:p>
        </w:tc>
        <w:tc>
          <w:tcPr>
            <w:tcW w:w="1638" w:type="dxa"/>
            <w:tcBorders>
              <w:top w:val="nil"/>
              <w:left w:val="nil"/>
              <w:bottom w:val="nil"/>
              <w:right w:val="nil"/>
            </w:tcBorders>
            <w:shd w:val="clear" w:color="000000" w:fill="C7CFD8"/>
            <w:vAlign w:val="center"/>
            <w:hideMark/>
          </w:tcPr>
          <w:p w14:paraId="410154F3" w14:textId="017DD883" w:rsidR="001645C8" w:rsidRPr="00F72633" w:rsidRDefault="00301354"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 xml:space="preserve">Cifras reales de </w:t>
            </w:r>
            <w:r w:rsidRPr="00F72633">
              <w:rPr>
                <w:rFonts w:ascii="Arial Narrow" w:eastAsia="Times New Roman" w:hAnsi="Arial Narrow"/>
                <w:b/>
                <w:bCs/>
                <w:color w:val="000000"/>
                <w:sz w:val="16"/>
                <w:szCs w:val="16"/>
                <w:lang w:val="es-419" w:eastAsia="en-US"/>
              </w:rPr>
              <w:t xml:space="preserve">2022 </w:t>
            </w:r>
            <w:r w:rsidRPr="00F72633">
              <w:rPr>
                <w:rFonts w:ascii="Arial Narrow" w:hAnsi="Arial Narrow"/>
                <w:b/>
                <w:color w:val="000000"/>
                <w:sz w:val="16"/>
                <w:lang w:val="es-419"/>
              </w:rPr>
              <w:t>comparadas con las estimaciones</w:t>
            </w:r>
          </w:p>
        </w:tc>
      </w:tr>
      <w:tr w:rsidR="001645C8" w:rsidRPr="00F72633" w14:paraId="39B2893B" w14:textId="77777777" w:rsidTr="00D5490C">
        <w:trPr>
          <w:trHeight w:val="285"/>
          <w:jc w:val="center"/>
        </w:trPr>
        <w:tc>
          <w:tcPr>
            <w:tcW w:w="3567" w:type="dxa"/>
            <w:tcBorders>
              <w:top w:val="nil"/>
              <w:left w:val="nil"/>
              <w:bottom w:val="nil"/>
              <w:right w:val="nil"/>
            </w:tcBorders>
            <w:shd w:val="clear" w:color="auto" w:fill="auto"/>
            <w:noWrap/>
            <w:vAlign w:val="center"/>
            <w:hideMark/>
          </w:tcPr>
          <w:p w14:paraId="7DEA0F62" w14:textId="40232ED7" w:rsidR="001645C8" w:rsidRPr="00F72633" w:rsidRDefault="00301354" w:rsidP="00F90BBB">
            <w:pPr>
              <w:ind w:firstLineChars="200" w:firstLine="320"/>
              <w:jc w:val="left"/>
              <w:rPr>
                <w:rFonts w:ascii="Arial Narrow" w:eastAsia="Times New Roman" w:hAnsi="Arial Narrow"/>
                <w:sz w:val="16"/>
                <w:szCs w:val="16"/>
                <w:lang w:val="es-419" w:eastAsia="en-US"/>
              </w:rPr>
            </w:pPr>
            <w:r w:rsidRPr="00F72633">
              <w:rPr>
                <w:rFonts w:ascii="Arial Narrow" w:hAnsi="Arial Narrow"/>
                <w:sz w:val="16"/>
                <w:lang w:val="es-419"/>
              </w:rPr>
              <w:t>Contribuciones (</w:t>
            </w:r>
            <w:r w:rsidR="003A4333" w:rsidRPr="00F72633">
              <w:rPr>
                <w:rFonts w:ascii="Arial Narrow" w:hAnsi="Arial Narrow"/>
                <w:sz w:val="16"/>
                <w:lang w:val="es-419"/>
              </w:rPr>
              <w:t>sistema único</w:t>
            </w:r>
            <w:r w:rsidRPr="00F72633">
              <w:rPr>
                <w:rFonts w:ascii="Arial Narrow" w:hAnsi="Arial Narrow"/>
                <w:sz w:val="16"/>
                <w:lang w:val="es-419"/>
              </w:rPr>
              <w:t>)</w:t>
            </w:r>
          </w:p>
        </w:tc>
        <w:tc>
          <w:tcPr>
            <w:tcW w:w="1500" w:type="dxa"/>
            <w:tcBorders>
              <w:top w:val="nil"/>
              <w:left w:val="nil"/>
              <w:bottom w:val="nil"/>
              <w:right w:val="nil"/>
            </w:tcBorders>
            <w:shd w:val="clear" w:color="auto" w:fill="auto"/>
            <w:noWrap/>
            <w:vAlign w:val="center"/>
            <w:hideMark/>
          </w:tcPr>
          <w:p w14:paraId="175D30BE" w14:textId="72CCCDBD" w:rsidR="001645C8" w:rsidRPr="00F72633" w:rsidRDefault="001645C8" w:rsidP="00F26124">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7</w:t>
            </w:r>
            <w:r w:rsidR="00A43D69"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129 </w:t>
            </w:r>
          </w:p>
        </w:tc>
        <w:tc>
          <w:tcPr>
            <w:tcW w:w="1233" w:type="dxa"/>
            <w:tcBorders>
              <w:top w:val="nil"/>
              <w:left w:val="nil"/>
              <w:bottom w:val="nil"/>
              <w:right w:val="nil"/>
            </w:tcBorders>
            <w:shd w:val="clear" w:color="auto" w:fill="auto"/>
            <w:noWrap/>
            <w:vAlign w:val="center"/>
            <w:hideMark/>
          </w:tcPr>
          <w:p w14:paraId="6D23B287" w14:textId="0E32F0DE" w:rsidR="001645C8" w:rsidRPr="00F72633" w:rsidRDefault="001645C8" w:rsidP="00F26124">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A43D69"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570 </w:t>
            </w:r>
          </w:p>
        </w:tc>
        <w:tc>
          <w:tcPr>
            <w:tcW w:w="1638" w:type="dxa"/>
            <w:tcBorders>
              <w:top w:val="nil"/>
              <w:left w:val="nil"/>
              <w:bottom w:val="nil"/>
              <w:right w:val="nil"/>
            </w:tcBorders>
            <w:shd w:val="clear" w:color="auto" w:fill="auto"/>
            <w:noWrap/>
            <w:vAlign w:val="center"/>
            <w:hideMark/>
          </w:tcPr>
          <w:p w14:paraId="0D84C627" w14:textId="5CB18C30"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50</w:t>
            </w:r>
            <w:r w:rsidR="00C70DE2" w:rsidRPr="00F72633">
              <w:rPr>
                <w:rFonts w:ascii="Arial Narrow" w:eastAsia="Times New Roman" w:hAnsi="Arial Narrow"/>
                <w:sz w:val="16"/>
                <w:szCs w:val="16"/>
                <w:lang w:val="es-419" w:eastAsia="en-US"/>
              </w:rPr>
              <w:t> %</w:t>
            </w:r>
          </w:p>
        </w:tc>
      </w:tr>
      <w:tr w:rsidR="001645C8" w:rsidRPr="00F72633" w14:paraId="3F281B4C" w14:textId="77777777" w:rsidTr="00D5490C">
        <w:trPr>
          <w:trHeight w:val="285"/>
          <w:jc w:val="center"/>
        </w:trPr>
        <w:tc>
          <w:tcPr>
            <w:tcW w:w="3567" w:type="dxa"/>
            <w:tcBorders>
              <w:top w:val="nil"/>
              <w:left w:val="nil"/>
              <w:bottom w:val="nil"/>
              <w:right w:val="nil"/>
            </w:tcBorders>
            <w:shd w:val="clear" w:color="auto" w:fill="auto"/>
            <w:noWrap/>
            <w:vAlign w:val="center"/>
            <w:hideMark/>
          </w:tcPr>
          <w:p w14:paraId="114765B7" w14:textId="0EC3742D" w:rsidR="001645C8" w:rsidRPr="00F72633" w:rsidRDefault="00301354" w:rsidP="00301354">
            <w:pPr>
              <w:ind w:firstLineChars="200" w:firstLine="320"/>
              <w:jc w:val="left"/>
              <w:rPr>
                <w:rFonts w:ascii="Arial Narrow" w:eastAsia="Times New Roman" w:hAnsi="Arial Narrow"/>
                <w:sz w:val="16"/>
                <w:szCs w:val="16"/>
                <w:lang w:val="es-419" w:eastAsia="en-US"/>
              </w:rPr>
            </w:pPr>
            <w:r w:rsidRPr="00F72633">
              <w:rPr>
                <w:rFonts w:ascii="Arial Narrow" w:hAnsi="Arial Narrow"/>
                <w:sz w:val="16"/>
                <w:lang w:val="es-419"/>
              </w:rPr>
              <w:t xml:space="preserve">Tasas de </w:t>
            </w:r>
            <w:r w:rsidR="000D20D3">
              <w:rPr>
                <w:rFonts w:ascii="Arial Narrow" w:hAnsi="Arial Narrow"/>
                <w:sz w:val="16"/>
                <w:lang w:val="es-419"/>
              </w:rPr>
              <w:t>UPOV PRISMA</w:t>
            </w:r>
          </w:p>
        </w:tc>
        <w:tc>
          <w:tcPr>
            <w:tcW w:w="1500" w:type="dxa"/>
            <w:tcBorders>
              <w:top w:val="nil"/>
              <w:left w:val="nil"/>
              <w:bottom w:val="nil"/>
              <w:right w:val="nil"/>
            </w:tcBorders>
            <w:shd w:val="clear" w:color="auto" w:fill="auto"/>
            <w:noWrap/>
            <w:vAlign w:val="center"/>
            <w:hideMark/>
          </w:tcPr>
          <w:p w14:paraId="7B15E9A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219 </w:t>
            </w:r>
          </w:p>
        </w:tc>
        <w:tc>
          <w:tcPr>
            <w:tcW w:w="1233" w:type="dxa"/>
            <w:tcBorders>
              <w:top w:val="nil"/>
              <w:left w:val="nil"/>
              <w:bottom w:val="nil"/>
              <w:right w:val="nil"/>
            </w:tcBorders>
            <w:shd w:val="clear" w:color="auto" w:fill="auto"/>
            <w:noWrap/>
            <w:vAlign w:val="center"/>
            <w:hideMark/>
          </w:tcPr>
          <w:p w14:paraId="12B2AE0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131 </w:t>
            </w:r>
          </w:p>
        </w:tc>
        <w:tc>
          <w:tcPr>
            <w:tcW w:w="1638" w:type="dxa"/>
            <w:tcBorders>
              <w:top w:val="nil"/>
              <w:left w:val="nil"/>
              <w:bottom w:val="nil"/>
              <w:right w:val="nil"/>
            </w:tcBorders>
            <w:shd w:val="clear" w:color="auto" w:fill="auto"/>
            <w:noWrap/>
            <w:vAlign w:val="center"/>
            <w:hideMark/>
          </w:tcPr>
          <w:p w14:paraId="6BC9FE27" w14:textId="1CECF8EB"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60</w:t>
            </w:r>
            <w:r w:rsidR="00C70DE2" w:rsidRPr="00F72633">
              <w:rPr>
                <w:rFonts w:ascii="Arial Narrow" w:eastAsia="Times New Roman" w:hAnsi="Arial Narrow"/>
                <w:sz w:val="16"/>
                <w:szCs w:val="16"/>
                <w:lang w:val="es-419" w:eastAsia="en-US"/>
              </w:rPr>
              <w:t> %</w:t>
            </w:r>
          </w:p>
        </w:tc>
      </w:tr>
      <w:tr w:rsidR="001645C8" w:rsidRPr="00F72633" w14:paraId="05F89ABF" w14:textId="77777777" w:rsidTr="00D5490C">
        <w:trPr>
          <w:trHeight w:val="285"/>
          <w:jc w:val="center"/>
        </w:trPr>
        <w:tc>
          <w:tcPr>
            <w:tcW w:w="3567" w:type="dxa"/>
            <w:tcBorders>
              <w:top w:val="nil"/>
              <w:left w:val="nil"/>
              <w:bottom w:val="nil"/>
              <w:right w:val="nil"/>
            </w:tcBorders>
            <w:shd w:val="clear" w:color="auto" w:fill="auto"/>
            <w:noWrap/>
            <w:vAlign w:val="center"/>
            <w:hideMark/>
          </w:tcPr>
          <w:p w14:paraId="00AC19A4" w14:textId="2890537D" w:rsidR="001645C8" w:rsidRPr="00F72633" w:rsidRDefault="00301354" w:rsidP="00301354">
            <w:pPr>
              <w:ind w:firstLineChars="200" w:firstLine="320"/>
              <w:jc w:val="left"/>
              <w:rPr>
                <w:rFonts w:ascii="Arial Narrow" w:eastAsia="Times New Roman" w:hAnsi="Arial Narrow"/>
                <w:sz w:val="16"/>
                <w:szCs w:val="16"/>
                <w:lang w:val="es-419" w:eastAsia="en-US"/>
              </w:rPr>
            </w:pPr>
            <w:r w:rsidRPr="00F72633">
              <w:rPr>
                <w:rFonts w:ascii="Arial Narrow" w:hAnsi="Arial Narrow"/>
                <w:sz w:val="16"/>
                <w:lang w:val="es-419"/>
              </w:rPr>
              <w:t xml:space="preserve">Tasas de </w:t>
            </w:r>
            <w:r w:rsidR="001645C8" w:rsidRPr="00F72633">
              <w:rPr>
                <w:rFonts w:ascii="Arial Narrow" w:eastAsia="Times New Roman" w:hAnsi="Arial Narrow"/>
                <w:sz w:val="16"/>
                <w:szCs w:val="16"/>
                <w:lang w:val="es-419" w:eastAsia="en-US"/>
              </w:rPr>
              <w:t>PLUTO</w:t>
            </w:r>
          </w:p>
        </w:tc>
        <w:tc>
          <w:tcPr>
            <w:tcW w:w="1500" w:type="dxa"/>
            <w:tcBorders>
              <w:top w:val="nil"/>
              <w:left w:val="nil"/>
              <w:bottom w:val="nil"/>
              <w:right w:val="nil"/>
            </w:tcBorders>
            <w:shd w:val="clear" w:color="auto" w:fill="auto"/>
            <w:noWrap/>
            <w:vAlign w:val="center"/>
            <w:hideMark/>
          </w:tcPr>
          <w:p w14:paraId="656052B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113 </w:t>
            </w:r>
          </w:p>
        </w:tc>
        <w:tc>
          <w:tcPr>
            <w:tcW w:w="1233" w:type="dxa"/>
            <w:tcBorders>
              <w:top w:val="nil"/>
              <w:left w:val="nil"/>
              <w:bottom w:val="nil"/>
              <w:right w:val="nil"/>
            </w:tcBorders>
            <w:shd w:val="clear" w:color="auto" w:fill="auto"/>
            <w:noWrap/>
            <w:vAlign w:val="center"/>
            <w:hideMark/>
          </w:tcPr>
          <w:p w14:paraId="3B5106E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12 </w:t>
            </w:r>
          </w:p>
        </w:tc>
        <w:tc>
          <w:tcPr>
            <w:tcW w:w="1638" w:type="dxa"/>
            <w:tcBorders>
              <w:top w:val="nil"/>
              <w:left w:val="nil"/>
              <w:bottom w:val="nil"/>
              <w:right w:val="nil"/>
            </w:tcBorders>
            <w:shd w:val="clear" w:color="auto" w:fill="auto"/>
            <w:noWrap/>
            <w:vAlign w:val="center"/>
            <w:hideMark/>
          </w:tcPr>
          <w:p w14:paraId="2E838100" w14:textId="789C9F41"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11</w:t>
            </w:r>
            <w:r w:rsidR="00C70DE2" w:rsidRPr="00F72633">
              <w:rPr>
                <w:rFonts w:ascii="Arial Narrow" w:eastAsia="Times New Roman" w:hAnsi="Arial Narrow"/>
                <w:sz w:val="16"/>
                <w:szCs w:val="16"/>
                <w:lang w:val="es-419" w:eastAsia="en-US"/>
              </w:rPr>
              <w:t> %</w:t>
            </w:r>
          </w:p>
        </w:tc>
      </w:tr>
      <w:tr w:rsidR="001645C8" w:rsidRPr="00F72633" w14:paraId="5A391C22" w14:textId="77777777" w:rsidTr="00D5490C">
        <w:trPr>
          <w:trHeight w:val="285"/>
          <w:jc w:val="center"/>
        </w:trPr>
        <w:tc>
          <w:tcPr>
            <w:tcW w:w="3567" w:type="dxa"/>
            <w:tcBorders>
              <w:top w:val="nil"/>
              <w:left w:val="nil"/>
              <w:bottom w:val="nil"/>
              <w:right w:val="nil"/>
            </w:tcBorders>
            <w:shd w:val="clear" w:color="auto" w:fill="auto"/>
            <w:noWrap/>
            <w:vAlign w:val="center"/>
            <w:hideMark/>
          </w:tcPr>
          <w:p w14:paraId="2D553847" w14:textId="5725E1FB" w:rsidR="001645C8" w:rsidRPr="00F72633" w:rsidRDefault="00F26124" w:rsidP="003011EF">
            <w:pPr>
              <w:ind w:firstLineChars="200" w:firstLine="320"/>
              <w:jc w:val="left"/>
              <w:rPr>
                <w:rFonts w:ascii="Arial Narrow" w:eastAsia="Times New Roman" w:hAnsi="Arial Narrow"/>
                <w:sz w:val="16"/>
                <w:szCs w:val="16"/>
                <w:lang w:val="es-419" w:eastAsia="en-US"/>
              </w:rPr>
            </w:pPr>
            <w:r w:rsidRPr="00F72633">
              <w:rPr>
                <w:rFonts w:ascii="Arial Narrow" w:hAnsi="Arial Narrow"/>
                <w:sz w:val="16"/>
                <w:lang w:val="es-419"/>
              </w:rPr>
              <w:t>Costos de apoyo al programa de fondos fiduciarios</w:t>
            </w:r>
          </w:p>
        </w:tc>
        <w:tc>
          <w:tcPr>
            <w:tcW w:w="1500" w:type="dxa"/>
            <w:tcBorders>
              <w:top w:val="nil"/>
              <w:left w:val="nil"/>
              <w:bottom w:val="nil"/>
              <w:right w:val="nil"/>
            </w:tcBorders>
            <w:shd w:val="clear" w:color="auto" w:fill="auto"/>
            <w:noWrap/>
            <w:vAlign w:val="center"/>
            <w:hideMark/>
          </w:tcPr>
          <w:p w14:paraId="395CB9A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125 </w:t>
            </w:r>
          </w:p>
        </w:tc>
        <w:tc>
          <w:tcPr>
            <w:tcW w:w="1233" w:type="dxa"/>
            <w:tcBorders>
              <w:top w:val="nil"/>
              <w:left w:val="nil"/>
              <w:bottom w:val="nil"/>
              <w:right w:val="nil"/>
            </w:tcBorders>
            <w:shd w:val="clear" w:color="auto" w:fill="auto"/>
            <w:noWrap/>
            <w:vAlign w:val="center"/>
            <w:hideMark/>
          </w:tcPr>
          <w:p w14:paraId="354C49C3"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64 </w:t>
            </w:r>
          </w:p>
        </w:tc>
        <w:tc>
          <w:tcPr>
            <w:tcW w:w="1638" w:type="dxa"/>
            <w:tcBorders>
              <w:top w:val="nil"/>
              <w:left w:val="nil"/>
              <w:bottom w:val="nil"/>
              <w:right w:val="nil"/>
            </w:tcBorders>
            <w:shd w:val="clear" w:color="auto" w:fill="auto"/>
            <w:noWrap/>
            <w:vAlign w:val="center"/>
            <w:hideMark/>
          </w:tcPr>
          <w:p w14:paraId="4AB699DA" w14:textId="451C1E21"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51</w:t>
            </w:r>
            <w:r w:rsidR="00C70DE2" w:rsidRPr="00F72633">
              <w:rPr>
                <w:rFonts w:ascii="Arial Narrow" w:eastAsia="Times New Roman" w:hAnsi="Arial Narrow"/>
                <w:sz w:val="16"/>
                <w:szCs w:val="16"/>
                <w:lang w:val="es-419" w:eastAsia="en-US"/>
              </w:rPr>
              <w:t> %</w:t>
            </w:r>
          </w:p>
        </w:tc>
      </w:tr>
      <w:tr w:rsidR="001645C8" w:rsidRPr="00F72633" w14:paraId="39A4FCCB" w14:textId="77777777" w:rsidTr="00D5490C">
        <w:trPr>
          <w:trHeight w:val="285"/>
          <w:jc w:val="center"/>
        </w:trPr>
        <w:tc>
          <w:tcPr>
            <w:tcW w:w="3567" w:type="dxa"/>
            <w:tcBorders>
              <w:top w:val="nil"/>
              <w:left w:val="nil"/>
              <w:bottom w:val="nil"/>
              <w:right w:val="nil"/>
            </w:tcBorders>
            <w:shd w:val="clear" w:color="auto" w:fill="auto"/>
            <w:noWrap/>
            <w:vAlign w:val="center"/>
            <w:hideMark/>
          </w:tcPr>
          <w:p w14:paraId="5BF91952" w14:textId="43600F0B" w:rsidR="001645C8" w:rsidRPr="00F72633" w:rsidRDefault="00301354" w:rsidP="00301354">
            <w:pPr>
              <w:ind w:firstLineChars="200" w:firstLine="320"/>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Tasas de los cursos de enseñanza a distancia</w:t>
            </w:r>
          </w:p>
        </w:tc>
        <w:tc>
          <w:tcPr>
            <w:tcW w:w="1500" w:type="dxa"/>
            <w:tcBorders>
              <w:top w:val="nil"/>
              <w:left w:val="nil"/>
              <w:bottom w:val="nil"/>
              <w:right w:val="nil"/>
            </w:tcBorders>
            <w:shd w:val="clear" w:color="auto" w:fill="auto"/>
            <w:noWrap/>
            <w:vAlign w:val="center"/>
            <w:hideMark/>
          </w:tcPr>
          <w:p w14:paraId="7E4D37E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49 </w:t>
            </w:r>
          </w:p>
        </w:tc>
        <w:tc>
          <w:tcPr>
            <w:tcW w:w="1233" w:type="dxa"/>
            <w:tcBorders>
              <w:top w:val="nil"/>
              <w:left w:val="nil"/>
              <w:bottom w:val="nil"/>
              <w:right w:val="nil"/>
            </w:tcBorders>
            <w:shd w:val="clear" w:color="auto" w:fill="auto"/>
            <w:noWrap/>
            <w:vAlign w:val="center"/>
            <w:hideMark/>
          </w:tcPr>
          <w:p w14:paraId="73658B73"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38 </w:t>
            </w:r>
          </w:p>
        </w:tc>
        <w:tc>
          <w:tcPr>
            <w:tcW w:w="1638" w:type="dxa"/>
            <w:tcBorders>
              <w:top w:val="nil"/>
              <w:left w:val="nil"/>
              <w:bottom w:val="nil"/>
              <w:right w:val="nil"/>
            </w:tcBorders>
            <w:shd w:val="clear" w:color="auto" w:fill="auto"/>
            <w:noWrap/>
            <w:vAlign w:val="center"/>
            <w:hideMark/>
          </w:tcPr>
          <w:p w14:paraId="19A3BD61" w14:textId="077FC81E"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78</w:t>
            </w:r>
            <w:r w:rsidR="00C70DE2" w:rsidRPr="00F72633">
              <w:rPr>
                <w:rFonts w:ascii="Arial Narrow" w:eastAsia="Times New Roman" w:hAnsi="Arial Narrow"/>
                <w:sz w:val="16"/>
                <w:szCs w:val="16"/>
                <w:lang w:val="es-419" w:eastAsia="en-US"/>
              </w:rPr>
              <w:t> %</w:t>
            </w:r>
          </w:p>
        </w:tc>
      </w:tr>
      <w:tr w:rsidR="001645C8" w:rsidRPr="00F72633" w14:paraId="0821829C" w14:textId="77777777" w:rsidTr="00D5490C">
        <w:trPr>
          <w:trHeight w:val="285"/>
          <w:jc w:val="center"/>
        </w:trPr>
        <w:tc>
          <w:tcPr>
            <w:tcW w:w="3567" w:type="dxa"/>
            <w:tcBorders>
              <w:top w:val="nil"/>
              <w:left w:val="nil"/>
              <w:bottom w:val="nil"/>
              <w:right w:val="nil"/>
            </w:tcBorders>
            <w:shd w:val="clear" w:color="auto" w:fill="auto"/>
            <w:noWrap/>
            <w:hideMark/>
          </w:tcPr>
          <w:p w14:paraId="0982C753" w14:textId="5159E5FC" w:rsidR="001645C8" w:rsidRPr="00F72633" w:rsidRDefault="00F26124" w:rsidP="00F90BBB">
            <w:pPr>
              <w:ind w:firstLineChars="200" w:firstLine="320"/>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Vario</w:t>
            </w:r>
            <w:r w:rsidR="001645C8" w:rsidRPr="00F72633">
              <w:rPr>
                <w:rFonts w:ascii="Arial Narrow" w:eastAsia="Times New Roman" w:hAnsi="Arial Narrow"/>
                <w:sz w:val="16"/>
                <w:szCs w:val="16"/>
                <w:lang w:val="es-419" w:eastAsia="en-US"/>
              </w:rPr>
              <w:t>s</w:t>
            </w:r>
            <w:r w:rsidR="001645C8" w:rsidRPr="00F72633">
              <w:rPr>
                <w:rFonts w:ascii="Arial Narrow" w:eastAsia="Times New Roman" w:hAnsi="Arial Narrow"/>
                <w:sz w:val="16"/>
                <w:szCs w:val="16"/>
                <w:vertAlign w:val="superscript"/>
                <w:lang w:val="es-419" w:eastAsia="en-US"/>
              </w:rPr>
              <w:t>1</w:t>
            </w:r>
          </w:p>
        </w:tc>
        <w:tc>
          <w:tcPr>
            <w:tcW w:w="1500" w:type="dxa"/>
            <w:tcBorders>
              <w:top w:val="nil"/>
              <w:left w:val="nil"/>
              <w:bottom w:val="nil"/>
              <w:right w:val="nil"/>
            </w:tcBorders>
            <w:shd w:val="clear" w:color="auto" w:fill="auto"/>
            <w:noWrap/>
            <w:vAlign w:val="center"/>
            <w:hideMark/>
          </w:tcPr>
          <w:p w14:paraId="79256AE1"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233" w:type="dxa"/>
            <w:tcBorders>
              <w:top w:val="nil"/>
              <w:left w:val="nil"/>
              <w:bottom w:val="nil"/>
              <w:right w:val="nil"/>
            </w:tcBorders>
            <w:shd w:val="clear" w:color="auto" w:fill="auto"/>
            <w:noWrap/>
            <w:vAlign w:val="center"/>
            <w:hideMark/>
          </w:tcPr>
          <w:p w14:paraId="2B822EA1"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(11)</w:t>
            </w:r>
          </w:p>
        </w:tc>
        <w:tc>
          <w:tcPr>
            <w:tcW w:w="1638" w:type="dxa"/>
            <w:tcBorders>
              <w:top w:val="nil"/>
              <w:left w:val="nil"/>
              <w:bottom w:val="nil"/>
              <w:right w:val="nil"/>
            </w:tcBorders>
            <w:shd w:val="clear" w:color="auto" w:fill="auto"/>
            <w:hideMark/>
          </w:tcPr>
          <w:p w14:paraId="3C4397C0" w14:textId="3FDCDD14" w:rsidR="001645C8" w:rsidRPr="00F72633" w:rsidRDefault="00F26124" w:rsidP="00F90BBB">
            <w:pPr>
              <w:jc w:val="right"/>
              <w:rPr>
                <w:rFonts w:ascii="Arial Narrow" w:eastAsia="Times New Roman" w:hAnsi="Arial Narrow"/>
                <w:sz w:val="16"/>
                <w:szCs w:val="16"/>
                <w:lang w:val="es-419" w:eastAsia="en-US"/>
              </w:rPr>
            </w:pPr>
            <w:r w:rsidRPr="00F72633">
              <w:rPr>
                <w:rFonts w:ascii="Arial Narrow" w:hAnsi="Arial Narrow"/>
                <w:sz w:val="16"/>
                <w:lang w:val="es-419"/>
              </w:rPr>
              <w:t>n.d.</w:t>
            </w:r>
          </w:p>
        </w:tc>
      </w:tr>
      <w:tr w:rsidR="001645C8" w:rsidRPr="00F72633" w14:paraId="66C42DA8" w14:textId="77777777" w:rsidTr="00D5490C">
        <w:trPr>
          <w:trHeight w:val="270"/>
          <w:jc w:val="center"/>
        </w:trPr>
        <w:tc>
          <w:tcPr>
            <w:tcW w:w="3567" w:type="dxa"/>
            <w:tcBorders>
              <w:top w:val="single" w:sz="4" w:space="0" w:color="C7CFD8"/>
              <w:left w:val="nil"/>
              <w:bottom w:val="single" w:sz="12" w:space="0" w:color="C7CFD8"/>
              <w:right w:val="nil"/>
            </w:tcBorders>
            <w:shd w:val="clear" w:color="auto" w:fill="auto"/>
            <w:noWrap/>
            <w:vAlign w:val="center"/>
            <w:hideMark/>
          </w:tcPr>
          <w:p w14:paraId="089C56B1"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Total</w:t>
            </w:r>
          </w:p>
        </w:tc>
        <w:tc>
          <w:tcPr>
            <w:tcW w:w="1500" w:type="dxa"/>
            <w:tcBorders>
              <w:top w:val="single" w:sz="4" w:space="0" w:color="C7CFD8"/>
              <w:left w:val="nil"/>
              <w:bottom w:val="single" w:sz="12" w:space="0" w:color="C7CFD8"/>
              <w:right w:val="nil"/>
            </w:tcBorders>
            <w:shd w:val="clear" w:color="auto" w:fill="auto"/>
            <w:noWrap/>
            <w:vAlign w:val="center"/>
            <w:hideMark/>
          </w:tcPr>
          <w:p w14:paraId="70B68ABB" w14:textId="44ECC451" w:rsidR="001645C8" w:rsidRPr="00F72633" w:rsidRDefault="001645C8" w:rsidP="00F26124">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7</w:t>
            </w:r>
            <w:r w:rsidR="00A43D6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635 </w:t>
            </w:r>
          </w:p>
        </w:tc>
        <w:tc>
          <w:tcPr>
            <w:tcW w:w="1233" w:type="dxa"/>
            <w:tcBorders>
              <w:top w:val="single" w:sz="4" w:space="0" w:color="C7CFD8"/>
              <w:left w:val="nil"/>
              <w:bottom w:val="single" w:sz="12" w:space="0" w:color="C7CFD8"/>
              <w:right w:val="nil"/>
            </w:tcBorders>
            <w:shd w:val="clear" w:color="auto" w:fill="auto"/>
            <w:noWrap/>
            <w:vAlign w:val="center"/>
            <w:hideMark/>
          </w:tcPr>
          <w:p w14:paraId="25F51E3F" w14:textId="4E5FA5B7" w:rsidR="001645C8" w:rsidRPr="00F72633" w:rsidRDefault="001645C8" w:rsidP="00F26124">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3</w:t>
            </w:r>
            <w:r w:rsidR="00A43D6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804 </w:t>
            </w:r>
          </w:p>
        </w:tc>
        <w:tc>
          <w:tcPr>
            <w:tcW w:w="1638" w:type="dxa"/>
            <w:tcBorders>
              <w:top w:val="single" w:sz="4" w:space="0" w:color="C7CFD8"/>
              <w:left w:val="nil"/>
              <w:bottom w:val="single" w:sz="12" w:space="0" w:color="C7CFD8"/>
              <w:right w:val="nil"/>
            </w:tcBorders>
            <w:shd w:val="clear" w:color="auto" w:fill="auto"/>
            <w:noWrap/>
            <w:vAlign w:val="center"/>
            <w:hideMark/>
          </w:tcPr>
          <w:p w14:paraId="47962988" w14:textId="348B9F55"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50</w:t>
            </w:r>
            <w:r w:rsidR="00C70DE2" w:rsidRPr="00F72633">
              <w:rPr>
                <w:rFonts w:ascii="Arial Narrow" w:eastAsia="Times New Roman" w:hAnsi="Arial Narrow"/>
                <w:b/>
                <w:bCs/>
                <w:sz w:val="16"/>
                <w:szCs w:val="16"/>
                <w:lang w:val="es-419" w:eastAsia="en-US"/>
              </w:rPr>
              <w:t> %</w:t>
            </w:r>
          </w:p>
        </w:tc>
      </w:tr>
      <w:tr w:rsidR="001645C8" w:rsidRPr="00F72633" w14:paraId="36DD6BC5" w14:textId="77777777" w:rsidTr="00D5490C">
        <w:trPr>
          <w:trHeight w:val="540"/>
          <w:jc w:val="center"/>
        </w:trPr>
        <w:tc>
          <w:tcPr>
            <w:tcW w:w="7938" w:type="dxa"/>
            <w:gridSpan w:val="4"/>
            <w:tcBorders>
              <w:top w:val="single" w:sz="12" w:space="0" w:color="C7CFD8"/>
              <w:left w:val="nil"/>
              <w:bottom w:val="nil"/>
              <w:right w:val="nil"/>
            </w:tcBorders>
            <w:shd w:val="clear" w:color="auto" w:fill="auto"/>
            <w:vAlign w:val="center"/>
            <w:hideMark/>
          </w:tcPr>
          <w:p w14:paraId="0F186B6A" w14:textId="37A7F03F" w:rsidR="001645C8" w:rsidRPr="00F72633" w:rsidRDefault="001645C8" w:rsidP="00BB3ABE">
            <w:pPr>
              <w:jc w:val="left"/>
              <w:rPr>
                <w:rFonts w:ascii="Arial Narrow" w:eastAsia="Times New Roman" w:hAnsi="Arial Narrow"/>
                <w:i/>
                <w:iCs/>
                <w:sz w:val="16"/>
                <w:szCs w:val="16"/>
                <w:lang w:val="es-419" w:eastAsia="en-US"/>
              </w:rPr>
            </w:pPr>
            <w:r w:rsidRPr="00F72633">
              <w:rPr>
                <w:rFonts w:ascii="Arial Narrow" w:eastAsia="Times New Roman" w:hAnsi="Arial Narrow"/>
                <w:i/>
                <w:iCs/>
                <w:sz w:val="16"/>
                <w:szCs w:val="16"/>
                <w:vertAlign w:val="superscript"/>
                <w:lang w:val="es-419" w:eastAsia="en-US"/>
              </w:rPr>
              <w:t>1</w:t>
            </w:r>
            <w:r w:rsidR="00F26124" w:rsidRPr="00F72633">
              <w:rPr>
                <w:rFonts w:ascii="Arial Narrow" w:hAnsi="Arial Narrow"/>
                <w:i/>
                <w:sz w:val="16"/>
                <w:lang w:val="es-419"/>
              </w:rPr>
              <w:t xml:space="preserve"> Los ingresos varios representan principalmente ganancias (o pérdidas) de divisas no realizadas debido al proceso de reevaluación del efectivo y otras cuenta</w:t>
            </w:r>
            <w:r w:rsidR="00BB3ABE" w:rsidRPr="00F72633">
              <w:rPr>
                <w:rFonts w:ascii="Arial Narrow" w:hAnsi="Arial Narrow"/>
                <w:i/>
                <w:sz w:val="16"/>
                <w:lang w:val="es-419"/>
              </w:rPr>
              <w:t>s</w:t>
            </w:r>
            <w:r w:rsidR="00F26124" w:rsidRPr="00F72633">
              <w:rPr>
                <w:rFonts w:ascii="Arial Narrow" w:hAnsi="Arial Narrow"/>
                <w:i/>
                <w:sz w:val="16"/>
                <w:lang w:val="es-419"/>
              </w:rPr>
              <w:t xml:space="preserve"> </w:t>
            </w:r>
            <w:r w:rsidR="00BB3ABE" w:rsidRPr="00F72633">
              <w:rPr>
                <w:rFonts w:ascii="Arial Narrow" w:hAnsi="Arial Narrow"/>
                <w:i/>
                <w:sz w:val="16"/>
                <w:lang w:val="es-419"/>
              </w:rPr>
              <w:t>d</w:t>
            </w:r>
            <w:r w:rsidR="00F26124" w:rsidRPr="00F72633">
              <w:rPr>
                <w:rFonts w:ascii="Arial Narrow" w:hAnsi="Arial Narrow"/>
                <w:i/>
                <w:sz w:val="16"/>
                <w:lang w:val="es-419"/>
              </w:rPr>
              <w:t>e activos y pasivos (divisas distintas de los francos suizos).</w:t>
            </w:r>
          </w:p>
        </w:tc>
      </w:tr>
    </w:tbl>
    <w:p w14:paraId="677C2920" w14:textId="77777777" w:rsidR="001645C8" w:rsidRPr="00F72633" w:rsidRDefault="001645C8" w:rsidP="003E3C19">
      <w:pPr>
        <w:jc w:val="center"/>
        <w:rPr>
          <w:rFonts w:eastAsia="Times New Roman"/>
          <w:sz w:val="18"/>
          <w:szCs w:val="18"/>
          <w:lang w:val="es-419" w:eastAsia="en-US"/>
        </w:rPr>
      </w:pPr>
    </w:p>
    <w:p w14:paraId="2142922F" w14:textId="77777777" w:rsidR="001645C8" w:rsidRPr="00F72633" w:rsidRDefault="001645C8" w:rsidP="003E3C19">
      <w:pPr>
        <w:jc w:val="center"/>
        <w:rPr>
          <w:rFonts w:eastAsia="Times New Roman"/>
          <w:sz w:val="18"/>
          <w:szCs w:val="18"/>
          <w:lang w:val="es-419" w:eastAsia="en-US"/>
        </w:rPr>
      </w:pPr>
    </w:p>
    <w:p w14:paraId="11EEDB96" w14:textId="77777777" w:rsidR="001645C8" w:rsidRPr="00F72633" w:rsidRDefault="001645C8" w:rsidP="003E3C19">
      <w:pPr>
        <w:rPr>
          <w:rFonts w:eastAsia="Times New Roman"/>
          <w:sz w:val="18"/>
          <w:szCs w:val="18"/>
          <w:lang w:val="es-419" w:eastAsia="en-US"/>
        </w:rPr>
      </w:pPr>
    </w:p>
    <w:p w14:paraId="136ABA0C" w14:textId="51F70ACC" w:rsidR="001645C8" w:rsidRPr="00F72633" w:rsidRDefault="00B37A6E" w:rsidP="00273274">
      <w:pPr>
        <w:keepNext/>
        <w:autoSpaceDE w:val="0"/>
        <w:autoSpaceDN w:val="0"/>
        <w:adjustRightInd w:val="0"/>
        <w:jc w:val="center"/>
        <w:rPr>
          <w:b/>
          <w:color w:val="155F1A"/>
          <w:sz w:val="18"/>
          <w:szCs w:val="18"/>
          <w:lang w:val="es-419"/>
        </w:rPr>
      </w:pPr>
      <w:r w:rsidRPr="00F72633">
        <w:rPr>
          <w:b/>
          <w:color w:val="155F1A"/>
          <w:sz w:val="18"/>
          <w:lang w:val="es-419"/>
        </w:rPr>
        <w:t>Gráfico 2. Participación en los ingresos por fuente en</w:t>
      </w:r>
      <w:r w:rsidR="001645C8" w:rsidRPr="00F72633">
        <w:rPr>
          <w:b/>
          <w:color w:val="155F1A"/>
          <w:sz w:val="18"/>
          <w:szCs w:val="18"/>
          <w:lang w:val="es-419"/>
        </w:rPr>
        <w:t xml:space="preserve"> 2022</w:t>
      </w:r>
    </w:p>
    <w:p w14:paraId="0D660E40" w14:textId="06550F2B" w:rsidR="00D92668" w:rsidRPr="00F72633" w:rsidRDefault="00D92668" w:rsidP="00273274">
      <w:pPr>
        <w:keepNext/>
        <w:autoSpaceDE w:val="0"/>
        <w:autoSpaceDN w:val="0"/>
        <w:adjustRightInd w:val="0"/>
        <w:jc w:val="center"/>
        <w:rPr>
          <w:b/>
          <w:color w:val="155F1A"/>
          <w:sz w:val="18"/>
          <w:szCs w:val="18"/>
          <w:lang w:val="es-419"/>
        </w:rPr>
      </w:pPr>
      <w:r w:rsidRPr="00F72633">
        <w:rPr>
          <w:noProof/>
          <w:lang w:eastAsia="en-US"/>
        </w:rPr>
        <w:drawing>
          <wp:inline distT="0" distB="0" distL="0" distR="0" wp14:anchorId="5B02FBA1" wp14:editId="18F5FA20">
            <wp:extent cx="3436389" cy="2510366"/>
            <wp:effectExtent l="0" t="0" r="0" b="444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90792" cy="2550109"/>
                    </a:xfrm>
                    <a:prstGeom prst="rect">
                      <a:avLst/>
                    </a:prstGeom>
                    <a:noFill/>
                    <a:ln>
                      <a:noFill/>
                    </a:ln>
                  </pic:spPr>
                </pic:pic>
              </a:graphicData>
            </a:graphic>
          </wp:inline>
        </w:drawing>
      </w:r>
    </w:p>
    <w:p w14:paraId="00702CD0" w14:textId="77777777" w:rsidR="001645C8" w:rsidRPr="00F72633" w:rsidRDefault="001645C8" w:rsidP="00273274">
      <w:pPr>
        <w:keepNext/>
        <w:autoSpaceDE w:val="0"/>
        <w:autoSpaceDN w:val="0"/>
        <w:adjustRightInd w:val="0"/>
        <w:jc w:val="center"/>
        <w:rPr>
          <w:b/>
          <w:color w:val="155F1A"/>
          <w:sz w:val="18"/>
          <w:szCs w:val="18"/>
          <w:lang w:val="es-419"/>
        </w:rPr>
      </w:pPr>
    </w:p>
    <w:p w14:paraId="6A73E1DB" w14:textId="708DC00C" w:rsidR="001645C8" w:rsidRPr="00F72633" w:rsidRDefault="001645C8" w:rsidP="00F90BBB">
      <w:pPr>
        <w:jc w:val="center"/>
        <w:rPr>
          <w:lang w:val="es-419" w:eastAsia="en-US"/>
        </w:rPr>
      </w:pPr>
    </w:p>
    <w:p w14:paraId="7AAC7489" w14:textId="77777777" w:rsidR="001645C8" w:rsidRPr="00F72633" w:rsidRDefault="001645C8" w:rsidP="003E3C19">
      <w:pPr>
        <w:rPr>
          <w:lang w:val="es-419" w:eastAsia="en-US"/>
        </w:rPr>
      </w:pPr>
    </w:p>
    <w:p w14:paraId="44FF993D" w14:textId="77777777" w:rsidR="00273274" w:rsidRPr="00F72633" w:rsidRDefault="00273274" w:rsidP="003E3C19">
      <w:pPr>
        <w:jc w:val="left"/>
        <w:rPr>
          <w:lang w:val="es-419"/>
        </w:rPr>
      </w:pPr>
    </w:p>
    <w:p w14:paraId="34FD58C8" w14:textId="77777777" w:rsidR="00D5490C" w:rsidRDefault="00D5490C">
      <w:pPr>
        <w:jc w:val="left"/>
        <w:rPr>
          <w:b/>
          <w:color w:val="26724C" w:themeColor="accent1" w:themeShade="BF"/>
          <w:sz w:val="22"/>
          <w:lang w:val="es-419"/>
        </w:rPr>
      </w:pPr>
      <w:r>
        <w:rPr>
          <w:b/>
          <w:color w:val="26724C" w:themeColor="accent1" w:themeShade="BF"/>
          <w:sz w:val="22"/>
          <w:lang w:val="es-419"/>
        </w:rPr>
        <w:br w:type="page"/>
      </w:r>
    </w:p>
    <w:p w14:paraId="3F8FDF95" w14:textId="1C138C62" w:rsidR="001645C8" w:rsidRPr="00F72633" w:rsidRDefault="001017C4" w:rsidP="003E3C19">
      <w:pPr>
        <w:rPr>
          <w:b/>
          <w:color w:val="26724C" w:themeColor="accent1" w:themeShade="BF"/>
          <w:sz w:val="22"/>
          <w:lang w:val="es-419"/>
        </w:rPr>
      </w:pPr>
      <w:r w:rsidRPr="00F72633">
        <w:rPr>
          <w:b/>
          <w:color w:val="26724C" w:themeColor="accent1" w:themeShade="BF"/>
          <w:sz w:val="22"/>
          <w:lang w:val="es-419"/>
        </w:rPr>
        <w:lastRenderedPageBreak/>
        <w:t>Gastos</w:t>
      </w:r>
    </w:p>
    <w:p w14:paraId="0D8136AA" w14:textId="77777777" w:rsidR="001645C8" w:rsidRPr="00F72633" w:rsidRDefault="001645C8" w:rsidP="003E3C19">
      <w:pPr>
        <w:rPr>
          <w:lang w:val="es-419"/>
        </w:rPr>
      </w:pPr>
    </w:p>
    <w:p w14:paraId="311AE1F0" w14:textId="43B1C8DD" w:rsidR="001645C8" w:rsidRPr="00F72633" w:rsidRDefault="00BB3ABE" w:rsidP="003E3C19">
      <w:pPr>
        <w:pStyle w:val="annexiparanumbered"/>
        <w:numPr>
          <w:ilvl w:val="0"/>
          <w:numId w:val="0"/>
        </w:numPr>
        <w:rPr>
          <w:lang w:val="es-419"/>
        </w:rPr>
      </w:pPr>
      <w:r w:rsidRPr="00F72633">
        <w:rPr>
          <w:lang w:val="es-419"/>
        </w:rPr>
        <w:t>Los gastos reales ascendieron a </w:t>
      </w:r>
      <w:r w:rsidR="001017C4" w:rsidRPr="00F72633">
        <w:rPr>
          <w:lang w:val="es-419"/>
        </w:rPr>
        <w:t>3,6</w:t>
      </w:r>
      <w:r w:rsidRPr="00F72633">
        <w:rPr>
          <w:lang w:val="es-419"/>
        </w:rPr>
        <w:t> </w:t>
      </w:r>
      <w:r w:rsidR="001017C4" w:rsidRPr="00F72633">
        <w:rPr>
          <w:lang w:val="es-419"/>
        </w:rPr>
        <w:t>mil</w:t>
      </w:r>
      <w:r w:rsidRPr="00F72633">
        <w:rPr>
          <w:lang w:val="es-419"/>
        </w:rPr>
        <w:t>lones de francos suizos en 2022 </w:t>
      </w:r>
      <w:r w:rsidR="001017C4" w:rsidRPr="00F72633">
        <w:rPr>
          <w:lang w:val="es-419"/>
        </w:rPr>
        <w:t>(47</w:t>
      </w:r>
      <w:r w:rsidR="00C70DE2" w:rsidRPr="00F72633">
        <w:rPr>
          <w:lang w:val="es-419"/>
        </w:rPr>
        <w:t> %</w:t>
      </w:r>
      <w:r w:rsidR="003A20EA" w:rsidRPr="00F72633">
        <w:rPr>
          <w:lang w:val="es-419"/>
        </w:rPr>
        <w:t xml:space="preserve"> </w:t>
      </w:r>
      <w:r w:rsidR="001017C4" w:rsidRPr="00F72633">
        <w:rPr>
          <w:lang w:val="es-419"/>
        </w:rPr>
        <w:t xml:space="preserve">del presupuesto bienal). </w:t>
      </w:r>
      <w:r w:rsidR="00965647">
        <w:rPr>
          <w:lang w:val="es-419"/>
        </w:rPr>
        <w:t xml:space="preserve"> </w:t>
      </w:r>
      <w:r w:rsidR="001017C4" w:rsidRPr="00F72633">
        <w:rPr>
          <w:lang w:val="es-419"/>
        </w:rPr>
        <w:t>Estos gastos se presentan en el cuadro 3, y po</w:t>
      </w:r>
      <w:r w:rsidRPr="00F72633">
        <w:rPr>
          <w:lang w:val="es-419"/>
        </w:rPr>
        <w:t>r subprogramas en los cuadros 4 </w:t>
      </w:r>
      <w:r w:rsidR="001017C4" w:rsidRPr="00F72633">
        <w:rPr>
          <w:lang w:val="es-419"/>
        </w:rPr>
        <w:t>y 5.</w:t>
      </w:r>
    </w:p>
    <w:p w14:paraId="6F5A8748" w14:textId="77777777" w:rsidR="001645C8" w:rsidRPr="00F72633" w:rsidRDefault="001645C8" w:rsidP="003E3C19">
      <w:pPr>
        <w:jc w:val="left"/>
        <w:rPr>
          <w:lang w:val="es-419"/>
        </w:rPr>
      </w:pPr>
    </w:p>
    <w:p w14:paraId="7F04BFDA" w14:textId="43DF4A45" w:rsidR="001645C8" w:rsidRPr="00F72633" w:rsidRDefault="001017C4" w:rsidP="003E3C19">
      <w:pPr>
        <w:jc w:val="center"/>
        <w:rPr>
          <w:rFonts w:eastAsia="Times New Roman"/>
          <w:b/>
          <w:bCs/>
          <w:color w:val="155F1A"/>
          <w:sz w:val="18"/>
          <w:szCs w:val="18"/>
          <w:lang w:val="es-419"/>
        </w:rPr>
      </w:pPr>
      <w:r w:rsidRPr="00F72633">
        <w:rPr>
          <w:b/>
          <w:color w:val="155F1A"/>
          <w:sz w:val="18"/>
          <w:lang w:val="es-419"/>
        </w:rPr>
        <w:t>Cuadro 3. Presupuesto y gastos por categoría de costos en</w:t>
      </w:r>
      <w:r w:rsidR="001645C8" w:rsidRPr="00F72633">
        <w:rPr>
          <w:rFonts w:eastAsia="Times New Roman"/>
          <w:b/>
          <w:bCs/>
          <w:color w:val="155F1A"/>
          <w:sz w:val="18"/>
          <w:szCs w:val="18"/>
          <w:lang w:val="es-419"/>
        </w:rPr>
        <w:t xml:space="preserve"> 2022</w:t>
      </w:r>
    </w:p>
    <w:p w14:paraId="74410135" w14:textId="096D49CC" w:rsidR="001645C8" w:rsidRPr="00F72633" w:rsidRDefault="001645C8" w:rsidP="003E3C19">
      <w:pPr>
        <w:jc w:val="center"/>
        <w:rPr>
          <w:rFonts w:eastAsia="Times New Roman"/>
          <w:bCs/>
          <w:i/>
          <w:sz w:val="14"/>
          <w:szCs w:val="16"/>
          <w:lang w:val="es-419"/>
        </w:rPr>
      </w:pPr>
      <w:r w:rsidRPr="00F72633">
        <w:rPr>
          <w:rFonts w:eastAsia="Times New Roman"/>
          <w:bCs/>
          <w:i/>
          <w:sz w:val="14"/>
          <w:szCs w:val="16"/>
          <w:lang w:val="es-419"/>
        </w:rPr>
        <w:t>(</w:t>
      </w:r>
      <w:r w:rsidR="001017C4" w:rsidRPr="00F72633">
        <w:rPr>
          <w:i/>
          <w:sz w:val="14"/>
          <w:lang w:val="es-419"/>
        </w:rPr>
        <w:t>en miles de francos suizos</w:t>
      </w:r>
      <w:r w:rsidRPr="00F72633">
        <w:rPr>
          <w:rFonts w:eastAsia="Times New Roman"/>
          <w:bCs/>
          <w:i/>
          <w:sz w:val="14"/>
          <w:szCs w:val="16"/>
          <w:lang w:val="es-419"/>
        </w:rPr>
        <w:t>)</w:t>
      </w:r>
    </w:p>
    <w:p w14:paraId="7CD8478F" w14:textId="77777777" w:rsidR="001645C8" w:rsidRPr="00F72633" w:rsidRDefault="001645C8" w:rsidP="003E3C19">
      <w:pPr>
        <w:autoSpaceDE w:val="0"/>
        <w:autoSpaceDN w:val="0"/>
        <w:adjustRightInd w:val="0"/>
        <w:rPr>
          <w:sz w:val="18"/>
          <w:szCs w:val="18"/>
          <w:lang w:val="es-419"/>
        </w:rPr>
      </w:pPr>
    </w:p>
    <w:tbl>
      <w:tblPr>
        <w:tblW w:w="8375" w:type="dxa"/>
        <w:jc w:val="center"/>
        <w:tblLayout w:type="fixed"/>
        <w:tblLook w:val="04A0" w:firstRow="1" w:lastRow="0" w:firstColumn="1" w:lastColumn="0" w:noHBand="0" w:noVBand="1"/>
      </w:tblPr>
      <w:tblGrid>
        <w:gridCol w:w="400"/>
        <w:gridCol w:w="3290"/>
        <w:gridCol w:w="1260"/>
        <w:gridCol w:w="1385"/>
        <w:gridCol w:w="2040"/>
      </w:tblGrid>
      <w:tr w:rsidR="001645C8" w:rsidRPr="00F72633" w14:paraId="2F0CCDBD" w14:textId="77777777" w:rsidTr="00F72633">
        <w:trPr>
          <w:trHeight w:val="375"/>
          <w:tblHeader/>
          <w:jc w:val="center"/>
        </w:trPr>
        <w:tc>
          <w:tcPr>
            <w:tcW w:w="400" w:type="dxa"/>
            <w:tcBorders>
              <w:top w:val="nil"/>
              <w:left w:val="nil"/>
              <w:bottom w:val="nil"/>
              <w:right w:val="nil"/>
            </w:tcBorders>
            <w:shd w:val="clear" w:color="000000" w:fill="C7CFD8"/>
            <w:noWrap/>
            <w:vAlign w:val="bottom"/>
            <w:hideMark/>
          </w:tcPr>
          <w:p w14:paraId="103E3C27"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3290" w:type="dxa"/>
            <w:vMerge w:val="restart"/>
            <w:tcBorders>
              <w:top w:val="nil"/>
              <w:left w:val="nil"/>
              <w:bottom w:val="nil"/>
              <w:right w:val="nil"/>
            </w:tcBorders>
            <w:shd w:val="clear" w:color="000000" w:fill="C7CFD8"/>
            <w:noWrap/>
            <w:vAlign w:val="center"/>
            <w:hideMark/>
          </w:tcPr>
          <w:p w14:paraId="3E9659BE" w14:textId="33CB12AB"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Categoría de gasto</w:t>
            </w:r>
          </w:p>
        </w:tc>
        <w:tc>
          <w:tcPr>
            <w:tcW w:w="1260" w:type="dxa"/>
            <w:vMerge w:val="restart"/>
            <w:tcBorders>
              <w:top w:val="nil"/>
              <w:left w:val="nil"/>
              <w:bottom w:val="nil"/>
              <w:right w:val="nil"/>
            </w:tcBorders>
            <w:shd w:val="clear" w:color="000000" w:fill="C7CFD8"/>
            <w:vAlign w:val="center"/>
            <w:hideMark/>
          </w:tcPr>
          <w:p w14:paraId="28FDA2FE" w14:textId="5318FE31" w:rsidR="001645C8" w:rsidRPr="00F72633" w:rsidRDefault="00D5599C" w:rsidP="009C20C7">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P</w:t>
            </w:r>
            <w:r w:rsidR="009C20C7" w:rsidRPr="00F72633">
              <w:rPr>
                <w:rFonts w:ascii="Arial Narrow" w:hAnsi="Arial Narrow"/>
                <w:b/>
                <w:color w:val="000000"/>
                <w:sz w:val="16"/>
                <w:lang w:val="es-419"/>
              </w:rPr>
              <w:t>rograma y Presupuesto</w:t>
            </w:r>
            <w:r w:rsidRPr="00F72633">
              <w:rPr>
                <w:rFonts w:ascii="Arial Narrow" w:eastAsia="Times New Roman" w:hAnsi="Arial Narrow"/>
                <w:b/>
                <w:bCs/>
                <w:color w:val="000000"/>
                <w:sz w:val="16"/>
                <w:szCs w:val="16"/>
                <w:lang w:val="es-419" w:eastAsia="en-US"/>
              </w:rPr>
              <w:t xml:space="preserve"> </w:t>
            </w:r>
            <w:r w:rsidR="001645C8" w:rsidRPr="00F72633">
              <w:rPr>
                <w:rFonts w:ascii="Arial Narrow" w:eastAsia="Times New Roman" w:hAnsi="Arial Narrow"/>
                <w:b/>
                <w:bCs/>
                <w:color w:val="000000"/>
                <w:sz w:val="16"/>
                <w:szCs w:val="16"/>
                <w:lang w:val="es-419" w:eastAsia="en-US"/>
              </w:rPr>
              <w:t>2022/23</w:t>
            </w:r>
          </w:p>
        </w:tc>
        <w:tc>
          <w:tcPr>
            <w:tcW w:w="1385" w:type="dxa"/>
            <w:vMerge w:val="restart"/>
            <w:tcBorders>
              <w:top w:val="nil"/>
              <w:left w:val="nil"/>
              <w:bottom w:val="nil"/>
              <w:right w:val="nil"/>
            </w:tcBorders>
            <w:shd w:val="clear" w:color="000000" w:fill="C7CFD8"/>
            <w:vAlign w:val="center"/>
            <w:hideMark/>
          </w:tcPr>
          <w:p w14:paraId="2562C35D" w14:textId="6880394C" w:rsidR="001645C8" w:rsidRPr="00F72633" w:rsidRDefault="00D5599C"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Cifras reales de</w:t>
            </w:r>
            <w:r w:rsidRPr="00F72633">
              <w:rPr>
                <w:rFonts w:ascii="Arial Narrow" w:eastAsia="Times New Roman" w:hAnsi="Arial Narrow"/>
                <w:b/>
                <w:bCs/>
                <w:color w:val="000000"/>
                <w:sz w:val="16"/>
                <w:szCs w:val="16"/>
                <w:lang w:val="es-419" w:eastAsia="en-US"/>
              </w:rPr>
              <w:t xml:space="preserve"> </w:t>
            </w:r>
            <w:r w:rsidR="001645C8" w:rsidRPr="00F72633">
              <w:rPr>
                <w:rFonts w:ascii="Arial Narrow" w:eastAsia="Times New Roman" w:hAnsi="Arial Narrow"/>
                <w:b/>
                <w:bCs/>
                <w:color w:val="000000"/>
                <w:sz w:val="16"/>
                <w:szCs w:val="16"/>
                <w:lang w:val="es-419" w:eastAsia="en-US"/>
              </w:rPr>
              <w:t>2</w:t>
            </w:r>
            <w:r w:rsidRPr="00F72633">
              <w:rPr>
                <w:rFonts w:ascii="Arial Narrow" w:eastAsia="Times New Roman" w:hAnsi="Arial Narrow"/>
                <w:b/>
                <w:bCs/>
                <w:color w:val="000000"/>
                <w:sz w:val="16"/>
                <w:szCs w:val="16"/>
                <w:lang w:val="es-419" w:eastAsia="en-US"/>
              </w:rPr>
              <w:t>022</w:t>
            </w:r>
          </w:p>
        </w:tc>
        <w:tc>
          <w:tcPr>
            <w:tcW w:w="2040" w:type="dxa"/>
            <w:vMerge w:val="restart"/>
            <w:tcBorders>
              <w:top w:val="nil"/>
              <w:left w:val="nil"/>
              <w:bottom w:val="nil"/>
              <w:right w:val="nil"/>
            </w:tcBorders>
            <w:shd w:val="clear" w:color="000000" w:fill="C7CFD8"/>
            <w:vAlign w:val="center"/>
            <w:hideMark/>
          </w:tcPr>
          <w:p w14:paraId="58ED9F80" w14:textId="2B7B84FE" w:rsidR="001645C8" w:rsidRPr="00F72633" w:rsidRDefault="00D5599C" w:rsidP="002278C4">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 xml:space="preserve">Cifras reales de </w:t>
            </w:r>
            <w:r w:rsidR="001645C8" w:rsidRPr="00F72633">
              <w:rPr>
                <w:rFonts w:ascii="Arial Narrow" w:eastAsia="Times New Roman" w:hAnsi="Arial Narrow"/>
                <w:b/>
                <w:bCs/>
                <w:color w:val="000000"/>
                <w:sz w:val="16"/>
                <w:szCs w:val="16"/>
                <w:lang w:val="es-419" w:eastAsia="en-US"/>
              </w:rPr>
              <w:t xml:space="preserve">2022 </w:t>
            </w:r>
            <w:r w:rsidR="00965647">
              <w:rPr>
                <w:rFonts w:ascii="Arial Narrow" w:eastAsia="Times New Roman" w:hAnsi="Arial Narrow"/>
                <w:b/>
                <w:bCs/>
                <w:color w:val="000000"/>
                <w:sz w:val="16"/>
                <w:szCs w:val="16"/>
                <w:lang w:val="es-419" w:eastAsia="en-US"/>
              </w:rPr>
              <w:br/>
            </w:r>
            <w:r w:rsidRPr="00F72633">
              <w:rPr>
                <w:rFonts w:ascii="Arial Narrow" w:hAnsi="Arial Narrow"/>
                <w:b/>
                <w:color w:val="000000"/>
                <w:sz w:val="16"/>
                <w:lang w:val="es-419"/>
              </w:rPr>
              <w:t xml:space="preserve">en comparación con el </w:t>
            </w:r>
            <w:r w:rsidR="002278C4" w:rsidRPr="00F72633">
              <w:rPr>
                <w:rFonts w:ascii="Arial Narrow" w:hAnsi="Arial Narrow"/>
                <w:b/>
                <w:color w:val="000000"/>
                <w:sz w:val="16"/>
                <w:lang w:val="es-419"/>
              </w:rPr>
              <w:t>Programa y Presupuesto</w:t>
            </w:r>
          </w:p>
        </w:tc>
      </w:tr>
      <w:tr w:rsidR="001645C8" w:rsidRPr="00F72633" w14:paraId="041498B0" w14:textId="77777777" w:rsidTr="00F72633">
        <w:trPr>
          <w:trHeight w:val="405"/>
          <w:tblHeader/>
          <w:jc w:val="center"/>
        </w:trPr>
        <w:tc>
          <w:tcPr>
            <w:tcW w:w="400" w:type="dxa"/>
            <w:tcBorders>
              <w:top w:val="nil"/>
              <w:left w:val="nil"/>
              <w:bottom w:val="nil"/>
              <w:right w:val="nil"/>
            </w:tcBorders>
            <w:shd w:val="clear" w:color="000000" w:fill="C7CFD8"/>
            <w:noWrap/>
            <w:vAlign w:val="bottom"/>
            <w:hideMark/>
          </w:tcPr>
          <w:p w14:paraId="193D9624"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3290" w:type="dxa"/>
            <w:vMerge/>
            <w:tcBorders>
              <w:top w:val="nil"/>
              <w:left w:val="nil"/>
              <w:bottom w:val="nil"/>
              <w:right w:val="nil"/>
            </w:tcBorders>
            <w:vAlign w:val="center"/>
            <w:hideMark/>
          </w:tcPr>
          <w:p w14:paraId="6AB5ABAE" w14:textId="77777777" w:rsidR="001645C8" w:rsidRPr="00F72633" w:rsidRDefault="001645C8" w:rsidP="00F90BBB">
            <w:pPr>
              <w:jc w:val="left"/>
              <w:rPr>
                <w:rFonts w:ascii="Arial Narrow" w:eastAsia="Times New Roman" w:hAnsi="Arial Narrow"/>
                <w:b/>
                <w:bCs/>
                <w:sz w:val="16"/>
                <w:szCs w:val="16"/>
                <w:lang w:val="es-419" w:eastAsia="en-US"/>
              </w:rPr>
            </w:pPr>
          </w:p>
        </w:tc>
        <w:tc>
          <w:tcPr>
            <w:tcW w:w="1260" w:type="dxa"/>
            <w:vMerge/>
            <w:tcBorders>
              <w:top w:val="nil"/>
              <w:left w:val="nil"/>
              <w:bottom w:val="nil"/>
              <w:right w:val="nil"/>
            </w:tcBorders>
            <w:vAlign w:val="center"/>
            <w:hideMark/>
          </w:tcPr>
          <w:p w14:paraId="568832C9"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1385" w:type="dxa"/>
            <w:vMerge/>
            <w:tcBorders>
              <w:top w:val="nil"/>
              <w:left w:val="nil"/>
              <w:bottom w:val="nil"/>
              <w:right w:val="nil"/>
            </w:tcBorders>
            <w:vAlign w:val="center"/>
            <w:hideMark/>
          </w:tcPr>
          <w:p w14:paraId="42113D89"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2040" w:type="dxa"/>
            <w:vMerge/>
            <w:tcBorders>
              <w:top w:val="nil"/>
              <w:left w:val="nil"/>
              <w:bottom w:val="nil"/>
              <w:right w:val="nil"/>
            </w:tcBorders>
            <w:vAlign w:val="center"/>
            <w:hideMark/>
          </w:tcPr>
          <w:p w14:paraId="2A72758E"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r>
      <w:tr w:rsidR="001645C8" w:rsidRPr="00F72633" w14:paraId="1AE66615" w14:textId="77777777" w:rsidTr="00D5599C">
        <w:trPr>
          <w:trHeight w:val="300"/>
          <w:jc w:val="center"/>
        </w:trPr>
        <w:tc>
          <w:tcPr>
            <w:tcW w:w="3690" w:type="dxa"/>
            <w:gridSpan w:val="2"/>
            <w:tcBorders>
              <w:top w:val="nil"/>
              <w:left w:val="nil"/>
              <w:bottom w:val="nil"/>
              <w:right w:val="nil"/>
            </w:tcBorders>
            <w:shd w:val="clear" w:color="auto" w:fill="auto"/>
            <w:noWrap/>
            <w:vAlign w:val="bottom"/>
            <w:hideMark/>
          </w:tcPr>
          <w:p w14:paraId="25325215" w14:textId="5E86AF07"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Recursos de personal</w:t>
            </w:r>
          </w:p>
        </w:tc>
        <w:tc>
          <w:tcPr>
            <w:tcW w:w="1260" w:type="dxa"/>
            <w:tcBorders>
              <w:top w:val="nil"/>
              <w:left w:val="nil"/>
              <w:bottom w:val="nil"/>
              <w:right w:val="nil"/>
            </w:tcBorders>
            <w:shd w:val="clear" w:color="auto" w:fill="auto"/>
            <w:noWrap/>
            <w:vAlign w:val="bottom"/>
            <w:hideMark/>
          </w:tcPr>
          <w:p w14:paraId="1683C7AC" w14:textId="77777777" w:rsidR="001645C8" w:rsidRPr="00F72633" w:rsidRDefault="001645C8" w:rsidP="00F90BBB">
            <w:pPr>
              <w:jc w:val="left"/>
              <w:rPr>
                <w:rFonts w:ascii="Arial Narrow" w:eastAsia="Times New Roman" w:hAnsi="Arial Narrow"/>
                <w:b/>
                <w:bCs/>
                <w:sz w:val="16"/>
                <w:szCs w:val="16"/>
                <w:lang w:val="es-419" w:eastAsia="en-US"/>
              </w:rPr>
            </w:pPr>
          </w:p>
        </w:tc>
        <w:tc>
          <w:tcPr>
            <w:tcW w:w="1385" w:type="dxa"/>
            <w:tcBorders>
              <w:top w:val="nil"/>
              <w:left w:val="nil"/>
              <w:bottom w:val="nil"/>
              <w:right w:val="nil"/>
            </w:tcBorders>
            <w:shd w:val="clear" w:color="auto" w:fill="auto"/>
            <w:noWrap/>
            <w:vAlign w:val="bottom"/>
            <w:hideMark/>
          </w:tcPr>
          <w:p w14:paraId="588FD55E"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20F966B8"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09A3C8DD"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13E6E0D0"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1B4B5359" w14:textId="2DF04809"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Puestos</w:t>
            </w:r>
          </w:p>
        </w:tc>
        <w:tc>
          <w:tcPr>
            <w:tcW w:w="1260" w:type="dxa"/>
            <w:tcBorders>
              <w:top w:val="nil"/>
              <w:left w:val="nil"/>
              <w:bottom w:val="nil"/>
              <w:right w:val="nil"/>
            </w:tcBorders>
            <w:shd w:val="clear" w:color="auto" w:fill="auto"/>
            <w:noWrap/>
            <w:vAlign w:val="bottom"/>
            <w:hideMark/>
          </w:tcPr>
          <w:p w14:paraId="33C93142" w14:textId="1958FE3C" w:rsidR="001645C8" w:rsidRPr="00F72633" w:rsidRDefault="001645C8" w:rsidP="00101A03">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w:t>
            </w:r>
            <w:r w:rsidR="00C34379"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792 </w:t>
            </w:r>
          </w:p>
        </w:tc>
        <w:tc>
          <w:tcPr>
            <w:tcW w:w="1385" w:type="dxa"/>
            <w:tcBorders>
              <w:top w:val="nil"/>
              <w:left w:val="nil"/>
              <w:bottom w:val="nil"/>
              <w:right w:val="nil"/>
            </w:tcBorders>
            <w:shd w:val="clear" w:color="auto" w:fill="auto"/>
            <w:noWrap/>
            <w:vAlign w:val="bottom"/>
            <w:hideMark/>
          </w:tcPr>
          <w:p w14:paraId="48738618" w14:textId="77625DD3" w:rsidR="001645C8" w:rsidRPr="00F72633" w:rsidRDefault="001645C8" w:rsidP="00101A03">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2</w:t>
            </w:r>
            <w:r w:rsidR="00C34379"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131 </w:t>
            </w:r>
          </w:p>
        </w:tc>
        <w:tc>
          <w:tcPr>
            <w:tcW w:w="2040" w:type="dxa"/>
            <w:tcBorders>
              <w:top w:val="nil"/>
              <w:left w:val="nil"/>
              <w:bottom w:val="nil"/>
              <w:right w:val="nil"/>
            </w:tcBorders>
            <w:shd w:val="clear" w:color="auto" w:fill="auto"/>
            <w:noWrap/>
            <w:vAlign w:val="bottom"/>
            <w:hideMark/>
          </w:tcPr>
          <w:p w14:paraId="12EC2DC0" w14:textId="0067F08E"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44</w:t>
            </w:r>
            <w:r w:rsidR="00C70DE2" w:rsidRPr="00F72633">
              <w:rPr>
                <w:rFonts w:ascii="Arial Narrow" w:eastAsia="Times New Roman" w:hAnsi="Arial Narrow"/>
                <w:sz w:val="16"/>
                <w:szCs w:val="16"/>
                <w:lang w:val="es-419" w:eastAsia="en-US"/>
              </w:rPr>
              <w:t> %</w:t>
            </w:r>
          </w:p>
        </w:tc>
      </w:tr>
      <w:tr w:rsidR="001645C8" w:rsidRPr="00F72633" w14:paraId="7CE8467E"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6B5D7CE8"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7C8DBA14" w14:textId="548AA4E4"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Personal temporal</w:t>
            </w:r>
          </w:p>
        </w:tc>
        <w:tc>
          <w:tcPr>
            <w:tcW w:w="1260" w:type="dxa"/>
            <w:tcBorders>
              <w:top w:val="nil"/>
              <w:left w:val="nil"/>
              <w:bottom w:val="nil"/>
              <w:right w:val="nil"/>
            </w:tcBorders>
            <w:shd w:val="clear" w:color="auto" w:fill="auto"/>
            <w:noWrap/>
            <w:vAlign w:val="bottom"/>
            <w:hideMark/>
          </w:tcPr>
          <w:p w14:paraId="64287D63"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526 </w:t>
            </w:r>
          </w:p>
        </w:tc>
        <w:tc>
          <w:tcPr>
            <w:tcW w:w="1385" w:type="dxa"/>
            <w:tcBorders>
              <w:top w:val="nil"/>
              <w:left w:val="nil"/>
              <w:bottom w:val="nil"/>
              <w:right w:val="nil"/>
            </w:tcBorders>
            <w:shd w:val="clear" w:color="auto" w:fill="auto"/>
            <w:noWrap/>
            <w:vAlign w:val="bottom"/>
            <w:hideMark/>
          </w:tcPr>
          <w:p w14:paraId="005F1D01"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168 </w:t>
            </w:r>
          </w:p>
        </w:tc>
        <w:tc>
          <w:tcPr>
            <w:tcW w:w="2040" w:type="dxa"/>
            <w:tcBorders>
              <w:top w:val="nil"/>
              <w:left w:val="nil"/>
              <w:bottom w:val="nil"/>
              <w:right w:val="nil"/>
            </w:tcBorders>
            <w:shd w:val="clear" w:color="auto" w:fill="auto"/>
            <w:noWrap/>
            <w:vAlign w:val="bottom"/>
            <w:hideMark/>
          </w:tcPr>
          <w:p w14:paraId="5BE86144" w14:textId="73B07CDD"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32</w:t>
            </w:r>
            <w:r w:rsidR="00C70DE2" w:rsidRPr="00F72633">
              <w:rPr>
                <w:rFonts w:ascii="Arial Narrow" w:eastAsia="Times New Roman" w:hAnsi="Arial Narrow"/>
                <w:sz w:val="16"/>
                <w:szCs w:val="16"/>
                <w:lang w:val="es-419" w:eastAsia="en-US"/>
              </w:rPr>
              <w:t> %</w:t>
            </w:r>
          </w:p>
        </w:tc>
      </w:tr>
      <w:tr w:rsidR="001645C8" w:rsidRPr="00F72633" w14:paraId="0AFC5ACA"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75E5415D"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770974B5" w14:textId="258EC3E4" w:rsidR="001645C8" w:rsidRPr="00F72633" w:rsidRDefault="00D5599C" w:rsidP="00EA7BCE">
            <w:pPr>
              <w:jc w:val="left"/>
              <w:rPr>
                <w:rFonts w:ascii="Arial Narrow" w:eastAsia="Times New Roman" w:hAnsi="Arial Narrow"/>
                <w:sz w:val="16"/>
                <w:szCs w:val="16"/>
                <w:lang w:val="es-419" w:eastAsia="en-US"/>
              </w:rPr>
            </w:pPr>
            <w:r w:rsidRPr="00F72633">
              <w:rPr>
                <w:rFonts w:ascii="Arial Narrow" w:hAnsi="Arial Narrow"/>
                <w:sz w:val="16"/>
                <w:lang w:val="es-419"/>
              </w:rPr>
              <w:t xml:space="preserve">Otros </w:t>
            </w:r>
            <w:r w:rsidR="00EA7BCE" w:rsidRPr="00F72633">
              <w:rPr>
                <w:rFonts w:ascii="Arial Narrow" w:hAnsi="Arial Narrow"/>
                <w:sz w:val="16"/>
                <w:lang w:val="es-419"/>
              </w:rPr>
              <w:t>gastos</w:t>
            </w:r>
            <w:r w:rsidRPr="00F72633">
              <w:rPr>
                <w:rFonts w:ascii="Arial Narrow" w:hAnsi="Arial Narrow"/>
                <w:sz w:val="16"/>
                <w:lang w:val="es-419"/>
              </w:rPr>
              <w:t xml:space="preserve"> de personal</w:t>
            </w:r>
          </w:p>
        </w:tc>
        <w:tc>
          <w:tcPr>
            <w:tcW w:w="1260" w:type="dxa"/>
            <w:tcBorders>
              <w:top w:val="nil"/>
              <w:left w:val="nil"/>
              <w:bottom w:val="nil"/>
              <w:right w:val="nil"/>
            </w:tcBorders>
            <w:shd w:val="clear" w:color="auto" w:fill="auto"/>
            <w:noWrap/>
            <w:vAlign w:val="bottom"/>
            <w:hideMark/>
          </w:tcPr>
          <w:p w14:paraId="40CF418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385" w:type="dxa"/>
            <w:tcBorders>
              <w:top w:val="nil"/>
              <w:left w:val="nil"/>
              <w:bottom w:val="nil"/>
              <w:right w:val="nil"/>
            </w:tcBorders>
            <w:shd w:val="clear" w:color="auto" w:fill="auto"/>
            <w:noWrap/>
            <w:vAlign w:val="bottom"/>
            <w:hideMark/>
          </w:tcPr>
          <w:p w14:paraId="6A12E3E3" w14:textId="77777777" w:rsidR="001645C8" w:rsidRPr="00F72633" w:rsidRDefault="00D948CA"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c>
          <w:tcPr>
            <w:tcW w:w="2040" w:type="dxa"/>
            <w:tcBorders>
              <w:top w:val="nil"/>
              <w:left w:val="nil"/>
              <w:bottom w:val="nil"/>
              <w:right w:val="nil"/>
            </w:tcBorders>
            <w:shd w:val="clear" w:color="auto" w:fill="auto"/>
            <w:noWrap/>
            <w:vAlign w:val="bottom"/>
            <w:hideMark/>
          </w:tcPr>
          <w:p w14:paraId="71BD6C9B"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2782FED7" w14:textId="77777777" w:rsidTr="00D5599C">
        <w:trPr>
          <w:trHeight w:val="270"/>
          <w:jc w:val="center"/>
        </w:trPr>
        <w:tc>
          <w:tcPr>
            <w:tcW w:w="400" w:type="dxa"/>
            <w:tcBorders>
              <w:top w:val="nil"/>
              <w:left w:val="nil"/>
              <w:bottom w:val="nil"/>
              <w:right w:val="nil"/>
            </w:tcBorders>
            <w:shd w:val="clear" w:color="auto" w:fill="auto"/>
            <w:noWrap/>
            <w:vAlign w:val="bottom"/>
            <w:hideMark/>
          </w:tcPr>
          <w:p w14:paraId="0E33C131"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7287250D" w14:textId="117CB016"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Total de recursos de personal</w:t>
            </w:r>
          </w:p>
        </w:tc>
        <w:tc>
          <w:tcPr>
            <w:tcW w:w="1260" w:type="dxa"/>
            <w:tcBorders>
              <w:top w:val="single" w:sz="4" w:space="0" w:color="C7CFD8"/>
              <w:left w:val="nil"/>
              <w:bottom w:val="single" w:sz="12" w:space="0" w:color="C7CFD8"/>
              <w:right w:val="nil"/>
            </w:tcBorders>
            <w:shd w:val="clear" w:color="auto" w:fill="auto"/>
            <w:noWrap/>
            <w:vAlign w:val="center"/>
            <w:hideMark/>
          </w:tcPr>
          <w:p w14:paraId="45A56307" w14:textId="4BC38994" w:rsidR="001645C8" w:rsidRPr="00F72633" w:rsidRDefault="001645C8" w:rsidP="00101A03">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5</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319 </w:t>
            </w:r>
          </w:p>
        </w:tc>
        <w:tc>
          <w:tcPr>
            <w:tcW w:w="1385" w:type="dxa"/>
            <w:tcBorders>
              <w:top w:val="single" w:sz="4" w:space="0" w:color="C7CFD8"/>
              <w:left w:val="nil"/>
              <w:bottom w:val="single" w:sz="12" w:space="0" w:color="C7CFD8"/>
              <w:right w:val="nil"/>
            </w:tcBorders>
            <w:shd w:val="clear" w:color="auto" w:fill="auto"/>
            <w:noWrap/>
            <w:vAlign w:val="center"/>
            <w:hideMark/>
          </w:tcPr>
          <w:p w14:paraId="74D4CE65" w14:textId="32F09B5B" w:rsidR="001645C8" w:rsidRPr="00F72633" w:rsidRDefault="001645C8" w:rsidP="00101A03">
            <w:pPr>
              <w:ind w:firstLineChars="100" w:firstLine="160"/>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2</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300 </w:t>
            </w:r>
          </w:p>
        </w:tc>
        <w:tc>
          <w:tcPr>
            <w:tcW w:w="2040" w:type="dxa"/>
            <w:tcBorders>
              <w:top w:val="single" w:sz="4" w:space="0" w:color="C7CFD8"/>
              <w:left w:val="nil"/>
              <w:bottom w:val="single" w:sz="12" w:space="0" w:color="C7CFD8"/>
              <w:right w:val="nil"/>
            </w:tcBorders>
            <w:shd w:val="clear" w:color="auto" w:fill="auto"/>
            <w:noWrap/>
            <w:vAlign w:val="center"/>
            <w:hideMark/>
          </w:tcPr>
          <w:p w14:paraId="22FEE424" w14:textId="4D84F0C0"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43</w:t>
            </w:r>
            <w:r w:rsidR="00C70DE2" w:rsidRPr="00F72633">
              <w:rPr>
                <w:rFonts w:ascii="Arial Narrow" w:eastAsia="Times New Roman" w:hAnsi="Arial Narrow"/>
                <w:b/>
                <w:bCs/>
                <w:sz w:val="16"/>
                <w:szCs w:val="16"/>
                <w:lang w:val="es-419" w:eastAsia="en-US"/>
              </w:rPr>
              <w:t> %</w:t>
            </w:r>
          </w:p>
        </w:tc>
      </w:tr>
      <w:tr w:rsidR="001645C8" w:rsidRPr="00F72633" w14:paraId="455CA7CD" w14:textId="77777777" w:rsidTr="00D5599C">
        <w:trPr>
          <w:trHeight w:val="180"/>
          <w:jc w:val="center"/>
        </w:trPr>
        <w:tc>
          <w:tcPr>
            <w:tcW w:w="400" w:type="dxa"/>
            <w:tcBorders>
              <w:top w:val="nil"/>
              <w:left w:val="nil"/>
              <w:bottom w:val="nil"/>
              <w:right w:val="nil"/>
            </w:tcBorders>
            <w:shd w:val="clear" w:color="auto" w:fill="auto"/>
            <w:noWrap/>
            <w:vAlign w:val="bottom"/>
            <w:hideMark/>
          </w:tcPr>
          <w:p w14:paraId="677735B3" w14:textId="77777777" w:rsidR="001645C8" w:rsidRPr="00F72633" w:rsidRDefault="001645C8" w:rsidP="00F90BBB">
            <w:pPr>
              <w:jc w:val="right"/>
              <w:rPr>
                <w:rFonts w:ascii="Arial Narrow" w:eastAsia="Times New Roman" w:hAnsi="Arial Narrow"/>
                <w:b/>
                <w:bCs/>
                <w:sz w:val="16"/>
                <w:szCs w:val="16"/>
                <w:lang w:val="es-419" w:eastAsia="en-US"/>
              </w:rPr>
            </w:pPr>
          </w:p>
        </w:tc>
        <w:tc>
          <w:tcPr>
            <w:tcW w:w="3290" w:type="dxa"/>
            <w:tcBorders>
              <w:top w:val="nil"/>
              <w:left w:val="nil"/>
              <w:bottom w:val="nil"/>
              <w:right w:val="nil"/>
            </w:tcBorders>
            <w:shd w:val="clear" w:color="auto" w:fill="auto"/>
            <w:noWrap/>
            <w:vAlign w:val="bottom"/>
            <w:hideMark/>
          </w:tcPr>
          <w:p w14:paraId="63540BB0"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260" w:type="dxa"/>
            <w:tcBorders>
              <w:top w:val="nil"/>
              <w:left w:val="nil"/>
              <w:bottom w:val="nil"/>
              <w:right w:val="nil"/>
            </w:tcBorders>
            <w:shd w:val="clear" w:color="auto" w:fill="auto"/>
            <w:noWrap/>
            <w:vAlign w:val="bottom"/>
            <w:hideMark/>
          </w:tcPr>
          <w:p w14:paraId="2A513BDA"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385" w:type="dxa"/>
            <w:tcBorders>
              <w:top w:val="nil"/>
              <w:left w:val="nil"/>
              <w:bottom w:val="nil"/>
              <w:right w:val="nil"/>
            </w:tcBorders>
            <w:shd w:val="clear" w:color="auto" w:fill="auto"/>
            <w:noWrap/>
            <w:vAlign w:val="bottom"/>
            <w:hideMark/>
          </w:tcPr>
          <w:p w14:paraId="0971D6AB"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6F4501A2"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56B806A8" w14:textId="77777777" w:rsidTr="00D5599C">
        <w:trPr>
          <w:trHeight w:val="255"/>
          <w:jc w:val="center"/>
        </w:trPr>
        <w:tc>
          <w:tcPr>
            <w:tcW w:w="3690" w:type="dxa"/>
            <w:gridSpan w:val="2"/>
            <w:tcBorders>
              <w:top w:val="nil"/>
              <w:left w:val="nil"/>
              <w:bottom w:val="nil"/>
              <w:right w:val="nil"/>
            </w:tcBorders>
            <w:shd w:val="clear" w:color="auto" w:fill="auto"/>
            <w:noWrap/>
            <w:vAlign w:val="bottom"/>
            <w:hideMark/>
          </w:tcPr>
          <w:p w14:paraId="0E9E385F" w14:textId="5E508F20"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Recursos no relativos a personal</w:t>
            </w:r>
          </w:p>
        </w:tc>
        <w:tc>
          <w:tcPr>
            <w:tcW w:w="1260" w:type="dxa"/>
            <w:tcBorders>
              <w:top w:val="nil"/>
              <w:left w:val="nil"/>
              <w:bottom w:val="nil"/>
              <w:right w:val="nil"/>
            </w:tcBorders>
            <w:shd w:val="clear" w:color="auto" w:fill="auto"/>
            <w:noWrap/>
            <w:vAlign w:val="bottom"/>
            <w:hideMark/>
          </w:tcPr>
          <w:p w14:paraId="66E54045" w14:textId="77777777" w:rsidR="001645C8" w:rsidRPr="00F72633" w:rsidRDefault="001645C8" w:rsidP="00F90BBB">
            <w:pPr>
              <w:jc w:val="left"/>
              <w:rPr>
                <w:rFonts w:ascii="Arial Narrow" w:eastAsia="Times New Roman" w:hAnsi="Arial Narrow"/>
                <w:b/>
                <w:bCs/>
                <w:sz w:val="16"/>
                <w:szCs w:val="16"/>
                <w:lang w:val="es-419" w:eastAsia="en-US"/>
              </w:rPr>
            </w:pPr>
          </w:p>
        </w:tc>
        <w:tc>
          <w:tcPr>
            <w:tcW w:w="1385" w:type="dxa"/>
            <w:tcBorders>
              <w:top w:val="nil"/>
              <w:left w:val="nil"/>
              <w:bottom w:val="nil"/>
              <w:right w:val="nil"/>
            </w:tcBorders>
            <w:shd w:val="clear" w:color="auto" w:fill="auto"/>
            <w:noWrap/>
            <w:vAlign w:val="bottom"/>
            <w:hideMark/>
          </w:tcPr>
          <w:p w14:paraId="03DF73E8"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2E6E40C8"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0F527E31" w14:textId="77777777" w:rsidTr="00D5599C">
        <w:trPr>
          <w:trHeight w:val="60"/>
          <w:jc w:val="center"/>
        </w:trPr>
        <w:tc>
          <w:tcPr>
            <w:tcW w:w="400" w:type="dxa"/>
            <w:tcBorders>
              <w:top w:val="nil"/>
              <w:left w:val="nil"/>
              <w:bottom w:val="nil"/>
              <w:right w:val="nil"/>
            </w:tcBorders>
            <w:shd w:val="clear" w:color="auto" w:fill="auto"/>
            <w:noWrap/>
            <w:vAlign w:val="bottom"/>
            <w:hideMark/>
          </w:tcPr>
          <w:p w14:paraId="6CE4383D"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0A4E7ADE"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260" w:type="dxa"/>
            <w:tcBorders>
              <w:top w:val="nil"/>
              <w:left w:val="nil"/>
              <w:bottom w:val="nil"/>
              <w:right w:val="nil"/>
            </w:tcBorders>
            <w:shd w:val="clear" w:color="auto" w:fill="auto"/>
            <w:noWrap/>
            <w:vAlign w:val="bottom"/>
            <w:hideMark/>
          </w:tcPr>
          <w:p w14:paraId="7FCC501D"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385" w:type="dxa"/>
            <w:tcBorders>
              <w:top w:val="nil"/>
              <w:left w:val="nil"/>
              <w:bottom w:val="nil"/>
              <w:right w:val="nil"/>
            </w:tcBorders>
            <w:shd w:val="clear" w:color="auto" w:fill="auto"/>
            <w:noWrap/>
            <w:vAlign w:val="bottom"/>
            <w:hideMark/>
          </w:tcPr>
          <w:p w14:paraId="5C2A74F3"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63D57766"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6461B2AF" w14:textId="77777777" w:rsidTr="00D5599C">
        <w:trPr>
          <w:trHeight w:val="255"/>
          <w:jc w:val="center"/>
        </w:trPr>
        <w:tc>
          <w:tcPr>
            <w:tcW w:w="3690" w:type="dxa"/>
            <w:gridSpan w:val="2"/>
            <w:tcBorders>
              <w:top w:val="nil"/>
              <w:left w:val="nil"/>
              <w:bottom w:val="nil"/>
              <w:right w:val="nil"/>
            </w:tcBorders>
            <w:shd w:val="clear" w:color="auto" w:fill="auto"/>
            <w:noWrap/>
            <w:vAlign w:val="bottom"/>
            <w:hideMark/>
          </w:tcPr>
          <w:p w14:paraId="6ABFD41F" w14:textId="5EF5B0C6" w:rsidR="001645C8" w:rsidRPr="00F72633" w:rsidRDefault="00D5599C"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Pasantías y becas</w:t>
            </w:r>
          </w:p>
        </w:tc>
        <w:tc>
          <w:tcPr>
            <w:tcW w:w="1260" w:type="dxa"/>
            <w:tcBorders>
              <w:top w:val="nil"/>
              <w:left w:val="nil"/>
              <w:bottom w:val="nil"/>
              <w:right w:val="nil"/>
            </w:tcBorders>
            <w:shd w:val="clear" w:color="auto" w:fill="auto"/>
            <w:noWrap/>
            <w:vAlign w:val="bottom"/>
            <w:hideMark/>
          </w:tcPr>
          <w:p w14:paraId="5C399D8D"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385" w:type="dxa"/>
            <w:tcBorders>
              <w:top w:val="nil"/>
              <w:left w:val="nil"/>
              <w:bottom w:val="nil"/>
              <w:right w:val="nil"/>
            </w:tcBorders>
            <w:shd w:val="clear" w:color="auto" w:fill="auto"/>
            <w:noWrap/>
            <w:vAlign w:val="bottom"/>
            <w:hideMark/>
          </w:tcPr>
          <w:p w14:paraId="295E0078"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1644B1B2"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0DC09C11" w14:textId="77777777" w:rsidTr="00D5599C">
        <w:trPr>
          <w:trHeight w:val="330"/>
          <w:jc w:val="center"/>
        </w:trPr>
        <w:tc>
          <w:tcPr>
            <w:tcW w:w="400" w:type="dxa"/>
            <w:tcBorders>
              <w:top w:val="nil"/>
              <w:left w:val="nil"/>
              <w:bottom w:val="nil"/>
              <w:right w:val="nil"/>
            </w:tcBorders>
            <w:shd w:val="clear" w:color="auto" w:fill="auto"/>
            <w:noWrap/>
            <w:vAlign w:val="bottom"/>
            <w:hideMark/>
          </w:tcPr>
          <w:p w14:paraId="1310C62F"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058FAE0D" w14:textId="7F712DB7"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Pasantías</w:t>
            </w:r>
          </w:p>
        </w:tc>
        <w:tc>
          <w:tcPr>
            <w:tcW w:w="1260" w:type="dxa"/>
            <w:tcBorders>
              <w:top w:val="nil"/>
              <w:left w:val="nil"/>
              <w:bottom w:val="nil"/>
              <w:right w:val="nil"/>
            </w:tcBorders>
            <w:shd w:val="clear" w:color="auto" w:fill="auto"/>
            <w:noWrap/>
            <w:vAlign w:val="bottom"/>
            <w:hideMark/>
          </w:tcPr>
          <w:p w14:paraId="7414EC4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 </w:t>
            </w:r>
          </w:p>
        </w:tc>
        <w:tc>
          <w:tcPr>
            <w:tcW w:w="1385" w:type="dxa"/>
            <w:tcBorders>
              <w:top w:val="nil"/>
              <w:left w:val="nil"/>
              <w:bottom w:val="nil"/>
              <w:right w:val="nil"/>
            </w:tcBorders>
            <w:shd w:val="clear" w:color="auto" w:fill="auto"/>
            <w:noWrap/>
            <w:vAlign w:val="bottom"/>
            <w:hideMark/>
          </w:tcPr>
          <w:p w14:paraId="61BA666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2040" w:type="dxa"/>
            <w:tcBorders>
              <w:top w:val="nil"/>
              <w:left w:val="nil"/>
              <w:bottom w:val="nil"/>
              <w:right w:val="nil"/>
            </w:tcBorders>
            <w:shd w:val="clear" w:color="auto" w:fill="auto"/>
            <w:noWrap/>
            <w:vAlign w:val="bottom"/>
            <w:hideMark/>
          </w:tcPr>
          <w:p w14:paraId="46F7067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1F2588B8" w14:textId="77777777" w:rsidTr="00D5599C">
        <w:trPr>
          <w:trHeight w:val="270"/>
          <w:jc w:val="center"/>
        </w:trPr>
        <w:tc>
          <w:tcPr>
            <w:tcW w:w="400" w:type="dxa"/>
            <w:tcBorders>
              <w:top w:val="nil"/>
              <w:left w:val="nil"/>
              <w:bottom w:val="nil"/>
              <w:right w:val="nil"/>
            </w:tcBorders>
            <w:shd w:val="clear" w:color="auto" w:fill="auto"/>
            <w:noWrap/>
            <w:vAlign w:val="bottom"/>
            <w:hideMark/>
          </w:tcPr>
          <w:p w14:paraId="312FE38F"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1539C54F" w14:textId="0C823299"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Becas</w:t>
            </w:r>
          </w:p>
        </w:tc>
        <w:tc>
          <w:tcPr>
            <w:tcW w:w="1260" w:type="dxa"/>
            <w:tcBorders>
              <w:top w:val="nil"/>
              <w:left w:val="nil"/>
              <w:bottom w:val="nil"/>
              <w:right w:val="nil"/>
            </w:tcBorders>
            <w:shd w:val="clear" w:color="auto" w:fill="auto"/>
            <w:noWrap/>
            <w:vAlign w:val="bottom"/>
            <w:hideMark/>
          </w:tcPr>
          <w:p w14:paraId="645331C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65 </w:t>
            </w:r>
          </w:p>
        </w:tc>
        <w:tc>
          <w:tcPr>
            <w:tcW w:w="1385" w:type="dxa"/>
            <w:tcBorders>
              <w:top w:val="nil"/>
              <w:left w:val="nil"/>
              <w:bottom w:val="nil"/>
              <w:right w:val="nil"/>
            </w:tcBorders>
            <w:shd w:val="clear" w:color="auto" w:fill="auto"/>
            <w:noWrap/>
            <w:vAlign w:val="bottom"/>
            <w:hideMark/>
          </w:tcPr>
          <w:p w14:paraId="66AA77F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2040" w:type="dxa"/>
            <w:tcBorders>
              <w:top w:val="nil"/>
              <w:left w:val="nil"/>
              <w:bottom w:val="nil"/>
              <w:right w:val="nil"/>
            </w:tcBorders>
            <w:shd w:val="clear" w:color="auto" w:fill="auto"/>
            <w:noWrap/>
            <w:vAlign w:val="bottom"/>
            <w:hideMark/>
          </w:tcPr>
          <w:p w14:paraId="34C9073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61CF8938" w14:textId="77777777" w:rsidTr="00D5599C">
        <w:trPr>
          <w:trHeight w:val="270"/>
          <w:jc w:val="center"/>
        </w:trPr>
        <w:tc>
          <w:tcPr>
            <w:tcW w:w="400" w:type="dxa"/>
            <w:tcBorders>
              <w:top w:val="nil"/>
              <w:left w:val="nil"/>
              <w:bottom w:val="nil"/>
              <w:right w:val="nil"/>
            </w:tcBorders>
            <w:shd w:val="clear" w:color="auto" w:fill="auto"/>
            <w:noWrap/>
            <w:vAlign w:val="bottom"/>
            <w:hideMark/>
          </w:tcPr>
          <w:p w14:paraId="7DFAAADF"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147A176A" w14:textId="528E796F" w:rsidR="001645C8" w:rsidRPr="00F72633" w:rsidRDefault="00D5599C"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pasantías y becas</w:t>
            </w:r>
          </w:p>
        </w:tc>
        <w:tc>
          <w:tcPr>
            <w:tcW w:w="1260" w:type="dxa"/>
            <w:tcBorders>
              <w:top w:val="single" w:sz="4" w:space="0" w:color="C7CFD8"/>
              <w:left w:val="nil"/>
              <w:bottom w:val="single" w:sz="12" w:space="0" w:color="C7CFD8"/>
              <w:right w:val="nil"/>
            </w:tcBorders>
            <w:shd w:val="clear" w:color="auto" w:fill="auto"/>
            <w:noWrap/>
            <w:vAlign w:val="center"/>
            <w:hideMark/>
          </w:tcPr>
          <w:p w14:paraId="2AE0EE4A"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70 </w:t>
            </w:r>
          </w:p>
        </w:tc>
        <w:tc>
          <w:tcPr>
            <w:tcW w:w="1385" w:type="dxa"/>
            <w:tcBorders>
              <w:top w:val="single" w:sz="4" w:space="0" w:color="C7CFD8"/>
              <w:left w:val="nil"/>
              <w:bottom w:val="single" w:sz="12" w:space="0" w:color="C7CFD8"/>
              <w:right w:val="nil"/>
            </w:tcBorders>
            <w:shd w:val="clear" w:color="auto" w:fill="auto"/>
            <w:noWrap/>
            <w:vAlign w:val="center"/>
            <w:hideMark/>
          </w:tcPr>
          <w:p w14:paraId="122249E1"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2040" w:type="dxa"/>
            <w:tcBorders>
              <w:top w:val="single" w:sz="4" w:space="0" w:color="C7CFD8"/>
              <w:left w:val="nil"/>
              <w:bottom w:val="single" w:sz="12" w:space="0" w:color="C7CFD8"/>
              <w:right w:val="nil"/>
            </w:tcBorders>
            <w:shd w:val="clear" w:color="auto" w:fill="auto"/>
            <w:noWrap/>
            <w:vAlign w:val="center"/>
            <w:hideMark/>
          </w:tcPr>
          <w:p w14:paraId="4878EAA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w:t>
            </w:r>
          </w:p>
        </w:tc>
      </w:tr>
      <w:tr w:rsidR="001645C8" w:rsidRPr="00F72633" w14:paraId="6BEF75F7" w14:textId="77777777" w:rsidTr="00D5599C">
        <w:trPr>
          <w:trHeight w:val="345"/>
          <w:jc w:val="center"/>
        </w:trPr>
        <w:tc>
          <w:tcPr>
            <w:tcW w:w="3690" w:type="dxa"/>
            <w:gridSpan w:val="2"/>
            <w:tcBorders>
              <w:top w:val="nil"/>
              <w:left w:val="nil"/>
              <w:bottom w:val="nil"/>
              <w:right w:val="nil"/>
            </w:tcBorders>
            <w:shd w:val="clear" w:color="auto" w:fill="auto"/>
            <w:noWrap/>
            <w:vAlign w:val="bottom"/>
            <w:hideMark/>
          </w:tcPr>
          <w:p w14:paraId="71D02725" w14:textId="57D012E7" w:rsidR="001645C8" w:rsidRPr="00F72633" w:rsidRDefault="00D5599C" w:rsidP="00F90BBB">
            <w:pPr>
              <w:jc w:val="left"/>
              <w:rPr>
                <w:rFonts w:ascii="Arial Narrow" w:eastAsia="Times New Roman" w:hAnsi="Arial Narrow"/>
                <w:b/>
                <w:bCs/>
                <w:i/>
                <w:iCs/>
                <w:sz w:val="16"/>
                <w:szCs w:val="16"/>
                <w:lang w:val="es-419" w:eastAsia="en-US"/>
              </w:rPr>
            </w:pPr>
            <w:r w:rsidRPr="00F72633">
              <w:rPr>
                <w:rFonts w:ascii="Arial Narrow" w:eastAsia="Times New Roman" w:hAnsi="Arial Narrow"/>
                <w:b/>
                <w:bCs/>
                <w:i/>
                <w:iCs/>
                <w:sz w:val="16"/>
                <w:szCs w:val="16"/>
                <w:lang w:val="es-419" w:eastAsia="en-US"/>
              </w:rPr>
              <w:t>Viajes, formación y subsidios</w:t>
            </w:r>
          </w:p>
        </w:tc>
        <w:tc>
          <w:tcPr>
            <w:tcW w:w="1260" w:type="dxa"/>
            <w:tcBorders>
              <w:top w:val="nil"/>
              <w:left w:val="nil"/>
              <w:bottom w:val="nil"/>
              <w:right w:val="nil"/>
            </w:tcBorders>
            <w:shd w:val="clear" w:color="auto" w:fill="auto"/>
            <w:noWrap/>
            <w:vAlign w:val="bottom"/>
            <w:hideMark/>
          </w:tcPr>
          <w:p w14:paraId="597AB5AB"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385" w:type="dxa"/>
            <w:tcBorders>
              <w:top w:val="nil"/>
              <w:left w:val="nil"/>
              <w:bottom w:val="nil"/>
              <w:right w:val="nil"/>
            </w:tcBorders>
            <w:shd w:val="clear" w:color="auto" w:fill="auto"/>
            <w:noWrap/>
            <w:vAlign w:val="bottom"/>
            <w:hideMark/>
          </w:tcPr>
          <w:p w14:paraId="53984B72"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14932497"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2BE2E4A9"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5C8D7F03"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3B4E80B7" w14:textId="75B50409"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Misiones del personal</w:t>
            </w:r>
          </w:p>
        </w:tc>
        <w:tc>
          <w:tcPr>
            <w:tcW w:w="1260" w:type="dxa"/>
            <w:tcBorders>
              <w:top w:val="nil"/>
              <w:left w:val="nil"/>
              <w:bottom w:val="nil"/>
              <w:right w:val="nil"/>
            </w:tcBorders>
            <w:shd w:val="clear" w:color="auto" w:fill="auto"/>
            <w:noWrap/>
            <w:vAlign w:val="bottom"/>
            <w:hideMark/>
          </w:tcPr>
          <w:p w14:paraId="4DACB22A"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349 </w:t>
            </w:r>
          </w:p>
        </w:tc>
        <w:tc>
          <w:tcPr>
            <w:tcW w:w="1385" w:type="dxa"/>
            <w:tcBorders>
              <w:top w:val="nil"/>
              <w:left w:val="nil"/>
              <w:bottom w:val="nil"/>
              <w:right w:val="nil"/>
            </w:tcBorders>
            <w:shd w:val="clear" w:color="auto" w:fill="auto"/>
            <w:noWrap/>
            <w:vAlign w:val="bottom"/>
            <w:hideMark/>
          </w:tcPr>
          <w:p w14:paraId="753BCC3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38 </w:t>
            </w:r>
          </w:p>
        </w:tc>
        <w:tc>
          <w:tcPr>
            <w:tcW w:w="2040" w:type="dxa"/>
            <w:tcBorders>
              <w:top w:val="nil"/>
              <w:left w:val="nil"/>
              <w:bottom w:val="nil"/>
              <w:right w:val="nil"/>
            </w:tcBorders>
            <w:shd w:val="clear" w:color="auto" w:fill="auto"/>
            <w:noWrap/>
            <w:vAlign w:val="bottom"/>
            <w:hideMark/>
          </w:tcPr>
          <w:p w14:paraId="121788AC" w14:textId="7F30810B"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11</w:t>
            </w:r>
            <w:r w:rsidR="00C70DE2" w:rsidRPr="00F72633">
              <w:rPr>
                <w:rFonts w:ascii="Arial Narrow" w:eastAsia="Times New Roman" w:hAnsi="Arial Narrow"/>
                <w:sz w:val="16"/>
                <w:szCs w:val="16"/>
                <w:lang w:val="es-419" w:eastAsia="en-US"/>
              </w:rPr>
              <w:t> %</w:t>
            </w:r>
          </w:p>
        </w:tc>
      </w:tr>
      <w:tr w:rsidR="001645C8" w:rsidRPr="00F72633" w14:paraId="084BFEFC"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3A6AE762"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323B7916" w14:textId="5DB21785"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Viajes de terceros</w:t>
            </w:r>
          </w:p>
        </w:tc>
        <w:tc>
          <w:tcPr>
            <w:tcW w:w="1260" w:type="dxa"/>
            <w:tcBorders>
              <w:top w:val="nil"/>
              <w:left w:val="nil"/>
              <w:bottom w:val="nil"/>
              <w:right w:val="nil"/>
            </w:tcBorders>
            <w:shd w:val="clear" w:color="auto" w:fill="auto"/>
            <w:noWrap/>
            <w:vAlign w:val="bottom"/>
            <w:hideMark/>
          </w:tcPr>
          <w:p w14:paraId="2EA11CB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12 </w:t>
            </w:r>
          </w:p>
        </w:tc>
        <w:tc>
          <w:tcPr>
            <w:tcW w:w="1385" w:type="dxa"/>
            <w:tcBorders>
              <w:top w:val="nil"/>
              <w:left w:val="nil"/>
              <w:bottom w:val="nil"/>
              <w:right w:val="nil"/>
            </w:tcBorders>
            <w:shd w:val="clear" w:color="auto" w:fill="auto"/>
            <w:noWrap/>
            <w:vAlign w:val="bottom"/>
            <w:hideMark/>
          </w:tcPr>
          <w:p w14:paraId="75D70BD1"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2040" w:type="dxa"/>
            <w:tcBorders>
              <w:top w:val="nil"/>
              <w:left w:val="nil"/>
              <w:bottom w:val="nil"/>
              <w:right w:val="nil"/>
            </w:tcBorders>
            <w:shd w:val="clear" w:color="auto" w:fill="auto"/>
            <w:noWrap/>
            <w:vAlign w:val="bottom"/>
            <w:hideMark/>
          </w:tcPr>
          <w:p w14:paraId="55ED3661"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453E5EE0" w14:textId="77777777" w:rsidTr="00D5599C">
        <w:trPr>
          <w:trHeight w:val="270"/>
          <w:jc w:val="center"/>
        </w:trPr>
        <w:tc>
          <w:tcPr>
            <w:tcW w:w="400" w:type="dxa"/>
            <w:tcBorders>
              <w:top w:val="nil"/>
              <w:left w:val="nil"/>
              <w:bottom w:val="nil"/>
              <w:right w:val="nil"/>
            </w:tcBorders>
            <w:shd w:val="clear" w:color="auto" w:fill="auto"/>
            <w:noWrap/>
            <w:vAlign w:val="bottom"/>
            <w:hideMark/>
          </w:tcPr>
          <w:p w14:paraId="6681B18E"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188594A4" w14:textId="336FC0EE" w:rsidR="001645C8" w:rsidRPr="00F72633" w:rsidRDefault="00D5599C"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viajes</w:t>
            </w:r>
          </w:p>
        </w:tc>
        <w:tc>
          <w:tcPr>
            <w:tcW w:w="1260" w:type="dxa"/>
            <w:tcBorders>
              <w:top w:val="single" w:sz="4" w:space="0" w:color="C7CFD8"/>
              <w:left w:val="nil"/>
              <w:bottom w:val="single" w:sz="12" w:space="0" w:color="C7CFD8"/>
              <w:right w:val="nil"/>
            </w:tcBorders>
            <w:shd w:val="clear" w:color="auto" w:fill="auto"/>
            <w:noWrap/>
            <w:vAlign w:val="center"/>
            <w:hideMark/>
          </w:tcPr>
          <w:p w14:paraId="57A41B5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361 </w:t>
            </w:r>
          </w:p>
        </w:tc>
        <w:tc>
          <w:tcPr>
            <w:tcW w:w="1385" w:type="dxa"/>
            <w:tcBorders>
              <w:top w:val="single" w:sz="4" w:space="0" w:color="C7CFD8"/>
              <w:left w:val="nil"/>
              <w:bottom w:val="single" w:sz="12" w:space="0" w:color="C7CFD8"/>
              <w:right w:val="nil"/>
            </w:tcBorders>
            <w:shd w:val="clear" w:color="auto" w:fill="auto"/>
            <w:noWrap/>
            <w:vAlign w:val="center"/>
            <w:hideMark/>
          </w:tcPr>
          <w:p w14:paraId="4DB8ADB2"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38 </w:t>
            </w:r>
          </w:p>
        </w:tc>
        <w:tc>
          <w:tcPr>
            <w:tcW w:w="2040" w:type="dxa"/>
            <w:tcBorders>
              <w:top w:val="single" w:sz="4" w:space="0" w:color="C7CFD8"/>
              <w:left w:val="nil"/>
              <w:bottom w:val="single" w:sz="12" w:space="0" w:color="C7CFD8"/>
              <w:right w:val="nil"/>
            </w:tcBorders>
            <w:shd w:val="clear" w:color="auto" w:fill="auto"/>
            <w:noWrap/>
            <w:vAlign w:val="center"/>
            <w:hideMark/>
          </w:tcPr>
          <w:p w14:paraId="40EC5324" w14:textId="62CB6959"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10</w:t>
            </w:r>
            <w:r w:rsidR="00C70DE2" w:rsidRPr="00F72633">
              <w:rPr>
                <w:rFonts w:ascii="Arial Narrow" w:eastAsia="Times New Roman" w:hAnsi="Arial Narrow"/>
                <w:b/>
                <w:bCs/>
                <w:sz w:val="16"/>
                <w:szCs w:val="16"/>
                <w:lang w:val="es-419" w:eastAsia="en-US"/>
              </w:rPr>
              <w:t> %</w:t>
            </w:r>
          </w:p>
        </w:tc>
      </w:tr>
      <w:tr w:rsidR="001645C8" w:rsidRPr="00F72633" w14:paraId="2626525C" w14:textId="77777777" w:rsidTr="00D5599C">
        <w:trPr>
          <w:trHeight w:val="330"/>
          <w:jc w:val="center"/>
        </w:trPr>
        <w:tc>
          <w:tcPr>
            <w:tcW w:w="3690" w:type="dxa"/>
            <w:gridSpan w:val="2"/>
            <w:tcBorders>
              <w:top w:val="nil"/>
              <w:left w:val="nil"/>
              <w:bottom w:val="nil"/>
              <w:right w:val="nil"/>
            </w:tcBorders>
            <w:shd w:val="clear" w:color="auto" w:fill="auto"/>
            <w:noWrap/>
            <w:vAlign w:val="bottom"/>
            <w:hideMark/>
          </w:tcPr>
          <w:p w14:paraId="04CA8634" w14:textId="53109F7B" w:rsidR="001645C8" w:rsidRPr="00F72633" w:rsidRDefault="00D5599C"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Servicios contractuales</w:t>
            </w:r>
          </w:p>
        </w:tc>
        <w:tc>
          <w:tcPr>
            <w:tcW w:w="1260" w:type="dxa"/>
            <w:tcBorders>
              <w:top w:val="nil"/>
              <w:left w:val="nil"/>
              <w:bottom w:val="nil"/>
              <w:right w:val="nil"/>
            </w:tcBorders>
            <w:shd w:val="clear" w:color="auto" w:fill="auto"/>
            <w:noWrap/>
            <w:vAlign w:val="bottom"/>
            <w:hideMark/>
          </w:tcPr>
          <w:p w14:paraId="688B2FA9"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385" w:type="dxa"/>
            <w:tcBorders>
              <w:top w:val="nil"/>
              <w:left w:val="nil"/>
              <w:bottom w:val="nil"/>
              <w:right w:val="nil"/>
            </w:tcBorders>
            <w:shd w:val="clear" w:color="auto" w:fill="auto"/>
            <w:noWrap/>
            <w:vAlign w:val="bottom"/>
            <w:hideMark/>
          </w:tcPr>
          <w:p w14:paraId="3EB05E21"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0F17FBDF"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22BBF37F"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27325DAD"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52408FE9" w14:textId="638C2DA1"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Conferencias</w:t>
            </w:r>
          </w:p>
        </w:tc>
        <w:tc>
          <w:tcPr>
            <w:tcW w:w="1260" w:type="dxa"/>
            <w:tcBorders>
              <w:top w:val="nil"/>
              <w:left w:val="nil"/>
              <w:bottom w:val="nil"/>
              <w:right w:val="nil"/>
            </w:tcBorders>
            <w:shd w:val="clear" w:color="auto" w:fill="auto"/>
            <w:noWrap/>
            <w:vAlign w:val="bottom"/>
            <w:hideMark/>
          </w:tcPr>
          <w:p w14:paraId="11DDC43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180 </w:t>
            </w:r>
          </w:p>
        </w:tc>
        <w:tc>
          <w:tcPr>
            <w:tcW w:w="1385" w:type="dxa"/>
            <w:tcBorders>
              <w:top w:val="nil"/>
              <w:left w:val="nil"/>
              <w:bottom w:val="nil"/>
              <w:right w:val="nil"/>
            </w:tcBorders>
            <w:shd w:val="clear" w:color="auto" w:fill="auto"/>
            <w:noWrap/>
            <w:vAlign w:val="bottom"/>
            <w:hideMark/>
          </w:tcPr>
          <w:p w14:paraId="03BD8BB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133 </w:t>
            </w:r>
          </w:p>
        </w:tc>
        <w:tc>
          <w:tcPr>
            <w:tcW w:w="2040" w:type="dxa"/>
            <w:tcBorders>
              <w:top w:val="nil"/>
              <w:left w:val="nil"/>
              <w:bottom w:val="nil"/>
              <w:right w:val="nil"/>
            </w:tcBorders>
            <w:shd w:val="clear" w:color="auto" w:fill="auto"/>
            <w:noWrap/>
            <w:vAlign w:val="bottom"/>
            <w:hideMark/>
          </w:tcPr>
          <w:p w14:paraId="19A67AA6" w14:textId="0AF69F03"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74</w:t>
            </w:r>
            <w:r w:rsidR="00C70DE2" w:rsidRPr="00F72633">
              <w:rPr>
                <w:rFonts w:ascii="Arial Narrow" w:eastAsia="Times New Roman" w:hAnsi="Arial Narrow"/>
                <w:sz w:val="16"/>
                <w:szCs w:val="16"/>
                <w:lang w:val="es-419" w:eastAsia="en-US"/>
              </w:rPr>
              <w:t> %</w:t>
            </w:r>
          </w:p>
        </w:tc>
      </w:tr>
      <w:tr w:rsidR="001645C8" w:rsidRPr="00F72633" w14:paraId="79570120"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1F7903AA"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008E50E7" w14:textId="7BC5D7C1"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Publicaciones</w:t>
            </w:r>
          </w:p>
        </w:tc>
        <w:tc>
          <w:tcPr>
            <w:tcW w:w="1260" w:type="dxa"/>
            <w:tcBorders>
              <w:top w:val="nil"/>
              <w:left w:val="nil"/>
              <w:bottom w:val="nil"/>
              <w:right w:val="nil"/>
            </w:tcBorders>
            <w:shd w:val="clear" w:color="auto" w:fill="auto"/>
            <w:noWrap/>
            <w:vAlign w:val="bottom"/>
            <w:hideMark/>
          </w:tcPr>
          <w:p w14:paraId="6EC24D9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385" w:type="dxa"/>
            <w:tcBorders>
              <w:top w:val="nil"/>
              <w:left w:val="nil"/>
              <w:bottom w:val="nil"/>
              <w:right w:val="nil"/>
            </w:tcBorders>
            <w:shd w:val="clear" w:color="auto" w:fill="auto"/>
            <w:noWrap/>
            <w:vAlign w:val="bottom"/>
            <w:hideMark/>
          </w:tcPr>
          <w:p w14:paraId="2F285382"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2040" w:type="dxa"/>
            <w:tcBorders>
              <w:top w:val="nil"/>
              <w:left w:val="nil"/>
              <w:bottom w:val="nil"/>
              <w:right w:val="nil"/>
            </w:tcBorders>
            <w:shd w:val="clear" w:color="auto" w:fill="auto"/>
            <w:noWrap/>
            <w:vAlign w:val="bottom"/>
            <w:hideMark/>
          </w:tcPr>
          <w:p w14:paraId="39186E9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1856DB03"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19D30EE8"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50EF8B82" w14:textId="3FCB8E75"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Servicios contractuales individuales</w:t>
            </w:r>
          </w:p>
        </w:tc>
        <w:tc>
          <w:tcPr>
            <w:tcW w:w="1260" w:type="dxa"/>
            <w:tcBorders>
              <w:top w:val="nil"/>
              <w:left w:val="nil"/>
              <w:bottom w:val="nil"/>
              <w:right w:val="nil"/>
            </w:tcBorders>
            <w:shd w:val="clear" w:color="auto" w:fill="auto"/>
            <w:noWrap/>
            <w:vAlign w:val="bottom"/>
            <w:hideMark/>
          </w:tcPr>
          <w:p w14:paraId="10C7E10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 </w:t>
            </w:r>
          </w:p>
        </w:tc>
        <w:tc>
          <w:tcPr>
            <w:tcW w:w="1385" w:type="dxa"/>
            <w:tcBorders>
              <w:top w:val="nil"/>
              <w:left w:val="nil"/>
              <w:bottom w:val="nil"/>
              <w:right w:val="nil"/>
            </w:tcBorders>
            <w:shd w:val="clear" w:color="auto" w:fill="auto"/>
            <w:noWrap/>
            <w:vAlign w:val="bottom"/>
            <w:hideMark/>
          </w:tcPr>
          <w:p w14:paraId="5F10AB7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33 </w:t>
            </w:r>
          </w:p>
        </w:tc>
        <w:tc>
          <w:tcPr>
            <w:tcW w:w="2040" w:type="dxa"/>
            <w:tcBorders>
              <w:top w:val="nil"/>
              <w:left w:val="nil"/>
              <w:bottom w:val="nil"/>
              <w:right w:val="nil"/>
            </w:tcBorders>
            <w:shd w:val="clear" w:color="auto" w:fill="auto"/>
            <w:noWrap/>
            <w:vAlign w:val="bottom"/>
            <w:hideMark/>
          </w:tcPr>
          <w:p w14:paraId="1D8F2A4F" w14:textId="7A7C2948"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+100</w:t>
            </w:r>
            <w:r w:rsidR="00C70DE2" w:rsidRPr="00F72633">
              <w:rPr>
                <w:rFonts w:ascii="Arial Narrow" w:eastAsia="Times New Roman" w:hAnsi="Arial Narrow"/>
                <w:sz w:val="16"/>
                <w:szCs w:val="16"/>
                <w:lang w:val="es-419" w:eastAsia="en-US"/>
              </w:rPr>
              <w:t> %</w:t>
            </w:r>
          </w:p>
        </w:tc>
      </w:tr>
      <w:tr w:rsidR="001645C8" w:rsidRPr="00F72633" w14:paraId="339F2739"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571CD269"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07C0FB90" w14:textId="5B45ACCB"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Otros servicios contractuales</w:t>
            </w:r>
          </w:p>
        </w:tc>
        <w:tc>
          <w:tcPr>
            <w:tcW w:w="1260" w:type="dxa"/>
            <w:tcBorders>
              <w:top w:val="nil"/>
              <w:left w:val="nil"/>
              <w:bottom w:val="nil"/>
              <w:right w:val="nil"/>
            </w:tcBorders>
            <w:shd w:val="clear" w:color="auto" w:fill="auto"/>
            <w:noWrap/>
            <w:vAlign w:val="bottom"/>
            <w:hideMark/>
          </w:tcPr>
          <w:p w14:paraId="117F68A1"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405 </w:t>
            </w:r>
          </w:p>
        </w:tc>
        <w:tc>
          <w:tcPr>
            <w:tcW w:w="1385" w:type="dxa"/>
            <w:tcBorders>
              <w:top w:val="nil"/>
              <w:left w:val="nil"/>
              <w:bottom w:val="nil"/>
              <w:right w:val="nil"/>
            </w:tcBorders>
            <w:shd w:val="clear" w:color="auto" w:fill="auto"/>
            <w:noWrap/>
            <w:vAlign w:val="bottom"/>
            <w:hideMark/>
          </w:tcPr>
          <w:p w14:paraId="5FDDAD7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433 </w:t>
            </w:r>
          </w:p>
        </w:tc>
        <w:tc>
          <w:tcPr>
            <w:tcW w:w="2040" w:type="dxa"/>
            <w:tcBorders>
              <w:top w:val="nil"/>
              <w:left w:val="nil"/>
              <w:bottom w:val="nil"/>
              <w:right w:val="nil"/>
            </w:tcBorders>
            <w:shd w:val="clear" w:color="auto" w:fill="auto"/>
            <w:noWrap/>
            <w:vAlign w:val="bottom"/>
            <w:hideMark/>
          </w:tcPr>
          <w:p w14:paraId="5655C624" w14:textId="6FCABCF2"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+100</w:t>
            </w:r>
            <w:r w:rsidR="00C70DE2" w:rsidRPr="00F72633">
              <w:rPr>
                <w:rFonts w:ascii="Arial Narrow" w:eastAsia="Times New Roman" w:hAnsi="Arial Narrow"/>
                <w:sz w:val="16"/>
                <w:szCs w:val="16"/>
                <w:lang w:val="es-419" w:eastAsia="en-US"/>
              </w:rPr>
              <w:t> %</w:t>
            </w:r>
          </w:p>
        </w:tc>
      </w:tr>
      <w:tr w:rsidR="001645C8" w:rsidRPr="00F72633" w14:paraId="1E179FBC" w14:textId="77777777" w:rsidTr="00D5599C">
        <w:trPr>
          <w:trHeight w:val="300"/>
          <w:jc w:val="center"/>
        </w:trPr>
        <w:tc>
          <w:tcPr>
            <w:tcW w:w="400" w:type="dxa"/>
            <w:tcBorders>
              <w:top w:val="nil"/>
              <w:left w:val="nil"/>
              <w:bottom w:val="nil"/>
              <w:right w:val="nil"/>
            </w:tcBorders>
            <w:shd w:val="clear" w:color="auto" w:fill="auto"/>
            <w:noWrap/>
            <w:vAlign w:val="bottom"/>
            <w:hideMark/>
          </w:tcPr>
          <w:p w14:paraId="7BB08EDE"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3F65E0B2" w14:textId="7916AE5F" w:rsidR="001645C8" w:rsidRPr="00F72633" w:rsidRDefault="00D5599C"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servicios contractuales</w:t>
            </w:r>
          </w:p>
        </w:tc>
        <w:tc>
          <w:tcPr>
            <w:tcW w:w="1260" w:type="dxa"/>
            <w:tcBorders>
              <w:top w:val="single" w:sz="4" w:space="0" w:color="C7CFD8"/>
              <w:left w:val="nil"/>
              <w:bottom w:val="single" w:sz="12" w:space="0" w:color="C7CFD8"/>
              <w:right w:val="nil"/>
            </w:tcBorders>
            <w:shd w:val="clear" w:color="auto" w:fill="auto"/>
            <w:noWrap/>
            <w:vAlign w:val="center"/>
            <w:hideMark/>
          </w:tcPr>
          <w:p w14:paraId="4269E4D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590 </w:t>
            </w:r>
          </w:p>
        </w:tc>
        <w:tc>
          <w:tcPr>
            <w:tcW w:w="1385" w:type="dxa"/>
            <w:tcBorders>
              <w:top w:val="single" w:sz="4" w:space="0" w:color="C7CFD8"/>
              <w:left w:val="nil"/>
              <w:bottom w:val="single" w:sz="12" w:space="0" w:color="C7CFD8"/>
              <w:right w:val="nil"/>
            </w:tcBorders>
            <w:shd w:val="clear" w:color="auto" w:fill="auto"/>
            <w:noWrap/>
            <w:vAlign w:val="center"/>
            <w:hideMark/>
          </w:tcPr>
          <w:p w14:paraId="737D7761"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599 </w:t>
            </w:r>
          </w:p>
        </w:tc>
        <w:tc>
          <w:tcPr>
            <w:tcW w:w="2040" w:type="dxa"/>
            <w:tcBorders>
              <w:top w:val="single" w:sz="4" w:space="0" w:color="C7CFD8"/>
              <w:left w:val="nil"/>
              <w:bottom w:val="single" w:sz="12" w:space="0" w:color="C7CFD8"/>
              <w:right w:val="nil"/>
            </w:tcBorders>
            <w:shd w:val="clear" w:color="auto" w:fill="auto"/>
            <w:noWrap/>
            <w:vAlign w:val="center"/>
            <w:hideMark/>
          </w:tcPr>
          <w:p w14:paraId="2F59AB91" w14:textId="172B6D79"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+100</w:t>
            </w:r>
            <w:r w:rsidR="00C70DE2" w:rsidRPr="00F72633">
              <w:rPr>
                <w:rFonts w:ascii="Arial Narrow" w:eastAsia="Times New Roman" w:hAnsi="Arial Narrow"/>
                <w:b/>
                <w:bCs/>
                <w:sz w:val="16"/>
                <w:szCs w:val="16"/>
                <w:lang w:val="es-419" w:eastAsia="en-US"/>
              </w:rPr>
              <w:t> %</w:t>
            </w:r>
          </w:p>
        </w:tc>
      </w:tr>
      <w:tr w:rsidR="001645C8" w:rsidRPr="00F72633" w14:paraId="7F6516E7" w14:textId="77777777" w:rsidTr="00D5599C">
        <w:trPr>
          <w:trHeight w:val="330"/>
          <w:jc w:val="center"/>
        </w:trPr>
        <w:tc>
          <w:tcPr>
            <w:tcW w:w="3690" w:type="dxa"/>
            <w:gridSpan w:val="2"/>
            <w:tcBorders>
              <w:top w:val="nil"/>
              <w:left w:val="nil"/>
              <w:bottom w:val="nil"/>
              <w:right w:val="nil"/>
            </w:tcBorders>
            <w:shd w:val="clear" w:color="auto" w:fill="auto"/>
            <w:noWrap/>
            <w:vAlign w:val="bottom"/>
            <w:hideMark/>
          </w:tcPr>
          <w:p w14:paraId="0B57C2C5" w14:textId="7E620DC5" w:rsidR="001645C8" w:rsidRPr="00F72633" w:rsidRDefault="00D5599C"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Gastos de funcionamiento</w:t>
            </w:r>
          </w:p>
        </w:tc>
        <w:tc>
          <w:tcPr>
            <w:tcW w:w="1260" w:type="dxa"/>
            <w:tcBorders>
              <w:top w:val="nil"/>
              <w:left w:val="nil"/>
              <w:bottom w:val="nil"/>
              <w:right w:val="nil"/>
            </w:tcBorders>
            <w:shd w:val="clear" w:color="auto" w:fill="auto"/>
            <w:noWrap/>
            <w:vAlign w:val="bottom"/>
            <w:hideMark/>
          </w:tcPr>
          <w:p w14:paraId="40D7C061"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385" w:type="dxa"/>
            <w:tcBorders>
              <w:top w:val="nil"/>
              <w:left w:val="nil"/>
              <w:bottom w:val="nil"/>
              <w:right w:val="nil"/>
            </w:tcBorders>
            <w:shd w:val="clear" w:color="auto" w:fill="auto"/>
            <w:noWrap/>
            <w:vAlign w:val="bottom"/>
            <w:hideMark/>
          </w:tcPr>
          <w:p w14:paraId="2FFC27A6"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7789E00C"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5CBCB2B9" w14:textId="77777777" w:rsidTr="00D5599C">
        <w:trPr>
          <w:trHeight w:val="270"/>
          <w:jc w:val="center"/>
        </w:trPr>
        <w:tc>
          <w:tcPr>
            <w:tcW w:w="400" w:type="dxa"/>
            <w:tcBorders>
              <w:top w:val="nil"/>
              <w:left w:val="nil"/>
              <w:bottom w:val="nil"/>
              <w:right w:val="nil"/>
            </w:tcBorders>
            <w:shd w:val="clear" w:color="auto" w:fill="auto"/>
            <w:noWrap/>
            <w:vAlign w:val="bottom"/>
            <w:hideMark/>
          </w:tcPr>
          <w:p w14:paraId="642CA782"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nil"/>
              <w:left w:val="nil"/>
              <w:bottom w:val="single" w:sz="8" w:space="0" w:color="BFBFBF"/>
              <w:right w:val="nil"/>
            </w:tcBorders>
            <w:shd w:val="clear" w:color="auto" w:fill="auto"/>
            <w:noWrap/>
            <w:vAlign w:val="center"/>
            <w:hideMark/>
          </w:tcPr>
          <w:p w14:paraId="20230F5A" w14:textId="2B0B478B" w:rsidR="001645C8" w:rsidRPr="00F72633" w:rsidRDefault="00D5599C"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gastos de funcionamiento</w:t>
            </w:r>
          </w:p>
        </w:tc>
        <w:tc>
          <w:tcPr>
            <w:tcW w:w="1260" w:type="dxa"/>
            <w:tcBorders>
              <w:top w:val="nil"/>
              <w:left w:val="nil"/>
              <w:bottom w:val="single" w:sz="8" w:space="0" w:color="BFBFBF"/>
              <w:right w:val="nil"/>
            </w:tcBorders>
            <w:shd w:val="clear" w:color="auto" w:fill="auto"/>
            <w:noWrap/>
            <w:vAlign w:val="center"/>
            <w:hideMark/>
          </w:tcPr>
          <w:p w14:paraId="7C10C376" w14:textId="28677917" w:rsidR="001645C8" w:rsidRPr="00F72633" w:rsidRDefault="001645C8" w:rsidP="00101A03">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285 </w:t>
            </w:r>
          </w:p>
        </w:tc>
        <w:tc>
          <w:tcPr>
            <w:tcW w:w="1385" w:type="dxa"/>
            <w:tcBorders>
              <w:top w:val="nil"/>
              <w:left w:val="nil"/>
              <w:bottom w:val="single" w:sz="8" w:space="0" w:color="BFBFBF"/>
              <w:right w:val="nil"/>
            </w:tcBorders>
            <w:shd w:val="clear" w:color="auto" w:fill="auto"/>
            <w:noWrap/>
            <w:vAlign w:val="center"/>
            <w:hideMark/>
          </w:tcPr>
          <w:p w14:paraId="2A2788E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638 </w:t>
            </w:r>
          </w:p>
        </w:tc>
        <w:tc>
          <w:tcPr>
            <w:tcW w:w="2040" w:type="dxa"/>
            <w:tcBorders>
              <w:top w:val="nil"/>
              <w:left w:val="nil"/>
              <w:bottom w:val="single" w:sz="8" w:space="0" w:color="BFBFBF"/>
              <w:right w:val="nil"/>
            </w:tcBorders>
            <w:shd w:val="clear" w:color="auto" w:fill="auto"/>
            <w:noWrap/>
            <w:vAlign w:val="center"/>
            <w:hideMark/>
          </w:tcPr>
          <w:p w14:paraId="49BC6D5F" w14:textId="5B661314"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50</w:t>
            </w:r>
            <w:r w:rsidR="00C70DE2" w:rsidRPr="00F72633">
              <w:rPr>
                <w:rFonts w:ascii="Arial Narrow" w:eastAsia="Times New Roman" w:hAnsi="Arial Narrow"/>
                <w:b/>
                <w:bCs/>
                <w:sz w:val="16"/>
                <w:szCs w:val="16"/>
                <w:lang w:val="es-419" w:eastAsia="en-US"/>
              </w:rPr>
              <w:t> %</w:t>
            </w:r>
          </w:p>
        </w:tc>
      </w:tr>
      <w:tr w:rsidR="001645C8" w:rsidRPr="00F72633" w14:paraId="0BF905FD" w14:textId="77777777" w:rsidTr="00D5599C">
        <w:trPr>
          <w:trHeight w:val="345"/>
          <w:jc w:val="center"/>
        </w:trPr>
        <w:tc>
          <w:tcPr>
            <w:tcW w:w="3690" w:type="dxa"/>
            <w:gridSpan w:val="2"/>
            <w:tcBorders>
              <w:top w:val="nil"/>
              <w:left w:val="nil"/>
              <w:bottom w:val="nil"/>
              <w:right w:val="nil"/>
            </w:tcBorders>
            <w:shd w:val="clear" w:color="auto" w:fill="auto"/>
            <w:noWrap/>
            <w:vAlign w:val="bottom"/>
            <w:hideMark/>
          </w:tcPr>
          <w:p w14:paraId="4E213B8C" w14:textId="02FE35F9" w:rsidR="001645C8" w:rsidRPr="00F72633" w:rsidRDefault="00D5599C" w:rsidP="00F72633">
            <w:pPr>
              <w:keepNext/>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Equipos y suministros</w:t>
            </w:r>
          </w:p>
        </w:tc>
        <w:tc>
          <w:tcPr>
            <w:tcW w:w="1260" w:type="dxa"/>
            <w:tcBorders>
              <w:top w:val="nil"/>
              <w:left w:val="nil"/>
              <w:bottom w:val="nil"/>
              <w:right w:val="nil"/>
            </w:tcBorders>
            <w:shd w:val="clear" w:color="auto" w:fill="auto"/>
            <w:noWrap/>
            <w:vAlign w:val="bottom"/>
            <w:hideMark/>
          </w:tcPr>
          <w:p w14:paraId="6BF6499E" w14:textId="77777777" w:rsidR="001645C8" w:rsidRPr="00F72633" w:rsidRDefault="001645C8" w:rsidP="00F72633">
            <w:pPr>
              <w:keepNext/>
              <w:jc w:val="left"/>
              <w:rPr>
                <w:rFonts w:ascii="Arial Narrow" w:eastAsia="Times New Roman" w:hAnsi="Arial Narrow"/>
                <w:b/>
                <w:bCs/>
                <w:i/>
                <w:iCs/>
                <w:sz w:val="16"/>
                <w:szCs w:val="16"/>
                <w:lang w:val="es-419" w:eastAsia="en-US"/>
              </w:rPr>
            </w:pPr>
          </w:p>
        </w:tc>
        <w:tc>
          <w:tcPr>
            <w:tcW w:w="1385" w:type="dxa"/>
            <w:tcBorders>
              <w:top w:val="nil"/>
              <w:left w:val="nil"/>
              <w:bottom w:val="nil"/>
              <w:right w:val="nil"/>
            </w:tcBorders>
            <w:shd w:val="clear" w:color="auto" w:fill="auto"/>
            <w:noWrap/>
            <w:vAlign w:val="bottom"/>
            <w:hideMark/>
          </w:tcPr>
          <w:p w14:paraId="6273117B" w14:textId="77777777" w:rsidR="001645C8" w:rsidRPr="00F72633" w:rsidRDefault="001645C8" w:rsidP="00F72633">
            <w:pPr>
              <w:keepNext/>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737288DA" w14:textId="77777777" w:rsidR="001645C8" w:rsidRPr="00F72633" w:rsidRDefault="001645C8" w:rsidP="00F72633">
            <w:pPr>
              <w:keepNext/>
              <w:jc w:val="left"/>
              <w:rPr>
                <w:rFonts w:ascii="Times New Roman" w:eastAsia="Times New Roman" w:hAnsi="Times New Roman" w:cs="Times New Roman"/>
                <w:sz w:val="16"/>
                <w:szCs w:val="16"/>
                <w:lang w:val="es-419" w:eastAsia="en-US"/>
              </w:rPr>
            </w:pPr>
          </w:p>
        </w:tc>
      </w:tr>
      <w:tr w:rsidR="001645C8" w:rsidRPr="00F72633" w14:paraId="78437BDA"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6B6778E0" w14:textId="77777777" w:rsidR="001645C8" w:rsidRPr="00F72633" w:rsidRDefault="001645C8" w:rsidP="00F72633">
            <w:pPr>
              <w:keepNext/>
              <w:jc w:val="right"/>
              <w:rPr>
                <w:rFonts w:ascii="Times New Roman" w:eastAsia="Times New Roman" w:hAnsi="Times New Roman" w:cs="Times New Roman"/>
                <w:sz w:val="16"/>
                <w:szCs w:val="16"/>
                <w:lang w:val="es-419" w:eastAsia="en-US"/>
              </w:rPr>
            </w:pPr>
          </w:p>
        </w:tc>
        <w:tc>
          <w:tcPr>
            <w:tcW w:w="3290" w:type="dxa"/>
            <w:tcBorders>
              <w:top w:val="nil"/>
              <w:left w:val="nil"/>
              <w:bottom w:val="nil"/>
              <w:right w:val="nil"/>
            </w:tcBorders>
            <w:shd w:val="clear" w:color="auto" w:fill="auto"/>
            <w:noWrap/>
            <w:vAlign w:val="bottom"/>
            <w:hideMark/>
          </w:tcPr>
          <w:p w14:paraId="7B950B87" w14:textId="2E875954" w:rsidR="001645C8" w:rsidRPr="00F72633" w:rsidRDefault="00D5599C" w:rsidP="00F72633">
            <w:pPr>
              <w:keepNext/>
              <w:jc w:val="left"/>
              <w:rPr>
                <w:rFonts w:ascii="Arial Narrow" w:eastAsia="Times New Roman" w:hAnsi="Arial Narrow"/>
                <w:sz w:val="16"/>
                <w:szCs w:val="16"/>
                <w:lang w:val="es-419" w:eastAsia="en-US"/>
              </w:rPr>
            </w:pPr>
            <w:r w:rsidRPr="00F72633">
              <w:rPr>
                <w:rFonts w:ascii="Arial Narrow" w:hAnsi="Arial Narrow"/>
                <w:sz w:val="16"/>
                <w:lang w:val="es-419"/>
              </w:rPr>
              <w:t>Mobiliario y equipos</w:t>
            </w:r>
          </w:p>
        </w:tc>
        <w:tc>
          <w:tcPr>
            <w:tcW w:w="1260" w:type="dxa"/>
            <w:tcBorders>
              <w:top w:val="nil"/>
              <w:left w:val="nil"/>
              <w:bottom w:val="nil"/>
              <w:right w:val="nil"/>
            </w:tcBorders>
            <w:shd w:val="clear" w:color="auto" w:fill="auto"/>
            <w:noWrap/>
            <w:vAlign w:val="bottom"/>
            <w:hideMark/>
          </w:tcPr>
          <w:p w14:paraId="1FE83873" w14:textId="77777777" w:rsidR="001645C8" w:rsidRPr="00F72633" w:rsidRDefault="001645C8" w:rsidP="00F72633">
            <w:pPr>
              <w:keepNext/>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 </w:t>
            </w:r>
          </w:p>
        </w:tc>
        <w:tc>
          <w:tcPr>
            <w:tcW w:w="1385" w:type="dxa"/>
            <w:tcBorders>
              <w:top w:val="nil"/>
              <w:left w:val="nil"/>
              <w:bottom w:val="nil"/>
              <w:right w:val="nil"/>
            </w:tcBorders>
            <w:shd w:val="clear" w:color="auto" w:fill="auto"/>
            <w:noWrap/>
            <w:vAlign w:val="bottom"/>
            <w:hideMark/>
          </w:tcPr>
          <w:p w14:paraId="2ACA57BD" w14:textId="77777777" w:rsidR="001645C8" w:rsidRPr="00F72633" w:rsidRDefault="001645C8" w:rsidP="00F72633">
            <w:pPr>
              <w:keepNext/>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2040" w:type="dxa"/>
            <w:tcBorders>
              <w:top w:val="nil"/>
              <w:left w:val="nil"/>
              <w:bottom w:val="nil"/>
              <w:right w:val="nil"/>
            </w:tcBorders>
            <w:shd w:val="clear" w:color="auto" w:fill="auto"/>
            <w:noWrap/>
            <w:vAlign w:val="bottom"/>
            <w:hideMark/>
          </w:tcPr>
          <w:p w14:paraId="2F94BDD6" w14:textId="77777777" w:rsidR="001645C8" w:rsidRPr="00F72633" w:rsidRDefault="001645C8" w:rsidP="00F72633">
            <w:pPr>
              <w:keepNext/>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r>
      <w:tr w:rsidR="001645C8" w:rsidRPr="00F72633" w14:paraId="17CEE7D4" w14:textId="77777777" w:rsidTr="00D5599C">
        <w:trPr>
          <w:trHeight w:val="255"/>
          <w:jc w:val="center"/>
        </w:trPr>
        <w:tc>
          <w:tcPr>
            <w:tcW w:w="400" w:type="dxa"/>
            <w:tcBorders>
              <w:top w:val="nil"/>
              <w:left w:val="nil"/>
              <w:bottom w:val="nil"/>
              <w:right w:val="nil"/>
            </w:tcBorders>
            <w:shd w:val="clear" w:color="auto" w:fill="auto"/>
            <w:noWrap/>
            <w:vAlign w:val="bottom"/>
            <w:hideMark/>
          </w:tcPr>
          <w:p w14:paraId="4FF3547A"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nil"/>
              <w:left w:val="nil"/>
              <w:bottom w:val="nil"/>
              <w:right w:val="nil"/>
            </w:tcBorders>
            <w:shd w:val="clear" w:color="auto" w:fill="auto"/>
            <w:noWrap/>
            <w:vAlign w:val="bottom"/>
            <w:hideMark/>
          </w:tcPr>
          <w:p w14:paraId="44FCB6F1" w14:textId="6CCCDE04" w:rsidR="001645C8" w:rsidRPr="00F72633" w:rsidRDefault="00D5599C" w:rsidP="00F90BBB">
            <w:pPr>
              <w:jc w:val="left"/>
              <w:rPr>
                <w:rFonts w:ascii="Arial Narrow" w:eastAsia="Times New Roman" w:hAnsi="Arial Narrow"/>
                <w:sz w:val="16"/>
                <w:szCs w:val="16"/>
                <w:lang w:val="es-419" w:eastAsia="en-US"/>
              </w:rPr>
            </w:pPr>
            <w:r w:rsidRPr="00F72633">
              <w:rPr>
                <w:rFonts w:ascii="Arial Narrow" w:hAnsi="Arial Narrow"/>
                <w:sz w:val="16"/>
                <w:lang w:val="es-419"/>
              </w:rPr>
              <w:t>Suministros y material</w:t>
            </w:r>
          </w:p>
        </w:tc>
        <w:tc>
          <w:tcPr>
            <w:tcW w:w="1260" w:type="dxa"/>
            <w:tcBorders>
              <w:top w:val="nil"/>
              <w:left w:val="nil"/>
              <w:bottom w:val="nil"/>
              <w:right w:val="nil"/>
            </w:tcBorders>
            <w:shd w:val="clear" w:color="auto" w:fill="auto"/>
            <w:noWrap/>
            <w:vAlign w:val="bottom"/>
            <w:hideMark/>
          </w:tcPr>
          <w:p w14:paraId="2E03279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 </w:t>
            </w:r>
          </w:p>
        </w:tc>
        <w:tc>
          <w:tcPr>
            <w:tcW w:w="1385" w:type="dxa"/>
            <w:tcBorders>
              <w:top w:val="nil"/>
              <w:left w:val="nil"/>
              <w:bottom w:val="nil"/>
              <w:right w:val="nil"/>
            </w:tcBorders>
            <w:shd w:val="clear" w:color="auto" w:fill="auto"/>
            <w:noWrap/>
            <w:vAlign w:val="bottom"/>
            <w:hideMark/>
          </w:tcPr>
          <w:p w14:paraId="4A12EF93"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0 </w:t>
            </w:r>
          </w:p>
        </w:tc>
        <w:tc>
          <w:tcPr>
            <w:tcW w:w="2040" w:type="dxa"/>
            <w:tcBorders>
              <w:top w:val="nil"/>
              <w:left w:val="nil"/>
              <w:bottom w:val="nil"/>
              <w:right w:val="nil"/>
            </w:tcBorders>
            <w:shd w:val="clear" w:color="auto" w:fill="auto"/>
            <w:noWrap/>
            <w:vAlign w:val="bottom"/>
            <w:hideMark/>
          </w:tcPr>
          <w:p w14:paraId="537DAFD2" w14:textId="2C8C3BCD"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5</w:t>
            </w:r>
            <w:r w:rsidR="00C70DE2" w:rsidRPr="00F72633">
              <w:rPr>
                <w:rFonts w:ascii="Arial Narrow" w:eastAsia="Times New Roman" w:hAnsi="Arial Narrow"/>
                <w:sz w:val="16"/>
                <w:szCs w:val="16"/>
                <w:lang w:val="es-419" w:eastAsia="en-US"/>
              </w:rPr>
              <w:t> %</w:t>
            </w:r>
          </w:p>
        </w:tc>
      </w:tr>
      <w:tr w:rsidR="001645C8" w:rsidRPr="00F72633" w14:paraId="418E8E3B" w14:textId="77777777" w:rsidTr="00D5599C">
        <w:trPr>
          <w:trHeight w:val="285"/>
          <w:jc w:val="center"/>
        </w:trPr>
        <w:tc>
          <w:tcPr>
            <w:tcW w:w="400" w:type="dxa"/>
            <w:tcBorders>
              <w:top w:val="nil"/>
              <w:left w:val="nil"/>
              <w:bottom w:val="nil"/>
              <w:right w:val="nil"/>
            </w:tcBorders>
            <w:shd w:val="clear" w:color="auto" w:fill="auto"/>
            <w:noWrap/>
            <w:vAlign w:val="bottom"/>
            <w:hideMark/>
          </w:tcPr>
          <w:p w14:paraId="77A07000" w14:textId="77777777" w:rsidR="001645C8" w:rsidRPr="00F72633" w:rsidRDefault="001645C8" w:rsidP="00F90BBB">
            <w:pPr>
              <w:jc w:val="right"/>
              <w:rPr>
                <w:rFonts w:ascii="Arial Narrow" w:eastAsia="Times New Roman" w:hAnsi="Arial Narrow"/>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60F5B4D9" w14:textId="3BC04DC9" w:rsidR="001645C8" w:rsidRPr="00F72633" w:rsidRDefault="00D5599C"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equipos y suministros</w:t>
            </w:r>
          </w:p>
        </w:tc>
        <w:tc>
          <w:tcPr>
            <w:tcW w:w="1260" w:type="dxa"/>
            <w:tcBorders>
              <w:top w:val="single" w:sz="4" w:space="0" w:color="C7CFD8"/>
              <w:left w:val="nil"/>
              <w:bottom w:val="single" w:sz="12" w:space="0" w:color="C7CFD8"/>
              <w:right w:val="nil"/>
            </w:tcBorders>
            <w:shd w:val="clear" w:color="auto" w:fill="auto"/>
            <w:noWrap/>
            <w:vAlign w:val="center"/>
            <w:hideMark/>
          </w:tcPr>
          <w:p w14:paraId="4D27C49E"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10 </w:t>
            </w:r>
          </w:p>
        </w:tc>
        <w:tc>
          <w:tcPr>
            <w:tcW w:w="1385" w:type="dxa"/>
            <w:tcBorders>
              <w:top w:val="single" w:sz="4" w:space="0" w:color="C7CFD8"/>
              <w:left w:val="nil"/>
              <w:bottom w:val="single" w:sz="12" w:space="0" w:color="C7CFD8"/>
              <w:right w:val="nil"/>
            </w:tcBorders>
            <w:shd w:val="clear" w:color="auto" w:fill="auto"/>
            <w:noWrap/>
            <w:vAlign w:val="center"/>
            <w:hideMark/>
          </w:tcPr>
          <w:p w14:paraId="09AECECC"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0 </w:t>
            </w:r>
          </w:p>
        </w:tc>
        <w:tc>
          <w:tcPr>
            <w:tcW w:w="2040" w:type="dxa"/>
            <w:tcBorders>
              <w:top w:val="single" w:sz="4" w:space="0" w:color="C7CFD8"/>
              <w:left w:val="nil"/>
              <w:bottom w:val="single" w:sz="12" w:space="0" w:color="C7CFD8"/>
              <w:right w:val="nil"/>
            </w:tcBorders>
            <w:shd w:val="clear" w:color="auto" w:fill="auto"/>
            <w:noWrap/>
            <w:vAlign w:val="center"/>
            <w:hideMark/>
          </w:tcPr>
          <w:p w14:paraId="12402315" w14:textId="5A519190"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3</w:t>
            </w:r>
            <w:r w:rsidR="00C70DE2" w:rsidRPr="00F72633">
              <w:rPr>
                <w:rFonts w:ascii="Arial Narrow" w:eastAsia="Times New Roman" w:hAnsi="Arial Narrow"/>
                <w:b/>
                <w:bCs/>
                <w:sz w:val="16"/>
                <w:szCs w:val="16"/>
                <w:lang w:val="es-419" w:eastAsia="en-US"/>
              </w:rPr>
              <w:t> %</w:t>
            </w:r>
          </w:p>
        </w:tc>
      </w:tr>
      <w:tr w:rsidR="001645C8" w:rsidRPr="00F72633" w14:paraId="44D54719" w14:textId="77777777" w:rsidTr="00D5599C">
        <w:trPr>
          <w:trHeight w:val="165"/>
          <w:jc w:val="center"/>
        </w:trPr>
        <w:tc>
          <w:tcPr>
            <w:tcW w:w="400" w:type="dxa"/>
            <w:tcBorders>
              <w:top w:val="nil"/>
              <w:left w:val="nil"/>
              <w:bottom w:val="nil"/>
              <w:right w:val="nil"/>
            </w:tcBorders>
            <w:shd w:val="clear" w:color="auto" w:fill="auto"/>
            <w:noWrap/>
            <w:vAlign w:val="bottom"/>
            <w:hideMark/>
          </w:tcPr>
          <w:p w14:paraId="14F350B7" w14:textId="77777777" w:rsidR="001645C8" w:rsidRPr="00F72633" w:rsidRDefault="001645C8" w:rsidP="00F90BBB">
            <w:pPr>
              <w:jc w:val="right"/>
              <w:rPr>
                <w:rFonts w:ascii="Arial Narrow" w:eastAsia="Times New Roman" w:hAnsi="Arial Narrow"/>
                <w:b/>
                <w:bCs/>
                <w:sz w:val="16"/>
                <w:szCs w:val="16"/>
                <w:lang w:val="es-419" w:eastAsia="en-US"/>
              </w:rPr>
            </w:pPr>
          </w:p>
        </w:tc>
        <w:tc>
          <w:tcPr>
            <w:tcW w:w="3290" w:type="dxa"/>
            <w:tcBorders>
              <w:top w:val="nil"/>
              <w:left w:val="nil"/>
              <w:bottom w:val="nil"/>
              <w:right w:val="nil"/>
            </w:tcBorders>
            <w:shd w:val="clear" w:color="auto" w:fill="auto"/>
            <w:noWrap/>
            <w:vAlign w:val="center"/>
            <w:hideMark/>
          </w:tcPr>
          <w:p w14:paraId="556C49CE"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260" w:type="dxa"/>
            <w:tcBorders>
              <w:top w:val="nil"/>
              <w:left w:val="nil"/>
              <w:bottom w:val="nil"/>
              <w:right w:val="nil"/>
            </w:tcBorders>
            <w:shd w:val="clear" w:color="auto" w:fill="auto"/>
            <w:noWrap/>
            <w:vAlign w:val="center"/>
            <w:hideMark/>
          </w:tcPr>
          <w:p w14:paraId="36584F0F"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385" w:type="dxa"/>
            <w:tcBorders>
              <w:top w:val="nil"/>
              <w:left w:val="nil"/>
              <w:bottom w:val="nil"/>
              <w:right w:val="nil"/>
            </w:tcBorders>
            <w:shd w:val="clear" w:color="auto" w:fill="auto"/>
            <w:noWrap/>
            <w:vAlign w:val="center"/>
            <w:hideMark/>
          </w:tcPr>
          <w:p w14:paraId="74DDC983"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center"/>
            <w:hideMark/>
          </w:tcPr>
          <w:p w14:paraId="7B88A956" w14:textId="77777777" w:rsidR="001645C8" w:rsidRPr="00F72633" w:rsidRDefault="001645C8" w:rsidP="00F90BBB">
            <w:pPr>
              <w:ind w:firstLineChars="100" w:firstLine="160"/>
              <w:jc w:val="left"/>
              <w:rPr>
                <w:rFonts w:ascii="Times New Roman" w:eastAsia="Times New Roman" w:hAnsi="Times New Roman" w:cs="Times New Roman"/>
                <w:sz w:val="16"/>
                <w:szCs w:val="16"/>
                <w:lang w:val="es-419" w:eastAsia="en-US"/>
              </w:rPr>
            </w:pPr>
          </w:p>
        </w:tc>
      </w:tr>
      <w:tr w:rsidR="001645C8" w:rsidRPr="00F72633" w14:paraId="4BAE7B81" w14:textId="77777777" w:rsidTr="00D5599C">
        <w:trPr>
          <w:trHeight w:val="390"/>
          <w:jc w:val="center"/>
        </w:trPr>
        <w:tc>
          <w:tcPr>
            <w:tcW w:w="400" w:type="dxa"/>
            <w:tcBorders>
              <w:top w:val="nil"/>
              <w:left w:val="nil"/>
              <w:bottom w:val="nil"/>
              <w:right w:val="nil"/>
            </w:tcBorders>
            <w:shd w:val="clear" w:color="auto" w:fill="auto"/>
            <w:noWrap/>
            <w:vAlign w:val="bottom"/>
            <w:hideMark/>
          </w:tcPr>
          <w:p w14:paraId="4515517D"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3290" w:type="dxa"/>
            <w:tcBorders>
              <w:top w:val="single" w:sz="4" w:space="0" w:color="C7CFD8"/>
              <w:left w:val="nil"/>
              <w:bottom w:val="single" w:sz="12" w:space="0" w:color="C7CFD8"/>
              <w:right w:val="nil"/>
            </w:tcBorders>
            <w:shd w:val="clear" w:color="auto" w:fill="auto"/>
            <w:noWrap/>
            <w:vAlign w:val="center"/>
            <w:hideMark/>
          </w:tcPr>
          <w:p w14:paraId="5DE40638" w14:textId="5F251314"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Total de recursos no relativos a personal</w:t>
            </w:r>
          </w:p>
        </w:tc>
        <w:tc>
          <w:tcPr>
            <w:tcW w:w="1260" w:type="dxa"/>
            <w:tcBorders>
              <w:top w:val="single" w:sz="4" w:space="0" w:color="C7CFD8"/>
              <w:left w:val="nil"/>
              <w:bottom w:val="single" w:sz="12" w:space="0" w:color="C7CFD8"/>
              <w:right w:val="nil"/>
            </w:tcBorders>
            <w:shd w:val="clear" w:color="auto" w:fill="auto"/>
            <w:noWrap/>
            <w:vAlign w:val="center"/>
            <w:hideMark/>
          </w:tcPr>
          <w:p w14:paraId="0FCF7C12" w14:textId="3ADE30CF" w:rsidR="001645C8" w:rsidRPr="00F72633" w:rsidRDefault="001645C8" w:rsidP="00101A03">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2</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316 </w:t>
            </w:r>
          </w:p>
        </w:tc>
        <w:tc>
          <w:tcPr>
            <w:tcW w:w="1385" w:type="dxa"/>
            <w:tcBorders>
              <w:top w:val="single" w:sz="4" w:space="0" w:color="C7CFD8"/>
              <w:left w:val="nil"/>
              <w:bottom w:val="single" w:sz="12" w:space="0" w:color="C7CFD8"/>
              <w:right w:val="nil"/>
            </w:tcBorders>
            <w:shd w:val="clear" w:color="auto" w:fill="auto"/>
            <w:noWrap/>
            <w:vAlign w:val="center"/>
            <w:hideMark/>
          </w:tcPr>
          <w:p w14:paraId="25D77D55" w14:textId="5EA9E60C" w:rsidR="001645C8" w:rsidRPr="00F72633" w:rsidRDefault="001645C8" w:rsidP="00101A03">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275 </w:t>
            </w:r>
          </w:p>
        </w:tc>
        <w:tc>
          <w:tcPr>
            <w:tcW w:w="2040" w:type="dxa"/>
            <w:tcBorders>
              <w:top w:val="single" w:sz="4" w:space="0" w:color="C7CFD8"/>
              <w:left w:val="nil"/>
              <w:bottom w:val="single" w:sz="12" w:space="0" w:color="C7CFD8"/>
              <w:right w:val="nil"/>
            </w:tcBorders>
            <w:shd w:val="clear" w:color="auto" w:fill="auto"/>
            <w:noWrap/>
            <w:vAlign w:val="center"/>
            <w:hideMark/>
          </w:tcPr>
          <w:p w14:paraId="56EFE198" w14:textId="71D95451"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55</w:t>
            </w:r>
            <w:r w:rsidR="00C70DE2" w:rsidRPr="00F72633">
              <w:rPr>
                <w:rFonts w:ascii="Arial Narrow" w:eastAsia="Times New Roman" w:hAnsi="Arial Narrow"/>
                <w:b/>
                <w:bCs/>
                <w:sz w:val="16"/>
                <w:szCs w:val="16"/>
                <w:lang w:val="es-419" w:eastAsia="en-US"/>
              </w:rPr>
              <w:t> %</w:t>
            </w:r>
          </w:p>
        </w:tc>
      </w:tr>
      <w:tr w:rsidR="001645C8" w:rsidRPr="00F72633" w14:paraId="078504E5" w14:textId="77777777" w:rsidTr="00D5599C">
        <w:trPr>
          <w:trHeight w:val="135"/>
          <w:jc w:val="center"/>
        </w:trPr>
        <w:tc>
          <w:tcPr>
            <w:tcW w:w="400" w:type="dxa"/>
            <w:tcBorders>
              <w:top w:val="nil"/>
              <w:left w:val="nil"/>
              <w:bottom w:val="nil"/>
              <w:right w:val="nil"/>
            </w:tcBorders>
            <w:shd w:val="clear" w:color="auto" w:fill="auto"/>
            <w:noWrap/>
            <w:vAlign w:val="bottom"/>
            <w:hideMark/>
          </w:tcPr>
          <w:p w14:paraId="7FC4E44B" w14:textId="77777777" w:rsidR="001645C8" w:rsidRPr="00F72633" w:rsidRDefault="001645C8" w:rsidP="00F90BBB">
            <w:pPr>
              <w:jc w:val="right"/>
              <w:rPr>
                <w:rFonts w:ascii="Arial Narrow" w:eastAsia="Times New Roman" w:hAnsi="Arial Narrow"/>
                <w:b/>
                <w:bCs/>
                <w:sz w:val="16"/>
                <w:szCs w:val="16"/>
                <w:lang w:val="es-419" w:eastAsia="en-US"/>
              </w:rPr>
            </w:pPr>
          </w:p>
        </w:tc>
        <w:tc>
          <w:tcPr>
            <w:tcW w:w="3290" w:type="dxa"/>
            <w:tcBorders>
              <w:top w:val="nil"/>
              <w:left w:val="nil"/>
              <w:bottom w:val="nil"/>
              <w:right w:val="nil"/>
            </w:tcBorders>
            <w:shd w:val="clear" w:color="auto" w:fill="auto"/>
            <w:noWrap/>
            <w:vAlign w:val="bottom"/>
            <w:hideMark/>
          </w:tcPr>
          <w:p w14:paraId="3F7708AF"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260" w:type="dxa"/>
            <w:tcBorders>
              <w:top w:val="nil"/>
              <w:left w:val="nil"/>
              <w:bottom w:val="nil"/>
              <w:right w:val="nil"/>
            </w:tcBorders>
            <w:shd w:val="clear" w:color="auto" w:fill="auto"/>
            <w:noWrap/>
            <w:vAlign w:val="bottom"/>
            <w:hideMark/>
          </w:tcPr>
          <w:p w14:paraId="5494E9BB"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385" w:type="dxa"/>
            <w:tcBorders>
              <w:top w:val="nil"/>
              <w:left w:val="nil"/>
              <w:bottom w:val="nil"/>
              <w:right w:val="nil"/>
            </w:tcBorders>
            <w:shd w:val="clear" w:color="auto" w:fill="auto"/>
            <w:noWrap/>
            <w:vAlign w:val="bottom"/>
            <w:hideMark/>
          </w:tcPr>
          <w:p w14:paraId="6FD781B3" w14:textId="77777777" w:rsidR="001645C8" w:rsidRPr="00F72633" w:rsidRDefault="001645C8" w:rsidP="00F90BBB">
            <w:pPr>
              <w:jc w:val="righ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399796E8"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1645C8" w:rsidRPr="00F72633" w14:paraId="53A64764" w14:textId="77777777" w:rsidTr="00D5599C">
        <w:trPr>
          <w:trHeight w:val="270"/>
          <w:jc w:val="center"/>
        </w:trPr>
        <w:tc>
          <w:tcPr>
            <w:tcW w:w="400" w:type="dxa"/>
            <w:tcBorders>
              <w:top w:val="nil"/>
              <w:left w:val="nil"/>
              <w:bottom w:val="single" w:sz="12" w:space="0" w:color="C7CFD8"/>
              <w:right w:val="nil"/>
            </w:tcBorders>
            <w:shd w:val="clear" w:color="auto" w:fill="auto"/>
            <w:noWrap/>
            <w:vAlign w:val="center"/>
            <w:hideMark/>
          </w:tcPr>
          <w:p w14:paraId="15198B07"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3290" w:type="dxa"/>
            <w:tcBorders>
              <w:top w:val="nil"/>
              <w:left w:val="nil"/>
              <w:bottom w:val="single" w:sz="12" w:space="0" w:color="C7CFD8"/>
              <w:right w:val="nil"/>
            </w:tcBorders>
            <w:shd w:val="clear" w:color="auto" w:fill="auto"/>
            <w:noWrap/>
            <w:vAlign w:val="center"/>
            <w:hideMark/>
          </w:tcPr>
          <w:p w14:paraId="0FF74A1D" w14:textId="24ABCEBA" w:rsidR="001645C8" w:rsidRPr="00F72633" w:rsidRDefault="00D5599C"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TOTAL</w:t>
            </w:r>
          </w:p>
        </w:tc>
        <w:tc>
          <w:tcPr>
            <w:tcW w:w="1260" w:type="dxa"/>
            <w:tcBorders>
              <w:top w:val="nil"/>
              <w:left w:val="nil"/>
              <w:bottom w:val="single" w:sz="12" w:space="0" w:color="C7CFD8"/>
              <w:right w:val="nil"/>
            </w:tcBorders>
            <w:shd w:val="clear" w:color="auto" w:fill="auto"/>
            <w:noWrap/>
            <w:vAlign w:val="center"/>
            <w:hideMark/>
          </w:tcPr>
          <w:p w14:paraId="1CE2E15A" w14:textId="2AE05C6F" w:rsidR="001645C8" w:rsidRPr="00F72633" w:rsidRDefault="001645C8" w:rsidP="00101A03">
            <w:pPr>
              <w:ind w:firstLineChars="100" w:firstLine="160"/>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7</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635 </w:t>
            </w:r>
          </w:p>
        </w:tc>
        <w:tc>
          <w:tcPr>
            <w:tcW w:w="1385" w:type="dxa"/>
            <w:tcBorders>
              <w:top w:val="nil"/>
              <w:left w:val="nil"/>
              <w:bottom w:val="single" w:sz="12" w:space="0" w:color="C7CFD8"/>
              <w:right w:val="nil"/>
            </w:tcBorders>
            <w:shd w:val="clear" w:color="auto" w:fill="auto"/>
            <w:noWrap/>
            <w:vAlign w:val="center"/>
            <w:hideMark/>
          </w:tcPr>
          <w:p w14:paraId="46EBF09E" w14:textId="1F39957D" w:rsidR="001645C8" w:rsidRPr="00F72633" w:rsidRDefault="001645C8" w:rsidP="00101A03">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3</w:t>
            </w:r>
            <w:r w:rsidR="00C34379"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575 </w:t>
            </w:r>
          </w:p>
        </w:tc>
        <w:tc>
          <w:tcPr>
            <w:tcW w:w="2040" w:type="dxa"/>
            <w:tcBorders>
              <w:top w:val="nil"/>
              <w:left w:val="nil"/>
              <w:bottom w:val="single" w:sz="12" w:space="0" w:color="C7CFD8"/>
              <w:right w:val="nil"/>
            </w:tcBorders>
            <w:shd w:val="clear" w:color="auto" w:fill="auto"/>
            <w:noWrap/>
            <w:vAlign w:val="center"/>
            <w:hideMark/>
          </w:tcPr>
          <w:p w14:paraId="647ABCB5" w14:textId="022AC261"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47</w:t>
            </w:r>
            <w:r w:rsidR="00C70DE2" w:rsidRPr="00F72633">
              <w:rPr>
                <w:rFonts w:ascii="Arial Narrow" w:eastAsia="Times New Roman" w:hAnsi="Arial Narrow"/>
                <w:b/>
                <w:bCs/>
                <w:sz w:val="16"/>
                <w:szCs w:val="16"/>
                <w:lang w:val="es-419" w:eastAsia="en-US"/>
              </w:rPr>
              <w:t> %</w:t>
            </w:r>
          </w:p>
        </w:tc>
      </w:tr>
      <w:tr w:rsidR="001645C8" w:rsidRPr="00F72633" w14:paraId="418557CC" w14:textId="77777777" w:rsidTr="00D5599C">
        <w:trPr>
          <w:trHeight w:hRule="exact" w:val="20"/>
          <w:jc w:val="center"/>
        </w:trPr>
        <w:tc>
          <w:tcPr>
            <w:tcW w:w="400" w:type="dxa"/>
            <w:tcBorders>
              <w:top w:val="nil"/>
              <w:left w:val="nil"/>
              <w:bottom w:val="nil"/>
              <w:right w:val="nil"/>
            </w:tcBorders>
            <w:shd w:val="clear" w:color="auto" w:fill="auto"/>
            <w:noWrap/>
            <w:vAlign w:val="bottom"/>
            <w:hideMark/>
          </w:tcPr>
          <w:p w14:paraId="2D0DA6CA" w14:textId="77777777" w:rsidR="001645C8" w:rsidRPr="00F72633" w:rsidRDefault="001645C8" w:rsidP="00F90BBB">
            <w:pPr>
              <w:jc w:val="right"/>
              <w:rPr>
                <w:rFonts w:ascii="Arial Narrow" w:eastAsia="Times New Roman" w:hAnsi="Arial Narrow"/>
                <w:b/>
                <w:bCs/>
                <w:sz w:val="16"/>
                <w:szCs w:val="16"/>
                <w:lang w:val="es-419" w:eastAsia="en-US"/>
              </w:rPr>
            </w:pPr>
          </w:p>
        </w:tc>
        <w:tc>
          <w:tcPr>
            <w:tcW w:w="3290" w:type="dxa"/>
            <w:tcBorders>
              <w:top w:val="nil"/>
              <w:left w:val="nil"/>
              <w:bottom w:val="nil"/>
              <w:right w:val="nil"/>
            </w:tcBorders>
            <w:shd w:val="clear" w:color="auto" w:fill="auto"/>
            <w:noWrap/>
            <w:vAlign w:val="bottom"/>
            <w:hideMark/>
          </w:tcPr>
          <w:p w14:paraId="7FC45697"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260" w:type="dxa"/>
            <w:tcBorders>
              <w:top w:val="nil"/>
              <w:left w:val="nil"/>
              <w:bottom w:val="nil"/>
              <w:right w:val="nil"/>
            </w:tcBorders>
            <w:shd w:val="clear" w:color="auto" w:fill="auto"/>
            <w:noWrap/>
            <w:vAlign w:val="bottom"/>
            <w:hideMark/>
          </w:tcPr>
          <w:p w14:paraId="2A3ADC70"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1385" w:type="dxa"/>
            <w:tcBorders>
              <w:top w:val="nil"/>
              <w:left w:val="nil"/>
              <w:bottom w:val="nil"/>
              <w:right w:val="nil"/>
            </w:tcBorders>
            <w:shd w:val="clear" w:color="auto" w:fill="auto"/>
            <w:noWrap/>
            <w:vAlign w:val="bottom"/>
            <w:hideMark/>
          </w:tcPr>
          <w:p w14:paraId="2F2778A6"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c>
          <w:tcPr>
            <w:tcW w:w="2040" w:type="dxa"/>
            <w:tcBorders>
              <w:top w:val="nil"/>
              <w:left w:val="nil"/>
              <w:bottom w:val="nil"/>
              <w:right w:val="nil"/>
            </w:tcBorders>
            <w:shd w:val="clear" w:color="auto" w:fill="auto"/>
            <w:noWrap/>
            <w:vAlign w:val="bottom"/>
            <w:hideMark/>
          </w:tcPr>
          <w:p w14:paraId="184C487B" w14:textId="77777777" w:rsidR="001645C8" w:rsidRPr="00F72633" w:rsidRDefault="001645C8" w:rsidP="00F90BBB">
            <w:pPr>
              <w:jc w:val="left"/>
              <w:rPr>
                <w:rFonts w:ascii="Times New Roman" w:eastAsia="Times New Roman" w:hAnsi="Times New Roman" w:cs="Times New Roman"/>
                <w:sz w:val="16"/>
                <w:szCs w:val="16"/>
                <w:lang w:val="es-419" w:eastAsia="en-US"/>
              </w:rPr>
            </w:pPr>
          </w:p>
        </w:tc>
      </w:tr>
      <w:tr w:rsidR="00F72633" w:rsidRPr="00F72633" w14:paraId="26F57654" w14:textId="77777777" w:rsidTr="000D20D3">
        <w:trPr>
          <w:trHeight w:val="270"/>
          <w:jc w:val="center"/>
        </w:trPr>
        <w:tc>
          <w:tcPr>
            <w:tcW w:w="8375" w:type="dxa"/>
            <w:gridSpan w:val="5"/>
            <w:tcBorders>
              <w:top w:val="nil"/>
              <w:left w:val="nil"/>
              <w:bottom w:val="nil"/>
              <w:right w:val="nil"/>
            </w:tcBorders>
            <w:shd w:val="clear" w:color="auto" w:fill="auto"/>
            <w:noWrap/>
            <w:vAlign w:val="bottom"/>
            <w:hideMark/>
          </w:tcPr>
          <w:p w14:paraId="23C3BB4E" w14:textId="0168073D" w:rsidR="00F72633" w:rsidRPr="00F72633" w:rsidRDefault="00F72633" w:rsidP="00F90BBB">
            <w:pPr>
              <w:jc w:val="left"/>
              <w:rPr>
                <w:rFonts w:ascii="Times New Roman" w:eastAsia="Times New Roman" w:hAnsi="Times New Roman" w:cs="Times New Roman"/>
                <w:sz w:val="16"/>
                <w:szCs w:val="16"/>
                <w:lang w:val="es-419" w:eastAsia="en-US"/>
              </w:rPr>
            </w:pPr>
            <w:r w:rsidRPr="00F72633">
              <w:rPr>
                <w:rFonts w:ascii="Arial Narrow" w:eastAsia="Times New Roman" w:hAnsi="Arial Narrow"/>
                <w:i/>
                <w:iCs/>
                <w:sz w:val="16"/>
                <w:szCs w:val="16"/>
                <w:lang w:val="es-419" w:eastAsia="en-US"/>
              </w:rPr>
              <w:t>Nota: La cifra real de 2022 en concepto de suministros y material asciende a 267 francos suizos.</w:t>
            </w:r>
          </w:p>
        </w:tc>
      </w:tr>
    </w:tbl>
    <w:p w14:paraId="31C949EF" w14:textId="77777777" w:rsidR="001645C8" w:rsidRPr="00F72633" w:rsidRDefault="001645C8" w:rsidP="003E3C19">
      <w:pPr>
        <w:autoSpaceDE w:val="0"/>
        <w:autoSpaceDN w:val="0"/>
        <w:adjustRightInd w:val="0"/>
        <w:jc w:val="center"/>
        <w:rPr>
          <w:sz w:val="18"/>
          <w:szCs w:val="18"/>
          <w:lang w:val="es-419"/>
        </w:rPr>
      </w:pPr>
    </w:p>
    <w:p w14:paraId="1226325D" w14:textId="77777777" w:rsidR="001645C8" w:rsidRPr="00F72633" w:rsidRDefault="001645C8" w:rsidP="003E3C19">
      <w:pPr>
        <w:autoSpaceDE w:val="0"/>
        <w:autoSpaceDN w:val="0"/>
        <w:adjustRightInd w:val="0"/>
        <w:jc w:val="center"/>
        <w:rPr>
          <w:sz w:val="18"/>
          <w:szCs w:val="18"/>
          <w:lang w:val="es-419"/>
        </w:rPr>
      </w:pPr>
    </w:p>
    <w:p w14:paraId="32B8523A" w14:textId="77777777" w:rsidR="00965647" w:rsidRDefault="00965647">
      <w:pPr>
        <w:jc w:val="left"/>
        <w:rPr>
          <w:b/>
          <w:color w:val="26724C" w:themeColor="accent1" w:themeShade="BF"/>
          <w:sz w:val="22"/>
          <w:lang w:val="es-419"/>
        </w:rPr>
      </w:pPr>
      <w:r>
        <w:rPr>
          <w:b/>
          <w:color w:val="26724C" w:themeColor="accent1" w:themeShade="BF"/>
          <w:sz w:val="22"/>
          <w:lang w:val="es-419"/>
        </w:rPr>
        <w:br w:type="page"/>
      </w:r>
    </w:p>
    <w:p w14:paraId="2ABD5F6A" w14:textId="1D17BCF2" w:rsidR="001645C8" w:rsidRPr="00F72633" w:rsidRDefault="00ED7179" w:rsidP="003E3C19">
      <w:pPr>
        <w:rPr>
          <w:b/>
          <w:color w:val="26724C" w:themeColor="accent1" w:themeShade="BF"/>
          <w:sz w:val="22"/>
          <w:lang w:val="es-419"/>
        </w:rPr>
      </w:pPr>
      <w:r w:rsidRPr="00F72633">
        <w:rPr>
          <w:b/>
          <w:color w:val="26724C" w:themeColor="accent1" w:themeShade="BF"/>
          <w:sz w:val="22"/>
          <w:lang w:val="es-419"/>
        </w:rPr>
        <w:lastRenderedPageBreak/>
        <w:t>Recursos de personal</w:t>
      </w:r>
    </w:p>
    <w:p w14:paraId="3E024138" w14:textId="77777777" w:rsidR="001645C8" w:rsidRPr="00F72633" w:rsidRDefault="001645C8" w:rsidP="003E3C19">
      <w:pPr>
        <w:rPr>
          <w:lang w:val="es-419"/>
        </w:rPr>
      </w:pPr>
    </w:p>
    <w:p w14:paraId="778CE7C5" w14:textId="36AC9F0A" w:rsidR="001645C8" w:rsidRPr="00F72633" w:rsidRDefault="000765E8" w:rsidP="00F90BBB">
      <w:pPr>
        <w:pStyle w:val="annexiparanumbered"/>
        <w:numPr>
          <w:ilvl w:val="0"/>
          <w:numId w:val="0"/>
        </w:numPr>
        <w:rPr>
          <w:lang w:val="es-419"/>
        </w:rPr>
      </w:pPr>
      <w:r w:rsidRPr="00F72633">
        <w:rPr>
          <w:lang w:val="es-419"/>
        </w:rPr>
        <w:t>Los recursos de personal se presupuestan mediante un método de cálculo de costos basado en los import</w:t>
      </w:r>
      <w:r w:rsidR="00AA1ECA" w:rsidRPr="00F72633">
        <w:rPr>
          <w:lang w:val="es-419"/>
        </w:rPr>
        <w:t xml:space="preserve">es reales. Los gastos reales en </w:t>
      </w:r>
      <w:r w:rsidRPr="00F72633">
        <w:rPr>
          <w:lang w:val="es-419"/>
        </w:rPr>
        <w:t>2020</w:t>
      </w:r>
      <w:r w:rsidR="00AA1ECA" w:rsidRPr="00F72633">
        <w:rPr>
          <w:lang w:val="es-419"/>
        </w:rPr>
        <w:t xml:space="preserve"> </w:t>
      </w:r>
      <w:r w:rsidRPr="00F72633">
        <w:rPr>
          <w:lang w:val="es-419"/>
        </w:rPr>
        <w:t>fueron ligeramente inferiores a los presupuestados (43</w:t>
      </w:r>
      <w:r w:rsidR="00C70DE2" w:rsidRPr="00F72633">
        <w:rPr>
          <w:lang w:val="es-419"/>
        </w:rPr>
        <w:t> %</w:t>
      </w:r>
      <w:r w:rsidR="003A20EA" w:rsidRPr="00F72633">
        <w:rPr>
          <w:lang w:val="es-419"/>
        </w:rPr>
        <w:t xml:space="preserve"> </w:t>
      </w:r>
      <w:r w:rsidRPr="00F72633">
        <w:rPr>
          <w:lang w:val="es-419"/>
        </w:rPr>
        <w:t>del presupuesto bienal). Los gastos en puestos de trabajo (44</w:t>
      </w:r>
      <w:r w:rsidR="00C70DE2" w:rsidRPr="00F72633">
        <w:rPr>
          <w:lang w:val="es-419"/>
        </w:rPr>
        <w:t> %</w:t>
      </w:r>
      <w:r w:rsidR="003A20EA" w:rsidRPr="00F72633">
        <w:rPr>
          <w:lang w:val="es-419"/>
        </w:rPr>
        <w:t xml:space="preserve"> </w:t>
      </w:r>
      <w:r w:rsidRPr="00F72633">
        <w:rPr>
          <w:lang w:val="es-419"/>
        </w:rPr>
        <w:t>del presupuesto bienal) fueron inferiores a los presupuestados debido a que un puesto estuvo vacante durante la mayor parte del año.</w:t>
      </w:r>
    </w:p>
    <w:p w14:paraId="73A45604" w14:textId="77777777" w:rsidR="001645C8" w:rsidRPr="00F72633" w:rsidRDefault="001645C8" w:rsidP="00F90BBB">
      <w:pPr>
        <w:rPr>
          <w:lang w:val="es-419"/>
        </w:rPr>
      </w:pPr>
    </w:p>
    <w:p w14:paraId="0284D590" w14:textId="65D53048" w:rsidR="001645C8" w:rsidRPr="00F72633" w:rsidRDefault="000765E8" w:rsidP="00F90BBB">
      <w:pPr>
        <w:pStyle w:val="annexiparanumbered"/>
        <w:numPr>
          <w:ilvl w:val="0"/>
          <w:numId w:val="0"/>
        </w:numPr>
        <w:rPr>
          <w:lang w:val="es-419"/>
        </w:rPr>
      </w:pPr>
      <w:r w:rsidRPr="00F72633">
        <w:rPr>
          <w:lang w:val="es-419"/>
        </w:rPr>
        <w:t xml:space="preserve">Los gastos en </w:t>
      </w:r>
      <w:r w:rsidR="00644F2B" w:rsidRPr="00F72633">
        <w:rPr>
          <w:lang w:val="es-419"/>
        </w:rPr>
        <w:t>personal temporal alcanzaron el </w:t>
      </w:r>
      <w:r w:rsidRPr="00F72633">
        <w:rPr>
          <w:lang w:val="es-419"/>
        </w:rPr>
        <w:t>32</w:t>
      </w:r>
      <w:r w:rsidR="00C70DE2" w:rsidRPr="00F72633">
        <w:rPr>
          <w:lang w:val="es-419"/>
        </w:rPr>
        <w:t> %</w:t>
      </w:r>
      <w:r w:rsidR="003A20EA" w:rsidRPr="00F72633">
        <w:rPr>
          <w:lang w:val="es-419"/>
        </w:rPr>
        <w:t xml:space="preserve"> </w:t>
      </w:r>
      <w:r w:rsidRPr="00F72633">
        <w:rPr>
          <w:lang w:val="es-419"/>
        </w:rPr>
        <w:t>del presupuesto para el bienio debido a un retraso en la contratación de personal temporal hasta el segundo año del bienio.</w:t>
      </w:r>
    </w:p>
    <w:p w14:paraId="3D019D66" w14:textId="77777777" w:rsidR="0049598F" w:rsidRPr="00F72633" w:rsidRDefault="0049598F" w:rsidP="00F90BBB">
      <w:pPr>
        <w:pStyle w:val="annexiparanumbered"/>
        <w:numPr>
          <w:ilvl w:val="0"/>
          <w:numId w:val="0"/>
        </w:numPr>
        <w:rPr>
          <w:lang w:val="es-419"/>
        </w:rPr>
      </w:pPr>
    </w:p>
    <w:p w14:paraId="020032B8" w14:textId="4092211E" w:rsidR="001645C8" w:rsidRPr="00F72633" w:rsidRDefault="00ED7179" w:rsidP="003E3C19">
      <w:pPr>
        <w:keepNext/>
        <w:jc w:val="left"/>
        <w:rPr>
          <w:b/>
          <w:color w:val="26724C" w:themeColor="accent1" w:themeShade="BF"/>
          <w:sz w:val="22"/>
          <w:lang w:val="es-419"/>
        </w:rPr>
      </w:pPr>
      <w:r w:rsidRPr="00F72633">
        <w:rPr>
          <w:b/>
          <w:color w:val="26724C" w:themeColor="accent1" w:themeShade="BF"/>
          <w:sz w:val="22"/>
          <w:lang w:val="es-419"/>
        </w:rPr>
        <w:t>Recursos no relativos a personal</w:t>
      </w:r>
    </w:p>
    <w:p w14:paraId="5CA66D19" w14:textId="77777777" w:rsidR="001645C8" w:rsidRPr="00F72633" w:rsidRDefault="001645C8" w:rsidP="003E3C19">
      <w:pPr>
        <w:keepNext/>
        <w:rPr>
          <w:lang w:val="es-419"/>
        </w:rPr>
      </w:pPr>
    </w:p>
    <w:p w14:paraId="2F988D00" w14:textId="100E045D" w:rsidR="003220C7" w:rsidRPr="00F72633" w:rsidRDefault="003220C7" w:rsidP="00F90BBB">
      <w:pPr>
        <w:tabs>
          <w:tab w:val="left" w:pos="567"/>
        </w:tabs>
        <w:rPr>
          <w:lang w:val="es-419"/>
        </w:rPr>
      </w:pPr>
      <w:r w:rsidRPr="00F72633">
        <w:rPr>
          <w:lang w:val="es-419"/>
        </w:rPr>
        <w:t>No se incurrió en gastos en concepto de pasantías y subsidios, ya que la pandemia de COVID-19 sigue restringiendo la movilidad de los posibles be</w:t>
      </w:r>
      <w:r w:rsidR="006E3D1B" w:rsidRPr="00F72633">
        <w:rPr>
          <w:lang w:val="es-419"/>
        </w:rPr>
        <w:t>c</w:t>
      </w:r>
      <w:r w:rsidRPr="00F72633">
        <w:rPr>
          <w:lang w:val="es-419"/>
        </w:rPr>
        <w:t>arios.</w:t>
      </w:r>
    </w:p>
    <w:p w14:paraId="584A088D" w14:textId="77777777" w:rsidR="003220C7" w:rsidRPr="00F72633" w:rsidRDefault="003220C7" w:rsidP="00F90BBB">
      <w:pPr>
        <w:tabs>
          <w:tab w:val="left" w:pos="567"/>
        </w:tabs>
        <w:rPr>
          <w:lang w:val="es-419"/>
        </w:rPr>
      </w:pPr>
    </w:p>
    <w:p w14:paraId="0E647CDC" w14:textId="46CF01BD" w:rsidR="001645C8" w:rsidRPr="00F72633" w:rsidRDefault="003220C7" w:rsidP="00F90BBB">
      <w:pPr>
        <w:tabs>
          <w:tab w:val="left" w:pos="567"/>
        </w:tabs>
        <w:rPr>
          <w:lang w:val="es-419"/>
        </w:rPr>
      </w:pPr>
      <w:r w:rsidRPr="00F72633">
        <w:rPr>
          <w:lang w:val="es-419"/>
        </w:rPr>
        <w:t>Los gastos de v</w:t>
      </w:r>
      <w:r w:rsidR="00EF0F69" w:rsidRPr="00F72633">
        <w:rPr>
          <w:lang w:val="es-419"/>
        </w:rPr>
        <w:t>iajes, formación y subsidios en 2022 apenas representaron el </w:t>
      </w:r>
      <w:r w:rsidRPr="00F72633">
        <w:rPr>
          <w:lang w:val="es-419"/>
        </w:rPr>
        <w:t>10</w:t>
      </w:r>
      <w:r w:rsidR="00C70DE2" w:rsidRPr="00F72633">
        <w:rPr>
          <w:lang w:val="es-419"/>
        </w:rPr>
        <w:t> %</w:t>
      </w:r>
      <w:r w:rsidR="003A20EA" w:rsidRPr="00F72633">
        <w:rPr>
          <w:lang w:val="es-419"/>
        </w:rPr>
        <w:t xml:space="preserve"> </w:t>
      </w:r>
      <w:r w:rsidRPr="00F72633">
        <w:rPr>
          <w:lang w:val="es-419"/>
        </w:rPr>
        <w:t xml:space="preserve">del presupuesto bienal debido a la adaptación a la “nueva normalidad”, </w:t>
      </w:r>
      <w:r w:rsidR="00EF0F69" w:rsidRPr="00F72633">
        <w:rPr>
          <w:lang w:val="es-419"/>
        </w:rPr>
        <w:t xml:space="preserve">y </w:t>
      </w:r>
      <w:r w:rsidRPr="00F72633">
        <w:rPr>
          <w:lang w:val="es-419"/>
        </w:rPr>
        <w:t xml:space="preserve">en particular </w:t>
      </w:r>
      <w:r w:rsidR="00EF0F69" w:rsidRPr="00F72633">
        <w:rPr>
          <w:lang w:val="es-419"/>
        </w:rPr>
        <w:t>a</w:t>
      </w:r>
      <w:r w:rsidRPr="00F72633">
        <w:rPr>
          <w:lang w:val="es-419"/>
        </w:rPr>
        <w:t>l aumento del uso de herramientas para la celebración de reuniones virtuales o híbridas</w:t>
      </w:r>
    </w:p>
    <w:p w14:paraId="4016AF15" w14:textId="77777777" w:rsidR="001645C8" w:rsidRPr="00F72633" w:rsidRDefault="001645C8" w:rsidP="00F90BBB">
      <w:pPr>
        <w:pStyle w:val="annexiparanumbered"/>
        <w:numPr>
          <w:ilvl w:val="0"/>
          <w:numId w:val="0"/>
        </w:numPr>
        <w:rPr>
          <w:lang w:val="es-419"/>
        </w:rPr>
      </w:pPr>
    </w:p>
    <w:p w14:paraId="41478415" w14:textId="2FDA3EE4" w:rsidR="001645C8" w:rsidRPr="00F72633" w:rsidRDefault="004978E0" w:rsidP="00F90BBB">
      <w:pPr>
        <w:rPr>
          <w:lang w:val="es-419"/>
        </w:rPr>
      </w:pPr>
      <w:r w:rsidRPr="00F72633">
        <w:rPr>
          <w:lang w:val="es-419"/>
        </w:rPr>
        <w:t>Servicios contractuales:</w:t>
      </w:r>
    </w:p>
    <w:p w14:paraId="6FA2F018" w14:textId="77777777" w:rsidR="001645C8" w:rsidRPr="00F72633" w:rsidRDefault="001645C8" w:rsidP="00F90BBB">
      <w:pPr>
        <w:keepNext/>
        <w:rPr>
          <w:lang w:val="es-419"/>
        </w:rPr>
      </w:pPr>
    </w:p>
    <w:p w14:paraId="58E1BA16" w14:textId="23B3AD8C" w:rsidR="001645C8" w:rsidRPr="00F72633" w:rsidRDefault="004978E0" w:rsidP="00F90BBB">
      <w:pPr>
        <w:pStyle w:val="annexiparanumbered"/>
        <w:numPr>
          <w:ilvl w:val="0"/>
          <w:numId w:val="0"/>
        </w:numPr>
        <w:ind w:left="567"/>
        <w:rPr>
          <w:lang w:val="es-419"/>
        </w:rPr>
      </w:pPr>
      <w:r w:rsidRPr="00F72633">
        <w:rPr>
          <w:i/>
          <w:lang w:val="es-419"/>
        </w:rPr>
        <w:t>Conferencias</w:t>
      </w:r>
      <w:r w:rsidR="001645C8" w:rsidRPr="00F72633">
        <w:rPr>
          <w:i/>
          <w:lang w:val="es-419"/>
        </w:rPr>
        <w:t>:</w:t>
      </w:r>
      <w:r w:rsidRPr="00F72633">
        <w:rPr>
          <w:lang w:val="es-419"/>
        </w:rPr>
        <w:t xml:space="preserve"> </w:t>
      </w:r>
      <w:r w:rsidR="00D01CC6" w:rsidRPr="00F72633">
        <w:rPr>
          <w:lang w:val="es-419"/>
        </w:rPr>
        <w:t xml:space="preserve">los gastos en concepto de conferencias fueron </w:t>
      </w:r>
      <w:r w:rsidR="003A20EA" w:rsidRPr="00F72633">
        <w:rPr>
          <w:lang w:val="es-419"/>
        </w:rPr>
        <w:t>superiores a los presupu</w:t>
      </w:r>
      <w:r w:rsidR="00965647">
        <w:rPr>
          <w:lang w:val="es-419"/>
        </w:rPr>
        <w:t xml:space="preserve">estados </w:t>
      </w:r>
      <w:r w:rsidR="00965647">
        <w:rPr>
          <w:lang w:val="es-419"/>
        </w:rPr>
        <w:br/>
      </w:r>
      <w:r w:rsidR="00D01CC6" w:rsidRPr="00F72633">
        <w:rPr>
          <w:lang w:val="es-419"/>
        </w:rPr>
        <w:t>(74</w:t>
      </w:r>
      <w:r w:rsidR="00C70DE2" w:rsidRPr="00F72633">
        <w:rPr>
          <w:lang w:val="es-419"/>
        </w:rPr>
        <w:t> %</w:t>
      </w:r>
      <w:r w:rsidR="003A20EA" w:rsidRPr="00F72633">
        <w:rPr>
          <w:lang w:val="es-419"/>
        </w:rPr>
        <w:t xml:space="preserve"> </w:t>
      </w:r>
      <w:r w:rsidR="00D01CC6" w:rsidRPr="00F72633">
        <w:rPr>
          <w:lang w:val="es-419"/>
        </w:rPr>
        <w:t>del presupuesto bienal) como consecuencia de que el número de reuniones con interpretación fue superior al previsto y del aumento en los gastos en seminarios</w:t>
      </w:r>
      <w:r w:rsidR="001645C8" w:rsidRPr="00F72633">
        <w:rPr>
          <w:lang w:val="es-419"/>
        </w:rPr>
        <w:t>.</w:t>
      </w:r>
    </w:p>
    <w:p w14:paraId="66ACB116" w14:textId="77777777" w:rsidR="001645C8" w:rsidRPr="00F72633" w:rsidRDefault="001645C8" w:rsidP="00F90BBB">
      <w:pPr>
        <w:ind w:left="567"/>
        <w:rPr>
          <w:lang w:val="es-419"/>
        </w:rPr>
      </w:pPr>
    </w:p>
    <w:p w14:paraId="0A1283B2" w14:textId="21C1311B" w:rsidR="001645C8" w:rsidRPr="00F72633" w:rsidRDefault="0020165A" w:rsidP="00F90BBB">
      <w:pPr>
        <w:pStyle w:val="annexiparanumbered"/>
        <w:numPr>
          <w:ilvl w:val="0"/>
          <w:numId w:val="0"/>
        </w:numPr>
        <w:ind w:left="567"/>
        <w:rPr>
          <w:lang w:val="es-419"/>
        </w:rPr>
      </w:pPr>
      <w:r w:rsidRPr="00F72633">
        <w:rPr>
          <w:i/>
          <w:lang w:val="es-419"/>
        </w:rPr>
        <w:t>Publicaciones</w:t>
      </w:r>
      <w:r w:rsidR="00686884" w:rsidRPr="00F72633">
        <w:rPr>
          <w:lang w:val="es-419"/>
        </w:rPr>
        <w:t>: en 2022 </w:t>
      </w:r>
      <w:r w:rsidRPr="00F72633">
        <w:rPr>
          <w:lang w:val="es-419"/>
        </w:rPr>
        <w:t>no se incurrió en gastos en concepto de publicaciones</w:t>
      </w:r>
      <w:r w:rsidR="001645C8" w:rsidRPr="00F72633">
        <w:rPr>
          <w:lang w:val="es-419"/>
        </w:rPr>
        <w:t>.</w:t>
      </w:r>
    </w:p>
    <w:p w14:paraId="0352E9F5" w14:textId="77777777" w:rsidR="001645C8" w:rsidRPr="00F72633" w:rsidRDefault="001645C8" w:rsidP="00F90BBB">
      <w:pPr>
        <w:ind w:left="567"/>
        <w:rPr>
          <w:lang w:val="es-419"/>
        </w:rPr>
      </w:pPr>
    </w:p>
    <w:p w14:paraId="1EE60883" w14:textId="44A99F73" w:rsidR="001645C8" w:rsidRPr="00F72633" w:rsidRDefault="0020165A" w:rsidP="00F90BBB">
      <w:pPr>
        <w:pStyle w:val="annexiparanumbered"/>
        <w:numPr>
          <w:ilvl w:val="0"/>
          <w:numId w:val="0"/>
        </w:numPr>
        <w:ind w:left="567"/>
        <w:rPr>
          <w:lang w:val="es-419"/>
        </w:rPr>
      </w:pPr>
      <w:r w:rsidRPr="00F72633">
        <w:rPr>
          <w:i/>
          <w:snapToGrid w:val="0"/>
          <w:color w:val="000000"/>
          <w:lang w:val="es-419"/>
        </w:rPr>
        <w:t>Servicios contractuales individuales</w:t>
      </w:r>
      <w:r w:rsidRPr="00F72633">
        <w:rPr>
          <w:snapToGrid w:val="0"/>
          <w:color w:val="000000"/>
          <w:lang w:val="es-419"/>
        </w:rPr>
        <w:t xml:space="preserve">: </w:t>
      </w:r>
      <w:r w:rsidR="00843031" w:rsidRPr="00F72633">
        <w:rPr>
          <w:lang w:val="es-419"/>
        </w:rPr>
        <w:t>se recurrió a un servicio contractual individual para obtener orientación y apoyo en relación con el sistema de la UPOV, en particular sobre cuestiones técnicas y servicios de la UPOV (sustitución parcial de un funcionario con un puesto profesional)</w:t>
      </w:r>
      <w:r w:rsidR="003D4F92" w:rsidRPr="00F72633">
        <w:rPr>
          <w:lang w:val="es-419"/>
        </w:rPr>
        <w:t>.</w:t>
      </w:r>
    </w:p>
    <w:p w14:paraId="79E15F62" w14:textId="77777777" w:rsidR="001645C8" w:rsidRPr="00F72633" w:rsidRDefault="001645C8" w:rsidP="00F90BBB">
      <w:pPr>
        <w:ind w:left="567"/>
        <w:rPr>
          <w:lang w:val="es-419"/>
        </w:rPr>
      </w:pPr>
    </w:p>
    <w:p w14:paraId="5615229E" w14:textId="43FFD29E" w:rsidR="001645C8" w:rsidRPr="00F72633" w:rsidRDefault="0020165A" w:rsidP="00F90BBB">
      <w:pPr>
        <w:pStyle w:val="annexiparanumbered"/>
        <w:numPr>
          <w:ilvl w:val="0"/>
          <w:numId w:val="0"/>
        </w:numPr>
        <w:ind w:left="567"/>
        <w:rPr>
          <w:lang w:val="es-419"/>
        </w:rPr>
      </w:pPr>
      <w:r w:rsidRPr="00F72633">
        <w:rPr>
          <w:i/>
          <w:lang w:val="es-419"/>
        </w:rPr>
        <w:t xml:space="preserve">Otros servicios contractuales: </w:t>
      </w:r>
      <w:r w:rsidRPr="00F72633">
        <w:rPr>
          <w:lang w:val="es-419"/>
        </w:rPr>
        <w:t>la estimación de gastos en concepto de otros servicios contractuales fue considerablemente superior a la prevista para el primer año del bienio (107</w:t>
      </w:r>
      <w:r w:rsidR="00C70DE2" w:rsidRPr="00F72633">
        <w:rPr>
          <w:lang w:val="es-419"/>
        </w:rPr>
        <w:t> %</w:t>
      </w:r>
      <w:r w:rsidRPr="00F72633">
        <w:rPr>
          <w:lang w:val="es-419"/>
        </w:rPr>
        <w:t xml:space="preserve"> del presupuesto bienal) como resultado de: i) </w:t>
      </w:r>
      <w:r w:rsidR="00843031" w:rsidRPr="00F72633">
        <w:rPr>
          <w:lang w:val="es-419"/>
        </w:rPr>
        <w:t xml:space="preserve">un trabajador de agencia que prestó apoyo administrativo (sustitución de un funcionario con un puesto temporal); ii) un trabajador de agencia que gestionó el centro de asistencia de </w:t>
      </w:r>
      <w:r w:rsidR="000D20D3">
        <w:rPr>
          <w:lang w:val="es-419"/>
        </w:rPr>
        <w:t>UPOV PRISMA</w:t>
      </w:r>
      <w:r w:rsidR="00843031" w:rsidRPr="00F72633">
        <w:rPr>
          <w:lang w:val="es-419"/>
        </w:rPr>
        <w:t xml:space="preserve"> (sustitución de un funcionario con un puesto de plazo fijo); y iii)</w:t>
      </w:r>
      <w:r w:rsidR="001645C8" w:rsidRPr="00F72633">
        <w:rPr>
          <w:lang w:val="es-419"/>
        </w:rPr>
        <w:t xml:space="preserve"> </w:t>
      </w:r>
      <w:r w:rsidRPr="00F72633">
        <w:rPr>
          <w:lang w:val="es-419"/>
        </w:rPr>
        <w:t>el costo derivado del mantenimiento de la plataforma para reuniones virtuales de la UPOV.</w:t>
      </w:r>
    </w:p>
    <w:p w14:paraId="03DDF685" w14:textId="77777777" w:rsidR="001645C8" w:rsidRPr="00F72633" w:rsidRDefault="001645C8" w:rsidP="00F90BBB">
      <w:pPr>
        <w:rPr>
          <w:lang w:val="es-419"/>
        </w:rPr>
      </w:pPr>
    </w:p>
    <w:p w14:paraId="75470E1A" w14:textId="237A8A7A" w:rsidR="001645C8" w:rsidRPr="00F72633" w:rsidRDefault="00A871AC" w:rsidP="00F90BBB">
      <w:pPr>
        <w:pStyle w:val="annexiparanumbered"/>
        <w:numPr>
          <w:ilvl w:val="0"/>
          <w:numId w:val="0"/>
        </w:numPr>
        <w:rPr>
          <w:lang w:val="es-419"/>
        </w:rPr>
      </w:pPr>
      <w:r w:rsidRPr="00F72633">
        <w:rPr>
          <w:lang w:val="es-419"/>
        </w:rPr>
        <w:t>En </w:t>
      </w:r>
      <w:r w:rsidR="003927FC" w:rsidRPr="00F72633">
        <w:rPr>
          <w:lang w:val="es-419"/>
        </w:rPr>
        <w:t>2022</w:t>
      </w:r>
      <w:r w:rsidRPr="00F72633">
        <w:rPr>
          <w:lang w:val="es-419"/>
        </w:rPr>
        <w:t> </w:t>
      </w:r>
      <w:r w:rsidR="003927FC" w:rsidRPr="00F72633">
        <w:rPr>
          <w:lang w:val="es-419"/>
        </w:rPr>
        <w:t>los gastos de funcionamiento se ajustaron a los costos presupuestados.</w:t>
      </w:r>
    </w:p>
    <w:p w14:paraId="41F4E7B8" w14:textId="77777777" w:rsidR="001645C8" w:rsidRPr="00F72633" w:rsidRDefault="001645C8" w:rsidP="00F90BBB">
      <w:pPr>
        <w:rPr>
          <w:lang w:val="es-419"/>
        </w:rPr>
      </w:pPr>
    </w:p>
    <w:p w14:paraId="6B6A4373" w14:textId="74445DD9" w:rsidR="001645C8" w:rsidRPr="00F72633" w:rsidRDefault="001645C8" w:rsidP="00F90BBB">
      <w:pPr>
        <w:pStyle w:val="annexiparanumbered"/>
        <w:numPr>
          <w:ilvl w:val="0"/>
          <w:numId w:val="0"/>
        </w:numPr>
        <w:rPr>
          <w:lang w:val="es-419"/>
        </w:rPr>
      </w:pPr>
      <w:r w:rsidRPr="00F72633">
        <w:rPr>
          <w:lang w:val="es-419"/>
        </w:rPr>
        <w:t>Equip</w:t>
      </w:r>
      <w:r w:rsidR="00227B47" w:rsidRPr="00F72633">
        <w:rPr>
          <w:lang w:val="es-419"/>
        </w:rPr>
        <w:t>os y suministro</w:t>
      </w:r>
      <w:r w:rsidRPr="00F72633">
        <w:rPr>
          <w:lang w:val="es-419"/>
        </w:rPr>
        <w:t xml:space="preserve">s: </w:t>
      </w:r>
      <w:r w:rsidR="00A871AC" w:rsidRPr="00F72633">
        <w:rPr>
          <w:lang w:val="es-419"/>
        </w:rPr>
        <w:t>en 2022 </w:t>
      </w:r>
      <w:r w:rsidR="00227B47" w:rsidRPr="00F72633">
        <w:rPr>
          <w:lang w:val="es-419"/>
        </w:rPr>
        <w:t>los gastos relacionados con equi</w:t>
      </w:r>
      <w:r w:rsidR="00A871AC" w:rsidRPr="00F72633">
        <w:rPr>
          <w:lang w:val="es-419"/>
        </w:rPr>
        <w:t>pos y suministros ascendieron a </w:t>
      </w:r>
      <w:r w:rsidR="00227B47" w:rsidRPr="00F72633">
        <w:rPr>
          <w:lang w:val="es-419"/>
        </w:rPr>
        <w:t>267</w:t>
      </w:r>
      <w:r w:rsidR="00A871AC" w:rsidRPr="00F72633">
        <w:rPr>
          <w:lang w:val="es-419"/>
        </w:rPr>
        <w:t> </w:t>
      </w:r>
      <w:r w:rsidR="00227B47" w:rsidRPr="00F72633">
        <w:rPr>
          <w:lang w:val="es-419"/>
        </w:rPr>
        <w:t>francos suizos.</w:t>
      </w:r>
    </w:p>
    <w:p w14:paraId="66AA8929" w14:textId="77777777" w:rsidR="001645C8" w:rsidRPr="00F72633" w:rsidRDefault="001645C8" w:rsidP="003E3C19">
      <w:pPr>
        <w:autoSpaceDE w:val="0"/>
        <w:autoSpaceDN w:val="0"/>
        <w:adjustRightInd w:val="0"/>
        <w:rPr>
          <w:sz w:val="18"/>
          <w:szCs w:val="18"/>
          <w:lang w:val="es-419"/>
        </w:rPr>
      </w:pPr>
    </w:p>
    <w:p w14:paraId="02821346" w14:textId="77777777" w:rsidR="001645C8" w:rsidRPr="00F72633" w:rsidRDefault="001645C8" w:rsidP="00F72633">
      <w:pPr>
        <w:keepNext/>
        <w:autoSpaceDE w:val="0"/>
        <w:autoSpaceDN w:val="0"/>
        <w:adjustRightInd w:val="0"/>
        <w:jc w:val="center"/>
        <w:rPr>
          <w:sz w:val="18"/>
          <w:szCs w:val="18"/>
          <w:lang w:val="es-419"/>
        </w:rPr>
      </w:pPr>
    </w:p>
    <w:p w14:paraId="532A27F0" w14:textId="14CE87EE" w:rsidR="001645C8" w:rsidRPr="00F72633" w:rsidRDefault="00227B47" w:rsidP="00F72633">
      <w:pPr>
        <w:keepNext/>
        <w:jc w:val="center"/>
        <w:rPr>
          <w:rFonts w:eastAsia="Times New Roman"/>
          <w:b/>
          <w:bCs/>
          <w:color w:val="155F1A"/>
          <w:sz w:val="18"/>
          <w:szCs w:val="18"/>
          <w:lang w:val="es-419"/>
        </w:rPr>
      </w:pPr>
      <w:r w:rsidRPr="00F72633">
        <w:rPr>
          <w:b/>
          <w:color w:val="155F1A"/>
          <w:sz w:val="18"/>
          <w:lang w:val="es-419"/>
        </w:rPr>
        <w:t>Cuadro 4. Presupuesto y gastos por subprograma en</w:t>
      </w:r>
      <w:r w:rsidRPr="00F72633">
        <w:rPr>
          <w:rFonts w:eastAsia="Times New Roman"/>
          <w:b/>
          <w:bCs/>
          <w:color w:val="155F1A"/>
          <w:sz w:val="18"/>
          <w:szCs w:val="18"/>
          <w:lang w:val="es-419"/>
        </w:rPr>
        <w:t xml:space="preserve"> </w:t>
      </w:r>
      <w:r w:rsidR="001645C8" w:rsidRPr="00F72633">
        <w:rPr>
          <w:rFonts w:eastAsia="Times New Roman"/>
          <w:b/>
          <w:bCs/>
          <w:color w:val="155F1A"/>
          <w:sz w:val="18"/>
          <w:szCs w:val="18"/>
          <w:lang w:val="es-419"/>
        </w:rPr>
        <w:t>2022</w:t>
      </w:r>
    </w:p>
    <w:p w14:paraId="134B1548" w14:textId="1D52523B" w:rsidR="001645C8" w:rsidRPr="00F72633" w:rsidRDefault="001645C8" w:rsidP="00F72633">
      <w:pPr>
        <w:keepNext/>
        <w:jc w:val="center"/>
        <w:rPr>
          <w:rFonts w:eastAsia="Times New Roman"/>
          <w:bCs/>
          <w:i/>
          <w:sz w:val="14"/>
          <w:szCs w:val="16"/>
          <w:lang w:val="es-419"/>
        </w:rPr>
      </w:pPr>
      <w:r w:rsidRPr="00F72633">
        <w:rPr>
          <w:rFonts w:eastAsia="Times New Roman"/>
          <w:bCs/>
          <w:i/>
          <w:sz w:val="14"/>
          <w:szCs w:val="16"/>
          <w:lang w:val="es-419"/>
        </w:rPr>
        <w:t>(</w:t>
      </w:r>
      <w:r w:rsidR="00227B47" w:rsidRPr="00F72633">
        <w:rPr>
          <w:i/>
          <w:sz w:val="14"/>
          <w:lang w:val="es-419"/>
        </w:rPr>
        <w:t>en miles de francos suizos</w:t>
      </w:r>
      <w:r w:rsidRPr="00F72633">
        <w:rPr>
          <w:rFonts w:eastAsia="Times New Roman"/>
          <w:bCs/>
          <w:i/>
          <w:sz w:val="14"/>
          <w:szCs w:val="16"/>
          <w:lang w:val="es-419"/>
        </w:rPr>
        <w:t>)</w:t>
      </w:r>
    </w:p>
    <w:p w14:paraId="322276D2" w14:textId="77777777" w:rsidR="001645C8" w:rsidRPr="00F72633" w:rsidRDefault="001645C8" w:rsidP="00F72633">
      <w:pPr>
        <w:keepNext/>
        <w:jc w:val="center"/>
        <w:rPr>
          <w:rFonts w:ascii="Arial Bold" w:eastAsia="Times New Roman" w:hAnsi="Arial Bold"/>
          <w:b/>
          <w:bCs/>
          <w:sz w:val="18"/>
          <w:szCs w:val="18"/>
          <w:lang w:val="es-419"/>
        </w:rPr>
      </w:pPr>
    </w:p>
    <w:tbl>
      <w:tblPr>
        <w:tblW w:w="9185" w:type="dxa"/>
        <w:jc w:val="center"/>
        <w:tblLook w:val="04A0" w:firstRow="1" w:lastRow="0" w:firstColumn="1" w:lastColumn="0" w:noHBand="0" w:noVBand="1"/>
      </w:tblPr>
      <w:tblGrid>
        <w:gridCol w:w="253"/>
        <w:gridCol w:w="4567"/>
        <w:gridCol w:w="1260"/>
        <w:gridCol w:w="1260"/>
        <w:gridCol w:w="1845"/>
      </w:tblGrid>
      <w:tr w:rsidR="001645C8" w:rsidRPr="00F72633" w14:paraId="65AB5E4A" w14:textId="77777777" w:rsidTr="00965647">
        <w:trPr>
          <w:trHeight w:val="372"/>
          <w:jc w:val="center"/>
        </w:trPr>
        <w:tc>
          <w:tcPr>
            <w:tcW w:w="253" w:type="dxa"/>
            <w:tcBorders>
              <w:top w:val="nil"/>
              <w:left w:val="nil"/>
              <w:bottom w:val="nil"/>
              <w:right w:val="nil"/>
            </w:tcBorders>
            <w:shd w:val="clear" w:color="000000" w:fill="C7CFD8"/>
            <w:noWrap/>
            <w:vAlign w:val="center"/>
            <w:hideMark/>
          </w:tcPr>
          <w:p w14:paraId="6F353080" w14:textId="77777777" w:rsidR="001645C8" w:rsidRPr="00F72633" w:rsidRDefault="001645C8" w:rsidP="00F72633">
            <w:pPr>
              <w:keepNext/>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4567" w:type="dxa"/>
            <w:tcBorders>
              <w:top w:val="nil"/>
              <w:left w:val="nil"/>
              <w:bottom w:val="nil"/>
              <w:right w:val="nil"/>
            </w:tcBorders>
            <w:shd w:val="clear" w:color="000000" w:fill="C7CFD8"/>
            <w:noWrap/>
            <w:vAlign w:val="center"/>
            <w:hideMark/>
          </w:tcPr>
          <w:p w14:paraId="66929303" w14:textId="77777777" w:rsidR="001645C8" w:rsidRPr="00F72633" w:rsidRDefault="001645C8" w:rsidP="00F72633">
            <w:pPr>
              <w:keepNext/>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260" w:type="dxa"/>
            <w:vMerge w:val="restart"/>
            <w:tcBorders>
              <w:top w:val="nil"/>
              <w:left w:val="nil"/>
              <w:bottom w:val="nil"/>
              <w:right w:val="nil"/>
            </w:tcBorders>
            <w:shd w:val="clear" w:color="000000" w:fill="C7CFD8"/>
            <w:vAlign w:val="center"/>
            <w:hideMark/>
          </w:tcPr>
          <w:p w14:paraId="201EC551" w14:textId="7DAE06EF" w:rsidR="001645C8" w:rsidRPr="00F72633" w:rsidRDefault="00227B47" w:rsidP="00F72633">
            <w:pPr>
              <w:keepNext/>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Pr</w:t>
            </w:r>
            <w:r w:rsidR="009C20C7" w:rsidRPr="00F72633">
              <w:rPr>
                <w:rFonts w:ascii="Arial Narrow" w:hAnsi="Arial Narrow"/>
                <w:b/>
                <w:color w:val="000000"/>
                <w:sz w:val="16"/>
                <w:lang w:val="es-419"/>
              </w:rPr>
              <w:t>ograma y Presupuesto</w:t>
            </w:r>
            <w:r w:rsidRPr="00F72633">
              <w:rPr>
                <w:rFonts w:ascii="Arial Narrow" w:eastAsia="Times New Roman" w:hAnsi="Arial Narrow"/>
                <w:b/>
                <w:bCs/>
                <w:color w:val="000000"/>
                <w:sz w:val="16"/>
                <w:szCs w:val="16"/>
                <w:lang w:val="es-419" w:eastAsia="en-US"/>
              </w:rPr>
              <w:t xml:space="preserve"> 2022/23</w:t>
            </w:r>
          </w:p>
        </w:tc>
        <w:tc>
          <w:tcPr>
            <w:tcW w:w="1260" w:type="dxa"/>
            <w:vMerge w:val="restart"/>
            <w:tcBorders>
              <w:top w:val="nil"/>
              <w:left w:val="nil"/>
              <w:bottom w:val="nil"/>
              <w:right w:val="nil"/>
            </w:tcBorders>
            <w:shd w:val="clear" w:color="000000" w:fill="C7CFD8"/>
            <w:vAlign w:val="center"/>
            <w:hideMark/>
          </w:tcPr>
          <w:p w14:paraId="57846521" w14:textId="4DE2CC27" w:rsidR="001645C8" w:rsidRPr="00F72633" w:rsidRDefault="00227B47" w:rsidP="00F72633">
            <w:pPr>
              <w:keepNext/>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 xml:space="preserve">Cifras reales de </w:t>
            </w:r>
            <w:r w:rsidRPr="00F72633">
              <w:rPr>
                <w:rFonts w:ascii="Arial Narrow" w:eastAsia="Times New Roman" w:hAnsi="Arial Narrow"/>
                <w:b/>
                <w:bCs/>
                <w:color w:val="000000"/>
                <w:sz w:val="16"/>
                <w:szCs w:val="16"/>
                <w:lang w:val="es-419" w:eastAsia="en-US"/>
              </w:rPr>
              <w:t>2022</w:t>
            </w:r>
          </w:p>
        </w:tc>
        <w:tc>
          <w:tcPr>
            <w:tcW w:w="1845" w:type="dxa"/>
            <w:vMerge w:val="restart"/>
            <w:tcBorders>
              <w:top w:val="nil"/>
              <w:left w:val="nil"/>
              <w:bottom w:val="nil"/>
              <w:right w:val="nil"/>
            </w:tcBorders>
            <w:shd w:val="clear" w:color="000000" w:fill="C7CFD8"/>
            <w:vAlign w:val="center"/>
            <w:hideMark/>
          </w:tcPr>
          <w:p w14:paraId="0D287F61" w14:textId="03CBD584" w:rsidR="001645C8" w:rsidRPr="00F72633" w:rsidRDefault="00227B47" w:rsidP="00F72633">
            <w:pPr>
              <w:keepNext/>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Cifras reales de</w:t>
            </w:r>
            <w:r w:rsidRPr="00F72633">
              <w:rPr>
                <w:rFonts w:ascii="Arial Narrow" w:eastAsia="Times New Roman" w:hAnsi="Arial Narrow"/>
                <w:b/>
                <w:bCs/>
                <w:color w:val="000000"/>
                <w:sz w:val="16"/>
                <w:szCs w:val="16"/>
                <w:lang w:val="es-419" w:eastAsia="en-US"/>
              </w:rPr>
              <w:t xml:space="preserve"> </w:t>
            </w:r>
            <w:r w:rsidR="001645C8" w:rsidRPr="00F72633">
              <w:rPr>
                <w:rFonts w:ascii="Arial Narrow" w:eastAsia="Times New Roman" w:hAnsi="Arial Narrow"/>
                <w:b/>
                <w:bCs/>
                <w:color w:val="000000"/>
                <w:sz w:val="16"/>
                <w:szCs w:val="16"/>
                <w:lang w:val="es-419" w:eastAsia="en-US"/>
              </w:rPr>
              <w:t xml:space="preserve">2022 </w:t>
            </w:r>
            <w:r w:rsidR="00965647">
              <w:rPr>
                <w:rFonts w:ascii="Arial Narrow" w:eastAsia="Times New Roman" w:hAnsi="Arial Narrow"/>
                <w:b/>
                <w:bCs/>
                <w:color w:val="000000"/>
                <w:sz w:val="16"/>
                <w:szCs w:val="16"/>
                <w:lang w:val="es-419" w:eastAsia="en-US"/>
              </w:rPr>
              <w:br/>
            </w:r>
            <w:r w:rsidRPr="00F72633">
              <w:rPr>
                <w:rFonts w:ascii="Arial Narrow" w:hAnsi="Arial Narrow"/>
                <w:b/>
                <w:color w:val="000000"/>
                <w:sz w:val="16"/>
                <w:lang w:val="es-419"/>
              </w:rPr>
              <w:t xml:space="preserve">en comparación con el </w:t>
            </w:r>
            <w:r w:rsidR="002278C4" w:rsidRPr="00F72633">
              <w:rPr>
                <w:rFonts w:ascii="Arial Narrow" w:hAnsi="Arial Narrow"/>
                <w:b/>
                <w:color w:val="000000"/>
                <w:sz w:val="16"/>
                <w:lang w:val="es-419"/>
              </w:rPr>
              <w:t>Programa y Presupuesto</w:t>
            </w:r>
          </w:p>
        </w:tc>
      </w:tr>
      <w:tr w:rsidR="001645C8" w:rsidRPr="00F72633" w14:paraId="37BEB85A" w14:textId="77777777" w:rsidTr="00965647">
        <w:trPr>
          <w:trHeight w:val="372"/>
          <w:jc w:val="center"/>
        </w:trPr>
        <w:tc>
          <w:tcPr>
            <w:tcW w:w="253" w:type="dxa"/>
            <w:tcBorders>
              <w:top w:val="nil"/>
              <w:left w:val="nil"/>
              <w:bottom w:val="nil"/>
              <w:right w:val="nil"/>
            </w:tcBorders>
            <w:shd w:val="clear" w:color="000000" w:fill="C7CFD8"/>
            <w:noWrap/>
            <w:vAlign w:val="center"/>
            <w:hideMark/>
          </w:tcPr>
          <w:p w14:paraId="7A4D239B"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4567" w:type="dxa"/>
            <w:tcBorders>
              <w:top w:val="nil"/>
              <w:left w:val="nil"/>
              <w:bottom w:val="nil"/>
              <w:right w:val="nil"/>
            </w:tcBorders>
            <w:shd w:val="clear" w:color="000000" w:fill="C7CFD8"/>
            <w:noWrap/>
            <w:vAlign w:val="center"/>
            <w:hideMark/>
          </w:tcPr>
          <w:p w14:paraId="7C5BF2A2"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260" w:type="dxa"/>
            <w:vMerge/>
            <w:tcBorders>
              <w:top w:val="nil"/>
              <w:left w:val="nil"/>
              <w:bottom w:val="nil"/>
              <w:right w:val="nil"/>
            </w:tcBorders>
            <w:vAlign w:val="center"/>
            <w:hideMark/>
          </w:tcPr>
          <w:p w14:paraId="6E781E78"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1260" w:type="dxa"/>
            <w:vMerge/>
            <w:tcBorders>
              <w:top w:val="nil"/>
              <w:left w:val="nil"/>
              <w:bottom w:val="nil"/>
              <w:right w:val="nil"/>
            </w:tcBorders>
            <w:vAlign w:val="center"/>
            <w:hideMark/>
          </w:tcPr>
          <w:p w14:paraId="1135D7E9"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c>
          <w:tcPr>
            <w:tcW w:w="1845" w:type="dxa"/>
            <w:vMerge/>
            <w:tcBorders>
              <w:top w:val="nil"/>
              <w:left w:val="nil"/>
              <w:bottom w:val="nil"/>
              <w:right w:val="nil"/>
            </w:tcBorders>
            <w:vAlign w:val="center"/>
            <w:hideMark/>
          </w:tcPr>
          <w:p w14:paraId="59A8B1ED" w14:textId="77777777" w:rsidR="001645C8" w:rsidRPr="00F72633" w:rsidRDefault="001645C8" w:rsidP="00F90BBB">
            <w:pPr>
              <w:jc w:val="left"/>
              <w:rPr>
                <w:rFonts w:ascii="Arial Narrow" w:eastAsia="Times New Roman" w:hAnsi="Arial Narrow"/>
                <w:b/>
                <w:bCs/>
                <w:color w:val="000000"/>
                <w:sz w:val="16"/>
                <w:szCs w:val="16"/>
                <w:lang w:val="es-419" w:eastAsia="en-US"/>
              </w:rPr>
            </w:pPr>
          </w:p>
        </w:tc>
      </w:tr>
      <w:tr w:rsidR="001645C8" w:rsidRPr="00F72633" w14:paraId="26871555" w14:textId="77777777" w:rsidTr="00965647">
        <w:trPr>
          <w:trHeight w:val="67"/>
          <w:jc w:val="center"/>
        </w:trPr>
        <w:tc>
          <w:tcPr>
            <w:tcW w:w="253" w:type="dxa"/>
            <w:tcBorders>
              <w:top w:val="nil"/>
              <w:left w:val="nil"/>
              <w:bottom w:val="nil"/>
              <w:right w:val="nil"/>
            </w:tcBorders>
            <w:shd w:val="clear" w:color="auto" w:fill="auto"/>
            <w:noWrap/>
            <w:vAlign w:val="center"/>
            <w:hideMark/>
          </w:tcPr>
          <w:p w14:paraId="2AB313B6" w14:textId="77777777" w:rsidR="001645C8" w:rsidRPr="00F72633" w:rsidRDefault="001645C8" w:rsidP="00F90BBB">
            <w:pPr>
              <w:jc w:val="left"/>
              <w:rPr>
                <w:rFonts w:ascii="Arial Narrow" w:eastAsia="Times New Roman" w:hAnsi="Arial Narrow"/>
                <w:b/>
                <w:bCs/>
                <w:sz w:val="16"/>
                <w:szCs w:val="16"/>
                <w:lang w:val="es-419" w:eastAsia="en-US"/>
              </w:rPr>
            </w:pPr>
          </w:p>
        </w:tc>
        <w:tc>
          <w:tcPr>
            <w:tcW w:w="4567" w:type="dxa"/>
            <w:tcBorders>
              <w:top w:val="nil"/>
              <w:left w:val="nil"/>
              <w:bottom w:val="nil"/>
              <w:right w:val="nil"/>
            </w:tcBorders>
            <w:shd w:val="clear" w:color="auto" w:fill="auto"/>
            <w:noWrap/>
            <w:vAlign w:val="center"/>
            <w:hideMark/>
          </w:tcPr>
          <w:p w14:paraId="3307FDBE"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hideMark/>
          </w:tcPr>
          <w:p w14:paraId="549E2695"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hideMark/>
          </w:tcPr>
          <w:p w14:paraId="523B03AF" w14:textId="77777777" w:rsidR="001645C8" w:rsidRPr="00F72633" w:rsidRDefault="001645C8" w:rsidP="00F90BBB">
            <w:pPr>
              <w:jc w:val="right"/>
              <w:rPr>
                <w:rFonts w:ascii="Arial Narrow" w:eastAsia="Times New Roman" w:hAnsi="Arial Narrow" w:cs="Times New Roman"/>
                <w:sz w:val="16"/>
                <w:szCs w:val="16"/>
                <w:lang w:val="es-419" w:eastAsia="en-US"/>
              </w:rPr>
            </w:pPr>
          </w:p>
        </w:tc>
        <w:tc>
          <w:tcPr>
            <w:tcW w:w="1845" w:type="dxa"/>
            <w:tcBorders>
              <w:top w:val="nil"/>
              <w:left w:val="nil"/>
              <w:bottom w:val="nil"/>
              <w:right w:val="nil"/>
            </w:tcBorders>
            <w:shd w:val="clear" w:color="auto" w:fill="auto"/>
            <w:noWrap/>
            <w:vAlign w:val="center"/>
            <w:hideMark/>
          </w:tcPr>
          <w:p w14:paraId="3D093D72"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5854F091" w14:textId="77777777" w:rsidTr="00965647">
        <w:trPr>
          <w:trHeight w:val="68"/>
          <w:jc w:val="center"/>
        </w:trPr>
        <w:tc>
          <w:tcPr>
            <w:tcW w:w="253" w:type="dxa"/>
            <w:tcBorders>
              <w:top w:val="nil"/>
              <w:left w:val="nil"/>
              <w:bottom w:val="nil"/>
              <w:right w:val="nil"/>
            </w:tcBorders>
            <w:shd w:val="clear" w:color="auto" w:fill="auto"/>
            <w:noWrap/>
            <w:vAlign w:val="center"/>
          </w:tcPr>
          <w:p w14:paraId="274A2C55" w14:textId="77777777" w:rsidR="001645C8" w:rsidRPr="00F72633" w:rsidRDefault="001645C8" w:rsidP="00F90BBB">
            <w:pPr>
              <w:jc w:val="left"/>
              <w:rPr>
                <w:rFonts w:ascii="Arial Narrow" w:eastAsia="Times New Roman" w:hAnsi="Arial Narrow"/>
                <w:b/>
                <w:bCs/>
                <w:sz w:val="16"/>
                <w:szCs w:val="16"/>
                <w:lang w:val="es-419" w:eastAsia="en-US"/>
              </w:rPr>
            </w:pPr>
          </w:p>
        </w:tc>
        <w:tc>
          <w:tcPr>
            <w:tcW w:w="4567" w:type="dxa"/>
            <w:tcBorders>
              <w:top w:val="nil"/>
              <w:left w:val="nil"/>
              <w:bottom w:val="nil"/>
              <w:right w:val="nil"/>
            </w:tcBorders>
            <w:shd w:val="clear" w:color="auto" w:fill="auto"/>
            <w:noWrap/>
            <w:vAlign w:val="center"/>
          </w:tcPr>
          <w:p w14:paraId="6393732C"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tcPr>
          <w:p w14:paraId="2AB644F7"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tcPr>
          <w:p w14:paraId="2D807360" w14:textId="77777777" w:rsidR="001645C8" w:rsidRPr="00F72633" w:rsidRDefault="001645C8" w:rsidP="00F90BBB">
            <w:pPr>
              <w:jc w:val="right"/>
              <w:rPr>
                <w:rFonts w:ascii="Arial Narrow" w:eastAsia="Times New Roman" w:hAnsi="Arial Narrow" w:cs="Times New Roman"/>
                <w:sz w:val="16"/>
                <w:szCs w:val="16"/>
                <w:lang w:val="es-419" w:eastAsia="en-US"/>
              </w:rPr>
            </w:pPr>
          </w:p>
        </w:tc>
        <w:tc>
          <w:tcPr>
            <w:tcW w:w="1845" w:type="dxa"/>
            <w:tcBorders>
              <w:top w:val="nil"/>
              <w:left w:val="nil"/>
              <w:bottom w:val="nil"/>
              <w:right w:val="nil"/>
            </w:tcBorders>
            <w:shd w:val="clear" w:color="auto" w:fill="auto"/>
            <w:noWrap/>
            <w:vAlign w:val="center"/>
          </w:tcPr>
          <w:p w14:paraId="33D6F3D5" w14:textId="77777777" w:rsidR="001645C8" w:rsidRPr="00F72633" w:rsidRDefault="001645C8" w:rsidP="00F90BBB">
            <w:pPr>
              <w:jc w:val="left"/>
              <w:rPr>
                <w:rFonts w:ascii="Arial Narrow" w:eastAsia="Times New Roman" w:hAnsi="Arial Narrow" w:cs="Times New Roman"/>
                <w:sz w:val="16"/>
                <w:szCs w:val="16"/>
                <w:lang w:val="es-419" w:eastAsia="en-US"/>
              </w:rPr>
            </w:pPr>
          </w:p>
        </w:tc>
      </w:tr>
      <w:tr w:rsidR="001645C8" w:rsidRPr="00F72633" w14:paraId="76438075" w14:textId="77777777" w:rsidTr="00965647">
        <w:trPr>
          <w:trHeight w:val="253"/>
          <w:jc w:val="center"/>
        </w:trPr>
        <w:tc>
          <w:tcPr>
            <w:tcW w:w="253" w:type="dxa"/>
            <w:tcBorders>
              <w:top w:val="nil"/>
              <w:left w:val="nil"/>
              <w:bottom w:val="nil"/>
              <w:right w:val="nil"/>
            </w:tcBorders>
            <w:shd w:val="clear" w:color="auto" w:fill="auto"/>
            <w:noWrap/>
            <w:vAlign w:val="center"/>
            <w:hideMark/>
          </w:tcPr>
          <w:p w14:paraId="4D9DE1BD"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4567" w:type="dxa"/>
            <w:tcBorders>
              <w:top w:val="nil"/>
              <w:left w:val="nil"/>
              <w:bottom w:val="nil"/>
              <w:right w:val="nil"/>
            </w:tcBorders>
            <w:shd w:val="clear" w:color="auto" w:fill="auto"/>
            <w:vAlign w:val="center"/>
            <w:hideMark/>
          </w:tcPr>
          <w:p w14:paraId="3CE9DB30" w14:textId="35529002" w:rsidR="001645C8" w:rsidRPr="00F72633" w:rsidRDefault="001645C8" w:rsidP="00F90BBB">
            <w:pPr>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UV.1</w:t>
            </w:r>
            <w:r w:rsidR="00227B47" w:rsidRPr="00F72633">
              <w:rPr>
                <w:rFonts w:ascii="Arial Narrow" w:eastAsia="Times New Roman" w:hAnsi="Arial Narrow"/>
                <w:sz w:val="16"/>
                <w:szCs w:val="16"/>
                <w:lang w:val="es-419" w:eastAsia="en-US"/>
              </w:rPr>
              <w:t>:</w:t>
            </w:r>
            <w:r w:rsidRPr="00F72633">
              <w:rPr>
                <w:rFonts w:ascii="Arial Narrow" w:eastAsia="Times New Roman" w:hAnsi="Arial Narrow"/>
                <w:sz w:val="16"/>
                <w:szCs w:val="16"/>
                <w:lang w:val="es-419" w:eastAsia="en-US"/>
              </w:rPr>
              <w:t xml:space="preserve"> </w:t>
            </w:r>
            <w:r w:rsidR="00227B47" w:rsidRPr="00F72633">
              <w:rPr>
                <w:rFonts w:ascii="Arial Narrow" w:hAnsi="Arial Narrow"/>
                <w:sz w:val="16"/>
                <w:lang w:val="es-419"/>
              </w:rPr>
              <w:t>Política general sobre protección de las variedades vegetales</w:t>
            </w:r>
          </w:p>
        </w:tc>
        <w:tc>
          <w:tcPr>
            <w:tcW w:w="1260" w:type="dxa"/>
            <w:tcBorders>
              <w:top w:val="nil"/>
              <w:left w:val="nil"/>
              <w:bottom w:val="nil"/>
              <w:right w:val="nil"/>
            </w:tcBorders>
            <w:shd w:val="clear" w:color="auto" w:fill="auto"/>
            <w:noWrap/>
            <w:vAlign w:val="center"/>
            <w:hideMark/>
          </w:tcPr>
          <w:p w14:paraId="728A9DD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816 </w:t>
            </w:r>
          </w:p>
        </w:tc>
        <w:tc>
          <w:tcPr>
            <w:tcW w:w="1260" w:type="dxa"/>
            <w:tcBorders>
              <w:top w:val="nil"/>
              <w:left w:val="nil"/>
              <w:bottom w:val="nil"/>
              <w:right w:val="nil"/>
            </w:tcBorders>
            <w:shd w:val="clear" w:color="auto" w:fill="auto"/>
            <w:noWrap/>
            <w:vAlign w:val="center"/>
            <w:hideMark/>
          </w:tcPr>
          <w:p w14:paraId="4AD76142"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394 </w:t>
            </w:r>
          </w:p>
        </w:tc>
        <w:tc>
          <w:tcPr>
            <w:tcW w:w="1845" w:type="dxa"/>
            <w:tcBorders>
              <w:top w:val="nil"/>
              <w:left w:val="nil"/>
              <w:bottom w:val="nil"/>
              <w:right w:val="nil"/>
            </w:tcBorders>
            <w:shd w:val="clear" w:color="auto" w:fill="auto"/>
            <w:noWrap/>
            <w:vAlign w:val="center"/>
            <w:hideMark/>
          </w:tcPr>
          <w:p w14:paraId="43BAF486" w14:textId="2F907E40"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48</w:t>
            </w:r>
            <w:r w:rsidR="00C70DE2" w:rsidRPr="00F72633">
              <w:rPr>
                <w:rFonts w:ascii="Arial Narrow" w:eastAsia="Times New Roman" w:hAnsi="Arial Narrow"/>
                <w:sz w:val="16"/>
                <w:szCs w:val="16"/>
                <w:lang w:val="es-419" w:eastAsia="en-US"/>
              </w:rPr>
              <w:t> %</w:t>
            </w:r>
          </w:p>
        </w:tc>
      </w:tr>
      <w:tr w:rsidR="001645C8" w:rsidRPr="00F72633" w14:paraId="62A95960" w14:textId="77777777" w:rsidTr="00965647">
        <w:trPr>
          <w:trHeight w:val="655"/>
          <w:jc w:val="center"/>
        </w:trPr>
        <w:tc>
          <w:tcPr>
            <w:tcW w:w="253" w:type="dxa"/>
            <w:tcBorders>
              <w:top w:val="nil"/>
              <w:left w:val="nil"/>
              <w:bottom w:val="nil"/>
              <w:right w:val="nil"/>
            </w:tcBorders>
            <w:shd w:val="clear" w:color="auto" w:fill="auto"/>
            <w:noWrap/>
            <w:vAlign w:val="center"/>
            <w:hideMark/>
          </w:tcPr>
          <w:p w14:paraId="16A40929" w14:textId="77777777" w:rsidR="001645C8" w:rsidRPr="00F72633" w:rsidRDefault="001645C8" w:rsidP="00F90BBB">
            <w:pPr>
              <w:jc w:val="right"/>
              <w:rPr>
                <w:rFonts w:ascii="Arial Narrow" w:eastAsia="Times New Roman" w:hAnsi="Arial Narrow"/>
                <w:sz w:val="16"/>
                <w:szCs w:val="16"/>
                <w:lang w:val="es-419" w:eastAsia="en-US"/>
              </w:rPr>
            </w:pPr>
          </w:p>
        </w:tc>
        <w:tc>
          <w:tcPr>
            <w:tcW w:w="4567" w:type="dxa"/>
            <w:tcBorders>
              <w:top w:val="nil"/>
              <w:left w:val="nil"/>
              <w:bottom w:val="nil"/>
              <w:right w:val="nil"/>
            </w:tcBorders>
            <w:shd w:val="clear" w:color="auto" w:fill="auto"/>
            <w:vAlign w:val="center"/>
            <w:hideMark/>
          </w:tcPr>
          <w:p w14:paraId="2E0018BA" w14:textId="63B7EE80" w:rsidR="001645C8" w:rsidRPr="00F72633" w:rsidRDefault="00227B47" w:rsidP="00227B47">
            <w:pPr>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UV.2: </w:t>
            </w:r>
            <w:r w:rsidRPr="00F72633">
              <w:rPr>
                <w:rFonts w:ascii="Arial Narrow" w:hAnsi="Arial Narrow"/>
                <w:sz w:val="16"/>
                <w:lang w:val="es-419"/>
              </w:rPr>
              <w:t>Servicios prestados a la Unión para mejorar la eficacia del sistema de la UPOV</w:t>
            </w:r>
          </w:p>
        </w:tc>
        <w:tc>
          <w:tcPr>
            <w:tcW w:w="1260" w:type="dxa"/>
            <w:tcBorders>
              <w:top w:val="nil"/>
              <w:left w:val="nil"/>
              <w:bottom w:val="nil"/>
              <w:right w:val="nil"/>
            </w:tcBorders>
            <w:shd w:val="clear" w:color="auto" w:fill="auto"/>
            <w:noWrap/>
            <w:vAlign w:val="center"/>
            <w:hideMark/>
          </w:tcPr>
          <w:p w14:paraId="54C15F33" w14:textId="43BAC347" w:rsidR="001645C8" w:rsidRPr="00F72633" w:rsidRDefault="001645C8" w:rsidP="00227B47">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w:t>
            </w:r>
            <w:r w:rsidR="009F7E48"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486 </w:t>
            </w:r>
          </w:p>
        </w:tc>
        <w:tc>
          <w:tcPr>
            <w:tcW w:w="1260" w:type="dxa"/>
            <w:tcBorders>
              <w:top w:val="nil"/>
              <w:left w:val="nil"/>
              <w:bottom w:val="nil"/>
              <w:right w:val="nil"/>
            </w:tcBorders>
            <w:shd w:val="clear" w:color="auto" w:fill="auto"/>
            <w:noWrap/>
            <w:vAlign w:val="center"/>
            <w:hideMark/>
          </w:tcPr>
          <w:p w14:paraId="196E1A3F" w14:textId="79917C4E" w:rsidR="001645C8" w:rsidRPr="00F72633" w:rsidRDefault="001645C8" w:rsidP="00227B47">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2</w:t>
            </w:r>
            <w:r w:rsidR="009F7E48"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126 </w:t>
            </w:r>
          </w:p>
        </w:tc>
        <w:tc>
          <w:tcPr>
            <w:tcW w:w="1845" w:type="dxa"/>
            <w:tcBorders>
              <w:top w:val="nil"/>
              <w:left w:val="nil"/>
              <w:bottom w:val="nil"/>
              <w:right w:val="nil"/>
            </w:tcBorders>
            <w:shd w:val="clear" w:color="auto" w:fill="auto"/>
            <w:noWrap/>
            <w:vAlign w:val="center"/>
            <w:hideMark/>
          </w:tcPr>
          <w:p w14:paraId="2FF199E3" w14:textId="716B4CB8"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47</w:t>
            </w:r>
            <w:r w:rsidR="00C70DE2" w:rsidRPr="00F72633">
              <w:rPr>
                <w:rFonts w:ascii="Arial Narrow" w:eastAsia="Times New Roman" w:hAnsi="Arial Narrow"/>
                <w:sz w:val="16"/>
                <w:szCs w:val="16"/>
                <w:lang w:val="es-419" w:eastAsia="en-US"/>
              </w:rPr>
              <w:t> %</w:t>
            </w:r>
          </w:p>
        </w:tc>
      </w:tr>
      <w:tr w:rsidR="001645C8" w:rsidRPr="00F72633" w14:paraId="3188F56C" w14:textId="77777777" w:rsidTr="00965647">
        <w:trPr>
          <w:trHeight w:val="565"/>
          <w:jc w:val="center"/>
        </w:trPr>
        <w:tc>
          <w:tcPr>
            <w:tcW w:w="253" w:type="dxa"/>
            <w:tcBorders>
              <w:top w:val="nil"/>
              <w:left w:val="nil"/>
              <w:bottom w:val="nil"/>
              <w:right w:val="nil"/>
            </w:tcBorders>
            <w:shd w:val="clear" w:color="auto" w:fill="auto"/>
            <w:noWrap/>
            <w:vAlign w:val="center"/>
            <w:hideMark/>
          </w:tcPr>
          <w:p w14:paraId="15D6B5C2" w14:textId="77777777" w:rsidR="001645C8" w:rsidRPr="00F72633" w:rsidRDefault="001645C8" w:rsidP="00F90BBB">
            <w:pPr>
              <w:jc w:val="right"/>
              <w:rPr>
                <w:rFonts w:ascii="Arial Narrow" w:eastAsia="Times New Roman" w:hAnsi="Arial Narrow"/>
                <w:sz w:val="16"/>
                <w:szCs w:val="16"/>
                <w:lang w:val="es-419" w:eastAsia="en-US"/>
              </w:rPr>
            </w:pPr>
          </w:p>
        </w:tc>
        <w:tc>
          <w:tcPr>
            <w:tcW w:w="4567" w:type="dxa"/>
            <w:tcBorders>
              <w:top w:val="nil"/>
              <w:left w:val="nil"/>
              <w:bottom w:val="nil"/>
              <w:right w:val="nil"/>
            </w:tcBorders>
            <w:shd w:val="clear" w:color="auto" w:fill="auto"/>
            <w:vAlign w:val="center"/>
            <w:hideMark/>
          </w:tcPr>
          <w:p w14:paraId="69078CF2" w14:textId="5616937C" w:rsidR="001645C8" w:rsidRPr="00F72633" w:rsidRDefault="001645C8" w:rsidP="00F90BBB">
            <w:pPr>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UV.3</w:t>
            </w:r>
            <w:r w:rsidR="00227B47" w:rsidRPr="00F72633">
              <w:rPr>
                <w:rFonts w:ascii="Arial Narrow" w:eastAsia="Times New Roman" w:hAnsi="Arial Narrow"/>
                <w:sz w:val="16"/>
                <w:szCs w:val="16"/>
                <w:lang w:val="es-419" w:eastAsia="en-US"/>
              </w:rPr>
              <w:t>:</w:t>
            </w:r>
            <w:r w:rsidRPr="00F72633">
              <w:rPr>
                <w:rFonts w:ascii="Arial Narrow" w:eastAsia="Times New Roman" w:hAnsi="Arial Narrow"/>
                <w:sz w:val="16"/>
                <w:szCs w:val="16"/>
                <w:lang w:val="es-419" w:eastAsia="en-US"/>
              </w:rPr>
              <w:t xml:space="preserve"> </w:t>
            </w:r>
            <w:r w:rsidR="00227B47" w:rsidRPr="00F72633">
              <w:rPr>
                <w:rFonts w:ascii="Arial Narrow" w:hAnsi="Arial Narrow"/>
                <w:sz w:val="16"/>
                <w:lang w:val="es-419"/>
              </w:rPr>
              <w:t>Asistencia para la introducción y aplicación del sistema de la UPOV</w:t>
            </w:r>
          </w:p>
        </w:tc>
        <w:tc>
          <w:tcPr>
            <w:tcW w:w="1260" w:type="dxa"/>
            <w:tcBorders>
              <w:top w:val="nil"/>
              <w:left w:val="nil"/>
              <w:bottom w:val="nil"/>
              <w:right w:val="nil"/>
            </w:tcBorders>
            <w:shd w:val="clear" w:color="auto" w:fill="auto"/>
            <w:noWrap/>
            <w:vAlign w:val="center"/>
            <w:hideMark/>
          </w:tcPr>
          <w:p w14:paraId="61B705F7" w14:textId="7630E638" w:rsidR="001645C8" w:rsidRPr="00F72633" w:rsidRDefault="001645C8" w:rsidP="00227B47">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1</w:t>
            </w:r>
            <w:r w:rsidR="009F7E48"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672 </w:t>
            </w:r>
          </w:p>
        </w:tc>
        <w:tc>
          <w:tcPr>
            <w:tcW w:w="1260" w:type="dxa"/>
            <w:tcBorders>
              <w:top w:val="nil"/>
              <w:left w:val="nil"/>
              <w:bottom w:val="nil"/>
              <w:right w:val="nil"/>
            </w:tcBorders>
            <w:shd w:val="clear" w:color="auto" w:fill="auto"/>
            <w:noWrap/>
            <w:vAlign w:val="center"/>
            <w:hideMark/>
          </w:tcPr>
          <w:p w14:paraId="456CBDB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685 </w:t>
            </w:r>
          </w:p>
        </w:tc>
        <w:tc>
          <w:tcPr>
            <w:tcW w:w="1845" w:type="dxa"/>
            <w:tcBorders>
              <w:top w:val="nil"/>
              <w:left w:val="nil"/>
              <w:bottom w:val="nil"/>
              <w:right w:val="nil"/>
            </w:tcBorders>
            <w:shd w:val="clear" w:color="auto" w:fill="auto"/>
            <w:noWrap/>
            <w:vAlign w:val="center"/>
            <w:hideMark/>
          </w:tcPr>
          <w:p w14:paraId="77B68E96" w14:textId="0C6548C0"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41</w:t>
            </w:r>
            <w:r w:rsidR="00C70DE2" w:rsidRPr="00F72633">
              <w:rPr>
                <w:rFonts w:ascii="Arial Narrow" w:eastAsia="Times New Roman" w:hAnsi="Arial Narrow"/>
                <w:sz w:val="16"/>
                <w:szCs w:val="16"/>
                <w:lang w:val="es-419" w:eastAsia="en-US"/>
              </w:rPr>
              <w:t> %</w:t>
            </w:r>
          </w:p>
        </w:tc>
      </w:tr>
      <w:tr w:rsidR="001645C8" w:rsidRPr="00F72633" w14:paraId="31BDF4CB" w14:textId="77777777" w:rsidTr="00965647">
        <w:trPr>
          <w:trHeight w:val="387"/>
          <w:jc w:val="center"/>
        </w:trPr>
        <w:tc>
          <w:tcPr>
            <w:tcW w:w="253" w:type="dxa"/>
            <w:tcBorders>
              <w:top w:val="nil"/>
              <w:left w:val="nil"/>
              <w:bottom w:val="nil"/>
              <w:right w:val="nil"/>
            </w:tcBorders>
            <w:shd w:val="clear" w:color="auto" w:fill="auto"/>
            <w:noWrap/>
            <w:vAlign w:val="center"/>
            <w:hideMark/>
          </w:tcPr>
          <w:p w14:paraId="6E3BFD7C" w14:textId="77777777" w:rsidR="001645C8" w:rsidRPr="00F72633" w:rsidRDefault="001645C8" w:rsidP="00F90BBB">
            <w:pPr>
              <w:jc w:val="right"/>
              <w:rPr>
                <w:rFonts w:ascii="Arial Narrow" w:eastAsia="Times New Roman" w:hAnsi="Arial Narrow"/>
                <w:sz w:val="16"/>
                <w:szCs w:val="16"/>
                <w:lang w:val="es-419" w:eastAsia="en-US"/>
              </w:rPr>
            </w:pPr>
          </w:p>
        </w:tc>
        <w:tc>
          <w:tcPr>
            <w:tcW w:w="4567" w:type="dxa"/>
            <w:tcBorders>
              <w:top w:val="nil"/>
              <w:left w:val="nil"/>
              <w:bottom w:val="nil"/>
              <w:right w:val="nil"/>
            </w:tcBorders>
            <w:shd w:val="clear" w:color="auto" w:fill="auto"/>
            <w:vAlign w:val="center"/>
            <w:hideMark/>
          </w:tcPr>
          <w:p w14:paraId="0E78624E" w14:textId="6691EEC6" w:rsidR="001645C8" w:rsidRPr="00F72633" w:rsidRDefault="001645C8" w:rsidP="00F90BBB">
            <w:pPr>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UV.4</w:t>
            </w:r>
            <w:r w:rsidR="00227B47" w:rsidRPr="00F72633">
              <w:rPr>
                <w:rFonts w:ascii="Arial Narrow" w:eastAsia="Times New Roman" w:hAnsi="Arial Narrow"/>
                <w:sz w:val="16"/>
                <w:szCs w:val="16"/>
                <w:lang w:val="es-419" w:eastAsia="en-US"/>
              </w:rPr>
              <w:t>:</w:t>
            </w:r>
            <w:r w:rsidRPr="00F72633">
              <w:rPr>
                <w:rFonts w:ascii="Arial Narrow" w:eastAsia="Times New Roman" w:hAnsi="Arial Narrow"/>
                <w:sz w:val="16"/>
                <w:szCs w:val="16"/>
                <w:lang w:val="es-419" w:eastAsia="en-US"/>
              </w:rPr>
              <w:t xml:space="preserve"> </w:t>
            </w:r>
            <w:r w:rsidR="00227B47" w:rsidRPr="00F72633">
              <w:rPr>
                <w:rFonts w:ascii="Arial Narrow" w:hAnsi="Arial Narrow"/>
                <w:sz w:val="16"/>
                <w:lang w:val="es-419"/>
              </w:rPr>
              <w:t>Relaciones exteriores</w:t>
            </w:r>
          </w:p>
        </w:tc>
        <w:tc>
          <w:tcPr>
            <w:tcW w:w="1260" w:type="dxa"/>
            <w:tcBorders>
              <w:top w:val="nil"/>
              <w:left w:val="nil"/>
              <w:bottom w:val="nil"/>
              <w:right w:val="nil"/>
            </w:tcBorders>
            <w:shd w:val="clear" w:color="auto" w:fill="auto"/>
            <w:noWrap/>
            <w:vAlign w:val="center"/>
            <w:hideMark/>
          </w:tcPr>
          <w:p w14:paraId="3B5FFF5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660 </w:t>
            </w:r>
          </w:p>
        </w:tc>
        <w:tc>
          <w:tcPr>
            <w:tcW w:w="1260" w:type="dxa"/>
            <w:tcBorders>
              <w:top w:val="nil"/>
              <w:left w:val="nil"/>
              <w:bottom w:val="nil"/>
              <w:right w:val="nil"/>
            </w:tcBorders>
            <w:shd w:val="clear" w:color="auto" w:fill="auto"/>
            <w:noWrap/>
            <w:vAlign w:val="center"/>
            <w:hideMark/>
          </w:tcPr>
          <w:p w14:paraId="6CD263A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369 </w:t>
            </w:r>
          </w:p>
        </w:tc>
        <w:tc>
          <w:tcPr>
            <w:tcW w:w="1845" w:type="dxa"/>
            <w:tcBorders>
              <w:top w:val="nil"/>
              <w:left w:val="nil"/>
              <w:bottom w:val="nil"/>
              <w:right w:val="nil"/>
            </w:tcBorders>
            <w:shd w:val="clear" w:color="auto" w:fill="auto"/>
            <w:noWrap/>
            <w:vAlign w:val="center"/>
            <w:hideMark/>
          </w:tcPr>
          <w:p w14:paraId="5E45AB00" w14:textId="31ECDF18"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56</w:t>
            </w:r>
            <w:r w:rsidR="00C70DE2" w:rsidRPr="00F72633">
              <w:rPr>
                <w:rFonts w:ascii="Arial Narrow" w:eastAsia="Times New Roman" w:hAnsi="Arial Narrow"/>
                <w:sz w:val="16"/>
                <w:szCs w:val="16"/>
                <w:lang w:val="es-419" w:eastAsia="en-US"/>
              </w:rPr>
              <w:t> %</w:t>
            </w:r>
          </w:p>
        </w:tc>
      </w:tr>
      <w:tr w:rsidR="001645C8" w:rsidRPr="00F72633" w14:paraId="06E17CE8" w14:textId="77777777" w:rsidTr="00965647">
        <w:trPr>
          <w:trHeight w:val="68"/>
          <w:jc w:val="center"/>
        </w:trPr>
        <w:tc>
          <w:tcPr>
            <w:tcW w:w="253" w:type="dxa"/>
            <w:tcBorders>
              <w:top w:val="nil"/>
              <w:left w:val="nil"/>
              <w:bottom w:val="nil"/>
              <w:right w:val="nil"/>
            </w:tcBorders>
            <w:shd w:val="clear" w:color="auto" w:fill="auto"/>
            <w:noWrap/>
            <w:vAlign w:val="center"/>
            <w:hideMark/>
          </w:tcPr>
          <w:p w14:paraId="5F64E8C2" w14:textId="77777777" w:rsidR="001645C8" w:rsidRPr="00F72633" w:rsidRDefault="001645C8" w:rsidP="00F90BBB">
            <w:pPr>
              <w:jc w:val="right"/>
              <w:rPr>
                <w:rFonts w:ascii="Arial Narrow" w:eastAsia="Times New Roman" w:hAnsi="Arial Narrow"/>
                <w:sz w:val="16"/>
                <w:szCs w:val="16"/>
                <w:lang w:val="es-419" w:eastAsia="en-US"/>
              </w:rPr>
            </w:pPr>
          </w:p>
        </w:tc>
        <w:tc>
          <w:tcPr>
            <w:tcW w:w="4567" w:type="dxa"/>
            <w:tcBorders>
              <w:top w:val="nil"/>
              <w:left w:val="nil"/>
              <w:bottom w:val="nil"/>
              <w:right w:val="nil"/>
            </w:tcBorders>
            <w:shd w:val="clear" w:color="auto" w:fill="auto"/>
            <w:noWrap/>
            <w:vAlign w:val="center"/>
            <w:hideMark/>
          </w:tcPr>
          <w:p w14:paraId="3D425296"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hideMark/>
          </w:tcPr>
          <w:p w14:paraId="346724DA"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1260" w:type="dxa"/>
            <w:tcBorders>
              <w:top w:val="nil"/>
              <w:left w:val="nil"/>
              <w:bottom w:val="nil"/>
              <w:right w:val="nil"/>
            </w:tcBorders>
            <w:shd w:val="clear" w:color="auto" w:fill="auto"/>
            <w:noWrap/>
            <w:vAlign w:val="center"/>
            <w:hideMark/>
          </w:tcPr>
          <w:p w14:paraId="73FD894C" w14:textId="77777777" w:rsidR="001645C8" w:rsidRPr="00F72633" w:rsidRDefault="001645C8" w:rsidP="00F90BBB">
            <w:pPr>
              <w:jc w:val="right"/>
              <w:rPr>
                <w:rFonts w:ascii="Arial Narrow" w:eastAsia="Times New Roman" w:hAnsi="Arial Narrow" w:cs="Times New Roman"/>
                <w:sz w:val="16"/>
                <w:szCs w:val="16"/>
                <w:lang w:val="es-419" w:eastAsia="en-US"/>
              </w:rPr>
            </w:pPr>
          </w:p>
        </w:tc>
        <w:tc>
          <w:tcPr>
            <w:tcW w:w="1845" w:type="dxa"/>
            <w:tcBorders>
              <w:top w:val="nil"/>
              <w:left w:val="nil"/>
              <w:bottom w:val="nil"/>
              <w:right w:val="nil"/>
            </w:tcBorders>
            <w:shd w:val="clear" w:color="auto" w:fill="auto"/>
            <w:noWrap/>
            <w:vAlign w:val="center"/>
            <w:hideMark/>
          </w:tcPr>
          <w:p w14:paraId="60891B19" w14:textId="77777777" w:rsidR="001645C8" w:rsidRPr="00F72633" w:rsidRDefault="001645C8" w:rsidP="00F90BBB">
            <w:pPr>
              <w:jc w:val="right"/>
              <w:rPr>
                <w:rFonts w:ascii="Arial Narrow" w:eastAsia="Times New Roman" w:hAnsi="Arial Narrow" w:cs="Times New Roman"/>
                <w:sz w:val="16"/>
                <w:szCs w:val="16"/>
                <w:lang w:val="es-419" w:eastAsia="en-US"/>
              </w:rPr>
            </w:pPr>
          </w:p>
        </w:tc>
      </w:tr>
      <w:tr w:rsidR="001645C8" w:rsidRPr="00F72633" w14:paraId="2894198B" w14:textId="77777777" w:rsidTr="00965647">
        <w:trPr>
          <w:trHeight w:val="268"/>
          <w:jc w:val="center"/>
        </w:trPr>
        <w:tc>
          <w:tcPr>
            <w:tcW w:w="253" w:type="dxa"/>
            <w:tcBorders>
              <w:top w:val="nil"/>
              <w:left w:val="nil"/>
              <w:bottom w:val="nil"/>
              <w:right w:val="nil"/>
            </w:tcBorders>
            <w:shd w:val="clear" w:color="auto" w:fill="auto"/>
            <w:noWrap/>
            <w:vAlign w:val="center"/>
            <w:hideMark/>
          </w:tcPr>
          <w:p w14:paraId="13817633" w14:textId="77777777" w:rsidR="001645C8" w:rsidRPr="00F72633" w:rsidRDefault="001645C8" w:rsidP="00F90BBB">
            <w:pPr>
              <w:jc w:val="left"/>
              <w:rPr>
                <w:rFonts w:ascii="Arial Narrow" w:eastAsia="Times New Roman" w:hAnsi="Arial Narrow" w:cs="Times New Roman"/>
                <w:sz w:val="16"/>
                <w:szCs w:val="16"/>
                <w:lang w:val="es-419" w:eastAsia="en-US"/>
              </w:rPr>
            </w:pPr>
          </w:p>
        </w:tc>
        <w:tc>
          <w:tcPr>
            <w:tcW w:w="4567" w:type="dxa"/>
            <w:tcBorders>
              <w:top w:val="single" w:sz="4" w:space="0" w:color="C7CFD8"/>
              <w:left w:val="nil"/>
              <w:bottom w:val="single" w:sz="12" w:space="0" w:color="C7CFD8"/>
              <w:right w:val="nil"/>
            </w:tcBorders>
            <w:shd w:val="clear" w:color="auto" w:fill="auto"/>
            <w:noWrap/>
            <w:vAlign w:val="center"/>
            <w:hideMark/>
          </w:tcPr>
          <w:p w14:paraId="68A0328E"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TOTAL</w:t>
            </w:r>
          </w:p>
        </w:tc>
        <w:tc>
          <w:tcPr>
            <w:tcW w:w="1260" w:type="dxa"/>
            <w:tcBorders>
              <w:top w:val="single" w:sz="4" w:space="0" w:color="C7CFD8"/>
              <w:left w:val="nil"/>
              <w:bottom w:val="single" w:sz="12" w:space="0" w:color="C7CFD8"/>
              <w:right w:val="nil"/>
            </w:tcBorders>
            <w:shd w:val="clear" w:color="auto" w:fill="auto"/>
            <w:noWrap/>
            <w:vAlign w:val="center"/>
            <w:hideMark/>
          </w:tcPr>
          <w:p w14:paraId="64C05BFB" w14:textId="11027F0D" w:rsidR="001645C8" w:rsidRPr="00F72633" w:rsidRDefault="001645C8" w:rsidP="00227B47">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7</w:t>
            </w:r>
            <w:r w:rsidR="009F7E48"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635 </w:t>
            </w:r>
          </w:p>
        </w:tc>
        <w:tc>
          <w:tcPr>
            <w:tcW w:w="1260" w:type="dxa"/>
            <w:tcBorders>
              <w:top w:val="single" w:sz="4" w:space="0" w:color="C7CFD8"/>
              <w:left w:val="nil"/>
              <w:bottom w:val="single" w:sz="12" w:space="0" w:color="C7CFD8"/>
              <w:right w:val="nil"/>
            </w:tcBorders>
            <w:shd w:val="clear" w:color="auto" w:fill="auto"/>
            <w:noWrap/>
            <w:vAlign w:val="center"/>
            <w:hideMark/>
          </w:tcPr>
          <w:p w14:paraId="4295A9B0" w14:textId="2699DF23" w:rsidR="001645C8" w:rsidRPr="00F72633" w:rsidRDefault="001645C8" w:rsidP="00227B47">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3</w:t>
            </w:r>
            <w:r w:rsidR="009F7E48"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575 </w:t>
            </w:r>
          </w:p>
        </w:tc>
        <w:tc>
          <w:tcPr>
            <w:tcW w:w="1845" w:type="dxa"/>
            <w:tcBorders>
              <w:top w:val="single" w:sz="4" w:space="0" w:color="C7CFD8"/>
              <w:left w:val="nil"/>
              <w:bottom w:val="single" w:sz="12" w:space="0" w:color="C7CFD8"/>
              <w:right w:val="nil"/>
            </w:tcBorders>
            <w:shd w:val="clear" w:color="auto" w:fill="auto"/>
            <w:noWrap/>
            <w:vAlign w:val="center"/>
            <w:hideMark/>
          </w:tcPr>
          <w:p w14:paraId="029BA84C" w14:textId="785137AB"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47</w:t>
            </w:r>
            <w:r w:rsidR="00C70DE2" w:rsidRPr="00F72633">
              <w:rPr>
                <w:rFonts w:ascii="Arial Narrow" w:eastAsia="Times New Roman" w:hAnsi="Arial Narrow"/>
                <w:b/>
                <w:bCs/>
                <w:sz w:val="16"/>
                <w:szCs w:val="16"/>
                <w:lang w:val="es-419" w:eastAsia="en-US"/>
              </w:rPr>
              <w:t> %</w:t>
            </w:r>
          </w:p>
        </w:tc>
      </w:tr>
    </w:tbl>
    <w:p w14:paraId="2B7644CA" w14:textId="77777777" w:rsidR="001645C8" w:rsidRPr="00F72633" w:rsidRDefault="001645C8" w:rsidP="003E3C19">
      <w:pPr>
        <w:jc w:val="left"/>
        <w:rPr>
          <w:rFonts w:eastAsia="Times New Roman"/>
          <w:b/>
          <w:bCs/>
          <w:color w:val="155F1A"/>
          <w:sz w:val="18"/>
          <w:szCs w:val="18"/>
          <w:lang w:val="es-419"/>
        </w:rPr>
      </w:pPr>
      <w:r w:rsidRPr="00F72633">
        <w:rPr>
          <w:rFonts w:eastAsia="Times New Roman"/>
          <w:b/>
          <w:bCs/>
          <w:color w:val="155F1A"/>
          <w:sz w:val="18"/>
          <w:szCs w:val="18"/>
          <w:lang w:val="es-419"/>
        </w:rPr>
        <w:br w:type="page"/>
      </w:r>
    </w:p>
    <w:p w14:paraId="7339BB8B" w14:textId="3AA7428E" w:rsidR="001645C8" w:rsidRPr="00F72633" w:rsidRDefault="004769CE" w:rsidP="003E3C19">
      <w:pPr>
        <w:jc w:val="center"/>
        <w:rPr>
          <w:rFonts w:eastAsia="Times New Roman"/>
          <w:b/>
          <w:bCs/>
          <w:color w:val="155F1A"/>
          <w:sz w:val="18"/>
          <w:szCs w:val="18"/>
          <w:lang w:val="es-419"/>
        </w:rPr>
      </w:pPr>
      <w:r w:rsidRPr="00F72633">
        <w:rPr>
          <w:b/>
          <w:color w:val="155F1A"/>
          <w:sz w:val="18"/>
          <w:lang w:val="es-419"/>
        </w:rPr>
        <w:lastRenderedPageBreak/>
        <w:t>Cuadro 5. Gastos por subprograma en</w:t>
      </w:r>
      <w:r w:rsidR="001645C8" w:rsidRPr="00F72633">
        <w:rPr>
          <w:rFonts w:eastAsia="Times New Roman"/>
          <w:b/>
          <w:bCs/>
          <w:color w:val="155F1A"/>
          <w:sz w:val="18"/>
          <w:szCs w:val="18"/>
          <w:lang w:val="es-419"/>
        </w:rPr>
        <w:t xml:space="preserve"> 2022</w:t>
      </w:r>
    </w:p>
    <w:p w14:paraId="08DCAC40" w14:textId="23AE7D96" w:rsidR="001645C8" w:rsidRPr="00F72633" w:rsidRDefault="001645C8" w:rsidP="003E3C19">
      <w:pPr>
        <w:jc w:val="center"/>
        <w:rPr>
          <w:rFonts w:eastAsia="Times New Roman"/>
          <w:bCs/>
          <w:i/>
          <w:sz w:val="14"/>
          <w:szCs w:val="16"/>
          <w:lang w:val="es-419"/>
        </w:rPr>
      </w:pPr>
      <w:r w:rsidRPr="00F72633">
        <w:rPr>
          <w:rFonts w:eastAsia="Times New Roman"/>
          <w:bCs/>
          <w:i/>
          <w:sz w:val="14"/>
          <w:szCs w:val="16"/>
          <w:lang w:val="es-419"/>
        </w:rPr>
        <w:t>(</w:t>
      </w:r>
      <w:r w:rsidR="004769CE" w:rsidRPr="00F72633">
        <w:rPr>
          <w:i/>
          <w:sz w:val="14"/>
          <w:lang w:val="es-419"/>
        </w:rPr>
        <w:t>en miles de francos suizos</w:t>
      </w:r>
      <w:r w:rsidRPr="00F72633">
        <w:rPr>
          <w:rFonts w:eastAsia="Times New Roman"/>
          <w:bCs/>
          <w:i/>
          <w:sz w:val="14"/>
          <w:szCs w:val="16"/>
          <w:lang w:val="es-419"/>
        </w:rPr>
        <w:t>)</w:t>
      </w:r>
    </w:p>
    <w:p w14:paraId="14C8C455" w14:textId="77777777" w:rsidR="001645C8" w:rsidRPr="00F72633" w:rsidRDefault="001645C8" w:rsidP="003E3C19">
      <w:pPr>
        <w:rPr>
          <w:rFonts w:eastAsiaTheme="minorHAnsi"/>
          <w:lang w:val="es-419"/>
        </w:rPr>
      </w:pPr>
    </w:p>
    <w:tbl>
      <w:tblPr>
        <w:tblW w:w="8580" w:type="dxa"/>
        <w:jc w:val="center"/>
        <w:tblLook w:val="04A0" w:firstRow="1" w:lastRow="0" w:firstColumn="1" w:lastColumn="0" w:noHBand="0" w:noVBand="1"/>
      </w:tblPr>
      <w:tblGrid>
        <w:gridCol w:w="400"/>
        <w:gridCol w:w="2840"/>
        <w:gridCol w:w="1075"/>
        <w:gridCol w:w="1169"/>
        <w:gridCol w:w="1075"/>
        <w:gridCol w:w="981"/>
        <w:gridCol w:w="1040"/>
      </w:tblGrid>
      <w:tr w:rsidR="001645C8" w:rsidRPr="00F72633" w14:paraId="6E63C2D6" w14:textId="77777777" w:rsidTr="009F7E48">
        <w:trPr>
          <w:trHeight w:val="360"/>
          <w:jc w:val="center"/>
        </w:trPr>
        <w:tc>
          <w:tcPr>
            <w:tcW w:w="400" w:type="dxa"/>
            <w:tcBorders>
              <w:top w:val="nil"/>
              <w:left w:val="nil"/>
              <w:bottom w:val="nil"/>
              <w:right w:val="nil"/>
            </w:tcBorders>
            <w:shd w:val="clear" w:color="000000" w:fill="C7CFD8"/>
            <w:noWrap/>
            <w:vAlign w:val="bottom"/>
            <w:hideMark/>
          </w:tcPr>
          <w:p w14:paraId="0028AA6A"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2840" w:type="dxa"/>
            <w:vMerge w:val="restart"/>
            <w:tcBorders>
              <w:top w:val="nil"/>
              <w:left w:val="nil"/>
              <w:bottom w:val="nil"/>
              <w:right w:val="nil"/>
            </w:tcBorders>
            <w:shd w:val="clear" w:color="000000" w:fill="C7CFD8"/>
            <w:noWrap/>
            <w:vAlign w:val="center"/>
            <w:hideMark/>
          </w:tcPr>
          <w:p w14:paraId="331E66D2" w14:textId="5A345EAE" w:rsidR="001645C8" w:rsidRPr="00F72633" w:rsidRDefault="004769CE"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Categoría de gasto</w:t>
            </w:r>
          </w:p>
        </w:tc>
        <w:tc>
          <w:tcPr>
            <w:tcW w:w="4300" w:type="dxa"/>
            <w:gridSpan w:val="4"/>
            <w:tcBorders>
              <w:top w:val="nil"/>
              <w:left w:val="nil"/>
              <w:bottom w:val="single" w:sz="4" w:space="0" w:color="BFBFBF"/>
              <w:right w:val="nil"/>
            </w:tcBorders>
            <w:shd w:val="clear" w:color="000000" w:fill="C7CFD8"/>
            <w:noWrap/>
            <w:vAlign w:val="center"/>
            <w:hideMark/>
          </w:tcPr>
          <w:p w14:paraId="305B569D" w14:textId="30E1A7B4" w:rsidR="001645C8" w:rsidRPr="00F72633" w:rsidRDefault="004769CE"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Subprogramas</w:t>
            </w:r>
          </w:p>
        </w:tc>
        <w:tc>
          <w:tcPr>
            <w:tcW w:w="1040" w:type="dxa"/>
            <w:tcBorders>
              <w:top w:val="nil"/>
              <w:left w:val="nil"/>
              <w:bottom w:val="nil"/>
              <w:right w:val="nil"/>
            </w:tcBorders>
            <w:shd w:val="clear" w:color="000000" w:fill="C7CFD8"/>
            <w:noWrap/>
            <w:vAlign w:val="center"/>
            <w:hideMark/>
          </w:tcPr>
          <w:p w14:paraId="3B16A279"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w:t>
            </w:r>
          </w:p>
        </w:tc>
      </w:tr>
      <w:tr w:rsidR="001645C8" w:rsidRPr="00F72633" w14:paraId="3716DA03" w14:textId="77777777" w:rsidTr="009F7E48">
        <w:trPr>
          <w:trHeight w:val="360"/>
          <w:jc w:val="center"/>
        </w:trPr>
        <w:tc>
          <w:tcPr>
            <w:tcW w:w="400" w:type="dxa"/>
            <w:tcBorders>
              <w:top w:val="nil"/>
              <w:left w:val="nil"/>
              <w:bottom w:val="nil"/>
              <w:right w:val="nil"/>
            </w:tcBorders>
            <w:shd w:val="clear" w:color="000000" w:fill="C7CFD8"/>
            <w:noWrap/>
            <w:vAlign w:val="bottom"/>
            <w:hideMark/>
          </w:tcPr>
          <w:p w14:paraId="04368581"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2840" w:type="dxa"/>
            <w:vMerge/>
            <w:tcBorders>
              <w:top w:val="nil"/>
              <w:left w:val="nil"/>
              <w:bottom w:val="nil"/>
              <w:right w:val="nil"/>
            </w:tcBorders>
            <w:vAlign w:val="center"/>
            <w:hideMark/>
          </w:tcPr>
          <w:p w14:paraId="3AAC5FC9" w14:textId="77777777" w:rsidR="001645C8" w:rsidRPr="00F72633" w:rsidRDefault="001645C8" w:rsidP="00F90BBB">
            <w:pPr>
              <w:jc w:val="left"/>
              <w:rPr>
                <w:rFonts w:ascii="Arial Narrow" w:eastAsia="Times New Roman" w:hAnsi="Arial Narrow"/>
                <w:b/>
                <w:bCs/>
                <w:sz w:val="16"/>
                <w:szCs w:val="16"/>
                <w:lang w:val="es-419" w:eastAsia="en-US"/>
              </w:rPr>
            </w:pPr>
          </w:p>
        </w:tc>
        <w:tc>
          <w:tcPr>
            <w:tcW w:w="1075" w:type="dxa"/>
            <w:tcBorders>
              <w:top w:val="nil"/>
              <w:left w:val="nil"/>
              <w:bottom w:val="nil"/>
              <w:right w:val="nil"/>
            </w:tcBorders>
            <w:shd w:val="clear" w:color="000000" w:fill="C7CFD8"/>
            <w:noWrap/>
            <w:vAlign w:val="center"/>
            <w:hideMark/>
          </w:tcPr>
          <w:p w14:paraId="01E36529"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UV.1</w:t>
            </w:r>
          </w:p>
        </w:tc>
        <w:tc>
          <w:tcPr>
            <w:tcW w:w="1169" w:type="dxa"/>
            <w:tcBorders>
              <w:top w:val="nil"/>
              <w:left w:val="nil"/>
              <w:bottom w:val="nil"/>
              <w:right w:val="nil"/>
            </w:tcBorders>
            <w:shd w:val="clear" w:color="000000" w:fill="C7CFD8"/>
            <w:noWrap/>
            <w:vAlign w:val="center"/>
            <w:hideMark/>
          </w:tcPr>
          <w:p w14:paraId="0BAC7FC8"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UV.2</w:t>
            </w:r>
          </w:p>
        </w:tc>
        <w:tc>
          <w:tcPr>
            <w:tcW w:w="1075" w:type="dxa"/>
            <w:tcBorders>
              <w:top w:val="nil"/>
              <w:left w:val="nil"/>
              <w:bottom w:val="nil"/>
              <w:right w:val="nil"/>
            </w:tcBorders>
            <w:shd w:val="clear" w:color="000000" w:fill="C7CFD8"/>
            <w:noWrap/>
            <w:vAlign w:val="center"/>
            <w:hideMark/>
          </w:tcPr>
          <w:p w14:paraId="73AEE3BD"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UV.3</w:t>
            </w:r>
          </w:p>
        </w:tc>
        <w:tc>
          <w:tcPr>
            <w:tcW w:w="981" w:type="dxa"/>
            <w:tcBorders>
              <w:top w:val="nil"/>
              <w:left w:val="nil"/>
              <w:bottom w:val="nil"/>
              <w:right w:val="nil"/>
            </w:tcBorders>
            <w:shd w:val="clear" w:color="000000" w:fill="C7CFD8"/>
            <w:noWrap/>
            <w:vAlign w:val="center"/>
            <w:hideMark/>
          </w:tcPr>
          <w:p w14:paraId="1763B075"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UV.4</w:t>
            </w:r>
          </w:p>
        </w:tc>
        <w:tc>
          <w:tcPr>
            <w:tcW w:w="1040" w:type="dxa"/>
            <w:tcBorders>
              <w:top w:val="nil"/>
              <w:left w:val="nil"/>
              <w:bottom w:val="nil"/>
              <w:right w:val="nil"/>
            </w:tcBorders>
            <w:shd w:val="clear" w:color="000000" w:fill="C7CFD8"/>
            <w:noWrap/>
            <w:vAlign w:val="center"/>
            <w:hideMark/>
          </w:tcPr>
          <w:p w14:paraId="667524EF"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Total</w:t>
            </w:r>
          </w:p>
        </w:tc>
      </w:tr>
      <w:tr w:rsidR="001645C8" w:rsidRPr="00F72633" w14:paraId="6E39CEBE" w14:textId="77777777" w:rsidTr="009F7E48">
        <w:trPr>
          <w:trHeight w:val="330"/>
          <w:jc w:val="center"/>
        </w:trPr>
        <w:tc>
          <w:tcPr>
            <w:tcW w:w="3240" w:type="dxa"/>
            <w:gridSpan w:val="2"/>
            <w:tcBorders>
              <w:top w:val="nil"/>
              <w:left w:val="nil"/>
              <w:bottom w:val="nil"/>
              <w:right w:val="nil"/>
            </w:tcBorders>
            <w:shd w:val="clear" w:color="auto" w:fill="auto"/>
            <w:noWrap/>
            <w:vAlign w:val="bottom"/>
            <w:hideMark/>
          </w:tcPr>
          <w:p w14:paraId="02B6823B" w14:textId="72A8B21D" w:rsidR="001645C8" w:rsidRPr="00F72633" w:rsidRDefault="004769CE"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Recursos de personal</w:t>
            </w:r>
          </w:p>
        </w:tc>
        <w:tc>
          <w:tcPr>
            <w:tcW w:w="1075" w:type="dxa"/>
            <w:tcBorders>
              <w:top w:val="nil"/>
              <w:left w:val="nil"/>
              <w:bottom w:val="nil"/>
              <w:right w:val="nil"/>
            </w:tcBorders>
            <w:shd w:val="clear" w:color="auto" w:fill="auto"/>
            <w:noWrap/>
            <w:vAlign w:val="bottom"/>
            <w:hideMark/>
          </w:tcPr>
          <w:p w14:paraId="2EAEBC72" w14:textId="77777777" w:rsidR="001645C8" w:rsidRPr="00F72633" w:rsidRDefault="001645C8" w:rsidP="00F90BBB">
            <w:pPr>
              <w:jc w:val="left"/>
              <w:rPr>
                <w:rFonts w:ascii="Arial Narrow" w:eastAsia="Times New Roman" w:hAnsi="Arial Narrow"/>
                <w:b/>
                <w:bCs/>
                <w:sz w:val="16"/>
                <w:szCs w:val="16"/>
                <w:lang w:val="es-419" w:eastAsia="en-US"/>
              </w:rPr>
            </w:pPr>
          </w:p>
        </w:tc>
        <w:tc>
          <w:tcPr>
            <w:tcW w:w="1169" w:type="dxa"/>
            <w:tcBorders>
              <w:top w:val="nil"/>
              <w:left w:val="nil"/>
              <w:bottom w:val="nil"/>
              <w:right w:val="nil"/>
            </w:tcBorders>
            <w:shd w:val="clear" w:color="auto" w:fill="auto"/>
            <w:noWrap/>
            <w:vAlign w:val="bottom"/>
            <w:hideMark/>
          </w:tcPr>
          <w:p w14:paraId="00801EF0"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4E2F862C"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103B2D8A"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494EC71F"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5272763E"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3ABD5119"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0BDD1283" w14:textId="0CBCE535"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Puestos</w:t>
            </w:r>
          </w:p>
        </w:tc>
        <w:tc>
          <w:tcPr>
            <w:tcW w:w="1075" w:type="dxa"/>
            <w:tcBorders>
              <w:top w:val="nil"/>
              <w:left w:val="nil"/>
              <w:bottom w:val="nil"/>
              <w:right w:val="nil"/>
            </w:tcBorders>
            <w:shd w:val="clear" w:color="auto" w:fill="auto"/>
            <w:noWrap/>
            <w:vAlign w:val="bottom"/>
            <w:hideMark/>
          </w:tcPr>
          <w:p w14:paraId="3B1BEAA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352 </w:t>
            </w:r>
          </w:p>
        </w:tc>
        <w:tc>
          <w:tcPr>
            <w:tcW w:w="1169" w:type="dxa"/>
            <w:tcBorders>
              <w:top w:val="nil"/>
              <w:left w:val="nil"/>
              <w:bottom w:val="nil"/>
              <w:right w:val="nil"/>
            </w:tcBorders>
            <w:shd w:val="clear" w:color="auto" w:fill="auto"/>
            <w:noWrap/>
            <w:vAlign w:val="bottom"/>
            <w:hideMark/>
          </w:tcPr>
          <w:p w14:paraId="3906ECC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956 </w:t>
            </w:r>
          </w:p>
        </w:tc>
        <w:tc>
          <w:tcPr>
            <w:tcW w:w="1075" w:type="dxa"/>
            <w:tcBorders>
              <w:top w:val="nil"/>
              <w:left w:val="nil"/>
              <w:bottom w:val="nil"/>
              <w:right w:val="nil"/>
            </w:tcBorders>
            <w:shd w:val="clear" w:color="auto" w:fill="auto"/>
            <w:noWrap/>
            <w:vAlign w:val="bottom"/>
            <w:hideMark/>
          </w:tcPr>
          <w:p w14:paraId="59B75B4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586 </w:t>
            </w:r>
          </w:p>
        </w:tc>
        <w:tc>
          <w:tcPr>
            <w:tcW w:w="981" w:type="dxa"/>
            <w:tcBorders>
              <w:top w:val="nil"/>
              <w:left w:val="nil"/>
              <w:bottom w:val="nil"/>
              <w:right w:val="nil"/>
            </w:tcBorders>
            <w:shd w:val="clear" w:color="auto" w:fill="auto"/>
            <w:noWrap/>
            <w:vAlign w:val="bottom"/>
            <w:hideMark/>
          </w:tcPr>
          <w:p w14:paraId="6A356E5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238 </w:t>
            </w:r>
          </w:p>
        </w:tc>
        <w:tc>
          <w:tcPr>
            <w:tcW w:w="1040" w:type="dxa"/>
            <w:tcBorders>
              <w:top w:val="nil"/>
              <w:left w:val="nil"/>
              <w:bottom w:val="nil"/>
              <w:right w:val="nil"/>
            </w:tcBorders>
            <w:shd w:val="clear" w:color="auto" w:fill="auto"/>
            <w:noWrap/>
            <w:vAlign w:val="bottom"/>
            <w:hideMark/>
          </w:tcPr>
          <w:p w14:paraId="1ED7A8C6" w14:textId="192F12BB" w:rsidR="001645C8" w:rsidRPr="00F72633" w:rsidRDefault="001645C8" w:rsidP="004769C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2</w:t>
            </w:r>
            <w:r w:rsidR="00CD2010"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131 </w:t>
            </w:r>
          </w:p>
        </w:tc>
      </w:tr>
      <w:tr w:rsidR="001645C8" w:rsidRPr="00F72633" w14:paraId="1FBA4246"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0C2EF8DA" w14:textId="77777777" w:rsidR="001645C8" w:rsidRPr="00F72633" w:rsidRDefault="001645C8" w:rsidP="00F90BBB">
            <w:pPr>
              <w:jc w:val="lef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010D6BE3" w14:textId="1BEE1657"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Personal temporal</w:t>
            </w:r>
          </w:p>
        </w:tc>
        <w:tc>
          <w:tcPr>
            <w:tcW w:w="1075" w:type="dxa"/>
            <w:tcBorders>
              <w:top w:val="nil"/>
              <w:left w:val="nil"/>
              <w:bottom w:val="nil"/>
              <w:right w:val="nil"/>
            </w:tcBorders>
            <w:shd w:val="clear" w:color="auto" w:fill="auto"/>
            <w:noWrap/>
            <w:vAlign w:val="bottom"/>
            <w:hideMark/>
          </w:tcPr>
          <w:p w14:paraId="7AF088C7" w14:textId="77777777" w:rsidR="001645C8" w:rsidRPr="00F72633" w:rsidRDefault="00D948CA"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c>
          <w:tcPr>
            <w:tcW w:w="1169" w:type="dxa"/>
            <w:tcBorders>
              <w:top w:val="nil"/>
              <w:left w:val="nil"/>
              <w:bottom w:val="nil"/>
              <w:right w:val="nil"/>
            </w:tcBorders>
            <w:shd w:val="clear" w:color="auto" w:fill="auto"/>
            <w:noWrap/>
            <w:vAlign w:val="bottom"/>
            <w:hideMark/>
          </w:tcPr>
          <w:p w14:paraId="78BC25AA"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168 </w:t>
            </w:r>
          </w:p>
        </w:tc>
        <w:tc>
          <w:tcPr>
            <w:tcW w:w="1075" w:type="dxa"/>
            <w:tcBorders>
              <w:top w:val="nil"/>
              <w:left w:val="nil"/>
              <w:bottom w:val="nil"/>
              <w:right w:val="nil"/>
            </w:tcBorders>
            <w:shd w:val="clear" w:color="auto" w:fill="auto"/>
            <w:noWrap/>
            <w:vAlign w:val="bottom"/>
            <w:hideMark/>
          </w:tcPr>
          <w:p w14:paraId="64FDDB60"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p>
        </w:tc>
        <w:tc>
          <w:tcPr>
            <w:tcW w:w="981" w:type="dxa"/>
            <w:tcBorders>
              <w:top w:val="nil"/>
              <w:left w:val="nil"/>
              <w:bottom w:val="nil"/>
              <w:right w:val="nil"/>
            </w:tcBorders>
            <w:shd w:val="clear" w:color="auto" w:fill="auto"/>
            <w:noWrap/>
            <w:vAlign w:val="bottom"/>
            <w:hideMark/>
          </w:tcPr>
          <w:p w14:paraId="79D5CC03"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1A007CA3"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168 </w:t>
            </w:r>
          </w:p>
        </w:tc>
      </w:tr>
      <w:tr w:rsidR="001645C8" w:rsidRPr="00F72633" w14:paraId="356E914C"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478D2EBA" w14:textId="77777777" w:rsidR="001645C8" w:rsidRPr="00F72633" w:rsidRDefault="001645C8" w:rsidP="00F90BBB">
            <w:pPr>
              <w:jc w:val="lef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0E46715C" w14:textId="6288C794" w:rsidR="001645C8" w:rsidRPr="00F72633" w:rsidRDefault="004769CE" w:rsidP="00EA7BCE">
            <w:pPr>
              <w:jc w:val="left"/>
              <w:rPr>
                <w:rFonts w:ascii="Arial Narrow" w:eastAsia="Times New Roman" w:hAnsi="Arial Narrow"/>
                <w:sz w:val="16"/>
                <w:szCs w:val="16"/>
                <w:lang w:val="es-419" w:eastAsia="en-US"/>
              </w:rPr>
            </w:pPr>
            <w:r w:rsidRPr="00F72633">
              <w:rPr>
                <w:rFonts w:ascii="Arial Narrow" w:hAnsi="Arial Narrow"/>
                <w:sz w:val="16"/>
                <w:lang w:val="es-419"/>
              </w:rPr>
              <w:t xml:space="preserve">Otros </w:t>
            </w:r>
            <w:r w:rsidR="00EA7BCE" w:rsidRPr="00F72633">
              <w:rPr>
                <w:rFonts w:ascii="Arial Narrow" w:hAnsi="Arial Narrow"/>
                <w:sz w:val="16"/>
                <w:lang w:val="es-419"/>
              </w:rPr>
              <w:t>gastos</w:t>
            </w:r>
            <w:r w:rsidRPr="00F72633">
              <w:rPr>
                <w:rFonts w:ascii="Arial Narrow" w:hAnsi="Arial Narrow"/>
                <w:sz w:val="16"/>
                <w:lang w:val="es-419"/>
              </w:rPr>
              <w:t xml:space="preserve"> de personal</w:t>
            </w:r>
          </w:p>
        </w:tc>
        <w:tc>
          <w:tcPr>
            <w:tcW w:w="1075" w:type="dxa"/>
            <w:tcBorders>
              <w:top w:val="nil"/>
              <w:left w:val="nil"/>
              <w:bottom w:val="nil"/>
              <w:right w:val="nil"/>
            </w:tcBorders>
            <w:shd w:val="clear" w:color="auto" w:fill="auto"/>
            <w:noWrap/>
            <w:vAlign w:val="bottom"/>
            <w:hideMark/>
          </w:tcPr>
          <w:p w14:paraId="3F779D74"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6AE04C78"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39E295EC"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449E622A"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0B28C086" w14:textId="1CBDFE43"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r w:rsidR="00933446" w:rsidRPr="00F72633">
              <w:rPr>
                <w:rFonts w:ascii="Arial Narrow" w:eastAsia="Times New Roman" w:hAnsi="Arial Narrow"/>
                <w:sz w:val="16"/>
                <w:szCs w:val="16"/>
                <w:lang w:val="es-419" w:eastAsia="en-US"/>
              </w:rPr>
              <w:t xml:space="preserve"> </w:t>
            </w:r>
          </w:p>
        </w:tc>
      </w:tr>
      <w:tr w:rsidR="001645C8" w:rsidRPr="00F72633" w14:paraId="5E03EBE5" w14:textId="77777777" w:rsidTr="009F7E48">
        <w:trPr>
          <w:trHeight w:val="285"/>
          <w:jc w:val="center"/>
        </w:trPr>
        <w:tc>
          <w:tcPr>
            <w:tcW w:w="400" w:type="dxa"/>
            <w:tcBorders>
              <w:top w:val="nil"/>
              <w:left w:val="nil"/>
              <w:bottom w:val="nil"/>
              <w:right w:val="nil"/>
            </w:tcBorders>
            <w:shd w:val="clear" w:color="auto" w:fill="auto"/>
            <w:noWrap/>
            <w:vAlign w:val="bottom"/>
            <w:hideMark/>
          </w:tcPr>
          <w:p w14:paraId="6DC8E86C" w14:textId="77777777" w:rsidR="001645C8" w:rsidRPr="00F72633" w:rsidRDefault="001645C8" w:rsidP="00F90BBB">
            <w:pPr>
              <w:jc w:val="left"/>
              <w:rPr>
                <w:rFonts w:ascii="Arial Narrow" w:eastAsia="Times New Roman" w:hAnsi="Arial Narrow"/>
                <w:sz w:val="16"/>
                <w:szCs w:val="16"/>
                <w:lang w:val="es-419" w:eastAsia="en-US"/>
              </w:rPr>
            </w:pPr>
          </w:p>
        </w:tc>
        <w:tc>
          <w:tcPr>
            <w:tcW w:w="2840" w:type="dxa"/>
            <w:tcBorders>
              <w:top w:val="single" w:sz="4" w:space="0" w:color="C7CFD8"/>
              <w:left w:val="nil"/>
              <w:bottom w:val="single" w:sz="12" w:space="0" w:color="C7CFD8"/>
              <w:right w:val="nil"/>
            </w:tcBorders>
            <w:shd w:val="clear" w:color="auto" w:fill="auto"/>
            <w:noWrap/>
            <w:vAlign w:val="center"/>
            <w:hideMark/>
          </w:tcPr>
          <w:p w14:paraId="4F8972F1" w14:textId="190033D2" w:rsidR="001645C8" w:rsidRPr="00F72633" w:rsidRDefault="004769CE"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Total de recursos de personal</w:t>
            </w:r>
          </w:p>
        </w:tc>
        <w:tc>
          <w:tcPr>
            <w:tcW w:w="1075" w:type="dxa"/>
            <w:tcBorders>
              <w:top w:val="single" w:sz="4" w:space="0" w:color="C7CFD8"/>
              <w:left w:val="nil"/>
              <w:bottom w:val="single" w:sz="12" w:space="0" w:color="C7CFD8"/>
              <w:right w:val="nil"/>
            </w:tcBorders>
            <w:shd w:val="clear" w:color="auto" w:fill="auto"/>
            <w:noWrap/>
            <w:vAlign w:val="center"/>
            <w:hideMark/>
          </w:tcPr>
          <w:p w14:paraId="670B5D31"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352 </w:t>
            </w:r>
          </w:p>
        </w:tc>
        <w:tc>
          <w:tcPr>
            <w:tcW w:w="1169" w:type="dxa"/>
            <w:tcBorders>
              <w:top w:val="single" w:sz="4" w:space="0" w:color="C7CFD8"/>
              <w:left w:val="nil"/>
              <w:bottom w:val="single" w:sz="12" w:space="0" w:color="C7CFD8"/>
              <w:right w:val="nil"/>
            </w:tcBorders>
            <w:shd w:val="clear" w:color="auto" w:fill="auto"/>
            <w:noWrap/>
            <w:vAlign w:val="center"/>
            <w:hideMark/>
          </w:tcPr>
          <w:p w14:paraId="3A03123E" w14:textId="1F97C619"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124 </w:t>
            </w:r>
          </w:p>
        </w:tc>
        <w:tc>
          <w:tcPr>
            <w:tcW w:w="1075" w:type="dxa"/>
            <w:tcBorders>
              <w:top w:val="single" w:sz="4" w:space="0" w:color="C7CFD8"/>
              <w:left w:val="nil"/>
              <w:bottom w:val="single" w:sz="12" w:space="0" w:color="C7CFD8"/>
              <w:right w:val="nil"/>
            </w:tcBorders>
            <w:shd w:val="clear" w:color="auto" w:fill="auto"/>
            <w:noWrap/>
            <w:vAlign w:val="center"/>
            <w:hideMark/>
          </w:tcPr>
          <w:p w14:paraId="22DFAE84" w14:textId="77777777" w:rsidR="001645C8" w:rsidRPr="00F72633" w:rsidRDefault="001645C8" w:rsidP="00D948CA">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586 </w:t>
            </w:r>
          </w:p>
        </w:tc>
        <w:tc>
          <w:tcPr>
            <w:tcW w:w="981" w:type="dxa"/>
            <w:tcBorders>
              <w:top w:val="single" w:sz="4" w:space="0" w:color="C7CFD8"/>
              <w:left w:val="nil"/>
              <w:bottom w:val="single" w:sz="12" w:space="0" w:color="C7CFD8"/>
              <w:right w:val="nil"/>
            </w:tcBorders>
            <w:shd w:val="clear" w:color="auto" w:fill="auto"/>
            <w:noWrap/>
            <w:vAlign w:val="center"/>
            <w:hideMark/>
          </w:tcPr>
          <w:p w14:paraId="7A36B732" w14:textId="77777777" w:rsidR="001645C8" w:rsidRPr="00F72633" w:rsidRDefault="001645C8" w:rsidP="00D948CA">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238 </w:t>
            </w:r>
          </w:p>
        </w:tc>
        <w:tc>
          <w:tcPr>
            <w:tcW w:w="1040" w:type="dxa"/>
            <w:tcBorders>
              <w:top w:val="single" w:sz="4" w:space="0" w:color="C7CFD8"/>
              <w:left w:val="nil"/>
              <w:bottom w:val="single" w:sz="12" w:space="0" w:color="C7CFD8"/>
              <w:right w:val="nil"/>
            </w:tcBorders>
            <w:shd w:val="clear" w:color="auto" w:fill="auto"/>
            <w:noWrap/>
            <w:vAlign w:val="center"/>
            <w:hideMark/>
          </w:tcPr>
          <w:p w14:paraId="201EF0AD" w14:textId="6266E74F"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2</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300 </w:t>
            </w:r>
          </w:p>
        </w:tc>
      </w:tr>
      <w:tr w:rsidR="001645C8" w:rsidRPr="00F72633" w14:paraId="3731C030" w14:textId="77777777" w:rsidTr="009F7E48">
        <w:trPr>
          <w:trHeight w:val="285"/>
          <w:jc w:val="center"/>
        </w:trPr>
        <w:tc>
          <w:tcPr>
            <w:tcW w:w="400" w:type="dxa"/>
            <w:tcBorders>
              <w:top w:val="nil"/>
              <w:left w:val="nil"/>
              <w:bottom w:val="nil"/>
              <w:right w:val="nil"/>
            </w:tcBorders>
            <w:shd w:val="clear" w:color="auto" w:fill="auto"/>
            <w:noWrap/>
            <w:vAlign w:val="bottom"/>
            <w:hideMark/>
          </w:tcPr>
          <w:p w14:paraId="577DA23B" w14:textId="77777777" w:rsidR="001645C8" w:rsidRPr="00F72633" w:rsidRDefault="001645C8" w:rsidP="00F90BBB">
            <w:pPr>
              <w:jc w:val="right"/>
              <w:rPr>
                <w:rFonts w:ascii="Arial Narrow" w:eastAsia="Times New Roman" w:hAnsi="Arial Narrow"/>
                <w:b/>
                <w:bCs/>
                <w:sz w:val="16"/>
                <w:szCs w:val="16"/>
                <w:lang w:val="es-419" w:eastAsia="en-US"/>
              </w:rPr>
            </w:pPr>
          </w:p>
        </w:tc>
        <w:tc>
          <w:tcPr>
            <w:tcW w:w="2840" w:type="dxa"/>
            <w:tcBorders>
              <w:top w:val="nil"/>
              <w:left w:val="nil"/>
              <w:bottom w:val="nil"/>
              <w:right w:val="nil"/>
            </w:tcBorders>
            <w:shd w:val="clear" w:color="auto" w:fill="auto"/>
            <w:noWrap/>
            <w:vAlign w:val="bottom"/>
            <w:hideMark/>
          </w:tcPr>
          <w:p w14:paraId="09C59CCF" w14:textId="77777777" w:rsidR="001645C8" w:rsidRPr="00F72633" w:rsidRDefault="001645C8" w:rsidP="00F90BBB">
            <w:pPr>
              <w:jc w:val="lef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7D1D6FD6" w14:textId="77777777" w:rsidR="001645C8" w:rsidRPr="00F72633" w:rsidRDefault="001645C8" w:rsidP="00F90BBB">
            <w:pPr>
              <w:jc w:val="left"/>
              <w:rPr>
                <w:rFonts w:ascii="Times New Roman" w:eastAsia="Times New Roman" w:hAnsi="Times New Roman" w:cs="Times New Roman"/>
                <w:lang w:val="es-419" w:eastAsia="en-US"/>
              </w:rPr>
            </w:pPr>
          </w:p>
        </w:tc>
        <w:tc>
          <w:tcPr>
            <w:tcW w:w="1169" w:type="dxa"/>
            <w:tcBorders>
              <w:top w:val="nil"/>
              <w:left w:val="nil"/>
              <w:bottom w:val="nil"/>
              <w:right w:val="nil"/>
            </w:tcBorders>
            <w:shd w:val="clear" w:color="auto" w:fill="auto"/>
            <w:noWrap/>
            <w:vAlign w:val="bottom"/>
            <w:hideMark/>
          </w:tcPr>
          <w:p w14:paraId="6D585F3F"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724AF37D"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406BE923"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06DBBEC2"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445932FF" w14:textId="77777777" w:rsidTr="009F7E48">
        <w:trPr>
          <w:trHeight w:val="270"/>
          <w:jc w:val="center"/>
        </w:trPr>
        <w:tc>
          <w:tcPr>
            <w:tcW w:w="3240" w:type="dxa"/>
            <w:gridSpan w:val="2"/>
            <w:tcBorders>
              <w:top w:val="nil"/>
              <w:left w:val="nil"/>
              <w:bottom w:val="nil"/>
              <w:right w:val="nil"/>
            </w:tcBorders>
            <w:shd w:val="clear" w:color="auto" w:fill="auto"/>
            <w:noWrap/>
            <w:vAlign w:val="bottom"/>
            <w:hideMark/>
          </w:tcPr>
          <w:p w14:paraId="0AA6D59F" w14:textId="6FADD0B3" w:rsidR="001645C8" w:rsidRPr="00F72633" w:rsidRDefault="004769CE"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Recursos no relativos a personal</w:t>
            </w:r>
          </w:p>
        </w:tc>
        <w:tc>
          <w:tcPr>
            <w:tcW w:w="1075" w:type="dxa"/>
            <w:tcBorders>
              <w:top w:val="nil"/>
              <w:left w:val="nil"/>
              <w:bottom w:val="nil"/>
              <w:right w:val="nil"/>
            </w:tcBorders>
            <w:shd w:val="clear" w:color="auto" w:fill="auto"/>
            <w:noWrap/>
            <w:vAlign w:val="bottom"/>
            <w:hideMark/>
          </w:tcPr>
          <w:p w14:paraId="3D5DE29E" w14:textId="77777777" w:rsidR="001645C8" w:rsidRPr="00F72633" w:rsidRDefault="001645C8" w:rsidP="00F90BBB">
            <w:pPr>
              <w:jc w:val="left"/>
              <w:rPr>
                <w:rFonts w:ascii="Arial Narrow" w:eastAsia="Times New Roman" w:hAnsi="Arial Narrow"/>
                <w:b/>
                <w:bCs/>
                <w:sz w:val="16"/>
                <w:szCs w:val="16"/>
                <w:lang w:val="es-419" w:eastAsia="en-US"/>
              </w:rPr>
            </w:pPr>
          </w:p>
        </w:tc>
        <w:tc>
          <w:tcPr>
            <w:tcW w:w="1169" w:type="dxa"/>
            <w:tcBorders>
              <w:top w:val="nil"/>
              <w:left w:val="nil"/>
              <w:bottom w:val="nil"/>
              <w:right w:val="nil"/>
            </w:tcBorders>
            <w:shd w:val="clear" w:color="auto" w:fill="auto"/>
            <w:noWrap/>
            <w:vAlign w:val="bottom"/>
            <w:hideMark/>
          </w:tcPr>
          <w:p w14:paraId="55CBA788"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00E6E7F9"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355DED96"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6F705AD3"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2B8E331B" w14:textId="77777777" w:rsidTr="009F7E48">
        <w:trPr>
          <w:trHeight w:val="75"/>
          <w:jc w:val="center"/>
        </w:trPr>
        <w:tc>
          <w:tcPr>
            <w:tcW w:w="400" w:type="dxa"/>
            <w:tcBorders>
              <w:top w:val="nil"/>
              <w:left w:val="nil"/>
              <w:bottom w:val="nil"/>
              <w:right w:val="nil"/>
            </w:tcBorders>
            <w:shd w:val="clear" w:color="auto" w:fill="auto"/>
            <w:noWrap/>
            <w:vAlign w:val="bottom"/>
            <w:hideMark/>
          </w:tcPr>
          <w:p w14:paraId="2D0636E1"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62743233" w14:textId="77777777" w:rsidR="001645C8" w:rsidRPr="00F72633" w:rsidRDefault="001645C8" w:rsidP="00F90BBB">
            <w:pPr>
              <w:jc w:val="lef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1EB6ADEA" w14:textId="77777777" w:rsidR="001645C8" w:rsidRPr="00F72633" w:rsidRDefault="001645C8" w:rsidP="00F90BBB">
            <w:pPr>
              <w:jc w:val="left"/>
              <w:rPr>
                <w:rFonts w:ascii="Times New Roman" w:eastAsia="Times New Roman" w:hAnsi="Times New Roman" w:cs="Times New Roman"/>
                <w:lang w:val="es-419" w:eastAsia="en-US"/>
              </w:rPr>
            </w:pPr>
          </w:p>
        </w:tc>
        <w:tc>
          <w:tcPr>
            <w:tcW w:w="1169" w:type="dxa"/>
            <w:tcBorders>
              <w:top w:val="nil"/>
              <w:left w:val="nil"/>
              <w:bottom w:val="nil"/>
              <w:right w:val="nil"/>
            </w:tcBorders>
            <w:shd w:val="clear" w:color="auto" w:fill="auto"/>
            <w:noWrap/>
            <w:vAlign w:val="bottom"/>
            <w:hideMark/>
          </w:tcPr>
          <w:p w14:paraId="613AA640"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2208C097"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44D12471"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266FD6BF"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164A5444" w14:textId="77777777" w:rsidTr="009F7E48">
        <w:trPr>
          <w:trHeight w:val="270"/>
          <w:jc w:val="center"/>
        </w:trPr>
        <w:tc>
          <w:tcPr>
            <w:tcW w:w="3240" w:type="dxa"/>
            <w:gridSpan w:val="2"/>
            <w:tcBorders>
              <w:top w:val="nil"/>
              <w:left w:val="nil"/>
              <w:bottom w:val="nil"/>
              <w:right w:val="nil"/>
            </w:tcBorders>
            <w:shd w:val="clear" w:color="auto" w:fill="auto"/>
            <w:noWrap/>
            <w:vAlign w:val="bottom"/>
            <w:hideMark/>
          </w:tcPr>
          <w:p w14:paraId="094B64DC" w14:textId="40B8DD16" w:rsidR="001645C8" w:rsidRPr="00F72633" w:rsidRDefault="004769CE"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Pasantías y becas</w:t>
            </w:r>
          </w:p>
        </w:tc>
        <w:tc>
          <w:tcPr>
            <w:tcW w:w="1075" w:type="dxa"/>
            <w:tcBorders>
              <w:top w:val="nil"/>
              <w:left w:val="nil"/>
              <w:bottom w:val="nil"/>
              <w:right w:val="nil"/>
            </w:tcBorders>
            <w:shd w:val="clear" w:color="auto" w:fill="auto"/>
            <w:noWrap/>
            <w:vAlign w:val="bottom"/>
            <w:hideMark/>
          </w:tcPr>
          <w:p w14:paraId="2C68FB6E"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169" w:type="dxa"/>
            <w:tcBorders>
              <w:top w:val="nil"/>
              <w:left w:val="nil"/>
              <w:bottom w:val="nil"/>
              <w:right w:val="nil"/>
            </w:tcBorders>
            <w:shd w:val="clear" w:color="auto" w:fill="auto"/>
            <w:noWrap/>
            <w:vAlign w:val="bottom"/>
            <w:hideMark/>
          </w:tcPr>
          <w:p w14:paraId="52826494"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6F5975C1"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56074DD8"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7142447D"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6B4823CD"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3C8F7B10"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6770DDCA" w14:textId="331FA203" w:rsidR="001645C8" w:rsidRPr="00F72633" w:rsidRDefault="004769CE" w:rsidP="004769CE">
            <w:pPr>
              <w:jc w:val="left"/>
              <w:rPr>
                <w:rFonts w:ascii="Arial Narrow" w:eastAsia="Times New Roman" w:hAnsi="Arial Narrow"/>
                <w:sz w:val="16"/>
                <w:szCs w:val="16"/>
                <w:lang w:val="es-419" w:eastAsia="en-US"/>
              </w:rPr>
            </w:pPr>
            <w:r w:rsidRPr="00F72633">
              <w:rPr>
                <w:rFonts w:ascii="Arial Narrow" w:hAnsi="Arial Narrow"/>
                <w:sz w:val="16"/>
                <w:lang w:val="es-419"/>
              </w:rPr>
              <w:t>Pasantías</w:t>
            </w:r>
          </w:p>
        </w:tc>
        <w:tc>
          <w:tcPr>
            <w:tcW w:w="1075" w:type="dxa"/>
            <w:tcBorders>
              <w:top w:val="nil"/>
              <w:left w:val="nil"/>
              <w:bottom w:val="nil"/>
              <w:right w:val="nil"/>
            </w:tcBorders>
            <w:shd w:val="clear" w:color="auto" w:fill="auto"/>
            <w:noWrap/>
            <w:vAlign w:val="bottom"/>
            <w:hideMark/>
          </w:tcPr>
          <w:p w14:paraId="6FF98B6F"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5367279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3766DF3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008F0C0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0ACCBBAA"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r>
      <w:tr w:rsidR="001645C8" w:rsidRPr="00F72633" w14:paraId="6A3F1FAA"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499259E8"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0E900734" w14:textId="1B3E8A98"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Becas</w:t>
            </w:r>
          </w:p>
        </w:tc>
        <w:tc>
          <w:tcPr>
            <w:tcW w:w="1075" w:type="dxa"/>
            <w:tcBorders>
              <w:top w:val="nil"/>
              <w:left w:val="nil"/>
              <w:bottom w:val="nil"/>
              <w:right w:val="nil"/>
            </w:tcBorders>
            <w:shd w:val="clear" w:color="auto" w:fill="auto"/>
            <w:noWrap/>
            <w:vAlign w:val="bottom"/>
            <w:hideMark/>
          </w:tcPr>
          <w:p w14:paraId="46711B46"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7C302DE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5F5E298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3A6CBAE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784AD7A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r>
      <w:tr w:rsidR="001645C8" w:rsidRPr="00F72633" w14:paraId="03ABFB80" w14:textId="77777777" w:rsidTr="009F7E48">
        <w:trPr>
          <w:trHeight w:val="285"/>
          <w:jc w:val="center"/>
        </w:trPr>
        <w:tc>
          <w:tcPr>
            <w:tcW w:w="400" w:type="dxa"/>
            <w:tcBorders>
              <w:top w:val="nil"/>
              <w:left w:val="nil"/>
              <w:bottom w:val="nil"/>
              <w:right w:val="nil"/>
            </w:tcBorders>
            <w:shd w:val="clear" w:color="auto" w:fill="auto"/>
            <w:noWrap/>
            <w:vAlign w:val="bottom"/>
            <w:hideMark/>
          </w:tcPr>
          <w:p w14:paraId="12AEB76B"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single" w:sz="4" w:space="0" w:color="C7CFD8"/>
              <w:left w:val="nil"/>
              <w:bottom w:val="single" w:sz="12" w:space="0" w:color="C7CFD8"/>
              <w:right w:val="nil"/>
            </w:tcBorders>
            <w:shd w:val="clear" w:color="auto" w:fill="auto"/>
            <w:noWrap/>
            <w:vAlign w:val="center"/>
            <w:hideMark/>
          </w:tcPr>
          <w:p w14:paraId="53BF449C" w14:textId="2A31EC26" w:rsidR="001645C8" w:rsidRPr="00F72633" w:rsidRDefault="004769CE"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pasantías y becas</w:t>
            </w:r>
          </w:p>
        </w:tc>
        <w:tc>
          <w:tcPr>
            <w:tcW w:w="1075" w:type="dxa"/>
            <w:tcBorders>
              <w:top w:val="single" w:sz="4" w:space="0" w:color="C7CFD8"/>
              <w:left w:val="nil"/>
              <w:bottom w:val="single" w:sz="12" w:space="0" w:color="C7CFD8"/>
              <w:right w:val="nil"/>
            </w:tcBorders>
            <w:shd w:val="clear" w:color="auto" w:fill="auto"/>
            <w:noWrap/>
            <w:vAlign w:val="center"/>
            <w:hideMark/>
          </w:tcPr>
          <w:p w14:paraId="6BB7EC1C"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169" w:type="dxa"/>
            <w:tcBorders>
              <w:top w:val="single" w:sz="4" w:space="0" w:color="C7CFD8"/>
              <w:left w:val="nil"/>
              <w:bottom w:val="single" w:sz="12" w:space="0" w:color="C7CFD8"/>
              <w:right w:val="nil"/>
            </w:tcBorders>
            <w:shd w:val="clear" w:color="auto" w:fill="auto"/>
            <w:noWrap/>
            <w:vAlign w:val="center"/>
            <w:hideMark/>
          </w:tcPr>
          <w:p w14:paraId="09E9ED67"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075" w:type="dxa"/>
            <w:tcBorders>
              <w:top w:val="single" w:sz="4" w:space="0" w:color="C7CFD8"/>
              <w:left w:val="nil"/>
              <w:bottom w:val="single" w:sz="12" w:space="0" w:color="C7CFD8"/>
              <w:right w:val="nil"/>
            </w:tcBorders>
            <w:shd w:val="clear" w:color="auto" w:fill="auto"/>
            <w:noWrap/>
            <w:vAlign w:val="center"/>
            <w:hideMark/>
          </w:tcPr>
          <w:p w14:paraId="6E454C6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981" w:type="dxa"/>
            <w:tcBorders>
              <w:top w:val="single" w:sz="4" w:space="0" w:color="C7CFD8"/>
              <w:left w:val="nil"/>
              <w:bottom w:val="single" w:sz="12" w:space="0" w:color="C7CFD8"/>
              <w:right w:val="nil"/>
            </w:tcBorders>
            <w:shd w:val="clear" w:color="auto" w:fill="auto"/>
            <w:noWrap/>
            <w:vAlign w:val="center"/>
            <w:hideMark/>
          </w:tcPr>
          <w:p w14:paraId="738FF569"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040" w:type="dxa"/>
            <w:tcBorders>
              <w:top w:val="single" w:sz="4" w:space="0" w:color="C7CFD8"/>
              <w:left w:val="nil"/>
              <w:bottom w:val="single" w:sz="12" w:space="0" w:color="C7CFD8"/>
              <w:right w:val="nil"/>
            </w:tcBorders>
            <w:shd w:val="clear" w:color="auto" w:fill="auto"/>
            <w:noWrap/>
            <w:vAlign w:val="center"/>
            <w:hideMark/>
          </w:tcPr>
          <w:p w14:paraId="74C6A4C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r>
      <w:tr w:rsidR="001645C8" w:rsidRPr="00F72633" w14:paraId="461E7F65" w14:textId="77777777" w:rsidTr="009F7E48">
        <w:trPr>
          <w:trHeight w:val="315"/>
          <w:jc w:val="center"/>
        </w:trPr>
        <w:tc>
          <w:tcPr>
            <w:tcW w:w="3240" w:type="dxa"/>
            <w:gridSpan w:val="2"/>
            <w:tcBorders>
              <w:top w:val="nil"/>
              <w:left w:val="nil"/>
              <w:bottom w:val="nil"/>
              <w:right w:val="nil"/>
            </w:tcBorders>
            <w:shd w:val="clear" w:color="auto" w:fill="auto"/>
            <w:noWrap/>
            <w:vAlign w:val="bottom"/>
            <w:hideMark/>
          </w:tcPr>
          <w:p w14:paraId="77DC208F" w14:textId="3F4E93BE" w:rsidR="001645C8" w:rsidRPr="00F72633" w:rsidRDefault="004769CE" w:rsidP="00F90BBB">
            <w:pPr>
              <w:jc w:val="left"/>
              <w:rPr>
                <w:rFonts w:ascii="Arial Narrow" w:eastAsia="Times New Roman" w:hAnsi="Arial Narrow"/>
                <w:b/>
                <w:bCs/>
                <w:i/>
                <w:iCs/>
                <w:sz w:val="16"/>
                <w:szCs w:val="16"/>
                <w:lang w:val="es-419" w:eastAsia="en-US"/>
              </w:rPr>
            </w:pPr>
            <w:r w:rsidRPr="00F72633">
              <w:rPr>
                <w:rFonts w:ascii="Arial Narrow" w:eastAsia="Times New Roman" w:hAnsi="Arial Narrow"/>
                <w:b/>
                <w:bCs/>
                <w:i/>
                <w:iCs/>
                <w:sz w:val="16"/>
                <w:szCs w:val="16"/>
                <w:lang w:val="es-419" w:eastAsia="en-US"/>
              </w:rPr>
              <w:t>Viajes, formación y subsidios</w:t>
            </w:r>
          </w:p>
        </w:tc>
        <w:tc>
          <w:tcPr>
            <w:tcW w:w="1075" w:type="dxa"/>
            <w:tcBorders>
              <w:top w:val="nil"/>
              <w:left w:val="nil"/>
              <w:bottom w:val="nil"/>
              <w:right w:val="nil"/>
            </w:tcBorders>
            <w:shd w:val="clear" w:color="auto" w:fill="auto"/>
            <w:noWrap/>
            <w:vAlign w:val="bottom"/>
            <w:hideMark/>
          </w:tcPr>
          <w:p w14:paraId="52D9FD97"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169" w:type="dxa"/>
            <w:tcBorders>
              <w:top w:val="nil"/>
              <w:left w:val="nil"/>
              <w:bottom w:val="nil"/>
              <w:right w:val="nil"/>
            </w:tcBorders>
            <w:shd w:val="clear" w:color="auto" w:fill="auto"/>
            <w:noWrap/>
            <w:vAlign w:val="bottom"/>
            <w:hideMark/>
          </w:tcPr>
          <w:p w14:paraId="0FE27C93"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7ED1CA65"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514E9155"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4E2A4178"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6EBD86A0"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1B0A27A0"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6F9EE81C" w14:textId="17BA30F8"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Misiones del personal</w:t>
            </w:r>
          </w:p>
        </w:tc>
        <w:tc>
          <w:tcPr>
            <w:tcW w:w="1075" w:type="dxa"/>
            <w:tcBorders>
              <w:top w:val="nil"/>
              <w:left w:val="nil"/>
              <w:bottom w:val="nil"/>
              <w:right w:val="nil"/>
            </w:tcBorders>
            <w:shd w:val="clear" w:color="auto" w:fill="auto"/>
            <w:noWrap/>
            <w:vAlign w:val="bottom"/>
            <w:hideMark/>
          </w:tcPr>
          <w:p w14:paraId="3E3B62D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074BEF3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 </w:t>
            </w:r>
          </w:p>
        </w:tc>
        <w:tc>
          <w:tcPr>
            <w:tcW w:w="1075" w:type="dxa"/>
            <w:tcBorders>
              <w:top w:val="nil"/>
              <w:left w:val="nil"/>
              <w:bottom w:val="nil"/>
              <w:right w:val="nil"/>
            </w:tcBorders>
            <w:shd w:val="clear" w:color="auto" w:fill="auto"/>
            <w:noWrap/>
            <w:vAlign w:val="bottom"/>
            <w:hideMark/>
          </w:tcPr>
          <w:p w14:paraId="0725807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 </w:t>
            </w:r>
          </w:p>
        </w:tc>
        <w:tc>
          <w:tcPr>
            <w:tcW w:w="981" w:type="dxa"/>
            <w:tcBorders>
              <w:top w:val="nil"/>
              <w:left w:val="nil"/>
              <w:bottom w:val="nil"/>
              <w:right w:val="nil"/>
            </w:tcBorders>
            <w:shd w:val="clear" w:color="auto" w:fill="auto"/>
            <w:noWrap/>
            <w:vAlign w:val="bottom"/>
            <w:hideMark/>
          </w:tcPr>
          <w:p w14:paraId="44BDA9B2"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28 </w:t>
            </w:r>
          </w:p>
        </w:tc>
        <w:tc>
          <w:tcPr>
            <w:tcW w:w="1040" w:type="dxa"/>
            <w:tcBorders>
              <w:top w:val="nil"/>
              <w:left w:val="nil"/>
              <w:bottom w:val="nil"/>
              <w:right w:val="nil"/>
            </w:tcBorders>
            <w:shd w:val="clear" w:color="auto" w:fill="auto"/>
            <w:noWrap/>
            <w:vAlign w:val="bottom"/>
            <w:hideMark/>
          </w:tcPr>
          <w:p w14:paraId="3B23FD6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38 </w:t>
            </w:r>
          </w:p>
        </w:tc>
      </w:tr>
      <w:tr w:rsidR="001645C8" w:rsidRPr="00F72633" w14:paraId="1D621332"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77E28E06"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496F7D95" w14:textId="02DCDC6D"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Viajes de terceros</w:t>
            </w:r>
          </w:p>
        </w:tc>
        <w:tc>
          <w:tcPr>
            <w:tcW w:w="1075" w:type="dxa"/>
            <w:tcBorders>
              <w:top w:val="nil"/>
              <w:left w:val="nil"/>
              <w:bottom w:val="nil"/>
              <w:right w:val="nil"/>
            </w:tcBorders>
            <w:shd w:val="clear" w:color="auto" w:fill="auto"/>
            <w:noWrap/>
            <w:vAlign w:val="bottom"/>
            <w:hideMark/>
          </w:tcPr>
          <w:p w14:paraId="55318B47"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68B90DF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1E58A6A7"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49FE0ED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328B199B"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r>
      <w:tr w:rsidR="001645C8" w:rsidRPr="00F72633" w14:paraId="4161B28F" w14:textId="77777777" w:rsidTr="009F7E48">
        <w:trPr>
          <w:trHeight w:val="285"/>
          <w:jc w:val="center"/>
        </w:trPr>
        <w:tc>
          <w:tcPr>
            <w:tcW w:w="400" w:type="dxa"/>
            <w:tcBorders>
              <w:top w:val="nil"/>
              <w:left w:val="nil"/>
              <w:bottom w:val="nil"/>
              <w:right w:val="nil"/>
            </w:tcBorders>
            <w:shd w:val="clear" w:color="auto" w:fill="auto"/>
            <w:noWrap/>
            <w:vAlign w:val="bottom"/>
            <w:hideMark/>
          </w:tcPr>
          <w:p w14:paraId="56872E5E"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single" w:sz="4" w:space="0" w:color="C7CFD8"/>
              <w:left w:val="nil"/>
              <w:bottom w:val="single" w:sz="12" w:space="0" w:color="C7CFD8"/>
              <w:right w:val="nil"/>
            </w:tcBorders>
            <w:shd w:val="clear" w:color="auto" w:fill="auto"/>
            <w:noWrap/>
            <w:vAlign w:val="center"/>
            <w:hideMark/>
          </w:tcPr>
          <w:p w14:paraId="1B0AB7BF" w14:textId="0181CB64" w:rsidR="001645C8" w:rsidRPr="00F72633" w:rsidRDefault="004769CE"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viajes</w:t>
            </w:r>
          </w:p>
        </w:tc>
        <w:tc>
          <w:tcPr>
            <w:tcW w:w="1075" w:type="dxa"/>
            <w:tcBorders>
              <w:top w:val="single" w:sz="4" w:space="0" w:color="C7CFD8"/>
              <w:left w:val="nil"/>
              <w:bottom w:val="single" w:sz="12" w:space="0" w:color="C7CFD8"/>
              <w:right w:val="nil"/>
            </w:tcBorders>
            <w:shd w:val="clear" w:color="auto" w:fill="auto"/>
            <w:noWrap/>
            <w:vAlign w:val="center"/>
            <w:hideMark/>
          </w:tcPr>
          <w:p w14:paraId="0537EDF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169" w:type="dxa"/>
            <w:tcBorders>
              <w:top w:val="single" w:sz="4" w:space="0" w:color="C7CFD8"/>
              <w:left w:val="nil"/>
              <w:bottom w:val="single" w:sz="12" w:space="0" w:color="C7CFD8"/>
              <w:right w:val="nil"/>
            </w:tcBorders>
            <w:shd w:val="clear" w:color="auto" w:fill="auto"/>
            <w:noWrap/>
            <w:vAlign w:val="center"/>
            <w:hideMark/>
          </w:tcPr>
          <w:p w14:paraId="4DAFB19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4 </w:t>
            </w:r>
          </w:p>
        </w:tc>
        <w:tc>
          <w:tcPr>
            <w:tcW w:w="1075" w:type="dxa"/>
            <w:tcBorders>
              <w:top w:val="single" w:sz="4" w:space="0" w:color="C7CFD8"/>
              <w:left w:val="nil"/>
              <w:bottom w:val="single" w:sz="12" w:space="0" w:color="C7CFD8"/>
              <w:right w:val="nil"/>
            </w:tcBorders>
            <w:shd w:val="clear" w:color="auto" w:fill="auto"/>
            <w:noWrap/>
            <w:vAlign w:val="center"/>
            <w:hideMark/>
          </w:tcPr>
          <w:p w14:paraId="683D6198"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 </w:t>
            </w:r>
          </w:p>
        </w:tc>
        <w:tc>
          <w:tcPr>
            <w:tcW w:w="981" w:type="dxa"/>
            <w:tcBorders>
              <w:top w:val="single" w:sz="4" w:space="0" w:color="C7CFD8"/>
              <w:left w:val="nil"/>
              <w:bottom w:val="single" w:sz="12" w:space="0" w:color="C7CFD8"/>
              <w:right w:val="nil"/>
            </w:tcBorders>
            <w:shd w:val="clear" w:color="auto" w:fill="auto"/>
            <w:noWrap/>
            <w:vAlign w:val="center"/>
            <w:hideMark/>
          </w:tcPr>
          <w:p w14:paraId="15D5FFB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28 </w:t>
            </w:r>
          </w:p>
        </w:tc>
        <w:tc>
          <w:tcPr>
            <w:tcW w:w="1040" w:type="dxa"/>
            <w:tcBorders>
              <w:top w:val="single" w:sz="4" w:space="0" w:color="C7CFD8"/>
              <w:left w:val="nil"/>
              <w:bottom w:val="single" w:sz="12" w:space="0" w:color="C7CFD8"/>
              <w:right w:val="nil"/>
            </w:tcBorders>
            <w:shd w:val="clear" w:color="auto" w:fill="auto"/>
            <w:noWrap/>
            <w:vAlign w:val="center"/>
            <w:hideMark/>
          </w:tcPr>
          <w:p w14:paraId="4DBF5D0E"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38 </w:t>
            </w:r>
          </w:p>
        </w:tc>
      </w:tr>
      <w:tr w:rsidR="001645C8" w:rsidRPr="00F72633" w14:paraId="24CB4B76" w14:textId="77777777" w:rsidTr="009F7E48">
        <w:trPr>
          <w:trHeight w:val="330"/>
          <w:jc w:val="center"/>
        </w:trPr>
        <w:tc>
          <w:tcPr>
            <w:tcW w:w="3240" w:type="dxa"/>
            <w:gridSpan w:val="2"/>
            <w:tcBorders>
              <w:top w:val="nil"/>
              <w:left w:val="nil"/>
              <w:bottom w:val="nil"/>
              <w:right w:val="nil"/>
            </w:tcBorders>
            <w:shd w:val="clear" w:color="auto" w:fill="auto"/>
            <w:noWrap/>
            <w:vAlign w:val="bottom"/>
            <w:hideMark/>
          </w:tcPr>
          <w:p w14:paraId="5C0BF4EF" w14:textId="52ABD970" w:rsidR="001645C8" w:rsidRPr="00F72633" w:rsidRDefault="004769CE"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Servicios contractuales</w:t>
            </w:r>
          </w:p>
        </w:tc>
        <w:tc>
          <w:tcPr>
            <w:tcW w:w="1075" w:type="dxa"/>
            <w:tcBorders>
              <w:top w:val="nil"/>
              <w:left w:val="nil"/>
              <w:bottom w:val="nil"/>
              <w:right w:val="nil"/>
            </w:tcBorders>
            <w:shd w:val="clear" w:color="auto" w:fill="auto"/>
            <w:noWrap/>
            <w:vAlign w:val="bottom"/>
            <w:hideMark/>
          </w:tcPr>
          <w:p w14:paraId="51C05E9F"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169" w:type="dxa"/>
            <w:tcBorders>
              <w:top w:val="nil"/>
              <w:left w:val="nil"/>
              <w:bottom w:val="nil"/>
              <w:right w:val="nil"/>
            </w:tcBorders>
            <w:shd w:val="clear" w:color="auto" w:fill="auto"/>
            <w:noWrap/>
            <w:vAlign w:val="bottom"/>
            <w:hideMark/>
          </w:tcPr>
          <w:p w14:paraId="5BFAE5E2"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4351ED10"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3900501C"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5C0E1F15"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213889A2"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261AB7C0"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6A07F7F8" w14:textId="3548C92B"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Conferencias</w:t>
            </w:r>
          </w:p>
        </w:tc>
        <w:tc>
          <w:tcPr>
            <w:tcW w:w="1075" w:type="dxa"/>
            <w:tcBorders>
              <w:top w:val="nil"/>
              <w:left w:val="nil"/>
              <w:bottom w:val="nil"/>
              <w:right w:val="nil"/>
            </w:tcBorders>
            <w:shd w:val="clear" w:color="auto" w:fill="auto"/>
            <w:noWrap/>
            <w:vAlign w:val="bottom"/>
            <w:hideMark/>
          </w:tcPr>
          <w:p w14:paraId="4EC0E04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39 </w:t>
            </w:r>
          </w:p>
        </w:tc>
        <w:tc>
          <w:tcPr>
            <w:tcW w:w="1169" w:type="dxa"/>
            <w:tcBorders>
              <w:top w:val="nil"/>
              <w:left w:val="nil"/>
              <w:bottom w:val="nil"/>
              <w:right w:val="nil"/>
            </w:tcBorders>
            <w:shd w:val="clear" w:color="auto" w:fill="auto"/>
            <w:noWrap/>
            <w:vAlign w:val="bottom"/>
            <w:hideMark/>
          </w:tcPr>
          <w:p w14:paraId="5868CEF2"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69 </w:t>
            </w:r>
          </w:p>
        </w:tc>
        <w:tc>
          <w:tcPr>
            <w:tcW w:w="1075" w:type="dxa"/>
            <w:tcBorders>
              <w:top w:val="nil"/>
              <w:left w:val="nil"/>
              <w:bottom w:val="nil"/>
              <w:right w:val="nil"/>
            </w:tcBorders>
            <w:shd w:val="clear" w:color="auto" w:fill="auto"/>
            <w:noWrap/>
            <w:vAlign w:val="bottom"/>
            <w:hideMark/>
          </w:tcPr>
          <w:p w14:paraId="47D7FAD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43C0188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24 </w:t>
            </w:r>
          </w:p>
        </w:tc>
        <w:tc>
          <w:tcPr>
            <w:tcW w:w="1040" w:type="dxa"/>
            <w:tcBorders>
              <w:top w:val="nil"/>
              <w:left w:val="nil"/>
              <w:bottom w:val="nil"/>
              <w:right w:val="nil"/>
            </w:tcBorders>
            <w:shd w:val="clear" w:color="auto" w:fill="auto"/>
            <w:noWrap/>
            <w:vAlign w:val="bottom"/>
            <w:hideMark/>
          </w:tcPr>
          <w:p w14:paraId="3B78B80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133 </w:t>
            </w:r>
          </w:p>
        </w:tc>
      </w:tr>
      <w:tr w:rsidR="001645C8" w:rsidRPr="00F72633" w14:paraId="41FA1E42"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1104E252"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036B2ECC" w14:textId="22C00547" w:rsidR="001645C8" w:rsidRPr="00F72633" w:rsidRDefault="001645C8" w:rsidP="00F90BBB">
            <w:pPr>
              <w:jc w:val="lef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Publi</w:t>
            </w:r>
            <w:r w:rsidR="004769CE" w:rsidRPr="00F72633">
              <w:rPr>
                <w:rFonts w:ascii="Arial Narrow" w:hAnsi="Arial Narrow"/>
                <w:sz w:val="16"/>
                <w:lang w:val="es-419"/>
              </w:rPr>
              <w:t>caciones</w:t>
            </w:r>
          </w:p>
        </w:tc>
        <w:tc>
          <w:tcPr>
            <w:tcW w:w="1075" w:type="dxa"/>
            <w:tcBorders>
              <w:top w:val="nil"/>
              <w:left w:val="nil"/>
              <w:bottom w:val="nil"/>
              <w:right w:val="nil"/>
            </w:tcBorders>
            <w:shd w:val="clear" w:color="auto" w:fill="auto"/>
            <w:noWrap/>
            <w:vAlign w:val="bottom"/>
            <w:hideMark/>
          </w:tcPr>
          <w:p w14:paraId="41EEF4C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0730E6F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7A182F9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0CE6D31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0E3C7FA9"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r>
      <w:tr w:rsidR="001645C8" w:rsidRPr="00F72633" w14:paraId="4EFB1F02"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336795BB"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27E7F2EA" w14:textId="4575F437"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Servicios contractuales individuales</w:t>
            </w:r>
          </w:p>
        </w:tc>
        <w:tc>
          <w:tcPr>
            <w:tcW w:w="1075" w:type="dxa"/>
            <w:tcBorders>
              <w:top w:val="nil"/>
              <w:left w:val="nil"/>
              <w:bottom w:val="nil"/>
              <w:right w:val="nil"/>
            </w:tcBorders>
            <w:shd w:val="clear" w:color="auto" w:fill="auto"/>
            <w:noWrap/>
            <w:vAlign w:val="bottom"/>
            <w:hideMark/>
          </w:tcPr>
          <w:p w14:paraId="085EB58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3466D09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30 </w:t>
            </w:r>
          </w:p>
        </w:tc>
        <w:tc>
          <w:tcPr>
            <w:tcW w:w="1075" w:type="dxa"/>
            <w:tcBorders>
              <w:top w:val="nil"/>
              <w:left w:val="nil"/>
              <w:bottom w:val="nil"/>
              <w:right w:val="nil"/>
            </w:tcBorders>
            <w:shd w:val="clear" w:color="auto" w:fill="auto"/>
            <w:noWrap/>
            <w:vAlign w:val="bottom"/>
            <w:hideMark/>
          </w:tcPr>
          <w:p w14:paraId="675BF9F4"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 </w:t>
            </w:r>
          </w:p>
        </w:tc>
        <w:tc>
          <w:tcPr>
            <w:tcW w:w="981" w:type="dxa"/>
            <w:tcBorders>
              <w:top w:val="nil"/>
              <w:left w:val="nil"/>
              <w:bottom w:val="nil"/>
              <w:right w:val="nil"/>
            </w:tcBorders>
            <w:shd w:val="clear" w:color="auto" w:fill="auto"/>
            <w:noWrap/>
            <w:vAlign w:val="bottom"/>
            <w:hideMark/>
          </w:tcPr>
          <w:p w14:paraId="4E90F71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2A63BA9F"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33 </w:t>
            </w:r>
          </w:p>
        </w:tc>
      </w:tr>
      <w:tr w:rsidR="001645C8" w:rsidRPr="00F72633" w14:paraId="7B081196"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12E160E1"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6B4E4059" w14:textId="2F57BA96"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Otros servicios contractuales</w:t>
            </w:r>
          </w:p>
        </w:tc>
        <w:tc>
          <w:tcPr>
            <w:tcW w:w="1075" w:type="dxa"/>
            <w:tcBorders>
              <w:top w:val="nil"/>
              <w:left w:val="nil"/>
              <w:bottom w:val="nil"/>
              <w:right w:val="nil"/>
            </w:tcBorders>
            <w:shd w:val="clear" w:color="auto" w:fill="auto"/>
            <w:noWrap/>
            <w:vAlign w:val="bottom"/>
            <w:hideMark/>
          </w:tcPr>
          <w:p w14:paraId="3407816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 </w:t>
            </w:r>
          </w:p>
        </w:tc>
        <w:tc>
          <w:tcPr>
            <w:tcW w:w="1169" w:type="dxa"/>
            <w:tcBorders>
              <w:top w:val="nil"/>
              <w:left w:val="nil"/>
              <w:bottom w:val="nil"/>
              <w:right w:val="nil"/>
            </w:tcBorders>
            <w:shd w:val="clear" w:color="auto" w:fill="auto"/>
            <w:noWrap/>
            <w:vAlign w:val="bottom"/>
            <w:hideMark/>
          </w:tcPr>
          <w:p w14:paraId="1EFC3BF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262 </w:t>
            </w:r>
          </w:p>
        </w:tc>
        <w:tc>
          <w:tcPr>
            <w:tcW w:w="1075" w:type="dxa"/>
            <w:tcBorders>
              <w:top w:val="nil"/>
              <w:left w:val="nil"/>
              <w:bottom w:val="nil"/>
              <w:right w:val="nil"/>
            </w:tcBorders>
            <w:shd w:val="clear" w:color="auto" w:fill="auto"/>
            <w:noWrap/>
            <w:vAlign w:val="bottom"/>
            <w:hideMark/>
          </w:tcPr>
          <w:p w14:paraId="4D961E25"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90 </w:t>
            </w:r>
          </w:p>
        </w:tc>
        <w:tc>
          <w:tcPr>
            <w:tcW w:w="981" w:type="dxa"/>
            <w:tcBorders>
              <w:top w:val="nil"/>
              <w:left w:val="nil"/>
              <w:bottom w:val="nil"/>
              <w:right w:val="nil"/>
            </w:tcBorders>
            <w:shd w:val="clear" w:color="auto" w:fill="auto"/>
            <w:noWrap/>
            <w:vAlign w:val="bottom"/>
            <w:hideMark/>
          </w:tcPr>
          <w:p w14:paraId="130F44F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78 </w:t>
            </w:r>
          </w:p>
        </w:tc>
        <w:tc>
          <w:tcPr>
            <w:tcW w:w="1040" w:type="dxa"/>
            <w:tcBorders>
              <w:top w:val="nil"/>
              <w:left w:val="nil"/>
              <w:bottom w:val="nil"/>
              <w:right w:val="nil"/>
            </w:tcBorders>
            <w:shd w:val="clear" w:color="auto" w:fill="auto"/>
            <w:noWrap/>
            <w:vAlign w:val="bottom"/>
            <w:hideMark/>
          </w:tcPr>
          <w:p w14:paraId="4BD665B1"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433 </w:t>
            </w:r>
          </w:p>
        </w:tc>
      </w:tr>
      <w:tr w:rsidR="001645C8" w:rsidRPr="00F72633" w14:paraId="5298B954" w14:textId="77777777" w:rsidTr="009F7E48">
        <w:trPr>
          <w:trHeight w:val="300"/>
          <w:jc w:val="center"/>
        </w:trPr>
        <w:tc>
          <w:tcPr>
            <w:tcW w:w="400" w:type="dxa"/>
            <w:tcBorders>
              <w:top w:val="nil"/>
              <w:left w:val="nil"/>
              <w:bottom w:val="nil"/>
              <w:right w:val="nil"/>
            </w:tcBorders>
            <w:shd w:val="clear" w:color="auto" w:fill="auto"/>
            <w:noWrap/>
            <w:vAlign w:val="bottom"/>
            <w:hideMark/>
          </w:tcPr>
          <w:p w14:paraId="7F97A2F8"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single" w:sz="4" w:space="0" w:color="C7CFD8"/>
              <w:left w:val="nil"/>
              <w:bottom w:val="single" w:sz="12" w:space="0" w:color="C7CFD8"/>
              <w:right w:val="nil"/>
            </w:tcBorders>
            <w:shd w:val="clear" w:color="auto" w:fill="auto"/>
            <w:noWrap/>
            <w:vAlign w:val="center"/>
            <w:hideMark/>
          </w:tcPr>
          <w:p w14:paraId="7754117B" w14:textId="43BD46DC" w:rsidR="001645C8" w:rsidRPr="00F72633" w:rsidRDefault="004769CE"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servicios contractuales</w:t>
            </w:r>
          </w:p>
        </w:tc>
        <w:tc>
          <w:tcPr>
            <w:tcW w:w="1075" w:type="dxa"/>
            <w:tcBorders>
              <w:top w:val="single" w:sz="4" w:space="0" w:color="C7CFD8"/>
              <w:left w:val="nil"/>
              <w:bottom w:val="single" w:sz="12" w:space="0" w:color="C7CFD8"/>
              <w:right w:val="nil"/>
            </w:tcBorders>
            <w:shd w:val="clear" w:color="auto" w:fill="auto"/>
            <w:noWrap/>
            <w:vAlign w:val="center"/>
            <w:hideMark/>
          </w:tcPr>
          <w:p w14:paraId="6F2F9298"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43 </w:t>
            </w:r>
          </w:p>
        </w:tc>
        <w:tc>
          <w:tcPr>
            <w:tcW w:w="1169" w:type="dxa"/>
            <w:tcBorders>
              <w:top w:val="single" w:sz="4" w:space="0" w:color="C7CFD8"/>
              <w:left w:val="nil"/>
              <w:bottom w:val="single" w:sz="12" w:space="0" w:color="C7CFD8"/>
              <w:right w:val="nil"/>
            </w:tcBorders>
            <w:shd w:val="clear" w:color="auto" w:fill="auto"/>
            <w:noWrap/>
            <w:vAlign w:val="center"/>
            <w:hideMark/>
          </w:tcPr>
          <w:p w14:paraId="0F17B54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360 </w:t>
            </w:r>
          </w:p>
        </w:tc>
        <w:tc>
          <w:tcPr>
            <w:tcW w:w="1075" w:type="dxa"/>
            <w:tcBorders>
              <w:top w:val="single" w:sz="4" w:space="0" w:color="C7CFD8"/>
              <w:left w:val="nil"/>
              <w:bottom w:val="single" w:sz="12" w:space="0" w:color="C7CFD8"/>
              <w:right w:val="nil"/>
            </w:tcBorders>
            <w:shd w:val="clear" w:color="auto" w:fill="auto"/>
            <w:noWrap/>
            <w:vAlign w:val="center"/>
            <w:hideMark/>
          </w:tcPr>
          <w:p w14:paraId="1B911E9C"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93 </w:t>
            </w:r>
          </w:p>
        </w:tc>
        <w:tc>
          <w:tcPr>
            <w:tcW w:w="981" w:type="dxa"/>
            <w:tcBorders>
              <w:top w:val="single" w:sz="4" w:space="0" w:color="C7CFD8"/>
              <w:left w:val="nil"/>
              <w:bottom w:val="single" w:sz="12" w:space="0" w:color="C7CFD8"/>
              <w:right w:val="nil"/>
            </w:tcBorders>
            <w:shd w:val="clear" w:color="auto" w:fill="auto"/>
            <w:noWrap/>
            <w:vAlign w:val="center"/>
            <w:hideMark/>
          </w:tcPr>
          <w:p w14:paraId="29500FA7"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103 </w:t>
            </w:r>
          </w:p>
        </w:tc>
        <w:tc>
          <w:tcPr>
            <w:tcW w:w="1040" w:type="dxa"/>
            <w:tcBorders>
              <w:top w:val="single" w:sz="4" w:space="0" w:color="C7CFD8"/>
              <w:left w:val="nil"/>
              <w:bottom w:val="single" w:sz="12" w:space="0" w:color="C7CFD8"/>
              <w:right w:val="nil"/>
            </w:tcBorders>
            <w:shd w:val="clear" w:color="auto" w:fill="auto"/>
            <w:noWrap/>
            <w:vAlign w:val="center"/>
            <w:hideMark/>
          </w:tcPr>
          <w:p w14:paraId="7F75505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599 </w:t>
            </w:r>
          </w:p>
        </w:tc>
      </w:tr>
      <w:tr w:rsidR="001645C8" w:rsidRPr="00F72633" w14:paraId="5C3E45AC" w14:textId="77777777" w:rsidTr="009F7E48">
        <w:trPr>
          <w:trHeight w:val="360"/>
          <w:jc w:val="center"/>
        </w:trPr>
        <w:tc>
          <w:tcPr>
            <w:tcW w:w="3240" w:type="dxa"/>
            <w:gridSpan w:val="2"/>
            <w:tcBorders>
              <w:top w:val="nil"/>
              <w:left w:val="nil"/>
              <w:bottom w:val="nil"/>
              <w:right w:val="nil"/>
            </w:tcBorders>
            <w:shd w:val="clear" w:color="auto" w:fill="auto"/>
            <w:noWrap/>
            <w:vAlign w:val="bottom"/>
            <w:hideMark/>
          </w:tcPr>
          <w:p w14:paraId="480AB889" w14:textId="450F6391" w:rsidR="001645C8" w:rsidRPr="00F72633" w:rsidRDefault="004769CE"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Gastos de funcionamiento</w:t>
            </w:r>
          </w:p>
        </w:tc>
        <w:tc>
          <w:tcPr>
            <w:tcW w:w="1075" w:type="dxa"/>
            <w:tcBorders>
              <w:top w:val="nil"/>
              <w:left w:val="nil"/>
              <w:bottom w:val="nil"/>
              <w:right w:val="nil"/>
            </w:tcBorders>
            <w:shd w:val="clear" w:color="auto" w:fill="auto"/>
            <w:noWrap/>
            <w:vAlign w:val="bottom"/>
            <w:hideMark/>
          </w:tcPr>
          <w:p w14:paraId="5E56449F"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169" w:type="dxa"/>
            <w:tcBorders>
              <w:top w:val="nil"/>
              <w:left w:val="nil"/>
              <w:bottom w:val="nil"/>
              <w:right w:val="nil"/>
            </w:tcBorders>
            <w:shd w:val="clear" w:color="auto" w:fill="auto"/>
            <w:noWrap/>
            <w:vAlign w:val="bottom"/>
            <w:hideMark/>
          </w:tcPr>
          <w:p w14:paraId="2E937456"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69E2C249"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3B444974"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45C2C64D"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2E5D0715" w14:textId="77777777" w:rsidTr="009F7E48">
        <w:trPr>
          <w:trHeight w:val="315"/>
          <w:jc w:val="center"/>
        </w:trPr>
        <w:tc>
          <w:tcPr>
            <w:tcW w:w="400" w:type="dxa"/>
            <w:tcBorders>
              <w:top w:val="nil"/>
              <w:left w:val="nil"/>
              <w:bottom w:val="nil"/>
              <w:right w:val="nil"/>
            </w:tcBorders>
            <w:shd w:val="clear" w:color="auto" w:fill="auto"/>
            <w:noWrap/>
            <w:vAlign w:val="bottom"/>
            <w:hideMark/>
          </w:tcPr>
          <w:p w14:paraId="5C03BF2F"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single" w:sz="8" w:space="0" w:color="BFBFBF"/>
              <w:right w:val="nil"/>
            </w:tcBorders>
            <w:shd w:val="clear" w:color="auto" w:fill="auto"/>
            <w:noWrap/>
            <w:vAlign w:val="center"/>
            <w:hideMark/>
          </w:tcPr>
          <w:p w14:paraId="16CA56E7" w14:textId="380978C9" w:rsidR="001645C8" w:rsidRPr="00F72633" w:rsidRDefault="004769CE"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gastos de explotación</w:t>
            </w:r>
          </w:p>
        </w:tc>
        <w:tc>
          <w:tcPr>
            <w:tcW w:w="1075" w:type="dxa"/>
            <w:tcBorders>
              <w:top w:val="nil"/>
              <w:left w:val="nil"/>
              <w:bottom w:val="single" w:sz="8" w:space="0" w:color="BFBFBF"/>
              <w:right w:val="nil"/>
            </w:tcBorders>
            <w:shd w:val="clear" w:color="auto" w:fill="auto"/>
            <w:noWrap/>
            <w:vAlign w:val="center"/>
            <w:hideMark/>
          </w:tcPr>
          <w:p w14:paraId="6B7493D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169" w:type="dxa"/>
            <w:tcBorders>
              <w:top w:val="nil"/>
              <w:left w:val="nil"/>
              <w:bottom w:val="single" w:sz="8" w:space="0" w:color="BFBFBF"/>
              <w:right w:val="nil"/>
            </w:tcBorders>
            <w:shd w:val="clear" w:color="auto" w:fill="auto"/>
            <w:noWrap/>
            <w:vAlign w:val="center"/>
            <w:hideMark/>
          </w:tcPr>
          <w:p w14:paraId="72577FBB"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637 </w:t>
            </w:r>
          </w:p>
        </w:tc>
        <w:tc>
          <w:tcPr>
            <w:tcW w:w="1075" w:type="dxa"/>
            <w:tcBorders>
              <w:top w:val="nil"/>
              <w:left w:val="nil"/>
              <w:bottom w:val="single" w:sz="8" w:space="0" w:color="BFBFBF"/>
              <w:right w:val="nil"/>
            </w:tcBorders>
            <w:shd w:val="clear" w:color="auto" w:fill="auto"/>
            <w:noWrap/>
            <w:vAlign w:val="center"/>
            <w:hideMark/>
          </w:tcPr>
          <w:p w14:paraId="21CC1BCD"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 </w:t>
            </w:r>
          </w:p>
        </w:tc>
        <w:tc>
          <w:tcPr>
            <w:tcW w:w="981" w:type="dxa"/>
            <w:tcBorders>
              <w:top w:val="nil"/>
              <w:left w:val="nil"/>
              <w:bottom w:val="single" w:sz="8" w:space="0" w:color="BFBFBF"/>
              <w:right w:val="nil"/>
            </w:tcBorders>
            <w:shd w:val="clear" w:color="auto" w:fill="auto"/>
            <w:noWrap/>
            <w:vAlign w:val="center"/>
            <w:hideMark/>
          </w:tcPr>
          <w:p w14:paraId="2E534C7C"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0 </w:t>
            </w:r>
          </w:p>
        </w:tc>
        <w:tc>
          <w:tcPr>
            <w:tcW w:w="1040" w:type="dxa"/>
            <w:tcBorders>
              <w:top w:val="nil"/>
              <w:left w:val="nil"/>
              <w:bottom w:val="single" w:sz="8" w:space="0" w:color="BFBFBF"/>
              <w:right w:val="nil"/>
            </w:tcBorders>
            <w:shd w:val="clear" w:color="auto" w:fill="auto"/>
            <w:noWrap/>
            <w:vAlign w:val="center"/>
            <w:hideMark/>
          </w:tcPr>
          <w:p w14:paraId="4CA9EFB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638 </w:t>
            </w:r>
          </w:p>
        </w:tc>
      </w:tr>
      <w:tr w:rsidR="001645C8" w:rsidRPr="00F72633" w14:paraId="585C4C93" w14:textId="77777777" w:rsidTr="009F7E48">
        <w:trPr>
          <w:trHeight w:val="390"/>
          <w:jc w:val="center"/>
        </w:trPr>
        <w:tc>
          <w:tcPr>
            <w:tcW w:w="3240" w:type="dxa"/>
            <w:gridSpan w:val="2"/>
            <w:tcBorders>
              <w:top w:val="nil"/>
              <w:left w:val="nil"/>
              <w:bottom w:val="nil"/>
              <w:right w:val="nil"/>
            </w:tcBorders>
            <w:shd w:val="clear" w:color="auto" w:fill="auto"/>
            <w:noWrap/>
            <w:vAlign w:val="bottom"/>
            <w:hideMark/>
          </w:tcPr>
          <w:p w14:paraId="41E589CB" w14:textId="34068FD8" w:rsidR="001645C8" w:rsidRPr="00F72633" w:rsidRDefault="004769CE" w:rsidP="00F90BBB">
            <w:pPr>
              <w:jc w:val="left"/>
              <w:rPr>
                <w:rFonts w:ascii="Arial Narrow" w:eastAsia="Times New Roman" w:hAnsi="Arial Narrow"/>
                <w:b/>
                <w:bCs/>
                <w:i/>
                <w:iCs/>
                <w:sz w:val="16"/>
                <w:szCs w:val="16"/>
                <w:lang w:val="es-419" w:eastAsia="en-US"/>
              </w:rPr>
            </w:pPr>
            <w:r w:rsidRPr="00F72633">
              <w:rPr>
                <w:rFonts w:ascii="Arial Narrow" w:hAnsi="Arial Narrow"/>
                <w:b/>
                <w:i/>
                <w:sz w:val="16"/>
                <w:lang w:val="es-419"/>
              </w:rPr>
              <w:t>Equipos y suministros</w:t>
            </w:r>
          </w:p>
        </w:tc>
        <w:tc>
          <w:tcPr>
            <w:tcW w:w="1075" w:type="dxa"/>
            <w:tcBorders>
              <w:top w:val="nil"/>
              <w:left w:val="nil"/>
              <w:bottom w:val="nil"/>
              <w:right w:val="nil"/>
            </w:tcBorders>
            <w:shd w:val="clear" w:color="auto" w:fill="auto"/>
            <w:noWrap/>
            <w:vAlign w:val="bottom"/>
            <w:hideMark/>
          </w:tcPr>
          <w:p w14:paraId="1DE4106F" w14:textId="77777777" w:rsidR="001645C8" w:rsidRPr="00F72633" w:rsidRDefault="001645C8" w:rsidP="00F90BBB">
            <w:pPr>
              <w:jc w:val="left"/>
              <w:rPr>
                <w:rFonts w:ascii="Arial Narrow" w:eastAsia="Times New Roman" w:hAnsi="Arial Narrow"/>
                <w:b/>
                <w:bCs/>
                <w:i/>
                <w:iCs/>
                <w:sz w:val="16"/>
                <w:szCs w:val="16"/>
                <w:lang w:val="es-419" w:eastAsia="en-US"/>
              </w:rPr>
            </w:pPr>
          </w:p>
        </w:tc>
        <w:tc>
          <w:tcPr>
            <w:tcW w:w="1169" w:type="dxa"/>
            <w:tcBorders>
              <w:top w:val="nil"/>
              <w:left w:val="nil"/>
              <w:bottom w:val="nil"/>
              <w:right w:val="nil"/>
            </w:tcBorders>
            <w:shd w:val="clear" w:color="auto" w:fill="auto"/>
            <w:noWrap/>
            <w:vAlign w:val="bottom"/>
            <w:hideMark/>
          </w:tcPr>
          <w:p w14:paraId="51572413"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170FDE1F"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56C91058"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7A84EBF0"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163BE1CD"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67F27CF1" w14:textId="77777777" w:rsidR="001645C8" w:rsidRPr="00F72633" w:rsidRDefault="001645C8" w:rsidP="00F90BBB">
            <w:pPr>
              <w:jc w:val="left"/>
              <w:rPr>
                <w:rFonts w:ascii="Times New Roman" w:eastAsia="Times New Roman" w:hAnsi="Times New Roman" w:cs="Times New Roman"/>
                <w:lang w:val="es-419" w:eastAsia="en-US"/>
              </w:rPr>
            </w:pPr>
          </w:p>
        </w:tc>
        <w:tc>
          <w:tcPr>
            <w:tcW w:w="2840" w:type="dxa"/>
            <w:tcBorders>
              <w:top w:val="nil"/>
              <w:left w:val="nil"/>
              <w:bottom w:val="nil"/>
              <w:right w:val="nil"/>
            </w:tcBorders>
            <w:shd w:val="clear" w:color="auto" w:fill="auto"/>
            <w:noWrap/>
            <w:vAlign w:val="bottom"/>
            <w:hideMark/>
          </w:tcPr>
          <w:p w14:paraId="5CB005B6" w14:textId="5736751C"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Mobiliario y equipos</w:t>
            </w:r>
          </w:p>
        </w:tc>
        <w:tc>
          <w:tcPr>
            <w:tcW w:w="1075" w:type="dxa"/>
            <w:tcBorders>
              <w:top w:val="nil"/>
              <w:left w:val="nil"/>
              <w:bottom w:val="nil"/>
              <w:right w:val="nil"/>
            </w:tcBorders>
            <w:shd w:val="clear" w:color="auto" w:fill="auto"/>
            <w:noWrap/>
            <w:vAlign w:val="bottom"/>
            <w:hideMark/>
          </w:tcPr>
          <w:p w14:paraId="67D800F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169" w:type="dxa"/>
            <w:tcBorders>
              <w:top w:val="nil"/>
              <w:left w:val="nil"/>
              <w:bottom w:val="nil"/>
              <w:right w:val="nil"/>
            </w:tcBorders>
            <w:shd w:val="clear" w:color="auto" w:fill="auto"/>
            <w:noWrap/>
            <w:vAlign w:val="bottom"/>
            <w:hideMark/>
          </w:tcPr>
          <w:p w14:paraId="64AADD00"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09ED22D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981" w:type="dxa"/>
            <w:tcBorders>
              <w:top w:val="nil"/>
              <w:left w:val="nil"/>
              <w:bottom w:val="nil"/>
              <w:right w:val="nil"/>
            </w:tcBorders>
            <w:shd w:val="clear" w:color="auto" w:fill="auto"/>
            <w:noWrap/>
            <w:vAlign w:val="bottom"/>
            <w:hideMark/>
          </w:tcPr>
          <w:p w14:paraId="695E63C6"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6526A2A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r>
      <w:tr w:rsidR="001645C8" w:rsidRPr="00F72633" w14:paraId="204838CC" w14:textId="77777777" w:rsidTr="009F7E48">
        <w:trPr>
          <w:trHeight w:val="270"/>
          <w:jc w:val="center"/>
        </w:trPr>
        <w:tc>
          <w:tcPr>
            <w:tcW w:w="400" w:type="dxa"/>
            <w:tcBorders>
              <w:top w:val="nil"/>
              <w:left w:val="nil"/>
              <w:bottom w:val="nil"/>
              <w:right w:val="nil"/>
            </w:tcBorders>
            <w:shd w:val="clear" w:color="auto" w:fill="auto"/>
            <w:noWrap/>
            <w:vAlign w:val="bottom"/>
            <w:hideMark/>
          </w:tcPr>
          <w:p w14:paraId="1252413A"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nil"/>
              <w:left w:val="nil"/>
              <w:bottom w:val="nil"/>
              <w:right w:val="nil"/>
            </w:tcBorders>
            <w:shd w:val="clear" w:color="auto" w:fill="auto"/>
            <w:noWrap/>
            <w:vAlign w:val="bottom"/>
            <w:hideMark/>
          </w:tcPr>
          <w:p w14:paraId="789D1A0B" w14:textId="661BC21A" w:rsidR="001645C8" w:rsidRPr="00F72633" w:rsidRDefault="004769CE" w:rsidP="00F90BBB">
            <w:pPr>
              <w:jc w:val="left"/>
              <w:rPr>
                <w:rFonts w:ascii="Arial Narrow" w:eastAsia="Times New Roman" w:hAnsi="Arial Narrow"/>
                <w:sz w:val="16"/>
                <w:szCs w:val="16"/>
                <w:lang w:val="es-419" w:eastAsia="en-US"/>
              </w:rPr>
            </w:pPr>
            <w:r w:rsidRPr="00F72633">
              <w:rPr>
                <w:rFonts w:ascii="Arial Narrow" w:hAnsi="Arial Narrow"/>
                <w:sz w:val="16"/>
                <w:lang w:val="es-419"/>
              </w:rPr>
              <w:t>Suministros y material</w:t>
            </w:r>
          </w:p>
        </w:tc>
        <w:tc>
          <w:tcPr>
            <w:tcW w:w="1075" w:type="dxa"/>
            <w:tcBorders>
              <w:top w:val="nil"/>
              <w:left w:val="nil"/>
              <w:bottom w:val="nil"/>
              <w:right w:val="nil"/>
            </w:tcBorders>
            <w:shd w:val="clear" w:color="auto" w:fill="auto"/>
            <w:noWrap/>
            <w:vAlign w:val="bottom"/>
            <w:hideMark/>
          </w:tcPr>
          <w:p w14:paraId="3DFD1F3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0 </w:t>
            </w:r>
          </w:p>
        </w:tc>
        <w:tc>
          <w:tcPr>
            <w:tcW w:w="1169" w:type="dxa"/>
            <w:tcBorders>
              <w:top w:val="nil"/>
              <w:left w:val="nil"/>
              <w:bottom w:val="nil"/>
              <w:right w:val="nil"/>
            </w:tcBorders>
            <w:shd w:val="clear" w:color="auto" w:fill="auto"/>
            <w:noWrap/>
            <w:vAlign w:val="bottom"/>
            <w:hideMark/>
          </w:tcPr>
          <w:p w14:paraId="32A4621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75" w:type="dxa"/>
            <w:tcBorders>
              <w:top w:val="nil"/>
              <w:left w:val="nil"/>
              <w:bottom w:val="nil"/>
              <w:right w:val="nil"/>
            </w:tcBorders>
            <w:shd w:val="clear" w:color="auto" w:fill="auto"/>
            <w:noWrap/>
            <w:vAlign w:val="bottom"/>
            <w:hideMark/>
          </w:tcPr>
          <w:p w14:paraId="6754F582"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0 </w:t>
            </w:r>
          </w:p>
        </w:tc>
        <w:tc>
          <w:tcPr>
            <w:tcW w:w="981" w:type="dxa"/>
            <w:tcBorders>
              <w:top w:val="nil"/>
              <w:left w:val="nil"/>
              <w:bottom w:val="nil"/>
              <w:right w:val="nil"/>
            </w:tcBorders>
            <w:shd w:val="clear" w:color="auto" w:fill="auto"/>
            <w:noWrap/>
            <w:vAlign w:val="bottom"/>
            <w:hideMark/>
          </w:tcPr>
          <w:p w14:paraId="415B698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 </w:t>
            </w:r>
          </w:p>
        </w:tc>
        <w:tc>
          <w:tcPr>
            <w:tcW w:w="1040" w:type="dxa"/>
            <w:tcBorders>
              <w:top w:val="nil"/>
              <w:left w:val="nil"/>
              <w:bottom w:val="nil"/>
              <w:right w:val="nil"/>
            </w:tcBorders>
            <w:shd w:val="clear" w:color="auto" w:fill="auto"/>
            <w:noWrap/>
            <w:vAlign w:val="bottom"/>
            <w:hideMark/>
          </w:tcPr>
          <w:p w14:paraId="6AECFA3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0 </w:t>
            </w:r>
          </w:p>
        </w:tc>
      </w:tr>
      <w:tr w:rsidR="001645C8" w:rsidRPr="00F72633" w14:paraId="3A19CD54" w14:textId="77777777" w:rsidTr="009F7E48">
        <w:trPr>
          <w:trHeight w:val="285"/>
          <w:jc w:val="center"/>
        </w:trPr>
        <w:tc>
          <w:tcPr>
            <w:tcW w:w="400" w:type="dxa"/>
            <w:tcBorders>
              <w:top w:val="nil"/>
              <w:left w:val="nil"/>
              <w:bottom w:val="nil"/>
              <w:right w:val="nil"/>
            </w:tcBorders>
            <w:shd w:val="clear" w:color="auto" w:fill="auto"/>
            <w:noWrap/>
            <w:vAlign w:val="bottom"/>
            <w:hideMark/>
          </w:tcPr>
          <w:p w14:paraId="0DB7A6BB" w14:textId="77777777" w:rsidR="001645C8" w:rsidRPr="00F72633" w:rsidRDefault="001645C8" w:rsidP="00F90BBB">
            <w:pPr>
              <w:jc w:val="right"/>
              <w:rPr>
                <w:rFonts w:ascii="Arial Narrow" w:eastAsia="Times New Roman" w:hAnsi="Arial Narrow"/>
                <w:sz w:val="16"/>
                <w:szCs w:val="16"/>
                <w:lang w:val="es-419" w:eastAsia="en-US"/>
              </w:rPr>
            </w:pPr>
          </w:p>
        </w:tc>
        <w:tc>
          <w:tcPr>
            <w:tcW w:w="2840" w:type="dxa"/>
            <w:tcBorders>
              <w:top w:val="single" w:sz="4" w:space="0" w:color="C7CFD8"/>
              <w:left w:val="nil"/>
              <w:bottom w:val="single" w:sz="12" w:space="0" w:color="C7CFD8"/>
              <w:right w:val="nil"/>
            </w:tcBorders>
            <w:shd w:val="clear" w:color="auto" w:fill="auto"/>
            <w:noWrap/>
            <w:vAlign w:val="center"/>
            <w:hideMark/>
          </w:tcPr>
          <w:p w14:paraId="59840563" w14:textId="7099EEFC" w:rsidR="001645C8" w:rsidRPr="00F72633" w:rsidRDefault="004769CE" w:rsidP="00F90BBB">
            <w:pPr>
              <w:jc w:val="left"/>
              <w:rPr>
                <w:rFonts w:ascii="Arial Narrow" w:eastAsia="Times New Roman" w:hAnsi="Arial Narrow"/>
                <w:i/>
                <w:iCs/>
                <w:sz w:val="16"/>
                <w:szCs w:val="16"/>
                <w:lang w:val="es-419" w:eastAsia="en-US"/>
              </w:rPr>
            </w:pPr>
            <w:r w:rsidRPr="00F72633">
              <w:rPr>
                <w:rFonts w:ascii="Arial Narrow" w:hAnsi="Arial Narrow"/>
                <w:i/>
                <w:sz w:val="16"/>
                <w:lang w:val="es-419"/>
              </w:rPr>
              <w:t>Subtotal de equipo y suministros</w:t>
            </w:r>
          </w:p>
        </w:tc>
        <w:tc>
          <w:tcPr>
            <w:tcW w:w="1075" w:type="dxa"/>
            <w:tcBorders>
              <w:top w:val="single" w:sz="4" w:space="0" w:color="C7CFD8"/>
              <w:left w:val="nil"/>
              <w:bottom w:val="single" w:sz="12" w:space="0" w:color="C7CFD8"/>
              <w:right w:val="nil"/>
            </w:tcBorders>
            <w:shd w:val="clear" w:color="auto" w:fill="auto"/>
            <w:noWrap/>
            <w:vAlign w:val="center"/>
            <w:hideMark/>
          </w:tcPr>
          <w:p w14:paraId="38CF7C4F"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0 </w:t>
            </w:r>
          </w:p>
        </w:tc>
        <w:tc>
          <w:tcPr>
            <w:tcW w:w="1169" w:type="dxa"/>
            <w:tcBorders>
              <w:top w:val="single" w:sz="4" w:space="0" w:color="C7CFD8"/>
              <w:left w:val="nil"/>
              <w:bottom w:val="single" w:sz="12" w:space="0" w:color="C7CFD8"/>
              <w:right w:val="nil"/>
            </w:tcBorders>
            <w:shd w:val="clear" w:color="auto" w:fill="auto"/>
            <w:noWrap/>
            <w:vAlign w:val="center"/>
            <w:hideMark/>
          </w:tcPr>
          <w:p w14:paraId="0AE0B845"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075" w:type="dxa"/>
            <w:tcBorders>
              <w:top w:val="single" w:sz="4" w:space="0" w:color="C7CFD8"/>
              <w:left w:val="nil"/>
              <w:bottom w:val="single" w:sz="12" w:space="0" w:color="C7CFD8"/>
              <w:right w:val="nil"/>
            </w:tcBorders>
            <w:shd w:val="clear" w:color="auto" w:fill="auto"/>
            <w:noWrap/>
            <w:vAlign w:val="center"/>
            <w:hideMark/>
          </w:tcPr>
          <w:p w14:paraId="6A09F32D"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0 </w:t>
            </w:r>
          </w:p>
        </w:tc>
        <w:tc>
          <w:tcPr>
            <w:tcW w:w="981" w:type="dxa"/>
            <w:tcBorders>
              <w:top w:val="single" w:sz="4" w:space="0" w:color="C7CFD8"/>
              <w:left w:val="nil"/>
              <w:bottom w:val="single" w:sz="12" w:space="0" w:color="C7CFD8"/>
              <w:right w:val="nil"/>
            </w:tcBorders>
            <w:shd w:val="clear" w:color="auto" w:fill="auto"/>
            <w:noWrap/>
            <w:vAlign w:val="center"/>
            <w:hideMark/>
          </w:tcPr>
          <w:p w14:paraId="1AC2E376"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 </w:t>
            </w:r>
          </w:p>
        </w:tc>
        <w:tc>
          <w:tcPr>
            <w:tcW w:w="1040" w:type="dxa"/>
            <w:tcBorders>
              <w:top w:val="single" w:sz="4" w:space="0" w:color="C7CFD8"/>
              <w:left w:val="nil"/>
              <w:bottom w:val="single" w:sz="12" w:space="0" w:color="C7CFD8"/>
              <w:right w:val="nil"/>
            </w:tcBorders>
            <w:shd w:val="clear" w:color="auto" w:fill="auto"/>
            <w:noWrap/>
            <w:vAlign w:val="center"/>
            <w:hideMark/>
          </w:tcPr>
          <w:p w14:paraId="419CDEBD"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0 </w:t>
            </w:r>
          </w:p>
        </w:tc>
      </w:tr>
      <w:tr w:rsidR="001645C8" w:rsidRPr="00F72633" w14:paraId="5F5A36E0" w14:textId="77777777" w:rsidTr="009F7E48">
        <w:trPr>
          <w:trHeight w:val="135"/>
          <w:jc w:val="center"/>
        </w:trPr>
        <w:tc>
          <w:tcPr>
            <w:tcW w:w="400" w:type="dxa"/>
            <w:tcBorders>
              <w:top w:val="nil"/>
              <w:left w:val="nil"/>
              <w:bottom w:val="nil"/>
              <w:right w:val="nil"/>
            </w:tcBorders>
            <w:shd w:val="clear" w:color="auto" w:fill="auto"/>
            <w:noWrap/>
            <w:vAlign w:val="bottom"/>
            <w:hideMark/>
          </w:tcPr>
          <w:p w14:paraId="0AE6F319" w14:textId="77777777" w:rsidR="001645C8" w:rsidRPr="00F72633" w:rsidRDefault="001645C8" w:rsidP="00F90BBB">
            <w:pPr>
              <w:jc w:val="right"/>
              <w:rPr>
                <w:rFonts w:ascii="Arial Narrow" w:eastAsia="Times New Roman" w:hAnsi="Arial Narrow"/>
                <w:b/>
                <w:bCs/>
                <w:sz w:val="16"/>
                <w:szCs w:val="16"/>
                <w:lang w:val="es-419" w:eastAsia="en-US"/>
              </w:rPr>
            </w:pPr>
          </w:p>
        </w:tc>
        <w:tc>
          <w:tcPr>
            <w:tcW w:w="2840" w:type="dxa"/>
            <w:tcBorders>
              <w:top w:val="single" w:sz="4" w:space="0" w:color="C7CFD8"/>
              <w:left w:val="nil"/>
              <w:bottom w:val="nil"/>
              <w:right w:val="nil"/>
            </w:tcBorders>
            <w:shd w:val="clear" w:color="auto" w:fill="auto"/>
            <w:noWrap/>
            <w:vAlign w:val="center"/>
            <w:hideMark/>
          </w:tcPr>
          <w:p w14:paraId="5908C8EB" w14:textId="77777777" w:rsidR="001645C8" w:rsidRPr="00F72633" w:rsidRDefault="001645C8" w:rsidP="00F90BBB">
            <w:pPr>
              <w:jc w:val="left"/>
              <w:rPr>
                <w:rFonts w:ascii="Arial Narrow" w:eastAsia="Times New Roman" w:hAnsi="Arial Narrow"/>
                <w:i/>
                <w:iCs/>
                <w:sz w:val="16"/>
                <w:szCs w:val="16"/>
                <w:lang w:val="es-419" w:eastAsia="en-US"/>
              </w:rPr>
            </w:pPr>
            <w:r w:rsidRPr="00F72633">
              <w:rPr>
                <w:rFonts w:ascii="Arial Narrow" w:eastAsia="Times New Roman" w:hAnsi="Arial Narrow"/>
                <w:i/>
                <w:iCs/>
                <w:sz w:val="16"/>
                <w:szCs w:val="16"/>
                <w:lang w:val="es-419" w:eastAsia="en-US"/>
              </w:rPr>
              <w:t> </w:t>
            </w:r>
          </w:p>
        </w:tc>
        <w:tc>
          <w:tcPr>
            <w:tcW w:w="1075" w:type="dxa"/>
            <w:tcBorders>
              <w:top w:val="single" w:sz="4" w:space="0" w:color="C7CFD8"/>
              <w:left w:val="nil"/>
              <w:bottom w:val="nil"/>
              <w:right w:val="nil"/>
            </w:tcBorders>
            <w:shd w:val="clear" w:color="auto" w:fill="auto"/>
            <w:noWrap/>
            <w:vAlign w:val="center"/>
            <w:hideMark/>
          </w:tcPr>
          <w:p w14:paraId="4110BA1C"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169" w:type="dxa"/>
            <w:tcBorders>
              <w:top w:val="single" w:sz="4" w:space="0" w:color="C7CFD8"/>
              <w:left w:val="nil"/>
              <w:bottom w:val="nil"/>
              <w:right w:val="nil"/>
            </w:tcBorders>
            <w:shd w:val="clear" w:color="auto" w:fill="auto"/>
            <w:noWrap/>
            <w:vAlign w:val="center"/>
            <w:hideMark/>
          </w:tcPr>
          <w:p w14:paraId="39C09CBD"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075" w:type="dxa"/>
            <w:tcBorders>
              <w:top w:val="single" w:sz="4" w:space="0" w:color="C7CFD8"/>
              <w:left w:val="nil"/>
              <w:bottom w:val="nil"/>
              <w:right w:val="nil"/>
            </w:tcBorders>
            <w:shd w:val="clear" w:color="auto" w:fill="auto"/>
            <w:noWrap/>
            <w:vAlign w:val="center"/>
            <w:hideMark/>
          </w:tcPr>
          <w:p w14:paraId="2D49CCF6"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981" w:type="dxa"/>
            <w:tcBorders>
              <w:top w:val="single" w:sz="4" w:space="0" w:color="C7CFD8"/>
              <w:left w:val="nil"/>
              <w:bottom w:val="nil"/>
              <w:right w:val="nil"/>
            </w:tcBorders>
            <w:shd w:val="clear" w:color="auto" w:fill="auto"/>
            <w:noWrap/>
            <w:vAlign w:val="center"/>
            <w:hideMark/>
          </w:tcPr>
          <w:p w14:paraId="0348CC18"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1040" w:type="dxa"/>
            <w:tcBorders>
              <w:top w:val="single" w:sz="4" w:space="0" w:color="C7CFD8"/>
              <w:left w:val="nil"/>
              <w:bottom w:val="nil"/>
              <w:right w:val="nil"/>
            </w:tcBorders>
            <w:shd w:val="clear" w:color="auto" w:fill="auto"/>
            <w:noWrap/>
            <w:vAlign w:val="center"/>
            <w:hideMark/>
          </w:tcPr>
          <w:p w14:paraId="1ACA5637"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r>
      <w:tr w:rsidR="001645C8" w:rsidRPr="00F72633" w14:paraId="18339263" w14:textId="77777777" w:rsidTr="009F7E48">
        <w:trPr>
          <w:trHeight w:val="375"/>
          <w:jc w:val="center"/>
        </w:trPr>
        <w:tc>
          <w:tcPr>
            <w:tcW w:w="400" w:type="dxa"/>
            <w:tcBorders>
              <w:top w:val="nil"/>
              <w:left w:val="nil"/>
              <w:bottom w:val="nil"/>
              <w:right w:val="nil"/>
            </w:tcBorders>
            <w:shd w:val="clear" w:color="auto" w:fill="auto"/>
            <w:noWrap/>
            <w:vAlign w:val="bottom"/>
            <w:hideMark/>
          </w:tcPr>
          <w:p w14:paraId="22F81761" w14:textId="77777777" w:rsidR="001645C8" w:rsidRPr="00F72633" w:rsidRDefault="001645C8" w:rsidP="00F90BBB">
            <w:pPr>
              <w:jc w:val="left"/>
              <w:rPr>
                <w:rFonts w:ascii="Arial Narrow" w:eastAsia="Times New Roman" w:hAnsi="Arial Narrow"/>
                <w:b/>
                <w:bCs/>
                <w:sz w:val="16"/>
                <w:szCs w:val="16"/>
                <w:lang w:val="es-419" w:eastAsia="en-US"/>
              </w:rPr>
            </w:pPr>
          </w:p>
        </w:tc>
        <w:tc>
          <w:tcPr>
            <w:tcW w:w="2840" w:type="dxa"/>
            <w:tcBorders>
              <w:top w:val="single" w:sz="4" w:space="0" w:color="BFBFBF"/>
              <w:left w:val="nil"/>
              <w:bottom w:val="single" w:sz="8" w:space="0" w:color="BFBFBF"/>
              <w:right w:val="nil"/>
            </w:tcBorders>
            <w:shd w:val="clear" w:color="auto" w:fill="auto"/>
            <w:noWrap/>
            <w:vAlign w:val="center"/>
            <w:hideMark/>
          </w:tcPr>
          <w:p w14:paraId="22A59C36" w14:textId="7DF52562" w:rsidR="001645C8" w:rsidRPr="00F72633" w:rsidRDefault="009F7E48"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Total de recursos no relativos a personal</w:t>
            </w:r>
          </w:p>
        </w:tc>
        <w:tc>
          <w:tcPr>
            <w:tcW w:w="1075" w:type="dxa"/>
            <w:tcBorders>
              <w:top w:val="single" w:sz="4" w:space="0" w:color="BFBFBF"/>
              <w:left w:val="nil"/>
              <w:bottom w:val="single" w:sz="8" w:space="0" w:color="BFBFBF"/>
              <w:right w:val="nil"/>
            </w:tcBorders>
            <w:shd w:val="clear" w:color="auto" w:fill="auto"/>
            <w:noWrap/>
            <w:vAlign w:val="center"/>
            <w:hideMark/>
          </w:tcPr>
          <w:p w14:paraId="46669165"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43 </w:t>
            </w:r>
          </w:p>
        </w:tc>
        <w:tc>
          <w:tcPr>
            <w:tcW w:w="1169" w:type="dxa"/>
            <w:tcBorders>
              <w:top w:val="single" w:sz="4" w:space="0" w:color="BFBFBF"/>
              <w:left w:val="nil"/>
              <w:bottom w:val="single" w:sz="8" w:space="0" w:color="BFBFBF"/>
              <w:right w:val="nil"/>
            </w:tcBorders>
            <w:shd w:val="clear" w:color="auto" w:fill="auto"/>
            <w:noWrap/>
            <w:vAlign w:val="center"/>
            <w:hideMark/>
          </w:tcPr>
          <w:p w14:paraId="67E497FF" w14:textId="386100BF"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001 </w:t>
            </w:r>
          </w:p>
        </w:tc>
        <w:tc>
          <w:tcPr>
            <w:tcW w:w="1075" w:type="dxa"/>
            <w:tcBorders>
              <w:top w:val="single" w:sz="4" w:space="0" w:color="BFBFBF"/>
              <w:left w:val="nil"/>
              <w:bottom w:val="single" w:sz="8" w:space="0" w:color="BFBFBF"/>
              <w:right w:val="nil"/>
            </w:tcBorders>
            <w:shd w:val="clear" w:color="auto" w:fill="auto"/>
            <w:noWrap/>
            <w:vAlign w:val="center"/>
            <w:hideMark/>
          </w:tcPr>
          <w:p w14:paraId="47A7F657"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99 </w:t>
            </w:r>
          </w:p>
        </w:tc>
        <w:tc>
          <w:tcPr>
            <w:tcW w:w="981" w:type="dxa"/>
            <w:tcBorders>
              <w:top w:val="single" w:sz="4" w:space="0" w:color="BFBFBF"/>
              <w:left w:val="nil"/>
              <w:bottom w:val="single" w:sz="8" w:space="0" w:color="BFBFBF"/>
              <w:right w:val="nil"/>
            </w:tcBorders>
            <w:shd w:val="clear" w:color="auto" w:fill="auto"/>
            <w:noWrap/>
            <w:vAlign w:val="center"/>
            <w:hideMark/>
          </w:tcPr>
          <w:p w14:paraId="11A2463E"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131 </w:t>
            </w:r>
          </w:p>
        </w:tc>
        <w:tc>
          <w:tcPr>
            <w:tcW w:w="1040" w:type="dxa"/>
            <w:tcBorders>
              <w:top w:val="single" w:sz="4" w:space="0" w:color="BFBFBF"/>
              <w:left w:val="nil"/>
              <w:bottom w:val="single" w:sz="8" w:space="0" w:color="BFBFBF"/>
              <w:right w:val="nil"/>
            </w:tcBorders>
            <w:shd w:val="clear" w:color="auto" w:fill="auto"/>
            <w:noWrap/>
            <w:vAlign w:val="center"/>
            <w:hideMark/>
          </w:tcPr>
          <w:p w14:paraId="196D7BD0" w14:textId="5B021EB1"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275 </w:t>
            </w:r>
          </w:p>
        </w:tc>
      </w:tr>
      <w:tr w:rsidR="001645C8" w:rsidRPr="00F72633" w14:paraId="42D598FD" w14:textId="77777777" w:rsidTr="009F7E48">
        <w:trPr>
          <w:trHeight w:val="75"/>
          <w:jc w:val="center"/>
        </w:trPr>
        <w:tc>
          <w:tcPr>
            <w:tcW w:w="400" w:type="dxa"/>
            <w:tcBorders>
              <w:top w:val="nil"/>
              <w:left w:val="nil"/>
              <w:bottom w:val="nil"/>
              <w:right w:val="nil"/>
            </w:tcBorders>
            <w:shd w:val="clear" w:color="auto" w:fill="auto"/>
            <w:noWrap/>
            <w:vAlign w:val="bottom"/>
            <w:hideMark/>
          </w:tcPr>
          <w:p w14:paraId="0D839FCF" w14:textId="77777777" w:rsidR="001645C8" w:rsidRPr="00F72633" w:rsidRDefault="001645C8" w:rsidP="00F90BBB">
            <w:pPr>
              <w:jc w:val="right"/>
              <w:rPr>
                <w:rFonts w:ascii="Arial Narrow" w:eastAsia="Times New Roman" w:hAnsi="Arial Narrow"/>
                <w:b/>
                <w:bCs/>
                <w:sz w:val="16"/>
                <w:szCs w:val="16"/>
                <w:lang w:val="es-419" w:eastAsia="en-US"/>
              </w:rPr>
            </w:pPr>
          </w:p>
        </w:tc>
        <w:tc>
          <w:tcPr>
            <w:tcW w:w="2840" w:type="dxa"/>
            <w:tcBorders>
              <w:top w:val="nil"/>
              <w:left w:val="nil"/>
              <w:bottom w:val="nil"/>
              <w:right w:val="nil"/>
            </w:tcBorders>
            <w:shd w:val="clear" w:color="auto" w:fill="auto"/>
            <w:noWrap/>
            <w:vAlign w:val="bottom"/>
            <w:hideMark/>
          </w:tcPr>
          <w:p w14:paraId="0D967263" w14:textId="77777777" w:rsidR="001645C8" w:rsidRPr="00F72633" w:rsidRDefault="001645C8" w:rsidP="00F90BBB">
            <w:pPr>
              <w:jc w:val="lef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5FAEFD8E" w14:textId="77777777" w:rsidR="001645C8" w:rsidRPr="00F72633" w:rsidRDefault="001645C8" w:rsidP="00F90BBB">
            <w:pPr>
              <w:jc w:val="left"/>
              <w:rPr>
                <w:rFonts w:ascii="Times New Roman" w:eastAsia="Times New Roman" w:hAnsi="Times New Roman" w:cs="Times New Roman"/>
                <w:lang w:val="es-419" w:eastAsia="en-US"/>
              </w:rPr>
            </w:pPr>
          </w:p>
        </w:tc>
        <w:tc>
          <w:tcPr>
            <w:tcW w:w="1169" w:type="dxa"/>
            <w:tcBorders>
              <w:top w:val="nil"/>
              <w:left w:val="nil"/>
              <w:bottom w:val="nil"/>
              <w:right w:val="nil"/>
            </w:tcBorders>
            <w:shd w:val="clear" w:color="auto" w:fill="auto"/>
            <w:noWrap/>
            <w:vAlign w:val="bottom"/>
            <w:hideMark/>
          </w:tcPr>
          <w:p w14:paraId="57421643" w14:textId="77777777" w:rsidR="001645C8" w:rsidRPr="00F72633" w:rsidRDefault="001645C8" w:rsidP="00F90BBB">
            <w:pPr>
              <w:jc w:val="righ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1D5CF4D7" w14:textId="77777777" w:rsidR="001645C8" w:rsidRPr="00F72633" w:rsidRDefault="001645C8" w:rsidP="00F90BBB">
            <w:pPr>
              <w:jc w:val="righ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1229902F" w14:textId="77777777" w:rsidR="001645C8" w:rsidRPr="00F72633" w:rsidRDefault="001645C8" w:rsidP="00F90BBB">
            <w:pPr>
              <w:jc w:val="righ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5F8D17C4" w14:textId="77777777" w:rsidR="001645C8" w:rsidRPr="00F72633" w:rsidRDefault="001645C8" w:rsidP="00F90BBB">
            <w:pPr>
              <w:jc w:val="right"/>
              <w:rPr>
                <w:rFonts w:ascii="Times New Roman" w:eastAsia="Times New Roman" w:hAnsi="Times New Roman" w:cs="Times New Roman"/>
                <w:lang w:val="es-419" w:eastAsia="en-US"/>
              </w:rPr>
            </w:pPr>
          </w:p>
        </w:tc>
      </w:tr>
      <w:tr w:rsidR="001645C8" w:rsidRPr="00F72633" w14:paraId="400C6600" w14:textId="77777777" w:rsidTr="009F7E48">
        <w:trPr>
          <w:trHeight w:val="285"/>
          <w:jc w:val="center"/>
        </w:trPr>
        <w:tc>
          <w:tcPr>
            <w:tcW w:w="400" w:type="dxa"/>
            <w:tcBorders>
              <w:top w:val="nil"/>
              <w:left w:val="nil"/>
              <w:bottom w:val="single" w:sz="8" w:space="0" w:color="BFBFBF"/>
              <w:right w:val="nil"/>
            </w:tcBorders>
            <w:shd w:val="clear" w:color="auto" w:fill="auto"/>
            <w:noWrap/>
            <w:vAlign w:val="bottom"/>
            <w:hideMark/>
          </w:tcPr>
          <w:p w14:paraId="175AF323"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p>
        </w:tc>
        <w:tc>
          <w:tcPr>
            <w:tcW w:w="2840" w:type="dxa"/>
            <w:tcBorders>
              <w:top w:val="nil"/>
              <w:left w:val="nil"/>
              <w:bottom w:val="single" w:sz="8" w:space="0" w:color="BFBFBF"/>
              <w:right w:val="nil"/>
            </w:tcBorders>
            <w:shd w:val="clear" w:color="auto" w:fill="auto"/>
            <w:noWrap/>
            <w:vAlign w:val="bottom"/>
            <w:hideMark/>
          </w:tcPr>
          <w:p w14:paraId="172E354C"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TOTAL</w:t>
            </w:r>
          </w:p>
        </w:tc>
        <w:tc>
          <w:tcPr>
            <w:tcW w:w="1075" w:type="dxa"/>
            <w:tcBorders>
              <w:top w:val="nil"/>
              <w:left w:val="nil"/>
              <w:bottom w:val="single" w:sz="8" w:space="0" w:color="BFBFBF"/>
              <w:right w:val="nil"/>
            </w:tcBorders>
            <w:shd w:val="clear" w:color="auto" w:fill="auto"/>
            <w:noWrap/>
            <w:vAlign w:val="bottom"/>
            <w:hideMark/>
          </w:tcPr>
          <w:p w14:paraId="62BF6532"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394 </w:t>
            </w:r>
          </w:p>
        </w:tc>
        <w:tc>
          <w:tcPr>
            <w:tcW w:w="1169" w:type="dxa"/>
            <w:tcBorders>
              <w:top w:val="nil"/>
              <w:left w:val="nil"/>
              <w:bottom w:val="single" w:sz="8" w:space="0" w:color="BFBFBF"/>
              <w:right w:val="nil"/>
            </w:tcBorders>
            <w:shd w:val="clear" w:color="auto" w:fill="auto"/>
            <w:noWrap/>
            <w:vAlign w:val="bottom"/>
            <w:hideMark/>
          </w:tcPr>
          <w:p w14:paraId="639A1F08" w14:textId="16B45096"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2</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126 </w:t>
            </w:r>
          </w:p>
        </w:tc>
        <w:tc>
          <w:tcPr>
            <w:tcW w:w="1075" w:type="dxa"/>
            <w:tcBorders>
              <w:top w:val="nil"/>
              <w:left w:val="nil"/>
              <w:bottom w:val="single" w:sz="8" w:space="0" w:color="BFBFBF"/>
              <w:right w:val="nil"/>
            </w:tcBorders>
            <w:shd w:val="clear" w:color="auto" w:fill="auto"/>
            <w:noWrap/>
            <w:vAlign w:val="bottom"/>
            <w:hideMark/>
          </w:tcPr>
          <w:p w14:paraId="2AA5570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685 </w:t>
            </w:r>
          </w:p>
        </w:tc>
        <w:tc>
          <w:tcPr>
            <w:tcW w:w="981" w:type="dxa"/>
            <w:tcBorders>
              <w:top w:val="nil"/>
              <w:left w:val="nil"/>
              <w:bottom w:val="single" w:sz="8" w:space="0" w:color="BFBFBF"/>
              <w:right w:val="nil"/>
            </w:tcBorders>
            <w:shd w:val="clear" w:color="auto" w:fill="auto"/>
            <w:noWrap/>
            <w:vAlign w:val="bottom"/>
            <w:hideMark/>
          </w:tcPr>
          <w:p w14:paraId="2407F78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369 </w:t>
            </w:r>
          </w:p>
        </w:tc>
        <w:tc>
          <w:tcPr>
            <w:tcW w:w="1040" w:type="dxa"/>
            <w:tcBorders>
              <w:top w:val="nil"/>
              <w:left w:val="nil"/>
              <w:bottom w:val="single" w:sz="8" w:space="0" w:color="BFBFBF"/>
              <w:right w:val="nil"/>
            </w:tcBorders>
            <w:shd w:val="clear" w:color="auto" w:fill="auto"/>
            <w:noWrap/>
            <w:vAlign w:val="bottom"/>
            <w:hideMark/>
          </w:tcPr>
          <w:p w14:paraId="60AF4C3B" w14:textId="3D204467" w:rsidR="001645C8" w:rsidRPr="00F72633" w:rsidRDefault="001645C8" w:rsidP="004769CE">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3</w:t>
            </w:r>
            <w:r w:rsidR="00CD2010" w:rsidRPr="00F72633">
              <w:rPr>
                <w:rFonts w:ascii="Arial Narrow" w:eastAsia="Times New Roman" w:hAnsi="Arial Narrow"/>
                <w:b/>
                <w:bCs/>
                <w:sz w:val="16"/>
                <w:szCs w:val="16"/>
                <w:lang w:val="es-419" w:eastAsia="en-US"/>
              </w:rPr>
              <w:t> </w:t>
            </w:r>
            <w:r w:rsidRPr="00F72633">
              <w:rPr>
                <w:rFonts w:ascii="Arial Narrow" w:eastAsia="Times New Roman" w:hAnsi="Arial Narrow"/>
                <w:b/>
                <w:bCs/>
                <w:sz w:val="16"/>
                <w:szCs w:val="16"/>
                <w:lang w:val="es-419" w:eastAsia="en-US"/>
              </w:rPr>
              <w:t xml:space="preserve">575 </w:t>
            </w:r>
          </w:p>
        </w:tc>
      </w:tr>
      <w:tr w:rsidR="001645C8" w:rsidRPr="00F72633" w14:paraId="595CF6EF" w14:textId="77777777" w:rsidTr="009F7E48">
        <w:trPr>
          <w:trHeight w:val="105"/>
          <w:jc w:val="center"/>
        </w:trPr>
        <w:tc>
          <w:tcPr>
            <w:tcW w:w="400" w:type="dxa"/>
            <w:tcBorders>
              <w:top w:val="nil"/>
              <w:left w:val="nil"/>
              <w:bottom w:val="nil"/>
              <w:right w:val="nil"/>
            </w:tcBorders>
            <w:shd w:val="clear" w:color="auto" w:fill="auto"/>
            <w:noWrap/>
            <w:vAlign w:val="bottom"/>
            <w:hideMark/>
          </w:tcPr>
          <w:p w14:paraId="36B1DD6D" w14:textId="77777777" w:rsidR="001645C8" w:rsidRPr="00F72633" w:rsidRDefault="001645C8" w:rsidP="00F90BBB">
            <w:pPr>
              <w:jc w:val="right"/>
              <w:rPr>
                <w:rFonts w:ascii="Arial Narrow" w:eastAsia="Times New Roman" w:hAnsi="Arial Narrow"/>
                <w:b/>
                <w:bCs/>
                <w:sz w:val="16"/>
                <w:szCs w:val="16"/>
                <w:lang w:val="es-419" w:eastAsia="en-US"/>
              </w:rPr>
            </w:pPr>
          </w:p>
        </w:tc>
        <w:tc>
          <w:tcPr>
            <w:tcW w:w="2840" w:type="dxa"/>
            <w:tcBorders>
              <w:top w:val="nil"/>
              <w:left w:val="nil"/>
              <w:bottom w:val="nil"/>
              <w:right w:val="nil"/>
            </w:tcBorders>
            <w:shd w:val="clear" w:color="auto" w:fill="auto"/>
            <w:noWrap/>
            <w:vAlign w:val="bottom"/>
            <w:hideMark/>
          </w:tcPr>
          <w:p w14:paraId="608866C0" w14:textId="77777777" w:rsidR="001645C8" w:rsidRPr="00F72633" w:rsidRDefault="001645C8" w:rsidP="00F90BBB">
            <w:pPr>
              <w:jc w:val="lef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6BDAD0E1" w14:textId="77777777" w:rsidR="001645C8" w:rsidRPr="00F72633" w:rsidRDefault="001645C8" w:rsidP="00F90BBB">
            <w:pPr>
              <w:jc w:val="left"/>
              <w:rPr>
                <w:rFonts w:ascii="Times New Roman" w:eastAsia="Times New Roman" w:hAnsi="Times New Roman" w:cs="Times New Roman"/>
                <w:lang w:val="es-419" w:eastAsia="en-US"/>
              </w:rPr>
            </w:pPr>
          </w:p>
        </w:tc>
        <w:tc>
          <w:tcPr>
            <w:tcW w:w="1169" w:type="dxa"/>
            <w:tcBorders>
              <w:top w:val="nil"/>
              <w:left w:val="nil"/>
              <w:bottom w:val="nil"/>
              <w:right w:val="nil"/>
            </w:tcBorders>
            <w:shd w:val="clear" w:color="auto" w:fill="auto"/>
            <w:noWrap/>
            <w:vAlign w:val="bottom"/>
            <w:hideMark/>
          </w:tcPr>
          <w:p w14:paraId="448C2E9D" w14:textId="77777777" w:rsidR="001645C8" w:rsidRPr="00F72633" w:rsidRDefault="001645C8" w:rsidP="00F90BBB">
            <w:pPr>
              <w:jc w:val="left"/>
              <w:rPr>
                <w:rFonts w:ascii="Times New Roman" w:eastAsia="Times New Roman" w:hAnsi="Times New Roman" w:cs="Times New Roman"/>
                <w:lang w:val="es-419" w:eastAsia="en-US"/>
              </w:rPr>
            </w:pPr>
          </w:p>
        </w:tc>
        <w:tc>
          <w:tcPr>
            <w:tcW w:w="1075" w:type="dxa"/>
            <w:tcBorders>
              <w:top w:val="nil"/>
              <w:left w:val="nil"/>
              <w:bottom w:val="nil"/>
              <w:right w:val="nil"/>
            </w:tcBorders>
            <w:shd w:val="clear" w:color="auto" w:fill="auto"/>
            <w:noWrap/>
            <w:vAlign w:val="bottom"/>
            <w:hideMark/>
          </w:tcPr>
          <w:p w14:paraId="50E52602" w14:textId="77777777" w:rsidR="001645C8" w:rsidRPr="00F72633" w:rsidRDefault="001645C8" w:rsidP="00F90BBB">
            <w:pPr>
              <w:jc w:val="left"/>
              <w:rPr>
                <w:rFonts w:ascii="Times New Roman" w:eastAsia="Times New Roman" w:hAnsi="Times New Roman" w:cs="Times New Roman"/>
                <w:lang w:val="es-419" w:eastAsia="en-US"/>
              </w:rPr>
            </w:pPr>
          </w:p>
        </w:tc>
        <w:tc>
          <w:tcPr>
            <w:tcW w:w="981" w:type="dxa"/>
            <w:tcBorders>
              <w:top w:val="nil"/>
              <w:left w:val="nil"/>
              <w:bottom w:val="nil"/>
              <w:right w:val="nil"/>
            </w:tcBorders>
            <w:shd w:val="clear" w:color="auto" w:fill="auto"/>
            <w:noWrap/>
            <w:vAlign w:val="bottom"/>
            <w:hideMark/>
          </w:tcPr>
          <w:p w14:paraId="01F006ED" w14:textId="77777777" w:rsidR="001645C8" w:rsidRPr="00F72633" w:rsidRDefault="001645C8" w:rsidP="00F90BBB">
            <w:pPr>
              <w:jc w:val="left"/>
              <w:rPr>
                <w:rFonts w:ascii="Times New Roman" w:eastAsia="Times New Roman" w:hAnsi="Times New Roman" w:cs="Times New Roman"/>
                <w:lang w:val="es-419" w:eastAsia="en-US"/>
              </w:rPr>
            </w:pPr>
          </w:p>
        </w:tc>
        <w:tc>
          <w:tcPr>
            <w:tcW w:w="1040" w:type="dxa"/>
            <w:tcBorders>
              <w:top w:val="nil"/>
              <w:left w:val="nil"/>
              <w:bottom w:val="nil"/>
              <w:right w:val="nil"/>
            </w:tcBorders>
            <w:shd w:val="clear" w:color="auto" w:fill="auto"/>
            <w:noWrap/>
            <w:vAlign w:val="bottom"/>
            <w:hideMark/>
          </w:tcPr>
          <w:p w14:paraId="704670A9"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0EA4C5A7" w14:textId="77777777" w:rsidTr="009F7E48">
        <w:trPr>
          <w:trHeight w:val="585"/>
          <w:jc w:val="center"/>
        </w:trPr>
        <w:tc>
          <w:tcPr>
            <w:tcW w:w="8580" w:type="dxa"/>
            <w:gridSpan w:val="7"/>
            <w:tcBorders>
              <w:top w:val="nil"/>
              <w:left w:val="nil"/>
              <w:bottom w:val="nil"/>
              <w:right w:val="nil"/>
            </w:tcBorders>
            <w:shd w:val="clear" w:color="auto" w:fill="auto"/>
            <w:hideMark/>
          </w:tcPr>
          <w:p w14:paraId="5E7A2330" w14:textId="6386F49B" w:rsidR="001645C8" w:rsidRPr="00F72633" w:rsidRDefault="001645C8" w:rsidP="00A871AC">
            <w:pPr>
              <w:jc w:val="left"/>
              <w:rPr>
                <w:rFonts w:ascii="Arial Narrow" w:eastAsia="Times New Roman" w:hAnsi="Arial Narrow"/>
                <w:i/>
                <w:iCs/>
                <w:sz w:val="18"/>
                <w:szCs w:val="18"/>
                <w:lang w:val="es-419" w:eastAsia="en-US"/>
              </w:rPr>
            </w:pPr>
            <w:r w:rsidRPr="00F72633">
              <w:rPr>
                <w:rFonts w:ascii="Arial Narrow" w:eastAsia="Times New Roman" w:hAnsi="Arial Narrow"/>
                <w:i/>
                <w:iCs/>
                <w:sz w:val="16"/>
                <w:szCs w:val="18"/>
                <w:lang w:val="es-419" w:eastAsia="en-US"/>
              </w:rPr>
              <w:t>Not</w:t>
            </w:r>
            <w:r w:rsidR="004769CE" w:rsidRPr="00F72633">
              <w:rPr>
                <w:rFonts w:ascii="Arial Narrow" w:eastAsia="Times New Roman" w:hAnsi="Arial Narrow"/>
                <w:i/>
                <w:iCs/>
                <w:sz w:val="16"/>
                <w:szCs w:val="18"/>
                <w:lang w:val="es-419" w:eastAsia="en-US"/>
              </w:rPr>
              <w:t>a</w:t>
            </w:r>
            <w:r w:rsidRPr="00F72633">
              <w:rPr>
                <w:rFonts w:ascii="Arial Narrow" w:eastAsia="Times New Roman" w:hAnsi="Arial Narrow"/>
                <w:i/>
                <w:iCs/>
                <w:sz w:val="16"/>
                <w:szCs w:val="18"/>
                <w:lang w:val="es-419" w:eastAsia="en-US"/>
              </w:rPr>
              <w:t xml:space="preserve">: </w:t>
            </w:r>
            <w:r w:rsidR="004769CE" w:rsidRPr="00F72633">
              <w:rPr>
                <w:rFonts w:ascii="Arial Narrow" w:eastAsia="Times New Roman" w:hAnsi="Arial Narrow"/>
                <w:i/>
                <w:iCs/>
                <w:sz w:val="16"/>
                <w:szCs w:val="18"/>
                <w:lang w:val="es-419" w:eastAsia="en-US"/>
              </w:rPr>
              <w:t>los gastos no relativos a personal en concepto de i) gastos de funcionamiento correspondientes al sub</w:t>
            </w:r>
            <w:r w:rsidR="003D41F6" w:rsidRPr="00F72633">
              <w:rPr>
                <w:rFonts w:ascii="Arial Narrow" w:eastAsia="Times New Roman" w:hAnsi="Arial Narrow"/>
                <w:i/>
                <w:iCs/>
                <w:sz w:val="16"/>
                <w:szCs w:val="18"/>
                <w:lang w:val="es-419" w:eastAsia="en-US"/>
              </w:rPr>
              <w:t>programa UV.4 ascendieron a 496 </w:t>
            </w:r>
            <w:r w:rsidR="004769CE" w:rsidRPr="00F72633">
              <w:rPr>
                <w:rFonts w:ascii="Arial Narrow" w:eastAsia="Times New Roman" w:hAnsi="Arial Narrow"/>
                <w:i/>
                <w:iCs/>
                <w:sz w:val="16"/>
                <w:szCs w:val="18"/>
                <w:lang w:val="es-419" w:eastAsia="en-US"/>
              </w:rPr>
              <w:t>francos suizos, y ii) suministros y material correspondientes a los subprog</w:t>
            </w:r>
            <w:r w:rsidR="00A871AC" w:rsidRPr="00F72633">
              <w:rPr>
                <w:rFonts w:ascii="Arial Narrow" w:eastAsia="Times New Roman" w:hAnsi="Arial Narrow"/>
                <w:i/>
                <w:iCs/>
                <w:sz w:val="16"/>
                <w:szCs w:val="18"/>
                <w:lang w:val="es-419" w:eastAsia="en-US"/>
              </w:rPr>
              <w:t>ramas UV.1 y UV.3 ascendieron a 161 francos suizos y </w:t>
            </w:r>
            <w:r w:rsidR="004769CE" w:rsidRPr="00F72633">
              <w:rPr>
                <w:rFonts w:ascii="Arial Narrow" w:eastAsia="Times New Roman" w:hAnsi="Arial Narrow"/>
                <w:i/>
                <w:iCs/>
                <w:sz w:val="16"/>
                <w:szCs w:val="18"/>
                <w:lang w:val="es-419" w:eastAsia="en-US"/>
              </w:rPr>
              <w:t>106</w:t>
            </w:r>
            <w:r w:rsidR="00A871AC" w:rsidRPr="00F72633">
              <w:rPr>
                <w:rFonts w:ascii="Arial Narrow" w:eastAsia="Times New Roman" w:hAnsi="Arial Narrow"/>
                <w:i/>
                <w:iCs/>
                <w:sz w:val="16"/>
                <w:szCs w:val="18"/>
                <w:lang w:val="es-419" w:eastAsia="en-US"/>
              </w:rPr>
              <w:t> </w:t>
            </w:r>
            <w:r w:rsidR="004769CE" w:rsidRPr="00F72633">
              <w:rPr>
                <w:rFonts w:ascii="Arial Narrow" w:eastAsia="Times New Roman" w:hAnsi="Arial Narrow"/>
                <w:i/>
                <w:iCs/>
                <w:sz w:val="16"/>
                <w:szCs w:val="18"/>
                <w:lang w:val="es-419" w:eastAsia="en-US"/>
              </w:rPr>
              <w:t>francos suizos, respectivamente.</w:t>
            </w:r>
          </w:p>
        </w:tc>
      </w:tr>
    </w:tbl>
    <w:p w14:paraId="623F49A5" w14:textId="77777777" w:rsidR="001645C8" w:rsidRPr="00F72633" w:rsidRDefault="001645C8" w:rsidP="003E3C19">
      <w:pPr>
        <w:jc w:val="center"/>
        <w:rPr>
          <w:rFonts w:eastAsiaTheme="minorHAnsi"/>
          <w:lang w:val="es-419"/>
        </w:rPr>
      </w:pPr>
    </w:p>
    <w:p w14:paraId="30F91EB3" w14:textId="77777777" w:rsidR="001645C8" w:rsidRPr="00F72633" w:rsidRDefault="001645C8" w:rsidP="003E3C19">
      <w:pPr>
        <w:jc w:val="center"/>
        <w:rPr>
          <w:rFonts w:eastAsiaTheme="minorHAnsi"/>
          <w:lang w:val="es-419"/>
        </w:rPr>
      </w:pPr>
    </w:p>
    <w:p w14:paraId="601B981C" w14:textId="77777777" w:rsidR="001645C8" w:rsidRPr="00F72633" w:rsidRDefault="001645C8" w:rsidP="003E3C19">
      <w:pPr>
        <w:jc w:val="center"/>
        <w:rPr>
          <w:rFonts w:eastAsiaTheme="minorHAnsi"/>
          <w:lang w:val="es-419"/>
        </w:rPr>
      </w:pPr>
    </w:p>
    <w:p w14:paraId="1DA75745" w14:textId="77777777" w:rsidR="001645C8" w:rsidRPr="00F72633" w:rsidRDefault="001645C8" w:rsidP="003E3C19">
      <w:pPr>
        <w:rPr>
          <w:b/>
          <w:color w:val="26724C" w:themeColor="accent1" w:themeShade="BF"/>
          <w:sz w:val="22"/>
          <w:lang w:val="es-419"/>
        </w:rPr>
      </w:pPr>
    </w:p>
    <w:p w14:paraId="37CBB787" w14:textId="77777777" w:rsidR="001645C8" w:rsidRPr="00F72633" w:rsidRDefault="001645C8" w:rsidP="003E3C19">
      <w:pPr>
        <w:jc w:val="left"/>
        <w:rPr>
          <w:b/>
          <w:color w:val="26724C" w:themeColor="accent1" w:themeShade="BF"/>
          <w:sz w:val="22"/>
          <w:lang w:val="es-419"/>
        </w:rPr>
      </w:pPr>
      <w:r w:rsidRPr="00F72633">
        <w:rPr>
          <w:b/>
          <w:color w:val="26724C" w:themeColor="accent1" w:themeShade="BF"/>
          <w:sz w:val="22"/>
          <w:lang w:val="es-419"/>
        </w:rPr>
        <w:br w:type="page"/>
      </w:r>
    </w:p>
    <w:p w14:paraId="1D4C7822" w14:textId="2D53F662" w:rsidR="001645C8" w:rsidRPr="00F72633" w:rsidRDefault="00537188" w:rsidP="003E3C19">
      <w:pPr>
        <w:keepNext/>
        <w:rPr>
          <w:rFonts w:eastAsiaTheme="minorHAnsi"/>
          <w:lang w:val="es-419"/>
        </w:rPr>
      </w:pPr>
      <w:r w:rsidRPr="00F72633">
        <w:rPr>
          <w:b/>
          <w:color w:val="26724C" w:themeColor="accent1" w:themeShade="BF"/>
          <w:sz w:val="22"/>
          <w:lang w:val="es-419"/>
        </w:rPr>
        <w:lastRenderedPageBreak/>
        <w:t>Recursos</w:t>
      </w:r>
    </w:p>
    <w:p w14:paraId="19A96BC6" w14:textId="77777777" w:rsidR="001645C8" w:rsidRPr="00F72633" w:rsidRDefault="001645C8" w:rsidP="003E3C19">
      <w:pPr>
        <w:keepNext/>
        <w:rPr>
          <w:rFonts w:eastAsiaTheme="minorHAnsi"/>
          <w:lang w:val="es-419"/>
        </w:rPr>
      </w:pPr>
    </w:p>
    <w:p w14:paraId="13983FFB" w14:textId="1D90DD9D" w:rsidR="001645C8" w:rsidRPr="00F72633" w:rsidRDefault="00A871AC" w:rsidP="00A83C1F">
      <w:pPr>
        <w:pStyle w:val="annexiparanumbered"/>
        <w:numPr>
          <w:ilvl w:val="0"/>
          <w:numId w:val="0"/>
        </w:numPr>
        <w:rPr>
          <w:lang w:val="es-419"/>
        </w:rPr>
      </w:pPr>
      <w:r w:rsidRPr="00F72633">
        <w:rPr>
          <w:lang w:val="es-419"/>
        </w:rPr>
        <w:t>En el cuadro 6 </w:t>
      </w:r>
      <w:r w:rsidR="00537188" w:rsidRPr="00F72633">
        <w:rPr>
          <w:lang w:val="es-419"/>
        </w:rPr>
        <w:t xml:space="preserve">se presenta el número de puestos por categoría. </w:t>
      </w:r>
      <w:r w:rsidR="009E232C">
        <w:rPr>
          <w:lang w:val="es-419"/>
        </w:rPr>
        <w:t xml:space="preserve"> </w:t>
      </w:r>
      <w:r w:rsidR="006433D8" w:rsidRPr="00F72633">
        <w:rPr>
          <w:lang w:val="es-419"/>
        </w:rPr>
        <w:t>En 2022 </w:t>
      </w:r>
      <w:r w:rsidR="002536D2" w:rsidRPr="00F72633">
        <w:rPr>
          <w:lang w:val="es-419"/>
        </w:rPr>
        <w:t>había</w:t>
      </w:r>
      <w:r w:rsidR="006433D8" w:rsidRPr="00F72633">
        <w:rPr>
          <w:lang w:val="es-419"/>
        </w:rPr>
        <w:t> </w:t>
      </w:r>
      <w:r w:rsidR="002536D2" w:rsidRPr="00F72633">
        <w:rPr>
          <w:lang w:val="es-419"/>
        </w:rPr>
        <w:t>12</w:t>
      </w:r>
      <w:r w:rsidR="006433D8" w:rsidRPr="00F72633">
        <w:rPr>
          <w:lang w:val="es-419"/>
        </w:rPr>
        <w:t> </w:t>
      </w:r>
      <w:r w:rsidR="002536D2" w:rsidRPr="00F72633">
        <w:rPr>
          <w:lang w:val="es-419"/>
        </w:rPr>
        <w:t>puestos ocupados y un puesto profesional estuvo vacante durante la mayor parte del año.</w:t>
      </w:r>
      <w:r w:rsidR="00537188" w:rsidRPr="00F72633">
        <w:rPr>
          <w:lang w:val="es-419"/>
        </w:rPr>
        <w:t xml:space="preserve"> </w:t>
      </w:r>
      <w:r w:rsidR="009E232C">
        <w:rPr>
          <w:lang w:val="es-419"/>
        </w:rPr>
        <w:t xml:space="preserve"> </w:t>
      </w:r>
      <w:r w:rsidR="00537188" w:rsidRPr="00F72633">
        <w:rPr>
          <w:lang w:val="es-419"/>
        </w:rPr>
        <w:t xml:space="preserve">El puesto del </w:t>
      </w:r>
      <w:r w:rsidR="009E232C" w:rsidRPr="00F72633">
        <w:rPr>
          <w:lang w:val="es-419"/>
        </w:rPr>
        <w:t xml:space="preserve">Secretario General </w:t>
      </w:r>
      <w:r w:rsidR="00537188" w:rsidRPr="00F72633">
        <w:rPr>
          <w:lang w:val="es-419"/>
        </w:rPr>
        <w:t xml:space="preserve">está incluido en el cómputo de puestos, aunque sin costo, ya que el actual </w:t>
      </w:r>
      <w:r w:rsidR="009E232C" w:rsidRPr="00F72633">
        <w:rPr>
          <w:lang w:val="es-419"/>
        </w:rPr>
        <w:t>Director General</w:t>
      </w:r>
      <w:r w:rsidR="00537188" w:rsidRPr="00F72633">
        <w:rPr>
          <w:lang w:val="es-419"/>
        </w:rPr>
        <w:t xml:space="preserve"> de la OMPI ha declinado recibir sueldo o asignación alguna como </w:t>
      </w:r>
      <w:r w:rsidR="009E232C" w:rsidRPr="00F72633">
        <w:rPr>
          <w:lang w:val="es-419"/>
        </w:rPr>
        <w:t>Secretario General</w:t>
      </w:r>
      <w:r w:rsidR="00537188" w:rsidRPr="00F72633">
        <w:rPr>
          <w:lang w:val="es-419"/>
        </w:rPr>
        <w:t xml:space="preserve"> de la UPOV.</w:t>
      </w:r>
    </w:p>
    <w:p w14:paraId="52DB4ABD" w14:textId="77777777" w:rsidR="001645C8" w:rsidRPr="00F72633" w:rsidRDefault="001645C8" w:rsidP="003E3C19">
      <w:pPr>
        <w:rPr>
          <w:rFonts w:eastAsiaTheme="minorHAnsi"/>
          <w:lang w:val="es-419"/>
        </w:rPr>
      </w:pPr>
    </w:p>
    <w:p w14:paraId="41CF043C" w14:textId="65CA087B" w:rsidR="001645C8" w:rsidRPr="00F72633" w:rsidRDefault="005F1474" w:rsidP="003E3C19">
      <w:pPr>
        <w:jc w:val="center"/>
        <w:rPr>
          <w:rFonts w:eastAsia="Times New Roman"/>
          <w:b/>
          <w:bCs/>
          <w:color w:val="155F1A"/>
          <w:sz w:val="18"/>
          <w:szCs w:val="18"/>
          <w:lang w:val="es-419"/>
        </w:rPr>
      </w:pPr>
      <w:r w:rsidRPr="00F72633">
        <w:rPr>
          <w:b/>
          <w:color w:val="155F1A"/>
          <w:sz w:val="18"/>
          <w:lang w:val="es-419"/>
        </w:rPr>
        <w:t>Cuadro 6. Puestos presupuestados y reales en</w:t>
      </w:r>
      <w:r w:rsidR="001645C8" w:rsidRPr="00F72633">
        <w:rPr>
          <w:rFonts w:eastAsia="Times New Roman"/>
          <w:b/>
          <w:bCs/>
          <w:color w:val="155F1A"/>
          <w:sz w:val="18"/>
          <w:szCs w:val="18"/>
          <w:lang w:val="es-419"/>
        </w:rPr>
        <w:t xml:space="preserve"> 2022</w:t>
      </w:r>
    </w:p>
    <w:p w14:paraId="3DE247E4" w14:textId="77777777" w:rsidR="001645C8" w:rsidRPr="00F72633" w:rsidRDefault="001645C8" w:rsidP="003E3C19">
      <w:pPr>
        <w:jc w:val="center"/>
        <w:rPr>
          <w:rFonts w:eastAsia="Times New Roman"/>
          <w:b/>
          <w:bCs/>
          <w:color w:val="155F1A"/>
          <w:sz w:val="18"/>
          <w:szCs w:val="18"/>
          <w:lang w:val="es-419"/>
        </w:rPr>
      </w:pPr>
    </w:p>
    <w:tbl>
      <w:tblPr>
        <w:tblW w:w="5682" w:type="dxa"/>
        <w:jc w:val="center"/>
        <w:tblLook w:val="04A0" w:firstRow="1" w:lastRow="0" w:firstColumn="1" w:lastColumn="0" w:noHBand="0" w:noVBand="1"/>
      </w:tblPr>
      <w:tblGrid>
        <w:gridCol w:w="262"/>
        <w:gridCol w:w="1538"/>
        <w:gridCol w:w="1440"/>
        <w:gridCol w:w="1182"/>
        <w:gridCol w:w="1260"/>
      </w:tblGrid>
      <w:tr w:rsidR="001645C8" w:rsidRPr="00F72633" w14:paraId="3A025371" w14:textId="77777777" w:rsidTr="005F1474">
        <w:trPr>
          <w:trHeight w:val="255"/>
          <w:jc w:val="center"/>
        </w:trPr>
        <w:tc>
          <w:tcPr>
            <w:tcW w:w="262" w:type="dxa"/>
            <w:tcBorders>
              <w:top w:val="nil"/>
              <w:left w:val="nil"/>
              <w:bottom w:val="nil"/>
              <w:right w:val="nil"/>
            </w:tcBorders>
            <w:shd w:val="clear" w:color="000000" w:fill="C7CFD8"/>
            <w:noWrap/>
            <w:vAlign w:val="center"/>
            <w:hideMark/>
          </w:tcPr>
          <w:p w14:paraId="2CECC45B" w14:textId="77777777" w:rsidR="001645C8" w:rsidRPr="00F72633" w:rsidRDefault="001645C8" w:rsidP="00F90BBB">
            <w:pPr>
              <w:jc w:val="left"/>
              <w:rPr>
                <w:rFonts w:ascii="Arial Narrow" w:eastAsia="Times New Roman" w:hAnsi="Arial Narrow"/>
                <w:b/>
                <w:bCs/>
                <w:lang w:val="es-419" w:eastAsia="en-US"/>
              </w:rPr>
            </w:pPr>
            <w:r w:rsidRPr="00F72633">
              <w:rPr>
                <w:rFonts w:ascii="Arial Narrow" w:eastAsia="Times New Roman" w:hAnsi="Arial Narrow"/>
                <w:b/>
                <w:bCs/>
                <w:lang w:val="es-419" w:eastAsia="en-US"/>
              </w:rPr>
              <w:t> </w:t>
            </w:r>
          </w:p>
        </w:tc>
        <w:tc>
          <w:tcPr>
            <w:tcW w:w="1538" w:type="dxa"/>
            <w:tcBorders>
              <w:top w:val="nil"/>
              <w:left w:val="nil"/>
              <w:bottom w:val="nil"/>
              <w:right w:val="nil"/>
            </w:tcBorders>
            <w:shd w:val="clear" w:color="000000" w:fill="C7CFD8"/>
            <w:noWrap/>
            <w:vAlign w:val="center"/>
            <w:hideMark/>
          </w:tcPr>
          <w:p w14:paraId="12359853" w14:textId="40AA1328" w:rsidR="001645C8" w:rsidRPr="00F72633" w:rsidRDefault="001645C8" w:rsidP="005F1474">
            <w:pPr>
              <w:ind w:left="-13"/>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w:t>
            </w:r>
            <w:r w:rsidR="005F1474" w:rsidRPr="00F72633">
              <w:rPr>
                <w:rFonts w:ascii="Arial Narrow" w:hAnsi="Arial Narrow"/>
                <w:b/>
                <w:sz w:val="16"/>
                <w:lang w:val="es-419"/>
              </w:rPr>
              <w:t>Categoría del puesto</w:t>
            </w:r>
          </w:p>
        </w:tc>
        <w:tc>
          <w:tcPr>
            <w:tcW w:w="1440" w:type="dxa"/>
            <w:tcBorders>
              <w:top w:val="nil"/>
              <w:left w:val="nil"/>
              <w:bottom w:val="nil"/>
              <w:right w:val="nil"/>
            </w:tcBorders>
            <w:shd w:val="clear" w:color="000000" w:fill="C7CFD8"/>
            <w:noWrap/>
            <w:vAlign w:val="center"/>
            <w:hideMark/>
          </w:tcPr>
          <w:p w14:paraId="2D2163A6" w14:textId="43387A9E" w:rsidR="001645C8" w:rsidRPr="00F72633" w:rsidRDefault="005F1474"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Puestos conforme al presupuesto de</w:t>
            </w:r>
            <w:r w:rsidRPr="00F72633">
              <w:rPr>
                <w:rFonts w:ascii="Arial Narrow" w:eastAsia="Times New Roman" w:hAnsi="Arial Narrow"/>
                <w:b/>
                <w:bCs/>
                <w:color w:val="000000"/>
                <w:sz w:val="16"/>
                <w:szCs w:val="16"/>
                <w:lang w:val="es-419" w:eastAsia="en-US"/>
              </w:rPr>
              <w:t xml:space="preserve"> </w:t>
            </w:r>
            <w:r w:rsidR="001645C8" w:rsidRPr="00F72633">
              <w:rPr>
                <w:rFonts w:ascii="Arial Narrow" w:eastAsia="Times New Roman" w:hAnsi="Arial Narrow"/>
                <w:b/>
                <w:bCs/>
                <w:color w:val="000000"/>
                <w:sz w:val="16"/>
                <w:szCs w:val="16"/>
                <w:lang w:val="es-419" w:eastAsia="en-US"/>
              </w:rPr>
              <w:t>2022/23</w:t>
            </w:r>
          </w:p>
        </w:tc>
        <w:tc>
          <w:tcPr>
            <w:tcW w:w="1182" w:type="dxa"/>
            <w:tcBorders>
              <w:top w:val="nil"/>
              <w:left w:val="nil"/>
              <w:bottom w:val="nil"/>
              <w:right w:val="nil"/>
            </w:tcBorders>
            <w:shd w:val="clear" w:color="000000" w:fill="C7CFD8"/>
            <w:noWrap/>
            <w:vAlign w:val="center"/>
            <w:hideMark/>
          </w:tcPr>
          <w:p w14:paraId="74F89352" w14:textId="52CA5DCA" w:rsidR="001645C8" w:rsidRPr="00F72633" w:rsidRDefault="005F1474"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Puestos reales en</w:t>
            </w:r>
            <w:r w:rsidRPr="00F72633">
              <w:rPr>
                <w:rFonts w:ascii="Arial Narrow" w:eastAsia="Times New Roman" w:hAnsi="Arial Narrow"/>
                <w:b/>
                <w:bCs/>
                <w:color w:val="000000"/>
                <w:sz w:val="16"/>
                <w:szCs w:val="16"/>
                <w:lang w:val="es-419" w:eastAsia="en-US"/>
              </w:rPr>
              <w:t xml:space="preserve"> </w:t>
            </w:r>
            <w:r w:rsidR="001645C8" w:rsidRPr="00F72633">
              <w:rPr>
                <w:rFonts w:ascii="Arial Narrow" w:eastAsia="Times New Roman" w:hAnsi="Arial Narrow"/>
                <w:b/>
                <w:bCs/>
                <w:color w:val="000000"/>
                <w:sz w:val="16"/>
                <w:szCs w:val="16"/>
                <w:lang w:val="es-419" w:eastAsia="en-US"/>
              </w:rPr>
              <w:t>2022</w:t>
            </w:r>
          </w:p>
        </w:tc>
        <w:tc>
          <w:tcPr>
            <w:tcW w:w="1260" w:type="dxa"/>
            <w:tcBorders>
              <w:top w:val="nil"/>
              <w:left w:val="nil"/>
              <w:bottom w:val="nil"/>
              <w:right w:val="nil"/>
            </w:tcBorders>
            <w:shd w:val="clear" w:color="000000" w:fill="C7CFD8"/>
            <w:vAlign w:val="center"/>
            <w:hideMark/>
          </w:tcPr>
          <w:p w14:paraId="7F389D95" w14:textId="19F97351" w:rsidR="001645C8" w:rsidRPr="00F72633" w:rsidRDefault="005F1474" w:rsidP="00F90BBB">
            <w:pPr>
              <w:jc w:val="center"/>
              <w:rPr>
                <w:rFonts w:ascii="Arial Narrow" w:eastAsia="Times New Roman" w:hAnsi="Arial Narrow"/>
                <w:b/>
                <w:bCs/>
                <w:color w:val="000000"/>
                <w:sz w:val="16"/>
                <w:szCs w:val="16"/>
                <w:lang w:val="es-419" w:eastAsia="en-US"/>
              </w:rPr>
            </w:pPr>
            <w:r w:rsidRPr="00F72633">
              <w:rPr>
                <w:rFonts w:ascii="Arial Narrow" w:hAnsi="Arial Narrow"/>
                <w:b/>
                <w:color w:val="000000"/>
                <w:sz w:val="16"/>
                <w:lang w:val="es-419"/>
              </w:rPr>
              <w:t>Diferencia</w:t>
            </w:r>
          </w:p>
        </w:tc>
      </w:tr>
      <w:tr w:rsidR="001645C8" w:rsidRPr="00F72633" w14:paraId="6FC8E782" w14:textId="77777777" w:rsidTr="005F1474">
        <w:trPr>
          <w:trHeight w:val="180"/>
          <w:jc w:val="center"/>
        </w:trPr>
        <w:tc>
          <w:tcPr>
            <w:tcW w:w="262" w:type="dxa"/>
            <w:tcBorders>
              <w:top w:val="nil"/>
              <w:left w:val="nil"/>
              <w:bottom w:val="nil"/>
              <w:right w:val="nil"/>
            </w:tcBorders>
            <w:shd w:val="clear" w:color="auto" w:fill="auto"/>
            <w:noWrap/>
            <w:vAlign w:val="center"/>
            <w:hideMark/>
          </w:tcPr>
          <w:p w14:paraId="307DAA1C" w14:textId="77777777" w:rsidR="001645C8" w:rsidRPr="00F72633" w:rsidRDefault="001645C8" w:rsidP="005F1474">
            <w:pPr>
              <w:rPr>
                <w:rFonts w:ascii="Arial Narrow" w:eastAsia="Times New Roman" w:hAnsi="Arial Narrow"/>
                <w:b/>
                <w:bCs/>
                <w:sz w:val="16"/>
                <w:szCs w:val="16"/>
                <w:lang w:val="es-419" w:eastAsia="en-US"/>
              </w:rPr>
            </w:pPr>
          </w:p>
        </w:tc>
        <w:tc>
          <w:tcPr>
            <w:tcW w:w="1538" w:type="dxa"/>
            <w:tcBorders>
              <w:top w:val="nil"/>
              <w:left w:val="nil"/>
              <w:bottom w:val="nil"/>
              <w:right w:val="nil"/>
            </w:tcBorders>
            <w:shd w:val="clear" w:color="auto" w:fill="auto"/>
            <w:noWrap/>
            <w:vAlign w:val="center"/>
            <w:hideMark/>
          </w:tcPr>
          <w:p w14:paraId="5FF3B210" w14:textId="77777777" w:rsidR="001645C8" w:rsidRPr="00F72633" w:rsidRDefault="001645C8" w:rsidP="00F90BBB">
            <w:pPr>
              <w:jc w:val="left"/>
              <w:rPr>
                <w:rFonts w:ascii="Times New Roman" w:eastAsia="Times New Roman" w:hAnsi="Times New Roman" w:cs="Times New Roman"/>
                <w:lang w:val="es-419" w:eastAsia="en-US"/>
              </w:rPr>
            </w:pPr>
          </w:p>
        </w:tc>
        <w:tc>
          <w:tcPr>
            <w:tcW w:w="1440" w:type="dxa"/>
            <w:tcBorders>
              <w:top w:val="nil"/>
              <w:left w:val="nil"/>
              <w:bottom w:val="nil"/>
              <w:right w:val="nil"/>
            </w:tcBorders>
            <w:shd w:val="clear" w:color="auto" w:fill="auto"/>
            <w:noWrap/>
            <w:vAlign w:val="center"/>
            <w:hideMark/>
          </w:tcPr>
          <w:p w14:paraId="2302EB01" w14:textId="77777777" w:rsidR="001645C8" w:rsidRPr="00F72633" w:rsidRDefault="001645C8" w:rsidP="00F90BBB">
            <w:pPr>
              <w:jc w:val="left"/>
              <w:rPr>
                <w:rFonts w:ascii="Times New Roman" w:eastAsia="Times New Roman" w:hAnsi="Times New Roman" w:cs="Times New Roman"/>
                <w:lang w:val="es-419" w:eastAsia="en-US"/>
              </w:rPr>
            </w:pPr>
          </w:p>
        </w:tc>
        <w:tc>
          <w:tcPr>
            <w:tcW w:w="1182" w:type="dxa"/>
            <w:tcBorders>
              <w:top w:val="nil"/>
              <w:left w:val="nil"/>
              <w:bottom w:val="nil"/>
              <w:right w:val="nil"/>
            </w:tcBorders>
            <w:shd w:val="clear" w:color="auto" w:fill="auto"/>
            <w:noWrap/>
            <w:vAlign w:val="center"/>
            <w:hideMark/>
          </w:tcPr>
          <w:p w14:paraId="41FE3B03" w14:textId="77777777" w:rsidR="001645C8" w:rsidRPr="00F72633" w:rsidRDefault="001645C8" w:rsidP="00F90BBB">
            <w:pPr>
              <w:jc w:val="right"/>
              <w:rPr>
                <w:rFonts w:ascii="Times New Roman" w:eastAsia="Times New Roman" w:hAnsi="Times New Roman" w:cs="Times New Roman"/>
                <w:lang w:val="es-419" w:eastAsia="en-US"/>
              </w:rPr>
            </w:pPr>
          </w:p>
        </w:tc>
        <w:tc>
          <w:tcPr>
            <w:tcW w:w="1260" w:type="dxa"/>
            <w:tcBorders>
              <w:top w:val="nil"/>
              <w:left w:val="nil"/>
              <w:bottom w:val="nil"/>
              <w:right w:val="nil"/>
            </w:tcBorders>
            <w:shd w:val="clear" w:color="auto" w:fill="auto"/>
            <w:noWrap/>
            <w:vAlign w:val="center"/>
            <w:hideMark/>
          </w:tcPr>
          <w:p w14:paraId="512ABE07"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03C7CB26" w14:textId="77777777" w:rsidTr="005F1474">
        <w:trPr>
          <w:trHeight w:val="255"/>
          <w:jc w:val="center"/>
        </w:trPr>
        <w:tc>
          <w:tcPr>
            <w:tcW w:w="262" w:type="dxa"/>
            <w:tcBorders>
              <w:top w:val="nil"/>
              <w:left w:val="nil"/>
              <w:bottom w:val="nil"/>
              <w:right w:val="nil"/>
            </w:tcBorders>
            <w:shd w:val="clear" w:color="auto" w:fill="auto"/>
            <w:noWrap/>
            <w:vAlign w:val="center"/>
            <w:hideMark/>
          </w:tcPr>
          <w:p w14:paraId="096665AF" w14:textId="77777777" w:rsidR="001645C8" w:rsidRPr="00F72633" w:rsidRDefault="001645C8" w:rsidP="00F90BBB">
            <w:pPr>
              <w:jc w:val="left"/>
              <w:rPr>
                <w:rFonts w:ascii="Times New Roman" w:eastAsia="Times New Roman" w:hAnsi="Times New Roman" w:cs="Times New Roman"/>
                <w:lang w:val="es-419" w:eastAsia="en-US"/>
              </w:rPr>
            </w:pPr>
          </w:p>
        </w:tc>
        <w:tc>
          <w:tcPr>
            <w:tcW w:w="1538" w:type="dxa"/>
            <w:tcBorders>
              <w:top w:val="nil"/>
              <w:left w:val="nil"/>
              <w:bottom w:val="nil"/>
              <w:right w:val="nil"/>
            </w:tcBorders>
            <w:shd w:val="clear" w:color="auto" w:fill="auto"/>
            <w:vAlign w:val="center"/>
            <w:hideMark/>
          </w:tcPr>
          <w:p w14:paraId="38579D00" w14:textId="083BAB51" w:rsidR="001645C8" w:rsidRPr="00F72633" w:rsidRDefault="005F1474" w:rsidP="00F90BBB">
            <w:pPr>
              <w:jc w:val="left"/>
              <w:rPr>
                <w:rFonts w:ascii="Arial Narrow" w:eastAsia="Times New Roman" w:hAnsi="Arial Narrow"/>
                <w:sz w:val="16"/>
                <w:szCs w:val="16"/>
                <w:lang w:val="es-419" w:eastAsia="en-US"/>
              </w:rPr>
            </w:pPr>
            <w:r w:rsidRPr="00F72633">
              <w:rPr>
                <w:rFonts w:ascii="Arial Narrow" w:hAnsi="Arial Narrow"/>
                <w:sz w:val="16"/>
                <w:lang w:val="es-419"/>
              </w:rPr>
              <w:t>Directores</w:t>
            </w:r>
          </w:p>
        </w:tc>
        <w:tc>
          <w:tcPr>
            <w:tcW w:w="1440" w:type="dxa"/>
            <w:tcBorders>
              <w:top w:val="nil"/>
              <w:left w:val="nil"/>
              <w:bottom w:val="nil"/>
              <w:right w:val="nil"/>
            </w:tcBorders>
            <w:shd w:val="clear" w:color="auto" w:fill="auto"/>
            <w:noWrap/>
            <w:vAlign w:val="center"/>
            <w:hideMark/>
          </w:tcPr>
          <w:p w14:paraId="142EEC35" w14:textId="77777777" w:rsidR="001645C8" w:rsidRPr="00F72633" w:rsidRDefault="001645C8" w:rsidP="00F90BBB">
            <w:pPr>
              <w:ind w:firstLineChars="100" w:firstLine="160"/>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 </w:t>
            </w:r>
          </w:p>
        </w:tc>
        <w:tc>
          <w:tcPr>
            <w:tcW w:w="1182" w:type="dxa"/>
            <w:tcBorders>
              <w:top w:val="nil"/>
              <w:left w:val="nil"/>
              <w:bottom w:val="nil"/>
              <w:right w:val="nil"/>
            </w:tcBorders>
            <w:shd w:val="clear" w:color="auto" w:fill="auto"/>
            <w:noWrap/>
            <w:vAlign w:val="center"/>
            <w:hideMark/>
          </w:tcPr>
          <w:p w14:paraId="6728739C"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3 </w:t>
            </w:r>
          </w:p>
        </w:tc>
        <w:tc>
          <w:tcPr>
            <w:tcW w:w="1260" w:type="dxa"/>
            <w:tcBorders>
              <w:top w:val="nil"/>
              <w:left w:val="nil"/>
              <w:bottom w:val="nil"/>
              <w:right w:val="nil"/>
            </w:tcBorders>
            <w:shd w:val="clear" w:color="auto" w:fill="auto"/>
            <w:noWrap/>
            <w:vAlign w:val="center"/>
            <w:hideMark/>
          </w:tcPr>
          <w:p w14:paraId="15E81705" w14:textId="318BB853"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r w:rsidR="000C68F0" w:rsidRPr="00F72633">
              <w:rPr>
                <w:rFonts w:ascii="Arial Narrow" w:eastAsia="Times New Roman" w:hAnsi="Arial Narrow"/>
                <w:sz w:val="16"/>
                <w:szCs w:val="16"/>
                <w:lang w:val="es-419" w:eastAsia="en-US"/>
              </w:rPr>
              <w:t xml:space="preserve"> </w:t>
            </w:r>
          </w:p>
        </w:tc>
      </w:tr>
      <w:tr w:rsidR="001645C8" w:rsidRPr="00F72633" w14:paraId="21829716" w14:textId="77777777" w:rsidTr="005F1474">
        <w:trPr>
          <w:trHeight w:val="255"/>
          <w:jc w:val="center"/>
        </w:trPr>
        <w:tc>
          <w:tcPr>
            <w:tcW w:w="262" w:type="dxa"/>
            <w:tcBorders>
              <w:top w:val="nil"/>
              <w:left w:val="nil"/>
              <w:bottom w:val="nil"/>
              <w:right w:val="nil"/>
            </w:tcBorders>
            <w:shd w:val="clear" w:color="auto" w:fill="auto"/>
            <w:noWrap/>
            <w:vAlign w:val="center"/>
            <w:hideMark/>
          </w:tcPr>
          <w:p w14:paraId="22C92A5A" w14:textId="77777777" w:rsidR="001645C8" w:rsidRPr="00F72633" w:rsidRDefault="001645C8" w:rsidP="00F90BBB">
            <w:pPr>
              <w:jc w:val="left"/>
              <w:rPr>
                <w:rFonts w:ascii="Arial Narrow" w:eastAsia="Times New Roman" w:hAnsi="Arial Narrow"/>
                <w:sz w:val="16"/>
                <w:szCs w:val="16"/>
                <w:lang w:val="es-419" w:eastAsia="en-US"/>
              </w:rPr>
            </w:pPr>
          </w:p>
        </w:tc>
        <w:tc>
          <w:tcPr>
            <w:tcW w:w="1538" w:type="dxa"/>
            <w:tcBorders>
              <w:top w:val="nil"/>
              <w:left w:val="nil"/>
              <w:bottom w:val="nil"/>
              <w:right w:val="nil"/>
            </w:tcBorders>
            <w:shd w:val="clear" w:color="auto" w:fill="auto"/>
            <w:vAlign w:val="center"/>
            <w:hideMark/>
          </w:tcPr>
          <w:p w14:paraId="1A6A855B" w14:textId="4E2933DE" w:rsidR="001645C8" w:rsidRPr="00F72633" w:rsidRDefault="005F1474" w:rsidP="00F90BBB">
            <w:pPr>
              <w:jc w:val="left"/>
              <w:rPr>
                <w:rFonts w:ascii="Arial Narrow" w:eastAsia="Times New Roman" w:hAnsi="Arial Narrow"/>
                <w:sz w:val="16"/>
                <w:szCs w:val="16"/>
                <w:lang w:val="es-419" w:eastAsia="en-US"/>
              </w:rPr>
            </w:pPr>
            <w:r w:rsidRPr="00F72633">
              <w:rPr>
                <w:rFonts w:ascii="Arial Narrow" w:hAnsi="Arial Narrow"/>
                <w:sz w:val="16"/>
                <w:lang w:val="es-419"/>
              </w:rPr>
              <w:t>Profesionales</w:t>
            </w:r>
          </w:p>
        </w:tc>
        <w:tc>
          <w:tcPr>
            <w:tcW w:w="1440" w:type="dxa"/>
            <w:tcBorders>
              <w:top w:val="nil"/>
              <w:left w:val="nil"/>
              <w:bottom w:val="nil"/>
              <w:right w:val="nil"/>
            </w:tcBorders>
            <w:shd w:val="clear" w:color="auto" w:fill="auto"/>
            <w:noWrap/>
            <w:vAlign w:val="center"/>
            <w:hideMark/>
          </w:tcPr>
          <w:p w14:paraId="038AB28E"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6 </w:t>
            </w:r>
          </w:p>
        </w:tc>
        <w:tc>
          <w:tcPr>
            <w:tcW w:w="1182" w:type="dxa"/>
            <w:tcBorders>
              <w:top w:val="nil"/>
              <w:left w:val="nil"/>
              <w:bottom w:val="nil"/>
              <w:right w:val="nil"/>
            </w:tcBorders>
            <w:shd w:val="clear" w:color="auto" w:fill="auto"/>
            <w:noWrap/>
            <w:vAlign w:val="center"/>
            <w:hideMark/>
          </w:tcPr>
          <w:p w14:paraId="7AF0916D"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5 </w:t>
            </w:r>
          </w:p>
        </w:tc>
        <w:tc>
          <w:tcPr>
            <w:tcW w:w="1260" w:type="dxa"/>
            <w:tcBorders>
              <w:top w:val="nil"/>
              <w:left w:val="nil"/>
              <w:bottom w:val="nil"/>
              <w:right w:val="nil"/>
            </w:tcBorders>
            <w:shd w:val="clear" w:color="auto" w:fill="auto"/>
            <w:noWrap/>
            <w:vAlign w:val="center"/>
            <w:hideMark/>
          </w:tcPr>
          <w:p w14:paraId="7A080A5D" w14:textId="77777777"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-1 </w:t>
            </w:r>
          </w:p>
        </w:tc>
      </w:tr>
      <w:tr w:rsidR="001645C8" w:rsidRPr="00F72633" w14:paraId="768B275C" w14:textId="77777777" w:rsidTr="005F1474">
        <w:trPr>
          <w:trHeight w:val="255"/>
          <w:jc w:val="center"/>
        </w:trPr>
        <w:tc>
          <w:tcPr>
            <w:tcW w:w="262" w:type="dxa"/>
            <w:tcBorders>
              <w:top w:val="nil"/>
              <w:left w:val="nil"/>
              <w:bottom w:val="nil"/>
              <w:right w:val="nil"/>
            </w:tcBorders>
            <w:shd w:val="clear" w:color="auto" w:fill="auto"/>
            <w:noWrap/>
            <w:vAlign w:val="center"/>
            <w:hideMark/>
          </w:tcPr>
          <w:p w14:paraId="29EADFDD" w14:textId="77777777" w:rsidR="001645C8" w:rsidRPr="00F72633" w:rsidRDefault="001645C8" w:rsidP="00F90BBB">
            <w:pPr>
              <w:jc w:val="left"/>
              <w:rPr>
                <w:rFonts w:ascii="Arial Narrow" w:eastAsia="Times New Roman" w:hAnsi="Arial Narrow"/>
                <w:sz w:val="16"/>
                <w:szCs w:val="16"/>
                <w:lang w:val="es-419" w:eastAsia="en-US"/>
              </w:rPr>
            </w:pPr>
          </w:p>
        </w:tc>
        <w:tc>
          <w:tcPr>
            <w:tcW w:w="1538" w:type="dxa"/>
            <w:tcBorders>
              <w:top w:val="nil"/>
              <w:left w:val="nil"/>
              <w:bottom w:val="nil"/>
              <w:right w:val="nil"/>
            </w:tcBorders>
            <w:shd w:val="clear" w:color="auto" w:fill="auto"/>
            <w:vAlign w:val="center"/>
            <w:hideMark/>
          </w:tcPr>
          <w:p w14:paraId="329AF5F5" w14:textId="231C2247" w:rsidR="001645C8" w:rsidRPr="00F72633" w:rsidRDefault="005F1474" w:rsidP="00F90BBB">
            <w:pPr>
              <w:jc w:val="left"/>
              <w:rPr>
                <w:rFonts w:ascii="Arial Narrow" w:eastAsia="Times New Roman" w:hAnsi="Arial Narrow"/>
                <w:sz w:val="16"/>
                <w:szCs w:val="16"/>
                <w:lang w:val="es-419" w:eastAsia="en-US"/>
              </w:rPr>
            </w:pPr>
            <w:r w:rsidRPr="00F72633">
              <w:rPr>
                <w:rFonts w:ascii="Arial Narrow" w:hAnsi="Arial Narrow"/>
                <w:sz w:val="16"/>
                <w:lang w:val="es-419"/>
              </w:rPr>
              <w:t>Servicios generales</w:t>
            </w:r>
          </w:p>
        </w:tc>
        <w:tc>
          <w:tcPr>
            <w:tcW w:w="1440" w:type="dxa"/>
            <w:tcBorders>
              <w:top w:val="nil"/>
              <w:left w:val="nil"/>
              <w:bottom w:val="nil"/>
              <w:right w:val="nil"/>
            </w:tcBorders>
            <w:shd w:val="clear" w:color="auto" w:fill="auto"/>
            <w:noWrap/>
            <w:vAlign w:val="center"/>
            <w:hideMark/>
          </w:tcPr>
          <w:p w14:paraId="7DDA7538"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 </w:t>
            </w:r>
          </w:p>
        </w:tc>
        <w:tc>
          <w:tcPr>
            <w:tcW w:w="1182" w:type="dxa"/>
            <w:tcBorders>
              <w:top w:val="nil"/>
              <w:left w:val="nil"/>
              <w:bottom w:val="nil"/>
              <w:right w:val="nil"/>
            </w:tcBorders>
            <w:shd w:val="clear" w:color="auto" w:fill="auto"/>
            <w:noWrap/>
            <w:vAlign w:val="center"/>
            <w:hideMark/>
          </w:tcPr>
          <w:p w14:paraId="40CFCE8B" w14:textId="77777777" w:rsidR="001645C8" w:rsidRPr="00F72633" w:rsidRDefault="001645C8" w:rsidP="00F90BBB">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 xml:space="preserve">4 </w:t>
            </w:r>
          </w:p>
        </w:tc>
        <w:tc>
          <w:tcPr>
            <w:tcW w:w="1260" w:type="dxa"/>
            <w:tcBorders>
              <w:top w:val="nil"/>
              <w:left w:val="nil"/>
              <w:bottom w:val="nil"/>
              <w:right w:val="nil"/>
            </w:tcBorders>
            <w:shd w:val="clear" w:color="auto" w:fill="auto"/>
            <w:noWrap/>
            <w:vAlign w:val="center"/>
            <w:hideMark/>
          </w:tcPr>
          <w:p w14:paraId="7F33853B" w14:textId="0A875628" w:rsidR="001645C8" w:rsidRPr="00F72633" w:rsidRDefault="001645C8" w:rsidP="00D948CA">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w:t>
            </w:r>
            <w:r w:rsidR="000C68F0" w:rsidRPr="00F72633">
              <w:rPr>
                <w:rFonts w:ascii="Arial Narrow" w:eastAsia="Times New Roman" w:hAnsi="Arial Narrow"/>
                <w:sz w:val="16"/>
                <w:szCs w:val="16"/>
                <w:lang w:val="es-419" w:eastAsia="en-US"/>
              </w:rPr>
              <w:t xml:space="preserve"> </w:t>
            </w:r>
          </w:p>
        </w:tc>
      </w:tr>
      <w:tr w:rsidR="001645C8" w:rsidRPr="00F72633" w14:paraId="3C2A0AB8" w14:textId="77777777" w:rsidTr="005F1474">
        <w:trPr>
          <w:trHeight w:val="150"/>
          <w:jc w:val="center"/>
        </w:trPr>
        <w:tc>
          <w:tcPr>
            <w:tcW w:w="262" w:type="dxa"/>
            <w:tcBorders>
              <w:top w:val="nil"/>
              <w:left w:val="nil"/>
              <w:bottom w:val="nil"/>
              <w:right w:val="nil"/>
            </w:tcBorders>
            <w:shd w:val="clear" w:color="auto" w:fill="auto"/>
            <w:noWrap/>
            <w:vAlign w:val="center"/>
            <w:hideMark/>
          </w:tcPr>
          <w:p w14:paraId="5371E93C" w14:textId="77777777" w:rsidR="001645C8" w:rsidRPr="00F72633" w:rsidRDefault="001645C8" w:rsidP="00F90BBB">
            <w:pPr>
              <w:jc w:val="left"/>
              <w:rPr>
                <w:rFonts w:ascii="Arial Narrow" w:eastAsia="Times New Roman" w:hAnsi="Arial Narrow"/>
                <w:sz w:val="16"/>
                <w:szCs w:val="16"/>
                <w:lang w:val="es-419" w:eastAsia="en-US"/>
              </w:rPr>
            </w:pPr>
          </w:p>
        </w:tc>
        <w:tc>
          <w:tcPr>
            <w:tcW w:w="1538" w:type="dxa"/>
            <w:tcBorders>
              <w:top w:val="nil"/>
              <w:left w:val="nil"/>
              <w:bottom w:val="nil"/>
              <w:right w:val="nil"/>
            </w:tcBorders>
            <w:shd w:val="clear" w:color="auto" w:fill="auto"/>
            <w:noWrap/>
            <w:vAlign w:val="center"/>
            <w:hideMark/>
          </w:tcPr>
          <w:p w14:paraId="540D8387" w14:textId="77777777" w:rsidR="001645C8" w:rsidRPr="00F72633" w:rsidRDefault="001645C8" w:rsidP="00F90BBB">
            <w:pPr>
              <w:jc w:val="left"/>
              <w:rPr>
                <w:rFonts w:ascii="Times New Roman" w:eastAsia="Times New Roman" w:hAnsi="Times New Roman" w:cs="Times New Roman"/>
                <w:lang w:val="es-419" w:eastAsia="en-US"/>
              </w:rPr>
            </w:pPr>
          </w:p>
        </w:tc>
        <w:tc>
          <w:tcPr>
            <w:tcW w:w="1440" w:type="dxa"/>
            <w:tcBorders>
              <w:top w:val="nil"/>
              <w:left w:val="nil"/>
              <w:bottom w:val="nil"/>
              <w:right w:val="nil"/>
            </w:tcBorders>
            <w:shd w:val="clear" w:color="auto" w:fill="auto"/>
            <w:noWrap/>
            <w:vAlign w:val="center"/>
            <w:hideMark/>
          </w:tcPr>
          <w:p w14:paraId="257BBEFE" w14:textId="77777777" w:rsidR="001645C8" w:rsidRPr="00F72633" w:rsidRDefault="001645C8" w:rsidP="00F90BBB">
            <w:pPr>
              <w:jc w:val="left"/>
              <w:rPr>
                <w:rFonts w:ascii="Times New Roman" w:eastAsia="Times New Roman" w:hAnsi="Times New Roman" w:cs="Times New Roman"/>
                <w:lang w:val="es-419" w:eastAsia="en-US"/>
              </w:rPr>
            </w:pPr>
          </w:p>
        </w:tc>
        <w:tc>
          <w:tcPr>
            <w:tcW w:w="1182" w:type="dxa"/>
            <w:tcBorders>
              <w:top w:val="nil"/>
              <w:left w:val="nil"/>
              <w:bottom w:val="nil"/>
              <w:right w:val="nil"/>
            </w:tcBorders>
            <w:shd w:val="clear" w:color="auto" w:fill="auto"/>
            <w:noWrap/>
            <w:vAlign w:val="center"/>
            <w:hideMark/>
          </w:tcPr>
          <w:p w14:paraId="175ACDCC" w14:textId="77777777" w:rsidR="001645C8" w:rsidRPr="00F72633" w:rsidRDefault="001645C8" w:rsidP="00F90BBB">
            <w:pPr>
              <w:jc w:val="right"/>
              <w:rPr>
                <w:rFonts w:ascii="Times New Roman" w:eastAsia="Times New Roman" w:hAnsi="Times New Roman" w:cs="Times New Roman"/>
                <w:lang w:val="es-419" w:eastAsia="en-US"/>
              </w:rPr>
            </w:pPr>
          </w:p>
        </w:tc>
        <w:tc>
          <w:tcPr>
            <w:tcW w:w="1260" w:type="dxa"/>
            <w:tcBorders>
              <w:top w:val="nil"/>
              <w:left w:val="nil"/>
              <w:bottom w:val="nil"/>
              <w:right w:val="nil"/>
            </w:tcBorders>
            <w:shd w:val="clear" w:color="auto" w:fill="auto"/>
            <w:noWrap/>
            <w:vAlign w:val="center"/>
            <w:hideMark/>
          </w:tcPr>
          <w:p w14:paraId="1195D571" w14:textId="77777777" w:rsidR="001645C8" w:rsidRPr="00F72633" w:rsidRDefault="001645C8" w:rsidP="00D948CA">
            <w:pPr>
              <w:jc w:val="right"/>
              <w:rPr>
                <w:rFonts w:ascii="Times New Roman" w:eastAsia="Times New Roman" w:hAnsi="Times New Roman" w:cs="Times New Roman"/>
                <w:lang w:val="es-419" w:eastAsia="en-US"/>
              </w:rPr>
            </w:pPr>
          </w:p>
        </w:tc>
      </w:tr>
      <w:tr w:rsidR="001645C8" w:rsidRPr="00F72633" w14:paraId="3FB61F68" w14:textId="77777777" w:rsidTr="005F1474">
        <w:trPr>
          <w:trHeight w:val="270"/>
          <w:jc w:val="center"/>
        </w:trPr>
        <w:tc>
          <w:tcPr>
            <w:tcW w:w="262" w:type="dxa"/>
            <w:tcBorders>
              <w:top w:val="nil"/>
              <w:left w:val="nil"/>
              <w:bottom w:val="nil"/>
              <w:right w:val="nil"/>
            </w:tcBorders>
            <w:shd w:val="clear" w:color="auto" w:fill="auto"/>
            <w:noWrap/>
            <w:vAlign w:val="center"/>
            <w:hideMark/>
          </w:tcPr>
          <w:p w14:paraId="33EA174D" w14:textId="77777777" w:rsidR="001645C8" w:rsidRPr="00F72633" w:rsidRDefault="001645C8" w:rsidP="00F90BBB">
            <w:pPr>
              <w:jc w:val="left"/>
              <w:rPr>
                <w:rFonts w:ascii="Times New Roman" w:eastAsia="Times New Roman" w:hAnsi="Times New Roman" w:cs="Times New Roman"/>
                <w:lang w:val="es-419" w:eastAsia="en-US"/>
              </w:rPr>
            </w:pPr>
          </w:p>
        </w:tc>
        <w:tc>
          <w:tcPr>
            <w:tcW w:w="1538" w:type="dxa"/>
            <w:tcBorders>
              <w:top w:val="single" w:sz="4" w:space="0" w:color="BFBFBF"/>
              <w:left w:val="nil"/>
              <w:bottom w:val="single" w:sz="8" w:space="0" w:color="BFBFBF"/>
              <w:right w:val="nil"/>
            </w:tcBorders>
            <w:shd w:val="clear" w:color="auto" w:fill="auto"/>
            <w:noWrap/>
            <w:vAlign w:val="center"/>
            <w:hideMark/>
          </w:tcPr>
          <w:p w14:paraId="368CB260" w14:textId="77777777" w:rsidR="001645C8" w:rsidRPr="00F72633" w:rsidRDefault="001645C8" w:rsidP="00F90BBB">
            <w:pPr>
              <w:jc w:val="lef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TOTAL</w:t>
            </w:r>
          </w:p>
        </w:tc>
        <w:tc>
          <w:tcPr>
            <w:tcW w:w="1440" w:type="dxa"/>
            <w:tcBorders>
              <w:top w:val="single" w:sz="4" w:space="0" w:color="BFBFBF"/>
              <w:left w:val="nil"/>
              <w:bottom w:val="single" w:sz="8" w:space="0" w:color="BFBFBF"/>
              <w:right w:val="nil"/>
            </w:tcBorders>
            <w:shd w:val="clear" w:color="auto" w:fill="auto"/>
            <w:noWrap/>
            <w:vAlign w:val="center"/>
            <w:hideMark/>
          </w:tcPr>
          <w:p w14:paraId="4EA3D8B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13 </w:t>
            </w:r>
          </w:p>
        </w:tc>
        <w:tc>
          <w:tcPr>
            <w:tcW w:w="1182" w:type="dxa"/>
            <w:tcBorders>
              <w:top w:val="single" w:sz="4" w:space="0" w:color="BFBFBF"/>
              <w:left w:val="nil"/>
              <w:bottom w:val="single" w:sz="8" w:space="0" w:color="BFBFBF"/>
              <w:right w:val="nil"/>
            </w:tcBorders>
            <w:shd w:val="clear" w:color="auto" w:fill="auto"/>
            <w:noWrap/>
            <w:vAlign w:val="center"/>
            <w:hideMark/>
          </w:tcPr>
          <w:p w14:paraId="7EBD4455"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12 </w:t>
            </w:r>
          </w:p>
        </w:tc>
        <w:tc>
          <w:tcPr>
            <w:tcW w:w="1260" w:type="dxa"/>
            <w:tcBorders>
              <w:top w:val="single" w:sz="4" w:space="0" w:color="BFBFBF"/>
              <w:left w:val="nil"/>
              <w:bottom w:val="single" w:sz="8" w:space="0" w:color="BFBFBF"/>
              <w:right w:val="nil"/>
            </w:tcBorders>
            <w:shd w:val="clear" w:color="auto" w:fill="auto"/>
            <w:noWrap/>
            <w:vAlign w:val="center"/>
            <w:hideMark/>
          </w:tcPr>
          <w:p w14:paraId="3DF37401" w14:textId="77777777" w:rsidR="001645C8" w:rsidRPr="00F72633" w:rsidRDefault="001645C8" w:rsidP="00D948CA">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 </w:t>
            </w:r>
          </w:p>
        </w:tc>
      </w:tr>
    </w:tbl>
    <w:p w14:paraId="48DFB8D7" w14:textId="77777777" w:rsidR="001645C8" w:rsidRPr="00F72633" w:rsidRDefault="001645C8" w:rsidP="003E3C19">
      <w:pPr>
        <w:rPr>
          <w:lang w:val="es-419"/>
        </w:rPr>
      </w:pPr>
    </w:p>
    <w:p w14:paraId="49C2E4B3" w14:textId="77777777" w:rsidR="001645C8" w:rsidRPr="00F72633" w:rsidRDefault="001645C8" w:rsidP="003E3C19">
      <w:pPr>
        <w:rPr>
          <w:lang w:val="es-419"/>
        </w:rPr>
      </w:pPr>
    </w:p>
    <w:p w14:paraId="54CC83A3" w14:textId="7D698E09" w:rsidR="001645C8" w:rsidRPr="00F72633" w:rsidRDefault="006B51FE" w:rsidP="003E3C19">
      <w:pPr>
        <w:keepNext/>
        <w:rPr>
          <w:lang w:val="es-419"/>
        </w:rPr>
      </w:pPr>
      <w:r w:rsidRPr="00F72633">
        <w:rPr>
          <w:b/>
          <w:color w:val="26724C" w:themeColor="accent1" w:themeShade="BF"/>
          <w:sz w:val="22"/>
          <w:lang w:val="es-419"/>
        </w:rPr>
        <w:t>Evolución de los ingresos y los gastos</w:t>
      </w:r>
    </w:p>
    <w:p w14:paraId="44E2F189" w14:textId="77777777" w:rsidR="001645C8" w:rsidRPr="00F72633" w:rsidRDefault="001645C8" w:rsidP="003E3C19">
      <w:pPr>
        <w:keepNext/>
        <w:rPr>
          <w:lang w:val="es-419"/>
        </w:rPr>
      </w:pPr>
    </w:p>
    <w:p w14:paraId="5158EF22" w14:textId="39C4091F" w:rsidR="001645C8" w:rsidRPr="00F72633" w:rsidRDefault="006B51FE" w:rsidP="00A83C1F">
      <w:pPr>
        <w:pStyle w:val="annexiparanumbered"/>
        <w:numPr>
          <w:ilvl w:val="0"/>
          <w:numId w:val="0"/>
        </w:numPr>
        <w:rPr>
          <w:b/>
          <w:lang w:val="es-419"/>
        </w:rPr>
      </w:pPr>
      <w:r w:rsidRPr="00F72633">
        <w:rPr>
          <w:lang w:val="es-419"/>
        </w:rPr>
        <w:t>En el cuadro</w:t>
      </w:r>
      <w:r w:rsidR="006433D8" w:rsidRPr="00F72633">
        <w:rPr>
          <w:lang w:val="es-419"/>
        </w:rPr>
        <w:t> 7 </w:t>
      </w:r>
      <w:r w:rsidRPr="00F72633">
        <w:rPr>
          <w:lang w:val="es-419"/>
        </w:rPr>
        <w:t>se expone la evolución global de los ingresos y los gastos reales (antes de los ajustes con arreglo a las IPSAS) en el período comprendido entre 2012</w:t>
      </w:r>
      <w:r w:rsidR="006433D8" w:rsidRPr="00F72633">
        <w:rPr>
          <w:lang w:val="es-419"/>
        </w:rPr>
        <w:t> </w:t>
      </w:r>
      <w:r w:rsidRPr="00F72633">
        <w:rPr>
          <w:lang w:val="es-419"/>
        </w:rPr>
        <w:t>y 2022.</w:t>
      </w:r>
    </w:p>
    <w:p w14:paraId="5BDAC770" w14:textId="77777777" w:rsidR="001645C8" w:rsidRPr="00F72633" w:rsidRDefault="001645C8" w:rsidP="00A83C1F">
      <w:pPr>
        <w:pStyle w:val="annexiparanumbered"/>
        <w:numPr>
          <w:ilvl w:val="0"/>
          <w:numId w:val="0"/>
        </w:numPr>
        <w:rPr>
          <w:b/>
          <w:lang w:val="es-419"/>
        </w:rPr>
      </w:pPr>
    </w:p>
    <w:p w14:paraId="7321F697" w14:textId="77777777" w:rsidR="001645C8" w:rsidRPr="00F72633" w:rsidRDefault="001645C8" w:rsidP="003E3C19">
      <w:pPr>
        <w:rPr>
          <w:lang w:val="es-419"/>
        </w:rPr>
      </w:pPr>
    </w:p>
    <w:p w14:paraId="78FDF610" w14:textId="64D45CC3" w:rsidR="001645C8" w:rsidRPr="00F72633" w:rsidRDefault="006B51FE" w:rsidP="003E3C19">
      <w:pPr>
        <w:jc w:val="center"/>
        <w:rPr>
          <w:rFonts w:eastAsia="Times New Roman"/>
          <w:b/>
          <w:bCs/>
          <w:color w:val="155F1A"/>
          <w:sz w:val="18"/>
          <w:szCs w:val="18"/>
          <w:lang w:val="es-419"/>
        </w:rPr>
      </w:pPr>
      <w:r w:rsidRPr="00F72633">
        <w:rPr>
          <w:b/>
          <w:color w:val="155F1A"/>
          <w:sz w:val="18"/>
          <w:lang w:val="es-419"/>
        </w:rPr>
        <w:t>Cuadro 7. Evolución de los ingresos y los gastos reales durante el período</w:t>
      </w:r>
      <w:r w:rsidR="001645C8" w:rsidRPr="00F72633">
        <w:rPr>
          <w:rFonts w:eastAsia="Times New Roman"/>
          <w:b/>
          <w:bCs/>
          <w:color w:val="155F1A"/>
          <w:sz w:val="18"/>
          <w:szCs w:val="18"/>
          <w:lang w:val="es-419"/>
        </w:rPr>
        <w:t xml:space="preserve"> 2012-2022</w:t>
      </w:r>
    </w:p>
    <w:p w14:paraId="41D5C3B7" w14:textId="53540ABB" w:rsidR="001645C8" w:rsidRPr="00F72633" w:rsidRDefault="001645C8" w:rsidP="003E3C19">
      <w:pPr>
        <w:jc w:val="center"/>
        <w:rPr>
          <w:rFonts w:eastAsia="Times New Roman"/>
          <w:bCs/>
          <w:i/>
          <w:sz w:val="14"/>
          <w:szCs w:val="16"/>
          <w:lang w:val="es-419"/>
        </w:rPr>
      </w:pPr>
      <w:r w:rsidRPr="00F72633">
        <w:rPr>
          <w:rFonts w:eastAsia="Times New Roman"/>
          <w:bCs/>
          <w:i/>
          <w:sz w:val="14"/>
          <w:szCs w:val="16"/>
          <w:lang w:val="es-419"/>
        </w:rPr>
        <w:t>(</w:t>
      </w:r>
      <w:r w:rsidR="006B51FE" w:rsidRPr="00F72633">
        <w:rPr>
          <w:i/>
          <w:sz w:val="14"/>
          <w:lang w:val="es-419"/>
        </w:rPr>
        <w:t>en miles de francos suizos</w:t>
      </w:r>
      <w:r w:rsidRPr="00F72633">
        <w:rPr>
          <w:rFonts w:eastAsia="Times New Roman"/>
          <w:bCs/>
          <w:i/>
          <w:sz w:val="14"/>
          <w:szCs w:val="16"/>
          <w:lang w:val="es-419"/>
        </w:rPr>
        <w:t>)</w:t>
      </w:r>
    </w:p>
    <w:p w14:paraId="40C21FB8" w14:textId="77777777" w:rsidR="001645C8" w:rsidRPr="00F72633" w:rsidRDefault="001645C8" w:rsidP="003E3C19">
      <w:pPr>
        <w:jc w:val="center"/>
        <w:rPr>
          <w:rFonts w:eastAsiaTheme="minorHAnsi"/>
          <w:lang w:val="es-419"/>
        </w:rPr>
      </w:pPr>
    </w:p>
    <w:tbl>
      <w:tblPr>
        <w:tblW w:w="8863" w:type="dxa"/>
        <w:jc w:val="center"/>
        <w:tblLayout w:type="fixed"/>
        <w:tblLook w:val="04A0" w:firstRow="1" w:lastRow="0" w:firstColumn="1" w:lastColumn="0" w:noHBand="0" w:noVBand="1"/>
      </w:tblPr>
      <w:tblGrid>
        <w:gridCol w:w="1908"/>
        <w:gridCol w:w="631"/>
        <w:gridCol w:w="632"/>
        <w:gridCol w:w="632"/>
        <w:gridCol w:w="631"/>
        <w:gridCol w:w="632"/>
        <w:gridCol w:w="632"/>
        <w:gridCol w:w="632"/>
        <w:gridCol w:w="631"/>
        <w:gridCol w:w="632"/>
        <w:gridCol w:w="632"/>
        <w:gridCol w:w="632"/>
        <w:gridCol w:w="6"/>
      </w:tblGrid>
      <w:tr w:rsidR="001645C8" w:rsidRPr="00F72633" w14:paraId="2CFFE4C4" w14:textId="77777777" w:rsidTr="00B41874">
        <w:trPr>
          <w:trHeight w:val="262"/>
          <w:jc w:val="center"/>
        </w:trPr>
        <w:tc>
          <w:tcPr>
            <w:tcW w:w="1908" w:type="dxa"/>
            <w:tcBorders>
              <w:top w:val="nil"/>
              <w:left w:val="nil"/>
              <w:bottom w:val="nil"/>
              <w:right w:val="nil"/>
            </w:tcBorders>
            <w:shd w:val="clear" w:color="000000" w:fill="C7CFD8"/>
            <w:hideMark/>
          </w:tcPr>
          <w:p w14:paraId="7247A052"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w:t>
            </w:r>
          </w:p>
        </w:tc>
        <w:tc>
          <w:tcPr>
            <w:tcW w:w="6955" w:type="dxa"/>
            <w:gridSpan w:val="12"/>
            <w:tcBorders>
              <w:top w:val="nil"/>
              <w:left w:val="nil"/>
              <w:bottom w:val="single" w:sz="4" w:space="0" w:color="A6A6A6"/>
              <w:right w:val="nil"/>
            </w:tcBorders>
            <w:shd w:val="clear" w:color="000000" w:fill="C7CFD8"/>
            <w:hideMark/>
          </w:tcPr>
          <w:p w14:paraId="40DE58C2" w14:textId="15AA5BE9" w:rsidR="001645C8" w:rsidRPr="00F72633" w:rsidRDefault="00750ABA"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Cifras reale</w:t>
            </w:r>
            <w:r w:rsidR="001645C8" w:rsidRPr="00F72633">
              <w:rPr>
                <w:rFonts w:ascii="Arial Narrow" w:eastAsia="Times New Roman" w:hAnsi="Arial Narrow"/>
                <w:b/>
                <w:bCs/>
                <w:color w:val="000000"/>
                <w:sz w:val="16"/>
                <w:szCs w:val="16"/>
                <w:lang w:val="es-419" w:eastAsia="en-US"/>
              </w:rPr>
              <w:t>s</w:t>
            </w:r>
          </w:p>
        </w:tc>
      </w:tr>
      <w:tr w:rsidR="001645C8" w:rsidRPr="00F72633" w14:paraId="7C5B27FB" w14:textId="77777777" w:rsidTr="00B41874">
        <w:trPr>
          <w:gridAfter w:val="1"/>
          <w:wAfter w:w="6" w:type="dxa"/>
          <w:trHeight w:val="249"/>
          <w:jc w:val="center"/>
        </w:trPr>
        <w:tc>
          <w:tcPr>
            <w:tcW w:w="1908" w:type="dxa"/>
            <w:tcBorders>
              <w:top w:val="nil"/>
              <w:left w:val="nil"/>
              <w:bottom w:val="nil"/>
              <w:right w:val="nil"/>
            </w:tcBorders>
            <w:shd w:val="clear" w:color="000000" w:fill="C7CFD8"/>
            <w:hideMark/>
          </w:tcPr>
          <w:p w14:paraId="6FF80852" w14:textId="77777777" w:rsidR="001645C8" w:rsidRPr="00F72633" w:rsidRDefault="001645C8" w:rsidP="00F90BBB">
            <w:pPr>
              <w:jc w:val="right"/>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 </w:t>
            </w:r>
          </w:p>
        </w:tc>
        <w:tc>
          <w:tcPr>
            <w:tcW w:w="631" w:type="dxa"/>
            <w:tcBorders>
              <w:top w:val="nil"/>
              <w:left w:val="nil"/>
              <w:bottom w:val="nil"/>
              <w:right w:val="nil"/>
            </w:tcBorders>
            <w:shd w:val="clear" w:color="000000" w:fill="C7CFD8"/>
            <w:hideMark/>
          </w:tcPr>
          <w:p w14:paraId="196418D1"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2012</w:t>
            </w:r>
          </w:p>
        </w:tc>
        <w:tc>
          <w:tcPr>
            <w:tcW w:w="632" w:type="dxa"/>
            <w:tcBorders>
              <w:top w:val="nil"/>
              <w:left w:val="nil"/>
              <w:bottom w:val="nil"/>
              <w:right w:val="nil"/>
            </w:tcBorders>
            <w:shd w:val="clear" w:color="000000" w:fill="C7CFD8"/>
            <w:hideMark/>
          </w:tcPr>
          <w:p w14:paraId="3018DA7A"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2013</w:t>
            </w:r>
          </w:p>
        </w:tc>
        <w:tc>
          <w:tcPr>
            <w:tcW w:w="632" w:type="dxa"/>
            <w:tcBorders>
              <w:top w:val="nil"/>
              <w:left w:val="nil"/>
              <w:bottom w:val="nil"/>
              <w:right w:val="nil"/>
            </w:tcBorders>
            <w:shd w:val="clear" w:color="000000" w:fill="C7CFD8"/>
            <w:hideMark/>
          </w:tcPr>
          <w:p w14:paraId="448237E9"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2014</w:t>
            </w:r>
          </w:p>
        </w:tc>
        <w:tc>
          <w:tcPr>
            <w:tcW w:w="631" w:type="dxa"/>
            <w:tcBorders>
              <w:top w:val="nil"/>
              <w:left w:val="nil"/>
              <w:bottom w:val="nil"/>
              <w:right w:val="nil"/>
            </w:tcBorders>
            <w:shd w:val="clear" w:color="000000" w:fill="C7CFD8"/>
            <w:hideMark/>
          </w:tcPr>
          <w:p w14:paraId="52A7CB52"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2015</w:t>
            </w:r>
          </w:p>
        </w:tc>
        <w:tc>
          <w:tcPr>
            <w:tcW w:w="632" w:type="dxa"/>
            <w:tcBorders>
              <w:top w:val="nil"/>
              <w:left w:val="nil"/>
              <w:bottom w:val="nil"/>
              <w:right w:val="nil"/>
            </w:tcBorders>
            <w:shd w:val="clear" w:color="000000" w:fill="C7CFD8"/>
            <w:hideMark/>
          </w:tcPr>
          <w:p w14:paraId="0A2FF54A"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2016</w:t>
            </w:r>
          </w:p>
        </w:tc>
        <w:tc>
          <w:tcPr>
            <w:tcW w:w="632" w:type="dxa"/>
            <w:tcBorders>
              <w:top w:val="nil"/>
              <w:left w:val="nil"/>
              <w:bottom w:val="nil"/>
              <w:right w:val="nil"/>
            </w:tcBorders>
            <w:shd w:val="clear" w:color="000000" w:fill="C7CFD8"/>
            <w:hideMark/>
          </w:tcPr>
          <w:p w14:paraId="6CE1CBF5"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2017</w:t>
            </w:r>
          </w:p>
        </w:tc>
        <w:tc>
          <w:tcPr>
            <w:tcW w:w="632" w:type="dxa"/>
            <w:tcBorders>
              <w:top w:val="nil"/>
              <w:left w:val="nil"/>
              <w:bottom w:val="nil"/>
              <w:right w:val="nil"/>
            </w:tcBorders>
            <w:shd w:val="clear" w:color="000000" w:fill="C7CFD8"/>
            <w:hideMark/>
          </w:tcPr>
          <w:p w14:paraId="2D5A5910"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2018</w:t>
            </w:r>
          </w:p>
        </w:tc>
        <w:tc>
          <w:tcPr>
            <w:tcW w:w="631" w:type="dxa"/>
            <w:tcBorders>
              <w:top w:val="nil"/>
              <w:left w:val="nil"/>
              <w:bottom w:val="nil"/>
              <w:right w:val="nil"/>
            </w:tcBorders>
            <w:shd w:val="clear" w:color="000000" w:fill="C7CFD8"/>
            <w:hideMark/>
          </w:tcPr>
          <w:p w14:paraId="7E177361"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2019</w:t>
            </w:r>
          </w:p>
        </w:tc>
        <w:tc>
          <w:tcPr>
            <w:tcW w:w="632" w:type="dxa"/>
            <w:tcBorders>
              <w:top w:val="nil"/>
              <w:left w:val="nil"/>
              <w:bottom w:val="nil"/>
              <w:right w:val="nil"/>
            </w:tcBorders>
            <w:shd w:val="clear" w:color="000000" w:fill="C7CFD8"/>
            <w:hideMark/>
          </w:tcPr>
          <w:p w14:paraId="64B255C2"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2020</w:t>
            </w:r>
          </w:p>
        </w:tc>
        <w:tc>
          <w:tcPr>
            <w:tcW w:w="632" w:type="dxa"/>
            <w:tcBorders>
              <w:top w:val="nil"/>
              <w:left w:val="nil"/>
              <w:bottom w:val="nil"/>
              <w:right w:val="nil"/>
            </w:tcBorders>
            <w:shd w:val="clear" w:color="000000" w:fill="C7CFD8"/>
            <w:hideMark/>
          </w:tcPr>
          <w:p w14:paraId="2890E7B1"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2021</w:t>
            </w:r>
          </w:p>
        </w:tc>
        <w:tc>
          <w:tcPr>
            <w:tcW w:w="632" w:type="dxa"/>
            <w:tcBorders>
              <w:top w:val="nil"/>
              <w:left w:val="nil"/>
              <w:bottom w:val="nil"/>
              <w:right w:val="nil"/>
            </w:tcBorders>
            <w:shd w:val="clear" w:color="000000" w:fill="C7CFD8"/>
            <w:hideMark/>
          </w:tcPr>
          <w:p w14:paraId="5A154093" w14:textId="77777777" w:rsidR="001645C8" w:rsidRPr="00F72633" w:rsidRDefault="001645C8" w:rsidP="00F90BBB">
            <w:pPr>
              <w:jc w:val="center"/>
              <w:rPr>
                <w:rFonts w:ascii="Arial Narrow" w:eastAsia="Times New Roman" w:hAnsi="Arial Narrow"/>
                <w:b/>
                <w:bCs/>
                <w:color w:val="000000"/>
                <w:sz w:val="16"/>
                <w:szCs w:val="16"/>
                <w:lang w:val="es-419" w:eastAsia="en-US"/>
              </w:rPr>
            </w:pPr>
            <w:r w:rsidRPr="00F72633">
              <w:rPr>
                <w:rFonts w:ascii="Arial Narrow" w:eastAsia="Times New Roman" w:hAnsi="Arial Narrow"/>
                <w:b/>
                <w:bCs/>
                <w:color w:val="000000"/>
                <w:sz w:val="16"/>
                <w:szCs w:val="16"/>
                <w:lang w:val="es-419" w:eastAsia="en-US"/>
              </w:rPr>
              <w:t>2022</w:t>
            </w:r>
          </w:p>
        </w:tc>
      </w:tr>
      <w:tr w:rsidR="001645C8" w:rsidRPr="00F72633" w14:paraId="7D0649E0" w14:textId="77777777" w:rsidTr="00B41874">
        <w:trPr>
          <w:gridAfter w:val="1"/>
          <w:wAfter w:w="6" w:type="dxa"/>
          <w:trHeight w:val="170"/>
          <w:jc w:val="center"/>
        </w:trPr>
        <w:tc>
          <w:tcPr>
            <w:tcW w:w="1908" w:type="dxa"/>
            <w:tcBorders>
              <w:top w:val="nil"/>
              <w:left w:val="nil"/>
              <w:bottom w:val="nil"/>
              <w:right w:val="nil"/>
            </w:tcBorders>
            <w:shd w:val="clear" w:color="auto" w:fill="auto"/>
            <w:hideMark/>
          </w:tcPr>
          <w:p w14:paraId="5019CD8E" w14:textId="77777777" w:rsidR="001645C8" w:rsidRPr="00F72633" w:rsidRDefault="001645C8" w:rsidP="00F90BBB">
            <w:pPr>
              <w:jc w:val="center"/>
              <w:rPr>
                <w:rFonts w:ascii="Arial Narrow" w:eastAsia="Times New Roman" w:hAnsi="Arial Narrow"/>
                <w:b/>
                <w:bCs/>
                <w:color w:val="000000"/>
                <w:sz w:val="16"/>
                <w:szCs w:val="16"/>
                <w:lang w:val="es-419" w:eastAsia="en-US"/>
              </w:rPr>
            </w:pPr>
          </w:p>
        </w:tc>
        <w:tc>
          <w:tcPr>
            <w:tcW w:w="631" w:type="dxa"/>
            <w:tcBorders>
              <w:top w:val="nil"/>
              <w:left w:val="nil"/>
              <w:bottom w:val="nil"/>
              <w:right w:val="nil"/>
            </w:tcBorders>
            <w:shd w:val="clear" w:color="auto" w:fill="auto"/>
            <w:hideMark/>
          </w:tcPr>
          <w:p w14:paraId="08EFA6B8" w14:textId="77777777" w:rsidR="001645C8" w:rsidRPr="00F72633" w:rsidRDefault="001645C8" w:rsidP="00F90BBB">
            <w:pPr>
              <w:jc w:val="right"/>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hideMark/>
          </w:tcPr>
          <w:p w14:paraId="6CDB840F" w14:textId="77777777" w:rsidR="001645C8" w:rsidRPr="00F72633" w:rsidRDefault="001645C8" w:rsidP="00F90BBB">
            <w:pPr>
              <w:jc w:val="center"/>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hideMark/>
          </w:tcPr>
          <w:p w14:paraId="3C661B86" w14:textId="77777777" w:rsidR="001645C8" w:rsidRPr="00F72633" w:rsidRDefault="001645C8" w:rsidP="00F90BBB">
            <w:pPr>
              <w:jc w:val="center"/>
              <w:rPr>
                <w:rFonts w:ascii="Times New Roman" w:eastAsia="Times New Roman" w:hAnsi="Times New Roman" w:cs="Times New Roman"/>
                <w:lang w:val="es-419" w:eastAsia="en-US"/>
              </w:rPr>
            </w:pPr>
          </w:p>
        </w:tc>
        <w:tc>
          <w:tcPr>
            <w:tcW w:w="631" w:type="dxa"/>
            <w:tcBorders>
              <w:top w:val="nil"/>
              <w:left w:val="nil"/>
              <w:bottom w:val="nil"/>
              <w:right w:val="nil"/>
            </w:tcBorders>
            <w:shd w:val="clear" w:color="auto" w:fill="auto"/>
            <w:hideMark/>
          </w:tcPr>
          <w:p w14:paraId="343AC90F" w14:textId="77777777" w:rsidR="001645C8" w:rsidRPr="00F72633" w:rsidRDefault="001645C8" w:rsidP="00F90BBB">
            <w:pPr>
              <w:jc w:val="center"/>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hideMark/>
          </w:tcPr>
          <w:p w14:paraId="4E401512" w14:textId="77777777" w:rsidR="001645C8" w:rsidRPr="00F72633" w:rsidRDefault="001645C8" w:rsidP="00F90BBB">
            <w:pPr>
              <w:jc w:val="center"/>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noWrap/>
            <w:vAlign w:val="bottom"/>
            <w:hideMark/>
          </w:tcPr>
          <w:p w14:paraId="0B753E77" w14:textId="77777777" w:rsidR="001645C8" w:rsidRPr="00F72633" w:rsidRDefault="001645C8" w:rsidP="00F90BBB">
            <w:pPr>
              <w:jc w:val="center"/>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noWrap/>
            <w:vAlign w:val="bottom"/>
            <w:hideMark/>
          </w:tcPr>
          <w:p w14:paraId="2BEA166D" w14:textId="77777777" w:rsidR="001645C8" w:rsidRPr="00F72633" w:rsidRDefault="001645C8" w:rsidP="00F90BBB">
            <w:pPr>
              <w:jc w:val="left"/>
              <w:rPr>
                <w:rFonts w:ascii="Times New Roman" w:eastAsia="Times New Roman" w:hAnsi="Times New Roman" w:cs="Times New Roman"/>
                <w:lang w:val="es-419" w:eastAsia="en-US"/>
              </w:rPr>
            </w:pPr>
          </w:p>
        </w:tc>
        <w:tc>
          <w:tcPr>
            <w:tcW w:w="631" w:type="dxa"/>
            <w:tcBorders>
              <w:top w:val="nil"/>
              <w:left w:val="nil"/>
              <w:bottom w:val="nil"/>
              <w:right w:val="nil"/>
            </w:tcBorders>
            <w:shd w:val="clear" w:color="auto" w:fill="auto"/>
            <w:noWrap/>
            <w:vAlign w:val="bottom"/>
            <w:hideMark/>
          </w:tcPr>
          <w:p w14:paraId="4E6B1A1B" w14:textId="77777777" w:rsidR="001645C8" w:rsidRPr="00F72633" w:rsidRDefault="001645C8" w:rsidP="00F90BBB">
            <w:pPr>
              <w:jc w:val="left"/>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noWrap/>
            <w:vAlign w:val="bottom"/>
            <w:hideMark/>
          </w:tcPr>
          <w:p w14:paraId="7DD554B9" w14:textId="77777777" w:rsidR="001645C8" w:rsidRPr="00F72633" w:rsidRDefault="001645C8" w:rsidP="00F90BBB">
            <w:pPr>
              <w:jc w:val="left"/>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noWrap/>
            <w:vAlign w:val="bottom"/>
            <w:hideMark/>
          </w:tcPr>
          <w:p w14:paraId="7C203204" w14:textId="77777777" w:rsidR="001645C8" w:rsidRPr="00F72633" w:rsidRDefault="001645C8" w:rsidP="00F90BBB">
            <w:pPr>
              <w:jc w:val="left"/>
              <w:rPr>
                <w:rFonts w:ascii="Times New Roman" w:eastAsia="Times New Roman" w:hAnsi="Times New Roman" w:cs="Times New Roman"/>
                <w:lang w:val="es-419" w:eastAsia="en-US"/>
              </w:rPr>
            </w:pPr>
          </w:p>
        </w:tc>
        <w:tc>
          <w:tcPr>
            <w:tcW w:w="632" w:type="dxa"/>
            <w:tcBorders>
              <w:top w:val="nil"/>
              <w:left w:val="nil"/>
              <w:bottom w:val="nil"/>
              <w:right w:val="nil"/>
            </w:tcBorders>
            <w:shd w:val="clear" w:color="auto" w:fill="auto"/>
            <w:noWrap/>
            <w:vAlign w:val="bottom"/>
            <w:hideMark/>
          </w:tcPr>
          <w:p w14:paraId="7A2BCA8C" w14:textId="77777777" w:rsidR="001645C8" w:rsidRPr="00F72633" w:rsidRDefault="001645C8" w:rsidP="00F90BBB">
            <w:pPr>
              <w:jc w:val="left"/>
              <w:rPr>
                <w:rFonts w:ascii="Times New Roman" w:eastAsia="Times New Roman" w:hAnsi="Times New Roman" w:cs="Times New Roman"/>
                <w:lang w:val="es-419" w:eastAsia="en-US"/>
              </w:rPr>
            </w:pPr>
          </w:p>
        </w:tc>
      </w:tr>
      <w:tr w:rsidR="001645C8" w:rsidRPr="00F72633" w14:paraId="5E3DE29C" w14:textId="77777777" w:rsidTr="00B41874">
        <w:trPr>
          <w:gridAfter w:val="1"/>
          <w:wAfter w:w="6" w:type="dxa"/>
          <w:trHeight w:val="236"/>
          <w:jc w:val="center"/>
        </w:trPr>
        <w:tc>
          <w:tcPr>
            <w:tcW w:w="1908" w:type="dxa"/>
            <w:tcBorders>
              <w:top w:val="nil"/>
              <w:left w:val="nil"/>
              <w:bottom w:val="nil"/>
              <w:right w:val="nil"/>
            </w:tcBorders>
            <w:shd w:val="clear" w:color="auto" w:fill="auto"/>
            <w:vAlign w:val="bottom"/>
            <w:hideMark/>
          </w:tcPr>
          <w:p w14:paraId="754D21AA" w14:textId="0B8A6F98" w:rsidR="001645C8" w:rsidRPr="00F72633" w:rsidRDefault="006B51FE" w:rsidP="00F90BBB">
            <w:pPr>
              <w:jc w:val="left"/>
              <w:rPr>
                <w:rFonts w:ascii="Arial Narrow" w:eastAsia="Times New Roman" w:hAnsi="Arial Narrow"/>
                <w:color w:val="000000"/>
                <w:sz w:val="16"/>
                <w:szCs w:val="16"/>
                <w:lang w:val="es-419" w:eastAsia="en-US"/>
              </w:rPr>
            </w:pPr>
            <w:r w:rsidRPr="00F72633">
              <w:rPr>
                <w:rFonts w:ascii="Arial Narrow" w:hAnsi="Arial Narrow"/>
                <w:color w:val="000000"/>
                <w:sz w:val="16"/>
                <w:lang w:val="es-419"/>
              </w:rPr>
              <w:t>Ingresos</w:t>
            </w:r>
          </w:p>
        </w:tc>
        <w:tc>
          <w:tcPr>
            <w:tcW w:w="631" w:type="dxa"/>
            <w:tcBorders>
              <w:top w:val="nil"/>
              <w:left w:val="nil"/>
              <w:bottom w:val="nil"/>
              <w:right w:val="nil"/>
            </w:tcBorders>
            <w:shd w:val="clear" w:color="auto" w:fill="auto"/>
            <w:noWrap/>
            <w:vAlign w:val="bottom"/>
            <w:hideMark/>
          </w:tcPr>
          <w:p w14:paraId="2B116A60" w14:textId="554D117B"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388 </w:t>
            </w:r>
          </w:p>
        </w:tc>
        <w:tc>
          <w:tcPr>
            <w:tcW w:w="632" w:type="dxa"/>
            <w:tcBorders>
              <w:top w:val="nil"/>
              <w:left w:val="nil"/>
              <w:bottom w:val="nil"/>
              <w:right w:val="nil"/>
            </w:tcBorders>
            <w:shd w:val="clear" w:color="auto" w:fill="auto"/>
            <w:noWrap/>
            <w:vAlign w:val="bottom"/>
            <w:hideMark/>
          </w:tcPr>
          <w:p w14:paraId="562AA2D7" w14:textId="5AD8EAA6"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403 </w:t>
            </w:r>
          </w:p>
        </w:tc>
        <w:tc>
          <w:tcPr>
            <w:tcW w:w="632" w:type="dxa"/>
            <w:tcBorders>
              <w:top w:val="nil"/>
              <w:left w:val="nil"/>
              <w:bottom w:val="nil"/>
              <w:right w:val="nil"/>
            </w:tcBorders>
            <w:shd w:val="clear" w:color="auto" w:fill="auto"/>
            <w:noWrap/>
            <w:vAlign w:val="bottom"/>
            <w:hideMark/>
          </w:tcPr>
          <w:p w14:paraId="3CB5F443" w14:textId="2BA9FA81"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384 </w:t>
            </w:r>
          </w:p>
        </w:tc>
        <w:tc>
          <w:tcPr>
            <w:tcW w:w="631" w:type="dxa"/>
            <w:tcBorders>
              <w:top w:val="nil"/>
              <w:left w:val="nil"/>
              <w:bottom w:val="nil"/>
              <w:right w:val="nil"/>
            </w:tcBorders>
            <w:shd w:val="clear" w:color="auto" w:fill="auto"/>
            <w:noWrap/>
            <w:vAlign w:val="bottom"/>
            <w:hideMark/>
          </w:tcPr>
          <w:p w14:paraId="2B68863B" w14:textId="5282B1B0"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409 </w:t>
            </w:r>
          </w:p>
        </w:tc>
        <w:tc>
          <w:tcPr>
            <w:tcW w:w="632" w:type="dxa"/>
            <w:tcBorders>
              <w:top w:val="nil"/>
              <w:left w:val="nil"/>
              <w:bottom w:val="nil"/>
              <w:right w:val="nil"/>
            </w:tcBorders>
            <w:shd w:val="clear" w:color="auto" w:fill="auto"/>
            <w:noWrap/>
            <w:vAlign w:val="bottom"/>
            <w:hideMark/>
          </w:tcPr>
          <w:p w14:paraId="63F261BE" w14:textId="0A0C9611"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431 </w:t>
            </w:r>
          </w:p>
        </w:tc>
        <w:tc>
          <w:tcPr>
            <w:tcW w:w="632" w:type="dxa"/>
            <w:tcBorders>
              <w:top w:val="nil"/>
              <w:left w:val="nil"/>
              <w:bottom w:val="nil"/>
              <w:right w:val="nil"/>
            </w:tcBorders>
            <w:shd w:val="clear" w:color="auto" w:fill="auto"/>
            <w:noWrap/>
            <w:vAlign w:val="bottom"/>
            <w:hideMark/>
          </w:tcPr>
          <w:p w14:paraId="649CADD5" w14:textId="4DD61FA1"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420 </w:t>
            </w:r>
          </w:p>
        </w:tc>
        <w:tc>
          <w:tcPr>
            <w:tcW w:w="632" w:type="dxa"/>
            <w:tcBorders>
              <w:top w:val="nil"/>
              <w:left w:val="nil"/>
              <w:bottom w:val="nil"/>
              <w:right w:val="nil"/>
            </w:tcBorders>
            <w:shd w:val="clear" w:color="auto" w:fill="auto"/>
            <w:noWrap/>
            <w:vAlign w:val="bottom"/>
            <w:hideMark/>
          </w:tcPr>
          <w:p w14:paraId="69C5AF39" w14:textId="390131E2"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422 </w:t>
            </w:r>
          </w:p>
        </w:tc>
        <w:tc>
          <w:tcPr>
            <w:tcW w:w="631" w:type="dxa"/>
            <w:tcBorders>
              <w:top w:val="nil"/>
              <w:left w:val="nil"/>
              <w:bottom w:val="nil"/>
              <w:right w:val="nil"/>
            </w:tcBorders>
            <w:shd w:val="clear" w:color="auto" w:fill="auto"/>
            <w:noWrap/>
            <w:vAlign w:val="bottom"/>
            <w:hideMark/>
          </w:tcPr>
          <w:p w14:paraId="5FE01EA8" w14:textId="7C447F84"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509 </w:t>
            </w:r>
          </w:p>
        </w:tc>
        <w:tc>
          <w:tcPr>
            <w:tcW w:w="632" w:type="dxa"/>
            <w:tcBorders>
              <w:top w:val="nil"/>
              <w:left w:val="nil"/>
              <w:bottom w:val="nil"/>
              <w:right w:val="nil"/>
            </w:tcBorders>
            <w:shd w:val="clear" w:color="auto" w:fill="auto"/>
            <w:noWrap/>
            <w:vAlign w:val="bottom"/>
            <w:hideMark/>
          </w:tcPr>
          <w:p w14:paraId="34050406" w14:textId="5DDA1ABA"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598 </w:t>
            </w:r>
          </w:p>
        </w:tc>
        <w:tc>
          <w:tcPr>
            <w:tcW w:w="632" w:type="dxa"/>
            <w:tcBorders>
              <w:top w:val="nil"/>
              <w:left w:val="nil"/>
              <w:bottom w:val="nil"/>
              <w:right w:val="nil"/>
            </w:tcBorders>
            <w:shd w:val="clear" w:color="auto" w:fill="auto"/>
            <w:noWrap/>
            <w:vAlign w:val="bottom"/>
            <w:hideMark/>
          </w:tcPr>
          <w:p w14:paraId="3F7830B9" w14:textId="759CE860"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806 </w:t>
            </w:r>
          </w:p>
        </w:tc>
        <w:tc>
          <w:tcPr>
            <w:tcW w:w="632" w:type="dxa"/>
            <w:tcBorders>
              <w:top w:val="nil"/>
              <w:left w:val="nil"/>
              <w:bottom w:val="nil"/>
              <w:right w:val="nil"/>
            </w:tcBorders>
            <w:shd w:val="clear" w:color="auto" w:fill="auto"/>
            <w:noWrap/>
            <w:vAlign w:val="bottom"/>
            <w:hideMark/>
          </w:tcPr>
          <w:p w14:paraId="00F1FB2F" w14:textId="2AB4779F"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804 </w:t>
            </w:r>
          </w:p>
        </w:tc>
      </w:tr>
      <w:tr w:rsidR="001645C8" w:rsidRPr="00F72633" w14:paraId="437742C1" w14:textId="77777777" w:rsidTr="00B41874">
        <w:trPr>
          <w:gridAfter w:val="1"/>
          <w:wAfter w:w="6" w:type="dxa"/>
          <w:trHeight w:val="236"/>
          <w:jc w:val="center"/>
        </w:trPr>
        <w:tc>
          <w:tcPr>
            <w:tcW w:w="1908" w:type="dxa"/>
            <w:tcBorders>
              <w:top w:val="nil"/>
              <w:left w:val="nil"/>
              <w:bottom w:val="nil"/>
              <w:right w:val="nil"/>
            </w:tcBorders>
            <w:shd w:val="clear" w:color="auto" w:fill="auto"/>
            <w:vAlign w:val="bottom"/>
            <w:hideMark/>
          </w:tcPr>
          <w:p w14:paraId="072B5EC8" w14:textId="4BB6C9EA" w:rsidR="001645C8" w:rsidRPr="00F72633" w:rsidRDefault="006B51FE" w:rsidP="00F90BBB">
            <w:pPr>
              <w:jc w:val="left"/>
              <w:rPr>
                <w:rFonts w:ascii="Arial Narrow" w:eastAsia="Times New Roman" w:hAnsi="Arial Narrow"/>
                <w:color w:val="000000"/>
                <w:sz w:val="16"/>
                <w:szCs w:val="16"/>
                <w:lang w:val="es-419" w:eastAsia="en-US"/>
              </w:rPr>
            </w:pPr>
            <w:r w:rsidRPr="00F72633">
              <w:rPr>
                <w:rFonts w:ascii="Arial Narrow" w:hAnsi="Arial Narrow"/>
                <w:color w:val="000000"/>
                <w:sz w:val="16"/>
                <w:lang w:val="es-419"/>
              </w:rPr>
              <w:t>Gastos</w:t>
            </w:r>
          </w:p>
        </w:tc>
        <w:tc>
          <w:tcPr>
            <w:tcW w:w="631" w:type="dxa"/>
            <w:tcBorders>
              <w:top w:val="nil"/>
              <w:left w:val="nil"/>
              <w:bottom w:val="nil"/>
              <w:right w:val="nil"/>
            </w:tcBorders>
            <w:shd w:val="clear" w:color="auto" w:fill="auto"/>
            <w:noWrap/>
            <w:vAlign w:val="bottom"/>
            <w:hideMark/>
          </w:tcPr>
          <w:p w14:paraId="25DFD103" w14:textId="3A849029"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2</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954 </w:t>
            </w:r>
          </w:p>
        </w:tc>
        <w:tc>
          <w:tcPr>
            <w:tcW w:w="632" w:type="dxa"/>
            <w:tcBorders>
              <w:top w:val="nil"/>
              <w:left w:val="nil"/>
              <w:bottom w:val="nil"/>
              <w:right w:val="nil"/>
            </w:tcBorders>
            <w:shd w:val="clear" w:color="auto" w:fill="auto"/>
            <w:noWrap/>
            <w:vAlign w:val="bottom"/>
            <w:hideMark/>
          </w:tcPr>
          <w:p w14:paraId="166215F7" w14:textId="23372966"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331 </w:t>
            </w:r>
          </w:p>
        </w:tc>
        <w:tc>
          <w:tcPr>
            <w:tcW w:w="632" w:type="dxa"/>
            <w:tcBorders>
              <w:top w:val="nil"/>
              <w:left w:val="nil"/>
              <w:bottom w:val="nil"/>
              <w:right w:val="nil"/>
            </w:tcBorders>
            <w:shd w:val="clear" w:color="auto" w:fill="auto"/>
            <w:noWrap/>
            <w:vAlign w:val="bottom"/>
            <w:hideMark/>
          </w:tcPr>
          <w:p w14:paraId="4BF16F35" w14:textId="4622EE21"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275 </w:t>
            </w:r>
          </w:p>
        </w:tc>
        <w:tc>
          <w:tcPr>
            <w:tcW w:w="631" w:type="dxa"/>
            <w:tcBorders>
              <w:top w:val="nil"/>
              <w:left w:val="nil"/>
              <w:bottom w:val="nil"/>
              <w:right w:val="nil"/>
            </w:tcBorders>
            <w:shd w:val="clear" w:color="auto" w:fill="auto"/>
            <w:noWrap/>
            <w:vAlign w:val="bottom"/>
            <w:hideMark/>
          </w:tcPr>
          <w:p w14:paraId="0844333A" w14:textId="7786CA39"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517 </w:t>
            </w:r>
          </w:p>
        </w:tc>
        <w:tc>
          <w:tcPr>
            <w:tcW w:w="632" w:type="dxa"/>
            <w:tcBorders>
              <w:top w:val="nil"/>
              <w:left w:val="nil"/>
              <w:bottom w:val="nil"/>
              <w:right w:val="nil"/>
            </w:tcBorders>
            <w:shd w:val="clear" w:color="auto" w:fill="auto"/>
            <w:noWrap/>
            <w:vAlign w:val="bottom"/>
            <w:hideMark/>
          </w:tcPr>
          <w:p w14:paraId="3B6DEBEC" w14:textId="00BA737C"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239 </w:t>
            </w:r>
          </w:p>
        </w:tc>
        <w:tc>
          <w:tcPr>
            <w:tcW w:w="632" w:type="dxa"/>
            <w:tcBorders>
              <w:top w:val="nil"/>
              <w:left w:val="nil"/>
              <w:bottom w:val="nil"/>
              <w:right w:val="nil"/>
            </w:tcBorders>
            <w:shd w:val="clear" w:color="auto" w:fill="auto"/>
            <w:noWrap/>
            <w:vAlign w:val="bottom"/>
            <w:hideMark/>
          </w:tcPr>
          <w:p w14:paraId="03008AE3" w14:textId="5B13DD4E"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586 </w:t>
            </w:r>
          </w:p>
        </w:tc>
        <w:tc>
          <w:tcPr>
            <w:tcW w:w="632" w:type="dxa"/>
            <w:tcBorders>
              <w:top w:val="nil"/>
              <w:left w:val="nil"/>
              <w:bottom w:val="nil"/>
              <w:right w:val="nil"/>
            </w:tcBorders>
            <w:shd w:val="clear" w:color="auto" w:fill="auto"/>
            <w:noWrap/>
            <w:vAlign w:val="bottom"/>
            <w:hideMark/>
          </w:tcPr>
          <w:p w14:paraId="46DCEB40" w14:textId="2735876D"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355 </w:t>
            </w:r>
          </w:p>
        </w:tc>
        <w:tc>
          <w:tcPr>
            <w:tcW w:w="631" w:type="dxa"/>
            <w:tcBorders>
              <w:top w:val="nil"/>
              <w:left w:val="nil"/>
              <w:bottom w:val="nil"/>
              <w:right w:val="nil"/>
            </w:tcBorders>
            <w:shd w:val="clear" w:color="auto" w:fill="auto"/>
            <w:noWrap/>
            <w:vAlign w:val="bottom"/>
            <w:hideMark/>
          </w:tcPr>
          <w:p w14:paraId="2439C65A" w14:textId="37743BA4"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500 </w:t>
            </w:r>
          </w:p>
        </w:tc>
        <w:tc>
          <w:tcPr>
            <w:tcW w:w="632" w:type="dxa"/>
            <w:tcBorders>
              <w:top w:val="nil"/>
              <w:left w:val="nil"/>
              <w:bottom w:val="nil"/>
              <w:right w:val="nil"/>
            </w:tcBorders>
            <w:shd w:val="clear" w:color="auto" w:fill="auto"/>
            <w:noWrap/>
            <w:vAlign w:val="bottom"/>
            <w:hideMark/>
          </w:tcPr>
          <w:p w14:paraId="577B3BD7" w14:textId="13B9E1F8"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267 </w:t>
            </w:r>
          </w:p>
        </w:tc>
        <w:tc>
          <w:tcPr>
            <w:tcW w:w="632" w:type="dxa"/>
            <w:tcBorders>
              <w:top w:val="nil"/>
              <w:left w:val="nil"/>
              <w:bottom w:val="nil"/>
              <w:right w:val="nil"/>
            </w:tcBorders>
            <w:shd w:val="clear" w:color="auto" w:fill="auto"/>
            <w:noWrap/>
            <w:vAlign w:val="bottom"/>
            <w:hideMark/>
          </w:tcPr>
          <w:p w14:paraId="2DB39C72" w14:textId="5639C57F"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804 </w:t>
            </w:r>
          </w:p>
        </w:tc>
        <w:tc>
          <w:tcPr>
            <w:tcW w:w="632" w:type="dxa"/>
            <w:tcBorders>
              <w:top w:val="nil"/>
              <w:left w:val="nil"/>
              <w:bottom w:val="nil"/>
              <w:right w:val="nil"/>
            </w:tcBorders>
            <w:shd w:val="clear" w:color="auto" w:fill="auto"/>
            <w:noWrap/>
            <w:vAlign w:val="bottom"/>
            <w:hideMark/>
          </w:tcPr>
          <w:p w14:paraId="5E85861F" w14:textId="2F84B4BA" w:rsidR="001645C8" w:rsidRPr="00F72633" w:rsidRDefault="001645C8" w:rsidP="006B51FE">
            <w:pPr>
              <w:jc w:val="right"/>
              <w:rPr>
                <w:rFonts w:ascii="Arial Narrow" w:eastAsia="Times New Roman" w:hAnsi="Arial Narrow"/>
                <w:sz w:val="16"/>
                <w:szCs w:val="16"/>
                <w:lang w:val="es-419" w:eastAsia="en-US"/>
              </w:rPr>
            </w:pPr>
            <w:r w:rsidRPr="00F72633">
              <w:rPr>
                <w:rFonts w:ascii="Arial Narrow" w:eastAsia="Times New Roman" w:hAnsi="Arial Narrow"/>
                <w:sz w:val="16"/>
                <w:szCs w:val="16"/>
                <w:lang w:val="es-419" w:eastAsia="en-US"/>
              </w:rPr>
              <w:t>3</w:t>
            </w:r>
            <w:r w:rsidR="00750ABA" w:rsidRPr="00F72633">
              <w:rPr>
                <w:rFonts w:ascii="Arial Narrow" w:eastAsia="Times New Roman" w:hAnsi="Arial Narrow"/>
                <w:sz w:val="16"/>
                <w:szCs w:val="16"/>
                <w:lang w:val="es-419" w:eastAsia="en-US"/>
              </w:rPr>
              <w:t> </w:t>
            </w:r>
            <w:r w:rsidRPr="00F72633">
              <w:rPr>
                <w:rFonts w:ascii="Arial Narrow" w:eastAsia="Times New Roman" w:hAnsi="Arial Narrow"/>
                <w:sz w:val="16"/>
                <w:szCs w:val="16"/>
                <w:lang w:val="es-419" w:eastAsia="en-US"/>
              </w:rPr>
              <w:t xml:space="preserve">575 </w:t>
            </w:r>
          </w:p>
        </w:tc>
      </w:tr>
      <w:tr w:rsidR="001645C8" w:rsidRPr="00F72633" w14:paraId="77CDE4A3" w14:textId="77777777" w:rsidTr="00B41874">
        <w:trPr>
          <w:gridAfter w:val="1"/>
          <w:wAfter w:w="6" w:type="dxa"/>
          <w:trHeight w:val="262"/>
          <w:jc w:val="center"/>
        </w:trPr>
        <w:tc>
          <w:tcPr>
            <w:tcW w:w="1908" w:type="dxa"/>
            <w:tcBorders>
              <w:top w:val="single" w:sz="4" w:space="0" w:color="C7CFD8"/>
              <w:left w:val="nil"/>
              <w:bottom w:val="single" w:sz="12" w:space="0" w:color="C7CFD8"/>
              <w:right w:val="nil"/>
            </w:tcBorders>
            <w:shd w:val="clear" w:color="auto" w:fill="auto"/>
            <w:noWrap/>
            <w:vAlign w:val="center"/>
            <w:hideMark/>
          </w:tcPr>
          <w:p w14:paraId="5148CABE" w14:textId="23906A65" w:rsidR="001645C8" w:rsidRPr="00F72633" w:rsidRDefault="006B51FE" w:rsidP="00F90BBB">
            <w:pPr>
              <w:jc w:val="left"/>
              <w:rPr>
                <w:rFonts w:ascii="Arial Narrow" w:eastAsia="Times New Roman" w:hAnsi="Arial Narrow"/>
                <w:b/>
                <w:bCs/>
                <w:sz w:val="16"/>
                <w:szCs w:val="16"/>
                <w:lang w:val="es-419" w:eastAsia="en-US"/>
              </w:rPr>
            </w:pPr>
            <w:r w:rsidRPr="00F72633">
              <w:rPr>
                <w:rFonts w:ascii="Arial Narrow" w:hAnsi="Arial Narrow"/>
                <w:b/>
                <w:sz w:val="16"/>
                <w:lang w:val="es-419"/>
              </w:rPr>
              <w:t>Resultado presupuestario</w:t>
            </w:r>
          </w:p>
        </w:tc>
        <w:tc>
          <w:tcPr>
            <w:tcW w:w="631" w:type="dxa"/>
            <w:tcBorders>
              <w:top w:val="single" w:sz="4" w:space="0" w:color="C7CFD8"/>
              <w:left w:val="nil"/>
              <w:bottom w:val="single" w:sz="12" w:space="0" w:color="C7CFD8"/>
              <w:right w:val="nil"/>
            </w:tcBorders>
            <w:shd w:val="clear" w:color="auto" w:fill="auto"/>
            <w:noWrap/>
            <w:vAlign w:val="center"/>
            <w:hideMark/>
          </w:tcPr>
          <w:p w14:paraId="7096B2B0"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434 </w:t>
            </w:r>
          </w:p>
        </w:tc>
        <w:tc>
          <w:tcPr>
            <w:tcW w:w="632" w:type="dxa"/>
            <w:tcBorders>
              <w:top w:val="single" w:sz="4" w:space="0" w:color="C7CFD8"/>
              <w:left w:val="nil"/>
              <w:bottom w:val="single" w:sz="12" w:space="0" w:color="C7CFD8"/>
              <w:right w:val="nil"/>
            </w:tcBorders>
            <w:shd w:val="clear" w:color="auto" w:fill="auto"/>
            <w:noWrap/>
            <w:vAlign w:val="center"/>
            <w:hideMark/>
          </w:tcPr>
          <w:p w14:paraId="6051F7B5"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72 </w:t>
            </w:r>
          </w:p>
        </w:tc>
        <w:tc>
          <w:tcPr>
            <w:tcW w:w="632" w:type="dxa"/>
            <w:tcBorders>
              <w:top w:val="single" w:sz="4" w:space="0" w:color="C7CFD8"/>
              <w:left w:val="nil"/>
              <w:bottom w:val="single" w:sz="12" w:space="0" w:color="C7CFD8"/>
              <w:right w:val="nil"/>
            </w:tcBorders>
            <w:shd w:val="clear" w:color="auto" w:fill="auto"/>
            <w:noWrap/>
            <w:vAlign w:val="center"/>
            <w:hideMark/>
          </w:tcPr>
          <w:p w14:paraId="4398B8A4"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109 </w:t>
            </w:r>
          </w:p>
        </w:tc>
        <w:tc>
          <w:tcPr>
            <w:tcW w:w="631" w:type="dxa"/>
            <w:tcBorders>
              <w:top w:val="single" w:sz="4" w:space="0" w:color="C7CFD8"/>
              <w:left w:val="nil"/>
              <w:bottom w:val="single" w:sz="12" w:space="0" w:color="C7CFD8"/>
              <w:right w:val="nil"/>
            </w:tcBorders>
            <w:shd w:val="clear" w:color="auto" w:fill="auto"/>
            <w:noWrap/>
            <w:vAlign w:val="center"/>
            <w:hideMark/>
          </w:tcPr>
          <w:p w14:paraId="54F035E8"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(109)</w:t>
            </w:r>
          </w:p>
        </w:tc>
        <w:tc>
          <w:tcPr>
            <w:tcW w:w="632" w:type="dxa"/>
            <w:tcBorders>
              <w:top w:val="single" w:sz="4" w:space="0" w:color="C7CFD8"/>
              <w:left w:val="nil"/>
              <w:bottom w:val="single" w:sz="12" w:space="0" w:color="C7CFD8"/>
              <w:right w:val="nil"/>
            </w:tcBorders>
            <w:shd w:val="clear" w:color="auto" w:fill="auto"/>
            <w:noWrap/>
            <w:vAlign w:val="center"/>
            <w:hideMark/>
          </w:tcPr>
          <w:p w14:paraId="1E50E651"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192 </w:t>
            </w:r>
          </w:p>
        </w:tc>
        <w:tc>
          <w:tcPr>
            <w:tcW w:w="632" w:type="dxa"/>
            <w:tcBorders>
              <w:top w:val="single" w:sz="4" w:space="0" w:color="C7CFD8"/>
              <w:left w:val="nil"/>
              <w:bottom w:val="single" w:sz="12" w:space="0" w:color="C7CFD8"/>
              <w:right w:val="nil"/>
            </w:tcBorders>
            <w:shd w:val="clear" w:color="auto" w:fill="auto"/>
            <w:noWrap/>
            <w:vAlign w:val="center"/>
            <w:hideMark/>
          </w:tcPr>
          <w:p w14:paraId="20A06D85"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(166)</w:t>
            </w:r>
          </w:p>
        </w:tc>
        <w:tc>
          <w:tcPr>
            <w:tcW w:w="632" w:type="dxa"/>
            <w:tcBorders>
              <w:top w:val="single" w:sz="4" w:space="0" w:color="C7CFD8"/>
              <w:left w:val="nil"/>
              <w:bottom w:val="single" w:sz="12" w:space="0" w:color="C7CFD8"/>
              <w:right w:val="nil"/>
            </w:tcBorders>
            <w:shd w:val="clear" w:color="auto" w:fill="auto"/>
            <w:noWrap/>
            <w:vAlign w:val="center"/>
            <w:hideMark/>
          </w:tcPr>
          <w:p w14:paraId="459654B8"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67 </w:t>
            </w:r>
          </w:p>
        </w:tc>
        <w:tc>
          <w:tcPr>
            <w:tcW w:w="631" w:type="dxa"/>
            <w:tcBorders>
              <w:top w:val="single" w:sz="4" w:space="0" w:color="C7CFD8"/>
              <w:left w:val="nil"/>
              <w:bottom w:val="single" w:sz="12" w:space="0" w:color="C7CFD8"/>
              <w:right w:val="nil"/>
            </w:tcBorders>
            <w:shd w:val="clear" w:color="auto" w:fill="auto"/>
            <w:noWrap/>
            <w:vAlign w:val="center"/>
            <w:hideMark/>
          </w:tcPr>
          <w:p w14:paraId="333CE2AC"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9 </w:t>
            </w:r>
          </w:p>
        </w:tc>
        <w:tc>
          <w:tcPr>
            <w:tcW w:w="632" w:type="dxa"/>
            <w:tcBorders>
              <w:top w:val="single" w:sz="4" w:space="0" w:color="C7CFD8"/>
              <w:left w:val="nil"/>
              <w:bottom w:val="single" w:sz="12" w:space="0" w:color="C7CFD8"/>
              <w:right w:val="nil"/>
            </w:tcBorders>
            <w:shd w:val="clear" w:color="auto" w:fill="auto"/>
            <w:noWrap/>
            <w:vAlign w:val="center"/>
            <w:hideMark/>
          </w:tcPr>
          <w:p w14:paraId="41D0B36E"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332 </w:t>
            </w:r>
          </w:p>
        </w:tc>
        <w:tc>
          <w:tcPr>
            <w:tcW w:w="632" w:type="dxa"/>
            <w:tcBorders>
              <w:top w:val="single" w:sz="4" w:space="0" w:color="C7CFD8"/>
              <w:left w:val="nil"/>
              <w:bottom w:val="single" w:sz="12" w:space="0" w:color="C7CFD8"/>
              <w:right w:val="nil"/>
            </w:tcBorders>
            <w:shd w:val="clear" w:color="auto" w:fill="auto"/>
            <w:noWrap/>
            <w:vAlign w:val="center"/>
            <w:hideMark/>
          </w:tcPr>
          <w:p w14:paraId="7E805FB8"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2 </w:t>
            </w:r>
          </w:p>
        </w:tc>
        <w:tc>
          <w:tcPr>
            <w:tcW w:w="632" w:type="dxa"/>
            <w:tcBorders>
              <w:top w:val="single" w:sz="4" w:space="0" w:color="C7CFD8"/>
              <w:left w:val="nil"/>
              <w:bottom w:val="single" w:sz="12" w:space="0" w:color="C7CFD8"/>
              <w:right w:val="nil"/>
            </w:tcBorders>
            <w:shd w:val="clear" w:color="auto" w:fill="auto"/>
            <w:noWrap/>
            <w:vAlign w:val="center"/>
            <w:hideMark/>
          </w:tcPr>
          <w:p w14:paraId="1DE5111A" w14:textId="77777777" w:rsidR="001645C8" w:rsidRPr="00F72633" w:rsidRDefault="001645C8" w:rsidP="00F90BBB">
            <w:pPr>
              <w:jc w:val="right"/>
              <w:rPr>
                <w:rFonts w:ascii="Arial Narrow" w:eastAsia="Times New Roman" w:hAnsi="Arial Narrow"/>
                <w:b/>
                <w:bCs/>
                <w:sz w:val="16"/>
                <w:szCs w:val="16"/>
                <w:lang w:val="es-419" w:eastAsia="en-US"/>
              </w:rPr>
            </w:pPr>
            <w:r w:rsidRPr="00F72633">
              <w:rPr>
                <w:rFonts w:ascii="Arial Narrow" w:eastAsia="Times New Roman" w:hAnsi="Arial Narrow"/>
                <w:b/>
                <w:bCs/>
                <w:sz w:val="16"/>
                <w:szCs w:val="16"/>
                <w:lang w:val="es-419" w:eastAsia="en-US"/>
              </w:rPr>
              <w:t xml:space="preserve">230 </w:t>
            </w:r>
          </w:p>
        </w:tc>
      </w:tr>
    </w:tbl>
    <w:p w14:paraId="30C94B62" w14:textId="77777777" w:rsidR="001645C8" w:rsidRPr="00F72633" w:rsidRDefault="001645C8" w:rsidP="003E3C19">
      <w:pPr>
        <w:rPr>
          <w:rFonts w:eastAsiaTheme="minorHAnsi"/>
          <w:lang w:val="es-419"/>
        </w:rPr>
      </w:pPr>
    </w:p>
    <w:p w14:paraId="355DC658" w14:textId="77777777" w:rsidR="001645C8" w:rsidRPr="00F72633" w:rsidRDefault="001645C8" w:rsidP="003E3C19">
      <w:pPr>
        <w:jc w:val="center"/>
        <w:rPr>
          <w:rFonts w:eastAsiaTheme="minorHAnsi"/>
          <w:lang w:val="es-419"/>
        </w:rPr>
      </w:pPr>
    </w:p>
    <w:p w14:paraId="698EEC57" w14:textId="77777777" w:rsidR="001645C8" w:rsidRPr="00F72633" w:rsidRDefault="001645C8" w:rsidP="003E3C19">
      <w:pPr>
        <w:jc w:val="center"/>
        <w:rPr>
          <w:rFonts w:eastAsiaTheme="minorHAnsi"/>
          <w:lang w:val="es-419"/>
        </w:rPr>
      </w:pPr>
    </w:p>
    <w:p w14:paraId="2B0DC5A9" w14:textId="5B8EF81F" w:rsidR="001645C8" w:rsidRPr="00F72633" w:rsidRDefault="001812FC" w:rsidP="003E3C19">
      <w:pPr>
        <w:autoSpaceDE w:val="0"/>
        <w:autoSpaceDN w:val="0"/>
        <w:adjustRightInd w:val="0"/>
        <w:jc w:val="center"/>
        <w:rPr>
          <w:b/>
          <w:color w:val="155F1A"/>
          <w:sz w:val="18"/>
          <w:szCs w:val="18"/>
          <w:lang w:val="es-419"/>
        </w:rPr>
      </w:pPr>
      <w:r w:rsidRPr="00F72633">
        <w:rPr>
          <w:b/>
          <w:color w:val="155F1A"/>
          <w:sz w:val="18"/>
          <w:lang w:val="es-419"/>
        </w:rPr>
        <w:t>Gráfico 3. Evolución de los ingresos y los gastos durante el período</w:t>
      </w:r>
      <w:r w:rsidR="001645C8" w:rsidRPr="00F72633">
        <w:rPr>
          <w:b/>
          <w:color w:val="155F1A"/>
          <w:sz w:val="18"/>
          <w:szCs w:val="18"/>
          <w:lang w:val="es-419"/>
        </w:rPr>
        <w:t xml:space="preserve"> 2012-2022</w:t>
      </w:r>
    </w:p>
    <w:p w14:paraId="4A64A821" w14:textId="70AC9096" w:rsidR="001645C8" w:rsidRPr="00F72633" w:rsidRDefault="001645C8" w:rsidP="003E3C19">
      <w:pPr>
        <w:jc w:val="center"/>
        <w:rPr>
          <w:rFonts w:eastAsiaTheme="minorHAnsi"/>
          <w:lang w:val="es-419"/>
        </w:rPr>
      </w:pPr>
    </w:p>
    <w:p w14:paraId="2733C12E" w14:textId="750DFAAA" w:rsidR="00750ABA" w:rsidRPr="00F72633" w:rsidRDefault="00750ABA" w:rsidP="003E3C19">
      <w:pPr>
        <w:jc w:val="center"/>
        <w:rPr>
          <w:rFonts w:eastAsiaTheme="minorHAnsi"/>
          <w:lang w:val="es-419"/>
        </w:rPr>
      </w:pPr>
      <w:r w:rsidRPr="00F72633">
        <w:rPr>
          <w:noProof/>
          <w:lang w:eastAsia="en-US"/>
        </w:rPr>
        <w:drawing>
          <wp:inline distT="0" distB="0" distL="0" distR="0" wp14:anchorId="5D0F5B53" wp14:editId="6ADA09D3">
            <wp:extent cx="4838700" cy="2806711"/>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9976" cy="2819052"/>
                    </a:xfrm>
                    <a:prstGeom prst="rect">
                      <a:avLst/>
                    </a:prstGeom>
                    <a:noFill/>
                    <a:ln>
                      <a:noFill/>
                    </a:ln>
                  </pic:spPr>
                </pic:pic>
              </a:graphicData>
            </a:graphic>
          </wp:inline>
        </w:drawing>
      </w:r>
    </w:p>
    <w:p w14:paraId="1292DB9F" w14:textId="3FA9FBD1" w:rsidR="001645C8" w:rsidRPr="00F72633" w:rsidRDefault="001645C8" w:rsidP="003E3C19">
      <w:pPr>
        <w:jc w:val="center"/>
        <w:rPr>
          <w:rFonts w:eastAsiaTheme="minorHAnsi"/>
          <w:lang w:val="es-419"/>
        </w:rPr>
      </w:pPr>
    </w:p>
    <w:p w14:paraId="2700303D" w14:textId="77777777" w:rsidR="001645C8" w:rsidRPr="00F72633" w:rsidRDefault="001645C8" w:rsidP="003E3C19">
      <w:pPr>
        <w:jc w:val="center"/>
        <w:rPr>
          <w:rFonts w:eastAsiaTheme="minorHAnsi"/>
          <w:lang w:val="es-419"/>
        </w:rPr>
      </w:pPr>
    </w:p>
    <w:p w14:paraId="4D4766F5" w14:textId="7454B1B5" w:rsidR="001645C8" w:rsidRPr="00F72633" w:rsidRDefault="001645C8" w:rsidP="00F90BBB">
      <w:pPr>
        <w:rPr>
          <w:b/>
          <w:bCs/>
          <w:iCs/>
          <w:color w:val="26724C" w:themeColor="accent1" w:themeShade="BF"/>
          <w:sz w:val="22"/>
          <w:lang w:val="es-419"/>
        </w:rPr>
      </w:pPr>
      <w:bookmarkStart w:id="18" w:name="_Toc40950694"/>
      <w:r w:rsidRPr="00F72633">
        <w:rPr>
          <w:lang w:val="es-419"/>
        </w:rPr>
        <w:br w:type="page"/>
      </w:r>
      <w:bookmarkEnd w:id="18"/>
      <w:r w:rsidR="007F581A" w:rsidRPr="00F72633">
        <w:rPr>
          <w:b/>
          <w:bCs/>
          <w:iCs/>
          <w:color w:val="26724C" w:themeColor="accent1" w:themeShade="BF"/>
          <w:sz w:val="22"/>
          <w:lang w:val="es-419"/>
        </w:rPr>
        <w:lastRenderedPageBreak/>
        <w:t>Fondos fiduciarios (fondos extrapresupuestarios)</w:t>
      </w:r>
    </w:p>
    <w:p w14:paraId="474593D4" w14:textId="77777777" w:rsidR="001645C8" w:rsidRPr="00F72633" w:rsidRDefault="001645C8" w:rsidP="002371CF">
      <w:pPr>
        <w:pStyle w:val="annexiparanumbered"/>
        <w:numPr>
          <w:ilvl w:val="0"/>
          <w:numId w:val="0"/>
        </w:numPr>
        <w:rPr>
          <w:lang w:val="es-419"/>
        </w:rPr>
      </w:pPr>
    </w:p>
    <w:p w14:paraId="53450927" w14:textId="7E2D1945" w:rsidR="001645C8" w:rsidRPr="00F72633" w:rsidRDefault="006433D8" w:rsidP="002371CF">
      <w:pPr>
        <w:pStyle w:val="annexiparanumbered"/>
        <w:numPr>
          <w:ilvl w:val="0"/>
          <w:numId w:val="0"/>
        </w:numPr>
        <w:rPr>
          <w:lang w:val="es-419"/>
        </w:rPr>
      </w:pPr>
      <w:r w:rsidRPr="00F72633">
        <w:rPr>
          <w:lang w:val="es-419"/>
        </w:rPr>
        <w:t xml:space="preserve">En el </w:t>
      </w:r>
      <w:r w:rsidR="004F22B9">
        <w:rPr>
          <w:lang w:val="es-419"/>
        </w:rPr>
        <w:t>gráfico</w:t>
      </w:r>
      <w:r w:rsidRPr="00F72633">
        <w:rPr>
          <w:lang w:val="es-419"/>
        </w:rPr>
        <w:t> </w:t>
      </w:r>
      <w:r w:rsidR="004F22B9">
        <w:rPr>
          <w:lang w:val="es-419"/>
        </w:rPr>
        <w:t>4</w:t>
      </w:r>
      <w:bookmarkStart w:id="19" w:name="_GoBack"/>
      <w:bookmarkEnd w:id="19"/>
      <w:r w:rsidRPr="00F72633">
        <w:rPr>
          <w:lang w:val="es-419"/>
        </w:rPr>
        <w:t> </w:t>
      </w:r>
      <w:r w:rsidR="007F581A" w:rsidRPr="00F72633">
        <w:rPr>
          <w:lang w:val="es-419"/>
        </w:rPr>
        <w:t xml:space="preserve">se expone la evolución global de los ingresos reales de los fondos fiduciarios </w:t>
      </w:r>
      <w:r w:rsidRPr="00F72633">
        <w:rPr>
          <w:lang w:val="es-419"/>
        </w:rPr>
        <w:t>en el período comprendido entre </w:t>
      </w:r>
      <w:r w:rsidR="007F581A" w:rsidRPr="00F72633">
        <w:rPr>
          <w:lang w:val="es-419"/>
        </w:rPr>
        <w:t>2012</w:t>
      </w:r>
      <w:r w:rsidRPr="00F72633">
        <w:rPr>
          <w:lang w:val="es-419"/>
        </w:rPr>
        <w:t> </w:t>
      </w:r>
      <w:r w:rsidR="007F581A" w:rsidRPr="00F72633">
        <w:rPr>
          <w:lang w:val="es-419"/>
        </w:rPr>
        <w:t>y 2022</w:t>
      </w:r>
      <w:r w:rsidR="001645C8" w:rsidRPr="00F72633">
        <w:rPr>
          <w:lang w:val="es-419"/>
        </w:rPr>
        <w:t xml:space="preserve">. </w:t>
      </w:r>
      <w:r w:rsidR="007F581A" w:rsidRPr="00F72633">
        <w:rPr>
          <w:lang w:val="es-419"/>
        </w:rPr>
        <w:t>Cabe señalar que la contribución de los fondos fiduciarios d</w:t>
      </w:r>
      <w:r w:rsidRPr="00F72633">
        <w:rPr>
          <w:lang w:val="es-419"/>
        </w:rPr>
        <w:t>el Japón correspondiente a 2021 </w:t>
      </w:r>
      <w:r w:rsidR="007F581A" w:rsidRPr="00F72633">
        <w:rPr>
          <w:lang w:val="es-419"/>
        </w:rPr>
        <w:t>se</w:t>
      </w:r>
      <w:r w:rsidRPr="00F72633">
        <w:rPr>
          <w:lang w:val="es-419"/>
        </w:rPr>
        <w:t xml:space="preserve"> recibió en </w:t>
      </w:r>
      <w:r w:rsidR="007F581A" w:rsidRPr="00F72633">
        <w:rPr>
          <w:lang w:val="es-419"/>
        </w:rPr>
        <w:t>2022.</w:t>
      </w:r>
    </w:p>
    <w:p w14:paraId="1A7CEE8B" w14:textId="77777777" w:rsidR="001645C8" w:rsidRPr="00F72633" w:rsidRDefault="001645C8" w:rsidP="003E3C19">
      <w:pPr>
        <w:rPr>
          <w:lang w:val="es-419" w:eastAsia="en-US"/>
        </w:rPr>
      </w:pPr>
    </w:p>
    <w:p w14:paraId="45D80803" w14:textId="77777777" w:rsidR="001645C8" w:rsidRPr="00F72633" w:rsidRDefault="001645C8" w:rsidP="003E3C19">
      <w:pPr>
        <w:rPr>
          <w:lang w:val="es-419" w:eastAsia="en-US"/>
        </w:rPr>
      </w:pPr>
    </w:p>
    <w:p w14:paraId="0BB839CD" w14:textId="712BBD41" w:rsidR="001645C8" w:rsidRPr="00F72633" w:rsidRDefault="007F581A" w:rsidP="003E3C19">
      <w:pPr>
        <w:jc w:val="center"/>
        <w:rPr>
          <w:rFonts w:eastAsia="Times New Roman"/>
          <w:b/>
          <w:bCs/>
          <w:color w:val="155F1A"/>
          <w:sz w:val="18"/>
          <w:szCs w:val="18"/>
          <w:lang w:val="es-419"/>
        </w:rPr>
      </w:pPr>
      <w:r w:rsidRPr="00F72633">
        <w:rPr>
          <w:b/>
          <w:color w:val="155F1A"/>
          <w:sz w:val="18"/>
          <w:lang w:val="es-419"/>
        </w:rPr>
        <w:t>Gráfico 4. Evolución de los fondos fiduciarios entre</w:t>
      </w:r>
      <w:r w:rsidR="001645C8" w:rsidRPr="00F72633">
        <w:rPr>
          <w:rFonts w:eastAsia="Times New Roman"/>
          <w:b/>
          <w:bCs/>
          <w:color w:val="155F1A"/>
          <w:sz w:val="18"/>
          <w:szCs w:val="18"/>
          <w:lang w:val="es-419"/>
        </w:rPr>
        <w:t xml:space="preserve"> 2012 </w:t>
      </w:r>
      <w:r w:rsidRPr="00F72633">
        <w:rPr>
          <w:rFonts w:eastAsia="Times New Roman"/>
          <w:b/>
          <w:bCs/>
          <w:color w:val="155F1A"/>
          <w:sz w:val="18"/>
          <w:szCs w:val="18"/>
          <w:lang w:val="es-419"/>
        </w:rPr>
        <w:t>y</w:t>
      </w:r>
      <w:r w:rsidR="001645C8" w:rsidRPr="00F72633">
        <w:rPr>
          <w:rFonts w:eastAsia="Times New Roman"/>
          <w:b/>
          <w:bCs/>
          <w:color w:val="155F1A"/>
          <w:sz w:val="18"/>
          <w:szCs w:val="18"/>
          <w:lang w:val="es-419"/>
        </w:rPr>
        <w:t xml:space="preserve"> 2022</w:t>
      </w:r>
    </w:p>
    <w:p w14:paraId="358E37BA" w14:textId="71AE310C" w:rsidR="001645C8" w:rsidRPr="00F72633" w:rsidRDefault="001645C8" w:rsidP="003E3C19">
      <w:pPr>
        <w:jc w:val="center"/>
        <w:rPr>
          <w:rFonts w:eastAsiaTheme="minorHAnsi"/>
          <w:lang w:val="es-419"/>
        </w:rPr>
      </w:pPr>
    </w:p>
    <w:p w14:paraId="429C9FB5" w14:textId="33E89147" w:rsidR="00BC2F8D" w:rsidRPr="00F72633" w:rsidRDefault="00BC2F8D" w:rsidP="003E3C19">
      <w:pPr>
        <w:jc w:val="center"/>
        <w:rPr>
          <w:rFonts w:eastAsiaTheme="minorHAnsi"/>
          <w:lang w:val="es-419"/>
        </w:rPr>
      </w:pPr>
      <w:r w:rsidRPr="00F72633">
        <w:rPr>
          <w:noProof/>
          <w:lang w:eastAsia="en-US"/>
        </w:rPr>
        <w:drawing>
          <wp:inline distT="0" distB="0" distL="0" distR="0" wp14:anchorId="29F8E819" wp14:editId="065F0639">
            <wp:extent cx="5367867" cy="2862242"/>
            <wp:effectExtent l="0" t="0" r="444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8347" cy="2873162"/>
                    </a:xfrm>
                    <a:prstGeom prst="rect">
                      <a:avLst/>
                    </a:prstGeom>
                    <a:noFill/>
                    <a:ln>
                      <a:noFill/>
                    </a:ln>
                  </pic:spPr>
                </pic:pic>
              </a:graphicData>
            </a:graphic>
          </wp:inline>
        </w:drawing>
      </w:r>
    </w:p>
    <w:p w14:paraId="2BFCB4A3" w14:textId="2F6500DE" w:rsidR="001645C8" w:rsidRPr="00F72633" w:rsidRDefault="001645C8" w:rsidP="003E3C19">
      <w:pPr>
        <w:pStyle w:val="ListParagraph"/>
        <w:ind w:left="0"/>
        <w:jc w:val="center"/>
        <w:rPr>
          <w:lang w:val="es-419"/>
        </w:rPr>
      </w:pPr>
    </w:p>
    <w:p w14:paraId="63BC5D87" w14:textId="4CAB6F88" w:rsidR="003E3C19" w:rsidRPr="00F72633" w:rsidRDefault="003E3C19" w:rsidP="003E3C19">
      <w:pPr>
        <w:pStyle w:val="ListParagraph"/>
        <w:ind w:left="0"/>
        <w:rPr>
          <w:lang w:val="es-419"/>
        </w:rPr>
      </w:pPr>
    </w:p>
    <w:p w14:paraId="4C5CDEEE" w14:textId="1401C3A2" w:rsidR="003E3C19" w:rsidRPr="00F72633" w:rsidRDefault="003E3C19" w:rsidP="003E3C19">
      <w:pPr>
        <w:pStyle w:val="Heading1"/>
        <w:rPr>
          <w:lang w:val="es-419"/>
        </w:rPr>
      </w:pPr>
      <w:bookmarkStart w:id="20" w:name="_Toc143527471"/>
      <w:r w:rsidRPr="00F72633">
        <w:rPr>
          <w:lang w:val="es-419"/>
        </w:rPr>
        <w:lastRenderedPageBreak/>
        <w:t>II.</w:t>
      </w:r>
      <w:r w:rsidRPr="00F72633">
        <w:rPr>
          <w:lang w:val="es-419"/>
        </w:rPr>
        <w:tab/>
      </w:r>
      <w:bookmarkEnd w:id="14"/>
      <w:r w:rsidR="00491853" w:rsidRPr="00F72633">
        <w:rPr>
          <w:lang w:val="es-419"/>
        </w:rPr>
        <w:t>Rendimiento del programa</w:t>
      </w:r>
      <w:bookmarkEnd w:id="20"/>
    </w:p>
    <w:p w14:paraId="21E136F7" w14:textId="2C29EBE5" w:rsidR="003E3C19" w:rsidRPr="00F72633" w:rsidRDefault="00491853" w:rsidP="00492947">
      <w:pPr>
        <w:pStyle w:val="Heading2"/>
        <w:ind w:left="0" w:firstLine="0"/>
        <w:rPr>
          <w:lang w:val="es-419"/>
        </w:rPr>
      </w:pPr>
      <w:bookmarkStart w:id="21" w:name="_Toc524595646"/>
      <w:bookmarkStart w:id="22" w:name="_Toc80365151"/>
      <w:bookmarkStart w:id="23" w:name="_Toc143527472"/>
      <w:r w:rsidRPr="00F72633">
        <w:rPr>
          <w:lang w:val="es-419"/>
        </w:rPr>
        <w:t>SUB</w:t>
      </w:r>
      <w:r w:rsidR="003E3C19" w:rsidRPr="00F72633">
        <w:rPr>
          <w:lang w:val="es-419"/>
        </w:rPr>
        <w:t>PROGRAM</w:t>
      </w:r>
      <w:r w:rsidRPr="00F72633">
        <w:rPr>
          <w:lang w:val="es-419"/>
        </w:rPr>
        <w:t>A</w:t>
      </w:r>
      <w:r w:rsidR="003E3C19" w:rsidRPr="00F72633">
        <w:rPr>
          <w:lang w:val="es-419"/>
        </w:rPr>
        <w:t xml:space="preserve"> UV.1:</w:t>
      </w:r>
      <w:r w:rsidR="00933446" w:rsidRPr="00F72633">
        <w:rPr>
          <w:lang w:val="es-419"/>
        </w:rPr>
        <w:t xml:space="preserve"> </w:t>
      </w:r>
      <w:bookmarkEnd w:id="21"/>
      <w:bookmarkEnd w:id="22"/>
      <w:r w:rsidRPr="00F72633">
        <w:rPr>
          <w:lang w:val="es-419"/>
        </w:rPr>
        <w:t>Política general sobre protección de las variedades vegetales</w:t>
      </w:r>
      <w:bookmarkEnd w:id="23"/>
    </w:p>
    <w:p w14:paraId="580667CA" w14:textId="295E776F" w:rsidR="003E3C19" w:rsidRPr="00F72633" w:rsidRDefault="003E3C19" w:rsidP="003E3C19">
      <w:pPr>
        <w:pStyle w:val="Heading3"/>
        <w:rPr>
          <w:lang w:val="es-419"/>
        </w:rPr>
      </w:pPr>
      <w:r w:rsidRPr="00F72633">
        <w:rPr>
          <w:lang w:val="es-419"/>
        </w:rPr>
        <w:t>Obje</w:t>
      </w:r>
      <w:r w:rsidR="00447E80" w:rsidRPr="00F72633">
        <w:rPr>
          <w:lang w:val="es-419"/>
        </w:rPr>
        <w:t>tivo</w:t>
      </w:r>
      <w:r w:rsidRPr="00F72633">
        <w:rPr>
          <w:lang w:val="es-419"/>
        </w:rPr>
        <w:t>s:</w:t>
      </w:r>
    </w:p>
    <w:p w14:paraId="08C883DB" w14:textId="4AC5F23C" w:rsidR="00BC5A02" w:rsidRPr="00F72633" w:rsidRDefault="00BC5A02" w:rsidP="00BC5A02">
      <w:pPr>
        <w:spacing w:after="40"/>
        <w:rPr>
          <w:lang w:val="es-419"/>
        </w:rPr>
      </w:pPr>
      <w:r w:rsidRPr="00F72633">
        <w:rPr>
          <w:lang w:val="es-419"/>
        </w:rPr>
        <w:t>a)</w:t>
      </w:r>
      <w:r w:rsidRPr="00F72633">
        <w:rPr>
          <w:lang w:val="es-419"/>
        </w:rPr>
        <w:tab/>
      </w:r>
      <w:r w:rsidR="00F61B62" w:rsidRPr="00F72633">
        <w:rPr>
          <w:lang w:val="es-419"/>
        </w:rPr>
        <w:t xml:space="preserve">Dirección </w:t>
      </w:r>
      <w:r w:rsidR="00381772" w:rsidRPr="00F72633">
        <w:rPr>
          <w:lang w:val="es-419"/>
        </w:rPr>
        <w:t>de política y gestión ejecutiva;</w:t>
      </w:r>
    </w:p>
    <w:p w14:paraId="0F772960" w14:textId="46F942C3" w:rsidR="00BC5A02" w:rsidRPr="00F72633" w:rsidRDefault="00BC5A02" w:rsidP="00BC5A02">
      <w:pPr>
        <w:spacing w:after="40"/>
        <w:rPr>
          <w:lang w:val="es-419"/>
        </w:rPr>
      </w:pPr>
      <w:r w:rsidRPr="00F72633">
        <w:rPr>
          <w:lang w:val="es-419"/>
        </w:rPr>
        <w:t>b)</w:t>
      </w:r>
      <w:r w:rsidRPr="00F72633">
        <w:rPr>
          <w:lang w:val="es-419"/>
        </w:rPr>
        <w:tab/>
      </w:r>
      <w:r w:rsidR="00F61B62" w:rsidRPr="00F72633">
        <w:rPr>
          <w:lang w:val="es-419"/>
        </w:rPr>
        <w:t>Planificación</w:t>
      </w:r>
      <w:r w:rsidR="00381772" w:rsidRPr="00F72633">
        <w:rPr>
          <w:lang w:val="es-419"/>
        </w:rPr>
        <w:t xml:space="preserve">, ejecución y evaluación del </w:t>
      </w:r>
      <w:r w:rsidR="002278C4" w:rsidRPr="00F72633">
        <w:rPr>
          <w:lang w:val="es-419"/>
        </w:rPr>
        <w:t>Programa y P</w:t>
      </w:r>
      <w:r w:rsidR="00381772" w:rsidRPr="00F72633">
        <w:rPr>
          <w:lang w:val="es-419"/>
        </w:rPr>
        <w:t>resupuesto</w:t>
      </w:r>
      <w:r w:rsidRPr="00F72633">
        <w:rPr>
          <w:lang w:val="es-419"/>
        </w:rPr>
        <w:t>.</w:t>
      </w:r>
    </w:p>
    <w:p w14:paraId="697AFFEB" w14:textId="77777777" w:rsidR="003E3C19" w:rsidRPr="00F72633" w:rsidRDefault="003E3C19" w:rsidP="003E3C19">
      <w:pPr>
        <w:rPr>
          <w:lang w:val="es-419"/>
        </w:rPr>
      </w:pPr>
    </w:p>
    <w:p w14:paraId="2EB8D57B" w14:textId="77777777" w:rsidR="003E3C19" w:rsidRPr="00F72633" w:rsidRDefault="003E3C19" w:rsidP="003E3C19">
      <w:pPr>
        <w:rPr>
          <w:lang w:val="es-419"/>
        </w:rPr>
      </w:pPr>
    </w:p>
    <w:p w14:paraId="03E293DF" w14:textId="06C57620" w:rsidR="003E3C19" w:rsidRPr="00F72633" w:rsidRDefault="009C13BA" w:rsidP="003E3C19">
      <w:pPr>
        <w:pStyle w:val="Heading3"/>
        <w:rPr>
          <w:sz w:val="26"/>
          <w:lang w:val="es-419"/>
        </w:rPr>
      </w:pPr>
      <w:bookmarkStart w:id="24" w:name="_Toc524595648"/>
      <w:r w:rsidRPr="00F72633">
        <w:rPr>
          <w:lang w:val="es-419"/>
        </w:rPr>
        <w:t>Datos sobre el rendimiento</w:t>
      </w:r>
      <w:r w:rsidR="003E3C19" w:rsidRPr="00F72633">
        <w:rPr>
          <w:sz w:val="26"/>
          <w:lang w:val="es-419"/>
        </w:rPr>
        <w:t>:</w:t>
      </w:r>
      <w:bookmarkEnd w:id="24"/>
    </w:p>
    <w:tbl>
      <w:tblPr>
        <w:tblW w:w="9766"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77"/>
        <w:gridCol w:w="4951"/>
      </w:tblGrid>
      <w:tr w:rsidR="003E3C19" w:rsidRPr="00F72633" w14:paraId="06C27D76" w14:textId="77777777" w:rsidTr="00B904E7">
        <w:trPr>
          <w:trHeight w:val="530"/>
          <w:tblHeader/>
        </w:trPr>
        <w:tc>
          <w:tcPr>
            <w:tcW w:w="1838" w:type="dxa"/>
            <w:tcBorders>
              <w:top w:val="nil"/>
              <w:bottom w:val="nil"/>
            </w:tcBorders>
            <w:shd w:val="clear" w:color="auto" w:fill="E2E7EB" w:themeFill="accent3" w:themeFillTint="33"/>
            <w:vAlign w:val="center"/>
            <w:hideMark/>
          </w:tcPr>
          <w:p w14:paraId="264F90BB" w14:textId="3E14CDA8" w:rsidR="003E3C19" w:rsidRPr="00F72633" w:rsidRDefault="009C13BA" w:rsidP="00B904E7">
            <w:pPr>
              <w:jc w:val="left"/>
              <w:rPr>
                <w:rFonts w:ascii="Arial Narrow" w:eastAsia="Times New Roman" w:hAnsi="Arial Narrow"/>
                <w:b/>
                <w:bCs/>
                <w:sz w:val="18"/>
                <w:szCs w:val="18"/>
                <w:lang w:val="es-419" w:eastAsia="en-US"/>
              </w:rPr>
            </w:pPr>
            <w:r w:rsidRPr="00F72633">
              <w:rPr>
                <w:rFonts w:ascii="Arial Narrow" w:hAnsi="Arial Narrow"/>
                <w:b/>
                <w:sz w:val="18"/>
                <w:lang w:val="es-419"/>
              </w:rPr>
              <w:t>Resultados previstos</w:t>
            </w:r>
          </w:p>
        </w:tc>
        <w:tc>
          <w:tcPr>
            <w:tcW w:w="2977" w:type="dxa"/>
            <w:tcBorders>
              <w:top w:val="nil"/>
              <w:bottom w:val="nil"/>
            </w:tcBorders>
            <w:shd w:val="clear" w:color="auto" w:fill="E2E7EB" w:themeFill="accent3" w:themeFillTint="33"/>
            <w:vAlign w:val="center"/>
            <w:hideMark/>
          </w:tcPr>
          <w:p w14:paraId="55700AAF" w14:textId="6B5DEB37" w:rsidR="003E3C19" w:rsidRPr="00F72633" w:rsidRDefault="009C13BA" w:rsidP="00B904E7">
            <w:pPr>
              <w:jc w:val="left"/>
              <w:rPr>
                <w:rFonts w:ascii="Arial Narrow" w:eastAsia="Times New Roman" w:hAnsi="Arial Narrow"/>
                <w:b/>
                <w:bCs/>
                <w:sz w:val="18"/>
                <w:szCs w:val="18"/>
                <w:lang w:val="es-419" w:eastAsia="en-US"/>
              </w:rPr>
            </w:pPr>
            <w:r w:rsidRPr="00F72633">
              <w:rPr>
                <w:rFonts w:ascii="Arial Narrow" w:hAnsi="Arial Narrow"/>
                <w:b/>
                <w:sz w:val="18"/>
                <w:lang w:val="es-419"/>
              </w:rPr>
              <w:t>Indicadores de rendimiento</w:t>
            </w:r>
          </w:p>
        </w:tc>
        <w:tc>
          <w:tcPr>
            <w:tcW w:w="4951" w:type="dxa"/>
            <w:tcBorders>
              <w:top w:val="nil"/>
              <w:bottom w:val="nil"/>
            </w:tcBorders>
            <w:shd w:val="clear" w:color="auto" w:fill="E2E7EB" w:themeFill="accent3" w:themeFillTint="33"/>
            <w:vAlign w:val="center"/>
            <w:hideMark/>
          </w:tcPr>
          <w:p w14:paraId="4656B09E" w14:textId="44E4AA89" w:rsidR="003E3C19" w:rsidRPr="00F72633" w:rsidRDefault="009C13BA" w:rsidP="00E044FA">
            <w:pPr>
              <w:jc w:val="left"/>
              <w:rPr>
                <w:rFonts w:ascii="Arial Narrow" w:eastAsia="Times New Roman" w:hAnsi="Arial Narrow"/>
                <w:b/>
                <w:bCs/>
                <w:sz w:val="18"/>
                <w:szCs w:val="18"/>
                <w:lang w:val="es-419" w:eastAsia="en-US"/>
              </w:rPr>
            </w:pPr>
            <w:r w:rsidRPr="00F72633">
              <w:rPr>
                <w:rFonts w:ascii="Arial Narrow" w:hAnsi="Arial Narrow"/>
                <w:b/>
                <w:sz w:val="18"/>
                <w:lang w:val="es-419"/>
              </w:rPr>
              <w:t>Datos sobre el rendimiento</w:t>
            </w:r>
            <w:r w:rsidR="003E3C19" w:rsidRPr="00F72633">
              <w:rPr>
                <w:rStyle w:val="FootnoteReference"/>
                <w:lang w:val="es-419"/>
              </w:rPr>
              <w:footnoteReference w:id="5"/>
            </w:r>
          </w:p>
        </w:tc>
      </w:tr>
      <w:tr w:rsidR="00B34059" w:rsidRPr="00F72633" w14:paraId="19DF8335" w14:textId="77777777" w:rsidTr="00B34059">
        <w:tc>
          <w:tcPr>
            <w:tcW w:w="1838" w:type="dxa"/>
            <w:vMerge w:val="restart"/>
            <w:tcBorders>
              <w:top w:val="nil"/>
            </w:tcBorders>
            <w:shd w:val="clear" w:color="auto" w:fill="auto"/>
            <w:hideMark/>
          </w:tcPr>
          <w:p w14:paraId="6E53C618" w14:textId="55DFBF02"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1. </w:t>
            </w:r>
            <w:r w:rsidR="009C13BA" w:rsidRPr="00F72633">
              <w:rPr>
                <w:rFonts w:ascii="Arial Narrow" w:eastAsia="Times New Roman" w:hAnsi="Arial Narrow"/>
                <w:sz w:val="18"/>
                <w:szCs w:val="18"/>
                <w:lang w:val="es-419" w:eastAsia="en-US"/>
              </w:rPr>
              <w:t>Gobernanza por el Consejo y el Comité Consultivo de la UPOV, incluida la supervisión de la labor de los comités de la UPOV</w:t>
            </w:r>
          </w:p>
        </w:tc>
        <w:tc>
          <w:tcPr>
            <w:tcW w:w="2977" w:type="dxa"/>
            <w:tcBorders>
              <w:top w:val="nil"/>
            </w:tcBorders>
            <w:shd w:val="clear" w:color="auto" w:fill="auto"/>
            <w:hideMark/>
          </w:tcPr>
          <w:p w14:paraId="1EE389B2" w14:textId="276298B2"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9C13BA" w:rsidRPr="00F72633">
              <w:rPr>
                <w:rFonts w:ascii="Arial Narrow" w:eastAsia="Times New Roman" w:hAnsi="Arial Narrow"/>
                <w:sz w:val="18"/>
                <w:szCs w:val="18"/>
                <w:lang w:val="es-419" w:eastAsia="en-US"/>
              </w:rPr>
              <w:t>Aprobación y supervisión de los programas de trabajo del CAJ, el TC, los TWP y los grupos de trabajo especiales</w:t>
            </w:r>
          </w:p>
        </w:tc>
        <w:tc>
          <w:tcPr>
            <w:tcW w:w="4951" w:type="dxa"/>
            <w:tcBorders>
              <w:top w:val="nil"/>
            </w:tcBorders>
            <w:shd w:val="clear" w:color="auto" w:fill="auto"/>
          </w:tcPr>
          <w:p w14:paraId="1A2638A0" w14:textId="4F1BF1C4" w:rsidR="00B66E20" w:rsidRPr="00F72633" w:rsidRDefault="00AB7A33" w:rsidP="00B66E20">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Realizado: véanse los </w:t>
            </w:r>
            <w:r w:rsidR="00ED6024" w:rsidRPr="00F72633">
              <w:rPr>
                <w:rFonts w:ascii="Arial Narrow" w:eastAsia="Times New Roman" w:hAnsi="Arial Narrow"/>
                <w:sz w:val="18"/>
                <w:szCs w:val="18"/>
                <w:lang w:val="es-419" w:eastAsia="en-US"/>
              </w:rPr>
              <w:t>párrafos 45 </w:t>
            </w:r>
            <w:r w:rsidR="00E35EF8" w:rsidRPr="00F72633">
              <w:rPr>
                <w:rFonts w:ascii="Arial Narrow" w:eastAsia="Times New Roman" w:hAnsi="Arial Narrow"/>
                <w:sz w:val="18"/>
                <w:szCs w:val="18"/>
                <w:lang w:val="es-419" w:eastAsia="en-US"/>
              </w:rPr>
              <w:t>a 50</w:t>
            </w:r>
            <w:r w:rsidR="00ED6024" w:rsidRPr="00F72633">
              <w:rPr>
                <w:rFonts w:ascii="Arial Narrow" w:eastAsia="Times New Roman" w:hAnsi="Arial Narrow"/>
                <w:sz w:val="18"/>
                <w:szCs w:val="18"/>
                <w:lang w:val="es-419" w:eastAsia="en-US"/>
              </w:rPr>
              <w:t> del documento </w:t>
            </w:r>
            <w:r w:rsidRPr="00F72633">
              <w:rPr>
                <w:rFonts w:ascii="Arial Narrow" w:eastAsia="Times New Roman" w:hAnsi="Arial Narrow"/>
                <w:sz w:val="18"/>
                <w:szCs w:val="18"/>
                <w:lang w:val="es-419" w:eastAsia="en-US"/>
              </w:rPr>
              <w:t>C/55/18</w:t>
            </w:r>
            <w:r w:rsidR="00C04F04">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“Informe”.</w:t>
            </w:r>
          </w:p>
          <w:p w14:paraId="47570620" w14:textId="536D53C1" w:rsidR="00B66E20" w:rsidRPr="00F72633" w:rsidRDefault="00AB7A33" w:rsidP="00B66E20">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El Consejo observó que el Comité Consultivo ha decidido crear los órganos siguientes:</w:t>
            </w:r>
          </w:p>
          <w:p w14:paraId="7092D5B6" w14:textId="0FCCC02A" w:rsidR="00B66E20" w:rsidRPr="00F72633" w:rsidRDefault="00B66E20" w:rsidP="005C02E7">
            <w:pPr>
              <w:spacing w:before="60" w:after="60"/>
              <w:ind w:left="182" w:hanging="182"/>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706BAD" w:rsidRPr="00F72633">
              <w:rPr>
                <w:rFonts w:ascii="Arial Narrow" w:eastAsia="Times New Roman" w:hAnsi="Arial Narrow"/>
                <w:sz w:val="18"/>
                <w:szCs w:val="18"/>
                <w:lang w:val="es-419" w:eastAsia="en-US"/>
              </w:rPr>
              <w:t>un</w:t>
            </w:r>
            <w:r w:rsidRPr="00F72633">
              <w:rPr>
                <w:rFonts w:ascii="Arial Narrow" w:eastAsia="Times New Roman" w:hAnsi="Arial Narrow"/>
                <w:sz w:val="18"/>
                <w:szCs w:val="18"/>
                <w:lang w:val="es-419" w:eastAsia="en-US"/>
              </w:rPr>
              <w:t xml:space="preserve"> </w:t>
            </w:r>
            <w:r w:rsidR="00706BAD" w:rsidRPr="00F72633">
              <w:rPr>
                <w:rFonts w:ascii="Arial Narrow" w:eastAsia="Times New Roman" w:hAnsi="Arial Narrow"/>
                <w:sz w:val="18"/>
                <w:szCs w:val="18"/>
                <w:lang w:val="es-419" w:eastAsia="en-US"/>
              </w:rPr>
              <w:t>Grupo de trabajo sobre orientación relativa a los pequeños agricultores en un marco privado y con fines no comerciales</w:t>
            </w:r>
            <w:r w:rsidR="00C04F04">
              <w:rPr>
                <w:rFonts w:ascii="Arial Narrow" w:eastAsia="Times New Roman" w:hAnsi="Arial Narrow"/>
                <w:sz w:val="18"/>
                <w:szCs w:val="18"/>
                <w:lang w:val="es-419" w:eastAsia="en-US"/>
              </w:rPr>
              <w:t xml:space="preserve"> (WG</w:t>
            </w:r>
            <w:r w:rsidR="00C04F04">
              <w:rPr>
                <w:rFonts w:ascii="Arial Narrow" w:eastAsia="Times New Roman" w:hAnsi="Arial Narrow"/>
                <w:sz w:val="18"/>
                <w:szCs w:val="18"/>
                <w:lang w:val="es-419" w:eastAsia="en-US"/>
              </w:rPr>
              <w:noBreakHyphen/>
            </w:r>
            <w:r w:rsidRPr="00F72633">
              <w:rPr>
                <w:rFonts w:ascii="Arial Narrow" w:eastAsia="Times New Roman" w:hAnsi="Arial Narrow"/>
                <w:sz w:val="18"/>
                <w:szCs w:val="18"/>
                <w:lang w:val="es-419" w:eastAsia="en-US"/>
              </w:rPr>
              <w:t xml:space="preserve">SHF) – </w:t>
            </w:r>
            <w:r w:rsidR="00ED6024" w:rsidRPr="00F72633">
              <w:rPr>
                <w:rFonts w:ascii="Arial Narrow" w:eastAsia="Times New Roman" w:hAnsi="Arial Narrow"/>
                <w:sz w:val="18"/>
                <w:szCs w:val="18"/>
                <w:lang w:val="es-419" w:eastAsia="en-US"/>
              </w:rPr>
              <w:t>véase el párrafo </w:t>
            </w:r>
            <w:r w:rsidR="00706BAD" w:rsidRPr="00F72633">
              <w:rPr>
                <w:rFonts w:ascii="Arial Narrow" w:eastAsia="Times New Roman" w:hAnsi="Arial Narrow"/>
                <w:sz w:val="18"/>
                <w:szCs w:val="18"/>
                <w:lang w:val="es-419" w:eastAsia="en-US"/>
              </w:rPr>
              <w:t>19</w:t>
            </w:r>
            <w:r w:rsidR="00ED6024" w:rsidRPr="00F72633">
              <w:rPr>
                <w:rFonts w:ascii="Arial Narrow" w:eastAsia="Times New Roman" w:hAnsi="Arial Narrow"/>
                <w:sz w:val="18"/>
                <w:szCs w:val="18"/>
                <w:lang w:val="es-419" w:eastAsia="en-US"/>
              </w:rPr>
              <w:t> del documento C/55/18 </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Informe</w:t>
            </w:r>
            <w:r w:rsidRPr="00F72633">
              <w:rPr>
                <w:rFonts w:ascii="Arial Narrow" w:eastAsia="Times New Roman" w:hAnsi="Arial Narrow"/>
                <w:sz w:val="18"/>
                <w:szCs w:val="18"/>
                <w:lang w:val="es-419" w:eastAsia="en-US"/>
              </w:rPr>
              <w:t>”;</w:t>
            </w:r>
          </w:p>
          <w:p w14:paraId="4C1D8A06" w14:textId="04BF2EF0" w:rsidR="00B66E20" w:rsidRPr="00F72633" w:rsidRDefault="00B66E20" w:rsidP="005C02E7">
            <w:pPr>
              <w:spacing w:before="60" w:after="60"/>
              <w:ind w:left="182" w:hanging="182"/>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E35EF8" w:rsidRPr="00F72633">
              <w:rPr>
                <w:rFonts w:ascii="Arial Narrow" w:eastAsia="Times New Roman" w:hAnsi="Arial Narrow"/>
                <w:sz w:val="18"/>
                <w:szCs w:val="18"/>
                <w:lang w:val="es-419" w:eastAsia="en-US"/>
              </w:rPr>
              <w:t>un</w:t>
            </w:r>
            <w:r w:rsidRPr="00F72633">
              <w:rPr>
                <w:rFonts w:ascii="Arial Narrow" w:eastAsia="Times New Roman" w:hAnsi="Arial Narrow"/>
                <w:sz w:val="18"/>
                <w:szCs w:val="18"/>
                <w:lang w:val="es-419" w:eastAsia="en-US"/>
              </w:rPr>
              <w:t xml:space="preserve"> </w:t>
            </w:r>
            <w:r w:rsidR="00E35EF8" w:rsidRPr="00F72633">
              <w:rPr>
                <w:rFonts w:ascii="Arial Narrow" w:eastAsia="Times New Roman" w:hAnsi="Arial Narrow"/>
                <w:sz w:val="18"/>
                <w:szCs w:val="18"/>
                <w:lang w:val="es-419" w:eastAsia="en-US"/>
              </w:rPr>
              <w:t>Grupo de Trabajo del Comité Consultivo sobre Variedades Esencialmente Derivadas</w:t>
            </w:r>
            <w:r w:rsidR="00C04F04">
              <w:rPr>
                <w:rFonts w:ascii="Arial Narrow" w:eastAsia="Times New Roman" w:hAnsi="Arial Narrow"/>
                <w:sz w:val="18"/>
                <w:szCs w:val="18"/>
                <w:lang w:val="es-419" w:eastAsia="en-US"/>
              </w:rPr>
              <w:t xml:space="preserve"> (CC/WG</w:t>
            </w:r>
            <w:r w:rsidR="00C04F04">
              <w:rPr>
                <w:rFonts w:ascii="Arial Narrow" w:eastAsia="Times New Roman" w:hAnsi="Arial Narrow"/>
                <w:sz w:val="18"/>
                <w:szCs w:val="18"/>
                <w:lang w:val="es-419" w:eastAsia="en-US"/>
              </w:rPr>
              <w:noBreakHyphen/>
            </w:r>
            <w:r w:rsidRPr="00F72633">
              <w:rPr>
                <w:rFonts w:ascii="Arial Narrow" w:eastAsia="Times New Roman" w:hAnsi="Arial Narrow"/>
                <w:sz w:val="18"/>
                <w:szCs w:val="18"/>
                <w:lang w:val="es-419" w:eastAsia="en-US"/>
              </w:rPr>
              <w:t xml:space="preserve">EDV) – </w:t>
            </w:r>
            <w:r w:rsidR="00ED6024" w:rsidRPr="00F72633">
              <w:rPr>
                <w:rFonts w:ascii="Arial Narrow" w:eastAsia="Times New Roman" w:hAnsi="Arial Narrow"/>
                <w:sz w:val="18"/>
                <w:szCs w:val="18"/>
                <w:lang w:val="es-419" w:eastAsia="en-US"/>
              </w:rPr>
              <w:t>véase el párrafo 33 del documento C/56/15 </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Informe</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w:t>
            </w:r>
          </w:p>
          <w:p w14:paraId="2444D908" w14:textId="46383262" w:rsidR="00B66E20" w:rsidRPr="00F72633" w:rsidRDefault="00B66E20" w:rsidP="005C02E7">
            <w:pPr>
              <w:spacing w:before="60" w:after="60"/>
              <w:ind w:left="182" w:hanging="182"/>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E35EF8" w:rsidRPr="00F72633">
              <w:rPr>
                <w:rFonts w:ascii="Arial Narrow" w:eastAsia="Times New Roman" w:hAnsi="Arial Narrow"/>
                <w:sz w:val="18"/>
                <w:szCs w:val="18"/>
                <w:lang w:val="es-419" w:eastAsia="en-US"/>
              </w:rPr>
              <w:t>u</w:t>
            </w:r>
            <w:r w:rsidRPr="00F72633">
              <w:rPr>
                <w:rFonts w:ascii="Arial Narrow" w:eastAsia="Times New Roman" w:hAnsi="Arial Narrow"/>
                <w:sz w:val="18"/>
                <w:szCs w:val="18"/>
                <w:lang w:val="es-419" w:eastAsia="en-US"/>
              </w:rPr>
              <w:t xml:space="preserve">n </w:t>
            </w:r>
            <w:r w:rsidR="00E35EF8" w:rsidRPr="00F72633">
              <w:rPr>
                <w:rFonts w:ascii="Arial Narrow" w:eastAsia="Times New Roman" w:hAnsi="Arial Narrow"/>
                <w:sz w:val="18"/>
                <w:szCs w:val="18"/>
                <w:lang w:val="es-419" w:eastAsia="en-US"/>
              </w:rPr>
              <w:t xml:space="preserve">Subcomité </w:t>
            </w:r>
            <w:r w:rsidR="00E35EF8" w:rsidRPr="00F72633">
              <w:rPr>
                <w:rFonts w:ascii="Arial Narrow" w:eastAsia="Times New Roman" w:hAnsi="Arial Narrow"/>
                <w:i/>
                <w:sz w:val="18"/>
                <w:szCs w:val="18"/>
                <w:lang w:val="es-419" w:eastAsia="en-US"/>
              </w:rPr>
              <w:t>ad hoc</w:t>
            </w:r>
            <w:r w:rsidR="00E35EF8" w:rsidRPr="00F72633">
              <w:rPr>
                <w:rFonts w:ascii="Arial Narrow" w:eastAsia="Times New Roman" w:hAnsi="Arial Narrow"/>
                <w:sz w:val="18"/>
                <w:szCs w:val="18"/>
                <w:lang w:val="es-419" w:eastAsia="en-US"/>
              </w:rPr>
              <w:t xml:space="preserve"> relativo al procedimiento para el nombramiento del nuevo secretario general adjunto</w:t>
            </w:r>
            <w:r w:rsidRPr="00F72633">
              <w:rPr>
                <w:rFonts w:ascii="Arial Narrow" w:eastAsia="Times New Roman" w:hAnsi="Arial Narrow"/>
                <w:sz w:val="18"/>
                <w:szCs w:val="18"/>
                <w:lang w:val="es-419" w:eastAsia="en-US"/>
              </w:rPr>
              <w:t xml:space="preserve"> – </w:t>
            </w:r>
            <w:r w:rsidR="00ED6024" w:rsidRPr="00F72633">
              <w:rPr>
                <w:rFonts w:ascii="Arial Narrow" w:eastAsia="Times New Roman" w:hAnsi="Arial Narrow"/>
                <w:sz w:val="18"/>
                <w:szCs w:val="18"/>
                <w:lang w:val="es-419" w:eastAsia="en-US"/>
              </w:rPr>
              <w:t>véase el párrafo 15.c)v) </w:t>
            </w:r>
            <w:r w:rsidR="00E35EF8" w:rsidRPr="00F72633">
              <w:rPr>
                <w:rFonts w:ascii="Arial Narrow" w:eastAsia="Times New Roman" w:hAnsi="Arial Narrow"/>
                <w:sz w:val="18"/>
                <w:szCs w:val="18"/>
                <w:lang w:val="es-419" w:eastAsia="en-US"/>
              </w:rPr>
              <w:t>del documento</w:t>
            </w:r>
            <w:r w:rsidR="00ED6024" w:rsidRPr="00F72633">
              <w:rPr>
                <w:rFonts w:ascii="Arial Narrow" w:eastAsia="Times New Roman" w:hAnsi="Arial Narrow"/>
                <w:sz w:val="18"/>
                <w:szCs w:val="18"/>
                <w:lang w:val="es-419" w:eastAsia="en-US"/>
              </w:rPr>
              <w:t> C/56/12 </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Resultado del examen de los documentos por correspondencia”.</w:t>
            </w:r>
          </w:p>
          <w:p w14:paraId="0046BB03" w14:textId="65C376FC" w:rsidR="00B66E20" w:rsidRPr="00F72633" w:rsidRDefault="00156BAC" w:rsidP="00B66E20">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El Consejo observó que el Comité Administrativo y Jurídico ha decidido crear el órgano siguiente:</w:t>
            </w:r>
          </w:p>
          <w:p w14:paraId="348110EC" w14:textId="580B517C" w:rsidR="00B66E20" w:rsidRPr="00F72633" w:rsidRDefault="00B66E20" w:rsidP="005C02E7">
            <w:pPr>
              <w:spacing w:before="60" w:after="60"/>
              <w:ind w:left="182" w:hanging="182"/>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156BAC" w:rsidRPr="00F72633">
              <w:rPr>
                <w:rFonts w:ascii="Arial Narrow" w:eastAsia="Times New Roman" w:hAnsi="Arial Narrow"/>
                <w:sz w:val="18"/>
                <w:szCs w:val="18"/>
                <w:lang w:val="es-419" w:eastAsia="en-US"/>
              </w:rPr>
              <w:t>un Grupo de trabajo sobre el producto de la cosecha y la utilización no autorizada de material de reproducción o de multiplicación</w:t>
            </w:r>
            <w:r w:rsidR="00C04F04">
              <w:rPr>
                <w:rFonts w:ascii="Arial Narrow" w:eastAsia="Times New Roman" w:hAnsi="Arial Narrow"/>
                <w:sz w:val="18"/>
                <w:szCs w:val="18"/>
                <w:lang w:val="es-419" w:eastAsia="en-US"/>
              </w:rPr>
              <w:t xml:space="preserve"> (WG</w:t>
            </w:r>
            <w:r w:rsidR="00C04F04">
              <w:rPr>
                <w:rFonts w:ascii="Arial Narrow" w:eastAsia="Times New Roman" w:hAnsi="Arial Narrow"/>
                <w:sz w:val="18"/>
                <w:szCs w:val="18"/>
                <w:lang w:val="es-419" w:eastAsia="en-US"/>
              </w:rPr>
              <w:noBreakHyphen/>
            </w:r>
            <w:r w:rsidRPr="00F72633">
              <w:rPr>
                <w:rFonts w:ascii="Arial Narrow" w:eastAsia="Times New Roman" w:hAnsi="Arial Narrow"/>
                <w:sz w:val="18"/>
                <w:szCs w:val="18"/>
                <w:lang w:val="es-419" w:eastAsia="en-US"/>
              </w:rPr>
              <w:t xml:space="preserve">HRV) – </w:t>
            </w:r>
            <w:r w:rsidR="00156BAC" w:rsidRPr="00F72633">
              <w:rPr>
                <w:rFonts w:ascii="Arial Narrow" w:eastAsia="Times New Roman" w:hAnsi="Arial Narrow"/>
                <w:sz w:val="18"/>
                <w:szCs w:val="18"/>
                <w:lang w:val="es-419" w:eastAsia="en-US"/>
              </w:rPr>
              <w:t>véase el párrafo</w:t>
            </w:r>
            <w:r w:rsidR="007E21A0" w:rsidRPr="00F72633">
              <w:rPr>
                <w:rFonts w:ascii="Arial Narrow" w:eastAsia="Times New Roman" w:hAnsi="Arial Narrow"/>
                <w:sz w:val="18"/>
                <w:szCs w:val="18"/>
                <w:lang w:val="es-419" w:eastAsia="en-US"/>
              </w:rPr>
              <w:t> </w:t>
            </w:r>
            <w:r w:rsidR="00156BAC" w:rsidRPr="00F72633">
              <w:rPr>
                <w:rFonts w:ascii="Arial Narrow" w:eastAsia="Times New Roman" w:hAnsi="Arial Narrow"/>
                <w:sz w:val="18"/>
                <w:szCs w:val="18"/>
                <w:lang w:val="es-419" w:eastAsia="en-US"/>
              </w:rPr>
              <w:t>24</w:t>
            </w:r>
            <w:r w:rsidR="007E21A0" w:rsidRPr="00F72633">
              <w:rPr>
                <w:rFonts w:ascii="Arial Narrow" w:eastAsia="Times New Roman" w:hAnsi="Arial Narrow"/>
                <w:sz w:val="18"/>
                <w:szCs w:val="18"/>
                <w:lang w:val="es-419" w:eastAsia="en-US"/>
              </w:rPr>
              <w:t> </w:t>
            </w:r>
            <w:r w:rsidR="00156BAC" w:rsidRPr="00F72633">
              <w:rPr>
                <w:rFonts w:ascii="Arial Narrow" w:eastAsia="Times New Roman" w:hAnsi="Arial Narrow"/>
                <w:sz w:val="18"/>
                <w:szCs w:val="18"/>
                <w:lang w:val="es-419" w:eastAsia="en-US"/>
              </w:rPr>
              <w:t>del documento</w:t>
            </w:r>
            <w:r w:rsidR="007E21A0" w:rsidRPr="00F72633">
              <w:rPr>
                <w:rFonts w:ascii="Arial Narrow" w:eastAsia="Times New Roman" w:hAnsi="Arial Narrow"/>
                <w:sz w:val="18"/>
                <w:szCs w:val="18"/>
                <w:lang w:val="es-419" w:eastAsia="en-US"/>
              </w:rPr>
              <w:t> CAJ/78/13</w:t>
            </w:r>
            <w:r w:rsidR="00C04F04">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Informe</w:t>
            </w:r>
            <w:r w:rsidR="00156BAC"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w:t>
            </w:r>
          </w:p>
          <w:p w14:paraId="5672F55E" w14:textId="6CD12B09" w:rsidR="00B66E20" w:rsidRPr="00F72633" w:rsidRDefault="00697F90" w:rsidP="00B66E20">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El Consejo observó que el Comité Técnico ha decidido crear el órgano siguiente:</w:t>
            </w:r>
          </w:p>
          <w:p w14:paraId="133BF1E4" w14:textId="1E00E0FF" w:rsidR="00B66E20" w:rsidRPr="00F72633" w:rsidRDefault="00B66E20" w:rsidP="005C02E7">
            <w:pPr>
              <w:spacing w:before="60" w:after="60"/>
              <w:ind w:left="182" w:hanging="182"/>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697F90" w:rsidRPr="00F72633">
              <w:rPr>
                <w:rFonts w:ascii="Arial Narrow" w:eastAsia="Times New Roman" w:hAnsi="Arial Narrow"/>
                <w:sz w:val="18"/>
                <w:szCs w:val="18"/>
                <w:lang w:val="es-419" w:eastAsia="en-US"/>
              </w:rPr>
              <w:t xml:space="preserve">un Grupo de trabajo sobre asistencia en materia de </w:t>
            </w:r>
            <w:r w:rsidR="007E21A0" w:rsidRPr="00F72633">
              <w:rPr>
                <w:rFonts w:ascii="Arial Narrow" w:eastAsia="Times New Roman" w:hAnsi="Arial Narrow"/>
                <w:sz w:val="18"/>
                <w:szCs w:val="18"/>
                <w:lang w:val="es-419" w:eastAsia="en-US"/>
              </w:rPr>
              <w:t>DHE (WG-DUS) – véase el párrafo 64 </w:t>
            </w:r>
            <w:r w:rsidR="00697F90" w:rsidRPr="00F72633">
              <w:rPr>
                <w:rFonts w:ascii="Arial Narrow" w:eastAsia="Times New Roman" w:hAnsi="Arial Narrow"/>
                <w:sz w:val="18"/>
                <w:szCs w:val="18"/>
                <w:lang w:val="es-419" w:eastAsia="en-US"/>
              </w:rPr>
              <w:t>del</w:t>
            </w:r>
            <w:r w:rsidRPr="00F72633">
              <w:rPr>
                <w:rFonts w:ascii="Arial Narrow" w:eastAsia="Times New Roman" w:hAnsi="Arial Narrow"/>
                <w:sz w:val="18"/>
                <w:szCs w:val="18"/>
                <w:lang w:val="es-419" w:eastAsia="en-US"/>
              </w:rPr>
              <w:t xml:space="preserve"> document</w:t>
            </w:r>
            <w:r w:rsidR="00697F90" w:rsidRPr="00F72633">
              <w:rPr>
                <w:rFonts w:ascii="Arial Narrow" w:eastAsia="Times New Roman" w:hAnsi="Arial Narrow"/>
                <w:sz w:val="18"/>
                <w:szCs w:val="18"/>
                <w:lang w:val="es-419" w:eastAsia="en-US"/>
              </w:rPr>
              <w:t>o</w:t>
            </w:r>
            <w:r w:rsidR="007E21A0" w:rsidRPr="00F72633">
              <w:rPr>
                <w:rFonts w:ascii="Arial Narrow" w:eastAsia="Times New Roman" w:hAnsi="Arial Narrow"/>
                <w:sz w:val="18"/>
                <w:szCs w:val="18"/>
                <w:lang w:val="es-419" w:eastAsia="en-US"/>
              </w:rPr>
              <w:t> TC/58/31 </w:t>
            </w:r>
            <w:r w:rsidRPr="00F72633">
              <w:rPr>
                <w:rFonts w:ascii="Arial Narrow" w:eastAsia="Times New Roman" w:hAnsi="Arial Narrow"/>
                <w:sz w:val="18"/>
                <w:szCs w:val="18"/>
                <w:lang w:val="es-419" w:eastAsia="en-US"/>
              </w:rPr>
              <w:t>“</w:t>
            </w:r>
            <w:r w:rsidR="00E35EF8" w:rsidRPr="00F72633">
              <w:rPr>
                <w:rFonts w:ascii="Arial Narrow" w:eastAsia="Times New Roman" w:hAnsi="Arial Narrow"/>
                <w:sz w:val="18"/>
                <w:szCs w:val="18"/>
                <w:lang w:val="es-419" w:eastAsia="en-US"/>
              </w:rPr>
              <w:t>Informe</w:t>
            </w:r>
            <w:r w:rsidR="00697F90"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w:t>
            </w:r>
          </w:p>
          <w:p w14:paraId="7DBB6A07" w14:textId="2CAD863D" w:rsidR="00B66E20" w:rsidRPr="00F72633" w:rsidRDefault="008D5244" w:rsidP="008D5244">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De conformidad con la recomendación del Comité Consultivo el Consejo convino en organizar un</w:t>
            </w:r>
            <w:r w:rsidR="00B66E20"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Seminario para explorar el papel del fitomejoramiento y la protección de las obtenciones vegetales en la adaptación de la agricultura al cambio climático y en su mitigación</w:t>
            </w:r>
            <w:r w:rsidR="00B66E20"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qu</w:t>
            </w:r>
            <w:r w:rsidR="007E21A0" w:rsidRPr="00F72633">
              <w:rPr>
                <w:rFonts w:ascii="Arial Narrow" w:eastAsia="Times New Roman" w:hAnsi="Arial Narrow"/>
                <w:sz w:val="18"/>
                <w:szCs w:val="18"/>
                <w:lang w:val="es-419" w:eastAsia="en-US"/>
              </w:rPr>
              <w:t>e se celebró los días 11, 12 </w:t>
            </w:r>
            <w:r w:rsidRPr="00F72633">
              <w:rPr>
                <w:rFonts w:ascii="Arial Narrow" w:eastAsia="Times New Roman" w:hAnsi="Arial Narrow"/>
                <w:sz w:val="18"/>
                <w:szCs w:val="18"/>
                <w:lang w:val="es-419" w:eastAsia="en-US"/>
              </w:rPr>
              <w:t>y</w:t>
            </w:r>
            <w:r w:rsidR="007E21A0" w:rsidRPr="00F72633">
              <w:rPr>
                <w:rFonts w:ascii="Arial Narrow" w:eastAsia="Times New Roman" w:hAnsi="Arial Narrow"/>
                <w:sz w:val="18"/>
                <w:szCs w:val="18"/>
                <w:lang w:val="es-419" w:eastAsia="en-US"/>
              </w:rPr>
              <w:t> 26 </w:t>
            </w:r>
            <w:r w:rsidRPr="00F72633">
              <w:rPr>
                <w:rFonts w:ascii="Arial Narrow" w:eastAsia="Times New Roman" w:hAnsi="Arial Narrow"/>
                <w:sz w:val="18"/>
                <w:szCs w:val="18"/>
                <w:lang w:val="es-419" w:eastAsia="en-US"/>
              </w:rPr>
              <w:t>de octubre de</w:t>
            </w:r>
            <w:r w:rsidR="007E21A0" w:rsidRPr="00F72633">
              <w:rPr>
                <w:rFonts w:ascii="Arial Narrow" w:eastAsia="Times New Roman" w:hAnsi="Arial Narrow"/>
                <w:sz w:val="18"/>
                <w:szCs w:val="18"/>
                <w:lang w:val="es-419" w:eastAsia="en-US"/>
              </w:rPr>
              <w:t> </w:t>
            </w:r>
            <w:r w:rsidR="00B66E20" w:rsidRPr="00F72633">
              <w:rPr>
                <w:rFonts w:ascii="Arial Narrow" w:eastAsia="Times New Roman" w:hAnsi="Arial Narrow"/>
                <w:sz w:val="18"/>
                <w:szCs w:val="18"/>
                <w:lang w:val="es-419" w:eastAsia="en-US"/>
              </w:rPr>
              <w:t>2022.</w:t>
            </w:r>
          </w:p>
        </w:tc>
      </w:tr>
      <w:tr w:rsidR="00B34059" w:rsidRPr="00F72633" w14:paraId="58317302" w14:textId="77777777" w:rsidTr="00275D1C">
        <w:tc>
          <w:tcPr>
            <w:tcW w:w="1838" w:type="dxa"/>
            <w:vMerge/>
            <w:shd w:val="clear" w:color="auto" w:fill="auto"/>
          </w:tcPr>
          <w:p w14:paraId="2EB95B0D" w14:textId="77777777" w:rsidR="00B34059" w:rsidRPr="00F72633" w:rsidRDefault="00B34059" w:rsidP="00B34059">
            <w:pPr>
              <w:jc w:val="left"/>
              <w:rPr>
                <w:rFonts w:ascii="Arial Narrow" w:eastAsia="Times New Roman" w:hAnsi="Arial Narrow"/>
                <w:sz w:val="18"/>
                <w:szCs w:val="18"/>
                <w:lang w:val="es-419" w:eastAsia="en-US"/>
              </w:rPr>
            </w:pPr>
          </w:p>
        </w:tc>
        <w:tc>
          <w:tcPr>
            <w:tcW w:w="2977" w:type="dxa"/>
            <w:tcBorders>
              <w:top w:val="nil"/>
            </w:tcBorders>
            <w:shd w:val="clear" w:color="auto" w:fill="auto"/>
          </w:tcPr>
          <w:p w14:paraId="17E6D08D" w14:textId="599B7173" w:rsidR="00B34059" w:rsidRPr="00F72633" w:rsidRDefault="00B34059" w:rsidP="009C13BA">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9C13BA" w:rsidRPr="00F72633">
              <w:rPr>
                <w:rFonts w:ascii="Arial Narrow" w:eastAsia="Times New Roman" w:hAnsi="Arial Narrow"/>
                <w:sz w:val="18"/>
                <w:szCs w:val="18"/>
                <w:lang w:val="es-419" w:eastAsia="en-US"/>
              </w:rPr>
              <w:t>Aprobación del Programa y Presupuesto</w:t>
            </w:r>
          </w:p>
        </w:tc>
        <w:tc>
          <w:tcPr>
            <w:tcW w:w="4951" w:type="dxa"/>
            <w:tcBorders>
              <w:top w:val="nil"/>
            </w:tcBorders>
            <w:shd w:val="clear" w:color="auto" w:fill="auto"/>
          </w:tcPr>
          <w:p w14:paraId="0CDB6800" w14:textId="06BE8E80" w:rsidR="00B34059" w:rsidRPr="00F72633" w:rsidRDefault="007B1E76" w:rsidP="007B1E76">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El Consejo examinará el proyecto de Progra</w:t>
            </w:r>
            <w:r w:rsidR="007E21A0" w:rsidRPr="00F72633">
              <w:rPr>
                <w:rFonts w:ascii="Arial Narrow" w:eastAsia="Times New Roman" w:hAnsi="Arial Narrow"/>
                <w:sz w:val="18"/>
                <w:szCs w:val="18"/>
                <w:lang w:val="es-419" w:eastAsia="en-US"/>
              </w:rPr>
              <w:t>ma y Presupuesto para el bienio 2024</w:t>
            </w:r>
            <w:r w:rsidR="007E21A0" w:rsidRPr="00F72633">
              <w:rPr>
                <w:rFonts w:ascii="Arial Narrow" w:eastAsia="Times New Roman" w:hAnsi="Arial Narrow"/>
                <w:sz w:val="18"/>
                <w:szCs w:val="18"/>
                <w:lang w:val="es-419" w:eastAsia="en-US"/>
              </w:rPr>
              <w:noBreakHyphen/>
              <w:t>2025 en octubre de </w:t>
            </w:r>
            <w:r w:rsidRPr="00F72633">
              <w:rPr>
                <w:rFonts w:ascii="Arial Narrow" w:eastAsia="Times New Roman" w:hAnsi="Arial Narrow"/>
                <w:sz w:val="18"/>
                <w:szCs w:val="18"/>
                <w:lang w:val="es-419" w:eastAsia="en-US"/>
              </w:rPr>
              <w:t>2023</w:t>
            </w:r>
            <w:r w:rsidR="007E21A0" w:rsidRPr="00F72633">
              <w:rPr>
                <w:rFonts w:ascii="Arial Narrow" w:eastAsia="Times New Roman" w:hAnsi="Arial Narrow"/>
                <w:sz w:val="18"/>
                <w:szCs w:val="18"/>
                <w:lang w:val="es-419" w:eastAsia="en-US"/>
              </w:rPr>
              <w:t> </w:t>
            </w:r>
            <w:r w:rsidR="00361EE2"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véase el documento</w:t>
            </w:r>
            <w:r w:rsidR="007E21A0" w:rsidRPr="00F72633">
              <w:rPr>
                <w:rFonts w:ascii="Arial Narrow" w:eastAsia="Times New Roman" w:hAnsi="Arial Narrow"/>
                <w:sz w:val="18"/>
                <w:szCs w:val="18"/>
                <w:lang w:val="es-419" w:eastAsia="en-US"/>
              </w:rPr>
              <w:t> </w:t>
            </w:r>
            <w:r w:rsidR="00361EE2" w:rsidRPr="00F72633">
              <w:rPr>
                <w:rFonts w:ascii="Arial Narrow" w:eastAsia="Times New Roman" w:hAnsi="Arial Narrow"/>
                <w:sz w:val="18"/>
                <w:szCs w:val="18"/>
                <w:lang w:val="es-419" w:eastAsia="en-US"/>
              </w:rPr>
              <w:t>C/57/4)</w:t>
            </w:r>
          </w:p>
        </w:tc>
      </w:tr>
      <w:tr w:rsidR="00B34059" w:rsidRPr="00F72633" w14:paraId="38A922AE" w14:textId="77777777" w:rsidTr="00275D1C">
        <w:tc>
          <w:tcPr>
            <w:tcW w:w="1838" w:type="dxa"/>
            <w:vMerge/>
            <w:shd w:val="clear" w:color="auto" w:fill="auto"/>
          </w:tcPr>
          <w:p w14:paraId="7C15F79A" w14:textId="77777777" w:rsidR="00B34059" w:rsidRPr="00F72633" w:rsidRDefault="00B34059" w:rsidP="00B34059">
            <w:pPr>
              <w:jc w:val="left"/>
              <w:rPr>
                <w:rFonts w:ascii="Arial Narrow" w:eastAsia="Times New Roman" w:hAnsi="Arial Narrow"/>
                <w:sz w:val="18"/>
                <w:szCs w:val="18"/>
                <w:lang w:val="es-419" w:eastAsia="en-US"/>
              </w:rPr>
            </w:pPr>
          </w:p>
        </w:tc>
        <w:tc>
          <w:tcPr>
            <w:tcW w:w="2977" w:type="dxa"/>
            <w:tcBorders>
              <w:top w:val="nil"/>
            </w:tcBorders>
            <w:shd w:val="clear" w:color="auto" w:fill="auto"/>
          </w:tcPr>
          <w:p w14:paraId="71C8D404" w14:textId="38DBDC00"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 </w:t>
            </w:r>
            <w:r w:rsidR="009C13BA" w:rsidRPr="00F72633">
              <w:rPr>
                <w:rFonts w:ascii="Arial Narrow" w:eastAsia="Times New Roman" w:hAnsi="Arial Narrow"/>
                <w:sz w:val="18"/>
                <w:szCs w:val="18"/>
                <w:lang w:val="es-419" w:eastAsia="en-US"/>
              </w:rPr>
              <w:t>Aprobación de los estados financieros</w:t>
            </w:r>
          </w:p>
        </w:tc>
        <w:tc>
          <w:tcPr>
            <w:tcW w:w="4951" w:type="dxa"/>
            <w:tcBorders>
              <w:top w:val="nil"/>
            </w:tcBorders>
            <w:shd w:val="clear" w:color="auto" w:fill="auto"/>
          </w:tcPr>
          <w:p w14:paraId="407A8E12" w14:textId="5D0904B5" w:rsidR="00B34059" w:rsidRPr="00F72633" w:rsidRDefault="007B1E76" w:rsidP="00B66E20">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Realizado: véase el documento</w:t>
            </w:r>
            <w:r w:rsidR="007E21A0" w:rsidRPr="00F72633">
              <w:rPr>
                <w:rFonts w:ascii="Arial Narrow" w:eastAsia="Times New Roman" w:hAnsi="Arial Narrow"/>
                <w:sz w:val="18"/>
                <w:szCs w:val="18"/>
                <w:lang w:val="es-419" w:eastAsia="en-US"/>
              </w:rPr>
              <w:t> C/56/4 </w:t>
            </w:r>
            <w:r w:rsidR="00B66E20" w:rsidRPr="00F72633">
              <w:rPr>
                <w:rFonts w:ascii="Arial Narrow" w:eastAsia="Times New Roman" w:hAnsi="Arial Narrow"/>
                <w:sz w:val="18"/>
                <w:szCs w:val="18"/>
                <w:lang w:val="es-419" w:eastAsia="en-US"/>
              </w:rPr>
              <w:t>“</w:t>
            </w:r>
            <w:r w:rsidR="007E21A0" w:rsidRPr="00F72633">
              <w:rPr>
                <w:rFonts w:ascii="Arial Narrow" w:eastAsia="Times New Roman" w:hAnsi="Arial Narrow"/>
                <w:sz w:val="18"/>
                <w:szCs w:val="18"/>
                <w:lang w:val="es-419" w:eastAsia="en-US"/>
              </w:rPr>
              <w:t>Estados financieros de </w:t>
            </w:r>
            <w:r w:rsidRPr="00F72633">
              <w:rPr>
                <w:rFonts w:ascii="Arial Narrow" w:eastAsia="Times New Roman" w:hAnsi="Arial Narrow"/>
                <w:sz w:val="18"/>
                <w:szCs w:val="18"/>
                <w:lang w:val="es-419" w:eastAsia="en-US"/>
              </w:rPr>
              <w:t>2021</w:t>
            </w:r>
            <w:r w:rsidR="00B66E20" w:rsidRPr="00F72633">
              <w:rPr>
                <w:rFonts w:ascii="Arial Narrow" w:eastAsia="Times New Roman" w:hAnsi="Arial Narrow"/>
                <w:sz w:val="18"/>
                <w:szCs w:val="18"/>
                <w:lang w:val="es-419" w:eastAsia="en-US"/>
              </w:rPr>
              <w:t>”</w:t>
            </w:r>
          </w:p>
        </w:tc>
      </w:tr>
      <w:tr w:rsidR="00B34059" w:rsidRPr="00F72633" w14:paraId="1E61C45E" w14:textId="77777777" w:rsidTr="00275D1C">
        <w:tc>
          <w:tcPr>
            <w:tcW w:w="1838" w:type="dxa"/>
            <w:vMerge/>
            <w:shd w:val="clear" w:color="auto" w:fill="auto"/>
          </w:tcPr>
          <w:p w14:paraId="4BA43464" w14:textId="77777777" w:rsidR="00B34059" w:rsidRPr="00F72633" w:rsidRDefault="00B34059" w:rsidP="00B34059">
            <w:pPr>
              <w:jc w:val="left"/>
              <w:rPr>
                <w:rFonts w:ascii="Arial Narrow" w:eastAsia="Times New Roman" w:hAnsi="Arial Narrow"/>
                <w:sz w:val="18"/>
                <w:szCs w:val="18"/>
                <w:lang w:val="es-419" w:eastAsia="en-US"/>
              </w:rPr>
            </w:pPr>
          </w:p>
        </w:tc>
        <w:tc>
          <w:tcPr>
            <w:tcW w:w="2977" w:type="dxa"/>
            <w:tcBorders>
              <w:top w:val="nil"/>
            </w:tcBorders>
            <w:shd w:val="clear" w:color="auto" w:fill="auto"/>
          </w:tcPr>
          <w:p w14:paraId="757ACF98" w14:textId="4349052F"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d) </w:t>
            </w:r>
            <w:r w:rsidR="009C13BA" w:rsidRPr="00F72633">
              <w:rPr>
                <w:rFonts w:ascii="Arial Narrow" w:eastAsia="Times New Roman" w:hAnsi="Arial Narrow"/>
                <w:sz w:val="18"/>
                <w:szCs w:val="18"/>
                <w:lang w:val="es-419" w:eastAsia="en-US"/>
              </w:rPr>
              <w:t>Aprobación del informe sobre el rendimiento de la UPOV</w:t>
            </w:r>
          </w:p>
        </w:tc>
        <w:tc>
          <w:tcPr>
            <w:tcW w:w="4951" w:type="dxa"/>
            <w:tcBorders>
              <w:top w:val="nil"/>
            </w:tcBorders>
            <w:shd w:val="clear" w:color="auto" w:fill="auto"/>
          </w:tcPr>
          <w:p w14:paraId="037AF04F" w14:textId="4629D172" w:rsidR="00B34059" w:rsidRPr="00F72633" w:rsidRDefault="004E02E2" w:rsidP="007E21A0">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D</w:t>
            </w:r>
            <w:r w:rsidR="00B66E20" w:rsidRPr="00F72633">
              <w:rPr>
                <w:rFonts w:ascii="Arial Narrow" w:eastAsia="Times New Roman" w:hAnsi="Arial Narrow"/>
                <w:sz w:val="18"/>
                <w:szCs w:val="18"/>
                <w:lang w:val="es-419" w:eastAsia="en-US"/>
              </w:rPr>
              <w:t>ocument</w:t>
            </w:r>
            <w:r w:rsidR="007B1E76" w:rsidRPr="00F72633">
              <w:rPr>
                <w:rFonts w:ascii="Arial Narrow" w:eastAsia="Times New Roman" w:hAnsi="Arial Narrow"/>
                <w:sz w:val="18"/>
                <w:szCs w:val="18"/>
                <w:lang w:val="es-419" w:eastAsia="en-US"/>
              </w:rPr>
              <w:t>o</w:t>
            </w:r>
            <w:r w:rsidR="007E21A0" w:rsidRPr="00F72633">
              <w:rPr>
                <w:rFonts w:ascii="Arial Narrow" w:eastAsia="Times New Roman" w:hAnsi="Arial Narrow"/>
                <w:sz w:val="18"/>
                <w:szCs w:val="18"/>
                <w:lang w:val="es-419" w:eastAsia="en-US"/>
              </w:rPr>
              <w:t> </w:t>
            </w:r>
            <w:r w:rsidR="00B66E20" w:rsidRPr="00F72633">
              <w:rPr>
                <w:rFonts w:ascii="Arial Narrow" w:eastAsia="Times New Roman" w:hAnsi="Arial Narrow"/>
                <w:sz w:val="18"/>
                <w:szCs w:val="18"/>
                <w:lang w:val="es-419" w:eastAsia="en-US"/>
              </w:rPr>
              <w:t>C/56/2</w:t>
            </w:r>
            <w:r w:rsidR="007E21A0" w:rsidRPr="00F72633">
              <w:rPr>
                <w:rFonts w:ascii="Arial Narrow" w:eastAsia="Times New Roman" w:hAnsi="Arial Narrow"/>
                <w:sz w:val="18"/>
                <w:szCs w:val="18"/>
                <w:lang w:val="es-419" w:eastAsia="en-US"/>
              </w:rPr>
              <w:t> </w:t>
            </w:r>
            <w:r w:rsidR="00B66E20" w:rsidRPr="00F72633">
              <w:rPr>
                <w:rFonts w:ascii="Arial Narrow" w:eastAsia="Times New Roman" w:hAnsi="Arial Narrow"/>
                <w:sz w:val="18"/>
                <w:szCs w:val="18"/>
                <w:lang w:val="es-419" w:eastAsia="en-US"/>
              </w:rPr>
              <w:t>“</w:t>
            </w:r>
            <w:r w:rsidR="007B1E76" w:rsidRPr="00F72633">
              <w:rPr>
                <w:rFonts w:ascii="Arial Narrow" w:eastAsia="Times New Roman" w:hAnsi="Arial Narrow"/>
                <w:sz w:val="18"/>
                <w:szCs w:val="18"/>
                <w:lang w:val="es-419" w:eastAsia="en-US"/>
              </w:rPr>
              <w:t>Informe sob</w:t>
            </w:r>
            <w:r w:rsidR="007E21A0" w:rsidRPr="00F72633">
              <w:rPr>
                <w:rFonts w:ascii="Arial Narrow" w:eastAsia="Times New Roman" w:hAnsi="Arial Narrow"/>
                <w:sz w:val="18"/>
                <w:szCs w:val="18"/>
                <w:lang w:val="es-419" w:eastAsia="en-US"/>
              </w:rPr>
              <w:t>re el rendimiento de la UPOV en </w:t>
            </w:r>
            <w:r w:rsidR="007B1E76" w:rsidRPr="00F72633">
              <w:rPr>
                <w:rFonts w:ascii="Arial Narrow" w:eastAsia="Times New Roman" w:hAnsi="Arial Narrow"/>
                <w:sz w:val="18"/>
                <w:szCs w:val="18"/>
                <w:lang w:val="es-419" w:eastAsia="en-US"/>
              </w:rPr>
              <w:t>2020</w:t>
            </w:r>
            <w:r w:rsidR="007E21A0" w:rsidRPr="00F72633">
              <w:rPr>
                <w:rFonts w:ascii="Arial Narrow" w:eastAsia="Times New Roman" w:hAnsi="Arial Narrow"/>
                <w:sz w:val="18"/>
                <w:szCs w:val="18"/>
                <w:lang w:val="es-419" w:eastAsia="en-US"/>
              </w:rPr>
              <w:noBreakHyphen/>
            </w:r>
            <w:r w:rsidR="007B1E76" w:rsidRPr="00F72633">
              <w:rPr>
                <w:rFonts w:ascii="Arial Narrow" w:eastAsia="Times New Roman" w:hAnsi="Arial Narrow"/>
                <w:sz w:val="18"/>
                <w:szCs w:val="18"/>
                <w:lang w:val="es-419" w:eastAsia="en-US"/>
              </w:rPr>
              <w:t>2021</w:t>
            </w:r>
            <w:r w:rsidR="00B66E20" w:rsidRPr="00F72633">
              <w:rPr>
                <w:rFonts w:ascii="Arial Narrow" w:eastAsia="Times New Roman" w:hAnsi="Arial Narrow"/>
                <w:sz w:val="18"/>
                <w:szCs w:val="18"/>
                <w:lang w:val="es-419" w:eastAsia="en-US"/>
              </w:rPr>
              <w:t>”</w:t>
            </w:r>
          </w:p>
        </w:tc>
      </w:tr>
      <w:tr w:rsidR="00B34059" w:rsidRPr="00F72633" w14:paraId="5997D29E" w14:textId="77777777" w:rsidTr="00B34059">
        <w:tc>
          <w:tcPr>
            <w:tcW w:w="1838" w:type="dxa"/>
            <w:vMerge w:val="restart"/>
            <w:shd w:val="clear" w:color="auto" w:fill="auto"/>
            <w:hideMark/>
          </w:tcPr>
          <w:p w14:paraId="27B7106F" w14:textId="5BF06D32"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2. </w:t>
            </w:r>
            <w:r w:rsidR="009C13BA" w:rsidRPr="00F72633">
              <w:rPr>
                <w:rFonts w:ascii="Arial Narrow" w:eastAsia="Times New Roman" w:hAnsi="Arial Narrow"/>
                <w:sz w:val="18"/>
                <w:szCs w:val="18"/>
                <w:lang w:val="es-419" w:eastAsia="en-US"/>
              </w:rPr>
              <w:t>Examen de la conformidad de leyes o proye</w:t>
            </w:r>
            <w:r w:rsidR="007E21A0" w:rsidRPr="00F72633">
              <w:rPr>
                <w:rFonts w:ascii="Arial Narrow" w:eastAsia="Times New Roman" w:hAnsi="Arial Narrow"/>
                <w:sz w:val="18"/>
                <w:szCs w:val="18"/>
                <w:lang w:val="es-419" w:eastAsia="en-US"/>
              </w:rPr>
              <w:t xml:space="preserve">ctos de ley con el Acta de 1991 </w:t>
            </w:r>
            <w:r w:rsidR="009C13BA" w:rsidRPr="00F72633">
              <w:rPr>
                <w:rFonts w:ascii="Arial Narrow" w:eastAsia="Times New Roman" w:hAnsi="Arial Narrow"/>
                <w:sz w:val="18"/>
                <w:szCs w:val="18"/>
                <w:lang w:val="es-419" w:eastAsia="en-US"/>
              </w:rPr>
              <w:t>del Convenio de la UPOV</w:t>
            </w:r>
          </w:p>
        </w:tc>
        <w:tc>
          <w:tcPr>
            <w:tcW w:w="2977" w:type="dxa"/>
            <w:shd w:val="clear" w:color="auto" w:fill="auto"/>
            <w:hideMark/>
          </w:tcPr>
          <w:p w14:paraId="34FE3456" w14:textId="4FD94ACE"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9C13BA" w:rsidRPr="00F72633">
              <w:rPr>
                <w:rFonts w:ascii="Arial Narrow" w:eastAsia="Times New Roman" w:hAnsi="Arial Narrow"/>
                <w:sz w:val="18"/>
                <w:szCs w:val="18"/>
                <w:lang w:val="es-419" w:eastAsia="en-US"/>
              </w:rPr>
              <w:t>Recomendaciones formuladas por el Comité Consultivo</w:t>
            </w:r>
          </w:p>
        </w:tc>
        <w:tc>
          <w:tcPr>
            <w:tcW w:w="4951" w:type="dxa"/>
            <w:shd w:val="clear" w:color="auto" w:fill="auto"/>
          </w:tcPr>
          <w:p w14:paraId="172AA20F" w14:textId="03E593CD" w:rsidR="00B34059" w:rsidRPr="00F72633" w:rsidRDefault="007B1E76" w:rsidP="007B1E76">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Véase el apartado </w:t>
            </w:r>
            <w:r w:rsidR="00B66E20" w:rsidRPr="00F72633">
              <w:rPr>
                <w:rFonts w:ascii="Arial Narrow" w:eastAsia="Times New Roman" w:hAnsi="Arial Narrow"/>
                <w:sz w:val="18"/>
                <w:szCs w:val="18"/>
                <w:lang w:val="es-419" w:eastAsia="en-US"/>
              </w:rPr>
              <w:t>b)</w:t>
            </w:r>
          </w:p>
        </w:tc>
      </w:tr>
      <w:tr w:rsidR="00B34059" w:rsidRPr="00F72633" w14:paraId="1C95E73C" w14:textId="77777777" w:rsidTr="00B34059">
        <w:tc>
          <w:tcPr>
            <w:tcW w:w="1838" w:type="dxa"/>
            <w:vMerge/>
            <w:hideMark/>
          </w:tcPr>
          <w:p w14:paraId="3077E7F1" w14:textId="77777777" w:rsidR="00B34059" w:rsidRPr="00F72633" w:rsidRDefault="00B34059" w:rsidP="00B34059">
            <w:pPr>
              <w:jc w:val="left"/>
              <w:rPr>
                <w:rFonts w:ascii="Arial Narrow" w:eastAsia="Times New Roman" w:hAnsi="Arial Narrow"/>
                <w:sz w:val="18"/>
                <w:szCs w:val="18"/>
                <w:lang w:val="es-419" w:eastAsia="en-US"/>
              </w:rPr>
            </w:pPr>
          </w:p>
        </w:tc>
        <w:tc>
          <w:tcPr>
            <w:tcW w:w="2977" w:type="dxa"/>
            <w:shd w:val="clear" w:color="auto" w:fill="auto"/>
            <w:hideMark/>
          </w:tcPr>
          <w:p w14:paraId="0309DBA6" w14:textId="04166037"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9C13BA" w:rsidRPr="00F72633">
              <w:rPr>
                <w:rFonts w:ascii="Arial Narrow" w:eastAsia="Times New Roman" w:hAnsi="Arial Narrow"/>
                <w:sz w:val="18"/>
                <w:szCs w:val="18"/>
                <w:lang w:val="es-419" w:eastAsia="en-US"/>
              </w:rPr>
              <w:t>Decisiones del Consejo</w:t>
            </w:r>
          </w:p>
        </w:tc>
        <w:tc>
          <w:tcPr>
            <w:tcW w:w="4951" w:type="dxa"/>
            <w:shd w:val="clear" w:color="auto" w:fill="auto"/>
          </w:tcPr>
          <w:p w14:paraId="2C3C33A4" w14:textId="2031BA43" w:rsidR="00B34059" w:rsidRPr="00F72633" w:rsidRDefault="007B1E76" w:rsidP="007B1E76">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Basándose en la recomendación del Comité Consultivo, el Consejo adoptó una decisión favorable respecto de la conformidad del</w:t>
            </w:r>
            <w:r w:rsidR="00B66E20"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proyecto de Ley para la Protección de las Obtenciones Vegetales de Armenia</w:t>
            </w:r>
            <w:r w:rsidR="00B66E20" w:rsidRPr="00F72633">
              <w:rPr>
                <w:rFonts w:ascii="Arial Narrow" w:eastAsia="Times New Roman" w:hAnsi="Arial Narrow"/>
                <w:sz w:val="18"/>
                <w:szCs w:val="18"/>
                <w:lang w:val="es-419" w:eastAsia="en-US"/>
              </w:rPr>
              <w:t>.</w:t>
            </w:r>
          </w:p>
        </w:tc>
      </w:tr>
      <w:tr w:rsidR="00B34059" w:rsidRPr="00F72633" w14:paraId="33A54323" w14:textId="77777777" w:rsidTr="005C02E7">
        <w:trPr>
          <w:cantSplit/>
        </w:trPr>
        <w:tc>
          <w:tcPr>
            <w:tcW w:w="1838" w:type="dxa"/>
            <w:vMerge w:val="restart"/>
            <w:shd w:val="clear" w:color="auto" w:fill="auto"/>
            <w:hideMark/>
          </w:tcPr>
          <w:p w14:paraId="3DD4AC4F" w14:textId="02862B86"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lastRenderedPageBreak/>
              <w:t xml:space="preserve">3. </w:t>
            </w:r>
            <w:r w:rsidR="009C13BA" w:rsidRPr="00F72633">
              <w:rPr>
                <w:rFonts w:ascii="Arial Narrow" w:eastAsia="Times New Roman" w:hAnsi="Arial Narrow"/>
                <w:sz w:val="18"/>
                <w:szCs w:val="18"/>
                <w:lang w:val="es-419" w:eastAsia="en-US"/>
              </w:rPr>
              <w:t>Examen de la situación relativa a las solicitudes y la concesión de derechos de obtentor</w:t>
            </w:r>
          </w:p>
        </w:tc>
        <w:tc>
          <w:tcPr>
            <w:tcW w:w="2977" w:type="dxa"/>
            <w:shd w:val="clear" w:color="auto" w:fill="auto"/>
            <w:hideMark/>
          </w:tcPr>
          <w:p w14:paraId="22E31F6E" w14:textId="0A86275A"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a) </w:t>
            </w:r>
            <w:r w:rsidR="009C13BA" w:rsidRPr="00F72633">
              <w:rPr>
                <w:rFonts w:ascii="Arial Narrow" w:hAnsi="Arial Narrow"/>
                <w:sz w:val="18"/>
                <w:lang w:val="es-419"/>
              </w:rPr>
              <w:t>Número de solicitudes</w:t>
            </w:r>
          </w:p>
        </w:tc>
        <w:tc>
          <w:tcPr>
            <w:tcW w:w="4951" w:type="dxa"/>
            <w:shd w:val="clear" w:color="auto" w:fill="auto"/>
          </w:tcPr>
          <w:p w14:paraId="7E39726F" w14:textId="270BD899" w:rsidR="00C6596B" w:rsidRPr="00F72633" w:rsidRDefault="00166423" w:rsidP="00C6596B">
            <w:pPr>
              <w:jc w:val="left"/>
              <w:rPr>
                <w:rFonts w:ascii="Arial Narrow" w:eastAsia="Times New Roman" w:hAnsi="Arial Narrow"/>
                <w:sz w:val="18"/>
                <w:szCs w:val="18"/>
                <w:lang w:val="es-419" w:eastAsia="en-US"/>
              </w:rPr>
            </w:pPr>
            <w:r w:rsidRPr="00F72633">
              <w:rPr>
                <w:rFonts w:ascii="Arial Narrow" w:hAnsi="Arial Narrow"/>
                <w:sz w:val="18"/>
                <w:lang w:val="es-419"/>
              </w:rPr>
              <w:t>Número de solicitudes de derechos de obtentor</w:t>
            </w:r>
            <w:r w:rsidR="00C6596B" w:rsidRPr="00F72633">
              <w:rPr>
                <w:rFonts w:ascii="Arial Narrow" w:eastAsia="Times New Roman" w:hAnsi="Arial Narrow"/>
                <w:sz w:val="18"/>
                <w:szCs w:val="18"/>
                <w:lang w:val="es-419" w:eastAsia="en-US"/>
              </w:rPr>
              <w:t>:</w:t>
            </w:r>
          </w:p>
          <w:p w14:paraId="7CE8045B" w14:textId="5A08DFAF" w:rsidR="00C6596B" w:rsidRPr="00F72633" w:rsidRDefault="00C6596B" w:rsidP="00C6596B">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Total: 25</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135 (2021)</w:t>
            </w:r>
          </w:p>
          <w:p w14:paraId="6BFC16F5" w14:textId="4C524D4E" w:rsidR="00C6596B" w:rsidRPr="00F72633" w:rsidRDefault="00166423" w:rsidP="00C6596B">
            <w:pPr>
              <w:pStyle w:val="ListParagraph"/>
              <w:numPr>
                <w:ilvl w:val="0"/>
                <w:numId w:val="10"/>
              </w:numPr>
              <w:jc w:val="left"/>
              <w:rPr>
                <w:rFonts w:ascii="Arial Narrow" w:hAnsi="Arial Narrow"/>
                <w:sz w:val="18"/>
                <w:szCs w:val="18"/>
                <w:lang w:val="es-419"/>
              </w:rPr>
            </w:pPr>
            <w:r w:rsidRPr="00F72633">
              <w:rPr>
                <w:rFonts w:ascii="Arial Narrow" w:hAnsi="Arial Narrow"/>
                <w:sz w:val="18"/>
                <w:lang w:val="es-419"/>
              </w:rPr>
              <w:t>Presentadas por residentes</w:t>
            </w:r>
            <w:r w:rsidR="00C6596B" w:rsidRPr="00F72633">
              <w:rPr>
                <w:rFonts w:ascii="Arial Narrow" w:hAnsi="Arial Narrow"/>
                <w:sz w:val="18"/>
                <w:szCs w:val="18"/>
                <w:lang w:val="es-419"/>
              </w:rPr>
              <w:t>: 18</w:t>
            </w:r>
            <w:r w:rsidR="00874D41" w:rsidRPr="00F72633">
              <w:rPr>
                <w:rFonts w:ascii="Arial Narrow" w:hAnsi="Arial Narrow"/>
                <w:sz w:val="18"/>
                <w:szCs w:val="18"/>
                <w:lang w:val="es-419"/>
              </w:rPr>
              <w:t> </w:t>
            </w:r>
            <w:r w:rsidR="00C6596B" w:rsidRPr="00F72633">
              <w:rPr>
                <w:rFonts w:ascii="Arial Narrow" w:hAnsi="Arial Narrow"/>
                <w:sz w:val="18"/>
                <w:szCs w:val="18"/>
                <w:lang w:val="es-419"/>
              </w:rPr>
              <w:t>910 (2021)</w:t>
            </w:r>
          </w:p>
          <w:p w14:paraId="4109B79B" w14:textId="7F21BBF4" w:rsidR="00C6596B" w:rsidRPr="00F72633" w:rsidRDefault="00166423" w:rsidP="00C6596B">
            <w:pPr>
              <w:pStyle w:val="ListParagraph"/>
              <w:numPr>
                <w:ilvl w:val="0"/>
                <w:numId w:val="10"/>
              </w:numPr>
              <w:jc w:val="left"/>
              <w:rPr>
                <w:rFonts w:ascii="Arial Narrow" w:hAnsi="Arial Narrow"/>
                <w:sz w:val="18"/>
                <w:szCs w:val="18"/>
                <w:lang w:val="es-419"/>
              </w:rPr>
            </w:pPr>
            <w:r w:rsidRPr="00F72633">
              <w:rPr>
                <w:rFonts w:ascii="Arial Narrow" w:hAnsi="Arial Narrow"/>
                <w:sz w:val="18"/>
                <w:lang w:val="es-419"/>
              </w:rPr>
              <w:t>Presentadas por no residentes</w:t>
            </w:r>
            <w:r w:rsidR="00C6596B" w:rsidRPr="00F72633">
              <w:rPr>
                <w:rFonts w:ascii="Arial Narrow" w:hAnsi="Arial Narrow"/>
                <w:sz w:val="18"/>
                <w:szCs w:val="18"/>
                <w:lang w:val="es-419"/>
              </w:rPr>
              <w:t>: 6</w:t>
            </w:r>
            <w:r w:rsidR="00874D41" w:rsidRPr="00F72633">
              <w:rPr>
                <w:rFonts w:ascii="Arial Narrow" w:hAnsi="Arial Narrow"/>
                <w:sz w:val="18"/>
                <w:szCs w:val="18"/>
                <w:lang w:val="es-419"/>
              </w:rPr>
              <w:t> </w:t>
            </w:r>
            <w:r w:rsidR="00C6596B" w:rsidRPr="00F72633">
              <w:rPr>
                <w:rFonts w:ascii="Arial Narrow" w:hAnsi="Arial Narrow"/>
                <w:sz w:val="18"/>
                <w:szCs w:val="18"/>
                <w:lang w:val="es-419"/>
              </w:rPr>
              <w:t>225 (2021)</w:t>
            </w:r>
          </w:p>
          <w:p w14:paraId="2CD57FDD" w14:textId="77777777" w:rsidR="00C6596B" w:rsidRPr="00F72633" w:rsidRDefault="00C6596B" w:rsidP="00C6596B">
            <w:pPr>
              <w:pStyle w:val="ListParagraph"/>
              <w:jc w:val="left"/>
              <w:rPr>
                <w:rFonts w:ascii="Arial Narrow" w:hAnsi="Arial Narrow"/>
                <w:sz w:val="18"/>
                <w:szCs w:val="18"/>
                <w:lang w:val="es-419"/>
              </w:rPr>
            </w:pPr>
          </w:p>
          <w:p w14:paraId="159710DD" w14:textId="3E55A803"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Asia y el Pacífico</w:t>
            </w:r>
            <w:r w:rsidR="00C6596B" w:rsidRPr="00F72633">
              <w:rPr>
                <w:rFonts w:ascii="Arial Narrow" w:hAnsi="Arial Narrow"/>
                <w:sz w:val="18"/>
                <w:szCs w:val="18"/>
                <w:lang w:val="es-419"/>
              </w:rPr>
              <w:t>: 13</w:t>
            </w:r>
            <w:r w:rsidR="00874D41" w:rsidRPr="00F72633">
              <w:rPr>
                <w:rFonts w:ascii="Arial Narrow" w:hAnsi="Arial Narrow"/>
                <w:sz w:val="18"/>
                <w:szCs w:val="18"/>
                <w:lang w:val="es-419"/>
              </w:rPr>
              <w:t> </w:t>
            </w:r>
            <w:r w:rsidR="00C6596B" w:rsidRPr="00F72633">
              <w:rPr>
                <w:rFonts w:ascii="Arial Narrow" w:hAnsi="Arial Narrow"/>
                <w:sz w:val="18"/>
                <w:szCs w:val="18"/>
                <w:lang w:val="es-419"/>
              </w:rPr>
              <w:t>562 (2021)</w:t>
            </w:r>
          </w:p>
          <w:p w14:paraId="5F6E9E03" w14:textId="21EB4186"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Unión Europea</w:t>
            </w:r>
            <w:r w:rsidR="00C6596B" w:rsidRPr="00F72633">
              <w:rPr>
                <w:rFonts w:ascii="Arial Narrow" w:hAnsi="Arial Narrow"/>
                <w:sz w:val="18"/>
                <w:szCs w:val="18"/>
                <w:lang w:val="es-419"/>
              </w:rPr>
              <w:t>: 4</w:t>
            </w:r>
            <w:r w:rsidR="00874D41" w:rsidRPr="00F72633">
              <w:rPr>
                <w:rFonts w:ascii="Arial Narrow" w:hAnsi="Arial Narrow"/>
                <w:sz w:val="18"/>
                <w:szCs w:val="18"/>
                <w:lang w:val="es-419"/>
              </w:rPr>
              <w:t> </w:t>
            </w:r>
            <w:r w:rsidR="00C6596B" w:rsidRPr="00F72633">
              <w:rPr>
                <w:rFonts w:ascii="Arial Narrow" w:hAnsi="Arial Narrow"/>
                <w:sz w:val="18"/>
                <w:szCs w:val="18"/>
                <w:lang w:val="es-419"/>
              </w:rPr>
              <w:t>904 (2021)</w:t>
            </w:r>
          </w:p>
          <w:p w14:paraId="31B0CDFB" w14:textId="3214F426"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Europa (excluida la UE)</w:t>
            </w:r>
            <w:r w:rsidR="00C6596B" w:rsidRPr="00F72633">
              <w:rPr>
                <w:rFonts w:ascii="Arial Narrow" w:hAnsi="Arial Narrow"/>
                <w:sz w:val="18"/>
                <w:szCs w:val="18"/>
                <w:lang w:val="es-419"/>
              </w:rPr>
              <w:t>: 2</w:t>
            </w:r>
            <w:r w:rsidR="00874D41" w:rsidRPr="00F72633">
              <w:rPr>
                <w:rFonts w:ascii="Arial Narrow" w:hAnsi="Arial Narrow"/>
                <w:sz w:val="18"/>
                <w:szCs w:val="18"/>
                <w:lang w:val="es-419"/>
              </w:rPr>
              <w:t> </w:t>
            </w:r>
            <w:r w:rsidR="00C6596B" w:rsidRPr="00F72633">
              <w:rPr>
                <w:rFonts w:ascii="Arial Narrow" w:hAnsi="Arial Narrow"/>
                <w:sz w:val="18"/>
                <w:szCs w:val="18"/>
                <w:lang w:val="es-419"/>
              </w:rPr>
              <w:t>274 (2021)</w:t>
            </w:r>
          </w:p>
          <w:p w14:paraId="66DAD772" w14:textId="67F1DB9E"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América del Norte</w:t>
            </w:r>
            <w:r w:rsidR="00C6596B" w:rsidRPr="00F72633">
              <w:rPr>
                <w:rFonts w:ascii="Arial Narrow" w:hAnsi="Arial Narrow"/>
                <w:sz w:val="18"/>
                <w:szCs w:val="18"/>
                <w:lang w:val="es-419"/>
              </w:rPr>
              <w:t>: 2</w:t>
            </w:r>
            <w:r w:rsidR="00874D41" w:rsidRPr="00F72633">
              <w:rPr>
                <w:rFonts w:ascii="Arial Narrow" w:hAnsi="Arial Narrow"/>
                <w:sz w:val="18"/>
                <w:szCs w:val="18"/>
                <w:lang w:val="es-419"/>
              </w:rPr>
              <w:t> </w:t>
            </w:r>
            <w:r w:rsidR="00C6596B" w:rsidRPr="00F72633">
              <w:rPr>
                <w:rFonts w:ascii="Arial Narrow" w:hAnsi="Arial Narrow"/>
                <w:sz w:val="18"/>
                <w:szCs w:val="18"/>
                <w:lang w:val="es-419"/>
              </w:rPr>
              <w:t>268 (2021)</w:t>
            </w:r>
          </w:p>
          <w:p w14:paraId="74881244" w14:textId="3BDA13B2"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América Latina</w:t>
            </w:r>
            <w:r w:rsidR="00C6596B" w:rsidRPr="00F72633">
              <w:rPr>
                <w:rFonts w:ascii="Arial Narrow" w:hAnsi="Arial Narrow"/>
                <w:sz w:val="18"/>
                <w:szCs w:val="18"/>
                <w:lang w:val="es-419"/>
              </w:rPr>
              <w:t>: 1</w:t>
            </w:r>
            <w:r w:rsidR="00874D41" w:rsidRPr="00F72633">
              <w:rPr>
                <w:rFonts w:ascii="Arial Narrow" w:hAnsi="Arial Narrow"/>
                <w:sz w:val="18"/>
                <w:szCs w:val="18"/>
                <w:lang w:val="es-419"/>
              </w:rPr>
              <w:t> </w:t>
            </w:r>
            <w:r w:rsidR="00C6596B" w:rsidRPr="00F72633">
              <w:rPr>
                <w:rFonts w:ascii="Arial Narrow" w:hAnsi="Arial Narrow"/>
                <w:sz w:val="18"/>
                <w:szCs w:val="18"/>
                <w:lang w:val="es-419"/>
              </w:rPr>
              <w:t>509 (2021)</w:t>
            </w:r>
          </w:p>
          <w:p w14:paraId="2331C373" w14:textId="03644021"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szCs w:val="18"/>
                <w:lang w:val="es-419"/>
              </w:rPr>
              <w:t>Á</w:t>
            </w:r>
            <w:r w:rsidR="00C6596B" w:rsidRPr="00F72633">
              <w:rPr>
                <w:rFonts w:ascii="Arial Narrow" w:hAnsi="Arial Narrow"/>
                <w:sz w:val="18"/>
                <w:szCs w:val="18"/>
                <w:lang w:val="es-419"/>
              </w:rPr>
              <w:t>frica: 538 (2021)</w:t>
            </w:r>
          </w:p>
          <w:p w14:paraId="4723D949" w14:textId="3E49F54D" w:rsidR="00C6596B" w:rsidRPr="00F72633" w:rsidRDefault="00166423" w:rsidP="00C6596B">
            <w:pPr>
              <w:pStyle w:val="ListParagraph"/>
              <w:numPr>
                <w:ilvl w:val="0"/>
                <w:numId w:val="9"/>
              </w:numPr>
              <w:jc w:val="left"/>
              <w:rPr>
                <w:rFonts w:ascii="Arial Narrow" w:hAnsi="Arial Narrow"/>
                <w:sz w:val="18"/>
                <w:szCs w:val="18"/>
                <w:lang w:val="es-419"/>
              </w:rPr>
            </w:pPr>
            <w:r w:rsidRPr="00F72633">
              <w:rPr>
                <w:rFonts w:ascii="Arial Narrow" w:hAnsi="Arial Narrow"/>
                <w:sz w:val="18"/>
                <w:lang w:val="es-419"/>
              </w:rPr>
              <w:t>Cercano Oriente/Oriente Medio</w:t>
            </w:r>
            <w:r w:rsidR="00C6596B" w:rsidRPr="00F72633">
              <w:rPr>
                <w:rFonts w:ascii="Arial Narrow" w:hAnsi="Arial Narrow"/>
                <w:sz w:val="18"/>
                <w:szCs w:val="18"/>
                <w:lang w:val="es-419"/>
              </w:rPr>
              <w:t>: 80 (2021)</w:t>
            </w:r>
          </w:p>
          <w:p w14:paraId="45539C70" w14:textId="25CFE6D2" w:rsidR="00C6596B" w:rsidRPr="00F72633" w:rsidRDefault="00166423" w:rsidP="00166423">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w:t>
            </w:r>
            <w:r w:rsidR="00C6596B" w:rsidRPr="00F72633">
              <w:rPr>
                <w:rFonts w:ascii="Arial Narrow" w:eastAsia="Times New Roman" w:hAnsi="Arial Narrow"/>
                <w:sz w:val="18"/>
                <w:szCs w:val="18"/>
                <w:lang w:val="es-419" w:eastAsia="en-US"/>
              </w:rPr>
              <w:t xml:space="preserve">s </w:t>
            </w:r>
            <w:r w:rsidR="00013806" w:rsidRPr="00F72633">
              <w:rPr>
                <w:rFonts w:ascii="Arial Narrow" w:eastAsia="Times New Roman" w:hAnsi="Arial Narrow"/>
                <w:sz w:val="18"/>
                <w:szCs w:val="18"/>
                <w:lang w:val="es-419" w:eastAsia="en-US"/>
              </w:rPr>
              <w:t>3</w:t>
            </w:r>
            <w:r w:rsidR="00C6596B" w:rsidRPr="00F72633">
              <w:rPr>
                <w:rFonts w:ascii="Arial Narrow" w:eastAsia="Times New Roman" w:hAnsi="Arial Narrow"/>
                <w:sz w:val="18"/>
                <w:szCs w:val="18"/>
                <w:lang w:val="es-419" w:eastAsia="en-US"/>
              </w:rPr>
              <w:t xml:space="preserve">, </w:t>
            </w:r>
            <w:r w:rsidR="00013806" w:rsidRPr="00F72633">
              <w:rPr>
                <w:rFonts w:ascii="Arial Narrow" w:eastAsia="Times New Roman" w:hAnsi="Arial Narrow"/>
                <w:sz w:val="18"/>
                <w:szCs w:val="18"/>
                <w:lang w:val="es-419" w:eastAsia="en-US"/>
              </w:rPr>
              <w:t>4</w:t>
            </w:r>
            <w:r w:rsidR="00C6596B" w:rsidRPr="00F72633">
              <w:rPr>
                <w:rFonts w:ascii="Arial Narrow" w:eastAsia="Times New Roman" w:hAnsi="Arial Narrow"/>
                <w:sz w:val="18"/>
                <w:szCs w:val="18"/>
                <w:lang w:val="es-419" w:eastAsia="en-US"/>
              </w:rPr>
              <w:t xml:space="preserve"> </w:t>
            </w:r>
            <w:r w:rsidRPr="00F72633">
              <w:rPr>
                <w:rFonts w:ascii="Arial Narrow" w:eastAsia="Times New Roman" w:hAnsi="Arial Narrow"/>
                <w:bCs/>
                <w:sz w:val="18"/>
                <w:szCs w:val="18"/>
                <w:lang w:val="es-419" w:eastAsia="en-US"/>
              </w:rPr>
              <w:t>y</w:t>
            </w:r>
            <w:r w:rsidR="00C6596B" w:rsidRPr="00F72633">
              <w:rPr>
                <w:rFonts w:ascii="Arial Narrow" w:eastAsia="Times New Roman" w:hAnsi="Arial Narrow"/>
                <w:bCs/>
                <w:sz w:val="18"/>
                <w:szCs w:val="18"/>
                <w:lang w:val="es-419" w:eastAsia="en-US"/>
              </w:rPr>
              <w:t xml:space="preserve"> </w:t>
            </w:r>
            <w:r w:rsidR="00013806" w:rsidRPr="00F72633">
              <w:rPr>
                <w:rFonts w:ascii="Arial Narrow" w:eastAsia="Times New Roman" w:hAnsi="Arial Narrow"/>
                <w:bCs/>
                <w:sz w:val="18"/>
                <w:szCs w:val="18"/>
                <w:lang w:val="es-419" w:eastAsia="en-US"/>
              </w:rPr>
              <w:t>9</w:t>
            </w:r>
            <w:r w:rsidRPr="00F72633">
              <w:rPr>
                <w:rFonts w:ascii="Arial Narrow" w:eastAsia="Times New Roman" w:hAnsi="Arial Narrow"/>
                <w:bCs/>
                <w:sz w:val="18"/>
                <w:szCs w:val="18"/>
                <w:lang w:val="es-419" w:eastAsia="en-US"/>
              </w:rPr>
              <w:t>.</w:t>
            </w:r>
          </w:p>
        </w:tc>
      </w:tr>
      <w:tr w:rsidR="00B34059" w:rsidRPr="00F72633" w14:paraId="3D1B1235" w14:textId="77777777" w:rsidTr="00B34059">
        <w:tc>
          <w:tcPr>
            <w:tcW w:w="1838" w:type="dxa"/>
            <w:vMerge/>
            <w:hideMark/>
          </w:tcPr>
          <w:p w14:paraId="660D765F" w14:textId="77777777" w:rsidR="00B34059" w:rsidRPr="00F72633" w:rsidRDefault="00B34059" w:rsidP="00B34059">
            <w:pPr>
              <w:jc w:val="left"/>
              <w:rPr>
                <w:rFonts w:ascii="Arial Narrow" w:eastAsia="Times New Roman" w:hAnsi="Arial Narrow"/>
                <w:sz w:val="18"/>
                <w:szCs w:val="18"/>
                <w:lang w:val="es-419" w:eastAsia="en-US"/>
              </w:rPr>
            </w:pPr>
          </w:p>
        </w:tc>
        <w:tc>
          <w:tcPr>
            <w:tcW w:w="2977" w:type="dxa"/>
            <w:shd w:val="clear" w:color="auto" w:fill="auto"/>
          </w:tcPr>
          <w:p w14:paraId="2D83007E" w14:textId="4635FC26" w:rsidR="00B34059" w:rsidRPr="00F72633" w:rsidRDefault="00B34059" w:rsidP="00B34059">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b) </w:t>
            </w:r>
            <w:r w:rsidR="009C13BA" w:rsidRPr="00F72633">
              <w:rPr>
                <w:rFonts w:ascii="Arial Narrow" w:hAnsi="Arial Narrow"/>
                <w:sz w:val="18"/>
                <w:lang w:val="es-419"/>
              </w:rPr>
              <w:t>Número de títulos concedidos</w:t>
            </w:r>
          </w:p>
        </w:tc>
        <w:tc>
          <w:tcPr>
            <w:tcW w:w="4951" w:type="dxa"/>
            <w:shd w:val="clear" w:color="auto" w:fill="auto"/>
          </w:tcPr>
          <w:p w14:paraId="15B69D6B" w14:textId="1102C3FB" w:rsidR="001D23F9" w:rsidRPr="00F72633" w:rsidRDefault="001D23F9" w:rsidP="001D23F9">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2021: 15</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 xml:space="preserve">081 </w:t>
            </w:r>
            <w:r w:rsidR="00166423" w:rsidRPr="00F72633">
              <w:rPr>
                <w:rFonts w:ascii="Arial Narrow" w:eastAsia="Times New Roman" w:hAnsi="Arial Narrow"/>
                <w:sz w:val="18"/>
                <w:szCs w:val="18"/>
                <w:lang w:val="es-419" w:eastAsia="en-US"/>
              </w:rPr>
              <w:t>títulos concedidos</w:t>
            </w:r>
          </w:p>
          <w:p w14:paraId="19C1DBD4" w14:textId="62AFE21B" w:rsidR="00C6596B" w:rsidRPr="00F72633" w:rsidRDefault="00166423" w:rsidP="00166423">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5</w:t>
            </w:r>
            <w:r w:rsidR="00C6596B"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y</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9</w:t>
            </w:r>
            <w:r w:rsidRPr="00F72633">
              <w:rPr>
                <w:rFonts w:ascii="Arial Narrow" w:eastAsia="Times New Roman" w:hAnsi="Arial Narrow"/>
                <w:sz w:val="18"/>
                <w:szCs w:val="18"/>
                <w:lang w:val="es-419" w:eastAsia="en-US"/>
              </w:rPr>
              <w:t>.</w:t>
            </w:r>
          </w:p>
        </w:tc>
      </w:tr>
      <w:tr w:rsidR="00B34059" w:rsidRPr="00F72633" w14:paraId="4FA8AC25" w14:textId="77777777" w:rsidTr="00B34059">
        <w:tc>
          <w:tcPr>
            <w:tcW w:w="1838" w:type="dxa"/>
            <w:vMerge/>
            <w:shd w:val="clear" w:color="auto" w:fill="auto"/>
          </w:tcPr>
          <w:p w14:paraId="52964BF3" w14:textId="77777777" w:rsidR="00B34059" w:rsidRPr="00F72633" w:rsidRDefault="00B34059" w:rsidP="00B904E7">
            <w:pPr>
              <w:jc w:val="left"/>
              <w:rPr>
                <w:rFonts w:ascii="Arial Narrow" w:eastAsia="Times New Roman" w:hAnsi="Arial Narrow"/>
                <w:sz w:val="18"/>
                <w:szCs w:val="18"/>
                <w:lang w:val="es-419" w:eastAsia="en-US"/>
              </w:rPr>
            </w:pPr>
          </w:p>
        </w:tc>
        <w:tc>
          <w:tcPr>
            <w:tcW w:w="2977" w:type="dxa"/>
            <w:tcBorders>
              <w:bottom w:val="single" w:sz="8" w:space="0" w:color="D9D9D9" w:themeColor="background1" w:themeShade="D9"/>
            </w:tcBorders>
            <w:shd w:val="clear" w:color="auto" w:fill="auto"/>
          </w:tcPr>
          <w:p w14:paraId="6AEC9B2B" w14:textId="50EF130F" w:rsidR="00B34059" w:rsidRPr="00F72633" w:rsidRDefault="00B34059" w:rsidP="00B904E7">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c) </w:t>
            </w:r>
            <w:r w:rsidR="009C13BA" w:rsidRPr="00F72633">
              <w:rPr>
                <w:rFonts w:ascii="Arial Narrow" w:hAnsi="Arial Narrow"/>
                <w:sz w:val="18"/>
                <w:lang w:val="es-419"/>
              </w:rPr>
              <w:t>Número de títulos en vigor</w:t>
            </w:r>
          </w:p>
        </w:tc>
        <w:tc>
          <w:tcPr>
            <w:tcW w:w="4951" w:type="dxa"/>
            <w:tcBorders>
              <w:bottom w:val="single" w:sz="8" w:space="0" w:color="D9D9D9" w:themeColor="background1" w:themeShade="D9"/>
            </w:tcBorders>
            <w:shd w:val="clear" w:color="auto" w:fill="auto"/>
          </w:tcPr>
          <w:p w14:paraId="12099E0F" w14:textId="41340151" w:rsidR="00C6596B" w:rsidRPr="00F72633" w:rsidRDefault="001D23F9" w:rsidP="00C6596B">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2021: </w:t>
            </w:r>
            <w:r w:rsidR="00C6596B" w:rsidRPr="00F72633">
              <w:rPr>
                <w:rFonts w:ascii="Arial Narrow" w:eastAsia="Times New Roman" w:hAnsi="Arial Narrow"/>
                <w:sz w:val="18"/>
                <w:szCs w:val="18"/>
                <w:lang w:val="es-419" w:eastAsia="en-US"/>
              </w:rPr>
              <w:t>141</w:t>
            </w:r>
            <w:r w:rsidR="00874D41" w:rsidRPr="00F72633">
              <w:rPr>
                <w:rFonts w:ascii="Arial Narrow" w:eastAsia="Times New Roman" w:hAnsi="Arial Narrow"/>
                <w:sz w:val="18"/>
                <w:szCs w:val="18"/>
                <w:lang w:val="es-419" w:eastAsia="en-US"/>
              </w:rPr>
              <w:t> </w:t>
            </w:r>
            <w:r w:rsidR="00C6596B" w:rsidRPr="00F72633">
              <w:rPr>
                <w:rFonts w:ascii="Arial Narrow" w:eastAsia="Times New Roman" w:hAnsi="Arial Narrow"/>
                <w:sz w:val="18"/>
                <w:szCs w:val="18"/>
                <w:lang w:val="es-419" w:eastAsia="en-US"/>
              </w:rPr>
              <w:t xml:space="preserve">888 </w:t>
            </w:r>
            <w:r w:rsidR="00166423" w:rsidRPr="00F72633">
              <w:rPr>
                <w:rFonts w:ascii="Arial Narrow" w:eastAsia="Times New Roman" w:hAnsi="Arial Narrow"/>
                <w:sz w:val="18"/>
                <w:szCs w:val="18"/>
                <w:lang w:val="es-419" w:eastAsia="en-US"/>
              </w:rPr>
              <w:t>títulos en vigor</w:t>
            </w:r>
          </w:p>
          <w:p w14:paraId="16016C69" w14:textId="4EA502CD" w:rsidR="00C6596B" w:rsidRPr="00F72633" w:rsidRDefault="00166423" w:rsidP="00166423">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10</w:t>
            </w:r>
            <w:r w:rsidRPr="00F72633">
              <w:rPr>
                <w:rFonts w:ascii="Arial Narrow" w:eastAsia="Times New Roman" w:hAnsi="Arial Narrow"/>
                <w:sz w:val="18"/>
                <w:szCs w:val="18"/>
                <w:lang w:val="es-419" w:eastAsia="en-US"/>
              </w:rPr>
              <w:t>.</w:t>
            </w:r>
          </w:p>
        </w:tc>
      </w:tr>
      <w:tr w:rsidR="00B34059" w:rsidRPr="00F72633" w14:paraId="5FDB4816" w14:textId="77777777" w:rsidTr="00B34059">
        <w:tc>
          <w:tcPr>
            <w:tcW w:w="1838" w:type="dxa"/>
            <w:vMerge/>
            <w:shd w:val="clear" w:color="auto" w:fill="auto"/>
          </w:tcPr>
          <w:p w14:paraId="14E0E388" w14:textId="77777777" w:rsidR="00B34059" w:rsidRPr="00F72633" w:rsidRDefault="00B34059" w:rsidP="00B904E7">
            <w:pPr>
              <w:jc w:val="left"/>
              <w:rPr>
                <w:rFonts w:ascii="Arial Narrow" w:eastAsia="Times New Roman" w:hAnsi="Arial Narrow"/>
                <w:sz w:val="18"/>
                <w:szCs w:val="18"/>
                <w:lang w:val="es-419" w:eastAsia="en-US"/>
              </w:rPr>
            </w:pPr>
          </w:p>
        </w:tc>
        <w:tc>
          <w:tcPr>
            <w:tcW w:w="2977" w:type="dxa"/>
            <w:tcBorders>
              <w:bottom w:val="single" w:sz="8" w:space="0" w:color="D9D9D9" w:themeColor="background1" w:themeShade="D9"/>
            </w:tcBorders>
            <w:shd w:val="clear" w:color="auto" w:fill="auto"/>
          </w:tcPr>
          <w:p w14:paraId="128594F4" w14:textId="41B4A06B" w:rsidR="00B34059" w:rsidRPr="00F72633" w:rsidRDefault="00B34059" w:rsidP="00B904E7">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d) </w:t>
            </w:r>
            <w:r w:rsidR="009C13BA" w:rsidRPr="00F72633">
              <w:rPr>
                <w:rFonts w:ascii="Arial Narrow" w:hAnsi="Arial Narrow"/>
                <w:sz w:val="18"/>
                <w:lang w:val="es-419"/>
              </w:rPr>
              <w:t>Número de géneros/especies protegidos por los miembros de la Unión</w:t>
            </w:r>
          </w:p>
        </w:tc>
        <w:tc>
          <w:tcPr>
            <w:tcW w:w="4951" w:type="dxa"/>
            <w:tcBorders>
              <w:bottom w:val="single" w:sz="8" w:space="0" w:color="D9D9D9" w:themeColor="background1" w:themeShade="D9"/>
            </w:tcBorders>
            <w:shd w:val="clear" w:color="auto" w:fill="auto"/>
          </w:tcPr>
          <w:p w14:paraId="29AFFF20" w14:textId="7641F64B" w:rsidR="00C6596B" w:rsidRPr="00F72633" w:rsidRDefault="00166423" w:rsidP="00166423">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11</w:t>
            </w:r>
            <w:r w:rsidR="00C6596B"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y</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12</w:t>
            </w:r>
            <w:r w:rsidR="00C6596B"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relativas al número de miembros que protegen todos los géneros y especies vegetales y un número limitado de géneros y especies vegetales.</w:t>
            </w:r>
          </w:p>
        </w:tc>
      </w:tr>
      <w:tr w:rsidR="00B34059" w:rsidRPr="00F72633" w14:paraId="327820A4" w14:textId="77777777" w:rsidTr="00B34059">
        <w:tc>
          <w:tcPr>
            <w:tcW w:w="1838" w:type="dxa"/>
            <w:vMerge/>
            <w:shd w:val="clear" w:color="auto" w:fill="auto"/>
          </w:tcPr>
          <w:p w14:paraId="7A696F8C" w14:textId="77777777" w:rsidR="00B34059" w:rsidRPr="00F72633" w:rsidRDefault="00B34059" w:rsidP="00B904E7">
            <w:pPr>
              <w:jc w:val="left"/>
              <w:rPr>
                <w:rFonts w:ascii="Arial Narrow" w:eastAsia="Times New Roman" w:hAnsi="Arial Narrow"/>
                <w:sz w:val="18"/>
                <w:szCs w:val="18"/>
                <w:lang w:val="es-419" w:eastAsia="en-US"/>
              </w:rPr>
            </w:pPr>
          </w:p>
        </w:tc>
        <w:tc>
          <w:tcPr>
            <w:tcW w:w="2977" w:type="dxa"/>
            <w:tcBorders>
              <w:bottom w:val="single" w:sz="8" w:space="0" w:color="D9D9D9" w:themeColor="background1" w:themeShade="D9"/>
            </w:tcBorders>
            <w:shd w:val="clear" w:color="auto" w:fill="auto"/>
          </w:tcPr>
          <w:p w14:paraId="39E93BDB" w14:textId="2EFD1DF8" w:rsidR="00B34059" w:rsidRPr="00F72633" w:rsidRDefault="00B34059" w:rsidP="00F56392">
            <w:pPr>
              <w:jc w:val="left"/>
              <w:rPr>
                <w:rFonts w:ascii="Arial Narrow" w:hAnsi="Arial Narrow"/>
                <w:sz w:val="18"/>
                <w:lang w:val="es-419"/>
              </w:rPr>
            </w:pPr>
            <w:r w:rsidRPr="00F72633">
              <w:rPr>
                <w:rFonts w:ascii="Arial Narrow" w:hAnsi="Arial Narrow"/>
                <w:sz w:val="18"/>
                <w:lang w:val="es-419"/>
              </w:rPr>
              <w:t xml:space="preserve">e) </w:t>
            </w:r>
            <w:r w:rsidR="009C13BA" w:rsidRPr="00F72633">
              <w:rPr>
                <w:rFonts w:ascii="Arial Narrow" w:hAnsi="Arial Narrow"/>
                <w:sz w:val="18"/>
                <w:lang w:val="es-419"/>
              </w:rPr>
              <w:t>Número de géneros/especies cuyas variedades se han protegido</w:t>
            </w:r>
          </w:p>
        </w:tc>
        <w:tc>
          <w:tcPr>
            <w:tcW w:w="4951" w:type="dxa"/>
            <w:tcBorders>
              <w:bottom w:val="single" w:sz="8" w:space="0" w:color="D9D9D9" w:themeColor="background1" w:themeShade="D9"/>
            </w:tcBorders>
            <w:shd w:val="clear" w:color="auto" w:fill="auto"/>
          </w:tcPr>
          <w:p w14:paraId="43AA0CE9" w14:textId="54C5C91F" w:rsidR="00C6596B" w:rsidRPr="00F72633" w:rsidRDefault="001D23F9" w:rsidP="00C6596B">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2021: 4</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214</w:t>
            </w:r>
          </w:p>
          <w:p w14:paraId="6DBE2401" w14:textId="5FD91CCC" w:rsidR="00C6596B" w:rsidRPr="00F72633" w:rsidRDefault="00166423" w:rsidP="004321C3">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C6596B"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16</w:t>
            </w:r>
            <w:r w:rsidRPr="00F72633">
              <w:rPr>
                <w:rFonts w:ascii="Arial Narrow" w:eastAsia="Times New Roman" w:hAnsi="Arial Narrow"/>
                <w:sz w:val="18"/>
                <w:szCs w:val="18"/>
                <w:lang w:val="es-419" w:eastAsia="en-US"/>
              </w:rPr>
              <w:t>.</w:t>
            </w:r>
          </w:p>
        </w:tc>
      </w:tr>
      <w:tr w:rsidR="00B34059" w:rsidRPr="00F72633" w14:paraId="7495B09B" w14:textId="77777777" w:rsidTr="00B34059">
        <w:tc>
          <w:tcPr>
            <w:tcW w:w="1838" w:type="dxa"/>
            <w:vMerge/>
            <w:tcBorders>
              <w:bottom w:val="single" w:sz="8" w:space="0" w:color="D9D9D9" w:themeColor="background1" w:themeShade="D9"/>
            </w:tcBorders>
            <w:shd w:val="clear" w:color="auto" w:fill="auto"/>
          </w:tcPr>
          <w:p w14:paraId="45890B2B" w14:textId="77777777" w:rsidR="00B34059" w:rsidRPr="00F72633" w:rsidRDefault="00B34059" w:rsidP="00B904E7">
            <w:pPr>
              <w:jc w:val="left"/>
              <w:rPr>
                <w:rFonts w:ascii="Arial Narrow" w:eastAsia="Times New Roman" w:hAnsi="Arial Narrow"/>
                <w:sz w:val="18"/>
                <w:szCs w:val="18"/>
                <w:lang w:val="es-419" w:eastAsia="en-US"/>
              </w:rPr>
            </w:pPr>
          </w:p>
        </w:tc>
        <w:tc>
          <w:tcPr>
            <w:tcW w:w="2977" w:type="dxa"/>
            <w:tcBorders>
              <w:bottom w:val="single" w:sz="8" w:space="0" w:color="D9D9D9" w:themeColor="background1" w:themeShade="D9"/>
            </w:tcBorders>
            <w:shd w:val="clear" w:color="auto" w:fill="auto"/>
          </w:tcPr>
          <w:p w14:paraId="357E576C" w14:textId="1F9E18CB" w:rsidR="00B34059" w:rsidRPr="00F72633" w:rsidRDefault="00B34059" w:rsidP="00B34059">
            <w:pPr>
              <w:rPr>
                <w:rFonts w:ascii="Arial Narrow" w:eastAsia="Times New Roman" w:hAnsi="Arial Narrow"/>
                <w:sz w:val="18"/>
                <w:szCs w:val="18"/>
                <w:lang w:val="es-419" w:eastAsia="en-US"/>
              </w:rPr>
            </w:pPr>
            <w:r w:rsidRPr="00F72633">
              <w:rPr>
                <w:rFonts w:ascii="Arial Narrow" w:hAnsi="Arial Narrow"/>
                <w:sz w:val="18"/>
                <w:lang w:val="es-419"/>
              </w:rPr>
              <w:t xml:space="preserve">f) </w:t>
            </w:r>
            <w:r w:rsidR="009C13BA" w:rsidRPr="00F72633">
              <w:rPr>
                <w:rFonts w:ascii="Arial Narrow" w:hAnsi="Arial Narrow"/>
                <w:sz w:val="18"/>
                <w:lang w:val="es-419"/>
              </w:rPr>
              <w:t>Análisis por tipo de cultivo</w:t>
            </w:r>
          </w:p>
        </w:tc>
        <w:tc>
          <w:tcPr>
            <w:tcW w:w="4951" w:type="dxa"/>
            <w:tcBorders>
              <w:bottom w:val="single" w:sz="8" w:space="0" w:color="D9D9D9" w:themeColor="background1" w:themeShade="D9"/>
            </w:tcBorders>
            <w:shd w:val="clear" w:color="auto" w:fill="auto"/>
          </w:tcPr>
          <w:p w14:paraId="4AECAC2A" w14:textId="3D55571E" w:rsidR="00956F06" w:rsidRPr="00F72633" w:rsidRDefault="00166423" w:rsidP="005C02E7">
            <w:pPr>
              <w:spacing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956F06" w:rsidRPr="00F72633">
              <w:rPr>
                <w:rFonts w:ascii="Arial Narrow" w:eastAsia="Times New Roman" w:hAnsi="Arial Narrow"/>
                <w:sz w:val="18"/>
                <w:szCs w:val="18"/>
                <w:lang w:val="es-419" w:eastAsia="en-US"/>
              </w:rPr>
              <w:t xml:space="preserve"> </w:t>
            </w:r>
            <w:r w:rsidR="004321C3" w:rsidRPr="00F72633">
              <w:rPr>
                <w:rFonts w:ascii="Arial Narrow" w:eastAsia="Times New Roman" w:hAnsi="Arial Narrow"/>
                <w:sz w:val="18"/>
                <w:szCs w:val="18"/>
                <w:lang w:val="es-419" w:eastAsia="en-US"/>
              </w:rPr>
              <w:t>13</w:t>
            </w:r>
            <w:r w:rsidRPr="00F72633">
              <w:rPr>
                <w:rFonts w:ascii="Arial Narrow" w:eastAsia="Times New Roman" w:hAnsi="Arial Narrow"/>
                <w:sz w:val="18"/>
                <w:szCs w:val="18"/>
                <w:lang w:val="es-419" w:eastAsia="en-US"/>
              </w:rPr>
              <w:t>.</w:t>
            </w:r>
          </w:p>
        </w:tc>
      </w:tr>
      <w:tr w:rsidR="003E3C19" w:rsidRPr="00F72633" w14:paraId="54427261" w14:textId="77777777" w:rsidTr="00B34059">
        <w:trPr>
          <w:cantSplit/>
        </w:trPr>
        <w:tc>
          <w:tcPr>
            <w:tcW w:w="1838" w:type="dxa"/>
            <w:tcBorders>
              <w:bottom w:val="single" w:sz="8" w:space="0" w:color="D9D9D9" w:themeColor="background1" w:themeShade="D9"/>
            </w:tcBorders>
            <w:shd w:val="clear" w:color="auto" w:fill="auto"/>
            <w:hideMark/>
          </w:tcPr>
          <w:p w14:paraId="2DA512FC" w14:textId="6974539E" w:rsidR="003E3C19" w:rsidRPr="00F72633" w:rsidRDefault="00B34059" w:rsidP="00B904E7">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4</w:t>
            </w:r>
            <w:r w:rsidR="003E3C19" w:rsidRPr="00F72633">
              <w:rPr>
                <w:rFonts w:ascii="Arial Narrow" w:eastAsia="Times New Roman" w:hAnsi="Arial Narrow"/>
                <w:sz w:val="18"/>
                <w:szCs w:val="18"/>
                <w:lang w:val="es-419" w:eastAsia="en-US"/>
              </w:rPr>
              <w:t xml:space="preserve">. </w:t>
            </w:r>
            <w:r w:rsidR="009C13BA" w:rsidRPr="00F72633">
              <w:rPr>
                <w:rFonts w:ascii="Arial Narrow" w:eastAsia="Times New Roman" w:hAnsi="Arial Narrow"/>
                <w:sz w:val="18"/>
                <w:szCs w:val="18"/>
                <w:lang w:val="es-419" w:eastAsia="en-US"/>
              </w:rPr>
              <w:t>Políticas para diversificar las fuentes de ingresos de la UPOV</w:t>
            </w:r>
          </w:p>
        </w:tc>
        <w:tc>
          <w:tcPr>
            <w:tcW w:w="2977" w:type="dxa"/>
            <w:tcBorders>
              <w:bottom w:val="single" w:sz="8" w:space="0" w:color="D9D9D9" w:themeColor="background1" w:themeShade="D9"/>
            </w:tcBorders>
            <w:shd w:val="clear" w:color="auto" w:fill="auto"/>
            <w:hideMark/>
          </w:tcPr>
          <w:p w14:paraId="30D61DF2" w14:textId="18EF2845" w:rsidR="003E3C19" w:rsidRPr="00F72633" w:rsidRDefault="003E3C19" w:rsidP="00B904E7">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CC22C7" w:rsidRPr="00F72633">
              <w:rPr>
                <w:rFonts w:ascii="Arial Narrow" w:eastAsia="Times New Roman" w:hAnsi="Arial Narrow"/>
                <w:sz w:val="18"/>
                <w:szCs w:val="18"/>
                <w:lang w:val="es-419" w:eastAsia="en-US"/>
              </w:rPr>
              <w:t>Ingresos que no provengan de las contribuciones de los miembros de la UPOV</w:t>
            </w:r>
          </w:p>
        </w:tc>
        <w:tc>
          <w:tcPr>
            <w:tcW w:w="4951" w:type="dxa"/>
            <w:tcBorders>
              <w:bottom w:val="single" w:sz="8" w:space="0" w:color="D9D9D9" w:themeColor="background1" w:themeShade="D9"/>
            </w:tcBorders>
            <w:shd w:val="clear" w:color="auto" w:fill="auto"/>
          </w:tcPr>
          <w:p w14:paraId="2147A2EF" w14:textId="53A6DEB1" w:rsidR="003E3C19" w:rsidRPr="00F72633" w:rsidRDefault="00166423" w:rsidP="00357629">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El </w:t>
            </w:r>
            <w:r w:rsidR="004F6697" w:rsidRPr="00F72633">
              <w:rPr>
                <w:rFonts w:ascii="Arial Narrow" w:eastAsia="Times New Roman" w:hAnsi="Arial Narrow"/>
                <w:sz w:val="18"/>
                <w:szCs w:val="18"/>
                <w:lang w:val="es-419" w:eastAsia="en-US"/>
              </w:rPr>
              <w:t>P</w:t>
            </w:r>
            <w:r w:rsidRPr="00F72633">
              <w:rPr>
                <w:rFonts w:ascii="Arial Narrow" w:eastAsia="Times New Roman" w:hAnsi="Arial Narrow"/>
                <w:sz w:val="18"/>
                <w:szCs w:val="18"/>
                <w:lang w:val="es-419" w:eastAsia="en-US"/>
              </w:rPr>
              <w:t xml:space="preserve">lan </w:t>
            </w:r>
            <w:r w:rsidR="004F6697" w:rsidRPr="00F72633">
              <w:rPr>
                <w:rFonts w:ascii="Arial Narrow" w:eastAsia="Times New Roman" w:hAnsi="Arial Narrow"/>
                <w:sz w:val="18"/>
                <w:szCs w:val="18"/>
                <w:lang w:val="es-419" w:eastAsia="en-US"/>
              </w:rPr>
              <w:t>O</w:t>
            </w:r>
            <w:r w:rsidRPr="00F72633">
              <w:rPr>
                <w:rFonts w:ascii="Arial Narrow" w:eastAsia="Times New Roman" w:hAnsi="Arial Narrow"/>
                <w:sz w:val="18"/>
                <w:szCs w:val="18"/>
                <w:lang w:val="es-419" w:eastAsia="en-US"/>
              </w:rPr>
              <w:t xml:space="preserve">perativo </w:t>
            </w:r>
            <w:r w:rsidR="004F6697" w:rsidRPr="00F72633">
              <w:rPr>
                <w:rFonts w:ascii="Arial Narrow" w:eastAsia="Times New Roman" w:hAnsi="Arial Narrow"/>
                <w:sz w:val="18"/>
                <w:szCs w:val="18"/>
                <w:lang w:val="es-419" w:eastAsia="en-US"/>
              </w:rPr>
              <w:t>E</w:t>
            </w:r>
            <w:r w:rsidRPr="00F72633">
              <w:rPr>
                <w:rFonts w:ascii="Arial Narrow" w:eastAsia="Times New Roman" w:hAnsi="Arial Narrow"/>
                <w:sz w:val="18"/>
                <w:szCs w:val="18"/>
                <w:lang w:val="es-419" w:eastAsia="en-US"/>
              </w:rPr>
              <w:t>stratégico para</w:t>
            </w:r>
            <w:r w:rsidR="00357629" w:rsidRPr="00F72633">
              <w:rPr>
                <w:rFonts w:ascii="Arial Narrow" w:eastAsia="Times New Roman" w:hAnsi="Arial Narrow"/>
                <w:sz w:val="18"/>
                <w:szCs w:val="18"/>
                <w:lang w:val="es-419" w:eastAsia="en-US"/>
              </w:rPr>
              <w:t> 2023</w:t>
            </w:r>
            <w:r w:rsidR="00357629" w:rsidRPr="00F72633">
              <w:rPr>
                <w:rFonts w:ascii="Arial Narrow" w:eastAsia="Times New Roman" w:hAnsi="Arial Narrow"/>
                <w:sz w:val="18"/>
                <w:szCs w:val="18"/>
                <w:lang w:val="es-419" w:eastAsia="en-US"/>
              </w:rPr>
              <w:noBreakHyphen/>
            </w:r>
            <w:r w:rsidR="004E02E2" w:rsidRPr="00F72633">
              <w:rPr>
                <w:rFonts w:ascii="Arial Narrow" w:eastAsia="Times New Roman" w:hAnsi="Arial Narrow"/>
                <w:sz w:val="18"/>
                <w:szCs w:val="18"/>
                <w:lang w:val="es-419" w:eastAsia="en-US"/>
              </w:rPr>
              <w:t>2027</w:t>
            </w:r>
            <w:r w:rsidR="00357629"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se aprobó en octubre de</w:t>
            </w:r>
            <w:r w:rsidR="00357629"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2022. En él se especifica que es deseable que las fuentes de ingresos distintas de las contribuciones de los miembros de la Unión asciendan al</w:t>
            </w:r>
            <w:r w:rsidR="00357629" w:rsidRPr="00F72633">
              <w:rPr>
                <w:rFonts w:ascii="Arial Narrow" w:eastAsia="Times New Roman" w:hAnsi="Arial Narrow"/>
                <w:sz w:val="18"/>
                <w:szCs w:val="18"/>
                <w:lang w:val="es-419" w:eastAsia="en-US"/>
              </w:rPr>
              <w:t> </w:t>
            </w:r>
            <w:r w:rsidR="004E02E2" w:rsidRPr="00F72633">
              <w:rPr>
                <w:rFonts w:ascii="Arial Narrow" w:eastAsia="Times New Roman" w:hAnsi="Arial Narrow"/>
                <w:sz w:val="18"/>
                <w:szCs w:val="18"/>
                <w:lang w:val="es-419" w:eastAsia="en-US"/>
              </w:rPr>
              <w:t>10</w:t>
            </w:r>
            <w:r w:rsidR="00C70DE2" w:rsidRPr="00F72633">
              <w:rPr>
                <w:rFonts w:ascii="Arial Narrow" w:eastAsia="Times New Roman" w:hAnsi="Arial Narrow"/>
                <w:sz w:val="18"/>
                <w:szCs w:val="18"/>
                <w:lang w:val="es-419" w:eastAsia="en-US"/>
              </w:rPr>
              <w:t> %</w:t>
            </w:r>
            <w:r w:rsidR="004E02E2" w:rsidRPr="00F72633">
              <w:rPr>
                <w:rFonts w:ascii="Arial Narrow" w:eastAsia="Times New Roman" w:hAnsi="Arial Narrow"/>
                <w:sz w:val="18"/>
                <w:szCs w:val="18"/>
                <w:lang w:val="es-419" w:eastAsia="en-US"/>
              </w:rPr>
              <w:t xml:space="preserve"> </w:t>
            </w:r>
            <w:r w:rsidR="0052478C" w:rsidRPr="00F72633">
              <w:rPr>
                <w:rFonts w:ascii="Arial Narrow" w:eastAsia="Times New Roman" w:hAnsi="Arial Narrow"/>
                <w:sz w:val="18"/>
                <w:szCs w:val="18"/>
                <w:lang w:val="es-419" w:eastAsia="en-US"/>
              </w:rPr>
              <w:t>de los ingresos de la UPOV en</w:t>
            </w:r>
            <w:r w:rsidR="00357629" w:rsidRPr="00F72633">
              <w:rPr>
                <w:rFonts w:ascii="Arial Narrow" w:eastAsia="Times New Roman" w:hAnsi="Arial Narrow"/>
                <w:sz w:val="18"/>
                <w:szCs w:val="18"/>
                <w:lang w:val="es-419" w:eastAsia="en-US"/>
              </w:rPr>
              <w:t> </w:t>
            </w:r>
            <w:r w:rsidR="004E02E2" w:rsidRPr="00F72633">
              <w:rPr>
                <w:rFonts w:ascii="Arial Narrow" w:eastAsia="Times New Roman" w:hAnsi="Arial Narrow"/>
                <w:sz w:val="18"/>
                <w:szCs w:val="18"/>
                <w:lang w:val="es-419" w:eastAsia="en-US"/>
              </w:rPr>
              <w:t xml:space="preserve">2027. </w:t>
            </w:r>
            <w:r w:rsidR="0052478C" w:rsidRPr="00F72633">
              <w:rPr>
                <w:rFonts w:ascii="Arial Narrow" w:eastAsia="Times New Roman" w:hAnsi="Arial Narrow"/>
                <w:sz w:val="18"/>
                <w:szCs w:val="18"/>
                <w:lang w:val="es-419" w:eastAsia="en-US"/>
              </w:rPr>
              <w:t>Un elemento básico para diversificar los ingresos es generarlos a partir de los servicios que se prestan a los usuarios del sistema de la UPOV y, al mismo tiempo, poner esos servicios a disposición de las oficinas de protección de las obtenciones vegetales sin costo alguno.</w:t>
            </w:r>
            <w:r w:rsidR="004E02E2" w:rsidRPr="00F72633">
              <w:rPr>
                <w:rFonts w:ascii="Arial Narrow" w:eastAsia="Times New Roman" w:hAnsi="Arial Narrow"/>
                <w:sz w:val="18"/>
                <w:szCs w:val="18"/>
                <w:lang w:val="es-419" w:eastAsia="en-US"/>
              </w:rPr>
              <w:t xml:space="preserve"> </w:t>
            </w:r>
            <w:r w:rsidR="0052478C" w:rsidRPr="00F72633">
              <w:rPr>
                <w:rFonts w:ascii="Arial Narrow" w:eastAsia="Times New Roman" w:hAnsi="Arial Narrow"/>
                <w:sz w:val="18"/>
                <w:szCs w:val="18"/>
                <w:lang w:val="es-419" w:eastAsia="en-US"/>
              </w:rPr>
              <w:t xml:space="preserve">Está previsto que las principales fuentes de ingresos no provenientes de las contribuciones de los miembros de la Unión sean los fondos extrapresupuestarios, </w:t>
            </w:r>
            <w:r w:rsidR="000D20D3">
              <w:rPr>
                <w:rFonts w:ascii="Arial Narrow" w:eastAsia="Times New Roman" w:hAnsi="Arial Narrow"/>
                <w:sz w:val="18"/>
                <w:szCs w:val="18"/>
                <w:lang w:val="es-419" w:eastAsia="en-US"/>
              </w:rPr>
              <w:t>UPOV PRISMA</w:t>
            </w:r>
            <w:r w:rsidR="0052478C" w:rsidRPr="00F72633">
              <w:rPr>
                <w:rFonts w:ascii="Arial Narrow" w:eastAsia="Times New Roman" w:hAnsi="Arial Narrow"/>
                <w:sz w:val="18"/>
                <w:szCs w:val="18"/>
                <w:lang w:val="es-419" w:eastAsia="en-US"/>
              </w:rPr>
              <w:t xml:space="preserve"> y la base de datos PLUTO.</w:t>
            </w:r>
          </w:p>
        </w:tc>
      </w:tr>
    </w:tbl>
    <w:p w14:paraId="142ADEFD" w14:textId="77777777" w:rsidR="00B34059" w:rsidRPr="00F72633" w:rsidRDefault="00B34059">
      <w:pPr>
        <w:jc w:val="left"/>
        <w:rPr>
          <w:rFonts w:ascii="Arial Narrow" w:hAnsi="Arial Narrow"/>
          <w:bCs/>
          <w:sz w:val="18"/>
          <w:lang w:val="es-419"/>
        </w:rPr>
      </w:pPr>
    </w:p>
    <w:tbl>
      <w:tblPr>
        <w:tblW w:w="10606" w:type="dxa"/>
        <w:jc w:val="center"/>
        <w:tblLayout w:type="fixed"/>
        <w:tblCellMar>
          <w:left w:w="57" w:type="dxa"/>
          <w:right w:w="57" w:type="dxa"/>
        </w:tblCellMar>
        <w:tblLook w:val="0000" w:firstRow="0" w:lastRow="0" w:firstColumn="0" w:lastColumn="0" w:noHBand="0" w:noVBand="0"/>
      </w:tblPr>
      <w:tblGrid>
        <w:gridCol w:w="5303"/>
        <w:gridCol w:w="5303"/>
      </w:tblGrid>
      <w:tr w:rsidR="007C68EE" w:rsidRPr="00F72633" w14:paraId="06A6F72A" w14:textId="77777777" w:rsidTr="005D4B85">
        <w:trPr>
          <w:trHeight w:val="3220"/>
          <w:jc w:val="center"/>
        </w:trPr>
        <w:tc>
          <w:tcPr>
            <w:tcW w:w="5303" w:type="dxa"/>
            <w:tcMar>
              <w:left w:w="28" w:type="dxa"/>
              <w:right w:w="28" w:type="dxa"/>
            </w:tcMar>
          </w:tcPr>
          <w:p w14:paraId="4BB94B07" w14:textId="04FFE471" w:rsidR="007C68EE" w:rsidRPr="00F72633" w:rsidRDefault="007C68EE" w:rsidP="00AF3F69">
            <w:pPr>
              <w:pStyle w:val="Caption"/>
              <w:rPr>
                <w:lang w:val="es-419"/>
              </w:rPr>
            </w:pPr>
            <w:r w:rsidRPr="00F72633">
              <w:rPr>
                <w:lang w:val="es-419"/>
              </w:rPr>
              <w:t>Figur</w:t>
            </w:r>
            <w:r w:rsidR="00A05CF3" w:rsidRPr="00F72633">
              <w:rPr>
                <w:lang w:val="es-419"/>
              </w:rPr>
              <w:t>a</w:t>
            </w:r>
            <w:r w:rsidRPr="00F72633">
              <w:rPr>
                <w:lang w:val="es-419"/>
              </w:rPr>
              <w:t xml:space="preserve"> </w:t>
            </w:r>
            <w:r w:rsidR="00F57630" w:rsidRPr="00F72633">
              <w:rPr>
                <w:lang w:val="es-419"/>
              </w:rPr>
              <w:t>9</w:t>
            </w:r>
            <w:r w:rsidR="00A05CF3" w:rsidRPr="00F72633">
              <w:rPr>
                <w:lang w:val="es-419"/>
              </w:rPr>
              <w:t>. Solicitudes de derechos de obtentor y títulos concedidos</w:t>
            </w:r>
          </w:p>
          <w:p w14:paraId="67EB7D1E" w14:textId="42C128B2" w:rsidR="00C91B9F" w:rsidRPr="00F72633" w:rsidRDefault="00C91B9F" w:rsidP="00C91B9F">
            <w:pPr>
              <w:jc w:val="center"/>
              <w:rPr>
                <w:lang w:val="es-419"/>
              </w:rPr>
            </w:pPr>
            <w:r w:rsidRPr="00F72633">
              <w:rPr>
                <w:noProof/>
                <w:lang w:eastAsia="en-US"/>
              </w:rPr>
              <w:drawing>
                <wp:inline distT="0" distB="0" distL="0" distR="0" wp14:anchorId="6DBF1BE6" wp14:editId="590C90B4">
                  <wp:extent cx="3205984" cy="211264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41621" cy="2136128"/>
                          </a:xfrm>
                          <a:prstGeom prst="rect">
                            <a:avLst/>
                          </a:prstGeom>
                          <a:noFill/>
                          <a:ln>
                            <a:noFill/>
                          </a:ln>
                        </pic:spPr>
                      </pic:pic>
                    </a:graphicData>
                  </a:graphic>
                </wp:inline>
              </w:drawing>
            </w:r>
          </w:p>
          <w:p w14:paraId="1E803173" w14:textId="434B6BBC" w:rsidR="007C68EE" w:rsidRPr="00F72633" w:rsidRDefault="007C68EE" w:rsidP="007E5254">
            <w:pPr>
              <w:jc w:val="center"/>
              <w:rPr>
                <w:rFonts w:ascii="Arial Narrow" w:hAnsi="Arial Narrow"/>
                <w:sz w:val="18"/>
                <w:lang w:val="es-419"/>
              </w:rPr>
            </w:pPr>
          </w:p>
        </w:tc>
        <w:tc>
          <w:tcPr>
            <w:tcW w:w="5303" w:type="dxa"/>
            <w:tcMar>
              <w:left w:w="28" w:type="dxa"/>
              <w:right w:w="28" w:type="dxa"/>
            </w:tcMar>
          </w:tcPr>
          <w:p w14:paraId="36F5BD74" w14:textId="3459937F" w:rsidR="007C68EE" w:rsidRPr="00F72633" w:rsidRDefault="007C68EE" w:rsidP="00AF3F69">
            <w:pPr>
              <w:pStyle w:val="Caption"/>
              <w:rPr>
                <w:lang w:val="es-419"/>
              </w:rPr>
            </w:pPr>
            <w:bookmarkStart w:id="25" w:name="_Toc524595663"/>
            <w:r w:rsidRPr="00F72633">
              <w:rPr>
                <w:lang w:val="es-419"/>
              </w:rPr>
              <w:t>Figur</w:t>
            </w:r>
            <w:r w:rsidR="00A05CF3" w:rsidRPr="00F72633">
              <w:rPr>
                <w:lang w:val="es-419"/>
              </w:rPr>
              <w:t>a</w:t>
            </w:r>
            <w:r w:rsidRPr="00F72633">
              <w:rPr>
                <w:lang w:val="es-419"/>
              </w:rPr>
              <w:t xml:space="preserve"> </w:t>
            </w:r>
            <w:r w:rsidR="00F57630" w:rsidRPr="00F72633">
              <w:rPr>
                <w:lang w:val="es-419"/>
              </w:rPr>
              <w:t>10</w:t>
            </w:r>
            <w:r w:rsidRPr="00F72633">
              <w:rPr>
                <w:lang w:val="es-419"/>
              </w:rPr>
              <w:t xml:space="preserve">. </w:t>
            </w:r>
            <w:bookmarkEnd w:id="25"/>
            <w:r w:rsidR="00A05CF3" w:rsidRPr="00F72633">
              <w:rPr>
                <w:lang w:val="es-419"/>
              </w:rPr>
              <w:t>Títulos de derechos de obtentor en vigor</w:t>
            </w:r>
          </w:p>
          <w:p w14:paraId="6B7C4946" w14:textId="26D3B19E" w:rsidR="00950913" w:rsidRPr="00F72633" w:rsidRDefault="00950913" w:rsidP="00950913">
            <w:pPr>
              <w:jc w:val="center"/>
              <w:rPr>
                <w:lang w:val="es-419"/>
              </w:rPr>
            </w:pPr>
            <w:r w:rsidRPr="00F72633">
              <w:rPr>
                <w:noProof/>
                <w:lang w:eastAsia="en-US"/>
              </w:rPr>
              <w:drawing>
                <wp:inline distT="0" distB="0" distL="0" distR="0" wp14:anchorId="2D196CD0" wp14:editId="1CA2A654">
                  <wp:extent cx="3327400" cy="2112645"/>
                  <wp:effectExtent l="0" t="0" r="635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27400" cy="2112645"/>
                          </a:xfrm>
                          <a:prstGeom prst="rect">
                            <a:avLst/>
                          </a:prstGeom>
                          <a:noFill/>
                          <a:ln>
                            <a:noFill/>
                          </a:ln>
                        </pic:spPr>
                      </pic:pic>
                    </a:graphicData>
                  </a:graphic>
                </wp:inline>
              </w:drawing>
            </w:r>
          </w:p>
          <w:p w14:paraId="0C71D938" w14:textId="20D0A84D" w:rsidR="007C68EE" w:rsidRPr="00F72633" w:rsidRDefault="007C68EE" w:rsidP="007E5254">
            <w:pPr>
              <w:jc w:val="center"/>
              <w:rPr>
                <w:rFonts w:ascii="Arial Narrow" w:hAnsi="Arial Narrow"/>
                <w:sz w:val="18"/>
                <w:lang w:val="es-419"/>
              </w:rPr>
            </w:pPr>
          </w:p>
        </w:tc>
      </w:tr>
    </w:tbl>
    <w:p w14:paraId="4E64B41D" w14:textId="77777777" w:rsidR="003E3C19" w:rsidRPr="00F72633" w:rsidRDefault="003E3C19" w:rsidP="003E3C19">
      <w:pPr>
        <w:widowControl w:val="0"/>
        <w:rPr>
          <w:bCs/>
          <w:sz w:val="18"/>
          <w:szCs w:val="22"/>
          <w:lang w:val="es-419"/>
        </w:rPr>
      </w:pPr>
    </w:p>
    <w:p w14:paraId="085E9CAC" w14:textId="77777777" w:rsidR="003E3C19" w:rsidRPr="00F72633" w:rsidRDefault="003E3C19" w:rsidP="003E3C19">
      <w:pPr>
        <w:widowControl w:val="0"/>
        <w:rPr>
          <w:bCs/>
          <w:sz w:val="18"/>
          <w:szCs w:val="22"/>
          <w:lang w:val="es-419"/>
        </w:rPr>
      </w:pPr>
    </w:p>
    <w:p w14:paraId="30AD27AF" w14:textId="4EF28882" w:rsidR="003E3C19" w:rsidRPr="00F72633" w:rsidRDefault="003E3C19" w:rsidP="00AF3F69">
      <w:pPr>
        <w:pStyle w:val="Caption"/>
        <w:rPr>
          <w:lang w:val="es-419"/>
        </w:rPr>
      </w:pPr>
      <w:bookmarkStart w:id="26" w:name="_Toc524595667"/>
      <w:r w:rsidRPr="00F72633">
        <w:rPr>
          <w:lang w:val="es-419"/>
        </w:rPr>
        <w:lastRenderedPageBreak/>
        <w:t>Figur</w:t>
      </w:r>
      <w:r w:rsidR="00A05CF3" w:rsidRPr="00F72633">
        <w:rPr>
          <w:lang w:val="es-419"/>
        </w:rPr>
        <w:t>a</w:t>
      </w:r>
      <w:r w:rsidRPr="00F72633">
        <w:rPr>
          <w:lang w:val="es-419"/>
        </w:rPr>
        <w:t xml:space="preserve"> </w:t>
      </w:r>
      <w:r w:rsidR="0091036D" w:rsidRPr="00F72633">
        <w:rPr>
          <w:lang w:val="es-419"/>
        </w:rPr>
        <w:t>11</w:t>
      </w:r>
      <w:r w:rsidR="00A05CF3" w:rsidRPr="00F72633">
        <w:rPr>
          <w:lang w:val="es-419"/>
        </w:rPr>
        <w:t>. Protección de géneros y especies vegetales en</w:t>
      </w:r>
      <w:r w:rsidRPr="00F72633">
        <w:rPr>
          <w:lang w:val="es-419"/>
        </w:rPr>
        <w:t xml:space="preserve"> 20</w:t>
      </w:r>
      <w:bookmarkEnd w:id="26"/>
      <w:r w:rsidRPr="00F72633">
        <w:rPr>
          <w:lang w:val="es-419"/>
        </w:rPr>
        <w:t>2</w:t>
      </w:r>
      <w:r w:rsidR="005F45B2" w:rsidRPr="00F72633">
        <w:rPr>
          <w:lang w:val="es-419"/>
        </w:rPr>
        <w:t>2</w:t>
      </w:r>
    </w:p>
    <w:p w14:paraId="7DD83D10" w14:textId="77777777" w:rsidR="003E3C19" w:rsidRPr="00F72633" w:rsidRDefault="00E76559" w:rsidP="003E3C19">
      <w:pPr>
        <w:widowControl w:val="0"/>
        <w:jc w:val="center"/>
        <w:rPr>
          <w:szCs w:val="18"/>
          <w:lang w:val="es-419"/>
        </w:rPr>
      </w:pPr>
      <w:r w:rsidRPr="00F72633">
        <w:rPr>
          <w:noProof/>
          <w:szCs w:val="18"/>
          <w:lang w:eastAsia="en-US"/>
        </w:rPr>
        <w:drawing>
          <wp:inline distT="0" distB="0" distL="0" distR="0" wp14:anchorId="26AA8DF4" wp14:editId="7814A1AE">
            <wp:extent cx="6120765" cy="31007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otection_countries.png"/>
                    <pic:cNvPicPr/>
                  </pic:nvPicPr>
                  <pic:blipFill>
                    <a:blip r:embed="rId26">
                      <a:extLst>
                        <a:ext uri="{28A0092B-C50C-407E-A947-70E740481C1C}">
                          <a14:useLocalDpi xmlns:a14="http://schemas.microsoft.com/office/drawing/2010/main" val="0"/>
                        </a:ext>
                      </a:extLst>
                    </a:blip>
                    <a:stretch>
                      <a:fillRect/>
                    </a:stretch>
                  </pic:blipFill>
                  <pic:spPr>
                    <a:xfrm>
                      <a:off x="0" y="0"/>
                      <a:ext cx="6120765" cy="3100705"/>
                    </a:xfrm>
                    <a:prstGeom prst="rect">
                      <a:avLst/>
                    </a:prstGeom>
                  </pic:spPr>
                </pic:pic>
              </a:graphicData>
            </a:graphic>
          </wp:inline>
        </w:drawing>
      </w:r>
    </w:p>
    <w:p w14:paraId="6BAB7C81" w14:textId="2C587636" w:rsidR="003E3C19" w:rsidRPr="00F72633" w:rsidRDefault="00A05CF3" w:rsidP="003E3C19">
      <w:pPr>
        <w:pStyle w:val="BodyText"/>
        <w:spacing w:after="180"/>
        <w:ind w:left="540" w:right="425"/>
        <w:rPr>
          <w:sz w:val="12"/>
          <w:szCs w:val="12"/>
          <w:lang w:val="es-419"/>
        </w:rPr>
      </w:pPr>
      <w:r w:rsidRPr="00F72633">
        <w:rPr>
          <w:sz w:val="12"/>
          <w:lang w:val="es-419"/>
        </w:rPr>
        <w:t>Las fronteras que figuran en este mapa no implican la expresión de opinión alguna por parte de la UPOV sobre la condición jurídica de ningún país o territorio.</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
        <w:gridCol w:w="172"/>
        <w:gridCol w:w="8333"/>
      </w:tblGrid>
      <w:tr w:rsidR="003E3C19" w:rsidRPr="00F72633" w14:paraId="59854AB6" w14:textId="77777777" w:rsidTr="00B904E7">
        <w:trPr>
          <w:trHeight w:val="267"/>
        </w:trPr>
        <w:tc>
          <w:tcPr>
            <w:tcW w:w="283" w:type="dxa"/>
            <w:shd w:val="clear" w:color="auto" w:fill="7030A0"/>
            <w:vAlign w:val="center"/>
          </w:tcPr>
          <w:p w14:paraId="2CD45E12" w14:textId="77777777" w:rsidR="003E3C19" w:rsidRPr="00F72633" w:rsidRDefault="003E3C19" w:rsidP="00B904E7">
            <w:pPr>
              <w:jc w:val="left"/>
              <w:rPr>
                <w:rFonts w:ascii="Arial Narrow" w:hAnsi="Arial Narrow"/>
                <w:sz w:val="18"/>
                <w:szCs w:val="16"/>
                <w:lang w:val="es-419"/>
              </w:rPr>
            </w:pPr>
          </w:p>
        </w:tc>
        <w:tc>
          <w:tcPr>
            <w:tcW w:w="172" w:type="dxa"/>
            <w:vAlign w:val="center"/>
          </w:tcPr>
          <w:p w14:paraId="6A29A018" w14:textId="77777777" w:rsidR="003E3C19" w:rsidRPr="00F72633" w:rsidRDefault="003E3C19" w:rsidP="00B904E7">
            <w:pPr>
              <w:jc w:val="left"/>
              <w:rPr>
                <w:rFonts w:ascii="Arial Narrow" w:hAnsi="Arial Narrow"/>
                <w:sz w:val="18"/>
                <w:szCs w:val="16"/>
                <w:lang w:val="es-419"/>
              </w:rPr>
            </w:pPr>
          </w:p>
        </w:tc>
        <w:tc>
          <w:tcPr>
            <w:tcW w:w="8333" w:type="dxa"/>
            <w:vAlign w:val="center"/>
          </w:tcPr>
          <w:p w14:paraId="59EFA477" w14:textId="0598BB43" w:rsidR="003E3C19" w:rsidRPr="00F72633" w:rsidRDefault="00A05CF3" w:rsidP="00B904E7">
            <w:pPr>
              <w:jc w:val="left"/>
              <w:rPr>
                <w:rFonts w:ascii="Arial Narrow" w:hAnsi="Arial Narrow"/>
                <w:sz w:val="18"/>
                <w:szCs w:val="16"/>
                <w:lang w:val="es-419"/>
              </w:rPr>
            </w:pPr>
            <w:r w:rsidRPr="00F72633">
              <w:rPr>
                <w:rFonts w:ascii="Arial Narrow" w:hAnsi="Arial Narrow"/>
                <w:sz w:val="18"/>
                <w:lang w:val="es-419"/>
              </w:rPr>
              <w:t>Miembros de la Unión que brindan protección a todos los géneros y especies vegetales</w:t>
            </w:r>
          </w:p>
        </w:tc>
      </w:tr>
      <w:tr w:rsidR="003E3C19" w:rsidRPr="00F72633" w14:paraId="13721E09" w14:textId="77777777" w:rsidTr="00B904E7">
        <w:tc>
          <w:tcPr>
            <w:tcW w:w="283" w:type="dxa"/>
            <w:shd w:val="clear" w:color="auto" w:fill="auto"/>
            <w:vAlign w:val="center"/>
          </w:tcPr>
          <w:p w14:paraId="69900E04" w14:textId="77777777" w:rsidR="003E3C19" w:rsidRPr="00F72633" w:rsidRDefault="003E3C19" w:rsidP="00B904E7">
            <w:pPr>
              <w:jc w:val="left"/>
              <w:rPr>
                <w:rFonts w:ascii="Arial Narrow" w:hAnsi="Arial Narrow"/>
                <w:sz w:val="18"/>
                <w:szCs w:val="16"/>
                <w:lang w:val="es-419"/>
              </w:rPr>
            </w:pPr>
          </w:p>
        </w:tc>
        <w:tc>
          <w:tcPr>
            <w:tcW w:w="172" w:type="dxa"/>
            <w:vAlign w:val="center"/>
          </w:tcPr>
          <w:p w14:paraId="5676B0DA" w14:textId="77777777" w:rsidR="003E3C19" w:rsidRPr="00F72633" w:rsidRDefault="003E3C19" w:rsidP="00B904E7">
            <w:pPr>
              <w:jc w:val="left"/>
              <w:rPr>
                <w:rFonts w:ascii="Arial Narrow" w:hAnsi="Arial Narrow"/>
                <w:sz w:val="18"/>
                <w:szCs w:val="16"/>
                <w:lang w:val="es-419"/>
              </w:rPr>
            </w:pPr>
          </w:p>
        </w:tc>
        <w:tc>
          <w:tcPr>
            <w:tcW w:w="8333" w:type="dxa"/>
            <w:vAlign w:val="center"/>
          </w:tcPr>
          <w:p w14:paraId="226B8FA3" w14:textId="77777777" w:rsidR="003E3C19" w:rsidRPr="00F72633" w:rsidRDefault="003E3C19" w:rsidP="00B904E7">
            <w:pPr>
              <w:jc w:val="left"/>
              <w:rPr>
                <w:rFonts w:ascii="Arial Narrow" w:hAnsi="Arial Narrow"/>
                <w:sz w:val="18"/>
                <w:szCs w:val="16"/>
                <w:lang w:val="es-419"/>
              </w:rPr>
            </w:pPr>
          </w:p>
        </w:tc>
      </w:tr>
      <w:tr w:rsidR="003E3C19" w:rsidRPr="00F72633" w14:paraId="5FB6B245" w14:textId="77777777" w:rsidTr="00B904E7">
        <w:trPr>
          <w:trHeight w:val="266"/>
        </w:trPr>
        <w:tc>
          <w:tcPr>
            <w:tcW w:w="283" w:type="dxa"/>
            <w:shd w:val="clear" w:color="auto" w:fill="951F81"/>
            <w:vAlign w:val="center"/>
          </w:tcPr>
          <w:p w14:paraId="1BF6ED21" w14:textId="77777777" w:rsidR="003E3C19" w:rsidRPr="00F72633" w:rsidRDefault="003E3C19" w:rsidP="00B904E7">
            <w:pPr>
              <w:jc w:val="left"/>
              <w:rPr>
                <w:rFonts w:ascii="Arial Narrow" w:hAnsi="Arial Narrow"/>
                <w:sz w:val="18"/>
                <w:szCs w:val="16"/>
                <w:lang w:val="es-419"/>
              </w:rPr>
            </w:pPr>
          </w:p>
        </w:tc>
        <w:tc>
          <w:tcPr>
            <w:tcW w:w="172" w:type="dxa"/>
            <w:vAlign w:val="center"/>
          </w:tcPr>
          <w:p w14:paraId="6AF3C4C1" w14:textId="77777777" w:rsidR="003E3C19" w:rsidRPr="00F72633" w:rsidRDefault="003E3C19" w:rsidP="00B904E7">
            <w:pPr>
              <w:jc w:val="left"/>
              <w:rPr>
                <w:rFonts w:ascii="Arial Narrow" w:hAnsi="Arial Narrow"/>
                <w:sz w:val="18"/>
                <w:szCs w:val="16"/>
                <w:lang w:val="es-419"/>
              </w:rPr>
            </w:pPr>
          </w:p>
        </w:tc>
        <w:tc>
          <w:tcPr>
            <w:tcW w:w="8333" w:type="dxa"/>
            <w:vAlign w:val="center"/>
          </w:tcPr>
          <w:p w14:paraId="24D0220A" w14:textId="4F4523D5" w:rsidR="003E3C19" w:rsidRPr="00F72633" w:rsidRDefault="00A05CF3" w:rsidP="00B904E7">
            <w:pPr>
              <w:jc w:val="left"/>
              <w:rPr>
                <w:rFonts w:ascii="Arial Narrow" w:hAnsi="Arial Narrow"/>
                <w:sz w:val="18"/>
                <w:szCs w:val="16"/>
                <w:lang w:val="es-419"/>
              </w:rPr>
            </w:pPr>
            <w:r w:rsidRPr="00F72633">
              <w:rPr>
                <w:rFonts w:ascii="Arial Narrow" w:hAnsi="Arial Narrow"/>
                <w:sz w:val="18"/>
                <w:lang w:val="es-419"/>
              </w:rPr>
              <w:t>Miembros de la Unión que brindan protección a un número limitado de géneros y especies vegetales</w:t>
            </w:r>
          </w:p>
        </w:tc>
      </w:tr>
      <w:tr w:rsidR="003E3C19" w:rsidRPr="00F72633" w14:paraId="6047ED73" w14:textId="77777777" w:rsidTr="00B904E7">
        <w:tc>
          <w:tcPr>
            <w:tcW w:w="283" w:type="dxa"/>
            <w:shd w:val="clear" w:color="auto" w:fill="auto"/>
            <w:vAlign w:val="center"/>
          </w:tcPr>
          <w:p w14:paraId="7EE1FCB2" w14:textId="77777777" w:rsidR="003E3C19" w:rsidRPr="00F72633" w:rsidRDefault="003E3C19" w:rsidP="00B904E7">
            <w:pPr>
              <w:jc w:val="left"/>
              <w:rPr>
                <w:rFonts w:ascii="Arial Narrow" w:hAnsi="Arial Narrow"/>
                <w:sz w:val="18"/>
                <w:szCs w:val="16"/>
                <w:lang w:val="es-419"/>
              </w:rPr>
            </w:pPr>
          </w:p>
        </w:tc>
        <w:tc>
          <w:tcPr>
            <w:tcW w:w="172" w:type="dxa"/>
            <w:vAlign w:val="center"/>
          </w:tcPr>
          <w:p w14:paraId="3EA82DA1" w14:textId="77777777" w:rsidR="003E3C19" w:rsidRPr="00F72633" w:rsidRDefault="003E3C19" w:rsidP="00B904E7">
            <w:pPr>
              <w:jc w:val="left"/>
              <w:rPr>
                <w:rFonts w:ascii="Arial Narrow" w:hAnsi="Arial Narrow"/>
                <w:sz w:val="18"/>
                <w:szCs w:val="16"/>
                <w:lang w:val="es-419"/>
              </w:rPr>
            </w:pPr>
          </w:p>
        </w:tc>
        <w:tc>
          <w:tcPr>
            <w:tcW w:w="8333" w:type="dxa"/>
            <w:vAlign w:val="center"/>
          </w:tcPr>
          <w:p w14:paraId="54EB41CB" w14:textId="77777777" w:rsidR="003E3C19" w:rsidRPr="00F72633" w:rsidRDefault="003E3C19" w:rsidP="00B904E7">
            <w:pPr>
              <w:jc w:val="left"/>
              <w:rPr>
                <w:rFonts w:ascii="Arial Narrow" w:hAnsi="Arial Narrow"/>
                <w:sz w:val="18"/>
                <w:szCs w:val="16"/>
                <w:lang w:val="es-419"/>
              </w:rPr>
            </w:pPr>
          </w:p>
        </w:tc>
      </w:tr>
      <w:tr w:rsidR="003E3C19" w:rsidRPr="00F72633" w14:paraId="1608A1BE" w14:textId="77777777" w:rsidTr="00B904E7">
        <w:trPr>
          <w:trHeight w:val="266"/>
        </w:trPr>
        <w:tc>
          <w:tcPr>
            <w:tcW w:w="283" w:type="dxa"/>
            <w:shd w:val="clear" w:color="auto" w:fill="C684AD"/>
            <w:vAlign w:val="center"/>
          </w:tcPr>
          <w:p w14:paraId="426D3369" w14:textId="77777777" w:rsidR="003E3C19" w:rsidRPr="00F72633" w:rsidRDefault="003E3C19" w:rsidP="00B904E7">
            <w:pPr>
              <w:jc w:val="left"/>
              <w:rPr>
                <w:rFonts w:ascii="Arial Narrow" w:hAnsi="Arial Narrow"/>
                <w:sz w:val="18"/>
                <w:szCs w:val="16"/>
                <w:lang w:val="es-419"/>
              </w:rPr>
            </w:pPr>
          </w:p>
        </w:tc>
        <w:tc>
          <w:tcPr>
            <w:tcW w:w="172" w:type="dxa"/>
            <w:vAlign w:val="center"/>
          </w:tcPr>
          <w:p w14:paraId="725A2CCA" w14:textId="77777777" w:rsidR="003E3C19" w:rsidRPr="00F72633" w:rsidRDefault="003E3C19" w:rsidP="00B904E7">
            <w:pPr>
              <w:jc w:val="left"/>
              <w:rPr>
                <w:rFonts w:ascii="Arial Narrow" w:hAnsi="Arial Narrow"/>
                <w:sz w:val="18"/>
                <w:szCs w:val="16"/>
                <w:lang w:val="es-419"/>
              </w:rPr>
            </w:pPr>
          </w:p>
        </w:tc>
        <w:tc>
          <w:tcPr>
            <w:tcW w:w="8333" w:type="dxa"/>
            <w:vAlign w:val="center"/>
          </w:tcPr>
          <w:p w14:paraId="087545EF" w14:textId="64E796E6" w:rsidR="003E3C19" w:rsidRPr="00F72633" w:rsidRDefault="00A05CF3" w:rsidP="00B904E7">
            <w:pPr>
              <w:jc w:val="left"/>
              <w:rPr>
                <w:rFonts w:ascii="Arial Narrow" w:hAnsi="Arial Narrow"/>
                <w:sz w:val="18"/>
                <w:szCs w:val="16"/>
                <w:lang w:val="es-419"/>
              </w:rPr>
            </w:pPr>
            <w:r w:rsidRPr="00F72633">
              <w:rPr>
                <w:rFonts w:ascii="Arial Narrow" w:hAnsi="Arial Narrow"/>
                <w:sz w:val="18"/>
                <w:lang w:val="es-419"/>
              </w:rPr>
              <w:t>Miembros de la Unión que no han notificado la ampliación de la protección a todos los géneros y especies vegetales</w:t>
            </w:r>
          </w:p>
        </w:tc>
      </w:tr>
    </w:tbl>
    <w:p w14:paraId="6431A72D" w14:textId="77777777" w:rsidR="003E3C19" w:rsidRPr="00F72633" w:rsidRDefault="003E3C19" w:rsidP="003E3C19">
      <w:pPr>
        <w:jc w:val="center"/>
        <w:rPr>
          <w:rFonts w:ascii="Arial Narrow" w:hAnsi="Arial Narrow"/>
          <w:bCs/>
          <w:sz w:val="18"/>
          <w:lang w:val="es-419"/>
        </w:rPr>
      </w:pPr>
    </w:p>
    <w:p w14:paraId="5FE7492E" w14:textId="77777777" w:rsidR="003E3C19" w:rsidRPr="00F72633" w:rsidRDefault="003E3C19" w:rsidP="003E3C19">
      <w:pPr>
        <w:jc w:val="center"/>
        <w:rPr>
          <w:rFonts w:ascii="Arial Narrow" w:hAnsi="Arial Narrow"/>
          <w:bCs/>
          <w:sz w:val="18"/>
          <w:lang w:val="es-419"/>
        </w:rPr>
      </w:pPr>
    </w:p>
    <w:p w14:paraId="46EF4FC3" w14:textId="77777777" w:rsidR="003E3C19" w:rsidRPr="00F72633" w:rsidRDefault="003E3C19" w:rsidP="003E3C19">
      <w:pPr>
        <w:jc w:val="center"/>
        <w:rPr>
          <w:rFonts w:ascii="Arial Narrow" w:hAnsi="Arial Narrow"/>
          <w:bCs/>
          <w:sz w:val="18"/>
          <w:lang w:val="es-419"/>
        </w:rPr>
      </w:pPr>
    </w:p>
    <w:p w14:paraId="65D3D4D0" w14:textId="5F3D2BFE" w:rsidR="003E3C19" w:rsidRPr="00F72633" w:rsidRDefault="003E3C19" w:rsidP="00AF3F69">
      <w:pPr>
        <w:pStyle w:val="Caption"/>
        <w:rPr>
          <w:lang w:val="es-419"/>
        </w:rPr>
      </w:pPr>
      <w:r w:rsidRPr="00F72633">
        <w:rPr>
          <w:lang w:val="es-419"/>
        </w:rPr>
        <w:t>Figur</w:t>
      </w:r>
      <w:r w:rsidR="00A05CF3" w:rsidRPr="00F72633">
        <w:rPr>
          <w:lang w:val="es-419"/>
        </w:rPr>
        <w:t>a</w:t>
      </w:r>
      <w:r w:rsidRPr="00F72633">
        <w:rPr>
          <w:lang w:val="es-419"/>
        </w:rPr>
        <w:t xml:space="preserve"> </w:t>
      </w:r>
      <w:r w:rsidR="0091036D" w:rsidRPr="00F72633">
        <w:rPr>
          <w:lang w:val="es-419"/>
        </w:rPr>
        <w:t>12</w:t>
      </w:r>
      <w:r w:rsidR="00A05CF3" w:rsidRPr="00F72633">
        <w:rPr>
          <w:lang w:val="es-419"/>
        </w:rPr>
        <w:t>. Evolución de la protección de géneros y especies vegetales</w:t>
      </w:r>
    </w:p>
    <w:p w14:paraId="48CD940D" w14:textId="25B234CB" w:rsidR="00E03EA4" w:rsidRPr="00F72633" w:rsidRDefault="00E03EA4" w:rsidP="00E03EA4">
      <w:pPr>
        <w:jc w:val="center"/>
        <w:rPr>
          <w:lang w:val="es-419"/>
        </w:rPr>
      </w:pPr>
      <w:r w:rsidRPr="00F72633">
        <w:rPr>
          <w:noProof/>
          <w:lang w:eastAsia="en-US"/>
        </w:rPr>
        <w:drawing>
          <wp:inline distT="0" distB="0" distL="0" distR="0" wp14:anchorId="77F9EF89" wp14:editId="286F41E9">
            <wp:extent cx="4593167" cy="354913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10201" cy="3562296"/>
                    </a:xfrm>
                    <a:prstGeom prst="rect">
                      <a:avLst/>
                    </a:prstGeom>
                    <a:noFill/>
                    <a:ln>
                      <a:noFill/>
                    </a:ln>
                  </pic:spPr>
                </pic:pic>
              </a:graphicData>
            </a:graphic>
          </wp:inline>
        </w:drawing>
      </w:r>
    </w:p>
    <w:p w14:paraId="0A981BC3" w14:textId="4C049C1B" w:rsidR="003E3C19" w:rsidRPr="00F72633" w:rsidRDefault="003E3C19" w:rsidP="003E3C19">
      <w:pPr>
        <w:jc w:val="center"/>
        <w:rPr>
          <w:lang w:val="es-419"/>
        </w:rPr>
      </w:pPr>
    </w:p>
    <w:p w14:paraId="086DC669" w14:textId="77777777" w:rsidR="003E3C19" w:rsidRPr="00F72633" w:rsidRDefault="003E3C19" w:rsidP="003E3C19">
      <w:pPr>
        <w:rPr>
          <w:lang w:val="es-419"/>
        </w:rPr>
      </w:pPr>
    </w:p>
    <w:p w14:paraId="766150F4" w14:textId="77777777" w:rsidR="003E3C19" w:rsidRPr="00F72633" w:rsidRDefault="003E3C19" w:rsidP="003E3C19">
      <w:pPr>
        <w:jc w:val="left"/>
        <w:rPr>
          <w:sz w:val="18"/>
          <w:szCs w:val="18"/>
          <w:lang w:val="es-419"/>
        </w:rPr>
      </w:pPr>
    </w:p>
    <w:p w14:paraId="0E6BA44B" w14:textId="5AA8A9C7" w:rsidR="0051534E" w:rsidRPr="00F72633" w:rsidRDefault="0051534E" w:rsidP="00AF3F69">
      <w:pPr>
        <w:pStyle w:val="Caption"/>
        <w:rPr>
          <w:lang w:val="es-419"/>
        </w:rPr>
      </w:pPr>
      <w:r w:rsidRPr="00F72633">
        <w:rPr>
          <w:lang w:val="es-419"/>
        </w:rPr>
        <w:lastRenderedPageBreak/>
        <w:t>Figur</w:t>
      </w:r>
      <w:r w:rsidR="00A05CF3" w:rsidRPr="00F72633">
        <w:rPr>
          <w:lang w:val="es-419"/>
        </w:rPr>
        <w:t>a</w:t>
      </w:r>
      <w:r w:rsidRPr="00F72633">
        <w:rPr>
          <w:lang w:val="es-419"/>
        </w:rPr>
        <w:t xml:space="preserve"> </w:t>
      </w:r>
      <w:r w:rsidR="0091036D" w:rsidRPr="00F72633">
        <w:rPr>
          <w:lang w:val="es-419"/>
        </w:rPr>
        <w:t>13</w:t>
      </w:r>
      <w:r w:rsidR="005508CB" w:rsidRPr="00F72633">
        <w:rPr>
          <w:lang w:val="es-419"/>
        </w:rPr>
        <w:t>.</w:t>
      </w:r>
      <w:r w:rsidR="00A05CF3" w:rsidRPr="00F72633">
        <w:rPr>
          <w:lang w:val="es-419"/>
        </w:rPr>
        <w:t xml:space="preserve"> Datos de la base de datos PLUTO</w:t>
      </w: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51534E" w:rsidRPr="00F72633" w14:paraId="58B2ED23" w14:textId="77777777" w:rsidTr="00B64144">
        <w:tc>
          <w:tcPr>
            <w:tcW w:w="5312" w:type="dxa"/>
            <w:shd w:val="clear" w:color="auto" w:fill="auto"/>
          </w:tcPr>
          <w:p w14:paraId="528A8A44" w14:textId="18E06894" w:rsidR="0051534E" w:rsidRPr="00F72633" w:rsidRDefault="006C36AC" w:rsidP="00B64144">
            <w:pPr>
              <w:keepNext/>
              <w:jc w:val="center"/>
              <w:rPr>
                <w:rFonts w:ascii="Arial Narrow" w:hAnsi="Arial Narrow"/>
                <w:i/>
                <w:sz w:val="18"/>
                <w:szCs w:val="18"/>
                <w:lang w:val="es-419" w:eastAsia="ja-JP"/>
              </w:rPr>
            </w:pPr>
            <w:r w:rsidRPr="00F72633">
              <w:rPr>
                <w:rFonts w:ascii="Arial Narrow" w:hAnsi="Arial Narrow"/>
                <w:i/>
                <w:snapToGrid w:val="0"/>
                <w:sz w:val="18"/>
                <w:lang w:val="es-419"/>
              </w:rPr>
              <w:t>Solicitudes presentadas por tipo de cultivo</w:t>
            </w:r>
            <w:r w:rsidR="0051534E" w:rsidRPr="00F72633">
              <w:rPr>
                <w:rFonts w:ascii="Arial Narrow" w:hAnsi="Arial Narrow"/>
                <w:i/>
                <w:snapToGrid w:val="0"/>
                <w:sz w:val="18"/>
                <w:szCs w:val="18"/>
                <w:lang w:val="es-419" w:eastAsia="ja-JP"/>
              </w:rPr>
              <w:t>:</w:t>
            </w:r>
          </w:p>
          <w:p w14:paraId="27E73550" w14:textId="77777777" w:rsidR="0051534E" w:rsidRPr="00F72633" w:rsidRDefault="0051534E" w:rsidP="00B64144">
            <w:pPr>
              <w:keepNext/>
              <w:jc w:val="center"/>
              <w:rPr>
                <w:rFonts w:ascii="Arial Narrow" w:hAnsi="Arial Narrow"/>
                <w:sz w:val="18"/>
                <w:szCs w:val="18"/>
                <w:lang w:val="es-419"/>
              </w:rPr>
            </w:pPr>
          </w:p>
          <w:tbl>
            <w:tblPr>
              <w:tblW w:w="5060" w:type="dxa"/>
              <w:jc w:val="center"/>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89"/>
              <w:gridCol w:w="975"/>
              <w:gridCol w:w="854"/>
              <w:gridCol w:w="736"/>
              <w:gridCol w:w="984"/>
              <w:gridCol w:w="1022"/>
            </w:tblGrid>
            <w:tr w:rsidR="0051534E" w:rsidRPr="00F72633" w14:paraId="74EF5A30"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6BF4F309" w14:textId="77777777" w:rsidR="0051534E" w:rsidRPr="00F72633" w:rsidRDefault="0051534E" w:rsidP="00B64144">
                  <w:pPr>
                    <w:jc w:val="left"/>
                    <w:rPr>
                      <w:rFonts w:ascii="Arial Narrow" w:hAnsi="Arial Narrow"/>
                      <w:snapToGrid w:val="0"/>
                      <w:sz w:val="18"/>
                      <w:szCs w:val="18"/>
                      <w:lang w:val="es-419" w:eastAsia="ja-JP"/>
                    </w:rPr>
                  </w:pPr>
                </w:p>
              </w:tc>
              <w:tc>
                <w:tcPr>
                  <w:tcW w:w="4559" w:type="dxa"/>
                  <w:gridSpan w:val="5"/>
                  <w:tcBorders>
                    <w:top w:val="nil"/>
                    <w:left w:val="nil"/>
                    <w:bottom w:val="nil"/>
                    <w:right w:val="nil"/>
                  </w:tcBorders>
                  <w:shd w:val="clear" w:color="auto" w:fill="D6F4D6" w:themeFill="accent2" w:themeFillTint="33"/>
                  <w:vAlign w:val="bottom"/>
                </w:tcPr>
                <w:p w14:paraId="2F1C8A38" w14:textId="4B3787E0" w:rsidR="0051534E" w:rsidRPr="00F72633" w:rsidRDefault="006C36AC" w:rsidP="00B64144">
                  <w:pPr>
                    <w:jc w:val="center"/>
                    <w:rPr>
                      <w:rFonts w:ascii="Arial Narrow" w:hAnsi="Arial Narrow"/>
                      <w:snapToGrid w:val="0"/>
                      <w:sz w:val="18"/>
                      <w:szCs w:val="18"/>
                      <w:lang w:val="es-419" w:eastAsia="ja-JP"/>
                    </w:rPr>
                  </w:pPr>
                  <w:r w:rsidRPr="00F72633">
                    <w:rPr>
                      <w:rFonts w:ascii="Arial Narrow" w:hAnsi="Arial Narrow"/>
                      <w:snapToGrid w:val="0"/>
                      <w:sz w:val="18"/>
                      <w:lang w:val="es-419"/>
                    </w:rPr>
                    <w:t>Tipo de cultivo</w:t>
                  </w:r>
                </w:p>
              </w:tc>
            </w:tr>
            <w:tr w:rsidR="0051534E" w:rsidRPr="00F72633" w14:paraId="0AA80E3B"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1D63C718" w14:textId="633B878E" w:rsidR="0051534E" w:rsidRPr="00F72633" w:rsidRDefault="00F350FC"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Año</w:t>
                  </w:r>
                </w:p>
              </w:tc>
              <w:tc>
                <w:tcPr>
                  <w:tcW w:w="1009" w:type="dxa"/>
                  <w:tcBorders>
                    <w:top w:val="nil"/>
                    <w:left w:val="nil"/>
                    <w:bottom w:val="nil"/>
                    <w:right w:val="nil"/>
                  </w:tcBorders>
                  <w:shd w:val="clear" w:color="auto" w:fill="D6F4D6" w:themeFill="accent2" w:themeFillTint="33"/>
                  <w:vAlign w:val="bottom"/>
                </w:tcPr>
                <w:p w14:paraId="17D9ADAD" w14:textId="68B3F17E"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Agrícolas</w:t>
                  </w:r>
                </w:p>
              </w:tc>
              <w:tc>
                <w:tcPr>
                  <w:tcW w:w="871" w:type="dxa"/>
                  <w:tcBorders>
                    <w:top w:val="nil"/>
                    <w:left w:val="nil"/>
                    <w:bottom w:val="nil"/>
                    <w:right w:val="nil"/>
                  </w:tcBorders>
                  <w:shd w:val="clear" w:color="auto" w:fill="D6F4D6" w:themeFill="accent2" w:themeFillTint="33"/>
                  <w:vAlign w:val="bottom"/>
                </w:tcPr>
                <w:p w14:paraId="14E8840B" w14:textId="48570686"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Árboles forestales</w:t>
                  </w:r>
                </w:p>
              </w:tc>
              <w:tc>
                <w:tcPr>
                  <w:tcW w:w="752" w:type="dxa"/>
                  <w:tcBorders>
                    <w:top w:val="nil"/>
                    <w:left w:val="nil"/>
                    <w:bottom w:val="nil"/>
                    <w:right w:val="nil"/>
                  </w:tcBorders>
                  <w:shd w:val="clear" w:color="auto" w:fill="D6F4D6" w:themeFill="accent2" w:themeFillTint="33"/>
                  <w:vAlign w:val="bottom"/>
                </w:tcPr>
                <w:p w14:paraId="371E4455" w14:textId="41229878"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Frutales</w:t>
                  </w:r>
                </w:p>
              </w:tc>
              <w:tc>
                <w:tcPr>
                  <w:tcW w:w="871" w:type="dxa"/>
                  <w:tcBorders>
                    <w:top w:val="nil"/>
                    <w:left w:val="nil"/>
                    <w:bottom w:val="nil"/>
                    <w:right w:val="nil"/>
                  </w:tcBorders>
                  <w:shd w:val="clear" w:color="auto" w:fill="D6F4D6" w:themeFill="accent2" w:themeFillTint="33"/>
                  <w:vAlign w:val="bottom"/>
                </w:tcPr>
                <w:p w14:paraId="1F303C69" w14:textId="1D2FBC73"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Ornamentales</w:t>
                  </w:r>
                </w:p>
              </w:tc>
              <w:tc>
                <w:tcPr>
                  <w:tcW w:w="1056" w:type="dxa"/>
                  <w:tcBorders>
                    <w:top w:val="nil"/>
                    <w:left w:val="nil"/>
                    <w:bottom w:val="nil"/>
                    <w:right w:val="nil"/>
                  </w:tcBorders>
                  <w:shd w:val="clear" w:color="auto" w:fill="D6F4D6" w:themeFill="accent2" w:themeFillTint="33"/>
                  <w:vAlign w:val="bottom"/>
                </w:tcPr>
                <w:p w14:paraId="188A3F38" w14:textId="399CE6B9"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Hortícolas</w:t>
                  </w:r>
                </w:p>
              </w:tc>
            </w:tr>
            <w:tr w:rsidR="0051534E" w:rsidRPr="00F72633" w14:paraId="0BFA81B8" w14:textId="77777777" w:rsidTr="00B64144">
              <w:trPr>
                <w:cantSplit/>
                <w:jc w:val="center"/>
              </w:trPr>
              <w:tc>
                <w:tcPr>
                  <w:tcW w:w="501" w:type="dxa"/>
                  <w:tcBorders>
                    <w:top w:val="nil"/>
                    <w:left w:val="nil"/>
                    <w:bottom w:val="single" w:sz="8" w:space="0" w:color="D9D9D9" w:themeColor="background1" w:themeShade="D9"/>
                    <w:right w:val="nil"/>
                  </w:tcBorders>
                  <w:shd w:val="clear" w:color="auto" w:fill="auto"/>
                </w:tcPr>
                <w:p w14:paraId="6C369A77" w14:textId="77777777" w:rsidR="0051534E" w:rsidRPr="00F72633" w:rsidRDefault="0051534E" w:rsidP="00B64144">
                  <w:pPr>
                    <w:jc w:val="left"/>
                    <w:rPr>
                      <w:rFonts w:ascii="Arial Narrow" w:hAnsi="Arial Narrow"/>
                      <w:snapToGrid w:val="0"/>
                      <w:sz w:val="18"/>
                      <w:lang w:val="es-419" w:eastAsia="ja-JP"/>
                    </w:rPr>
                  </w:pPr>
                  <w:r w:rsidRPr="00F72633">
                    <w:rPr>
                      <w:rFonts w:ascii="Arial Narrow" w:hAnsi="Arial Narrow"/>
                      <w:snapToGrid w:val="0"/>
                      <w:sz w:val="18"/>
                      <w:lang w:val="es-419" w:eastAsia="ja-JP"/>
                    </w:rPr>
                    <w:t>2012</w:t>
                  </w:r>
                </w:p>
              </w:tc>
              <w:tc>
                <w:tcPr>
                  <w:tcW w:w="1009" w:type="dxa"/>
                  <w:tcBorders>
                    <w:top w:val="nil"/>
                    <w:left w:val="nil"/>
                    <w:bottom w:val="single" w:sz="8" w:space="0" w:color="D9D9D9" w:themeColor="background1" w:themeShade="D9"/>
                    <w:right w:val="nil"/>
                  </w:tcBorders>
                </w:tcPr>
                <w:p w14:paraId="05D0A771" w14:textId="25509052"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27</w:t>
                  </w:r>
                  <w:r w:rsidR="007D41D4" w:rsidRPr="00F72633">
                    <w:rPr>
                      <w:rFonts w:ascii="Arial Narrow" w:hAnsi="Arial Narrow"/>
                      <w:snapToGrid w:val="0"/>
                      <w:sz w:val="18"/>
                      <w:lang w:val="es-419" w:eastAsia="ja-JP"/>
                    </w:rPr>
                    <w:t> %</w:t>
                  </w:r>
                </w:p>
              </w:tc>
              <w:tc>
                <w:tcPr>
                  <w:tcW w:w="871" w:type="dxa"/>
                  <w:tcBorders>
                    <w:top w:val="nil"/>
                    <w:left w:val="nil"/>
                    <w:bottom w:val="single" w:sz="8" w:space="0" w:color="D9D9D9" w:themeColor="background1" w:themeShade="D9"/>
                    <w:right w:val="nil"/>
                  </w:tcBorders>
                </w:tcPr>
                <w:p w14:paraId="30B45638" w14:textId="644641F4"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0</w:t>
                  </w:r>
                  <w:r w:rsidR="006C36AC" w:rsidRPr="00F72633">
                    <w:rPr>
                      <w:rFonts w:ascii="Arial Narrow" w:hAnsi="Arial Narrow"/>
                      <w:snapToGrid w:val="0"/>
                      <w:sz w:val="18"/>
                      <w:lang w:val="es-419" w:eastAsia="ja-JP"/>
                    </w:rPr>
                    <w:t>,</w:t>
                  </w:r>
                  <w:r w:rsidRPr="00F72633">
                    <w:rPr>
                      <w:rFonts w:ascii="Arial Narrow" w:hAnsi="Arial Narrow"/>
                      <w:snapToGrid w:val="0"/>
                      <w:sz w:val="18"/>
                      <w:lang w:val="es-419" w:eastAsia="ja-JP"/>
                    </w:rPr>
                    <w:t>9</w:t>
                  </w:r>
                  <w:r w:rsidR="007D41D4" w:rsidRPr="00F72633">
                    <w:rPr>
                      <w:rFonts w:ascii="Arial Narrow" w:hAnsi="Arial Narrow"/>
                      <w:snapToGrid w:val="0"/>
                      <w:sz w:val="18"/>
                      <w:lang w:val="es-419" w:eastAsia="ja-JP"/>
                    </w:rPr>
                    <w:t> %</w:t>
                  </w:r>
                </w:p>
              </w:tc>
              <w:tc>
                <w:tcPr>
                  <w:tcW w:w="752" w:type="dxa"/>
                  <w:tcBorders>
                    <w:top w:val="nil"/>
                    <w:left w:val="nil"/>
                    <w:bottom w:val="single" w:sz="8" w:space="0" w:color="D9D9D9" w:themeColor="background1" w:themeShade="D9"/>
                    <w:right w:val="nil"/>
                  </w:tcBorders>
                </w:tcPr>
                <w:p w14:paraId="115C76B7" w14:textId="6BA3F7F4"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12</w:t>
                  </w:r>
                  <w:r w:rsidR="007D41D4" w:rsidRPr="00F72633">
                    <w:rPr>
                      <w:rFonts w:ascii="Arial Narrow" w:hAnsi="Arial Narrow"/>
                      <w:snapToGrid w:val="0"/>
                      <w:sz w:val="18"/>
                      <w:lang w:val="es-419" w:eastAsia="ja-JP"/>
                    </w:rPr>
                    <w:t> %</w:t>
                  </w:r>
                </w:p>
              </w:tc>
              <w:tc>
                <w:tcPr>
                  <w:tcW w:w="871" w:type="dxa"/>
                  <w:tcBorders>
                    <w:top w:val="nil"/>
                    <w:left w:val="nil"/>
                    <w:bottom w:val="single" w:sz="8" w:space="0" w:color="D9D9D9" w:themeColor="background1" w:themeShade="D9"/>
                    <w:right w:val="nil"/>
                  </w:tcBorders>
                </w:tcPr>
                <w:p w14:paraId="23431230" w14:textId="30EE777E"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48</w:t>
                  </w:r>
                  <w:r w:rsidR="007D41D4" w:rsidRPr="00F72633">
                    <w:rPr>
                      <w:rFonts w:ascii="Arial Narrow" w:hAnsi="Arial Narrow"/>
                      <w:snapToGrid w:val="0"/>
                      <w:sz w:val="18"/>
                      <w:lang w:val="es-419" w:eastAsia="ja-JP"/>
                    </w:rPr>
                    <w:t> %</w:t>
                  </w:r>
                </w:p>
              </w:tc>
              <w:tc>
                <w:tcPr>
                  <w:tcW w:w="1056" w:type="dxa"/>
                  <w:tcBorders>
                    <w:top w:val="nil"/>
                    <w:left w:val="nil"/>
                    <w:bottom w:val="single" w:sz="8" w:space="0" w:color="D9D9D9" w:themeColor="background1" w:themeShade="D9"/>
                    <w:right w:val="nil"/>
                  </w:tcBorders>
                </w:tcPr>
                <w:p w14:paraId="5F1D8EC2" w14:textId="6DC5D3BB"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12</w:t>
                  </w:r>
                  <w:r w:rsidR="007D41D4" w:rsidRPr="00F72633">
                    <w:rPr>
                      <w:rFonts w:ascii="Arial Narrow" w:hAnsi="Arial Narrow"/>
                      <w:snapToGrid w:val="0"/>
                      <w:sz w:val="18"/>
                      <w:lang w:val="es-419" w:eastAsia="ja-JP"/>
                    </w:rPr>
                    <w:t> %</w:t>
                  </w:r>
                </w:p>
              </w:tc>
            </w:tr>
            <w:tr w:rsidR="0051534E" w:rsidRPr="00F72633" w14:paraId="6CB675AA"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44F3022"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2013</w:t>
                  </w:r>
                </w:p>
              </w:tc>
              <w:tc>
                <w:tcPr>
                  <w:tcW w:w="1009" w:type="dxa"/>
                  <w:tcBorders>
                    <w:top w:val="single" w:sz="8" w:space="0" w:color="D9D9D9" w:themeColor="background1" w:themeShade="D9"/>
                    <w:left w:val="nil"/>
                    <w:bottom w:val="single" w:sz="8" w:space="0" w:color="D9D9D9" w:themeColor="background1" w:themeShade="D9"/>
                    <w:right w:val="nil"/>
                  </w:tcBorders>
                </w:tcPr>
                <w:p w14:paraId="0CF65C5A" w14:textId="3730E95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25</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62418D8F" w14:textId="0563933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0</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tcPr>
                <w:p w14:paraId="07E08EE1" w14:textId="69B9648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12</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4CD5FEBE" w14:textId="4C04564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49</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tcPr>
                <w:p w14:paraId="489A90EB" w14:textId="71E65D56"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11</w:t>
                  </w:r>
                  <w:r w:rsidR="007D41D4" w:rsidRPr="00F72633">
                    <w:rPr>
                      <w:rFonts w:ascii="Arial Narrow" w:hAnsi="Arial Narrow"/>
                      <w:snapToGrid w:val="0"/>
                      <w:sz w:val="18"/>
                      <w:szCs w:val="18"/>
                      <w:lang w:val="es-419" w:eastAsia="ja-JP"/>
                    </w:rPr>
                    <w:t> %</w:t>
                  </w:r>
                </w:p>
              </w:tc>
            </w:tr>
            <w:tr w:rsidR="0051534E" w:rsidRPr="00F72633" w14:paraId="22037BD4"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ECCE2FC"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2014</w:t>
                  </w:r>
                </w:p>
              </w:tc>
              <w:tc>
                <w:tcPr>
                  <w:tcW w:w="1009" w:type="dxa"/>
                  <w:tcBorders>
                    <w:top w:val="single" w:sz="8" w:space="0" w:color="D9D9D9" w:themeColor="background1" w:themeShade="D9"/>
                    <w:left w:val="nil"/>
                    <w:bottom w:val="single" w:sz="8" w:space="0" w:color="D9D9D9" w:themeColor="background1" w:themeShade="D9"/>
                    <w:right w:val="nil"/>
                  </w:tcBorders>
                </w:tcPr>
                <w:p w14:paraId="052CAA81" w14:textId="2DE20D3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30</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1D95B8E2" w14:textId="116B5E00"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8</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tcPr>
                <w:p w14:paraId="13E27B6A" w14:textId="6365E17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11</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72A545A8" w14:textId="430AFDFD"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47</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tcPr>
                <w:p w14:paraId="496E280E" w14:textId="0794835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10</w:t>
                  </w:r>
                  <w:r w:rsidR="007D41D4" w:rsidRPr="00F72633">
                    <w:rPr>
                      <w:rFonts w:ascii="Arial Narrow" w:hAnsi="Arial Narrow"/>
                      <w:snapToGrid w:val="0"/>
                      <w:sz w:val="18"/>
                      <w:szCs w:val="18"/>
                      <w:lang w:val="es-419" w:eastAsia="ja-JP"/>
                    </w:rPr>
                    <w:t> %</w:t>
                  </w:r>
                </w:p>
              </w:tc>
            </w:tr>
            <w:tr w:rsidR="0051534E" w:rsidRPr="00F72633" w14:paraId="2E055872"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AB22637"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2015</w:t>
                  </w:r>
                </w:p>
              </w:tc>
              <w:tc>
                <w:tcPr>
                  <w:tcW w:w="1009" w:type="dxa"/>
                  <w:tcBorders>
                    <w:top w:val="single" w:sz="8" w:space="0" w:color="D9D9D9" w:themeColor="background1" w:themeShade="D9"/>
                    <w:left w:val="nil"/>
                    <w:bottom w:val="single" w:sz="8" w:space="0" w:color="D9D9D9" w:themeColor="background1" w:themeShade="D9"/>
                    <w:right w:val="nil"/>
                  </w:tcBorders>
                </w:tcPr>
                <w:p w14:paraId="1F7100A5" w14:textId="1072126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33</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4D328CBD" w14:textId="411CBD4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tcPr>
                <w:p w14:paraId="274DFD7D" w14:textId="335B9A9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14</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76025B2E" w14:textId="3CE06C6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36</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tcPr>
                <w:p w14:paraId="5370EB72" w14:textId="1BFD7F5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16</w:t>
                  </w:r>
                  <w:r w:rsidR="007D41D4" w:rsidRPr="00F72633">
                    <w:rPr>
                      <w:rFonts w:ascii="Arial Narrow" w:hAnsi="Arial Narrow"/>
                      <w:snapToGrid w:val="0"/>
                      <w:sz w:val="18"/>
                      <w:szCs w:val="18"/>
                      <w:lang w:val="es-419" w:eastAsia="ja-JP"/>
                    </w:rPr>
                    <w:t> %</w:t>
                  </w:r>
                </w:p>
              </w:tc>
            </w:tr>
            <w:tr w:rsidR="0051534E" w:rsidRPr="00F72633" w14:paraId="2D598548"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1E1ED3B3"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2016</w:t>
                  </w:r>
                </w:p>
              </w:tc>
              <w:tc>
                <w:tcPr>
                  <w:tcW w:w="1009" w:type="dxa"/>
                  <w:tcBorders>
                    <w:top w:val="single" w:sz="8" w:space="0" w:color="D9D9D9" w:themeColor="background1" w:themeShade="D9"/>
                    <w:left w:val="nil"/>
                    <w:bottom w:val="single" w:sz="8" w:space="0" w:color="D9D9D9" w:themeColor="background1" w:themeShade="D9"/>
                    <w:right w:val="nil"/>
                  </w:tcBorders>
                </w:tcPr>
                <w:p w14:paraId="1FAC3C0B" w14:textId="483ADB9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37</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2D882673" w14:textId="58FAD75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6</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tcPr>
                <w:p w14:paraId="5B37C2F2" w14:textId="371229C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11</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tcPr>
                <w:p w14:paraId="053EAE76" w14:textId="6C42405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34</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tcPr>
                <w:p w14:paraId="50B79199" w14:textId="11F24AD0"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18</w:t>
                  </w:r>
                  <w:r w:rsidR="007D41D4" w:rsidRPr="00F72633">
                    <w:rPr>
                      <w:rFonts w:ascii="Arial Narrow" w:hAnsi="Arial Narrow"/>
                      <w:snapToGrid w:val="0"/>
                      <w:sz w:val="18"/>
                      <w:szCs w:val="18"/>
                      <w:lang w:val="es-419" w:eastAsia="ja-JP"/>
                    </w:rPr>
                    <w:t> %</w:t>
                  </w:r>
                </w:p>
              </w:tc>
            </w:tr>
            <w:tr w:rsidR="0051534E" w:rsidRPr="00F72633" w14:paraId="27FB09F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E5AE7CE"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2017</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607BC311" w14:textId="2CA87AC7"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33</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06F75F56" w14:textId="461E1F6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5B1118E4" w14:textId="22AB7A2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11</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9F4DAF0" w14:textId="756D189D"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38</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0180098D" w14:textId="052A2280"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17</w:t>
                  </w:r>
                  <w:r w:rsidR="007D41D4" w:rsidRPr="00F72633">
                    <w:rPr>
                      <w:rFonts w:ascii="Arial Narrow" w:hAnsi="Arial Narrow"/>
                      <w:snapToGrid w:val="0"/>
                      <w:sz w:val="18"/>
                      <w:szCs w:val="18"/>
                      <w:lang w:val="es-419" w:eastAsia="ja-JP"/>
                    </w:rPr>
                    <w:t> %</w:t>
                  </w:r>
                </w:p>
              </w:tc>
            </w:tr>
            <w:tr w:rsidR="0051534E" w:rsidRPr="00F72633" w14:paraId="7CBD360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4BA14DB"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2018</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51BF0FE1" w14:textId="376A425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35</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9D105B4" w14:textId="156F667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52D4917F" w14:textId="1AEF365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12</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3FDE9D70" w14:textId="2CC85DA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33</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5A4AA588" w14:textId="34B78C4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w:t>
                  </w:r>
                  <w:r w:rsidR="007D41D4" w:rsidRPr="00F72633">
                    <w:rPr>
                      <w:rFonts w:ascii="Arial Narrow" w:hAnsi="Arial Narrow"/>
                      <w:snapToGrid w:val="0"/>
                      <w:sz w:val="18"/>
                      <w:szCs w:val="18"/>
                      <w:lang w:val="es-419" w:eastAsia="ja-JP"/>
                    </w:rPr>
                    <w:t> %</w:t>
                  </w:r>
                </w:p>
              </w:tc>
            </w:tr>
            <w:tr w:rsidR="0051534E" w:rsidRPr="00F72633" w14:paraId="528F0D8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1CFCD9F"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2019</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1C0FFD18" w14:textId="65427028"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34</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C6D3B44" w14:textId="5D0568D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6</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75877D5C" w14:textId="28818DA9"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10</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9E13492" w14:textId="4595DE7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37</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7FAAB281" w14:textId="5232371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19</w:t>
                  </w:r>
                  <w:r w:rsidR="007D41D4" w:rsidRPr="00F72633">
                    <w:rPr>
                      <w:rFonts w:ascii="Arial Narrow" w:hAnsi="Arial Narrow"/>
                      <w:snapToGrid w:val="0"/>
                      <w:sz w:val="18"/>
                      <w:szCs w:val="18"/>
                      <w:lang w:val="es-419" w:eastAsia="ja-JP"/>
                    </w:rPr>
                    <w:t> %</w:t>
                  </w:r>
                </w:p>
              </w:tc>
            </w:tr>
            <w:tr w:rsidR="0051534E" w:rsidRPr="00F72633" w14:paraId="4D8221F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506C7E3"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2020</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002F3320" w14:textId="5E0E0568"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35</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2DC8F611" w14:textId="1EDEB4CF"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6</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1194C0CC" w14:textId="6E8782F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8</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12B51313" w14:textId="185AD11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36</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47A985E3" w14:textId="058CF06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21</w:t>
                  </w:r>
                  <w:r w:rsidR="007D41D4" w:rsidRPr="00F72633">
                    <w:rPr>
                      <w:rFonts w:ascii="Arial Narrow" w:hAnsi="Arial Narrow"/>
                      <w:snapToGrid w:val="0"/>
                      <w:sz w:val="18"/>
                      <w:szCs w:val="18"/>
                      <w:lang w:val="es-419" w:eastAsia="ja-JP"/>
                    </w:rPr>
                    <w:t> %</w:t>
                  </w:r>
                </w:p>
              </w:tc>
            </w:tr>
            <w:tr w:rsidR="0051534E" w:rsidRPr="00F72633" w14:paraId="5CE984E5"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145DEC08"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2021</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7234A693" w14:textId="4353544F"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42</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8E75407" w14:textId="279C86F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6</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0D8F8FD9" w14:textId="1E169AE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8</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578E429C" w14:textId="21FD7A9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32</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079E3F28" w14:textId="3ADDDD7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17</w:t>
                  </w:r>
                  <w:r w:rsidR="007D41D4" w:rsidRPr="00F72633">
                    <w:rPr>
                      <w:rFonts w:ascii="Arial Narrow" w:hAnsi="Arial Narrow"/>
                      <w:snapToGrid w:val="0"/>
                      <w:sz w:val="18"/>
                      <w:szCs w:val="18"/>
                      <w:lang w:val="es-419" w:eastAsia="ja-JP"/>
                    </w:rPr>
                    <w:t> %</w:t>
                  </w:r>
                </w:p>
              </w:tc>
            </w:tr>
            <w:tr w:rsidR="0051534E" w:rsidRPr="00F72633" w14:paraId="56EACA1A"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59C3B35"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2022</w:t>
                  </w:r>
                </w:p>
              </w:tc>
              <w:tc>
                <w:tcPr>
                  <w:tcW w:w="1009" w:type="dxa"/>
                  <w:tcBorders>
                    <w:top w:val="single" w:sz="8" w:space="0" w:color="D9D9D9" w:themeColor="background1" w:themeShade="D9"/>
                    <w:left w:val="nil"/>
                    <w:bottom w:val="single" w:sz="8" w:space="0" w:color="D9D9D9" w:themeColor="background1" w:themeShade="D9"/>
                    <w:right w:val="nil"/>
                  </w:tcBorders>
                  <w:shd w:val="clear" w:color="auto" w:fill="auto"/>
                </w:tcPr>
                <w:p w14:paraId="559816F3" w14:textId="5BEC0498"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39</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46B5590B" w14:textId="274F3BF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7</w:t>
                  </w:r>
                  <w:r w:rsidR="007D41D4" w:rsidRPr="00F72633">
                    <w:rPr>
                      <w:rFonts w:ascii="Arial Narrow" w:hAnsi="Arial Narrow"/>
                      <w:snapToGrid w:val="0"/>
                      <w:sz w:val="18"/>
                      <w:szCs w:val="18"/>
                      <w:lang w:val="es-419" w:eastAsia="ja-JP"/>
                    </w:rPr>
                    <w:t> %</w:t>
                  </w:r>
                </w:p>
              </w:tc>
              <w:tc>
                <w:tcPr>
                  <w:tcW w:w="752" w:type="dxa"/>
                  <w:tcBorders>
                    <w:top w:val="single" w:sz="8" w:space="0" w:color="D9D9D9" w:themeColor="background1" w:themeShade="D9"/>
                    <w:left w:val="nil"/>
                    <w:bottom w:val="single" w:sz="8" w:space="0" w:color="D9D9D9" w:themeColor="background1" w:themeShade="D9"/>
                    <w:right w:val="nil"/>
                  </w:tcBorders>
                  <w:shd w:val="clear" w:color="auto" w:fill="auto"/>
                </w:tcPr>
                <w:p w14:paraId="3625E2FF" w14:textId="2DB38D7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15</w:t>
                  </w:r>
                  <w:r w:rsidR="007D41D4" w:rsidRPr="00F72633">
                    <w:rPr>
                      <w:rFonts w:ascii="Arial Narrow" w:hAnsi="Arial Narrow"/>
                      <w:snapToGrid w:val="0"/>
                      <w:sz w:val="18"/>
                      <w:szCs w:val="18"/>
                      <w:lang w:val="es-419" w:eastAsia="ja-JP"/>
                    </w:rPr>
                    <w:t> %</w:t>
                  </w:r>
                </w:p>
              </w:tc>
              <w:tc>
                <w:tcPr>
                  <w:tcW w:w="871" w:type="dxa"/>
                  <w:tcBorders>
                    <w:top w:val="single" w:sz="8" w:space="0" w:color="D9D9D9" w:themeColor="background1" w:themeShade="D9"/>
                    <w:left w:val="nil"/>
                    <w:bottom w:val="single" w:sz="8" w:space="0" w:color="D9D9D9" w:themeColor="background1" w:themeShade="D9"/>
                    <w:right w:val="nil"/>
                  </w:tcBorders>
                  <w:shd w:val="clear" w:color="auto" w:fill="auto"/>
                </w:tcPr>
                <w:p w14:paraId="66822EF8" w14:textId="41C19B0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28</w:t>
                  </w:r>
                  <w:r w:rsidR="007D41D4" w:rsidRPr="00F72633">
                    <w:rPr>
                      <w:rFonts w:ascii="Arial Narrow" w:hAnsi="Arial Narrow"/>
                      <w:snapToGrid w:val="0"/>
                      <w:sz w:val="18"/>
                      <w:szCs w:val="18"/>
                      <w:lang w:val="es-419" w:eastAsia="ja-JP"/>
                    </w:rPr>
                    <w:t> %</w:t>
                  </w:r>
                </w:p>
              </w:tc>
              <w:tc>
                <w:tcPr>
                  <w:tcW w:w="1056" w:type="dxa"/>
                  <w:tcBorders>
                    <w:top w:val="single" w:sz="8" w:space="0" w:color="D9D9D9" w:themeColor="background1" w:themeShade="D9"/>
                    <w:left w:val="nil"/>
                    <w:bottom w:val="single" w:sz="8" w:space="0" w:color="D9D9D9" w:themeColor="background1" w:themeShade="D9"/>
                    <w:right w:val="nil"/>
                  </w:tcBorders>
                  <w:shd w:val="clear" w:color="auto" w:fill="auto"/>
                </w:tcPr>
                <w:p w14:paraId="2B50D43C" w14:textId="0F37327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17</w:t>
                  </w:r>
                  <w:r w:rsidR="007D41D4" w:rsidRPr="00F72633">
                    <w:rPr>
                      <w:rFonts w:ascii="Arial Narrow" w:hAnsi="Arial Narrow"/>
                      <w:snapToGrid w:val="0"/>
                      <w:sz w:val="18"/>
                      <w:szCs w:val="18"/>
                      <w:lang w:val="es-419" w:eastAsia="ja-JP"/>
                    </w:rPr>
                    <w:t> %</w:t>
                  </w:r>
                </w:p>
              </w:tc>
            </w:tr>
          </w:tbl>
          <w:p w14:paraId="08582C27" w14:textId="77777777" w:rsidR="0051534E" w:rsidRPr="00F72633" w:rsidRDefault="0051534E" w:rsidP="00B64144">
            <w:pPr>
              <w:tabs>
                <w:tab w:val="left" w:pos="2410"/>
                <w:tab w:val="left" w:pos="4536"/>
                <w:tab w:val="left" w:pos="9072"/>
              </w:tabs>
              <w:jc w:val="center"/>
              <w:rPr>
                <w:rFonts w:ascii="Arial Narrow" w:hAnsi="Arial Narrow"/>
                <w:sz w:val="18"/>
                <w:szCs w:val="18"/>
                <w:lang w:val="es-419"/>
              </w:rPr>
            </w:pPr>
          </w:p>
        </w:tc>
        <w:tc>
          <w:tcPr>
            <w:tcW w:w="5217" w:type="dxa"/>
          </w:tcPr>
          <w:p w14:paraId="39A28C71" w14:textId="3B866573" w:rsidR="0051534E" w:rsidRPr="00F72633" w:rsidRDefault="006C36AC" w:rsidP="00B64144">
            <w:pPr>
              <w:keepNext/>
              <w:jc w:val="center"/>
              <w:rPr>
                <w:rFonts w:ascii="Arial Narrow" w:hAnsi="Arial Narrow"/>
                <w:i/>
                <w:sz w:val="18"/>
                <w:szCs w:val="18"/>
                <w:lang w:val="es-419"/>
              </w:rPr>
            </w:pPr>
            <w:r w:rsidRPr="00F72633">
              <w:rPr>
                <w:rFonts w:ascii="Arial Narrow" w:hAnsi="Arial Narrow"/>
                <w:i/>
                <w:snapToGrid w:val="0"/>
                <w:sz w:val="18"/>
                <w:lang w:val="es-419"/>
              </w:rPr>
              <w:t>Títulos concedidos por tipo de cultivo</w:t>
            </w:r>
            <w:r w:rsidR="0051534E" w:rsidRPr="00F72633">
              <w:rPr>
                <w:rFonts w:ascii="Arial Narrow" w:hAnsi="Arial Narrow"/>
                <w:i/>
                <w:snapToGrid w:val="0"/>
                <w:sz w:val="18"/>
                <w:szCs w:val="18"/>
                <w:lang w:val="es-419" w:eastAsia="ja-JP"/>
              </w:rPr>
              <w:t>:</w:t>
            </w:r>
          </w:p>
          <w:p w14:paraId="2BF28E57" w14:textId="77777777" w:rsidR="0051534E" w:rsidRPr="00F72633" w:rsidRDefault="0051534E" w:rsidP="00B64144">
            <w:pPr>
              <w:keepNext/>
              <w:jc w:val="center"/>
              <w:rPr>
                <w:rFonts w:ascii="Arial Narrow" w:hAnsi="Arial Narrow"/>
                <w:sz w:val="18"/>
                <w:szCs w:val="18"/>
                <w:lang w:val="es-419"/>
              </w:rPr>
            </w:pPr>
          </w:p>
          <w:tbl>
            <w:tblPr>
              <w:tblW w:w="485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28" w:type="dxa"/>
                <w:left w:w="28" w:type="dxa"/>
                <w:bottom w:w="28" w:type="dxa"/>
                <w:right w:w="28" w:type="dxa"/>
              </w:tblCellMar>
              <w:tblLook w:val="0000" w:firstRow="0" w:lastRow="0" w:firstColumn="0" w:lastColumn="0" w:noHBand="0" w:noVBand="0"/>
            </w:tblPr>
            <w:tblGrid>
              <w:gridCol w:w="486"/>
              <w:gridCol w:w="924"/>
              <w:gridCol w:w="838"/>
              <w:gridCol w:w="729"/>
              <w:gridCol w:w="984"/>
              <w:gridCol w:w="898"/>
            </w:tblGrid>
            <w:tr w:rsidR="0051534E" w:rsidRPr="00F72633" w14:paraId="79EE4704"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134B576E" w14:textId="77777777" w:rsidR="0051534E" w:rsidRPr="00F72633" w:rsidRDefault="0051534E" w:rsidP="00B64144">
                  <w:pPr>
                    <w:jc w:val="left"/>
                    <w:rPr>
                      <w:rFonts w:ascii="Arial Narrow" w:hAnsi="Arial Narrow"/>
                      <w:snapToGrid w:val="0"/>
                      <w:sz w:val="18"/>
                      <w:szCs w:val="18"/>
                      <w:lang w:val="es-419" w:eastAsia="ja-JP"/>
                    </w:rPr>
                  </w:pPr>
                </w:p>
              </w:tc>
              <w:tc>
                <w:tcPr>
                  <w:tcW w:w="4358" w:type="dxa"/>
                  <w:gridSpan w:val="5"/>
                  <w:tcBorders>
                    <w:top w:val="nil"/>
                    <w:left w:val="nil"/>
                    <w:bottom w:val="nil"/>
                    <w:right w:val="nil"/>
                  </w:tcBorders>
                  <w:shd w:val="clear" w:color="auto" w:fill="D6F4D6" w:themeFill="accent2" w:themeFillTint="33"/>
                  <w:vAlign w:val="bottom"/>
                </w:tcPr>
                <w:p w14:paraId="4C65D6CD" w14:textId="51874E82" w:rsidR="0051534E" w:rsidRPr="00F72633" w:rsidRDefault="006C36AC" w:rsidP="00B64144">
                  <w:pPr>
                    <w:jc w:val="center"/>
                    <w:rPr>
                      <w:rFonts w:ascii="Arial Narrow" w:hAnsi="Arial Narrow"/>
                      <w:snapToGrid w:val="0"/>
                      <w:sz w:val="18"/>
                      <w:szCs w:val="18"/>
                      <w:lang w:val="es-419" w:eastAsia="ja-JP"/>
                    </w:rPr>
                  </w:pPr>
                  <w:r w:rsidRPr="00F72633">
                    <w:rPr>
                      <w:rFonts w:ascii="Arial Narrow" w:hAnsi="Arial Narrow"/>
                      <w:snapToGrid w:val="0"/>
                      <w:sz w:val="18"/>
                      <w:lang w:val="es-419"/>
                    </w:rPr>
                    <w:t>Tipo de cultivo</w:t>
                  </w:r>
                </w:p>
              </w:tc>
            </w:tr>
            <w:tr w:rsidR="0051534E" w:rsidRPr="00F72633" w14:paraId="127A3752" w14:textId="77777777" w:rsidTr="009C3CBF">
              <w:trPr>
                <w:cantSplit/>
                <w:jc w:val="center"/>
              </w:trPr>
              <w:tc>
                <w:tcPr>
                  <w:tcW w:w="501" w:type="dxa"/>
                  <w:tcBorders>
                    <w:top w:val="nil"/>
                    <w:left w:val="nil"/>
                    <w:bottom w:val="nil"/>
                    <w:right w:val="nil"/>
                  </w:tcBorders>
                  <w:shd w:val="clear" w:color="auto" w:fill="D6F4D6" w:themeFill="accent2" w:themeFillTint="33"/>
                  <w:vAlign w:val="bottom"/>
                </w:tcPr>
                <w:p w14:paraId="45276EC5" w14:textId="79307FAA" w:rsidR="0051534E" w:rsidRPr="00F72633" w:rsidRDefault="00F350FC"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Año</w:t>
                  </w:r>
                </w:p>
              </w:tc>
              <w:tc>
                <w:tcPr>
                  <w:tcW w:w="963" w:type="dxa"/>
                  <w:tcBorders>
                    <w:top w:val="nil"/>
                    <w:left w:val="nil"/>
                    <w:bottom w:val="nil"/>
                    <w:right w:val="nil"/>
                  </w:tcBorders>
                  <w:shd w:val="clear" w:color="auto" w:fill="D6F4D6" w:themeFill="accent2" w:themeFillTint="33"/>
                  <w:vAlign w:val="bottom"/>
                </w:tcPr>
                <w:p w14:paraId="14D16166" w14:textId="267F5A30"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Agrícolas</w:t>
                  </w:r>
                </w:p>
              </w:tc>
              <w:tc>
                <w:tcPr>
                  <w:tcW w:w="860" w:type="dxa"/>
                  <w:tcBorders>
                    <w:top w:val="nil"/>
                    <w:left w:val="nil"/>
                    <w:bottom w:val="nil"/>
                    <w:right w:val="nil"/>
                  </w:tcBorders>
                  <w:shd w:val="clear" w:color="auto" w:fill="D6F4D6" w:themeFill="accent2" w:themeFillTint="33"/>
                  <w:vAlign w:val="bottom"/>
                </w:tcPr>
                <w:p w14:paraId="3F9233C3" w14:textId="04CCECC7"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Árboles forestales</w:t>
                  </w:r>
                </w:p>
              </w:tc>
              <w:tc>
                <w:tcPr>
                  <w:tcW w:w="750" w:type="dxa"/>
                  <w:tcBorders>
                    <w:top w:val="nil"/>
                    <w:left w:val="nil"/>
                    <w:bottom w:val="nil"/>
                    <w:right w:val="nil"/>
                  </w:tcBorders>
                  <w:shd w:val="clear" w:color="auto" w:fill="D6F4D6" w:themeFill="accent2" w:themeFillTint="33"/>
                  <w:vAlign w:val="bottom"/>
                </w:tcPr>
                <w:p w14:paraId="66D89209" w14:textId="488A3ED7"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Frutales</w:t>
                  </w:r>
                </w:p>
              </w:tc>
              <w:tc>
                <w:tcPr>
                  <w:tcW w:w="860" w:type="dxa"/>
                  <w:tcBorders>
                    <w:top w:val="nil"/>
                    <w:left w:val="nil"/>
                    <w:bottom w:val="nil"/>
                    <w:right w:val="nil"/>
                  </w:tcBorders>
                  <w:shd w:val="clear" w:color="auto" w:fill="D6F4D6" w:themeFill="accent2" w:themeFillTint="33"/>
                  <w:vAlign w:val="bottom"/>
                </w:tcPr>
                <w:p w14:paraId="1D674714" w14:textId="627E93C5"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Ornamentales</w:t>
                  </w:r>
                </w:p>
              </w:tc>
              <w:tc>
                <w:tcPr>
                  <w:tcW w:w="925" w:type="dxa"/>
                  <w:tcBorders>
                    <w:top w:val="nil"/>
                    <w:left w:val="nil"/>
                    <w:bottom w:val="nil"/>
                    <w:right w:val="nil"/>
                  </w:tcBorders>
                  <w:shd w:val="clear" w:color="auto" w:fill="D6F4D6" w:themeFill="accent2" w:themeFillTint="33"/>
                  <w:vAlign w:val="bottom"/>
                </w:tcPr>
                <w:p w14:paraId="1E1E7BA5" w14:textId="77452553" w:rsidR="0051534E" w:rsidRPr="00F72633" w:rsidRDefault="00F350FC"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Hortícolas</w:t>
                  </w:r>
                </w:p>
              </w:tc>
            </w:tr>
            <w:tr w:rsidR="0051534E" w:rsidRPr="00F72633" w14:paraId="2B871686" w14:textId="77777777" w:rsidTr="00B64144">
              <w:trPr>
                <w:cantSplit/>
                <w:jc w:val="center"/>
              </w:trPr>
              <w:tc>
                <w:tcPr>
                  <w:tcW w:w="501" w:type="dxa"/>
                  <w:tcBorders>
                    <w:top w:val="nil"/>
                    <w:left w:val="nil"/>
                    <w:bottom w:val="single" w:sz="8" w:space="0" w:color="D9D9D9" w:themeColor="background1" w:themeShade="D9"/>
                    <w:right w:val="nil"/>
                  </w:tcBorders>
                  <w:shd w:val="clear" w:color="auto" w:fill="auto"/>
                </w:tcPr>
                <w:p w14:paraId="75A8F81D" w14:textId="77777777" w:rsidR="0051534E" w:rsidRPr="00F72633" w:rsidRDefault="0051534E" w:rsidP="00B64144">
                  <w:pPr>
                    <w:jc w:val="left"/>
                    <w:rPr>
                      <w:rFonts w:ascii="Arial Narrow" w:hAnsi="Arial Narrow"/>
                      <w:snapToGrid w:val="0"/>
                      <w:sz w:val="18"/>
                      <w:lang w:val="es-419" w:eastAsia="ja-JP"/>
                    </w:rPr>
                  </w:pPr>
                  <w:r w:rsidRPr="00F72633">
                    <w:rPr>
                      <w:rFonts w:ascii="Arial Narrow" w:hAnsi="Arial Narrow"/>
                      <w:snapToGrid w:val="0"/>
                      <w:sz w:val="18"/>
                      <w:lang w:val="es-419" w:eastAsia="ja-JP"/>
                    </w:rPr>
                    <w:t>2012</w:t>
                  </w:r>
                </w:p>
              </w:tc>
              <w:tc>
                <w:tcPr>
                  <w:tcW w:w="963" w:type="dxa"/>
                  <w:tcBorders>
                    <w:top w:val="nil"/>
                    <w:left w:val="nil"/>
                    <w:bottom w:val="single" w:sz="8" w:space="0" w:color="D9D9D9" w:themeColor="background1" w:themeShade="D9"/>
                    <w:right w:val="nil"/>
                  </w:tcBorders>
                </w:tcPr>
                <w:p w14:paraId="6E435AA2" w14:textId="1A62D0DF"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26</w:t>
                  </w:r>
                  <w:r w:rsidR="007D41D4" w:rsidRPr="00F72633">
                    <w:rPr>
                      <w:rFonts w:ascii="Arial Narrow" w:hAnsi="Arial Narrow"/>
                      <w:snapToGrid w:val="0"/>
                      <w:sz w:val="18"/>
                      <w:lang w:val="es-419" w:eastAsia="ja-JP"/>
                    </w:rPr>
                    <w:t> %</w:t>
                  </w:r>
                </w:p>
              </w:tc>
              <w:tc>
                <w:tcPr>
                  <w:tcW w:w="860" w:type="dxa"/>
                  <w:tcBorders>
                    <w:top w:val="nil"/>
                    <w:left w:val="nil"/>
                    <w:bottom w:val="single" w:sz="8" w:space="0" w:color="D9D9D9" w:themeColor="background1" w:themeShade="D9"/>
                    <w:right w:val="nil"/>
                  </w:tcBorders>
                </w:tcPr>
                <w:p w14:paraId="28F8DA7C" w14:textId="30E0E768"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0</w:t>
                  </w:r>
                  <w:r w:rsidR="006C36AC" w:rsidRPr="00F72633">
                    <w:rPr>
                      <w:rFonts w:ascii="Arial Narrow" w:hAnsi="Arial Narrow"/>
                      <w:snapToGrid w:val="0"/>
                      <w:sz w:val="18"/>
                      <w:lang w:val="es-419" w:eastAsia="ja-JP"/>
                    </w:rPr>
                    <w:t>,</w:t>
                  </w:r>
                  <w:r w:rsidRPr="00F72633">
                    <w:rPr>
                      <w:rFonts w:ascii="Arial Narrow" w:hAnsi="Arial Narrow"/>
                      <w:snapToGrid w:val="0"/>
                      <w:sz w:val="18"/>
                      <w:lang w:val="es-419" w:eastAsia="ja-JP"/>
                    </w:rPr>
                    <w:t>7</w:t>
                  </w:r>
                  <w:r w:rsidR="007D41D4" w:rsidRPr="00F72633">
                    <w:rPr>
                      <w:rFonts w:ascii="Arial Narrow" w:hAnsi="Arial Narrow"/>
                      <w:snapToGrid w:val="0"/>
                      <w:sz w:val="18"/>
                      <w:lang w:val="es-419" w:eastAsia="ja-JP"/>
                    </w:rPr>
                    <w:t> %</w:t>
                  </w:r>
                </w:p>
              </w:tc>
              <w:tc>
                <w:tcPr>
                  <w:tcW w:w="750" w:type="dxa"/>
                  <w:tcBorders>
                    <w:top w:val="nil"/>
                    <w:left w:val="nil"/>
                    <w:bottom w:val="single" w:sz="8" w:space="0" w:color="D9D9D9" w:themeColor="background1" w:themeShade="D9"/>
                    <w:right w:val="nil"/>
                  </w:tcBorders>
                </w:tcPr>
                <w:p w14:paraId="6DE29498" w14:textId="7113576E"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9</w:t>
                  </w:r>
                  <w:r w:rsidR="007D41D4" w:rsidRPr="00F72633">
                    <w:rPr>
                      <w:rFonts w:ascii="Arial Narrow" w:hAnsi="Arial Narrow"/>
                      <w:snapToGrid w:val="0"/>
                      <w:sz w:val="18"/>
                      <w:lang w:val="es-419" w:eastAsia="ja-JP"/>
                    </w:rPr>
                    <w:t> %</w:t>
                  </w:r>
                </w:p>
              </w:tc>
              <w:tc>
                <w:tcPr>
                  <w:tcW w:w="860" w:type="dxa"/>
                  <w:tcBorders>
                    <w:top w:val="nil"/>
                    <w:left w:val="nil"/>
                    <w:bottom w:val="single" w:sz="8" w:space="0" w:color="D9D9D9" w:themeColor="background1" w:themeShade="D9"/>
                    <w:right w:val="nil"/>
                  </w:tcBorders>
                </w:tcPr>
                <w:p w14:paraId="286B8B59" w14:textId="4D8A38C8"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48</w:t>
                  </w:r>
                  <w:r w:rsidR="007D41D4" w:rsidRPr="00F72633">
                    <w:rPr>
                      <w:rFonts w:ascii="Arial Narrow" w:hAnsi="Arial Narrow"/>
                      <w:snapToGrid w:val="0"/>
                      <w:sz w:val="18"/>
                      <w:lang w:val="es-419" w:eastAsia="ja-JP"/>
                    </w:rPr>
                    <w:t> %</w:t>
                  </w:r>
                </w:p>
              </w:tc>
              <w:tc>
                <w:tcPr>
                  <w:tcW w:w="925" w:type="dxa"/>
                  <w:tcBorders>
                    <w:top w:val="nil"/>
                    <w:left w:val="nil"/>
                    <w:bottom w:val="single" w:sz="8" w:space="0" w:color="D9D9D9" w:themeColor="background1" w:themeShade="D9"/>
                    <w:right w:val="nil"/>
                  </w:tcBorders>
                </w:tcPr>
                <w:p w14:paraId="40CDA030" w14:textId="08A70819" w:rsidR="0051534E" w:rsidRPr="00F72633" w:rsidRDefault="0051534E" w:rsidP="00B64144">
                  <w:pPr>
                    <w:jc w:val="center"/>
                    <w:rPr>
                      <w:rFonts w:ascii="Arial Narrow" w:hAnsi="Arial Narrow"/>
                      <w:snapToGrid w:val="0"/>
                      <w:sz w:val="18"/>
                      <w:lang w:val="es-419" w:eastAsia="ja-JP"/>
                    </w:rPr>
                  </w:pPr>
                  <w:r w:rsidRPr="00F72633">
                    <w:rPr>
                      <w:rFonts w:ascii="Arial Narrow" w:hAnsi="Arial Narrow"/>
                      <w:snapToGrid w:val="0"/>
                      <w:sz w:val="18"/>
                      <w:lang w:val="es-419" w:eastAsia="ja-JP"/>
                    </w:rPr>
                    <w:t>15</w:t>
                  </w:r>
                  <w:r w:rsidR="007D41D4" w:rsidRPr="00F72633">
                    <w:rPr>
                      <w:rFonts w:ascii="Arial Narrow" w:hAnsi="Arial Narrow"/>
                      <w:snapToGrid w:val="0"/>
                      <w:sz w:val="18"/>
                      <w:lang w:val="es-419" w:eastAsia="ja-JP"/>
                    </w:rPr>
                    <w:t> %</w:t>
                  </w:r>
                </w:p>
              </w:tc>
            </w:tr>
            <w:tr w:rsidR="0051534E" w:rsidRPr="00F72633" w14:paraId="6CEB878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877D849"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2013</w:t>
                  </w:r>
                </w:p>
              </w:tc>
              <w:tc>
                <w:tcPr>
                  <w:tcW w:w="963" w:type="dxa"/>
                  <w:tcBorders>
                    <w:top w:val="single" w:sz="8" w:space="0" w:color="D9D9D9" w:themeColor="background1" w:themeShade="D9"/>
                    <w:left w:val="nil"/>
                    <w:bottom w:val="single" w:sz="8" w:space="0" w:color="D9D9D9" w:themeColor="background1" w:themeShade="D9"/>
                    <w:right w:val="nil"/>
                  </w:tcBorders>
                </w:tcPr>
                <w:p w14:paraId="28B15EE8" w14:textId="763184D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34</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3792C3D2" w14:textId="61F4BC77"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7</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tcPr>
                <w:p w14:paraId="146F2B74" w14:textId="6244AF2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10</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07E2C4A8" w14:textId="02FF9B87"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42</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tcPr>
                <w:p w14:paraId="219F0766" w14:textId="0EAD677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13</w:t>
                  </w:r>
                  <w:r w:rsidR="007D41D4" w:rsidRPr="00F72633">
                    <w:rPr>
                      <w:rFonts w:ascii="Arial Narrow" w:hAnsi="Arial Narrow"/>
                      <w:snapToGrid w:val="0"/>
                      <w:sz w:val="18"/>
                      <w:szCs w:val="18"/>
                      <w:lang w:val="es-419" w:eastAsia="ja-JP"/>
                    </w:rPr>
                    <w:t> %</w:t>
                  </w:r>
                </w:p>
              </w:tc>
            </w:tr>
            <w:tr w:rsidR="0051534E" w:rsidRPr="00F72633" w14:paraId="14E1C961"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22BB3E15"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2014</w:t>
                  </w:r>
                </w:p>
              </w:tc>
              <w:tc>
                <w:tcPr>
                  <w:tcW w:w="963" w:type="dxa"/>
                  <w:tcBorders>
                    <w:top w:val="single" w:sz="8" w:space="0" w:color="D9D9D9" w:themeColor="background1" w:themeShade="D9"/>
                    <w:left w:val="nil"/>
                    <w:bottom w:val="single" w:sz="8" w:space="0" w:color="D9D9D9" w:themeColor="background1" w:themeShade="D9"/>
                    <w:right w:val="nil"/>
                  </w:tcBorders>
                </w:tcPr>
                <w:p w14:paraId="04495ECF" w14:textId="40D991E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35</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0DC6E100" w14:textId="669DE64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6</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tcPr>
                <w:p w14:paraId="21B28083" w14:textId="14A87B8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10</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57F8EE51" w14:textId="53A69BE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43</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tcPr>
                <w:p w14:paraId="03DB7345" w14:textId="70CB8F3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12</w:t>
                  </w:r>
                  <w:r w:rsidR="007D41D4" w:rsidRPr="00F72633">
                    <w:rPr>
                      <w:rFonts w:ascii="Arial Narrow" w:hAnsi="Arial Narrow"/>
                      <w:snapToGrid w:val="0"/>
                      <w:sz w:val="18"/>
                      <w:szCs w:val="18"/>
                      <w:lang w:val="es-419" w:eastAsia="ja-JP"/>
                    </w:rPr>
                    <w:t> %</w:t>
                  </w:r>
                </w:p>
              </w:tc>
            </w:tr>
            <w:tr w:rsidR="0051534E" w:rsidRPr="00F72633" w14:paraId="2F80761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34F74144"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2015</w:t>
                  </w:r>
                </w:p>
              </w:tc>
              <w:tc>
                <w:tcPr>
                  <w:tcW w:w="963" w:type="dxa"/>
                  <w:tcBorders>
                    <w:top w:val="single" w:sz="8" w:space="0" w:color="D9D9D9" w:themeColor="background1" w:themeShade="D9"/>
                    <w:left w:val="nil"/>
                    <w:bottom w:val="single" w:sz="8" w:space="0" w:color="D9D9D9" w:themeColor="background1" w:themeShade="D9"/>
                    <w:right w:val="nil"/>
                  </w:tcBorders>
                </w:tcPr>
                <w:p w14:paraId="0C8F9BEF" w14:textId="3EBCE367"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32</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7C5DC536" w14:textId="3A4F1331"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9</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tcPr>
                <w:p w14:paraId="34639AF5" w14:textId="4693609D"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10</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6C3C8A09" w14:textId="33F9B188"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44</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tcPr>
                <w:p w14:paraId="69885DB9" w14:textId="1AC0694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13</w:t>
                  </w:r>
                  <w:r w:rsidR="007D41D4" w:rsidRPr="00F72633">
                    <w:rPr>
                      <w:rFonts w:ascii="Arial Narrow" w:hAnsi="Arial Narrow"/>
                      <w:snapToGrid w:val="0"/>
                      <w:sz w:val="18"/>
                      <w:szCs w:val="18"/>
                      <w:lang w:val="es-419" w:eastAsia="ja-JP"/>
                    </w:rPr>
                    <w:t> %</w:t>
                  </w:r>
                </w:p>
              </w:tc>
            </w:tr>
            <w:tr w:rsidR="0051534E" w:rsidRPr="00F72633" w14:paraId="5DCF56FF"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E405D06"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2016</w:t>
                  </w:r>
                </w:p>
              </w:tc>
              <w:tc>
                <w:tcPr>
                  <w:tcW w:w="963" w:type="dxa"/>
                  <w:tcBorders>
                    <w:top w:val="single" w:sz="8" w:space="0" w:color="D9D9D9" w:themeColor="background1" w:themeShade="D9"/>
                    <w:left w:val="nil"/>
                    <w:bottom w:val="single" w:sz="8" w:space="0" w:color="D9D9D9" w:themeColor="background1" w:themeShade="D9"/>
                    <w:right w:val="nil"/>
                  </w:tcBorders>
                </w:tcPr>
                <w:p w14:paraId="363DA03F" w14:textId="43153ED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32</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75396E78" w14:textId="62A4F86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1</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tcPr>
                <w:p w14:paraId="374FECC7" w14:textId="606F8CC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9</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tcPr>
                <w:p w14:paraId="103B5973" w14:textId="7D82FFE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40</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tcPr>
                <w:p w14:paraId="4FE34B5F" w14:textId="37418F1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18</w:t>
                  </w:r>
                  <w:r w:rsidR="007D41D4" w:rsidRPr="00F72633">
                    <w:rPr>
                      <w:rFonts w:ascii="Arial Narrow" w:hAnsi="Arial Narrow"/>
                      <w:snapToGrid w:val="0"/>
                      <w:sz w:val="18"/>
                      <w:szCs w:val="18"/>
                      <w:lang w:val="es-419" w:eastAsia="ja-JP"/>
                    </w:rPr>
                    <w:t> %</w:t>
                  </w:r>
                </w:p>
              </w:tc>
            </w:tr>
            <w:tr w:rsidR="0051534E" w:rsidRPr="00F72633" w14:paraId="09D84182"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76496C85"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2017</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79D51C21" w14:textId="71F3492E"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27</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FA51AE4" w14:textId="72251C9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4</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7C05953C" w14:textId="12BF32BF"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12</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D3B1B19" w14:textId="49901A0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45</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5F8B9B78" w14:textId="7B8E06F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16</w:t>
                  </w:r>
                  <w:r w:rsidR="007D41D4" w:rsidRPr="00F72633">
                    <w:rPr>
                      <w:rFonts w:ascii="Arial Narrow" w:hAnsi="Arial Narrow"/>
                      <w:snapToGrid w:val="0"/>
                      <w:sz w:val="18"/>
                      <w:szCs w:val="18"/>
                      <w:lang w:val="es-419" w:eastAsia="ja-JP"/>
                    </w:rPr>
                    <w:t> %</w:t>
                  </w:r>
                </w:p>
              </w:tc>
            </w:tr>
            <w:tr w:rsidR="0051534E" w:rsidRPr="00F72633" w14:paraId="1E2B81AE"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4855D5D1"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2018</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1FF8989B" w14:textId="2FF7C55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27</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1F033872" w14:textId="694C9429"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999217D" w14:textId="68C22E7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11</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62A69B77" w14:textId="63447A5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43</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2CA70304" w14:textId="6DC311E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18</w:t>
                  </w:r>
                  <w:r w:rsidR="007D41D4" w:rsidRPr="00F72633">
                    <w:rPr>
                      <w:rFonts w:ascii="Arial Narrow" w:hAnsi="Arial Narrow"/>
                      <w:snapToGrid w:val="0"/>
                      <w:sz w:val="18"/>
                      <w:szCs w:val="18"/>
                      <w:lang w:val="es-419" w:eastAsia="ja-JP"/>
                    </w:rPr>
                    <w:t> %</w:t>
                  </w:r>
                </w:p>
              </w:tc>
            </w:tr>
            <w:tr w:rsidR="0051534E" w:rsidRPr="00F72633" w14:paraId="33A4FC67"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61A9FCB"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2019</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4670EF56" w14:textId="55184F6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34</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759A7FBE" w14:textId="76E7FBBF"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4</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4323A37E" w14:textId="083337F0"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9</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9440233" w14:textId="00ACFC3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38</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511527CE" w14:textId="67BE4A69"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18</w:t>
                  </w:r>
                  <w:r w:rsidR="007D41D4" w:rsidRPr="00F72633">
                    <w:rPr>
                      <w:rFonts w:ascii="Arial Narrow" w:hAnsi="Arial Narrow"/>
                      <w:snapToGrid w:val="0"/>
                      <w:sz w:val="18"/>
                      <w:szCs w:val="18"/>
                      <w:lang w:val="es-419" w:eastAsia="ja-JP"/>
                    </w:rPr>
                    <w:t> %</w:t>
                  </w:r>
                </w:p>
              </w:tc>
            </w:tr>
            <w:tr w:rsidR="0051534E" w:rsidRPr="00F72633" w14:paraId="466E2639"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5B73CAD7"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2020</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043988A1" w14:textId="5A2B7B3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38</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2E3B38E5" w14:textId="2B944E6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310269B5" w14:textId="7205BD83"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7</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49E074A" w14:textId="1304AA5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34</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7D8A871C" w14:textId="197E626D"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21</w:t>
                  </w:r>
                  <w:r w:rsidR="007D41D4" w:rsidRPr="00F72633">
                    <w:rPr>
                      <w:rFonts w:ascii="Arial Narrow" w:hAnsi="Arial Narrow"/>
                      <w:snapToGrid w:val="0"/>
                      <w:sz w:val="18"/>
                      <w:szCs w:val="18"/>
                      <w:lang w:val="es-419" w:eastAsia="ja-JP"/>
                    </w:rPr>
                    <w:t> %</w:t>
                  </w:r>
                </w:p>
              </w:tc>
            </w:tr>
            <w:tr w:rsidR="0051534E" w:rsidRPr="00F72633" w14:paraId="12299D5B"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0ABD25A9"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2021</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155A8CC7" w14:textId="368F2A2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46</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DD7739A" w14:textId="2A0EF7AC"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D7AB575" w14:textId="0F162FAA"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7</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7903387" w14:textId="6CDFAE0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27</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02159CB6" w14:textId="0C03CF02"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18</w:t>
                  </w:r>
                  <w:r w:rsidR="007D41D4" w:rsidRPr="00F72633">
                    <w:rPr>
                      <w:rFonts w:ascii="Arial Narrow" w:hAnsi="Arial Narrow"/>
                      <w:snapToGrid w:val="0"/>
                      <w:sz w:val="18"/>
                      <w:szCs w:val="18"/>
                      <w:lang w:val="es-419" w:eastAsia="ja-JP"/>
                    </w:rPr>
                    <w:t> %</w:t>
                  </w:r>
                </w:p>
              </w:tc>
            </w:tr>
            <w:tr w:rsidR="0051534E" w:rsidRPr="00F72633" w14:paraId="58ED53B4" w14:textId="77777777" w:rsidTr="00B64144">
              <w:trPr>
                <w:cantSplit/>
                <w:jc w:val="center"/>
              </w:trPr>
              <w:tc>
                <w:tcPr>
                  <w:tcW w:w="501" w:type="dxa"/>
                  <w:tcBorders>
                    <w:top w:val="single" w:sz="8" w:space="0" w:color="D9D9D9" w:themeColor="background1" w:themeShade="D9"/>
                    <w:left w:val="nil"/>
                    <w:bottom w:val="single" w:sz="8" w:space="0" w:color="D9D9D9" w:themeColor="background1" w:themeShade="D9"/>
                    <w:right w:val="nil"/>
                  </w:tcBorders>
                  <w:shd w:val="clear" w:color="auto" w:fill="auto"/>
                </w:tcPr>
                <w:p w14:paraId="6186581E" w14:textId="77777777" w:rsidR="0051534E" w:rsidRPr="00F72633" w:rsidRDefault="0051534E" w:rsidP="00B64144">
                  <w:pPr>
                    <w:jc w:val="left"/>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2022</w:t>
                  </w:r>
                </w:p>
              </w:tc>
              <w:tc>
                <w:tcPr>
                  <w:tcW w:w="963" w:type="dxa"/>
                  <w:tcBorders>
                    <w:top w:val="single" w:sz="8" w:space="0" w:color="D9D9D9" w:themeColor="background1" w:themeShade="D9"/>
                    <w:left w:val="nil"/>
                    <w:bottom w:val="single" w:sz="8" w:space="0" w:color="D9D9D9" w:themeColor="background1" w:themeShade="D9"/>
                    <w:right w:val="nil"/>
                  </w:tcBorders>
                  <w:shd w:val="clear" w:color="auto" w:fill="auto"/>
                </w:tcPr>
                <w:p w14:paraId="79EF603F" w14:textId="0A735C87"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42</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6F4C398F" w14:textId="5B4F647B"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0</w:t>
                  </w:r>
                  <w:r w:rsidR="006C36AC" w:rsidRPr="00F72633">
                    <w:rPr>
                      <w:rFonts w:ascii="Arial Narrow" w:hAnsi="Arial Narrow"/>
                      <w:snapToGrid w:val="0"/>
                      <w:sz w:val="18"/>
                      <w:szCs w:val="18"/>
                      <w:lang w:val="es-419" w:eastAsia="ja-JP"/>
                    </w:rPr>
                    <w:t>,</w:t>
                  </w:r>
                  <w:r w:rsidRPr="00F72633">
                    <w:rPr>
                      <w:rFonts w:ascii="Arial Narrow" w:hAnsi="Arial Narrow"/>
                      <w:snapToGrid w:val="0"/>
                      <w:sz w:val="18"/>
                      <w:szCs w:val="18"/>
                      <w:lang w:val="es-419" w:eastAsia="ja-JP"/>
                    </w:rPr>
                    <w:t>5</w:t>
                  </w:r>
                  <w:r w:rsidR="007D41D4" w:rsidRPr="00F72633">
                    <w:rPr>
                      <w:rFonts w:ascii="Arial Narrow" w:hAnsi="Arial Narrow"/>
                      <w:snapToGrid w:val="0"/>
                      <w:sz w:val="18"/>
                      <w:szCs w:val="18"/>
                      <w:lang w:val="es-419" w:eastAsia="ja-JP"/>
                    </w:rPr>
                    <w:t> %</w:t>
                  </w:r>
                </w:p>
              </w:tc>
              <w:tc>
                <w:tcPr>
                  <w:tcW w:w="750" w:type="dxa"/>
                  <w:tcBorders>
                    <w:top w:val="single" w:sz="8" w:space="0" w:color="D9D9D9" w:themeColor="background1" w:themeShade="D9"/>
                    <w:left w:val="nil"/>
                    <w:bottom w:val="single" w:sz="8" w:space="0" w:color="D9D9D9" w:themeColor="background1" w:themeShade="D9"/>
                    <w:right w:val="nil"/>
                  </w:tcBorders>
                  <w:shd w:val="clear" w:color="auto" w:fill="auto"/>
                </w:tcPr>
                <w:p w14:paraId="5A4919B6" w14:textId="065A1B35"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12</w:t>
                  </w:r>
                  <w:r w:rsidR="007D41D4" w:rsidRPr="00F72633">
                    <w:rPr>
                      <w:rFonts w:ascii="Arial Narrow" w:hAnsi="Arial Narrow"/>
                      <w:snapToGrid w:val="0"/>
                      <w:sz w:val="18"/>
                      <w:szCs w:val="18"/>
                      <w:lang w:val="es-419" w:eastAsia="ja-JP"/>
                    </w:rPr>
                    <w:t> %</w:t>
                  </w:r>
                </w:p>
              </w:tc>
              <w:tc>
                <w:tcPr>
                  <w:tcW w:w="860" w:type="dxa"/>
                  <w:tcBorders>
                    <w:top w:val="single" w:sz="8" w:space="0" w:color="D9D9D9" w:themeColor="background1" w:themeShade="D9"/>
                    <w:left w:val="nil"/>
                    <w:bottom w:val="single" w:sz="8" w:space="0" w:color="D9D9D9" w:themeColor="background1" w:themeShade="D9"/>
                    <w:right w:val="nil"/>
                  </w:tcBorders>
                  <w:shd w:val="clear" w:color="auto" w:fill="auto"/>
                </w:tcPr>
                <w:p w14:paraId="416C3136" w14:textId="284D0E84"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30</w:t>
                  </w:r>
                  <w:r w:rsidR="007D41D4" w:rsidRPr="00F72633">
                    <w:rPr>
                      <w:rFonts w:ascii="Arial Narrow" w:hAnsi="Arial Narrow"/>
                      <w:snapToGrid w:val="0"/>
                      <w:sz w:val="18"/>
                      <w:szCs w:val="18"/>
                      <w:lang w:val="es-419" w:eastAsia="ja-JP"/>
                    </w:rPr>
                    <w:t> %</w:t>
                  </w:r>
                </w:p>
              </w:tc>
              <w:tc>
                <w:tcPr>
                  <w:tcW w:w="925" w:type="dxa"/>
                  <w:tcBorders>
                    <w:top w:val="single" w:sz="8" w:space="0" w:color="D9D9D9" w:themeColor="background1" w:themeShade="D9"/>
                    <w:left w:val="nil"/>
                    <w:bottom w:val="single" w:sz="8" w:space="0" w:color="D9D9D9" w:themeColor="background1" w:themeShade="D9"/>
                    <w:right w:val="nil"/>
                  </w:tcBorders>
                  <w:shd w:val="clear" w:color="auto" w:fill="auto"/>
                </w:tcPr>
                <w:p w14:paraId="6EA8B324" w14:textId="432A0D50" w:rsidR="0051534E" w:rsidRPr="00F72633" w:rsidRDefault="0051534E" w:rsidP="00B64144">
                  <w:pPr>
                    <w:jc w:val="center"/>
                    <w:rPr>
                      <w:rFonts w:ascii="Arial Narrow" w:hAnsi="Arial Narrow"/>
                      <w:snapToGrid w:val="0"/>
                      <w:sz w:val="18"/>
                      <w:szCs w:val="18"/>
                      <w:lang w:val="es-419" w:eastAsia="ja-JP"/>
                    </w:rPr>
                  </w:pPr>
                  <w:r w:rsidRPr="00F72633">
                    <w:rPr>
                      <w:rFonts w:ascii="Arial Narrow" w:hAnsi="Arial Narrow"/>
                      <w:snapToGrid w:val="0"/>
                      <w:sz w:val="18"/>
                      <w:szCs w:val="18"/>
                      <w:lang w:val="es-419" w:eastAsia="ja-JP"/>
                    </w:rPr>
                    <w:t>15</w:t>
                  </w:r>
                  <w:r w:rsidR="007D41D4" w:rsidRPr="00F72633">
                    <w:rPr>
                      <w:rFonts w:ascii="Arial Narrow" w:hAnsi="Arial Narrow"/>
                      <w:snapToGrid w:val="0"/>
                      <w:sz w:val="18"/>
                      <w:szCs w:val="18"/>
                      <w:lang w:val="es-419" w:eastAsia="ja-JP"/>
                    </w:rPr>
                    <w:t> %</w:t>
                  </w:r>
                </w:p>
              </w:tc>
            </w:tr>
          </w:tbl>
          <w:p w14:paraId="23B10253" w14:textId="77777777" w:rsidR="0051534E" w:rsidRPr="00F72633" w:rsidRDefault="0051534E" w:rsidP="00B64144">
            <w:pPr>
              <w:tabs>
                <w:tab w:val="left" w:pos="2410"/>
                <w:tab w:val="left" w:pos="4536"/>
                <w:tab w:val="left" w:pos="9072"/>
              </w:tabs>
              <w:jc w:val="center"/>
              <w:rPr>
                <w:rFonts w:ascii="Arial Narrow" w:hAnsi="Arial Narrow"/>
                <w:sz w:val="18"/>
                <w:szCs w:val="18"/>
                <w:lang w:val="es-419"/>
              </w:rPr>
            </w:pPr>
          </w:p>
        </w:tc>
      </w:tr>
    </w:tbl>
    <w:p w14:paraId="63404063" w14:textId="77777777" w:rsidR="003E3C19" w:rsidRPr="00F72633" w:rsidRDefault="003E3C19" w:rsidP="003E3C19">
      <w:pPr>
        <w:rPr>
          <w:lang w:val="es-419"/>
        </w:rPr>
      </w:pPr>
    </w:p>
    <w:p w14:paraId="32F30CA7" w14:textId="77777777" w:rsidR="003E3C19" w:rsidRPr="00F72633" w:rsidRDefault="003E3C19" w:rsidP="003E3C19">
      <w:pPr>
        <w:rPr>
          <w:lang w:val="es-419"/>
        </w:rPr>
      </w:pPr>
      <w:bookmarkStart w:id="27" w:name="_Toc395864975"/>
    </w:p>
    <w:p w14:paraId="313931B8" w14:textId="77777777" w:rsidR="003E3C19" w:rsidRPr="00F72633" w:rsidRDefault="003E3C19" w:rsidP="003E3C19">
      <w:pPr>
        <w:rPr>
          <w:rFonts w:eastAsia="Times New Roman"/>
          <w:b/>
          <w:bCs/>
          <w:iCs/>
          <w:sz w:val="28"/>
          <w:szCs w:val="28"/>
          <w:lang w:val="es-419" w:eastAsia="en-US"/>
        </w:rPr>
      </w:pPr>
      <w:bookmarkStart w:id="28" w:name="_Toc524595671"/>
      <w:r w:rsidRPr="00F72633">
        <w:rPr>
          <w:sz w:val="28"/>
          <w:lang w:val="es-419"/>
        </w:rPr>
        <w:br w:type="page"/>
      </w:r>
    </w:p>
    <w:p w14:paraId="7A352B85" w14:textId="6CDD1382" w:rsidR="003E3C19" w:rsidRPr="00F72633" w:rsidRDefault="00491853" w:rsidP="008132AC">
      <w:pPr>
        <w:pStyle w:val="Heading2"/>
        <w:ind w:left="0" w:firstLine="0"/>
        <w:rPr>
          <w:lang w:val="es-419"/>
        </w:rPr>
      </w:pPr>
      <w:bookmarkStart w:id="29" w:name="_Toc80365152"/>
      <w:bookmarkStart w:id="30" w:name="_Toc143527473"/>
      <w:r w:rsidRPr="00F72633">
        <w:rPr>
          <w:lang w:val="es-419"/>
        </w:rPr>
        <w:lastRenderedPageBreak/>
        <w:t>SUBPROGRAMA</w:t>
      </w:r>
      <w:r w:rsidR="003E3C19" w:rsidRPr="00F72633">
        <w:rPr>
          <w:lang w:val="es-419"/>
        </w:rPr>
        <w:t xml:space="preserve"> UV.2:</w:t>
      </w:r>
      <w:r w:rsidR="00933446" w:rsidRPr="00F72633">
        <w:rPr>
          <w:lang w:val="es-419"/>
        </w:rPr>
        <w:t xml:space="preserve"> </w:t>
      </w:r>
      <w:bookmarkEnd w:id="29"/>
      <w:r w:rsidRPr="00F72633">
        <w:rPr>
          <w:lang w:val="es-419"/>
        </w:rPr>
        <w:t>Servicios prestados a la Unión para mejorar la eficacia del sistema de la UPOV</w:t>
      </w:r>
      <w:bookmarkEnd w:id="30"/>
    </w:p>
    <w:p w14:paraId="64D378B0" w14:textId="5712E822" w:rsidR="003E3C19" w:rsidRPr="00F72633" w:rsidRDefault="00E044FA" w:rsidP="003E3C19">
      <w:pPr>
        <w:pStyle w:val="Heading3"/>
        <w:rPr>
          <w:lang w:val="es-419"/>
        </w:rPr>
      </w:pPr>
      <w:r w:rsidRPr="00F72633">
        <w:rPr>
          <w:lang w:val="es-419"/>
        </w:rPr>
        <w:t>Objetivos</w:t>
      </w:r>
      <w:r w:rsidR="003E3C19" w:rsidRPr="00F72633">
        <w:rPr>
          <w:lang w:val="es-419"/>
        </w:rPr>
        <w:t>:</w:t>
      </w:r>
    </w:p>
    <w:p w14:paraId="1FC9DD05" w14:textId="4E964EF1" w:rsidR="00BC5A02" w:rsidRPr="00F72633" w:rsidRDefault="00BC5A02" w:rsidP="00BC5A02">
      <w:pPr>
        <w:spacing w:after="40"/>
        <w:rPr>
          <w:lang w:val="es-419"/>
        </w:rPr>
      </w:pPr>
      <w:r w:rsidRPr="00F72633">
        <w:rPr>
          <w:lang w:val="es-419"/>
        </w:rPr>
        <w:t>a)</w:t>
      </w:r>
      <w:r w:rsidRPr="00F72633">
        <w:rPr>
          <w:lang w:val="es-419"/>
        </w:rPr>
        <w:tab/>
      </w:r>
      <w:r w:rsidR="00F61B62" w:rsidRPr="00F72633">
        <w:rPr>
          <w:lang w:val="es-419"/>
        </w:rPr>
        <w:t xml:space="preserve">Mantener </w:t>
      </w:r>
      <w:r w:rsidR="00E044FA" w:rsidRPr="00F72633">
        <w:rPr>
          <w:lang w:val="es-419"/>
        </w:rPr>
        <w:t>y mejorar la eficacia del sistema de la UPOV;</w:t>
      </w:r>
    </w:p>
    <w:p w14:paraId="1E30BD91" w14:textId="5D01DAF0" w:rsidR="00BC5A02" w:rsidRPr="00F72633" w:rsidRDefault="00BC5A02" w:rsidP="00BC5A02">
      <w:pPr>
        <w:spacing w:after="40"/>
        <w:ind w:left="567" w:hanging="567"/>
        <w:rPr>
          <w:lang w:val="es-419"/>
        </w:rPr>
      </w:pPr>
      <w:r w:rsidRPr="00F72633">
        <w:rPr>
          <w:lang w:val="es-419"/>
        </w:rPr>
        <w:t>b)</w:t>
      </w:r>
      <w:r w:rsidRPr="00F72633">
        <w:rPr>
          <w:lang w:val="es-419"/>
        </w:rPr>
        <w:tab/>
      </w:r>
      <w:r w:rsidR="00F61B62" w:rsidRPr="00F72633">
        <w:rPr>
          <w:lang w:val="es-419"/>
        </w:rPr>
        <w:t xml:space="preserve">Proporcionar </w:t>
      </w:r>
      <w:r w:rsidR="00E044FA" w:rsidRPr="00F72633">
        <w:rPr>
          <w:lang w:val="es-419"/>
        </w:rPr>
        <w:t>y desarrollar las bases jurídicas, administrativas y técnicas para la cooperación internacional en materia de protección de las variedades vegetales, de conformidad con el Convenio de la UPOV</w:t>
      </w:r>
      <w:r w:rsidRPr="00F72633">
        <w:rPr>
          <w:lang w:val="es-419"/>
        </w:rPr>
        <w:t>.</w:t>
      </w:r>
    </w:p>
    <w:p w14:paraId="4EE538B8" w14:textId="77777777" w:rsidR="003E3C19" w:rsidRPr="00F72633" w:rsidRDefault="003E3C19" w:rsidP="003E3C19">
      <w:pPr>
        <w:spacing w:after="120"/>
        <w:rPr>
          <w:lang w:val="es-419"/>
        </w:rPr>
      </w:pPr>
    </w:p>
    <w:p w14:paraId="4ABDCAE7" w14:textId="4A74CA0D" w:rsidR="003E3C19" w:rsidRPr="00F72633" w:rsidRDefault="00E044FA" w:rsidP="003E3C19">
      <w:pPr>
        <w:pStyle w:val="Heading3"/>
        <w:rPr>
          <w:lang w:val="es-419"/>
        </w:rPr>
      </w:pPr>
      <w:r w:rsidRPr="00F72633">
        <w:rPr>
          <w:lang w:val="es-419"/>
        </w:rPr>
        <w:t>Datos sobre el rendimiento:</w:t>
      </w:r>
    </w:p>
    <w:tbl>
      <w:tblPr>
        <w:tblW w:w="9776" w:type="dxa"/>
        <w:tblInd w:w="-10" w:type="dxa"/>
        <w:tblCellMar>
          <w:top w:w="28" w:type="dxa"/>
          <w:bottom w:w="28" w:type="dxa"/>
        </w:tblCellMar>
        <w:tblLook w:val="04A0" w:firstRow="1" w:lastRow="0" w:firstColumn="1" w:lastColumn="0" w:noHBand="0" w:noVBand="1"/>
      </w:tblPr>
      <w:tblGrid>
        <w:gridCol w:w="10"/>
        <w:gridCol w:w="1828"/>
        <w:gridCol w:w="10"/>
        <w:gridCol w:w="2982"/>
        <w:gridCol w:w="4946"/>
      </w:tblGrid>
      <w:tr w:rsidR="003E3C19" w:rsidRPr="00F72633" w14:paraId="7AEA1E31" w14:textId="77777777" w:rsidTr="00F72633">
        <w:trPr>
          <w:gridBefore w:val="1"/>
          <w:wBefore w:w="10" w:type="dxa"/>
          <w:trHeight w:val="530"/>
          <w:tblHeader/>
        </w:trPr>
        <w:tc>
          <w:tcPr>
            <w:tcW w:w="1838" w:type="dxa"/>
            <w:gridSpan w:val="2"/>
            <w:shd w:val="clear" w:color="auto" w:fill="E2E7EB" w:themeFill="accent3" w:themeFillTint="33"/>
            <w:vAlign w:val="center"/>
            <w:hideMark/>
          </w:tcPr>
          <w:p w14:paraId="6E1DD482" w14:textId="03E66B94"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Resultados previstos</w:t>
            </w:r>
          </w:p>
        </w:tc>
        <w:tc>
          <w:tcPr>
            <w:tcW w:w="2982" w:type="dxa"/>
            <w:shd w:val="clear" w:color="auto" w:fill="E2E7EB" w:themeFill="accent3" w:themeFillTint="33"/>
            <w:vAlign w:val="center"/>
            <w:hideMark/>
          </w:tcPr>
          <w:p w14:paraId="096E8234" w14:textId="5F4B63EC"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Indicadores de rendimiento</w:t>
            </w:r>
          </w:p>
        </w:tc>
        <w:tc>
          <w:tcPr>
            <w:tcW w:w="4946" w:type="dxa"/>
            <w:shd w:val="clear" w:color="auto" w:fill="E2E7EB" w:themeFill="accent3" w:themeFillTint="33"/>
            <w:vAlign w:val="center"/>
            <w:hideMark/>
          </w:tcPr>
          <w:p w14:paraId="6F85CBD8" w14:textId="76C89DBE"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Datos sobre el rendimiento</w:t>
            </w:r>
          </w:p>
        </w:tc>
      </w:tr>
      <w:tr w:rsidR="00BC5A02" w:rsidRPr="00F72633" w14:paraId="5EE08837" w14:textId="77777777" w:rsidTr="00F72633">
        <w:tc>
          <w:tcPr>
            <w:tcW w:w="1838" w:type="dxa"/>
            <w:gridSpan w:val="2"/>
            <w:vMerge w:val="restart"/>
            <w:shd w:val="clear" w:color="auto" w:fill="auto"/>
            <w:hideMark/>
          </w:tcPr>
          <w:p w14:paraId="02954068" w14:textId="0BF7487A"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5. </w:t>
            </w:r>
            <w:r w:rsidR="00E044FA" w:rsidRPr="00F72633">
              <w:rPr>
                <w:rFonts w:ascii="Arial Narrow" w:hAnsi="Arial Narrow"/>
                <w:sz w:val="18"/>
                <w:lang w:val="es-419"/>
              </w:rPr>
              <w:t>Orientación sobre el Convenio de la UPOV e información sobre su aplicación</w:t>
            </w:r>
          </w:p>
        </w:tc>
        <w:tc>
          <w:tcPr>
            <w:tcW w:w="2992" w:type="dxa"/>
            <w:gridSpan w:val="2"/>
            <w:shd w:val="clear" w:color="auto" w:fill="auto"/>
          </w:tcPr>
          <w:p w14:paraId="32D479F9" w14:textId="72BFDE4B"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E044FA" w:rsidRPr="00F72633">
              <w:rPr>
                <w:rFonts w:ascii="Arial Narrow" w:eastAsia="Times New Roman" w:hAnsi="Arial Narrow"/>
                <w:sz w:val="18"/>
                <w:szCs w:val="18"/>
                <w:lang w:val="es-419" w:eastAsia="en-US"/>
              </w:rPr>
              <w:t>Aprobación de material de orientación e información nuevo o revisado sobre el Convenio de la UPOV</w:t>
            </w:r>
          </w:p>
        </w:tc>
        <w:tc>
          <w:tcPr>
            <w:tcW w:w="4946" w:type="dxa"/>
            <w:shd w:val="clear" w:color="auto" w:fill="auto"/>
            <w:noWrap/>
          </w:tcPr>
          <w:p w14:paraId="1C581509" w14:textId="47AF30ED" w:rsidR="00B66E20" w:rsidRPr="00F72633" w:rsidRDefault="00CE3151" w:rsidP="00B66E20">
            <w:pPr>
              <w:spacing w:after="60"/>
              <w:jc w:val="left"/>
              <w:rPr>
                <w:rFonts w:ascii="Arial Narrow" w:eastAsia="Times New Roman" w:hAnsi="Arial Narrow"/>
                <w:sz w:val="18"/>
                <w:szCs w:val="18"/>
                <w:lang w:val="es-419" w:eastAsia="en-US"/>
              </w:rPr>
            </w:pPr>
            <w:r w:rsidRPr="00F72633">
              <w:rPr>
                <w:rFonts w:ascii="Arial Narrow" w:hAnsi="Arial Narrow"/>
                <w:sz w:val="18"/>
                <w:lang w:val="es-419"/>
              </w:rPr>
              <w:t>El Consejo aprobó:</w:t>
            </w:r>
          </w:p>
          <w:p w14:paraId="7A2BC100" w14:textId="136FB592" w:rsidR="00B66E20" w:rsidRPr="00F72633" w:rsidRDefault="00B66E20" w:rsidP="00B66E20">
            <w:pPr>
              <w:spacing w:after="60"/>
              <w:ind w:left="285" w:hanging="285"/>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00933446" w:rsidRPr="00F72633">
              <w:rPr>
                <w:rFonts w:ascii="Arial Narrow" w:eastAsia="Times New Roman" w:hAnsi="Arial Narrow"/>
                <w:sz w:val="18"/>
                <w:szCs w:val="18"/>
                <w:lang w:val="es-419" w:eastAsia="en-US"/>
              </w:rPr>
              <w:t xml:space="preserve"> </w:t>
            </w:r>
            <w:r w:rsidR="00857156">
              <w:rPr>
                <w:rFonts w:ascii="Arial Narrow" w:hAnsi="Arial Narrow"/>
                <w:sz w:val="18"/>
                <w:lang w:val="es-419"/>
              </w:rPr>
              <w:t>las</w:t>
            </w:r>
            <w:r w:rsidR="00711DD8" w:rsidRPr="00F72633">
              <w:rPr>
                <w:rFonts w:ascii="Arial Narrow" w:hAnsi="Arial Narrow"/>
                <w:sz w:val="18"/>
                <w:lang w:val="es-419"/>
              </w:rPr>
              <w:t xml:space="preserve"> revisiones de </w:t>
            </w:r>
            <w:r w:rsidR="00857156">
              <w:rPr>
                <w:rFonts w:ascii="Arial Narrow" w:hAnsi="Arial Narrow"/>
                <w:sz w:val="18"/>
                <w:lang w:val="es-419"/>
              </w:rPr>
              <w:t xml:space="preserve">2 </w:t>
            </w:r>
            <w:r w:rsidR="00711DD8" w:rsidRPr="00F72633">
              <w:rPr>
                <w:rFonts w:ascii="Arial Narrow" w:hAnsi="Arial Narrow"/>
                <w:sz w:val="18"/>
                <w:lang w:val="es-419"/>
              </w:rPr>
              <w:t>documentos de información aprobados:</w:t>
            </w:r>
          </w:p>
          <w:p w14:paraId="7B9808D2" w14:textId="38F9D42E" w:rsidR="00B66E20" w:rsidRPr="00F72633" w:rsidRDefault="00B66E20" w:rsidP="00B66E20">
            <w:pPr>
              <w:ind w:left="1744" w:hanging="1516"/>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UPOV/INF/16/10</w:t>
            </w:r>
            <w:r w:rsidRPr="00F72633">
              <w:rPr>
                <w:rFonts w:ascii="Arial Narrow" w:eastAsia="Times New Roman" w:hAnsi="Arial Narrow"/>
                <w:sz w:val="18"/>
                <w:szCs w:val="18"/>
                <w:lang w:val="es-419" w:eastAsia="en-US"/>
              </w:rPr>
              <w:tab/>
            </w:r>
            <w:r w:rsidR="00711DD8" w:rsidRPr="00F72633">
              <w:rPr>
                <w:rFonts w:ascii="Arial Narrow" w:eastAsia="Times New Roman" w:hAnsi="Arial Narrow"/>
                <w:sz w:val="18"/>
                <w:szCs w:val="18"/>
                <w:lang w:val="es-419" w:eastAsia="en-US"/>
              </w:rPr>
              <w:t>Programas informáticos para intercambio</w:t>
            </w:r>
            <w:r w:rsidRPr="00F72633">
              <w:rPr>
                <w:rFonts w:ascii="Arial Narrow" w:eastAsia="Times New Roman" w:hAnsi="Arial Narrow"/>
                <w:sz w:val="18"/>
                <w:szCs w:val="18"/>
                <w:lang w:val="es-419" w:eastAsia="en-US"/>
              </w:rPr>
              <w:t xml:space="preserve"> (</w:t>
            </w:r>
            <w:r w:rsidR="00711DD8" w:rsidRPr="00F72633">
              <w:rPr>
                <w:rFonts w:ascii="Arial Narrow" w:eastAsia="Times New Roman" w:hAnsi="Arial Narrow"/>
                <w:sz w:val="18"/>
                <w:szCs w:val="18"/>
                <w:lang w:val="es-419" w:eastAsia="en-US"/>
              </w:rPr>
              <w:t>inclusión de la aplicación PATHOSTAT)</w:t>
            </w:r>
          </w:p>
          <w:p w14:paraId="129748D1" w14:textId="3D684FAD" w:rsidR="00B66E20" w:rsidRPr="00F72633" w:rsidRDefault="00B66E20" w:rsidP="00B66E20">
            <w:pPr>
              <w:ind w:left="1744" w:hanging="1516"/>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UPOV/INF/22/8</w:t>
            </w:r>
            <w:r w:rsidRPr="00F72633">
              <w:rPr>
                <w:rFonts w:ascii="Arial Narrow" w:eastAsia="Times New Roman" w:hAnsi="Arial Narrow"/>
                <w:sz w:val="18"/>
                <w:szCs w:val="18"/>
                <w:lang w:val="es-419" w:eastAsia="en-US"/>
              </w:rPr>
              <w:tab/>
            </w:r>
            <w:r w:rsidR="00711DD8" w:rsidRPr="00F72633">
              <w:rPr>
                <w:rFonts w:ascii="Arial Narrow" w:eastAsia="Times New Roman" w:hAnsi="Arial Narrow"/>
                <w:sz w:val="18"/>
                <w:szCs w:val="18"/>
                <w:lang w:val="es-419" w:eastAsia="en-US"/>
              </w:rPr>
              <w:t>Programas informáticos y equipos utilizados por los miembros de la Unión</w:t>
            </w:r>
          </w:p>
          <w:p w14:paraId="50D13C63" w14:textId="77777777" w:rsidR="00B66E20" w:rsidRPr="00F72633" w:rsidRDefault="00B66E20" w:rsidP="00B66E20">
            <w:pPr>
              <w:ind w:left="1736" w:hanging="1418"/>
              <w:jc w:val="left"/>
              <w:rPr>
                <w:rFonts w:ascii="Arial Narrow" w:eastAsia="Times New Roman" w:hAnsi="Arial Narrow"/>
                <w:sz w:val="18"/>
                <w:szCs w:val="18"/>
                <w:lang w:val="es-419" w:eastAsia="en-US"/>
              </w:rPr>
            </w:pPr>
          </w:p>
          <w:p w14:paraId="0606803A" w14:textId="70CC2314" w:rsidR="00B66E20" w:rsidRPr="00F72633" w:rsidRDefault="00711DD8" w:rsidP="00B66E20">
            <w:pPr>
              <w:spacing w:after="60"/>
              <w:ind w:left="85" w:hanging="85"/>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 </w:t>
            </w:r>
            <w:r w:rsidR="00857156">
              <w:rPr>
                <w:rFonts w:ascii="Arial Narrow" w:eastAsia="Times New Roman" w:hAnsi="Arial Narrow"/>
                <w:sz w:val="18"/>
                <w:szCs w:val="18"/>
                <w:lang w:val="es-419" w:eastAsia="en-US"/>
              </w:rPr>
              <w:t xml:space="preserve">la </w:t>
            </w:r>
            <w:r w:rsidRPr="00F72633">
              <w:rPr>
                <w:rFonts w:ascii="Arial Narrow" w:eastAsia="Times New Roman" w:hAnsi="Arial Narrow"/>
                <w:sz w:val="18"/>
                <w:szCs w:val="18"/>
                <w:lang w:val="es-419" w:eastAsia="en-US"/>
              </w:rPr>
              <w:t>revisió</w:t>
            </w:r>
            <w:r w:rsidR="00B66E20" w:rsidRPr="00F72633">
              <w:rPr>
                <w:rFonts w:ascii="Arial Narrow" w:eastAsia="Times New Roman" w:hAnsi="Arial Narrow"/>
                <w:sz w:val="18"/>
                <w:szCs w:val="18"/>
                <w:lang w:val="es-419" w:eastAsia="en-US"/>
              </w:rPr>
              <w:t xml:space="preserve">n </w:t>
            </w:r>
            <w:r w:rsidRPr="00F72633">
              <w:rPr>
                <w:rFonts w:ascii="Arial Narrow" w:eastAsia="Times New Roman" w:hAnsi="Arial Narrow"/>
                <w:sz w:val="18"/>
                <w:szCs w:val="18"/>
                <w:lang w:val="es-419" w:eastAsia="en-US"/>
              </w:rPr>
              <w:t xml:space="preserve">de </w:t>
            </w:r>
            <w:r w:rsidR="00857156">
              <w:rPr>
                <w:rFonts w:ascii="Arial Narrow" w:eastAsia="Times New Roman" w:hAnsi="Arial Narrow"/>
                <w:sz w:val="18"/>
                <w:szCs w:val="18"/>
                <w:lang w:val="es-419" w:eastAsia="en-US"/>
              </w:rPr>
              <w:t>1</w:t>
            </w:r>
            <w:r w:rsidRPr="00F72633">
              <w:rPr>
                <w:rFonts w:ascii="Arial Narrow" w:eastAsia="Times New Roman" w:hAnsi="Arial Narrow"/>
                <w:sz w:val="18"/>
                <w:szCs w:val="18"/>
                <w:lang w:val="es-419" w:eastAsia="en-US"/>
              </w:rPr>
              <w:t xml:space="preserve"> documento de notas explicativas</w:t>
            </w:r>
            <w:r w:rsidR="00B66E20" w:rsidRPr="00F72633">
              <w:rPr>
                <w:rFonts w:ascii="Arial Narrow" w:eastAsia="Times New Roman" w:hAnsi="Arial Narrow"/>
                <w:sz w:val="18"/>
                <w:szCs w:val="18"/>
                <w:lang w:val="es-419" w:eastAsia="en-US"/>
              </w:rPr>
              <w:t>:</w:t>
            </w:r>
          </w:p>
          <w:p w14:paraId="4271F7E1" w14:textId="59A2ADED" w:rsidR="00B66E20" w:rsidRPr="00F72633" w:rsidRDefault="00B66E20" w:rsidP="00867ABB">
            <w:pPr>
              <w:ind w:left="1744" w:hanging="1516"/>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UPOV/EXN/DEN/2: </w:t>
            </w:r>
            <w:r w:rsidRPr="00F72633">
              <w:rPr>
                <w:rFonts w:ascii="Arial Narrow" w:eastAsia="Times New Roman" w:hAnsi="Arial Narrow"/>
                <w:sz w:val="18"/>
                <w:szCs w:val="18"/>
                <w:lang w:val="es-419" w:eastAsia="en-US"/>
              </w:rPr>
              <w:tab/>
            </w:r>
            <w:r w:rsidR="00711DD8" w:rsidRPr="00F72633">
              <w:rPr>
                <w:rFonts w:ascii="Arial Narrow" w:eastAsia="Times New Roman" w:hAnsi="Arial Narrow"/>
                <w:sz w:val="18"/>
                <w:szCs w:val="18"/>
                <w:lang w:val="es-419" w:eastAsia="en-US"/>
              </w:rPr>
              <w:t>Notas explicativas sobre las denominaciones de variedades con arreglo al Convenio de la UPOV</w:t>
            </w:r>
          </w:p>
          <w:p w14:paraId="293F3F2B" w14:textId="191FDA53" w:rsidR="00B66E20" w:rsidRPr="00F72633" w:rsidRDefault="00650ED9" w:rsidP="00650ED9">
            <w:pPr>
              <w:spacing w:after="60"/>
              <w:ind w:left="85" w:hanging="85"/>
              <w:jc w:val="left"/>
              <w:rPr>
                <w:rFonts w:ascii="Arial Narrow" w:hAnsi="Arial Narrow"/>
                <w:sz w:val="18"/>
                <w:szCs w:val="18"/>
                <w:lang w:val="es-419"/>
              </w:rPr>
            </w:pPr>
            <w:r w:rsidRPr="00F72633">
              <w:rPr>
                <w:rFonts w:ascii="Arial Narrow" w:hAnsi="Arial Narrow"/>
                <w:sz w:val="18"/>
                <w:szCs w:val="18"/>
                <w:lang w:val="es-419"/>
              </w:rPr>
              <w:t xml:space="preserve">- </w:t>
            </w:r>
            <w:r w:rsidR="00857156">
              <w:rPr>
                <w:rFonts w:ascii="Arial Narrow" w:hAnsi="Arial Narrow"/>
                <w:sz w:val="18"/>
                <w:szCs w:val="18"/>
                <w:lang w:val="es-419"/>
              </w:rPr>
              <w:t xml:space="preserve">las </w:t>
            </w:r>
            <w:r w:rsidR="00711DD8" w:rsidRPr="00F72633">
              <w:rPr>
                <w:rFonts w:ascii="Arial Narrow" w:eastAsia="Times New Roman" w:hAnsi="Arial Narrow"/>
                <w:sz w:val="18"/>
                <w:szCs w:val="18"/>
                <w:lang w:val="es-419" w:eastAsia="en-US"/>
              </w:rPr>
              <w:t>revision</w:t>
            </w:r>
            <w:r w:rsidR="00ED67BD" w:rsidRPr="00F72633">
              <w:rPr>
                <w:rFonts w:ascii="Arial Narrow" w:eastAsia="Times New Roman" w:hAnsi="Arial Narrow"/>
                <w:sz w:val="18"/>
                <w:szCs w:val="18"/>
                <w:lang w:val="es-419" w:eastAsia="en-US"/>
              </w:rPr>
              <w:t>e</w:t>
            </w:r>
            <w:r w:rsidR="00711DD8" w:rsidRPr="00F72633">
              <w:rPr>
                <w:rFonts w:ascii="Arial Narrow" w:eastAsia="Times New Roman" w:hAnsi="Arial Narrow"/>
                <w:sz w:val="18"/>
                <w:szCs w:val="18"/>
                <w:lang w:val="es-419" w:eastAsia="en-US"/>
              </w:rPr>
              <w:t>s</w:t>
            </w:r>
            <w:r w:rsidR="00711DD8" w:rsidRPr="00F72633">
              <w:rPr>
                <w:rFonts w:ascii="Arial Narrow" w:hAnsi="Arial Narrow"/>
                <w:sz w:val="18"/>
                <w:szCs w:val="18"/>
                <w:lang w:val="es-419"/>
              </w:rPr>
              <w:t xml:space="preserve"> de </w:t>
            </w:r>
            <w:r w:rsidR="00857156">
              <w:rPr>
                <w:rFonts w:ascii="Arial Narrow" w:hAnsi="Arial Narrow"/>
                <w:sz w:val="18"/>
                <w:szCs w:val="18"/>
                <w:lang w:val="es-419"/>
              </w:rPr>
              <w:t xml:space="preserve">3 </w:t>
            </w:r>
            <w:r w:rsidR="00711DD8" w:rsidRPr="00F72633">
              <w:rPr>
                <w:rFonts w:ascii="Arial Narrow" w:hAnsi="Arial Narrow"/>
                <w:sz w:val="18"/>
                <w:szCs w:val="18"/>
                <w:lang w:val="es-419"/>
              </w:rPr>
              <w:t>documentos TGP aprobados con anterioridad y publicados en el sitio web de la UPOV</w:t>
            </w:r>
            <w:r w:rsidR="00B66E20" w:rsidRPr="00F72633">
              <w:rPr>
                <w:rFonts w:ascii="Arial Narrow" w:hAnsi="Arial Narrow"/>
                <w:sz w:val="18"/>
                <w:szCs w:val="18"/>
                <w:lang w:val="es-419"/>
              </w:rPr>
              <w:t>:</w:t>
            </w:r>
          </w:p>
          <w:p w14:paraId="7A671295" w14:textId="08702D9D" w:rsidR="00B66E20" w:rsidRPr="00F72633" w:rsidRDefault="00ED67BD" w:rsidP="00867ABB">
            <w:pPr>
              <w:ind w:left="1736" w:hanging="1418"/>
              <w:jc w:val="left"/>
              <w:rPr>
                <w:rFonts w:ascii="Arial Narrow" w:eastAsia="Times New Roman" w:hAnsi="Arial Narrow"/>
                <w:sz w:val="18"/>
                <w:szCs w:val="18"/>
                <w:lang w:val="es-419" w:eastAsia="en-US"/>
              </w:rPr>
            </w:pPr>
            <w:r w:rsidRPr="00F72633">
              <w:rPr>
                <w:rFonts w:ascii="Arial Narrow" w:hAnsi="Arial Narrow"/>
                <w:sz w:val="18"/>
                <w:lang w:val="es-419"/>
              </w:rPr>
              <w:t>TGP/5: Sección 6</w:t>
            </w:r>
            <w:r w:rsidR="00B66E20" w:rsidRPr="00F72633">
              <w:rPr>
                <w:rFonts w:ascii="Arial Narrow" w:eastAsia="Times New Roman" w:hAnsi="Arial Narrow"/>
                <w:sz w:val="18"/>
                <w:szCs w:val="18"/>
                <w:lang w:val="es-419" w:eastAsia="en-US"/>
              </w:rPr>
              <w:tab/>
            </w:r>
            <w:r w:rsidRPr="00F72633">
              <w:rPr>
                <w:rFonts w:ascii="Arial Narrow" w:eastAsia="Times New Roman" w:hAnsi="Arial Narrow"/>
                <w:sz w:val="18"/>
                <w:szCs w:val="18"/>
                <w:lang w:val="es-419" w:eastAsia="en-US"/>
              </w:rPr>
              <w:t>Experiencia y cooper</w:t>
            </w:r>
            <w:r w:rsidR="0007648E" w:rsidRPr="00F72633">
              <w:rPr>
                <w:rFonts w:ascii="Arial Narrow" w:eastAsia="Times New Roman" w:hAnsi="Arial Narrow"/>
                <w:sz w:val="18"/>
                <w:szCs w:val="18"/>
                <w:lang w:val="es-419" w:eastAsia="en-US"/>
              </w:rPr>
              <w:t>ación en el examen DHE, sección </w:t>
            </w:r>
            <w:r w:rsidRPr="00F72633">
              <w:rPr>
                <w:rFonts w:ascii="Arial Narrow" w:eastAsia="Times New Roman" w:hAnsi="Arial Narrow"/>
                <w:sz w:val="18"/>
                <w:szCs w:val="18"/>
                <w:lang w:val="es-419" w:eastAsia="en-US"/>
              </w:rPr>
              <w:t>6: Informe de la UPOV sobre el examen técnico y Formulario UPOV para la descripción de variedades</w:t>
            </w:r>
          </w:p>
          <w:p w14:paraId="5F40E6A6" w14:textId="3C8CC983" w:rsidR="00B66E20" w:rsidRPr="00F72633" w:rsidRDefault="00B66E20" w:rsidP="00867ABB">
            <w:pPr>
              <w:ind w:left="1736" w:hanging="1418"/>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TGP/8/4:</w:t>
            </w:r>
            <w:r w:rsidRPr="00F72633">
              <w:rPr>
                <w:rFonts w:ascii="Arial Narrow" w:eastAsia="Times New Roman" w:hAnsi="Arial Narrow"/>
                <w:sz w:val="18"/>
                <w:szCs w:val="18"/>
                <w:lang w:val="es-419" w:eastAsia="en-US"/>
              </w:rPr>
              <w:tab/>
            </w:r>
            <w:r w:rsidR="00ED67BD" w:rsidRPr="00F72633">
              <w:rPr>
                <w:rFonts w:ascii="Arial Narrow" w:eastAsia="Times New Roman" w:hAnsi="Arial Narrow"/>
                <w:sz w:val="18"/>
                <w:szCs w:val="18"/>
                <w:lang w:val="es-419" w:eastAsia="en-US"/>
              </w:rPr>
              <w:t>Diseño de ensayos y técnicas utilizados en el examen de la distinción, la homogeneidad y la estabilidad</w:t>
            </w:r>
          </w:p>
          <w:p w14:paraId="57DD4658" w14:textId="6335BF0C" w:rsidR="00BC5A02" w:rsidRPr="00F72633" w:rsidRDefault="00B66E20" w:rsidP="00867ABB">
            <w:pPr>
              <w:ind w:left="1736" w:hanging="1418"/>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TGP/12/2</w:t>
            </w:r>
            <w:r w:rsidRPr="00F72633">
              <w:rPr>
                <w:rFonts w:ascii="Arial Narrow" w:eastAsia="Times New Roman" w:hAnsi="Arial Narrow"/>
                <w:sz w:val="18"/>
                <w:szCs w:val="18"/>
                <w:lang w:val="es-419" w:eastAsia="en-US"/>
              </w:rPr>
              <w:tab/>
            </w:r>
            <w:r w:rsidR="00ED67BD" w:rsidRPr="00F72633">
              <w:rPr>
                <w:rFonts w:ascii="Arial Narrow" w:eastAsia="Times New Roman" w:hAnsi="Arial Narrow"/>
                <w:sz w:val="18"/>
                <w:szCs w:val="18"/>
                <w:lang w:val="es-419" w:eastAsia="en-US"/>
              </w:rPr>
              <w:t>Orientación sobre ciertos caracteres fisiológicos</w:t>
            </w:r>
          </w:p>
        </w:tc>
      </w:tr>
      <w:tr w:rsidR="00BC5A02" w:rsidRPr="00F72633" w14:paraId="5AC2A581" w14:textId="77777777" w:rsidTr="00F72633">
        <w:tc>
          <w:tcPr>
            <w:tcW w:w="1838" w:type="dxa"/>
            <w:gridSpan w:val="2"/>
            <w:vMerge/>
            <w:shd w:val="clear" w:color="auto" w:fill="auto"/>
          </w:tcPr>
          <w:p w14:paraId="66D6958C"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51340775" w14:textId="49FB307E"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E044FA" w:rsidRPr="00F72633">
              <w:rPr>
                <w:rFonts w:ascii="Arial Narrow" w:eastAsia="Times New Roman" w:hAnsi="Arial Narrow"/>
                <w:sz w:val="18"/>
                <w:szCs w:val="18"/>
                <w:lang w:val="es-419" w:eastAsia="en-US"/>
              </w:rPr>
              <w:t>Aprobación de directrices de examen nuevas o revisadas</w:t>
            </w:r>
          </w:p>
        </w:tc>
        <w:tc>
          <w:tcPr>
            <w:tcW w:w="4946" w:type="dxa"/>
            <w:shd w:val="clear" w:color="auto" w:fill="auto"/>
            <w:noWrap/>
          </w:tcPr>
          <w:p w14:paraId="540EE70C" w14:textId="29254DE8" w:rsidR="00BC5A02" w:rsidRPr="00F72633" w:rsidRDefault="0007648E" w:rsidP="00025236">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Aprobación de 1 </w:t>
            </w:r>
            <w:r w:rsidR="00ED67BD" w:rsidRPr="00F72633">
              <w:rPr>
                <w:rFonts w:ascii="Arial Narrow" w:eastAsia="Times New Roman" w:hAnsi="Arial Narrow"/>
                <w:sz w:val="18"/>
                <w:szCs w:val="18"/>
                <w:lang w:val="es-419" w:eastAsia="en-US"/>
              </w:rPr>
              <w:t>directriz de examen nueva</w:t>
            </w:r>
            <w:r w:rsidRPr="00F72633">
              <w:rPr>
                <w:rFonts w:ascii="Arial Narrow" w:eastAsia="Times New Roman" w:hAnsi="Arial Narrow"/>
                <w:sz w:val="18"/>
                <w:szCs w:val="18"/>
                <w:lang w:val="es-419" w:eastAsia="en-US"/>
              </w:rPr>
              <w:t>; 7 </w:t>
            </w:r>
            <w:r w:rsidR="00ED67BD" w:rsidRPr="00F72633">
              <w:rPr>
                <w:rFonts w:ascii="Arial Narrow" w:eastAsia="Times New Roman" w:hAnsi="Arial Narrow"/>
                <w:sz w:val="18"/>
                <w:szCs w:val="18"/>
                <w:lang w:val="es-419" w:eastAsia="en-US"/>
              </w:rPr>
              <w:t>revisiones completas de directrices de examen</w:t>
            </w:r>
            <w:r w:rsidR="00B66E20"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y 13 </w:t>
            </w:r>
            <w:r w:rsidR="00ED67BD" w:rsidRPr="00F72633">
              <w:rPr>
                <w:rFonts w:ascii="Arial Narrow" w:eastAsia="Times New Roman" w:hAnsi="Arial Narrow"/>
                <w:sz w:val="18"/>
                <w:szCs w:val="18"/>
                <w:lang w:val="es-419" w:eastAsia="en-US"/>
              </w:rPr>
              <w:t>revisiones parciales de directrices de examen</w:t>
            </w:r>
          </w:p>
        </w:tc>
      </w:tr>
      <w:tr w:rsidR="00BC5A02" w:rsidRPr="00F72633" w14:paraId="0DBC5B56" w14:textId="77777777" w:rsidTr="00F72633">
        <w:tc>
          <w:tcPr>
            <w:tcW w:w="1838" w:type="dxa"/>
            <w:gridSpan w:val="2"/>
            <w:vMerge/>
            <w:shd w:val="clear" w:color="auto" w:fill="auto"/>
          </w:tcPr>
          <w:p w14:paraId="78542026"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4E624D49" w14:textId="08B4363B"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 </w:t>
            </w:r>
            <w:r w:rsidR="00E044FA" w:rsidRPr="00F72633">
              <w:rPr>
                <w:rFonts w:ascii="Arial Narrow" w:eastAsia="Times New Roman" w:hAnsi="Arial Narrow"/>
                <w:sz w:val="18"/>
                <w:szCs w:val="18"/>
                <w:lang w:val="es-419" w:eastAsia="en-US"/>
              </w:rPr>
              <w:t>Proporción de solicitudes de derechos de obtentor que abarcan las directrices de examen aprobadas</w:t>
            </w:r>
          </w:p>
        </w:tc>
        <w:tc>
          <w:tcPr>
            <w:tcW w:w="4946" w:type="dxa"/>
            <w:shd w:val="clear" w:color="auto" w:fill="auto"/>
            <w:noWrap/>
          </w:tcPr>
          <w:p w14:paraId="2C3BD08C" w14:textId="531463D7" w:rsidR="00BC5A02" w:rsidRPr="00F72633" w:rsidRDefault="00F90BBB" w:rsidP="00025236">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94</w:t>
            </w:r>
            <w:r w:rsidR="002011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 xml:space="preserve">% </w:t>
            </w:r>
            <w:r w:rsidR="00025236" w:rsidRPr="00F72633">
              <w:rPr>
                <w:rFonts w:ascii="Arial Narrow" w:hAnsi="Arial Narrow"/>
                <w:sz w:val="18"/>
                <w:lang w:val="es-419"/>
              </w:rPr>
              <w:t>según entradas en la base de datos sobre variedades vegetales PLUTO</w:t>
            </w:r>
            <w:r w:rsidRPr="00F72633">
              <w:rPr>
                <w:rFonts w:ascii="Arial Narrow" w:eastAsia="Times New Roman" w:hAnsi="Arial Narrow"/>
                <w:sz w:val="18"/>
                <w:szCs w:val="18"/>
                <w:lang w:val="es-419" w:eastAsia="en-US"/>
              </w:rPr>
              <w:t xml:space="preserve"> </w:t>
            </w:r>
            <w:r w:rsidR="00867ABB" w:rsidRPr="00F72633">
              <w:rPr>
                <w:rFonts w:ascii="Arial Narrow" w:eastAsia="Times New Roman" w:hAnsi="Arial Narrow"/>
                <w:sz w:val="18"/>
                <w:szCs w:val="18"/>
                <w:lang w:val="es-419" w:eastAsia="en-US"/>
              </w:rPr>
              <w:br/>
            </w:r>
            <w:r w:rsidRPr="00F72633">
              <w:rPr>
                <w:rFonts w:ascii="Arial Narrow" w:eastAsia="Times New Roman" w:hAnsi="Arial Narrow"/>
                <w:sz w:val="18"/>
                <w:szCs w:val="18"/>
                <w:lang w:val="es-419" w:eastAsia="en-US"/>
              </w:rPr>
              <w:t>(368</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148</w:t>
            </w:r>
            <w:r w:rsidR="00867ABB" w:rsidRPr="00F72633">
              <w:rPr>
                <w:rFonts w:ascii="Arial Narrow" w:eastAsia="Times New Roman" w:hAnsi="Arial Narrow"/>
                <w:sz w:val="18"/>
                <w:szCs w:val="18"/>
                <w:lang w:val="es-419" w:eastAsia="en-US"/>
              </w:rPr>
              <w:t xml:space="preserve"> </w:t>
            </w:r>
            <w:r w:rsidR="00025236" w:rsidRPr="00F72633">
              <w:rPr>
                <w:rFonts w:ascii="Arial Narrow" w:eastAsia="Times New Roman" w:hAnsi="Arial Narrow"/>
                <w:sz w:val="18"/>
                <w:szCs w:val="18"/>
                <w:lang w:val="es-419" w:eastAsia="en-US"/>
              </w:rPr>
              <w:t>de</w:t>
            </w:r>
            <w:r w:rsidRPr="00F72633">
              <w:rPr>
                <w:rFonts w:ascii="Arial Narrow" w:eastAsia="Times New Roman" w:hAnsi="Arial Narrow"/>
                <w:sz w:val="18"/>
                <w:szCs w:val="18"/>
                <w:lang w:val="es-419" w:eastAsia="en-US"/>
              </w:rPr>
              <w:t xml:space="preserve"> 391</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604)</w:t>
            </w:r>
          </w:p>
        </w:tc>
      </w:tr>
      <w:tr w:rsidR="00BC5A02" w:rsidRPr="00F72633" w14:paraId="1EFD60CA" w14:textId="77777777" w:rsidTr="00F72633">
        <w:tc>
          <w:tcPr>
            <w:tcW w:w="1838" w:type="dxa"/>
            <w:gridSpan w:val="2"/>
            <w:vMerge/>
            <w:shd w:val="clear" w:color="auto" w:fill="auto"/>
          </w:tcPr>
          <w:p w14:paraId="0E08A8DE"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7D431015" w14:textId="3F286A3A"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d) </w:t>
            </w:r>
            <w:r w:rsidR="00E044FA" w:rsidRPr="00F72633">
              <w:rPr>
                <w:rFonts w:ascii="Arial Narrow" w:eastAsia="Times New Roman" w:hAnsi="Arial Narrow"/>
                <w:sz w:val="18"/>
                <w:szCs w:val="18"/>
                <w:lang w:val="es-419" w:eastAsia="en-US"/>
              </w:rPr>
              <w:t>Número de directrices de examen en curso de elaboración en los Grupos de Trabajo Técnico</w:t>
            </w:r>
          </w:p>
        </w:tc>
        <w:tc>
          <w:tcPr>
            <w:tcW w:w="4946" w:type="dxa"/>
            <w:shd w:val="clear" w:color="auto" w:fill="auto"/>
            <w:noWrap/>
          </w:tcPr>
          <w:p w14:paraId="10CCE1C1" w14:textId="14823E09" w:rsidR="00B64144" w:rsidRPr="00F72633" w:rsidRDefault="0007648E" w:rsidP="0007648E">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5 </w:t>
            </w:r>
            <w:r w:rsidR="00025236" w:rsidRPr="00F72633">
              <w:rPr>
                <w:rFonts w:ascii="Arial Narrow" w:eastAsia="Times New Roman" w:hAnsi="Arial Narrow"/>
                <w:sz w:val="18"/>
                <w:szCs w:val="18"/>
                <w:lang w:val="es-419" w:eastAsia="en-US"/>
              </w:rPr>
              <w:t>directrices de examen nuevas</w:t>
            </w:r>
            <w:r w:rsidRPr="00F72633">
              <w:rPr>
                <w:rFonts w:ascii="Arial Narrow" w:eastAsia="Times New Roman" w:hAnsi="Arial Narrow"/>
                <w:sz w:val="18"/>
                <w:szCs w:val="18"/>
                <w:lang w:val="es-419" w:eastAsia="en-US"/>
              </w:rPr>
              <w:t>; </w:t>
            </w:r>
            <w:r w:rsidR="00B64144" w:rsidRPr="00F72633">
              <w:rPr>
                <w:rFonts w:ascii="Arial Narrow" w:eastAsia="Times New Roman" w:hAnsi="Arial Narrow"/>
                <w:sz w:val="18"/>
                <w:szCs w:val="18"/>
                <w:lang w:val="es-419" w:eastAsia="en-US"/>
              </w:rPr>
              <w:t>30</w:t>
            </w:r>
            <w:r w:rsidRPr="00F72633">
              <w:rPr>
                <w:rFonts w:ascii="Arial Narrow" w:eastAsia="Times New Roman" w:hAnsi="Arial Narrow"/>
                <w:sz w:val="18"/>
                <w:szCs w:val="18"/>
                <w:lang w:val="es-419" w:eastAsia="en-US"/>
              </w:rPr>
              <w:t> </w:t>
            </w:r>
            <w:r w:rsidR="00025236" w:rsidRPr="00F72633">
              <w:rPr>
                <w:rFonts w:ascii="Arial Narrow" w:eastAsia="Times New Roman" w:hAnsi="Arial Narrow"/>
                <w:sz w:val="18"/>
                <w:szCs w:val="18"/>
                <w:lang w:val="es-419" w:eastAsia="en-US"/>
              </w:rPr>
              <w:t>revisiones completas de dir</w:t>
            </w:r>
            <w:r w:rsidRPr="00F72633">
              <w:rPr>
                <w:rFonts w:ascii="Arial Narrow" w:eastAsia="Times New Roman" w:hAnsi="Arial Narrow"/>
                <w:sz w:val="18"/>
                <w:szCs w:val="18"/>
                <w:lang w:val="es-419" w:eastAsia="en-US"/>
              </w:rPr>
              <w:t>ectrices de examen y 13 </w:t>
            </w:r>
            <w:r w:rsidR="00025236" w:rsidRPr="00F72633">
              <w:rPr>
                <w:rFonts w:ascii="Arial Narrow" w:eastAsia="Times New Roman" w:hAnsi="Arial Narrow"/>
                <w:sz w:val="18"/>
                <w:szCs w:val="18"/>
                <w:lang w:val="es-419" w:eastAsia="en-US"/>
              </w:rPr>
              <w:t>revisiones parciales de directrices de examen</w:t>
            </w:r>
          </w:p>
        </w:tc>
      </w:tr>
      <w:tr w:rsidR="00BC5A02" w:rsidRPr="00F72633" w14:paraId="28309D73" w14:textId="77777777" w:rsidTr="00F72633">
        <w:tc>
          <w:tcPr>
            <w:tcW w:w="1838" w:type="dxa"/>
            <w:gridSpan w:val="2"/>
            <w:vMerge w:val="restart"/>
            <w:tcBorders>
              <w:bottom w:val="single" w:sz="4" w:space="0" w:color="D9D9D9" w:themeColor="background1" w:themeShade="D9"/>
            </w:tcBorders>
            <w:shd w:val="clear" w:color="auto" w:fill="auto"/>
          </w:tcPr>
          <w:p w14:paraId="7976D748" w14:textId="3E3D9783"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6. </w:t>
            </w:r>
            <w:r w:rsidR="00222189" w:rsidRPr="00F72633">
              <w:rPr>
                <w:rFonts w:ascii="Arial Narrow" w:eastAsia="Times New Roman" w:hAnsi="Arial Narrow"/>
                <w:sz w:val="18"/>
                <w:szCs w:val="18"/>
                <w:lang w:val="es-419" w:eastAsia="en-US"/>
              </w:rPr>
              <w:t>Mayor cooperación en el examen DHE</w:t>
            </w:r>
          </w:p>
        </w:tc>
        <w:tc>
          <w:tcPr>
            <w:tcW w:w="2992" w:type="dxa"/>
            <w:gridSpan w:val="2"/>
            <w:shd w:val="clear" w:color="auto" w:fill="auto"/>
          </w:tcPr>
          <w:p w14:paraId="5F2DE44F" w14:textId="2AAA7D7A"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222189" w:rsidRPr="00F72633">
              <w:rPr>
                <w:rFonts w:ascii="Arial Narrow" w:eastAsia="Times New Roman" w:hAnsi="Arial Narrow"/>
                <w:sz w:val="18"/>
                <w:szCs w:val="18"/>
                <w:lang w:val="es-419" w:eastAsia="en-US"/>
              </w:rPr>
              <w:t>Géneros y especies vegetales, respecto d</w:t>
            </w:r>
            <w:r w:rsidR="00582AC7">
              <w:rPr>
                <w:rFonts w:ascii="Arial Narrow" w:eastAsia="Times New Roman" w:hAnsi="Arial Narrow"/>
                <w:sz w:val="18"/>
                <w:szCs w:val="18"/>
                <w:lang w:val="es-419" w:eastAsia="en-US"/>
              </w:rPr>
              <w:t>e los cuales los miembros de la </w:t>
            </w:r>
            <w:r w:rsidR="00222189" w:rsidRPr="00F72633">
              <w:rPr>
                <w:rFonts w:ascii="Arial Narrow" w:eastAsia="Times New Roman" w:hAnsi="Arial Narrow"/>
                <w:sz w:val="18"/>
                <w:szCs w:val="18"/>
                <w:lang w:val="es-419" w:eastAsia="en-US"/>
              </w:rPr>
              <w:t>Unión poseen experiencia práctica, incluidos en la base de datos GENIE</w:t>
            </w:r>
          </w:p>
        </w:tc>
        <w:tc>
          <w:tcPr>
            <w:tcW w:w="4946" w:type="dxa"/>
            <w:shd w:val="clear" w:color="auto" w:fill="auto"/>
            <w:noWrap/>
          </w:tcPr>
          <w:p w14:paraId="7E9C8DFA" w14:textId="2C8A6DBA" w:rsidR="00B86450" w:rsidRPr="00F72633" w:rsidRDefault="00B86450" w:rsidP="00B86450">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w:t>
            </w:r>
            <w:r w:rsidR="0007648E" w:rsidRPr="00F72633">
              <w:rPr>
                <w:rFonts w:ascii="Arial Narrow" w:eastAsia="Times New Roman" w:hAnsi="Arial Narrow"/>
                <w:sz w:val="18"/>
                <w:szCs w:val="18"/>
                <w:lang w:val="es-419" w:eastAsia="en-US"/>
              </w:rPr>
              <w:t>022: </w:t>
            </w:r>
            <w:r w:rsidRPr="00F72633">
              <w:rPr>
                <w:rFonts w:ascii="Arial Narrow" w:eastAsia="Times New Roman" w:hAnsi="Arial Narrow"/>
                <w:sz w:val="18"/>
                <w:szCs w:val="18"/>
                <w:lang w:val="es-419" w:eastAsia="en-US"/>
              </w:rPr>
              <w:t>3</w:t>
            </w:r>
            <w:r w:rsidR="00874D41" w:rsidRPr="00F72633">
              <w:rPr>
                <w:rFonts w:ascii="Arial Narrow" w:eastAsia="Times New Roman" w:hAnsi="Arial Narrow"/>
                <w:sz w:val="18"/>
                <w:szCs w:val="18"/>
                <w:lang w:val="es-419" w:eastAsia="en-US"/>
              </w:rPr>
              <w:t> </w:t>
            </w:r>
            <w:r w:rsidR="0007648E" w:rsidRPr="00F72633">
              <w:rPr>
                <w:rFonts w:ascii="Arial Narrow" w:eastAsia="Times New Roman" w:hAnsi="Arial Narrow"/>
                <w:sz w:val="18"/>
                <w:szCs w:val="18"/>
                <w:lang w:val="es-419" w:eastAsia="en-US"/>
              </w:rPr>
              <w:t>733 </w:t>
            </w:r>
            <w:r w:rsidR="00025236" w:rsidRPr="00F72633">
              <w:rPr>
                <w:rFonts w:ascii="Arial Narrow" w:eastAsia="Times New Roman" w:hAnsi="Arial Narrow"/>
                <w:sz w:val="18"/>
                <w:szCs w:val="18"/>
                <w:lang w:val="es-419" w:eastAsia="en-US"/>
              </w:rPr>
              <w:t>géneros y especies vegetales</w:t>
            </w:r>
          </w:p>
          <w:p w14:paraId="56FFA382" w14:textId="62AD5DCD" w:rsidR="00B86450" w:rsidRPr="00F72633" w:rsidRDefault="00025236" w:rsidP="00867ABB">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07648E" w:rsidRPr="00F72633">
              <w:rPr>
                <w:rFonts w:ascii="Arial Narrow" w:eastAsia="Times New Roman" w:hAnsi="Arial Narrow"/>
                <w:sz w:val="18"/>
                <w:szCs w:val="18"/>
                <w:lang w:val="es-419" w:eastAsia="en-US"/>
              </w:rPr>
              <w:t> </w:t>
            </w:r>
            <w:r w:rsidR="004E134A" w:rsidRPr="00F72633">
              <w:rPr>
                <w:rFonts w:ascii="Arial Narrow" w:eastAsia="Times New Roman" w:hAnsi="Arial Narrow"/>
                <w:sz w:val="18"/>
                <w:szCs w:val="18"/>
                <w:lang w:val="es-419" w:eastAsia="en-US"/>
              </w:rPr>
              <w:t>16</w:t>
            </w:r>
          </w:p>
        </w:tc>
      </w:tr>
      <w:tr w:rsidR="00BC5A02" w:rsidRPr="00F72633" w14:paraId="48AB3464" w14:textId="77777777" w:rsidTr="00F72633">
        <w:tc>
          <w:tcPr>
            <w:tcW w:w="1838" w:type="dxa"/>
            <w:gridSpan w:val="2"/>
            <w:vMerge/>
            <w:tcBorders>
              <w:bottom w:val="single" w:sz="4" w:space="0" w:color="D9D9D9" w:themeColor="background1" w:themeShade="D9"/>
            </w:tcBorders>
            <w:shd w:val="clear" w:color="auto" w:fill="auto"/>
          </w:tcPr>
          <w:p w14:paraId="6C151BD7"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00DA09DC" w14:textId="56C73070"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222189" w:rsidRPr="00F72633">
              <w:rPr>
                <w:rFonts w:ascii="Arial Narrow" w:eastAsia="Times New Roman" w:hAnsi="Arial Narrow"/>
                <w:sz w:val="18"/>
                <w:szCs w:val="18"/>
                <w:lang w:val="es-419" w:eastAsia="en-US"/>
              </w:rPr>
              <w:t>Géneros y especies vegetales, respecto d</w:t>
            </w:r>
            <w:r w:rsidR="00582AC7">
              <w:rPr>
                <w:rFonts w:ascii="Arial Narrow" w:eastAsia="Times New Roman" w:hAnsi="Arial Narrow"/>
                <w:sz w:val="18"/>
                <w:szCs w:val="18"/>
                <w:lang w:val="es-419" w:eastAsia="en-US"/>
              </w:rPr>
              <w:t>e los cuales los miembros de la </w:t>
            </w:r>
            <w:r w:rsidR="00222189" w:rsidRPr="00F72633">
              <w:rPr>
                <w:rFonts w:ascii="Arial Narrow" w:eastAsia="Times New Roman" w:hAnsi="Arial Narrow"/>
                <w:sz w:val="18"/>
                <w:szCs w:val="18"/>
                <w:lang w:val="es-419" w:eastAsia="en-US"/>
              </w:rPr>
              <w:t>Unión cooperan en el examen DHE, incluidos en la base de datos GENIE</w:t>
            </w:r>
          </w:p>
        </w:tc>
        <w:tc>
          <w:tcPr>
            <w:tcW w:w="4946" w:type="dxa"/>
            <w:shd w:val="clear" w:color="auto" w:fill="auto"/>
            <w:noWrap/>
          </w:tcPr>
          <w:p w14:paraId="47B8EF0C" w14:textId="41E965A1" w:rsidR="00B86450" w:rsidRPr="00F72633" w:rsidRDefault="0007648E" w:rsidP="00B86450">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B86450" w:rsidRPr="00F72633">
              <w:rPr>
                <w:rFonts w:ascii="Arial Narrow" w:eastAsia="Times New Roman" w:hAnsi="Arial Narrow"/>
                <w:sz w:val="18"/>
                <w:szCs w:val="18"/>
                <w:lang w:val="es-419" w:eastAsia="en-US"/>
              </w:rPr>
              <w:t>1</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799 </w:t>
            </w:r>
            <w:r w:rsidR="00025236" w:rsidRPr="00F72633">
              <w:rPr>
                <w:rFonts w:ascii="Arial Narrow" w:eastAsia="Times New Roman" w:hAnsi="Arial Narrow"/>
                <w:sz w:val="18"/>
                <w:szCs w:val="18"/>
                <w:lang w:val="es-419" w:eastAsia="en-US"/>
              </w:rPr>
              <w:t>géneros y especies vegetales</w:t>
            </w:r>
          </w:p>
          <w:p w14:paraId="1CB78D0F" w14:textId="37F2B21E" w:rsidR="00B86450" w:rsidRPr="00F72633" w:rsidRDefault="00025236" w:rsidP="0007648E">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07648E" w:rsidRPr="00F72633">
              <w:rPr>
                <w:rFonts w:ascii="Arial Narrow" w:eastAsia="Times New Roman" w:hAnsi="Arial Narrow"/>
                <w:sz w:val="18"/>
                <w:szCs w:val="18"/>
                <w:lang w:val="es-419" w:eastAsia="en-US"/>
              </w:rPr>
              <w:t> </w:t>
            </w:r>
            <w:r w:rsidR="004E134A" w:rsidRPr="00F72633">
              <w:rPr>
                <w:rFonts w:ascii="Arial Narrow" w:eastAsia="Times New Roman" w:hAnsi="Arial Narrow"/>
                <w:sz w:val="18"/>
                <w:szCs w:val="18"/>
                <w:lang w:val="es-419" w:eastAsia="en-US"/>
              </w:rPr>
              <w:t>16</w:t>
            </w:r>
          </w:p>
        </w:tc>
      </w:tr>
      <w:tr w:rsidR="00BC5A02" w:rsidRPr="00F72633" w14:paraId="31DC07A0" w14:textId="77777777" w:rsidTr="00F72633">
        <w:tc>
          <w:tcPr>
            <w:tcW w:w="1838" w:type="dxa"/>
            <w:gridSpan w:val="2"/>
            <w:vMerge/>
            <w:tcBorders>
              <w:bottom w:val="single" w:sz="4" w:space="0" w:color="D9D9D9" w:themeColor="background1" w:themeShade="D9"/>
            </w:tcBorders>
            <w:shd w:val="clear" w:color="auto" w:fill="auto"/>
          </w:tcPr>
          <w:p w14:paraId="6B05C627"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tcBorders>
              <w:bottom w:val="single" w:sz="4" w:space="0" w:color="D9D9D9" w:themeColor="background1" w:themeShade="D9"/>
            </w:tcBorders>
            <w:shd w:val="clear" w:color="auto" w:fill="auto"/>
          </w:tcPr>
          <w:p w14:paraId="578FC09A" w14:textId="239DAB90"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 </w:t>
            </w:r>
            <w:r w:rsidR="00222189" w:rsidRPr="00F72633">
              <w:rPr>
                <w:rFonts w:ascii="Arial Narrow" w:eastAsia="Times New Roman" w:hAnsi="Arial Narrow"/>
                <w:sz w:val="18"/>
                <w:szCs w:val="18"/>
                <w:lang w:val="es-419" w:eastAsia="en-US"/>
              </w:rPr>
              <w:t>Nuevas iniciativas para facilitar o mejorar la cooperación voluntaria entre los miembros de la Unión</w:t>
            </w:r>
          </w:p>
        </w:tc>
        <w:tc>
          <w:tcPr>
            <w:tcW w:w="4946" w:type="dxa"/>
            <w:tcBorders>
              <w:bottom w:val="single" w:sz="4" w:space="0" w:color="D9D9D9" w:themeColor="background1" w:themeShade="D9"/>
            </w:tcBorders>
            <w:shd w:val="clear" w:color="auto" w:fill="auto"/>
            <w:noWrap/>
          </w:tcPr>
          <w:p w14:paraId="40DCA64B" w14:textId="277D50DE" w:rsidR="00B64144" w:rsidRPr="00F72633" w:rsidRDefault="001277AC" w:rsidP="00BC5A02">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TC: </w:t>
            </w:r>
            <w:r w:rsidR="00025236" w:rsidRPr="00F72633">
              <w:rPr>
                <w:rFonts w:ascii="Arial Narrow" w:eastAsia="Times New Roman" w:hAnsi="Arial Narrow"/>
                <w:sz w:val="18"/>
                <w:szCs w:val="18"/>
                <w:lang w:val="es-419" w:eastAsia="en-US"/>
              </w:rPr>
              <w:t>entrevistas a los miembros y observadores sobre la mejora del apoyo técnico prestado por la UPOV para el examen DHE</w:t>
            </w:r>
            <w:r w:rsidR="00B64144" w:rsidRPr="00F72633">
              <w:rPr>
                <w:rFonts w:ascii="Arial Narrow" w:eastAsia="Times New Roman" w:hAnsi="Arial Narrow"/>
                <w:sz w:val="18"/>
                <w:szCs w:val="18"/>
                <w:lang w:val="es-419" w:eastAsia="en-US"/>
              </w:rPr>
              <w:t xml:space="preserve"> </w:t>
            </w:r>
            <w:r w:rsidR="00D44853" w:rsidRPr="00F72633">
              <w:rPr>
                <w:rFonts w:ascii="Arial Narrow" w:eastAsia="Times New Roman" w:hAnsi="Arial Narrow"/>
                <w:sz w:val="18"/>
                <w:szCs w:val="18"/>
                <w:lang w:val="es-419" w:eastAsia="en-US"/>
              </w:rPr>
              <w:t>y</w:t>
            </w:r>
            <w:r w:rsidR="00D44853" w:rsidRPr="00F72633">
              <w:rPr>
                <w:lang w:val="es-419"/>
              </w:rPr>
              <w:t xml:space="preserve"> </w:t>
            </w:r>
            <w:r w:rsidR="00D44853" w:rsidRPr="00F72633">
              <w:rPr>
                <w:rFonts w:ascii="Arial Narrow" w:eastAsia="Times New Roman" w:hAnsi="Arial Narrow"/>
                <w:sz w:val="18"/>
                <w:szCs w:val="18"/>
                <w:lang w:val="es-419" w:eastAsia="en-US"/>
              </w:rPr>
              <w:t>elaboración de propuestas para abordar las cuestiones planteadas en relación con la organización de reuniones de los Grupos de Trabajo Técnico, elaboración de directrices de examen, formación e intercambio de informes de examen DHE</w:t>
            </w:r>
          </w:p>
          <w:p w14:paraId="6BE4569F" w14:textId="727FF769" w:rsidR="00BC5A02" w:rsidRPr="00F72633" w:rsidRDefault="00582AC7" w:rsidP="00582AC7">
            <w:pPr>
              <w:jc w:val="left"/>
              <w:rPr>
                <w:rFonts w:ascii="Arial Narrow" w:eastAsia="Times New Roman" w:hAnsi="Arial Narrow"/>
                <w:sz w:val="18"/>
                <w:szCs w:val="18"/>
                <w:lang w:val="es-419" w:eastAsia="en-US"/>
              </w:rPr>
            </w:pPr>
            <w:r>
              <w:rPr>
                <w:rFonts w:ascii="Arial Narrow" w:eastAsia="Times New Roman" w:hAnsi="Arial Narrow"/>
                <w:sz w:val="18"/>
                <w:szCs w:val="18"/>
                <w:lang w:val="es-419" w:eastAsia="en-US"/>
              </w:rPr>
              <w:t>UPOV </w:t>
            </w:r>
            <w:r w:rsidR="001277AC" w:rsidRPr="00F72633">
              <w:rPr>
                <w:rFonts w:ascii="Arial Narrow" w:eastAsia="Times New Roman" w:hAnsi="Arial Narrow"/>
                <w:sz w:val="18"/>
                <w:szCs w:val="18"/>
                <w:lang w:val="es-419" w:eastAsia="en-US"/>
              </w:rPr>
              <w:t xml:space="preserve">e-PVP: </w:t>
            </w:r>
            <w:r w:rsidR="00D44853" w:rsidRPr="00F72633">
              <w:rPr>
                <w:rFonts w:ascii="Arial Narrow" w:eastAsia="Times New Roman" w:hAnsi="Arial Narrow"/>
                <w:sz w:val="18"/>
                <w:szCs w:val="18"/>
                <w:lang w:val="es-419" w:eastAsia="en-US"/>
              </w:rPr>
              <w:t>ninguna iniciativa e</w:t>
            </w:r>
            <w:r w:rsidR="0007648E" w:rsidRPr="00F72633">
              <w:rPr>
                <w:rFonts w:ascii="Arial Narrow" w:eastAsia="Times New Roman" w:hAnsi="Arial Narrow"/>
                <w:sz w:val="18"/>
                <w:szCs w:val="18"/>
                <w:lang w:val="es-419" w:eastAsia="en-US"/>
              </w:rPr>
              <w:t>n </w:t>
            </w:r>
            <w:r w:rsidR="0051534E" w:rsidRPr="00F72633">
              <w:rPr>
                <w:rFonts w:ascii="Arial Narrow" w:eastAsia="Times New Roman" w:hAnsi="Arial Narrow"/>
                <w:sz w:val="18"/>
                <w:szCs w:val="18"/>
                <w:lang w:val="es-419" w:eastAsia="en-US"/>
              </w:rPr>
              <w:t>2022</w:t>
            </w:r>
          </w:p>
        </w:tc>
      </w:tr>
      <w:tr w:rsidR="00BC5A02" w:rsidRPr="00F72633" w14:paraId="333191A2" w14:textId="77777777" w:rsidTr="00F72633">
        <w:tc>
          <w:tcPr>
            <w:tcW w:w="1838" w:type="dxa"/>
            <w:gridSpan w:val="2"/>
            <w:vMerge w:val="restart"/>
            <w:tcBorders>
              <w:top w:val="single" w:sz="4" w:space="0" w:color="D9D9D9" w:themeColor="background1" w:themeShade="D9"/>
            </w:tcBorders>
            <w:shd w:val="clear" w:color="auto" w:fill="auto"/>
          </w:tcPr>
          <w:p w14:paraId="611D5453" w14:textId="6786EE89" w:rsidR="00BC5A02" w:rsidRPr="00F72633" w:rsidRDefault="00BC5A02" w:rsidP="0056694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lastRenderedPageBreak/>
              <w:t xml:space="preserve">7. </w:t>
            </w:r>
            <w:r w:rsidR="00222189" w:rsidRPr="00F72633">
              <w:rPr>
                <w:rFonts w:ascii="Arial Narrow" w:eastAsia="Times New Roman" w:hAnsi="Arial Narrow"/>
                <w:sz w:val="18"/>
                <w:szCs w:val="18"/>
                <w:lang w:val="es-419" w:eastAsia="en-US"/>
              </w:rPr>
              <w:t>Mayor cooperación en el examen de denominaciones de variedades y la novedad</w:t>
            </w:r>
          </w:p>
        </w:tc>
        <w:tc>
          <w:tcPr>
            <w:tcW w:w="2992" w:type="dxa"/>
            <w:gridSpan w:val="2"/>
            <w:tcBorders>
              <w:top w:val="single" w:sz="4" w:space="0" w:color="D9D9D9" w:themeColor="background1" w:themeShade="D9"/>
            </w:tcBorders>
            <w:shd w:val="clear" w:color="auto" w:fill="auto"/>
          </w:tcPr>
          <w:p w14:paraId="3D38CDC4" w14:textId="567AC32D" w:rsidR="00BC5A02" w:rsidRPr="00F72633" w:rsidRDefault="00BC5A02" w:rsidP="0056694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222189" w:rsidRPr="00F72633">
              <w:rPr>
                <w:rFonts w:ascii="Arial Narrow" w:eastAsia="Times New Roman" w:hAnsi="Arial Narrow"/>
                <w:sz w:val="18"/>
                <w:szCs w:val="18"/>
                <w:lang w:val="es-419" w:eastAsia="en-US"/>
              </w:rPr>
              <w:t>Cantidad y calidad de los datos de la base de datos PLUTO</w:t>
            </w:r>
            <w:r w:rsidRPr="00F72633">
              <w:rPr>
                <w:rFonts w:ascii="Arial Narrow" w:eastAsia="Times New Roman" w:hAnsi="Arial Narrow"/>
                <w:sz w:val="18"/>
                <w:szCs w:val="18"/>
                <w:lang w:val="es-419" w:eastAsia="en-US"/>
              </w:rPr>
              <w:t>:</w:t>
            </w:r>
          </w:p>
        </w:tc>
        <w:tc>
          <w:tcPr>
            <w:tcW w:w="4946" w:type="dxa"/>
            <w:tcBorders>
              <w:top w:val="single" w:sz="4" w:space="0" w:color="D9D9D9" w:themeColor="background1" w:themeShade="D9"/>
            </w:tcBorders>
            <w:shd w:val="clear" w:color="auto" w:fill="auto"/>
            <w:noWrap/>
          </w:tcPr>
          <w:p w14:paraId="473ABB55" w14:textId="77777777" w:rsidR="00BC5A02" w:rsidRPr="00F72633" w:rsidRDefault="00BC5A02" w:rsidP="0056694C">
            <w:pPr>
              <w:keepNext/>
              <w:jc w:val="left"/>
              <w:rPr>
                <w:rFonts w:ascii="Arial Narrow" w:eastAsia="Times New Roman" w:hAnsi="Arial Narrow"/>
                <w:sz w:val="18"/>
                <w:szCs w:val="18"/>
                <w:lang w:val="es-419" w:eastAsia="en-US"/>
              </w:rPr>
            </w:pPr>
          </w:p>
        </w:tc>
      </w:tr>
      <w:tr w:rsidR="00BC5A02" w:rsidRPr="00F72633" w14:paraId="497545A9" w14:textId="77777777" w:rsidTr="00F72633">
        <w:tc>
          <w:tcPr>
            <w:tcW w:w="1838" w:type="dxa"/>
            <w:gridSpan w:val="2"/>
            <w:vMerge/>
            <w:shd w:val="clear" w:color="auto" w:fill="auto"/>
          </w:tcPr>
          <w:p w14:paraId="0FACC0F5" w14:textId="77777777" w:rsidR="00BC5A02" w:rsidRPr="00F72633" w:rsidRDefault="00BC5A02" w:rsidP="0056694C">
            <w:pPr>
              <w:keepNext/>
              <w:jc w:val="left"/>
              <w:rPr>
                <w:rFonts w:ascii="Arial Narrow" w:eastAsia="Times New Roman" w:hAnsi="Arial Narrow"/>
                <w:sz w:val="18"/>
                <w:szCs w:val="18"/>
                <w:lang w:val="es-419" w:eastAsia="en-US"/>
              </w:rPr>
            </w:pPr>
          </w:p>
        </w:tc>
        <w:tc>
          <w:tcPr>
            <w:tcW w:w="2992" w:type="dxa"/>
            <w:gridSpan w:val="2"/>
            <w:shd w:val="clear" w:color="auto" w:fill="auto"/>
          </w:tcPr>
          <w:p w14:paraId="717326F5" w14:textId="3699E3B0" w:rsidR="00BC5A02" w:rsidRPr="00F72633" w:rsidRDefault="00BC5A02" w:rsidP="0056694C">
            <w:pPr>
              <w:keepNext/>
              <w:ind w:left="284"/>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i) </w:t>
            </w:r>
            <w:r w:rsidR="00222189" w:rsidRPr="00F72633">
              <w:rPr>
                <w:rFonts w:ascii="Arial Narrow" w:eastAsia="Times New Roman" w:hAnsi="Arial Narrow"/>
                <w:sz w:val="18"/>
                <w:szCs w:val="18"/>
                <w:lang w:val="es-419" w:eastAsia="en-US"/>
              </w:rPr>
              <w:t>número de colaboradores</w:t>
            </w:r>
          </w:p>
        </w:tc>
        <w:tc>
          <w:tcPr>
            <w:tcW w:w="4946" w:type="dxa"/>
            <w:shd w:val="clear" w:color="auto" w:fill="auto"/>
            <w:noWrap/>
          </w:tcPr>
          <w:p w14:paraId="69AA686E" w14:textId="2A3C7400" w:rsidR="00114036" w:rsidRPr="00F72633" w:rsidRDefault="00EA45EE" w:rsidP="00D44853">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45 </w:t>
            </w:r>
            <w:r w:rsidR="00C033F0" w:rsidRPr="00F72633">
              <w:rPr>
                <w:rFonts w:ascii="Arial Narrow" w:eastAsia="Times New Roman" w:hAnsi="Arial Narrow"/>
                <w:sz w:val="18"/>
                <w:szCs w:val="18"/>
                <w:lang w:val="es-419" w:eastAsia="en-US"/>
              </w:rPr>
              <w:t>co</w:t>
            </w:r>
            <w:r w:rsidR="00D44853" w:rsidRPr="00F72633">
              <w:rPr>
                <w:rFonts w:ascii="Arial Narrow" w:eastAsia="Times New Roman" w:hAnsi="Arial Narrow"/>
                <w:sz w:val="18"/>
                <w:szCs w:val="18"/>
                <w:lang w:val="es-419" w:eastAsia="en-US"/>
              </w:rPr>
              <w:t>laboradore</w:t>
            </w:r>
            <w:r w:rsidR="00C033F0" w:rsidRPr="00F72633">
              <w:rPr>
                <w:rFonts w:ascii="Arial Narrow" w:eastAsia="Times New Roman" w:hAnsi="Arial Narrow"/>
                <w:sz w:val="18"/>
                <w:szCs w:val="18"/>
                <w:lang w:val="es-419" w:eastAsia="en-US"/>
              </w:rPr>
              <w:t>s</w:t>
            </w:r>
          </w:p>
        </w:tc>
      </w:tr>
      <w:tr w:rsidR="00BC5A02" w:rsidRPr="00F72633" w14:paraId="564EAE5E" w14:textId="77777777" w:rsidTr="00F72633">
        <w:tc>
          <w:tcPr>
            <w:tcW w:w="1838" w:type="dxa"/>
            <w:gridSpan w:val="2"/>
            <w:vMerge/>
            <w:shd w:val="clear" w:color="auto" w:fill="auto"/>
          </w:tcPr>
          <w:p w14:paraId="32FE4E58" w14:textId="77777777" w:rsidR="00BC5A02" w:rsidRPr="00F72633" w:rsidRDefault="00BC5A02" w:rsidP="0056694C">
            <w:pPr>
              <w:keepNext/>
              <w:jc w:val="left"/>
              <w:rPr>
                <w:rFonts w:ascii="Arial Narrow" w:eastAsia="Times New Roman" w:hAnsi="Arial Narrow"/>
                <w:sz w:val="18"/>
                <w:szCs w:val="18"/>
                <w:lang w:val="es-419" w:eastAsia="en-US"/>
              </w:rPr>
            </w:pPr>
          </w:p>
        </w:tc>
        <w:tc>
          <w:tcPr>
            <w:tcW w:w="2992" w:type="dxa"/>
            <w:gridSpan w:val="2"/>
            <w:shd w:val="clear" w:color="auto" w:fill="auto"/>
          </w:tcPr>
          <w:p w14:paraId="611059A9" w14:textId="586964DE" w:rsidR="00BC5A02" w:rsidRPr="00F72633" w:rsidRDefault="00BC5A02" w:rsidP="0056694C">
            <w:pPr>
              <w:keepNext/>
              <w:ind w:left="284"/>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ii) </w:t>
            </w:r>
            <w:r w:rsidR="00222189" w:rsidRPr="00F72633">
              <w:rPr>
                <w:rFonts w:ascii="Arial Narrow" w:eastAsia="Times New Roman" w:hAnsi="Arial Narrow"/>
                <w:sz w:val="18"/>
                <w:szCs w:val="18"/>
                <w:lang w:val="es-419" w:eastAsia="en-US"/>
              </w:rPr>
              <w:t>número de nuevas comunicaciones presentadas</w:t>
            </w:r>
          </w:p>
        </w:tc>
        <w:tc>
          <w:tcPr>
            <w:tcW w:w="4946" w:type="dxa"/>
            <w:shd w:val="clear" w:color="auto" w:fill="auto"/>
            <w:noWrap/>
          </w:tcPr>
          <w:p w14:paraId="4B4CA47A" w14:textId="5A2BE832" w:rsidR="00114036" w:rsidRPr="00F72633" w:rsidRDefault="00EA45EE" w:rsidP="00D44853">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C033F0" w:rsidRPr="00F72633">
              <w:rPr>
                <w:rFonts w:ascii="Arial Narrow" w:eastAsia="Times New Roman" w:hAnsi="Arial Narrow"/>
                <w:sz w:val="18"/>
                <w:szCs w:val="18"/>
                <w:lang w:val="es-419" w:eastAsia="en-US"/>
              </w:rPr>
              <w:t>244</w:t>
            </w:r>
            <w:r w:rsidRPr="00F72633">
              <w:rPr>
                <w:rFonts w:ascii="Arial Narrow" w:eastAsia="Times New Roman" w:hAnsi="Arial Narrow"/>
                <w:sz w:val="18"/>
                <w:szCs w:val="18"/>
                <w:lang w:val="es-419" w:eastAsia="en-US"/>
              </w:rPr>
              <w:t> </w:t>
            </w:r>
            <w:r w:rsidR="00C033F0" w:rsidRPr="00F72633">
              <w:rPr>
                <w:rFonts w:ascii="Arial Narrow" w:eastAsia="Times New Roman" w:hAnsi="Arial Narrow"/>
                <w:sz w:val="18"/>
                <w:szCs w:val="18"/>
                <w:lang w:val="es-419" w:eastAsia="en-US"/>
              </w:rPr>
              <w:t>n</w:t>
            </w:r>
            <w:r w:rsidR="00D44853" w:rsidRPr="00F72633">
              <w:rPr>
                <w:rFonts w:ascii="Arial Narrow" w:eastAsia="Times New Roman" w:hAnsi="Arial Narrow"/>
                <w:sz w:val="18"/>
                <w:szCs w:val="18"/>
                <w:lang w:val="es-419" w:eastAsia="en-US"/>
              </w:rPr>
              <w:t>uevas comunicacione</w:t>
            </w:r>
            <w:r w:rsidR="00C033F0" w:rsidRPr="00F72633">
              <w:rPr>
                <w:rFonts w:ascii="Arial Narrow" w:eastAsia="Times New Roman" w:hAnsi="Arial Narrow"/>
                <w:sz w:val="18"/>
                <w:szCs w:val="18"/>
                <w:lang w:val="es-419" w:eastAsia="en-US"/>
              </w:rPr>
              <w:t>s</w:t>
            </w:r>
          </w:p>
        </w:tc>
      </w:tr>
      <w:tr w:rsidR="00BC5A02" w:rsidRPr="00F72633" w14:paraId="422A06CC" w14:textId="77777777" w:rsidTr="00F72633">
        <w:tc>
          <w:tcPr>
            <w:tcW w:w="1838" w:type="dxa"/>
            <w:gridSpan w:val="2"/>
            <w:vMerge/>
            <w:shd w:val="clear" w:color="auto" w:fill="auto"/>
          </w:tcPr>
          <w:p w14:paraId="23842205" w14:textId="77777777" w:rsidR="00BC5A02" w:rsidRPr="00F72633" w:rsidRDefault="00BC5A02" w:rsidP="0056694C">
            <w:pPr>
              <w:keepNext/>
              <w:jc w:val="left"/>
              <w:rPr>
                <w:rFonts w:ascii="Arial Narrow" w:eastAsia="Times New Roman" w:hAnsi="Arial Narrow"/>
                <w:sz w:val="18"/>
                <w:szCs w:val="18"/>
                <w:lang w:val="es-419" w:eastAsia="en-US"/>
              </w:rPr>
            </w:pPr>
          </w:p>
        </w:tc>
        <w:tc>
          <w:tcPr>
            <w:tcW w:w="2992" w:type="dxa"/>
            <w:gridSpan w:val="2"/>
            <w:shd w:val="clear" w:color="auto" w:fill="auto"/>
          </w:tcPr>
          <w:p w14:paraId="1F19D370" w14:textId="01B2F44E" w:rsidR="00BC5A02" w:rsidRPr="00F72633" w:rsidRDefault="00BC5A02" w:rsidP="0056694C">
            <w:pPr>
              <w:keepNext/>
              <w:ind w:left="284"/>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iii) </w:t>
            </w:r>
            <w:r w:rsidR="00222189" w:rsidRPr="00F72633">
              <w:rPr>
                <w:rFonts w:ascii="Arial Narrow" w:eastAsia="Times New Roman" w:hAnsi="Arial Narrow"/>
                <w:sz w:val="18"/>
                <w:szCs w:val="18"/>
                <w:lang w:val="es-419" w:eastAsia="en-US"/>
              </w:rPr>
              <w:t>número de registros</w:t>
            </w:r>
          </w:p>
        </w:tc>
        <w:tc>
          <w:tcPr>
            <w:tcW w:w="4946" w:type="dxa"/>
            <w:shd w:val="clear" w:color="auto" w:fill="auto"/>
            <w:noWrap/>
          </w:tcPr>
          <w:p w14:paraId="3CD13D50" w14:textId="5C1C809E" w:rsidR="00114036" w:rsidRPr="00F72633" w:rsidRDefault="00EA45EE" w:rsidP="00D44853">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1D23F9" w:rsidRPr="00F72633">
              <w:rPr>
                <w:rFonts w:ascii="Arial Narrow" w:eastAsia="Times New Roman" w:hAnsi="Arial Narrow"/>
                <w:sz w:val="18"/>
                <w:szCs w:val="18"/>
                <w:lang w:val="es-419" w:eastAsia="en-US"/>
              </w:rPr>
              <w:t>1</w:t>
            </w:r>
            <w:r w:rsidR="00874D41" w:rsidRPr="00F72633">
              <w:rPr>
                <w:rFonts w:ascii="Arial Narrow" w:eastAsia="Times New Roman" w:hAnsi="Arial Narrow"/>
                <w:sz w:val="18"/>
                <w:szCs w:val="18"/>
                <w:lang w:val="es-419" w:eastAsia="en-US"/>
              </w:rPr>
              <w:t> </w:t>
            </w:r>
            <w:r w:rsidR="001D23F9" w:rsidRPr="00F72633">
              <w:rPr>
                <w:rFonts w:ascii="Arial Narrow" w:eastAsia="Times New Roman" w:hAnsi="Arial Narrow"/>
                <w:sz w:val="18"/>
                <w:szCs w:val="18"/>
                <w:lang w:val="es-419" w:eastAsia="en-US"/>
              </w:rPr>
              <w:t>016</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419 </w:t>
            </w:r>
            <w:r w:rsidR="0051534E" w:rsidRPr="00F72633">
              <w:rPr>
                <w:rFonts w:ascii="Arial Narrow" w:eastAsia="Times New Roman" w:hAnsi="Arial Narrow"/>
                <w:sz w:val="18"/>
                <w:szCs w:val="18"/>
                <w:lang w:val="es-419" w:eastAsia="en-US"/>
              </w:rPr>
              <w:t>re</w:t>
            </w:r>
            <w:r w:rsidR="00D44853" w:rsidRPr="00F72633">
              <w:rPr>
                <w:rFonts w:ascii="Arial Narrow" w:eastAsia="Times New Roman" w:hAnsi="Arial Narrow"/>
                <w:sz w:val="18"/>
                <w:szCs w:val="18"/>
                <w:lang w:val="es-419" w:eastAsia="en-US"/>
              </w:rPr>
              <w:t>gistro</w:t>
            </w:r>
            <w:r w:rsidR="0051534E" w:rsidRPr="00F72633">
              <w:rPr>
                <w:rFonts w:ascii="Arial Narrow" w:eastAsia="Times New Roman" w:hAnsi="Arial Narrow"/>
                <w:sz w:val="18"/>
                <w:szCs w:val="18"/>
                <w:lang w:val="es-419" w:eastAsia="en-US"/>
              </w:rPr>
              <w:t>s</w:t>
            </w:r>
          </w:p>
        </w:tc>
      </w:tr>
      <w:tr w:rsidR="00BC5A02" w:rsidRPr="00F72633" w14:paraId="04C1913D" w14:textId="77777777" w:rsidTr="00F72633">
        <w:tc>
          <w:tcPr>
            <w:tcW w:w="1838" w:type="dxa"/>
            <w:gridSpan w:val="2"/>
            <w:vMerge/>
            <w:shd w:val="clear" w:color="auto" w:fill="auto"/>
          </w:tcPr>
          <w:p w14:paraId="615386B1" w14:textId="77777777" w:rsidR="00BC5A02" w:rsidRPr="00F72633" w:rsidRDefault="00BC5A02" w:rsidP="0056694C">
            <w:pPr>
              <w:keepNext/>
              <w:jc w:val="left"/>
              <w:rPr>
                <w:rFonts w:ascii="Arial Narrow" w:eastAsia="Times New Roman" w:hAnsi="Arial Narrow"/>
                <w:sz w:val="18"/>
                <w:szCs w:val="18"/>
                <w:lang w:val="es-419" w:eastAsia="en-US"/>
              </w:rPr>
            </w:pPr>
          </w:p>
        </w:tc>
        <w:tc>
          <w:tcPr>
            <w:tcW w:w="2992" w:type="dxa"/>
            <w:gridSpan w:val="2"/>
            <w:shd w:val="clear" w:color="auto" w:fill="auto"/>
          </w:tcPr>
          <w:p w14:paraId="5C63122F" w14:textId="6F1013B4" w:rsidR="00BC5A02" w:rsidRPr="00F72633" w:rsidRDefault="00BC5A02" w:rsidP="0056694C">
            <w:pPr>
              <w:keepNext/>
              <w:ind w:left="284"/>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iv) </w:t>
            </w:r>
            <w:r w:rsidR="00222189" w:rsidRPr="00F72633">
              <w:rPr>
                <w:rFonts w:ascii="Arial Narrow" w:eastAsia="Times New Roman" w:hAnsi="Arial Narrow"/>
                <w:sz w:val="18"/>
                <w:szCs w:val="18"/>
                <w:lang w:val="es-419" w:eastAsia="en-US"/>
              </w:rPr>
              <w:t>número de elementos obligatorios suministrados</w:t>
            </w:r>
          </w:p>
        </w:tc>
        <w:tc>
          <w:tcPr>
            <w:tcW w:w="4946" w:type="dxa"/>
            <w:shd w:val="clear" w:color="auto" w:fill="auto"/>
            <w:noWrap/>
          </w:tcPr>
          <w:p w14:paraId="5FBD85C4" w14:textId="708D733B" w:rsidR="00BC5A02" w:rsidRPr="00F72633" w:rsidRDefault="00D44853" w:rsidP="0056694C">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n.d.</w:t>
            </w:r>
          </w:p>
        </w:tc>
      </w:tr>
      <w:tr w:rsidR="00BC5A02" w:rsidRPr="00F72633" w14:paraId="2C11321A" w14:textId="77777777" w:rsidTr="00F72633">
        <w:tc>
          <w:tcPr>
            <w:tcW w:w="1838" w:type="dxa"/>
            <w:gridSpan w:val="2"/>
            <w:vMerge/>
            <w:shd w:val="clear" w:color="auto" w:fill="auto"/>
          </w:tcPr>
          <w:p w14:paraId="10ED8D41"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0450C405" w14:textId="3E3F341D" w:rsidR="00BC5A02" w:rsidRPr="00F72633" w:rsidRDefault="00BC5A02" w:rsidP="00BC5A02">
            <w:pPr>
              <w:ind w:left="284"/>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v) </w:t>
            </w:r>
            <w:r w:rsidR="00222189" w:rsidRPr="00F72633">
              <w:rPr>
                <w:rFonts w:ascii="Arial Narrow" w:eastAsia="Times New Roman" w:hAnsi="Arial Narrow"/>
                <w:sz w:val="18"/>
                <w:szCs w:val="18"/>
                <w:lang w:val="es-419" w:eastAsia="en-US"/>
              </w:rPr>
              <w:t>número de elementos no obligatorios suministrados</w:t>
            </w:r>
          </w:p>
        </w:tc>
        <w:tc>
          <w:tcPr>
            <w:tcW w:w="4946" w:type="dxa"/>
            <w:shd w:val="clear" w:color="auto" w:fill="auto"/>
            <w:noWrap/>
          </w:tcPr>
          <w:p w14:paraId="297C9948" w14:textId="2DAEC4CE" w:rsidR="00BC5A02" w:rsidRPr="00F72633" w:rsidRDefault="00D44853" w:rsidP="00BC5A02">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n.d.</w:t>
            </w:r>
          </w:p>
        </w:tc>
      </w:tr>
      <w:tr w:rsidR="00BC5A02" w:rsidRPr="00F72633" w14:paraId="2DE509EF" w14:textId="77777777" w:rsidTr="00F72633">
        <w:tc>
          <w:tcPr>
            <w:tcW w:w="1838" w:type="dxa"/>
            <w:gridSpan w:val="2"/>
            <w:vMerge/>
            <w:shd w:val="clear" w:color="auto" w:fill="auto"/>
          </w:tcPr>
          <w:p w14:paraId="2ABBEC35"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06618227" w14:textId="56A3C76A"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222189" w:rsidRPr="00F72633">
              <w:rPr>
                <w:rFonts w:ascii="Arial Narrow" w:eastAsia="Times New Roman" w:hAnsi="Arial Narrow"/>
                <w:sz w:val="18"/>
                <w:szCs w:val="18"/>
                <w:lang w:val="es-419" w:eastAsia="en-US"/>
              </w:rPr>
              <w:t>Número de usuarios de PLUTO y frecuencia de uso</w:t>
            </w:r>
          </w:p>
        </w:tc>
        <w:tc>
          <w:tcPr>
            <w:tcW w:w="4946" w:type="dxa"/>
            <w:shd w:val="clear" w:color="auto" w:fill="auto"/>
            <w:noWrap/>
          </w:tcPr>
          <w:p w14:paraId="65CABDED" w14:textId="53564A66" w:rsidR="00114036" w:rsidRPr="00F72633" w:rsidRDefault="00EA45EE" w:rsidP="00D44853">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C033F0" w:rsidRPr="00F72633">
              <w:rPr>
                <w:rFonts w:ascii="Arial Narrow" w:eastAsia="Times New Roman" w:hAnsi="Arial Narrow"/>
                <w:sz w:val="18"/>
                <w:szCs w:val="18"/>
                <w:lang w:val="es-419" w:eastAsia="en-US"/>
              </w:rPr>
              <w:t>3</w:t>
            </w:r>
            <w:r w:rsidR="00874D41" w:rsidRPr="00F72633">
              <w:rPr>
                <w:rFonts w:ascii="Arial Narrow" w:eastAsia="Times New Roman" w:hAnsi="Arial Narrow"/>
                <w:sz w:val="18"/>
                <w:szCs w:val="18"/>
                <w:lang w:val="es-419" w:eastAsia="en-US"/>
              </w:rPr>
              <w:t> </w:t>
            </w:r>
            <w:r w:rsidR="00C033F0" w:rsidRPr="00F72633">
              <w:rPr>
                <w:rFonts w:ascii="Arial Narrow" w:eastAsia="Times New Roman" w:hAnsi="Arial Narrow"/>
                <w:sz w:val="18"/>
                <w:szCs w:val="18"/>
                <w:lang w:val="es-419" w:eastAsia="en-US"/>
              </w:rPr>
              <w:t>0</w:t>
            </w:r>
            <w:r w:rsidRPr="00F72633">
              <w:rPr>
                <w:rFonts w:ascii="Arial Narrow" w:eastAsia="Times New Roman" w:hAnsi="Arial Narrow"/>
                <w:sz w:val="18"/>
                <w:szCs w:val="18"/>
                <w:lang w:val="es-419" w:eastAsia="en-US"/>
              </w:rPr>
              <w:t>54 </w:t>
            </w:r>
            <w:r w:rsidR="00C033F0" w:rsidRPr="00F72633">
              <w:rPr>
                <w:rFonts w:ascii="Arial Narrow" w:eastAsia="Times New Roman" w:hAnsi="Arial Narrow"/>
                <w:sz w:val="18"/>
                <w:szCs w:val="18"/>
                <w:lang w:val="es-419" w:eastAsia="en-US"/>
              </w:rPr>
              <w:t>us</w:t>
            </w:r>
            <w:r w:rsidR="00D44853" w:rsidRPr="00F72633">
              <w:rPr>
                <w:rFonts w:ascii="Arial Narrow" w:eastAsia="Times New Roman" w:hAnsi="Arial Narrow"/>
                <w:sz w:val="18"/>
                <w:szCs w:val="18"/>
                <w:lang w:val="es-419" w:eastAsia="en-US"/>
              </w:rPr>
              <w:t>uario</w:t>
            </w:r>
            <w:r w:rsidR="00C033F0" w:rsidRPr="00F72633">
              <w:rPr>
                <w:rFonts w:ascii="Arial Narrow" w:eastAsia="Times New Roman" w:hAnsi="Arial Narrow"/>
                <w:sz w:val="18"/>
                <w:szCs w:val="18"/>
                <w:lang w:val="es-419" w:eastAsia="en-US"/>
              </w:rPr>
              <w:t>s</w:t>
            </w:r>
          </w:p>
        </w:tc>
      </w:tr>
      <w:tr w:rsidR="00BC5A02" w:rsidRPr="00F72633" w14:paraId="1D3B2F66" w14:textId="77777777" w:rsidTr="00F72633">
        <w:tc>
          <w:tcPr>
            <w:tcW w:w="1838" w:type="dxa"/>
            <w:gridSpan w:val="2"/>
            <w:vMerge/>
            <w:shd w:val="clear" w:color="auto" w:fill="auto"/>
          </w:tcPr>
          <w:p w14:paraId="46BAF1B0"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shd w:val="clear" w:color="auto" w:fill="auto"/>
          </w:tcPr>
          <w:p w14:paraId="0CD6BAF1" w14:textId="5BBB0738"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 </w:t>
            </w:r>
            <w:r w:rsidR="00222189" w:rsidRPr="00F72633">
              <w:rPr>
                <w:rFonts w:ascii="Arial Narrow" w:eastAsia="Times New Roman" w:hAnsi="Arial Narrow"/>
                <w:sz w:val="18"/>
                <w:szCs w:val="18"/>
                <w:lang w:val="es-419" w:eastAsia="en-US"/>
              </w:rPr>
              <w:t>Nuevas iniciativas para facilitar o mejorar la cooperación voluntaria entre los miembros de la Unión</w:t>
            </w:r>
          </w:p>
        </w:tc>
        <w:tc>
          <w:tcPr>
            <w:tcW w:w="4946" w:type="dxa"/>
            <w:shd w:val="clear" w:color="auto" w:fill="auto"/>
            <w:noWrap/>
          </w:tcPr>
          <w:p w14:paraId="24CE6666" w14:textId="74A4E1BF" w:rsidR="00BC5A02" w:rsidRPr="00F72633" w:rsidRDefault="00582AC7" w:rsidP="004F6697">
            <w:pPr>
              <w:spacing w:after="60"/>
              <w:jc w:val="left"/>
              <w:rPr>
                <w:rFonts w:ascii="Arial Narrow" w:eastAsia="Times New Roman" w:hAnsi="Arial Narrow"/>
                <w:sz w:val="18"/>
                <w:szCs w:val="18"/>
                <w:lang w:val="es-419" w:eastAsia="en-US"/>
              </w:rPr>
            </w:pPr>
            <w:r>
              <w:rPr>
                <w:rFonts w:ascii="Arial Narrow" w:eastAsia="Times New Roman" w:hAnsi="Arial Narrow"/>
                <w:sz w:val="18"/>
                <w:szCs w:val="18"/>
                <w:lang w:val="es-419" w:eastAsia="en-US"/>
              </w:rPr>
              <w:t>UPOV e</w:t>
            </w:r>
            <w:r>
              <w:rPr>
                <w:rFonts w:ascii="Arial Narrow" w:eastAsia="Times New Roman" w:hAnsi="Arial Narrow"/>
                <w:sz w:val="18"/>
                <w:szCs w:val="18"/>
                <w:lang w:val="es-419" w:eastAsia="en-US"/>
              </w:rPr>
              <w:noBreakHyphen/>
              <w:t>PVP</w:t>
            </w:r>
            <w:r w:rsidR="004F6697" w:rsidRPr="00F72633">
              <w:rPr>
                <w:rFonts w:ascii="Arial Narrow" w:eastAsia="Times New Roman" w:hAnsi="Arial Narrow"/>
                <w:sz w:val="18"/>
                <w:szCs w:val="18"/>
                <w:lang w:val="es-419" w:eastAsia="en-US"/>
              </w:rPr>
              <w:t xml:space="preserve"> </w:t>
            </w:r>
            <w:r w:rsidR="000A0614">
              <w:rPr>
                <w:rFonts w:ascii="Arial Narrow" w:eastAsia="Times New Roman" w:hAnsi="Arial Narrow"/>
                <w:sz w:val="18"/>
                <w:szCs w:val="18"/>
                <w:lang w:val="es-419" w:eastAsia="en-US"/>
              </w:rPr>
              <w:t xml:space="preserve">incluido </w:t>
            </w:r>
            <w:r w:rsidR="004F6697" w:rsidRPr="00F72633">
              <w:rPr>
                <w:rFonts w:ascii="Arial Narrow" w:eastAsia="Times New Roman" w:hAnsi="Arial Narrow"/>
                <w:sz w:val="18"/>
                <w:szCs w:val="18"/>
                <w:lang w:val="es-419" w:eastAsia="en-US"/>
              </w:rPr>
              <w:t>en el Plan Operat</w:t>
            </w:r>
            <w:r w:rsidR="00EA45EE" w:rsidRPr="00F72633">
              <w:rPr>
                <w:rFonts w:ascii="Arial Narrow" w:eastAsia="Times New Roman" w:hAnsi="Arial Narrow"/>
                <w:sz w:val="18"/>
                <w:szCs w:val="18"/>
                <w:lang w:val="es-419" w:eastAsia="en-US"/>
              </w:rPr>
              <w:t>ivo Estratégico para el período </w:t>
            </w:r>
            <w:r w:rsidR="00EA45EE" w:rsidRPr="00F72633">
              <w:rPr>
                <w:rFonts w:ascii="Arial Narrow" w:eastAsia="Times New Roman" w:hAnsi="Arial Narrow"/>
                <w:color w:val="000000" w:themeColor="text1"/>
                <w:sz w:val="18"/>
                <w:szCs w:val="18"/>
                <w:lang w:val="es-419" w:eastAsia="en-US"/>
              </w:rPr>
              <w:t>2023</w:t>
            </w:r>
            <w:r w:rsidR="00EA45EE" w:rsidRPr="00F72633">
              <w:rPr>
                <w:rFonts w:ascii="Arial Narrow" w:eastAsia="Times New Roman" w:hAnsi="Arial Narrow"/>
                <w:color w:val="000000" w:themeColor="text1"/>
                <w:sz w:val="18"/>
                <w:szCs w:val="18"/>
                <w:lang w:val="es-419" w:eastAsia="en-US"/>
              </w:rPr>
              <w:noBreakHyphen/>
            </w:r>
            <w:r w:rsidR="00114036" w:rsidRPr="00F72633">
              <w:rPr>
                <w:rFonts w:ascii="Arial Narrow" w:eastAsia="Times New Roman" w:hAnsi="Arial Narrow"/>
                <w:color w:val="000000" w:themeColor="text1"/>
                <w:sz w:val="18"/>
                <w:szCs w:val="18"/>
                <w:lang w:val="es-419" w:eastAsia="en-US"/>
              </w:rPr>
              <w:t>2027</w:t>
            </w:r>
          </w:p>
        </w:tc>
      </w:tr>
      <w:tr w:rsidR="00BC5A02" w:rsidRPr="00F72633" w14:paraId="50E2A047" w14:textId="77777777" w:rsidTr="00F72633">
        <w:tc>
          <w:tcPr>
            <w:tcW w:w="1838" w:type="dxa"/>
            <w:gridSpan w:val="2"/>
            <w:vMerge w:val="restart"/>
            <w:tcBorders>
              <w:bottom w:val="single" w:sz="4" w:space="0" w:color="D9D9D9" w:themeColor="background1" w:themeShade="D9"/>
            </w:tcBorders>
            <w:shd w:val="clear" w:color="auto" w:fill="auto"/>
          </w:tcPr>
          <w:p w14:paraId="02961574" w14:textId="4C8DDB70"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8. </w:t>
            </w:r>
            <w:r w:rsidR="00222189" w:rsidRPr="00F72633">
              <w:rPr>
                <w:rFonts w:ascii="Arial Narrow" w:eastAsia="Times New Roman" w:hAnsi="Arial Narrow"/>
                <w:sz w:val="18"/>
                <w:szCs w:val="18"/>
                <w:lang w:val="es-419" w:eastAsia="en-US"/>
              </w:rPr>
              <w:t>Mejor administración de las solicitudes de derechos de obtentor</w:t>
            </w:r>
          </w:p>
        </w:tc>
        <w:tc>
          <w:tcPr>
            <w:tcW w:w="2992" w:type="dxa"/>
            <w:gridSpan w:val="2"/>
            <w:shd w:val="clear" w:color="auto" w:fill="auto"/>
          </w:tcPr>
          <w:p w14:paraId="52C1BBDC" w14:textId="55B50047"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222189" w:rsidRPr="00F72633">
              <w:rPr>
                <w:rFonts w:ascii="Arial Narrow" w:eastAsia="Times New Roman" w:hAnsi="Arial Narrow"/>
                <w:sz w:val="18"/>
                <w:szCs w:val="18"/>
                <w:lang w:val="es-419" w:eastAsia="en-US"/>
              </w:rPr>
              <w:t xml:space="preserve">Número de miembros de la Unión que participan en </w:t>
            </w:r>
            <w:r w:rsidR="000D20D3">
              <w:rPr>
                <w:rFonts w:ascii="Arial Narrow" w:eastAsia="Times New Roman" w:hAnsi="Arial Narrow"/>
                <w:sz w:val="18"/>
                <w:szCs w:val="18"/>
                <w:lang w:val="es-419" w:eastAsia="en-US"/>
              </w:rPr>
              <w:t>UPOV PRISMA</w:t>
            </w:r>
          </w:p>
        </w:tc>
        <w:tc>
          <w:tcPr>
            <w:tcW w:w="4946" w:type="dxa"/>
            <w:shd w:val="clear" w:color="auto" w:fill="auto"/>
            <w:noWrap/>
          </w:tcPr>
          <w:p w14:paraId="6D50D404" w14:textId="5CE75B15" w:rsidR="005B7871" w:rsidRPr="00F72633" w:rsidRDefault="00EA45EE" w:rsidP="00E11FB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36 </w:t>
            </w:r>
            <w:r w:rsidR="00E11FB1" w:rsidRPr="00F72633">
              <w:rPr>
                <w:rFonts w:ascii="Arial Narrow" w:hAnsi="Arial Narrow"/>
                <w:sz w:val="18"/>
                <w:lang w:val="es-419"/>
              </w:rPr>
              <w:t>miembros que abarcan</w:t>
            </w:r>
            <w:r w:rsidRPr="00F72633">
              <w:rPr>
                <w:rFonts w:ascii="Arial Narrow" w:eastAsia="Times New Roman" w:hAnsi="Arial Narrow"/>
                <w:sz w:val="18"/>
                <w:szCs w:val="18"/>
                <w:lang w:val="es-419" w:eastAsia="en-US"/>
              </w:rPr>
              <w:t> 75 </w:t>
            </w:r>
            <w:r w:rsidR="00E11FB1" w:rsidRPr="00F72633">
              <w:rPr>
                <w:rFonts w:ascii="Arial Narrow" w:eastAsia="Times New Roman" w:hAnsi="Arial Narrow"/>
                <w:sz w:val="18"/>
                <w:szCs w:val="18"/>
                <w:lang w:val="es-419" w:eastAsia="en-US"/>
              </w:rPr>
              <w:t>Estado</w:t>
            </w:r>
            <w:r w:rsidR="00C033F0" w:rsidRPr="00F72633">
              <w:rPr>
                <w:rFonts w:ascii="Arial Narrow" w:eastAsia="Times New Roman" w:hAnsi="Arial Narrow"/>
                <w:sz w:val="18"/>
                <w:szCs w:val="18"/>
                <w:lang w:val="es-419" w:eastAsia="en-US"/>
              </w:rPr>
              <w:t>s</w:t>
            </w:r>
          </w:p>
        </w:tc>
      </w:tr>
      <w:tr w:rsidR="00BC5A02" w:rsidRPr="00F72633" w14:paraId="6E5C1DFF" w14:textId="77777777" w:rsidTr="00F72633">
        <w:tc>
          <w:tcPr>
            <w:tcW w:w="1838" w:type="dxa"/>
            <w:gridSpan w:val="2"/>
            <w:vMerge/>
            <w:tcBorders>
              <w:bottom w:val="single" w:sz="4" w:space="0" w:color="D9D9D9" w:themeColor="background1" w:themeShade="D9"/>
            </w:tcBorders>
            <w:shd w:val="clear" w:color="auto" w:fill="auto"/>
          </w:tcPr>
          <w:p w14:paraId="212BA354" w14:textId="77777777" w:rsidR="00BC5A02" w:rsidRPr="00F72633" w:rsidRDefault="00BC5A02" w:rsidP="00275D1C">
            <w:pPr>
              <w:keepNext/>
              <w:jc w:val="left"/>
              <w:rPr>
                <w:rFonts w:ascii="Arial Narrow" w:eastAsia="Times New Roman" w:hAnsi="Arial Narrow"/>
                <w:sz w:val="18"/>
                <w:szCs w:val="18"/>
                <w:lang w:val="es-419" w:eastAsia="en-US"/>
              </w:rPr>
            </w:pPr>
          </w:p>
        </w:tc>
        <w:tc>
          <w:tcPr>
            <w:tcW w:w="2992" w:type="dxa"/>
            <w:gridSpan w:val="2"/>
            <w:shd w:val="clear" w:color="auto" w:fill="auto"/>
          </w:tcPr>
          <w:p w14:paraId="222597B2" w14:textId="5F57D37B"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222189" w:rsidRPr="00F72633">
              <w:rPr>
                <w:rFonts w:ascii="Arial Narrow" w:eastAsia="Times New Roman" w:hAnsi="Arial Narrow"/>
                <w:sz w:val="18"/>
                <w:szCs w:val="18"/>
                <w:lang w:val="es-419" w:eastAsia="en-US"/>
              </w:rPr>
              <w:t>Número de cultivos o especies que abarca </w:t>
            </w:r>
            <w:r w:rsidR="000D20D3">
              <w:rPr>
                <w:rFonts w:ascii="Arial Narrow" w:eastAsia="Times New Roman" w:hAnsi="Arial Narrow"/>
                <w:sz w:val="18"/>
                <w:szCs w:val="18"/>
                <w:lang w:val="es-419" w:eastAsia="en-US"/>
              </w:rPr>
              <w:t>UPOV PRISMA</w:t>
            </w:r>
          </w:p>
        </w:tc>
        <w:tc>
          <w:tcPr>
            <w:tcW w:w="4946" w:type="dxa"/>
            <w:shd w:val="clear" w:color="auto" w:fill="auto"/>
            <w:noWrap/>
          </w:tcPr>
          <w:p w14:paraId="17395AC3" w14:textId="596CB550" w:rsidR="005B7871" w:rsidRPr="00F72633" w:rsidRDefault="00E11FB1" w:rsidP="005B787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Miembros de la </w:t>
            </w:r>
            <w:r w:rsidR="005B7871" w:rsidRPr="00F72633">
              <w:rPr>
                <w:rFonts w:ascii="Arial Narrow" w:eastAsia="Times New Roman" w:hAnsi="Arial Narrow"/>
                <w:sz w:val="18"/>
                <w:szCs w:val="18"/>
                <w:lang w:val="es-419" w:eastAsia="en-US"/>
              </w:rPr>
              <w:t xml:space="preserve">UPOV </w:t>
            </w:r>
            <w:r w:rsidRPr="00F72633">
              <w:rPr>
                <w:rFonts w:ascii="Arial Narrow" w:eastAsia="Times New Roman" w:hAnsi="Arial Narrow"/>
                <w:sz w:val="18"/>
                <w:szCs w:val="18"/>
                <w:lang w:val="es-419" w:eastAsia="en-US"/>
              </w:rPr>
              <w:t>que abarcan todos los géneros y especies</w:t>
            </w:r>
            <w:r w:rsidR="00EA45EE" w:rsidRPr="00F72633">
              <w:rPr>
                <w:rFonts w:ascii="Arial Narrow" w:eastAsia="Times New Roman" w:hAnsi="Arial Narrow"/>
                <w:sz w:val="18"/>
                <w:szCs w:val="18"/>
                <w:lang w:val="es-419" w:eastAsia="en-US"/>
              </w:rPr>
              <w:t xml:space="preserve"> en </w:t>
            </w:r>
            <w:r w:rsidR="005B7871" w:rsidRPr="00F72633">
              <w:rPr>
                <w:rFonts w:ascii="Arial Narrow" w:eastAsia="Times New Roman" w:hAnsi="Arial Narrow"/>
                <w:sz w:val="18"/>
                <w:szCs w:val="18"/>
                <w:lang w:val="es-419" w:eastAsia="en-US"/>
              </w:rPr>
              <w:t>202</w:t>
            </w:r>
            <w:r w:rsidR="004E134A" w:rsidRPr="00F72633">
              <w:rPr>
                <w:rFonts w:ascii="Arial Narrow" w:eastAsia="Times New Roman" w:hAnsi="Arial Narrow"/>
                <w:sz w:val="18"/>
                <w:szCs w:val="18"/>
                <w:lang w:val="es-419" w:eastAsia="en-US"/>
              </w:rPr>
              <w:t>2</w:t>
            </w:r>
            <w:r w:rsidR="00EA45EE" w:rsidRPr="00F72633">
              <w:rPr>
                <w:rFonts w:ascii="Arial Narrow" w:eastAsia="Times New Roman" w:hAnsi="Arial Narrow"/>
                <w:sz w:val="18"/>
                <w:szCs w:val="18"/>
                <w:lang w:val="es-419" w:eastAsia="en-US"/>
              </w:rPr>
              <w:t> = </w:t>
            </w:r>
            <w:r w:rsidR="00C033F0" w:rsidRPr="00F72633">
              <w:rPr>
                <w:rFonts w:ascii="Arial Narrow" w:eastAsia="Times New Roman" w:hAnsi="Arial Narrow"/>
                <w:sz w:val="18"/>
                <w:szCs w:val="18"/>
                <w:lang w:val="es-419" w:eastAsia="en-US"/>
              </w:rPr>
              <w:t>23</w:t>
            </w:r>
          </w:p>
          <w:p w14:paraId="0E5BAF2E" w14:textId="69C3426F" w:rsidR="005B7871" w:rsidRPr="00F72633" w:rsidRDefault="00E11FB1" w:rsidP="00E11FB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Miembros de la </w:t>
            </w:r>
            <w:r w:rsidR="005B7871" w:rsidRPr="00F72633">
              <w:rPr>
                <w:rFonts w:ascii="Arial Narrow" w:eastAsia="Times New Roman" w:hAnsi="Arial Narrow"/>
                <w:sz w:val="18"/>
                <w:szCs w:val="18"/>
                <w:lang w:val="es-419" w:eastAsia="en-US"/>
              </w:rPr>
              <w:t xml:space="preserve">UPOV </w:t>
            </w:r>
            <w:r w:rsidRPr="00F72633">
              <w:rPr>
                <w:rFonts w:ascii="Arial Narrow" w:eastAsia="Times New Roman" w:hAnsi="Arial Narrow"/>
                <w:sz w:val="18"/>
                <w:szCs w:val="18"/>
                <w:lang w:val="es-419" w:eastAsia="en-US"/>
              </w:rPr>
              <w:t>que abarcan algunos cultivos o especies e</w:t>
            </w:r>
            <w:r w:rsidR="00EA45EE" w:rsidRPr="00F72633">
              <w:rPr>
                <w:rFonts w:ascii="Arial Narrow" w:eastAsia="Times New Roman" w:hAnsi="Arial Narrow"/>
                <w:sz w:val="18"/>
                <w:szCs w:val="18"/>
                <w:lang w:val="es-419" w:eastAsia="en-US"/>
              </w:rPr>
              <w:t>n </w:t>
            </w:r>
            <w:r w:rsidR="005B7871" w:rsidRPr="00F72633">
              <w:rPr>
                <w:rFonts w:ascii="Arial Narrow" w:eastAsia="Times New Roman" w:hAnsi="Arial Narrow"/>
                <w:sz w:val="18"/>
                <w:szCs w:val="18"/>
                <w:lang w:val="es-419" w:eastAsia="en-US"/>
              </w:rPr>
              <w:t>202</w:t>
            </w:r>
            <w:r w:rsidR="004E134A" w:rsidRPr="00F72633">
              <w:rPr>
                <w:rFonts w:ascii="Arial Narrow" w:eastAsia="Times New Roman" w:hAnsi="Arial Narrow"/>
                <w:sz w:val="18"/>
                <w:szCs w:val="18"/>
                <w:lang w:val="es-419" w:eastAsia="en-US"/>
              </w:rPr>
              <w:t>2</w:t>
            </w:r>
            <w:r w:rsidR="00EA45EE" w:rsidRPr="00F72633">
              <w:rPr>
                <w:rFonts w:ascii="Arial Narrow" w:eastAsia="Times New Roman" w:hAnsi="Arial Narrow"/>
                <w:sz w:val="18"/>
                <w:szCs w:val="18"/>
                <w:lang w:val="es-419" w:eastAsia="en-US"/>
              </w:rPr>
              <w:t> = </w:t>
            </w:r>
            <w:r w:rsidR="00C033F0" w:rsidRPr="00F72633">
              <w:rPr>
                <w:rFonts w:ascii="Arial Narrow" w:eastAsia="Times New Roman" w:hAnsi="Arial Narrow"/>
                <w:sz w:val="18"/>
                <w:szCs w:val="18"/>
                <w:lang w:val="es-419" w:eastAsia="en-US"/>
              </w:rPr>
              <w:t>21</w:t>
            </w:r>
          </w:p>
        </w:tc>
      </w:tr>
      <w:tr w:rsidR="00BC5A02" w:rsidRPr="00F72633" w14:paraId="1AECA3BA" w14:textId="77777777" w:rsidTr="00F72633">
        <w:tc>
          <w:tcPr>
            <w:tcW w:w="1838" w:type="dxa"/>
            <w:gridSpan w:val="2"/>
            <w:vMerge/>
            <w:tcBorders>
              <w:bottom w:val="single" w:sz="4" w:space="0" w:color="D9D9D9" w:themeColor="background1" w:themeShade="D9"/>
            </w:tcBorders>
            <w:shd w:val="clear" w:color="auto" w:fill="auto"/>
          </w:tcPr>
          <w:p w14:paraId="5EF7B8DF" w14:textId="77777777" w:rsidR="00BC5A02" w:rsidRPr="00F72633" w:rsidRDefault="00BC5A02" w:rsidP="00275D1C">
            <w:pPr>
              <w:keepNext/>
              <w:jc w:val="left"/>
              <w:rPr>
                <w:rFonts w:ascii="Arial Narrow" w:eastAsia="Times New Roman" w:hAnsi="Arial Narrow"/>
                <w:sz w:val="18"/>
                <w:szCs w:val="18"/>
                <w:lang w:val="es-419" w:eastAsia="en-US"/>
              </w:rPr>
            </w:pPr>
          </w:p>
        </w:tc>
        <w:tc>
          <w:tcPr>
            <w:tcW w:w="2992" w:type="dxa"/>
            <w:gridSpan w:val="2"/>
            <w:shd w:val="clear" w:color="auto" w:fill="auto"/>
          </w:tcPr>
          <w:p w14:paraId="607C18F4" w14:textId="3E33C7F3"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 </w:t>
            </w:r>
            <w:r w:rsidR="00222189" w:rsidRPr="00F72633">
              <w:rPr>
                <w:rFonts w:ascii="Arial Narrow" w:eastAsia="Times New Roman" w:hAnsi="Arial Narrow"/>
                <w:sz w:val="18"/>
                <w:szCs w:val="18"/>
                <w:lang w:val="es-419" w:eastAsia="en-US"/>
              </w:rPr>
              <w:t>Número de solicitudes cursadas por medio de </w:t>
            </w:r>
            <w:r w:rsidR="000D20D3">
              <w:rPr>
                <w:rFonts w:ascii="Arial Narrow" w:eastAsia="Times New Roman" w:hAnsi="Arial Narrow"/>
                <w:sz w:val="18"/>
                <w:szCs w:val="18"/>
                <w:lang w:val="es-419" w:eastAsia="en-US"/>
              </w:rPr>
              <w:t>UPOV PRISMA</w:t>
            </w:r>
          </w:p>
        </w:tc>
        <w:tc>
          <w:tcPr>
            <w:tcW w:w="4946" w:type="dxa"/>
            <w:shd w:val="clear" w:color="auto" w:fill="auto"/>
            <w:noWrap/>
          </w:tcPr>
          <w:p w14:paraId="13D62F98" w14:textId="4184CF91" w:rsidR="005B7871" w:rsidRPr="00F72633" w:rsidRDefault="00EA45EE" w:rsidP="00E11FB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4A1E2B" w:rsidRPr="00F72633">
              <w:rPr>
                <w:rFonts w:ascii="Arial Narrow" w:eastAsia="Times New Roman" w:hAnsi="Arial Narrow"/>
                <w:sz w:val="18"/>
                <w:szCs w:val="18"/>
                <w:lang w:val="es-419" w:eastAsia="en-US"/>
              </w:rPr>
              <w:t>1</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170 </w:t>
            </w:r>
            <w:r w:rsidR="00E11FB1" w:rsidRPr="00F72633">
              <w:rPr>
                <w:rFonts w:ascii="Arial Narrow" w:eastAsia="Times New Roman" w:hAnsi="Arial Narrow"/>
                <w:sz w:val="18"/>
                <w:szCs w:val="18"/>
                <w:lang w:val="es-419" w:eastAsia="en-US"/>
              </w:rPr>
              <w:t>solicitudes de derechos de obtentor</w:t>
            </w:r>
            <w:r w:rsidRPr="00F72633">
              <w:rPr>
                <w:rFonts w:ascii="Arial Narrow" w:eastAsia="Times New Roman" w:hAnsi="Arial Narrow"/>
                <w:sz w:val="18"/>
                <w:szCs w:val="18"/>
                <w:lang w:val="es-419" w:eastAsia="en-US"/>
              </w:rPr>
              <w:t>, 737 </w:t>
            </w:r>
            <w:r w:rsidR="00E11FB1" w:rsidRPr="00F72633">
              <w:rPr>
                <w:rFonts w:ascii="Arial Narrow" w:hAnsi="Arial Narrow"/>
                <w:sz w:val="18"/>
                <w:lang w:val="es-419"/>
              </w:rPr>
              <w:t>solicitudes para listas nacionales</w:t>
            </w:r>
          </w:p>
        </w:tc>
      </w:tr>
      <w:tr w:rsidR="00BC5A02" w:rsidRPr="00F72633" w14:paraId="246E0895" w14:textId="77777777" w:rsidTr="00F72633">
        <w:tc>
          <w:tcPr>
            <w:tcW w:w="1838" w:type="dxa"/>
            <w:gridSpan w:val="2"/>
            <w:vMerge/>
            <w:tcBorders>
              <w:bottom w:val="single" w:sz="4" w:space="0" w:color="D9D9D9" w:themeColor="background1" w:themeShade="D9"/>
            </w:tcBorders>
            <w:shd w:val="clear" w:color="auto" w:fill="auto"/>
          </w:tcPr>
          <w:p w14:paraId="0351D151" w14:textId="77777777" w:rsidR="00BC5A02" w:rsidRPr="00F72633" w:rsidRDefault="00BC5A02" w:rsidP="00275D1C">
            <w:pPr>
              <w:keepNext/>
              <w:jc w:val="left"/>
              <w:rPr>
                <w:rFonts w:ascii="Arial Narrow" w:eastAsia="Times New Roman" w:hAnsi="Arial Narrow"/>
                <w:sz w:val="18"/>
                <w:szCs w:val="18"/>
                <w:lang w:val="es-419" w:eastAsia="en-US"/>
              </w:rPr>
            </w:pPr>
          </w:p>
        </w:tc>
        <w:tc>
          <w:tcPr>
            <w:tcW w:w="2992" w:type="dxa"/>
            <w:gridSpan w:val="2"/>
            <w:shd w:val="clear" w:color="auto" w:fill="auto"/>
          </w:tcPr>
          <w:p w14:paraId="74D7D37C" w14:textId="555C46AC"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d) </w:t>
            </w:r>
            <w:r w:rsidR="00222189" w:rsidRPr="00F72633">
              <w:rPr>
                <w:rFonts w:ascii="Arial Narrow" w:eastAsia="Times New Roman" w:hAnsi="Arial Narrow"/>
                <w:sz w:val="18"/>
                <w:szCs w:val="18"/>
                <w:lang w:val="es-419" w:eastAsia="en-US"/>
              </w:rPr>
              <w:t xml:space="preserve">Número de usuarios de </w:t>
            </w:r>
            <w:r w:rsidR="000D20D3">
              <w:rPr>
                <w:rFonts w:ascii="Arial Narrow" w:eastAsia="Times New Roman" w:hAnsi="Arial Narrow"/>
                <w:sz w:val="18"/>
                <w:szCs w:val="18"/>
                <w:lang w:val="es-419" w:eastAsia="en-US"/>
              </w:rPr>
              <w:t>UPOV PRISMA</w:t>
            </w:r>
            <w:r w:rsidR="00222189" w:rsidRPr="00F72633">
              <w:rPr>
                <w:rFonts w:ascii="Arial Narrow" w:eastAsia="Times New Roman" w:hAnsi="Arial Narrow"/>
                <w:sz w:val="18"/>
                <w:szCs w:val="18"/>
                <w:lang w:val="es-419" w:eastAsia="en-US"/>
              </w:rPr>
              <w:t xml:space="preserve"> registrados</w:t>
            </w:r>
          </w:p>
        </w:tc>
        <w:tc>
          <w:tcPr>
            <w:tcW w:w="4946" w:type="dxa"/>
            <w:shd w:val="clear" w:color="auto" w:fill="auto"/>
            <w:noWrap/>
          </w:tcPr>
          <w:p w14:paraId="16D92BB2" w14:textId="06DBF1F1" w:rsidR="005B7871" w:rsidRPr="00F72633" w:rsidRDefault="008D219C" w:rsidP="008D219C">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106 </w:t>
            </w:r>
            <w:r w:rsidR="00E11FB1" w:rsidRPr="00F72633">
              <w:rPr>
                <w:rFonts w:ascii="Arial Narrow" w:eastAsia="Times New Roman" w:hAnsi="Arial Narrow"/>
                <w:sz w:val="18"/>
                <w:szCs w:val="18"/>
                <w:lang w:val="es-419" w:eastAsia="en-US"/>
              </w:rPr>
              <w:t>nuevos usuarios registrado</w:t>
            </w:r>
            <w:r w:rsidR="004A1E2B" w:rsidRPr="00F72633">
              <w:rPr>
                <w:rFonts w:ascii="Arial Narrow" w:eastAsia="Times New Roman" w:hAnsi="Arial Narrow"/>
                <w:sz w:val="18"/>
                <w:szCs w:val="18"/>
                <w:lang w:val="es-419" w:eastAsia="en-US"/>
              </w:rPr>
              <w:t>s (5</w:t>
            </w:r>
            <w:r w:rsidRPr="00F72633">
              <w:rPr>
                <w:rFonts w:ascii="Arial Narrow" w:eastAsia="Times New Roman" w:hAnsi="Arial Narrow"/>
                <w:sz w:val="18"/>
                <w:szCs w:val="18"/>
                <w:lang w:val="es-419" w:eastAsia="en-US"/>
              </w:rPr>
              <w:t>8 </w:t>
            </w:r>
            <w:r w:rsidR="004E134A" w:rsidRPr="00F72633">
              <w:rPr>
                <w:rFonts w:ascii="Arial Narrow" w:eastAsia="Times New Roman" w:hAnsi="Arial Narrow"/>
                <w:sz w:val="18"/>
                <w:szCs w:val="18"/>
                <w:lang w:val="es-419" w:eastAsia="en-US"/>
              </w:rPr>
              <w:t>agent</w:t>
            </w:r>
            <w:r w:rsidR="00E11FB1" w:rsidRPr="00F72633">
              <w:rPr>
                <w:rFonts w:ascii="Arial Narrow" w:eastAsia="Times New Roman" w:hAnsi="Arial Narrow"/>
                <w:sz w:val="18"/>
                <w:szCs w:val="18"/>
                <w:lang w:val="es-419" w:eastAsia="en-US"/>
              </w:rPr>
              <w:t>es y</w:t>
            </w:r>
            <w:r w:rsidR="000A0614">
              <w:rPr>
                <w:rFonts w:ascii="Arial Narrow" w:eastAsia="Times New Roman" w:hAnsi="Arial Narrow"/>
                <w:sz w:val="18"/>
                <w:szCs w:val="18"/>
                <w:lang w:val="es-419" w:eastAsia="en-US"/>
              </w:rPr>
              <w:t xml:space="preserve"> </w:t>
            </w:r>
            <w:r w:rsidR="004E134A" w:rsidRPr="00F72633">
              <w:rPr>
                <w:rFonts w:ascii="Arial Narrow" w:eastAsia="Times New Roman" w:hAnsi="Arial Narrow"/>
                <w:sz w:val="18"/>
                <w:szCs w:val="18"/>
                <w:lang w:val="es-419" w:eastAsia="en-US"/>
              </w:rPr>
              <w:t>48</w:t>
            </w:r>
            <w:r w:rsidRPr="00F72633">
              <w:rPr>
                <w:rFonts w:ascii="Arial Narrow" w:eastAsia="Times New Roman" w:hAnsi="Arial Narrow"/>
                <w:sz w:val="18"/>
                <w:szCs w:val="18"/>
                <w:lang w:val="es-419" w:eastAsia="en-US"/>
              </w:rPr>
              <w:t> </w:t>
            </w:r>
            <w:r w:rsidR="00E11FB1" w:rsidRPr="00F72633">
              <w:rPr>
                <w:rFonts w:ascii="Arial Narrow" w:eastAsia="Times New Roman" w:hAnsi="Arial Narrow"/>
                <w:sz w:val="18"/>
                <w:szCs w:val="18"/>
                <w:lang w:val="es-419" w:eastAsia="en-US"/>
              </w:rPr>
              <w:t>administradores de obtentores</w:t>
            </w:r>
            <w:r w:rsidR="004E134A" w:rsidRPr="00F72633">
              <w:rPr>
                <w:rFonts w:ascii="Arial Narrow" w:eastAsia="Times New Roman" w:hAnsi="Arial Narrow"/>
                <w:sz w:val="18"/>
                <w:szCs w:val="18"/>
                <w:lang w:val="es-419" w:eastAsia="en-US"/>
              </w:rPr>
              <w:t>)</w:t>
            </w:r>
          </w:p>
        </w:tc>
      </w:tr>
      <w:tr w:rsidR="00BC5A02" w:rsidRPr="00F72633" w14:paraId="397317BC" w14:textId="77777777" w:rsidTr="00F72633">
        <w:tc>
          <w:tcPr>
            <w:tcW w:w="1838" w:type="dxa"/>
            <w:gridSpan w:val="2"/>
            <w:vMerge/>
            <w:tcBorders>
              <w:bottom w:val="single" w:sz="4" w:space="0" w:color="D9D9D9" w:themeColor="background1" w:themeShade="D9"/>
            </w:tcBorders>
            <w:shd w:val="clear" w:color="auto" w:fill="auto"/>
          </w:tcPr>
          <w:p w14:paraId="2C4C0975" w14:textId="77777777" w:rsidR="00BC5A02" w:rsidRPr="00F72633" w:rsidRDefault="00BC5A02" w:rsidP="00275D1C">
            <w:pPr>
              <w:keepNext/>
              <w:jc w:val="left"/>
              <w:rPr>
                <w:rFonts w:ascii="Arial Narrow" w:eastAsia="Times New Roman" w:hAnsi="Arial Narrow"/>
                <w:sz w:val="18"/>
                <w:szCs w:val="18"/>
                <w:lang w:val="es-419" w:eastAsia="en-US"/>
              </w:rPr>
            </w:pPr>
          </w:p>
        </w:tc>
        <w:tc>
          <w:tcPr>
            <w:tcW w:w="2992" w:type="dxa"/>
            <w:gridSpan w:val="2"/>
            <w:shd w:val="clear" w:color="auto" w:fill="auto"/>
          </w:tcPr>
          <w:p w14:paraId="7C13925C" w14:textId="1643F253" w:rsidR="00BC5A02" w:rsidRPr="00F72633" w:rsidRDefault="00BC5A02" w:rsidP="00275D1C">
            <w:pPr>
              <w:keepNext/>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e) </w:t>
            </w:r>
            <w:r w:rsidR="00222189" w:rsidRPr="00F72633">
              <w:rPr>
                <w:rFonts w:ascii="Arial Narrow" w:eastAsia="Times New Roman" w:hAnsi="Arial Narrow"/>
                <w:sz w:val="18"/>
                <w:szCs w:val="18"/>
                <w:lang w:val="es-419" w:eastAsia="en-US"/>
              </w:rPr>
              <w:t xml:space="preserve">Número de miembros de la Unión que reciben solicitudes por medio de </w:t>
            </w:r>
            <w:r w:rsidR="000D20D3">
              <w:rPr>
                <w:rFonts w:ascii="Arial Narrow" w:eastAsia="Times New Roman" w:hAnsi="Arial Narrow"/>
                <w:sz w:val="18"/>
                <w:szCs w:val="18"/>
                <w:lang w:val="es-419" w:eastAsia="en-US"/>
              </w:rPr>
              <w:t>UPOV PRISMA</w:t>
            </w:r>
          </w:p>
        </w:tc>
        <w:tc>
          <w:tcPr>
            <w:tcW w:w="4946" w:type="dxa"/>
            <w:shd w:val="clear" w:color="auto" w:fill="auto"/>
            <w:noWrap/>
          </w:tcPr>
          <w:p w14:paraId="15E2D0DB" w14:textId="76FDDBF0" w:rsidR="005B7871" w:rsidRPr="00F72633" w:rsidRDefault="008D219C" w:rsidP="00E11FB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22 </w:t>
            </w:r>
            <w:r w:rsidR="004E134A" w:rsidRPr="00F72633">
              <w:rPr>
                <w:rFonts w:ascii="Arial Narrow" w:eastAsia="Times New Roman" w:hAnsi="Arial Narrow"/>
                <w:sz w:val="18"/>
                <w:szCs w:val="18"/>
                <w:lang w:val="es-419" w:eastAsia="en-US"/>
              </w:rPr>
              <w:t>m</w:t>
            </w:r>
            <w:r w:rsidR="00E11FB1" w:rsidRPr="00F72633">
              <w:rPr>
                <w:rFonts w:ascii="Arial Narrow" w:eastAsia="Times New Roman" w:hAnsi="Arial Narrow"/>
                <w:sz w:val="18"/>
                <w:szCs w:val="18"/>
                <w:lang w:val="es-419" w:eastAsia="en-US"/>
              </w:rPr>
              <w:t>iembro</w:t>
            </w:r>
            <w:r w:rsidR="004E134A" w:rsidRPr="00F72633">
              <w:rPr>
                <w:rFonts w:ascii="Arial Narrow" w:eastAsia="Times New Roman" w:hAnsi="Arial Narrow"/>
                <w:sz w:val="18"/>
                <w:szCs w:val="18"/>
                <w:lang w:val="es-419" w:eastAsia="en-US"/>
              </w:rPr>
              <w:t>s</w:t>
            </w:r>
          </w:p>
        </w:tc>
      </w:tr>
      <w:tr w:rsidR="00BC5A02" w:rsidRPr="00F72633" w14:paraId="40FD6354" w14:textId="77777777" w:rsidTr="00F72633">
        <w:tc>
          <w:tcPr>
            <w:tcW w:w="1838" w:type="dxa"/>
            <w:gridSpan w:val="2"/>
            <w:vMerge/>
            <w:tcBorders>
              <w:bottom w:val="single" w:sz="4" w:space="0" w:color="D9D9D9" w:themeColor="background1" w:themeShade="D9"/>
            </w:tcBorders>
            <w:shd w:val="clear" w:color="auto" w:fill="auto"/>
          </w:tcPr>
          <w:p w14:paraId="0F62474A" w14:textId="77777777" w:rsidR="00BC5A02" w:rsidRPr="00F72633" w:rsidRDefault="00BC5A02" w:rsidP="00BC5A02">
            <w:pPr>
              <w:jc w:val="left"/>
              <w:rPr>
                <w:rFonts w:ascii="Arial Narrow" w:eastAsia="Times New Roman" w:hAnsi="Arial Narrow"/>
                <w:sz w:val="18"/>
                <w:szCs w:val="18"/>
                <w:lang w:val="es-419" w:eastAsia="en-US"/>
              </w:rPr>
            </w:pPr>
          </w:p>
        </w:tc>
        <w:tc>
          <w:tcPr>
            <w:tcW w:w="2992" w:type="dxa"/>
            <w:gridSpan w:val="2"/>
            <w:tcBorders>
              <w:bottom w:val="single" w:sz="4" w:space="0" w:color="D9D9D9" w:themeColor="background1" w:themeShade="D9"/>
            </w:tcBorders>
            <w:shd w:val="clear" w:color="auto" w:fill="auto"/>
          </w:tcPr>
          <w:p w14:paraId="48559A01" w14:textId="1A509917" w:rsidR="00BC5A02" w:rsidRPr="00F72633" w:rsidRDefault="00BC5A02" w:rsidP="00BC5A0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f) </w:t>
            </w:r>
            <w:r w:rsidR="00222189" w:rsidRPr="00F72633">
              <w:rPr>
                <w:rFonts w:ascii="Arial Narrow" w:eastAsia="Times New Roman" w:hAnsi="Arial Narrow"/>
                <w:sz w:val="18"/>
                <w:szCs w:val="18"/>
                <w:lang w:val="es-419" w:eastAsia="en-US"/>
              </w:rPr>
              <w:t>Uso del módulo de administración electrónica de los derechos de obtentor (e-PVP) por los miembros de la Unión para gestionar y publicar las solicitudes de protección de las obtenciones vegetales</w:t>
            </w:r>
          </w:p>
        </w:tc>
        <w:tc>
          <w:tcPr>
            <w:tcW w:w="4946" w:type="dxa"/>
            <w:tcBorders>
              <w:bottom w:val="single" w:sz="4" w:space="0" w:color="D9D9D9" w:themeColor="background1" w:themeShade="D9"/>
            </w:tcBorders>
            <w:shd w:val="clear" w:color="auto" w:fill="auto"/>
            <w:noWrap/>
          </w:tcPr>
          <w:p w14:paraId="1701F414" w14:textId="19F9E5B7" w:rsidR="00BC5A02" w:rsidRPr="00F72633" w:rsidRDefault="0051534E" w:rsidP="00E11FB1">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No</w:t>
            </w:r>
            <w:r w:rsidR="00E11FB1" w:rsidRPr="00F72633">
              <w:rPr>
                <w:rFonts w:ascii="Arial Narrow" w:eastAsia="Times New Roman" w:hAnsi="Arial Narrow"/>
                <w:sz w:val="18"/>
                <w:szCs w:val="18"/>
                <w:lang w:val="es-419" w:eastAsia="en-US"/>
              </w:rPr>
              <w:t xml:space="preserve"> hubo uso e</w:t>
            </w:r>
            <w:r w:rsidR="008D219C" w:rsidRPr="00F72633">
              <w:rPr>
                <w:rFonts w:ascii="Arial Narrow" w:eastAsia="Times New Roman" w:hAnsi="Arial Narrow"/>
                <w:sz w:val="18"/>
                <w:szCs w:val="18"/>
                <w:lang w:val="es-419" w:eastAsia="en-US"/>
              </w:rPr>
              <w:t>n </w:t>
            </w:r>
            <w:r w:rsidRPr="00F72633">
              <w:rPr>
                <w:rFonts w:ascii="Arial Narrow" w:eastAsia="Times New Roman" w:hAnsi="Arial Narrow"/>
                <w:sz w:val="18"/>
                <w:szCs w:val="18"/>
                <w:lang w:val="es-419" w:eastAsia="en-US"/>
              </w:rPr>
              <w:t>2022</w:t>
            </w:r>
          </w:p>
        </w:tc>
      </w:tr>
    </w:tbl>
    <w:p w14:paraId="53D872F8" w14:textId="77777777" w:rsidR="00BC5A02" w:rsidRPr="00F72633" w:rsidRDefault="00BC5A02" w:rsidP="00BC5A02">
      <w:pPr>
        <w:jc w:val="left"/>
        <w:rPr>
          <w:rFonts w:ascii="Arial Narrow" w:eastAsia="Times New Roman" w:hAnsi="Arial Narrow"/>
          <w:sz w:val="18"/>
          <w:szCs w:val="18"/>
          <w:lang w:val="es-419" w:eastAsia="en-US"/>
        </w:rPr>
      </w:pPr>
    </w:p>
    <w:p w14:paraId="31BF6BB0" w14:textId="77777777" w:rsidR="00BC5A02" w:rsidRPr="00F72633" w:rsidRDefault="00BC5A02" w:rsidP="00BC5A02">
      <w:pPr>
        <w:jc w:val="left"/>
        <w:rPr>
          <w:rFonts w:ascii="Arial Narrow" w:eastAsia="Times New Roman" w:hAnsi="Arial Narrow"/>
          <w:sz w:val="18"/>
          <w:szCs w:val="18"/>
          <w:lang w:val="es-419" w:eastAsia="en-US"/>
        </w:rPr>
      </w:pPr>
    </w:p>
    <w:tbl>
      <w:tblPr>
        <w:tblW w:w="10207" w:type="dxa"/>
        <w:tblInd w:w="-176" w:type="dxa"/>
        <w:tblLayout w:type="fixed"/>
        <w:tblCellMar>
          <w:left w:w="0" w:type="dxa"/>
          <w:right w:w="0" w:type="dxa"/>
        </w:tblCellMar>
        <w:tblLook w:val="0000" w:firstRow="0" w:lastRow="0" w:firstColumn="0" w:lastColumn="0" w:noHBand="0" w:noVBand="0"/>
      </w:tblPr>
      <w:tblGrid>
        <w:gridCol w:w="4996"/>
        <w:gridCol w:w="5211"/>
      </w:tblGrid>
      <w:tr w:rsidR="003E3C19" w:rsidRPr="00F72633" w14:paraId="6BCC27D0" w14:textId="77777777" w:rsidTr="005D4B85">
        <w:trPr>
          <w:cantSplit/>
        </w:trPr>
        <w:tc>
          <w:tcPr>
            <w:tcW w:w="4996" w:type="dxa"/>
          </w:tcPr>
          <w:p w14:paraId="1792FF61" w14:textId="694C6FDB" w:rsidR="003E3C19" w:rsidRPr="00F72633" w:rsidRDefault="003E3C19" w:rsidP="00AF3F69">
            <w:pPr>
              <w:pStyle w:val="Caption"/>
              <w:rPr>
                <w:szCs w:val="18"/>
                <w:lang w:val="es-419"/>
              </w:rPr>
            </w:pPr>
            <w:bookmarkStart w:id="31" w:name="_Toc523906962"/>
            <w:r w:rsidRPr="00F72633">
              <w:rPr>
                <w:lang w:val="es-419"/>
              </w:rPr>
              <w:t>Figur</w:t>
            </w:r>
            <w:r w:rsidR="00B5553F" w:rsidRPr="00F72633">
              <w:rPr>
                <w:lang w:val="es-419"/>
              </w:rPr>
              <w:t>a</w:t>
            </w:r>
            <w:r w:rsidRPr="00F72633">
              <w:rPr>
                <w:lang w:val="es-419"/>
              </w:rPr>
              <w:t xml:space="preserve"> </w:t>
            </w:r>
            <w:r w:rsidR="0091036D" w:rsidRPr="00F72633">
              <w:rPr>
                <w:lang w:val="es-419"/>
              </w:rPr>
              <w:t>14</w:t>
            </w:r>
            <w:r w:rsidRPr="00F72633">
              <w:rPr>
                <w:lang w:val="es-419"/>
              </w:rPr>
              <w:t xml:space="preserve">. </w:t>
            </w:r>
            <w:bookmarkEnd w:id="31"/>
            <w:r w:rsidR="00B5553F" w:rsidRPr="00F72633">
              <w:rPr>
                <w:lang w:val="es-419"/>
              </w:rPr>
              <w:t>Aprobación de directrices de examen</w:t>
            </w:r>
            <w:r w:rsidR="009C3CBF" w:rsidRPr="00F72633">
              <w:rPr>
                <w:lang w:val="es-419"/>
              </w:rPr>
              <w:br/>
            </w:r>
          </w:p>
          <w:p w14:paraId="346C0E22" w14:textId="77777777" w:rsidR="006C0BF1" w:rsidRPr="00F72633" w:rsidRDefault="006C0BF1" w:rsidP="006C0BF1">
            <w:pPr>
              <w:rPr>
                <w:lang w:val="es-419"/>
              </w:rPr>
            </w:pPr>
          </w:p>
          <w:p w14:paraId="7A82F2B5" w14:textId="5D2B2363" w:rsidR="000F4ECB" w:rsidRPr="00F72633" w:rsidRDefault="000F4ECB" w:rsidP="000F4ECB">
            <w:pPr>
              <w:jc w:val="center"/>
              <w:rPr>
                <w:lang w:val="es-419"/>
              </w:rPr>
            </w:pPr>
            <w:r w:rsidRPr="00F72633">
              <w:rPr>
                <w:noProof/>
                <w:lang w:eastAsia="en-US"/>
              </w:rPr>
              <w:drawing>
                <wp:inline distT="0" distB="0" distL="0" distR="0" wp14:anchorId="260D1425" wp14:editId="501D3892">
                  <wp:extent cx="3170555" cy="24130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0555" cy="2413000"/>
                          </a:xfrm>
                          <a:prstGeom prst="rect">
                            <a:avLst/>
                          </a:prstGeom>
                          <a:noFill/>
                          <a:ln>
                            <a:noFill/>
                          </a:ln>
                        </pic:spPr>
                      </pic:pic>
                    </a:graphicData>
                  </a:graphic>
                </wp:inline>
              </w:drawing>
            </w:r>
          </w:p>
          <w:p w14:paraId="7D5BE7CE" w14:textId="57B79484" w:rsidR="003E3C19" w:rsidRPr="00F72633" w:rsidRDefault="003E3C19" w:rsidP="005D4B85">
            <w:pPr>
              <w:keepNext/>
              <w:jc w:val="left"/>
              <w:rPr>
                <w:lang w:val="es-419" w:eastAsia="en-US"/>
              </w:rPr>
            </w:pPr>
          </w:p>
        </w:tc>
        <w:tc>
          <w:tcPr>
            <w:tcW w:w="5211" w:type="dxa"/>
          </w:tcPr>
          <w:p w14:paraId="49D8B32F" w14:textId="7A159C06" w:rsidR="003E3C19" w:rsidRPr="00F72633" w:rsidRDefault="003E3C19" w:rsidP="00AF3F69">
            <w:pPr>
              <w:pStyle w:val="Caption"/>
              <w:rPr>
                <w:lang w:val="es-419"/>
              </w:rPr>
            </w:pPr>
            <w:r w:rsidRPr="00F72633">
              <w:rPr>
                <w:lang w:val="es-419"/>
              </w:rPr>
              <w:t>Figur</w:t>
            </w:r>
            <w:r w:rsidR="00B5553F" w:rsidRPr="00F72633">
              <w:rPr>
                <w:lang w:val="es-419"/>
              </w:rPr>
              <w:t>a</w:t>
            </w:r>
            <w:r w:rsidRPr="00F72633">
              <w:rPr>
                <w:lang w:val="es-419"/>
              </w:rPr>
              <w:t xml:space="preserve"> </w:t>
            </w:r>
            <w:r w:rsidR="0091036D" w:rsidRPr="00F72633">
              <w:rPr>
                <w:lang w:val="es-419"/>
              </w:rPr>
              <w:t>15</w:t>
            </w:r>
            <w:r w:rsidR="00B5553F" w:rsidRPr="00F72633">
              <w:rPr>
                <w:lang w:val="es-419"/>
              </w:rPr>
              <w:t>. Géneros y especies vegetales que figuran como protegidos por derecho de obtentor en la base de datos de variedades vegetales y están contemplados en directrices de examen</w:t>
            </w:r>
          </w:p>
          <w:p w14:paraId="2A0F8BCA" w14:textId="17775297" w:rsidR="006C0BF1" w:rsidRPr="00F72633" w:rsidRDefault="006C0BF1" w:rsidP="006C0BF1">
            <w:pPr>
              <w:jc w:val="center"/>
              <w:rPr>
                <w:lang w:val="es-419"/>
              </w:rPr>
            </w:pPr>
            <w:r w:rsidRPr="00F72633">
              <w:rPr>
                <w:noProof/>
                <w:lang w:eastAsia="en-US"/>
              </w:rPr>
              <w:drawing>
                <wp:inline distT="0" distB="0" distL="0" distR="0" wp14:anchorId="193FF7A9" wp14:editId="57526AC9">
                  <wp:extent cx="3240000" cy="2426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0" cy="2426400"/>
                          </a:xfrm>
                          <a:prstGeom prst="rect">
                            <a:avLst/>
                          </a:prstGeom>
                          <a:noFill/>
                          <a:ln>
                            <a:noFill/>
                          </a:ln>
                        </pic:spPr>
                      </pic:pic>
                    </a:graphicData>
                  </a:graphic>
                </wp:inline>
              </w:drawing>
            </w:r>
          </w:p>
          <w:p w14:paraId="195EFAE7" w14:textId="74CB2593" w:rsidR="009C3CBF" w:rsidRPr="00F72633" w:rsidRDefault="009C3CBF" w:rsidP="009C3CBF">
            <w:pPr>
              <w:jc w:val="right"/>
              <w:rPr>
                <w:lang w:val="es-419" w:eastAsia="en-US"/>
              </w:rPr>
            </w:pPr>
          </w:p>
        </w:tc>
      </w:tr>
    </w:tbl>
    <w:p w14:paraId="122043BC" w14:textId="77777777" w:rsidR="003E3C19" w:rsidRPr="00F72633" w:rsidRDefault="003E3C19" w:rsidP="003E3C19">
      <w:pPr>
        <w:keepNext/>
        <w:rPr>
          <w:sz w:val="18"/>
          <w:szCs w:val="18"/>
          <w:lang w:val="es-419"/>
        </w:rPr>
      </w:pPr>
    </w:p>
    <w:p w14:paraId="7AD34FCC" w14:textId="77777777" w:rsidR="003E3C19" w:rsidRPr="00F72633" w:rsidRDefault="003E3C19" w:rsidP="003E3C19">
      <w:pPr>
        <w:rPr>
          <w:rFonts w:ascii="Arial Narrow" w:hAnsi="Arial Narrow"/>
          <w:sz w:val="18"/>
          <w:szCs w:val="18"/>
          <w:lang w:val="es-419"/>
        </w:rPr>
      </w:pPr>
    </w:p>
    <w:p w14:paraId="17A93069" w14:textId="58B2514F" w:rsidR="003E3C19" w:rsidRPr="00F72633" w:rsidRDefault="003E3C19" w:rsidP="00AF3F69">
      <w:pPr>
        <w:pStyle w:val="Caption"/>
        <w:rPr>
          <w:lang w:val="es-419"/>
        </w:rPr>
      </w:pPr>
      <w:r w:rsidRPr="00F72633">
        <w:rPr>
          <w:lang w:val="es-419"/>
        </w:rPr>
        <w:lastRenderedPageBreak/>
        <w:t>Figur</w:t>
      </w:r>
      <w:r w:rsidR="00B5553F" w:rsidRPr="00F72633">
        <w:rPr>
          <w:lang w:val="es-419"/>
        </w:rPr>
        <w:t>a</w:t>
      </w:r>
      <w:r w:rsidRPr="00F72633">
        <w:rPr>
          <w:lang w:val="es-419"/>
        </w:rPr>
        <w:t xml:space="preserve"> </w:t>
      </w:r>
      <w:r w:rsidR="0091036D" w:rsidRPr="00F72633">
        <w:rPr>
          <w:lang w:val="es-419"/>
        </w:rPr>
        <w:t>16</w:t>
      </w:r>
      <w:r w:rsidRPr="00F72633">
        <w:rPr>
          <w:lang w:val="es-419"/>
        </w:rPr>
        <w:t xml:space="preserve">. </w:t>
      </w:r>
      <w:r w:rsidR="00B5553F" w:rsidRPr="00F72633">
        <w:rPr>
          <w:lang w:val="es-419"/>
        </w:rPr>
        <w:t>Géneros y especies vegetales para los que existen acuerdos de cooperación o experiencia práctica y que figuran como protegidos por derecho de obtentor en la base de datos de variedades vegetales</w:t>
      </w:r>
    </w:p>
    <w:p w14:paraId="4BE61718" w14:textId="7E2DC28F" w:rsidR="00684A0E" w:rsidRPr="00F72633" w:rsidRDefault="00684A0E" w:rsidP="00684A0E">
      <w:pPr>
        <w:jc w:val="center"/>
        <w:rPr>
          <w:lang w:val="es-419"/>
        </w:rPr>
      </w:pPr>
      <w:r w:rsidRPr="00F72633">
        <w:rPr>
          <w:noProof/>
          <w:lang w:eastAsia="en-US"/>
        </w:rPr>
        <w:drawing>
          <wp:inline distT="0" distB="0" distL="0" distR="0" wp14:anchorId="03FCA3E1" wp14:editId="13219450">
            <wp:extent cx="4797631" cy="3400336"/>
            <wp:effectExtent l="19050" t="19050" r="22225" b="1016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0367" cy="3423538"/>
                    </a:xfrm>
                    <a:prstGeom prst="rect">
                      <a:avLst/>
                    </a:prstGeom>
                    <a:noFill/>
                    <a:ln>
                      <a:solidFill>
                        <a:schemeClr val="accent3">
                          <a:lumMod val="40000"/>
                          <a:lumOff val="60000"/>
                        </a:schemeClr>
                      </a:solidFill>
                    </a:ln>
                  </pic:spPr>
                </pic:pic>
              </a:graphicData>
            </a:graphic>
          </wp:inline>
        </w:drawing>
      </w:r>
    </w:p>
    <w:p w14:paraId="5366AD97" w14:textId="77777777" w:rsidR="003E3C19" w:rsidRPr="00F72633" w:rsidRDefault="003E3C19" w:rsidP="003E3C19">
      <w:pPr>
        <w:rPr>
          <w:rFonts w:ascii="Arial Narrow" w:hAnsi="Arial Narrow"/>
          <w:sz w:val="18"/>
          <w:lang w:val="es-419"/>
        </w:rPr>
      </w:pPr>
      <w:bookmarkStart w:id="32" w:name="_Toc80365153"/>
      <w:bookmarkStart w:id="33" w:name="_Toc460229932"/>
      <w:bookmarkStart w:id="34" w:name="_Toc522808864"/>
      <w:bookmarkEnd w:id="27"/>
      <w:bookmarkEnd w:id="28"/>
    </w:p>
    <w:p w14:paraId="251E5D23" w14:textId="77777777" w:rsidR="003E3C19" w:rsidRPr="00F72633" w:rsidRDefault="003E3C19" w:rsidP="003E3C19">
      <w:pPr>
        <w:jc w:val="left"/>
        <w:rPr>
          <w:rFonts w:eastAsia="Times New Roman"/>
          <w:b/>
          <w:bCs/>
          <w:iCs/>
          <w:color w:val="155F1A"/>
          <w:sz w:val="28"/>
          <w:szCs w:val="28"/>
          <w:lang w:val="es-419" w:eastAsia="en-US"/>
        </w:rPr>
      </w:pPr>
      <w:r w:rsidRPr="00F72633">
        <w:rPr>
          <w:lang w:val="es-419"/>
        </w:rPr>
        <w:br w:type="page"/>
      </w:r>
    </w:p>
    <w:p w14:paraId="18E7D50B" w14:textId="7C157847" w:rsidR="003E3C19" w:rsidRPr="00F72633" w:rsidRDefault="00491853" w:rsidP="007E089C">
      <w:pPr>
        <w:pStyle w:val="Heading2"/>
        <w:spacing w:before="480"/>
        <w:ind w:left="0" w:firstLine="0"/>
        <w:rPr>
          <w:lang w:val="es-419"/>
        </w:rPr>
      </w:pPr>
      <w:bookmarkStart w:id="35" w:name="_Toc143527474"/>
      <w:r w:rsidRPr="00F72633">
        <w:rPr>
          <w:lang w:val="es-419"/>
        </w:rPr>
        <w:lastRenderedPageBreak/>
        <w:t>SUBPROGRAMA</w:t>
      </w:r>
      <w:r w:rsidR="003E3C19" w:rsidRPr="00F72633">
        <w:rPr>
          <w:lang w:val="es-419"/>
        </w:rPr>
        <w:t xml:space="preserve"> UV.3:</w:t>
      </w:r>
      <w:r w:rsidR="00933446" w:rsidRPr="00F72633">
        <w:rPr>
          <w:lang w:val="es-419"/>
        </w:rPr>
        <w:t xml:space="preserve"> </w:t>
      </w:r>
      <w:bookmarkEnd w:id="32"/>
      <w:r w:rsidR="00AC0F6F" w:rsidRPr="00F72633">
        <w:rPr>
          <w:lang w:val="es-419"/>
        </w:rPr>
        <w:t>Asistencia para la introducción y aplicación del sistema de la UPOV</w:t>
      </w:r>
      <w:bookmarkEnd w:id="35"/>
    </w:p>
    <w:p w14:paraId="10E4CBDC" w14:textId="6D674B30" w:rsidR="003E3C19" w:rsidRPr="00F72633" w:rsidRDefault="00E044FA" w:rsidP="003E3C19">
      <w:pPr>
        <w:pStyle w:val="Heading3"/>
        <w:spacing w:after="320"/>
        <w:rPr>
          <w:lang w:val="es-419"/>
        </w:rPr>
      </w:pPr>
      <w:r w:rsidRPr="00F72633">
        <w:rPr>
          <w:lang w:val="es-419"/>
        </w:rPr>
        <w:t>Objetivos</w:t>
      </w:r>
      <w:r w:rsidR="003E3C19" w:rsidRPr="00F72633">
        <w:rPr>
          <w:lang w:val="es-419"/>
        </w:rPr>
        <w:t>:</w:t>
      </w:r>
    </w:p>
    <w:p w14:paraId="346D67A0" w14:textId="229D4199" w:rsidR="00275D1C" w:rsidRPr="00F72633" w:rsidRDefault="003E3C19" w:rsidP="00275D1C">
      <w:pPr>
        <w:autoSpaceDE w:val="0"/>
        <w:autoSpaceDN w:val="0"/>
        <w:adjustRightInd w:val="0"/>
        <w:spacing w:after="40"/>
        <w:ind w:left="567" w:hanging="567"/>
        <w:jc w:val="left"/>
        <w:rPr>
          <w:rFonts w:asciiTheme="minorHAnsi" w:eastAsia="Times New Roman" w:hAnsiTheme="minorHAnsi" w:cstheme="minorHAnsi"/>
          <w:sz w:val="19"/>
          <w:szCs w:val="19"/>
          <w:lang w:val="es-419" w:eastAsia="en-US"/>
        </w:rPr>
      </w:pPr>
      <w:r w:rsidRPr="00F72633">
        <w:rPr>
          <w:rFonts w:asciiTheme="minorHAnsi" w:eastAsia="Times New Roman" w:hAnsiTheme="minorHAnsi" w:cstheme="minorHAnsi"/>
          <w:sz w:val="19"/>
          <w:szCs w:val="19"/>
          <w:lang w:val="es-419" w:eastAsia="en-US"/>
        </w:rPr>
        <w:t>a)</w:t>
      </w:r>
      <w:r w:rsidRPr="00F72633">
        <w:rPr>
          <w:rFonts w:asciiTheme="minorHAnsi" w:eastAsia="Times New Roman" w:hAnsiTheme="minorHAnsi" w:cstheme="minorHAnsi"/>
          <w:sz w:val="19"/>
          <w:szCs w:val="19"/>
          <w:lang w:val="es-419" w:eastAsia="en-US"/>
        </w:rPr>
        <w:tab/>
      </w:r>
      <w:r w:rsidR="00F61B62" w:rsidRPr="00F72633">
        <w:rPr>
          <w:rFonts w:asciiTheme="minorHAnsi" w:hAnsiTheme="minorHAnsi"/>
          <w:sz w:val="19"/>
          <w:lang w:val="es-419"/>
        </w:rPr>
        <w:t xml:space="preserve">Sensibilizar </w:t>
      </w:r>
      <w:r w:rsidR="00B91B22" w:rsidRPr="00F72633">
        <w:rPr>
          <w:rFonts w:asciiTheme="minorHAnsi" w:hAnsiTheme="minorHAnsi"/>
          <w:sz w:val="19"/>
          <w:lang w:val="es-419"/>
        </w:rPr>
        <w:t>acerca del papel de la protección de las variedades vegetales con arreglo al Convenio de la UPOV;</w:t>
      </w:r>
    </w:p>
    <w:p w14:paraId="642D4182" w14:textId="624989D6" w:rsidR="00275D1C" w:rsidRPr="00F72633"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val="es-419" w:eastAsia="en-US"/>
        </w:rPr>
      </w:pPr>
      <w:r w:rsidRPr="00F72633">
        <w:rPr>
          <w:rFonts w:asciiTheme="minorHAnsi" w:eastAsia="Times New Roman" w:hAnsiTheme="minorHAnsi" w:cstheme="minorHAnsi"/>
          <w:sz w:val="19"/>
          <w:szCs w:val="19"/>
          <w:lang w:val="es-419" w:eastAsia="en-US"/>
        </w:rPr>
        <w:t>b)</w:t>
      </w:r>
      <w:r w:rsidRPr="00F72633">
        <w:rPr>
          <w:rFonts w:asciiTheme="minorHAnsi" w:eastAsia="Times New Roman" w:hAnsiTheme="minorHAnsi" w:cstheme="minorHAnsi"/>
          <w:sz w:val="19"/>
          <w:szCs w:val="19"/>
          <w:lang w:val="es-419" w:eastAsia="en-US"/>
        </w:rPr>
        <w:tab/>
      </w:r>
      <w:r w:rsidR="00F61B62" w:rsidRPr="00F72633">
        <w:rPr>
          <w:rFonts w:asciiTheme="minorHAnsi" w:hAnsiTheme="minorHAnsi"/>
          <w:sz w:val="19"/>
          <w:lang w:val="es-419"/>
        </w:rPr>
        <w:t xml:space="preserve">Prestar </w:t>
      </w:r>
      <w:r w:rsidR="00B91B22" w:rsidRPr="00F72633">
        <w:rPr>
          <w:rFonts w:asciiTheme="minorHAnsi" w:hAnsiTheme="minorHAnsi"/>
          <w:sz w:val="19"/>
          <w:lang w:val="es-419"/>
        </w:rPr>
        <w:t>asistencia a los Estados y las organizaciones, en particular a los gobiernos de países en desarrollo y de países en transición a una economía de mercado, en la elaboración de legis</w:t>
      </w:r>
      <w:r w:rsidR="00745756" w:rsidRPr="00F72633">
        <w:rPr>
          <w:rFonts w:asciiTheme="minorHAnsi" w:hAnsiTheme="minorHAnsi"/>
          <w:sz w:val="19"/>
          <w:lang w:val="es-419"/>
        </w:rPr>
        <w:t>lación conforme al Acta de 1991 </w:t>
      </w:r>
      <w:r w:rsidR="00B91B22" w:rsidRPr="00F72633">
        <w:rPr>
          <w:rFonts w:asciiTheme="minorHAnsi" w:hAnsiTheme="minorHAnsi"/>
          <w:sz w:val="19"/>
          <w:lang w:val="es-419"/>
        </w:rPr>
        <w:t>del Convenio de la UPOV;</w:t>
      </w:r>
    </w:p>
    <w:p w14:paraId="37371702" w14:textId="5A0D7378" w:rsidR="00275D1C" w:rsidRPr="00F72633"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val="es-419" w:eastAsia="en-US"/>
        </w:rPr>
      </w:pPr>
      <w:r w:rsidRPr="00F72633">
        <w:rPr>
          <w:rFonts w:asciiTheme="minorHAnsi" w:eastAsia="Times New Roman" w:hAnsiTheme="minorHAnsi" w:cstheme="minorHAnsi"/>
          <w:sz w:val="19"/>
          <w:szCs w:val="19"/>
          <w:lang w:val="es-419" w:eastAsia="en-US"/>
        </w:rPr>
        <w:t>c)</w:t>
      </w:r>
      <w:r w:rsidRPr="00F72633">
        <w:rPr>
          <w:rFonts w:asciiTheme="minorHAnsi" w:eastAsia="Times New Roman" w:hAnsiTheme="minorHAnsi" w:cstheme="minorHAnsi"/>
          <w:sz w:val="19"/>
          <w:szCs w:val="19"/>
          <w:lang w:val="es-419" w:eastAsia="en-US"/>
        </w:rPr>
        <w:tab/>
      </w:r>
      <w:r w:rsidR="00F61B62" w:rsidRPr="00F72633">
        <w:rPr>
          <w:rFonts w:asciiTheme="minorHAnsi" w:hAnsiTheme="minorHAnsi"/>
          <w:sz w:val="19"/>
          <w:lang w:val="es-419"/>
        </w:rPr>
        <w:t xml:space="preserve">Prestar </w:t>
      </w:r>
      <w:r w:rsidR="00B91B22" w:rsidRPr="00F72633">
        <w:rPr>
          <w:rFonts w:asciiTheme="minorHAnsi" w:hAnsiTheme="minorHAnsi"/>
          <w:sz w:val="19"/>
          <w:lang w:val="es-419"/>
        </w:rPr>
        <w:t>asistencia a los Estados y las organizaciones p</w:t>
      </w:r>
      <w:r w:rsidR="00745756" w:rsidRPr="00F72633">
        <w:rPr>
          <w:rFonts w:asciiTheme="minorHAnsi" w:hAnsiTheme="minorHAnsi"/>
          <w:sz w:val="19"/>
          <w:lang w:val="es-419"/>
        </w:rPr>
        <w:t>ara la adhesión al Acta de 1991 </w:t>
      </w:r>
      <w:r w:rsidR="00B91B22" w:rsidRPr="00F72633">
        <w:rPr>
          <w:rFonts w:asciiTheme="minorHAnsi" w:hAnsiTheme="minorHAnsi"/>
          <w:sz w:val="19"/>
          <w:lang w:val="es-419"/>
        </w:rPr>
        <w:t>del Convenio de la UPOV;</w:t>
      </w:r>
    </w:p>
    <w:p w14:paraId="577A6817" w14:textId="701D72B1" w:rsidR="003E3C19" w:rsidRPr="00F72633" w:rsidRDefault="00275D1C" w:rsidP="00275D1C">
      <w:pPr>
        <w:autoSpaceDE w:val="0"/>
        <w:autoSpaceDN w:val="0"/>
        <w:adjustRightInd w:val="0"/>
        <w:spacing w:after="40"/>
        <w:ind w:left="567" w:hanging="567"/>
        <w:jc w:val="left"/>
        <w:rPr>
          <w:rFonts w:asciiTheme="minorHAnsi" w:eastAsia="Times New Roman" w:hAnsiTheme="minorHAnsi" w:cstheme="minorHAnsi"/>
          <w:sz w:val="19"/>
          <w:szCs w:val="19"/>
          <w:lang w:val="es-419" w:eastAsia="en-US"/>
        </w:rPr>
      </w:pPr>
      <w:r w:rsidRPr="00F72633">
        <w:rPr>
          <w:rFonts w:asciiTheme="minorHAnsi" w:eastAsia="Times New Roman" w:hAnsiTheme="minorHAnsi" w:cstheme="minorHAnsi"/>
          <w:sz w:val="19"/>
          <w:szCs w:val="19"/>
          <w:lang w:val="es-419" w:eastAsia="en-US"/>
        </w:rPr>
        <w:t>d)</w:t>
      </w:r>
      <w:r w:rsidRPr="00F72633">
        <w:rPr>
          <w:rFonts w:asciiTheme="minorHAnsi" w:eastAsia="Times New Roman" w:hAnsiTheme="minorHAnsi" w:cstheme="minorHAnsi"/>
          <w:sz w:val="19"/>
          <w:szCs w:val="19"/>
          <w:lang w:val="es-419" w:eastAsia="en-US"/>
        </w:rPr>
        <w:tab/>
      </w:r>
      <w:r w:rsidR="00F61B62" w:rsidRPr="00F72633">
        <w:rPr>
          <w:rFonts w:asciiTheme="minorHAnsi" w:eastAsia="Times New Roman" w:hAnsiTheme="minorHAnsi" w:cstheme="minorHAnsi"/>
          <w:sz w:val="19"/>
          <w:szCs w:val="19"/>
          <w:lang w:val="es-419" w:eastAsia="en-US"/>
        </w:rPr>
        <w:t>P</w:t>
      </w:r>
      <w:r w:rsidR="00F61B62" w:rsidRPr="00F72633">
        <w:rPr>
          <w:rFonts w:asciiTheme="minorHAnsi" w:hAnsiTheme="minorHAnsi"/>
          <w:sz w:val="19"/>
          <w:lang w:val="es-419"/>
        </w:rPr>
        <w:t xml:space="preserve">restar </w:t>
      </w:r>
      <w:r w:rsidR="00B91B22" w:rsidRPr="00F72633">
        <w:rPr>
          <w:rFonts w:asciiTheme="minorHAnsi" w:hAnsiTheme="minorHAnsi"/>
          <w:sz w:val="19"/>
          <w:lang w:val="es-419"/>
        </w:rPr>
        <w:t>asistencia a los Estados y las organizaciones para la aplicación de un sistema eficaz de protección de las variedades vegetales de conformidad con el Convenio de la UPOV.</w:t>
      </w:r>
    </w:p>
    <w:p w14:paraId="0DF81552" w14:textId="33F0069B" w:rsidR="003E3C19" w:rsidRDefault="003E3C19" w:rsidP="003E3C19">
      <w:pPr>
        <w:rPr>
          <w:sz w:val="18"/>
          <w:lang w:val="es-419"/>
        </w:rPr>
      </w:pPr>
    </w:p>
    <w:p w14:paraId="1A3A2501" w14:textId="77777777" w:rsidR="007E6AFE" w:rsidRPr="00F72633" w:rsidRDefault="007E6AFE" w:rsidP="003E3C19">
      <w:pPr>
        <w:rPr>
          <w:sz w:val="18"/>
          <w:lang w:val="es-419"/>
        </w:rPr>
      </w:pPr>
    </w:p>
    <w:p w14:paraId="0156B1E6" w14:textId="7EAE7CE8" w:rsidR="003E3C19" w:rsidRPr="00F72633" w:rsidRDefault="00E044FA" w:rsidP="003E3C19">
      <w:pPr>
        <w:pStyle w:val="Heading3"/>
        <w:spacing w:after="320"/>
        <w:rPr>
          <w:lang w:val="es-419"/>
        </w:rPr>
      </w:pPr>
      <w:r w:rsidRPr="00F72633">
        <w:rPr>
          <w:lang w:val="es-419"/>
        </w:rPr>
        <w:t>Datos sobre el rendimiento</w:t>
      </w:r>
      <w:r w:rsidR="003E3C19" w:rsidRPr="00F72633">
        <w:rPr>
          <w:lang w:val="es-419"/>
        </w:rPr>
        <w:t>:</w:t>
      </w:r>
    </w:p>
    <w:tbl>
      <w:tblPr>
        <w:tblW w:w="9776"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4946"/>
      </w:tblGrid>
      <w:tr w:rsidR="003E3C19" w:rsidRPr="00F72633" w14:paraId="2692D6D9" w14:textId="77777777" w:rsidTr="00275D1C">
        <w:trPr>
          <w:trHeight w:val="530"/>
          <w:tblHeader/>
        </w:trPr>
        <w:tc>
          <w:tcPr>
            <w:tcW w:w="1838" w:type="dxa"/>
            <w:tcBorders>
              <w:top w:val="nil"/>
              <w:bottom w:val="nil"/>
            </w:tcBorders>
            <w:shd w:val="clear" w:color="auto" w:fill="E2E7EB" w:themeFill="accent3" w:themeFillTint="33"/>
            <w:vAlign w:val="center"/>
            <w:hideMark/>
          </w:tcPr>
          <w:p w14:paraId="75F3867D" w14:textId="2F9DA485"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Resultados previstos</w:t>
            </w:r>
          </w:p>
        </w:tc>
        <w:tc>
          <w:tcPr>
            <w:tcW w:w="2992" w:type="dxa"/>
            <w:tcBorders>
              <w:top w:val="nil"/>
              <w:bottom w:val="nil"/>
            </w:tcBorders>
            <w:shd w:val="clear" w:color="auto" w:fill="E2E7EB" w:themeFill="accent3" w:themeFillTint="33"/>
            <w:vAlign w:val="center"/>
            <w:hideMark/>
          </w:tcPr>
          <w:p w14:paraId="1A7B639F" w14:textId="646BAA70"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Indicadores de rendimiento</w:t>
            </w:r>
          </w:p>
        </w:tc>
        <w:tc>
          <w:tcPr>
            <w:tcW w:w="4946" w:type="dxa"/>
            <w:tcBorders>
              <w:top w:val="nil"/>
              <w:bottom w:val="nil"/>
            </w:tcBorders>
            <w:shd w:val="clear" w:color="auto" w:fill="E2E7EB" w:themeFill="accent3" w:themeFillTint="33"/>
            <w:vAlign w:val="center"/>
            <w:hideMark/>
          </w:tcPr>
          <w:p w14:paraId="0AA993AC" w14:textId="77A1C7B4"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Datos sobre el rendimiento</w:t>
            </w:r>
          </w:p>
        </w:tc>
      </w:tr>
      <w:tr w:rsidR="00275D1C" w:rsidRPr="00F72633" w14:paraId="61AF5EB8" w14:textId="77777777" w:rsidTr="00275D1C">
        <w:tc>
          <w:tcPr>
            <w:tcW w:w="1838" w:type="dxa"/>
            <w:vMerge w:val="restart"/>
            <w:tcBorders>
              <w:top w:val="nil"/>
            </w:tcBorders>
            <w:shd w:val="clear" w:color="auto" w:fill="auto"/>
            <w:hideMark/>
          </w:tcPr>
          <w:p w14:paraId="6A49007F" w14:textId="2FCBB832" w:rsidR="00275D1C" w:rsidRPr="00F72633" w:rsidRDefault="00275D1C" w:rsidP="00B904E7">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9. </w:t>
            </w:r>
            <w:r w:rsidR="00B91B22" w:rsidRPr="00F72633">
              <w:rPr>
                <w:rFonts w:ascii="Arial Narrow" w:eastAsia="Times New Roman" w:hAnsi="Arial Narrow"/>
                <w:sz w:val="18"/>
                <w:szCs w:val="18"/>
                <w:lang w:val="es-419" w:eastAsia="en-US"/>
              </w:rPr>
              <w:t>Sensibilización acerca de la protección de las variedades vegetales con arreglo al Convenio de la UPOV</w:t>
            </w:r>
          </w:p>
        </w:tc>
        <w:tc>
          <w:tcPr>
            <w:tcW w:w="2992" w:type="dxa"/>
            <w:tcBorders>
              <w:top w:val="nil"/>
            </w:tcBorders>
            <w:shd w:val="clear" w:color="auto" w:fill="auto"/>
            <w:hideMark/>
          </w:tcPr>
          <w:p w14:paraId="0DA4F4C9" w14:textId="313DB391" w:rsidR="00275D1C" w:rsidRPr="00F72633" w:rsidRDefault="00275D1C" w:rsidP="00B904E7">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a) </w:t>
            </w:r>
            <w:r w:rsidR="00B91B22" w:rsidRPr="00F72633">
              <w:rPr>
                <w:rFonts w:ascii="Arial Narrow" w:hAnsi="Arial Narrow"/>
                <w:sz w:val="18"/>
                <w:lang w:val="es-419"/>
              </w:rPr>
              <w:t>Estados y organizaciones que pasan a ser miembros de la Unión</w:t>
            </w:r>
          </w:p>
        </w:tc>
        <w:tc>
          <w:tcPr>
            <w:tcW w:w="4946" w:type="dxa"/>
            <w:tcBorders>
              <w:top w:val="nil"/>
            </w:tcBorders>
            <w:shd w:val="clear" w:color="auto" w:fill="auto"/>
          </w:tcPr>
          <w:p w14:paraId="0C4F8509" w14:textId="3A86BBF7" w:rsidR="00E76559" w:rsidRPr="00F72633" w:rsidRDefault="00E76559" w:rsidP="00B96F94">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w:t>
            </w:r>
            <w:r w:rsidR="00B96F94" w:rsidRPr="00F72633">
              <w:rPr>
                <w:rFonts w:ascii="Arial Narrow" w:eastAsia="Times New Roman" w:hAnsi="Arial Narrow"/>
                <w:sz w:val="18"/>
                <w:szCs w:val="18"/>
                <w:lang w:val="es-419" w:eastAsia="en-US"/>
              </w:rPr>
              <w:t>inguno</w:t>
            </w:r>
          </w:p>
        </w:tc>
      </w:tr>
      <w:tr w:rsidR="00275D1C" w:rsidRPr="00F72633" w14:paraId="44C2A06E" w14:textId="77777777" w:rsidTr="00275D1C">
        <w:tc>
          <w:tcPr>
            <w:tcW w:w="1838" w:type="dxa"/>
            <w:vMerge/>
            <w:hideMark/>
          </w:tcPr>
          <w:p w14:paraId="1FD19861"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hideMark/>
          </w:tcPr>
          <w:p w14:paraId="46CF8B6B" w14:textId="0A0825FC" w:rsidR="00275D1C" w:rsidRPr="00F72633" w:rsidRDefault="00275D1C" w:rsidP="00B904E7">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b) </w:t>
            </w:r>
            <w:r w:rsidR="00B91B22" w:rsidRPr="00F72633">
              <w:rPr>
                <w:rFonts w:ascii="Arial Narrow" w:hAnsi="Arial Narrow"/>
                <w:sz w:val="18"/>
                <w:lang w:val="es-419"/>
              </w:rPr>
              <w:t xml:space="preserve">Estados </w:t>
            </w:r>
            <w:r w:rsidR="00745756" w:rsidRPr="00F72633">
              <w:rPr>
                <w:rFonts w:ascii="Arial Narrow" w:hAnsi="Arial Narrow"/>
                <w:sz w:val="18"/>
                <w:lang w:val="es-419"/>
              </w:rPr>
              <w:t>que se adhieren al Acta de 1991 </w:t>
            </w:r>
            <w:r w:rsidR="00B91B22" w:rsidRPr="00F72633">
              <w:rPr>
                <w:rFonts w:ascii="Arial Narrow" w:hAnsi="Arial Narrow"/>
                <w:sz w:val="18"/>
                <w:lang w:val="es-419"/>
              </w:rPr>
              <w:t>del Convenio de la UPOV o que ratifican dicha Acta</w:t>
            </w:r>
          </w:p>
        </w:tc>
        <w:tc>
          <w:tcPr>
            <w:tcW w:w="4946" w:type="dxa"/>
            <w:shd w:val="clear" w:color="auto" w:fill="auto"/>
          </w:tcPr>
          <w:p w14:paraId="23245AF8" w14:textId="3E3B43A3" w:rsidR="00E76559" w:rsidRPr="00F72633" w:rsidRDefault="00B96F94" w:rsidP="00275D1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Ninguno</w:t>
            </w:r>
          </w:p>
        </w:tc>
      </w:tr>
      <w:tr w:rsidR="00275D1C" w:rsidRPr="00F72633" w14:paraId="0C93B8E7" w14:textId="77777777" w:rsidTr="00275D1C">
        <w:tc>
          <w:tcPr>
            <w:tcW w:w="1838" w:type="dxa"/>
            <w:vMerge/>
          </w:tcPr>
          <w:p w14:paraId="7991689C"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5A6721E8" w14:textId="734AF612" w:rsidR="00275D1C" w:rsidRPr="00F72633" w:rsidRDefault="00275D1C" w:rsidP="00B904E7">
            <w:pPr>
              <w:jc w:val="left"/>
              <w:rPr>
                <w:rFonts w:ascii="Arial Narrow" w:hAnsi="Arial Narrow"/>
                <w:sz w:val="18"/>
                <w:lang w:val="es-419"/>
              </w:rPr>
            </w:pPr>
            <w:r w:rsidRPr="00F72633">
              <w:rPr>
                <w:rFonts w:ascii="Arial Narrow" w:hAnsi="Arial Narrow"/>
                <w:sz w:val="18"/>
                <w:lang w:val="es-419"/>
              </w:rPr>
              <w:t xml:space="preserve">c) </w:t>
            </w:r>
            <w:r w:rsidR="00B91B22" w:rsidRPr="00F72633">
              <w:rPr>
                <w:rFonts w:ascii="Arial Narrow" w:hAnsi="Arial Narrow"/>
                <w:sz w:val="18"/>
                <w:lang w:val="es-419"/>
              </w:rPr>
              <w:t>Estados y organizaciones que inician ante el Consejo de la UPOV el procedimiento de adhesión a la Unión</w:t>
            </w:r>
          </w:p>
        </w:tc>
        <w:tc>
          <w:tcPr>
            <w:tcW w:w="4946" w:type="dxa"/>
            <w:shd w:val="clear" w:color="auto" w:fill="auto"/>
          </w:tcPr>
          <w:p w14:paraId="418C9739" w14:textId="77777777" w:rsidR="00E76559" w:rsidRPr="00F72633" w:rsidRDefault="00E76559" w:rsidP="00275D1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Armenia</w:t>
            </w:r>
          </w:p>
          <w:p w14:paraId="49924CA9" w14:textId="0F671EC6" w:rsidR="00E76559" w:rsidRPr="00F72633" w:rsidRDefault="00B96F94" w:rsidP="004E134A">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w:t>
            </w:r>
            <w:r w:rsidR="00745756" w:rsidRPr="00F72633">
              <w:rPr>
                <w:rFonts w:ascii="Arial Narrow" w:eastAsia="Times New Roman" w:hAnsi="Arial Narrow"/>
                <w:sz w:val="18"/>
                <w:szCs w:val="18"/>
                <w:lang w:val="es-419" w:eastAsia="en-US"/>
              </w:rPr>
              <w:t> </w:t>
            </w:r>
            <w:r w:rsidR="004E134A" w:rsidRPr="00F72633">
              <w:rPr>
                <w:rFonts w:ascii="Arial Narrow" w:eastAsia="Times New Roman" w:hAnsi="Arial Narrow"/>
                <w:sz w:val="18"/>
                <w:szCs w:val="18"/>
                <w:lang w:val="es-419" w:eastAsia="en-US"/>
              </w:rPr>
              <w:t>17</w:t>
            </w:r>
          </w:p>
        </w:tc>
      </w:tr>
      <w:tr w:rsidR="00275D1C" w:rsidRPr="00F72633" w14:paraId="0642CD70" w14:textId="77777777" w:rsidTr="00275D1C">
        <w:tc>
          <w:tcPr>
            <w:tcW w:w="1838" w:type="dxa"/>
            <w:vMerge/>
          </w:tcPr>
          <w:p w14:paraId="1A2930AA"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393CACD2" w14:textId="529E56D0" w:rsidR="00275D1C" w:rsidRPr="00F72633" w:rsidRDefault="00275D1C" w:rsidP="00B904E7">
            <w:pPr>
              <w:jc w:val="left"/>
              <w:rPr>
                <w:rFonts w:ascii="Arial Narrow" w:hAnsi="Arial Narrow"/>
                <w:sz w:val="18"/>
                <w:lang w:val="es-419"/>
              </w:rPr>
            </w:pPr>
            <w:r w:rsidRPr="00F72633">
              <w:rPr>
                <w:rFonts w:ascii="Arial Narrow" w:hAnsi="Arial Narrow"/>
                <w:sz w:val="18"/>
                <w:lang w:val="es-419"/>
              </w:rPr>
              <w:t xml:space="preserve">d) </w:t>
            </w:r>
            <w:r w:rsidR="00B91B22" w:rsidRPr="00F72633">
              <w:rPr>
                <w:rFonts w:ascii="Arial Narrow" w:hAnsi="Arial Narrow"/>
                <w:sz w:val="18"/>
                <w:lang w:val="es-419"/>
              </w:rPr>
              <w:t>Estados y organizaciones que se ponen en contacto con la Oficina de la Unión para recibir asistencia en la elaboración de legislación sobre la protección de las variedades vegetales</w:t>
            </w:r>
          </w:p>
        </w:tc>
        <w:tc>
          <w:tcPr>
            <w:tcW w:w="4946" w:type="dxa"/>
            <w:shd w:val="clear" w:color="auto" w:fill="auto"/>
          </w:tcPr>
          <w:p w14:paraId="67BEBD91" w14:textId="15256BB1" w:rsidR="00E76559" w:rsidRPr="00F72633" w:rsidRDefault="00E76559" w:rsidP="00E76559">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M</w:t>
            </w:r>
            <w:r w:rsidR="00745756" w:rsidRPr="00F72633">
              <w:rPr>
                <w:rFonts w:ascii="Arial Narrow" w:eastAsia="Times New Roman" w:hAnsi="Arial Narrow"/>
                <w:sz w:val="18"/>
                <w:szCs w:val="18"/>
                <w:lang w:val="es-419" w:eastAsia="en-US"/>
              </w:rPr>
              <w:t>iembros de la Unión </w:t>
            </w:r>
            <w:r w:rsidR="00B96F94" w:rsidRPr="00F72633">
              <w:rPr>
                <w:rFonts w:ascii="Arial Narrow" w:eastAsia="Times New Roman" w:hAnsi="Arial Narrow"/>
                <w:sz w:val="18"/>
                <w:szCs w:val="18"/>
                <w:lang w:val="es-419" w:eastAsia="en-US"/>
              </w:rPr>
              <w:t xml:space="preserve">(2): </w:t>
            </w:r>
            <w:r w:rsidRPr="00F72633">
              <w:rPr>
                <w:rFonts w:ascii="Arial Narrow" w:eastAsia="Times New Roman" w:hAnsi="Arial Narrow"/>
                <w:sz w:val="18"/>
                <w:szCs w:val="18"/>
                <w:lang w:val="es-419" w:eastAsia="en-US"/>
              </w:rPr>
              <w:t>Georgia, M</w:t>
            </w:r>
            <w:r w:rsidR="00B96F94" w:rsidRPr="00F72633">
              <w:rPr>
                <w:rFonts w:ascii="Arial Narrow" w:eastAsia="Times New Roman" w:hAnsi="Arial Narrow"/>
                <w:sz w:val="18"/>
                <w:szCs w:val="18"/>
                <w:lang w:val="es-419" w:eastAsia="en-US"/>
              </w:rPr>
              <w:t>é</w:t>
            </w:r>
            <w:r w:rsidR="00745756" w:rsidRPr="00F72633">
              <w:rPr>
                <w:rFonts w:ascii="Arial Narrow" w:eastAsia="Times New Roman" w:hAnsi="Arial Narrow"/>
                <w:sz w:val="18"/>
                <w:szCs w:val="18"/>
                <w:lang w:val="es-419" w:eastAsia="en-US"/>
              </w:rPr>
              <w:t>xico</w:t>
            </w:r>
          </w:p>
          <w:p w14:paraId="1B7B563E" w14:textId="527877A4" w:rsidR="00E76559" w:rsidRPr="00F72633" w:rsidRDefault="008A3E99" w:rsidP="00E76559">
            <w:pPr>
              <w:spacing w:before="12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No miembros de</w:t>
            </w:r>
            <w:r w:rsidR="00B96F94" w:rsidRPr="00F72633">
              <w:rPr>
                <w:rFonts w:ascii="Arial Narrow" w:eastAsia="Times New Roman" w:hAnsi="Arial Narrow"/>
                <w:sz w:val="18"/>
                <w:szCs w:val="18"/>
                <w:lang w:val="es-419" w:eastAsia="en-US"/>
              </w:rPr>
              <w:t xml:space="preserve"> la Unión</w:t>
            </w:r>
            <w:r w:rsidR="00745756" w:rsidRPr="00F72633">
              <w:rPr>
                <w:rFonts w:ascii="Arial Narrow" w:eastAsia="Times New Roman" w:hAnsi="Arial Narrow"/>
                <w:sz w:val="18"/>
                <w:szCs w:val="18"/>
                <w:lang w:val="es-419" w:eastAsia="en-US"/>
              </w:rPr>
              <w:t> </w:t>
            </w:r>
            <w:r w:rsidR="0005365C" w:rsidRPr="00F72633">
              <w:rPr>
                <w:rFonts w:ascii="Arial Narrow" w:eastAsia="Times New Roman" w:hAnsi="Arial Narrow"/>
                <w:sz w:val="18"/>
                <w:szCs w:val="18"/>
                <w:lang w:val="es-419" w:eastAsia="en-US"/>
              </w:rPr>
              <w:t xml:space="preserve">(16): </w:t>
            </w:r>
            <w:r w:rsidR="00E76559" w:rsidRPr="00F72633">
              <w:rPr>
                <w:rFonts w:ascii="Arial Narrow" w:eastAsia="Times New Roman" w:hAnsi="Arial Narrow"/>
                <w:sz w:val="18"/>
                <w:szCs w:val="18"/>
                <w:lang w:val="es-419" w:eastAsia="en-US"/>
              </w:rPr>
              <w:t xml:space="preserve">Antigua </w:t>
            </w:r>
            <w:r w:rsidR="0005365C" w:rsidRPr="00F72633">
              <w:rPr>
                <w:rFonts w:ascii="Arial Narrow" w:eastAsia="Times New Roman" w:hAnsi="Arial Narrow"/>
                <w:sz w:val="18"/>
                <w:szCs w:val="18"/>
                <w:lang w:val="es-419" w:eastAsia="en-US"/>
              </w:rPr>
              <w:t>y</w:t>
            </w:r>
            <w:r w:rsidR="00E76559" w:rsidRPr="00F72633">
              <w:rPr>
                <w:rFonts w:ascii="Arial Narrow" w:eastAsia="Times New Roman" w:hAnsi="Arial Narrow"/>
                <w:sz w:val="18"/>
                <w:szCs w:val="18"/>
                <w:lang w:val="es-419" w:eastAsia="en-US"/>
              </w:rPr>
              <w:t xml:space="preserve"> Barbuda, Armenia, Barbados, Cambo</w:t>
            </w:r>
            <w:r w:rsidR="0005365C" w:rsidRPr="00F72633">
              <w:rPr>
                <w:rFonts w:ascii="Arial Narrow" w:eastAsia="Times New Roman" w:hAnsi="Arial Narrow"/>
                <w:sz w:val="18"/>
                <w:szCs w:val="18"/>
                <w:lang w:val="es-419" w:eastAsia="en-US"/>
              </w:rPr>
              <w:t>y</w:t>
            </w:r>
            <w:r w:rsidR="00E76559" w:rsidRPr="00F72633">
              <w:rPr>
                <w:rFonts w:ascii="Arial Narrow" w:eastAsia="Times New Roman" w:hAnsi="Arial Narrow"/>
                <w:sz w:val="18"/>
                <w:szCs w:val="18"/>
                <w:lang w:val="es-419" w:eastAsia="en-US"/>
              </w:rPr>
              <w:t xml:space="preserve">a, Guatemala, Jamaica, </w:t>
            </w:r>
            <w:r w:rsidR="0005365C" w:rsidRPr="00F72633">
              <w:rPr>
                <w:rFonts w:ascii="Arial Narrow" w:eastAsia="Times New Roman" w:hAnsi="Arial Narrow"/>
                <w:sz w:val="18"/>
                <w:szCs w:val="18"/>
                <w:lang w:val="es-419" w:eastAsia="en-US"/>
              </w:rPr>
              <w:t>Kazajstán</w:t>
            </w:r>
            <w:r w:rsidR="00E76559" w:rsidRPr="00F72633">
              <w:rPr>
                <w:rFonts w:ascii="Arial Narrow" w:eastAsia="Times New Roman" w:hAnsi="Arial Narrow"/>
                <w:sz w:val="18"/>
                <w:szCs w:val="18"/>
                <w:lang w:val="es-419" w:eastAsia="en-US"/>
              </w:rPr>
              <w:t xml:space="preserve">, </w:t>
            </w:r>
            <w:r w:rsidR="0005365C" w:rsidRPr="00F72633">
              <w:rPr>
                <w:rFonts w:ascii="Arial Narrow" w:eastAsia="Times New Roman" w:hAnsi="Arial Narrow"/>
                <w:sz w:val="18"/>
                <w:szCs w:val="18"/>
                <w:lang w:val="es-419" w:eastAsia="en-US"/>
              </w:rPr>
              <w:t xml:space="preserve">Malasia, Malawi, </w:t>
            </w:r>
            <w:r w:rsidR="00E76559" w:rsidRPr="00F72633">
              <w:rPr>
                <w:rFonts w:ascii="Arial Narrow" w:eastAsia="Times New Roman" w:hAnsi="Arial Narrow"/>
                <w:sz w:val="18"/>
                <w:szCs w:val="18"/>
                <w:lang w:val="es-419" w:eastAsia="en-US"/>
              </w:rPr>
              <w:t xml:space="preserve">Mongolia, Namibia, Nigeria, </w:t>
            </w:r>
            <w:r w:rsidR="0005365C" w:rsidRPr="00F72633">
              <w:rPr>
                <w:rFonts w:ascii="Arial Narrow" w:eastAsia="Times New Roman" w:hAnsi="Arial Narrow"/>
                <w:sz w:val="18"/>
                <w:szCs w:val="18"/>
                <w:lang w:val="es-419" w:eastAsia="en-US"/>
              </w:rPr>
              <w:t xml:space="preserve">República Democrática Popular Lao, </w:t>
            </w:r>
            <w:r w:rsidR="00E76559" w:rsidRPr="00F72633">
              <w:rPr>
                <w:rFonts w:ascii="Arial Narrow" w:eastAsia="Times New Roman" w:hAnsi="Arial Narrow"/>
                <w:sz w:val="18"/>
                <w:szCs w:val="18"/>
                <w:lang w:val="es-419" w:eastAsia="en-US"/>
              </w:rPr>
              <w:t xml:space="preserve">Timor-Leste, Zambia </w:t>
            </w:r>
            <w:r w:rsidR="0005365C" w:rsidRPr="00F72633">
              <w:rPr>
                <w:rFonts w:ascii="Arial Narrow" w:eastAsia="Times New Roman" w:hAnsi="Arial Narrow"/>
                <w:sz w:val="18"/>
                <w:szCs w:val="18"/>
                <w:lang w:val="es-419" w:eastAsia="en-US"/>
              </w:rPr>
              <w:t>y Zimbabwe</w:t>
            </w:r>
          </w:p>
          <w:p w14:paraId="65A857F2" w14:textId="77BA947F" w:rsidR="00E76559" w:rsidRPr="00F72633" w:rsidRDefault="00745756" w:rsidP="004E134A">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la figura </w:t>
            </w:r>
            <w:r w:rsidR="004207F1" w:rsidRPr="00F72633">
              <w:rPr>
                <w:rFonts w:ascii="Arial Narrow" w:eastAsia="Times New Roman" w:hAnsi="Arial Narrow"/>
                <w:sz w:val="18"/>
                <w:szCs w:val="18"/>
                <w:lang w:val="es-419" w:eastAsia="en-US"/>
              </w:rPr>
              <w:t>17</w:t>
            </w:r>
          </w:p>
        </w:tc>
      </w:tr>
      <w:tr w:rsidR="00275D1C" w:rsidRPr="00F72633" w14:paraId="4B2AFD1B" w14:textId="77777777" w:rsidTr="00275D1C">
        <w:tc>
          <w:tcPr>
            <w:tcW w:w="1838" w:type="dxa"/>
            <w:vMerge/>
          </w:tcPr>
          <w:p w14:paraId="4BCFF217"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0387433C" w14:textId="653D585E"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e) </w:t>
            </w:r>
            <w:r w:rsidR="00B91B22" w:rsidRPr="00F72633">
              <w:rPr>
                <w:rFonts w:ascii="Arial Narrow" w:hAnsi="Arial Narrow"/>
                <w:sz w:val="18"/>
                <w:lang w:val="es-419"/>
              </w:rPr>
              <w:t>Estados y organizaciones que reciben información en las actividades de la UPOV</w:t>
            </w:r>
          </w:p>
        </w:tc>
        <w:tc>
          <w:tcPr>
            <w:tcW w:w="4946" w:type="dxa"/>
            <w:shd w:val="clear" w:color="auto" w:fill="auto"/>
          </w:tcPr>
          <w:p w14:paraId="772B1755" w14:textId="40C99C50" w:rsidR="00275D1C" w:rsidRPr="00F72633" w:rsidRDefault="00745756" w:rsidP="005D2411">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Anexo V </w:t>
            </w:r>
            <w:r w:rsidR="004207F1" w:rsidRPr="00F72633">
              <w:rPr>
                <w:rFonts w:ascii="Arial Narrow" w:eastAsia="Times New Roman" w:hAnsi="Arial Narrow"/>
                <w:sz w:val="18"/>
                <w:szCs w:val="18"/>
                <w:lang w:val="es-419" w:eastAsia="en-US"/>
              </w:rPr>
              <w:t>del presente documento</w:t>
            </w:r>
          </w:p>
        </w:tc>
      </w:tr>
      <w:tr w:rsidR="00275D1C" w:rsidRPr="00F72633" w14:paraId="31C82C7D" w14:textId="77777777" w:rsidTr="00275D1C">
        <w:tc>
          <w:tcPr>
            <w:tcW w:w="1838" w:type="dxa"/>
            <w:vMerge/>
          </w:tcPr>
          <w:p w14:paraId="4B3CDDEF"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791AED97" w14:textId="365E12F5"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f) </w:t>
            </w:r>
            <w:r w:rsidR="00B91B22" w:rsidRPr="00F72633">
              <w:rPr>
                <w:rFonts w:ascii="Arial Narrow" w:hAnsi="Arial Narrow"/>
                <w:sz w:val="18"/>
                <w:lang w:val="es-419"/>
              </w:rPr>
              <w:t>Participación en cursos de enseñanza a distancia</w:t>
            </w:r>
          </w:p>
        </w:tc>
        <w:tc>
          <w:tcPr>
            <w:tcW w:w="4946" w:type="dxa"/>
            <w:shd w:val="clear" w:color="auto" w:fill="auto"/>
          </w:tcPr>
          <w:p w14:paraId="1919BCE8" w14:textId="01486565" w:rsidR="00F332F5" w:rsidRPr="00F72633" w:rsidRDefault="00604574" w:rsidP="00F332F5">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Miembros de la Unión</w:t>
            </w:r>
            <w:r w:rsidR="00745756" w:rsidRPr="00F72633">
              <w:rPr>
                <w:rFonts w:ascii="Arial Narrow" w:eastAsia="Times New Roman" w:hAnsi="Arial Narrow"/>
                <w:sz w:val="18"/>
                <w:szCs w:val="18"/>
                <w:lang w:val="es-419" w:eastAsia="en-US"/>
              </w:rPr>
              <w:t> </w:t>
            </w:r>
            <w:r w:rsidR="007E6AFE">
              <w:rPr>
                <w:rFonts w:ascii="Arial Narrow" w:eastAsia="Times New Roman" w:hAnsi="Arial Narrow"/>
                <w:sz w:val="18"/>
                <w:szCs w:val="18"/>
                <w:lang w:val="es-419" w:eastAsia="en-US"/>
              </w:rPr>
              <w:t>(</w:t>
            </w:r>
            <w:r w:rsidR="00F332F5" w:rsidRPr="00F72633">
              <w:rPr>
                <w:rFonts w:ascii="Arial Narrow" w:eastAsia="Times New Roman" w:hAnsi="Arial Narrow"/>
                <w:sz w:val="18"/>
                <w:szCs w:val="18"/>
                <w:lang w:val="es-419" w:eastAsia="en-US"/>
              </w:rPr>
              <w:t>54</w:t>
            </w:r>
            <w:r w:rsidR="007E6AFE">
              <w:rPr>
                <w:rFonts w:ascii="Arial Narrow" w:eastAsia="Times New Roman" w:hAnsi="Arial Narrow"/>
                <w:sz w:val="18"/>
                <w:szCs w:val="18"/>
                <w:lang w:val="es-419" w:eastAsia="en-US"/>
              </w:rPr>
              <w:t>)</w:t>
            </w:r>
            <w:r w:rsidR="00F332F5"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Alemania, </w:t>
            </w:r>
            <w:r w:rsidR="00F332F5" w:rsidRPr="00F72633">
              <w:rPr>
                <w:rFonts w:ascii="Arial Narrow" w:eastAsia="Times New Roman" w:hAnsi="Arial Narrow"/>
                <w:sz w:val="18"/>
                <w:szCs w:val="18"/>
                <w:lang w:val="es-419" w:eastAsia="en-US"/>
              </w:rPr>
              <w:t>Argentina,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Australia,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Austria,</w:t>
            </w:r>
            <w:r w:rsidRPr="00F72633">
              <w:rPr>
                <w:rFonts w:ascii="Arial Narrow" w:eastAsia="Times New Roman" w:hAnsi="Arial Narrow"/>
                <w:sz w:val="18"/>
                <w:szCs w:val="18"/>
                <w:lang w:val="es-419" w:eastAsia="en-US"/>
              </w:rPr>
              <w:t xml:space="preserve"> </w:t>
            </w:r>
            <w:r w:rsidR="00210D7C" w:rsidRPr="00F72633">
              <w:rPr>
                <w:rFonts w:ascii="Arial Narrow" w:eastAsia="Times New Roman" w:hAnsi="Arial Narrow"/>
                <w:sz w:val="18"/>
                <w:szCs w:val="18"/>
                <w:lang w:val="es-419" w:eastAsia="en-US"/>
              </w:rPr>
              <w:t>Belarú</w:t>
            </w:r>
            <w:r w:rsidR="00F332F5" w:rsidRPr="00F72633">
              <w:rPr>
                <w:rFonts w:ascii="Arial Narrow" w:eastAsia="Times New Roman" w:hAnsi="Arial Narrow"/>
                <w:sz w:val="18"/>
                <w:szCs w:val="18"/>
                <w:lang w:val="es-419" w:eastAsia="en-US"/>
              </w:rPr>
              <w:t>s,</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B</w:t>
            </w:r>
            <w:r w:rsidR="00210D7C" w:rsidRPr="00F72633">
              <w:rPr>
                <w:rFonts w:ascii="Arial Narrow" w:eastAsia="Times New Roman" w:hAnsi="Arial Narrow"/>
                <w:sz w:val="18"/>
                <w:szCs w:val="18"/>
                <w:lang w:val="es-419" w:eastAsia="en-US"/>
              </w:rPr>
              <w:t>élgica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Bolivia (</w:t>
            </w:r>
            <w:r w:rsidR="00210D7C" w:rsidRPr="00F72633">
              <w:rPr>
                <w:rFonts w:ascii="Arial Narrow" w:eastAsia="Times New Roman" w:hAnsi="Arial Narrow"/>
                <w:sz w:val="18"/>
                <w:szCs w:val="18"/>
                <w:lang w:val="es-419" w:eastAsia="en-US"/>
              </w:rPr>
              <w:t>Estado Plurinacional de</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Bra</w:t>
            </w:r>
            <w:r w:rsidR="00210D7C" w:rsidRPr="00F72633">
              <w:rPr>
                <w:rFonts w:ascii="Arial Narrow" w:eastAsia="Times New Roman" w:hAnsi="Arial Narrow"/>
                <w:sz w:val="18"/>
                <w:szCs w:val="18"/>
                <w:lang w:val="es-419" w:eastAsia="en-US"/>
              </w:rPr>
              <w:t>s</w:t>
            </w:r>
            <w:r w:rsidR="00F332F5" w:rsidRPr="00F72633">
              <w:rPr>
                <w:rFonts w:ascii="Arial Narrow" w:eastAsia="Times New Roman" w:hAnsi="Arial Narrow"/>
                <w:sz w:val="18"/>
                <w:szCs w:val="18"/>
                <w:lang w:val="es-419" w:eastAsia="en-US"/>
              </w:rPr>
              <w:t>il,</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Bulgaria,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Canad</w:t>
            </w:r>
            <w:r w:rsidR="00210D7C" w:rsidRPr="00F72633">
              <w:rPr>
                <w:rFonts w:ascii="Arial Narrow" w:eastAsia="Times New Roman" w:hAnsi="Arial Narrow"/>
                <w:sz w:val="18"/>
                <w:szCs w:val="18"/>
                <w:lang w:val="es-419" w:eastAsia="en-US"/>
              </w:rPr>
              <w:t>á</w:t>
            </w:r>
            <w:r w:rsidR="00F332F5" w:rsidRPr="00F72633">
              <w:rPr>
                <w:rFonts w:ascii="Arial Narrow" w:eastAsia="Times New Roman" w:hAnsi="Arial Narrow"/>
                <w:sz w:val="18"/>
                <w:szCs w:val="18"/>
                <w:lang w:val="es-419" w:eastAsia="en-US"/>
              </w:rPr>
              <w:t>,</w:t>
            </w:r>
            <w:r w:rsidR="00685222"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Chile,</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China,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Colombia,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Croa</w:t>
            </w:r>
            <w:r w:rsidR="00210D7C" w:rsidRPr="00F72633">
              <w:rPr>
                <w:rFonts w:ascii="Arial Narrow" w:eastAsia="Times New Roman" w:hAnsi="Arial Narrow"/>
                <w:sz w:val="18"/>
                <w:szCs w:val="18"/>
                <w:lang w:val="es-419" w:eastAsia="en-US"/>
              </w:rPr>
              <w:t>c</w:t>
            </w:r>
            <w:r w:rsidR="00F332F5" w:rsidRPr="00F72633">
              <w:rPr>
                <w:rFonts w:ascii="Arial Narrow" w:eastAsia="Times New Roman" w:hAnsi="Arial Narrow"/>
                <w:sz w:val="18"/>
                <w:szCs w:val="18"/>
                <w:lang w:val="es-419" w:eastAsia="en-US"/>
              </w:rPr>
              <w:t>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Ecuador,</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Eslovaquia, España, Estados Unidos de América, </w:t>
            </w:r>
            <w:r w:rsidR="00F332F5" w:rsidRPr="00F72633">
              <w:rPr>
                <w:rFonts w:ascii="Arial Narrow" w:eastAsia="Times New Roman" w:hAnsi="Arial Narrow"/>
                <w:sz w:val="18"/>
                <w:szCs w:val="18"/>
                <w:lang w:val="es-419" w:eastAsia="en-US"/>
              </w:rPr>
              <w:t>Estonia,</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Federación de Rusia, </w:t>
            </w:r>
            <w:r w:rsidR="00F332F5" w:rsidRPr="00F72633">
              <w:rPr>
                <w:rFonts w:ascii="Arial Narrow" w:eastAsia="Times New Roman" w:hAnsi="Arial Narrow"/>
                <w:sz w:val="18"/>
                <w:szCs w:val="18"/>
                <w:lang w:val="es-419" w:eastAsia="en-US"/>
              </w:rPr>
              <w:t>Finland</w:t>
            </w:r>
            <w:r w:rsidR="00210D7C" w:rsidRPr="00F72633">
              <w:rPr>
                <w:rFonts w:ascii="Arial Narrow" w:eastAsia="Times New Roman" w:hAnsi="Arial Narrow"/>
                <w:sz w:val="18"/>
                <w:szCs w:val="18"/>
                <w:lang w:val="es-419" w:eastAsia="en-US"/>
              </w:rPr>
              <w:t>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Franc</w:t>
            </w:r>
            <w:r w:rsidR="00210D7C" w:rsidRPr="00F72633">
              <w:rPr>
                <w:rFonts w:ascii="Arial Narrow" w:eastAsia="Times New Roman" w:hAnsi="Arial Narrow"/>
                <w:sz w:val="18"/>
                <w:szCs w:val="18"/>
                <w:lang w:val="es-419" w:eastAsia="en-US"/>
              </w:rPr>
              <w:t>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Georgia,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Ghana,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Gre</w:t>
            </w:r>
            <w:r w:rsidR="00210D7C" w:rsidRPr="00F72633">
              <w:rPr>
                <w:rFonts w:ascii="Arial Narrow" w:eastAsia="Times New Roman" w:hAnsi="Arial Narrow"/>
                <w:sz w:val="18"/>
                <w:szCs w:val="18"/>
                <w:lang w:val="es-419" w:eastAsia="en-US"/>
              </w:rPr>
              <w:t>cia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Hung</w:t>
            </w:r>
            <w:r w:rsidR="00210D7C" w:rsidRPr="00F72633">
              <w:rPr>
                <w:rFonts w:ascii="Arial Narrow" w:eastAsia="Times New Roman" w:hAnsi="Arial Narrow"/>
                <w:sz w:val="18"/>
                <w:szCs w:val="18"/>
                <w:lang w:val="es-419" w:eastAsia="en-US"/>
              </w:rPr>
              <w:t>ría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Ir</w:t>
            </w:r>
            <w:r w:rsidR="00210D7C" w:rsidRPr="00F72633">
              <w:rPr>
                <w:rFonts w:ascii="Arial Narrow" w:eastAsia="Times New Roman" w:hAnsi="Arial Narrow"/>
                <w:sz w:val="18"/>
                <w:szCs w:val="18"/>
                <w:lang w:val="es-419" w:eastAsia="en-US"/>
              </w:rPr>
              <w:t>landa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Ital</w:t>
            </w:r>
            <w:r w:rsidR="00210D7C" w:rsidRPr="00F72633">
              <w:rPr>
                <w:rFonts w:ascii="Arial Narrow" w:eastAsia="Times New Roman" w:hAnsi="Arial Narrow"/>
                <w:sz w:val="18"/>
                <w:szCs w:val="18"/>
                <w:lang w:val="es-419" w:eastAsia="en-US"/>
              </w:rPr>
              <w:t>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Jap</w:t>
            </w:r>
            <w:r w:rsidR="00210D7C" w:rsidRPr="00F72633">
              <w:rPr>
                <w:rFonts w:ascii="Arial Narrow" w:eastAsia="Times New Roman" w:hAnsi="Arial Narrow"/>
                <w:sz w:val="18"/>
                <w:szCs w:val="18"/>
                <w:lang w:val="es-419" w:eastAsia="en-US"/>
              </w:rPr>
              <w:t>ó</w:t>
            </w:r>
            <w:r w:rsidR="00F332F5" w:rsidRPr="00F72633">
              <w:rPr>
                <w:rFonts w:ascii="Arial Narrow" w:eastAsia="Times New Roman" w:hAnsi="Arial Narrow"/>
                <w:sz w:val="18"/>
                <w:szCs w:val="18"/>
                <w:lang w:val="es-419" w:eastAsia="en-US"/>
              </w:rPr>
              <w:t>n,</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Kenya,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M</w:t>
            </w:r>
            <w:r w:rsidR="00210D7C" w:rsidRPr="00F72633">
              <w:rPr>
                <w:rFonts w:ascii="Arial Narrow" w:eastAsia="Times New Roman" w:hAnsi="Arial Narrow"/>
                <w:sz w:val="18"/>
                <w:szCs w:val="18"/>
                <w:lang w:val="es-419" w:eastAsia="en-US"/>
              </w:rPr>
              <w:t>arruecos</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México, </w:t>
            </w:r>
            <w:r w:rsidR="00F332F5" w:rsidRPr="00F72633">
              <w:rPr>
                <w:rFonts w:ascii="Arial Narrow" w:eastAsia="Times New Roman" w:hAnsi="Arial Narrow"/>
                <w:sz w:val="18"/>
                <w:szCs w:val="18"/>
                <w:lang w:val="es-419" w:eastAsia="en-US"/>
              </w:rPr>
              <w:t>Nicaragua,</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Nueva Zelandia, </w:t>
            </w:r>
            <w:r w:rsidR="00210D7C" w:rsidRPr="00F72633">
              <w:rPr>
                <w:rFonts w:ascii="Arial Narrow" w:eastAsia="Times New Roman" w:hAnsi="Arial Narrow"/>
                <w:sz w:val="18"/>
                <w:szCs w:val="18"/>
                <w:lang w:val="es-419" w:eastAsia="en-US"/>
              </w:rPr>
              <w:t>Omá</w:t>
            </w:r>
            <w:r w:rsidR="00F332F5" w:rsidRPr="00F72633">
              <w:rPr>
                <w:rFonts w:ascii="Arial Narrow" w:eastAsia="Times New Roman" w:hAnsi="Arial Narrow"/>
                <w:sz w:val="18"/>
                <w:szCs w:val="18"/>
                <w:lang w:val="es-419" w:eastAsia="en-US"/>
              </w:rPr>
              <w:t>n,</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Organización Africana de la Propiedad Intelectual (OAPI), Países Bajos, </w:t>
            </w:r>
            <w:r w:rsidR="00F332F5" w:rsidRPr="00F72633">
              <w:rPr>
                <w:rFonts w:ascii="Arial Narrow" w:eastAsia="Times New Roman" w:hAnsi="Arial Narrow"/>
                <w:sz w:val="18"/>
                <w:szCs w:val="18"/>
                <w:lang w:val="es-419" w:eastAsia="en-US"/>
              </w:rPr>
              <w:t>Per</w:t>
            </w:r>
            <w:r w:rsidR="00210D7C" w:rsidRPr="00F72633">
              <w:rPr>
                <w:rFonts w:ascii="Arial Narrow" w:eastAsia="Times New Roman" w:hAnsi="Arial Narrow"/>
                <w:sz w:val="18"/>
                <w:szCs w:val="18"/>
                <w:lang w:val="es-419" w:eastAsia="en-US"/>
              </w:rPr>
              <w:t>ú</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Pol</w:t>
            </w:r>
            <w:r w:rsidR="00210D7C" w:rsidRPr="00F72633">
              <w:rPr>
                <w:rFonts w:ascii="Arial Narrow" w:eastAsia="Times New Roman" w:hAnsi="Arial Narrow"/>
                <w:sz w:val="18"/>
                <w:szCs w:val="18"/>
                <w:lang w:val="es-419" w:eastAsia="en-US"/>
              </w:rPr>
              <w:t>onia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Portugal,</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Reino Unido, </w:t>
            </w:r>
            <w:r w:rsidR="00F332F5" w:rsidRPr="00F72633">
              <w:rPr>
                <w:rFonts w:ascii="Arial Narrow" w:eastAsia="Times New Roman" w:hAnsi="Arial Narrow"/>
                <w:sz w:val="18"/>
                <w:szCs w:val="18"/>
                <w:lang w:val="es-419" w:eastAsia="en-US"/>
              </w:rPr>
              <w:t>Rep</w:t>
            </w:r>
            <w:r w:rsidR="00210D7C" w:rsidRPr="00F72633">
              <w:rPr>
                <w:rFonts w:ascii="Arial Narrow" w:eastAsia="Times New Roman" w:hAnsi="Arial Narrow"/>
                <w:sz w:val="18"/>
                <w:szCs w:val="18"/>
                <w:lang w:val="es-419" w:eastAsia="en-US"/>
              </w:rPr>
              <w:t>ública de C</w:t>
            </w:r>
            <w:r w:rsidR="00F332F5" w:rsidRPr="00F72633">
              <w:rPr>
                <w:rFonts w:ascii="Arial Narrow" w:eastAsia="Times New Roman" w:hAnsi="Arial Narrow"/>
                <w:sz w:val="18"/>
                <w:szCs w:val="18"/>
                <w:lang w:val="es-419" w:eastAsia="en-US"/>
              </w:rPr>
              <w:t>orea,</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República Dominicana, República Unida de Tanzanía, </w:t>
            </w:r>
            <w:r w:rsidR="00F332F5" w:rsidRPr="00F72633">
              <w:rPr>
                <w:rFonts w:ascii="Arial Narrow" w:eastAsia="Times New Roman" w:hAnsi="Arial Narrow"/>
                <w:sz w:val="18"/>
                <w:szCs w:val="18"/>
                <w:lang w:val="es-419" w:eastAsia="en-US"/>
              </w:rPr>
              <w:t>R</w:t>
            </w:r>
            <w:r w:rsidR="00210D7C" w:rsidRPr="00F72633">
              <w:rPr>
                <w:rFonts w:ascii="Arial Narrow" w:eastAsia="Times New Roman" w:hAnsi="Arial Narrow"/>
                <w:sz w:val="18"/>
                <w:szCs w:val="18"/>
                <w:lang w:val="es-419" w:eastAsia="en-US"/>
              </w:rPr>
              <w:t>u</w:t>
            </w:r>
            <w:r w:rsidR="00F332F5" w:rsidRPr="00F72633">
              <w:rPr>
                <w:rFonts w:ascii="Arial Narrow" w:eastAsia="Times New Roman" w:hAnsi="Arial Narrow"/>
                <w:sz w:val="18"/>
                <w:szCs w:val="18"/>
                <w:lang w:val="es-419" w:eastAsia="en-US"/>
              </w:rPr>
              <w:t>mania,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Singap</w:t>
            </w:r>
            <w:r w:rsidR="00210D7C" w:rsidRPr="00F72633">
              <w:rPr>
                <w:rFonts w:ascii="Arial Narrow" w:eastAsia="Times New Roman" w:hAnsi="Arial Narrow"/>
                <w:sz w:val="18"/>
                <w:szCs w:val="18"/>
                <w:lang w:val="es-419" w:eastAsia="en-US"/>
              </w:rPr>
              <w:t>ur</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S</w:t>
            </w:r>
            <w:r w:rsidR="00210D7C" w:rsidRPr="00F72633">
              <w:rPr>
                <w:rFonts w:ascii="Arial Narrow" w:eastAsia="Times New Roman" w:hAnsi="Arial Narrow"/>
                <w:sz w:val="18"/>
                <w:szCs w:val="18"/>
                <w:lang w:val="es-419" w:eastAsia="en-US"/>
              </w:rPr>
              <w:t>udá</w:t>
            </w:r>
            <w:r w:rsidR="00F332F5" w:rsidRPr="00F72633">
              <w:rPr>
                <w:rFonts w:ascii="Arial Narrow" w:eastAsia="Times New Roman" w:hAnsi="Arial Narrow"/>
                <w:sz w:val="18"/>
                <w:szCs w:val="18"/>
                <w:lang w:val="es-419" w:eastAsia="en-US"/>
              </w:rPr>
              <w:t>frica,</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S</w:t>
            </w:r>
            <w:r w:rsidR="00210D7C" w:rsidRPr="00F72633">
              <w:rPr>
                <w:rFonts w:ascii="Arial Narrow" w:eastAsia="Times New Roman" w:hAnsi="Arial Narrow"/>
                <w:sz w:val="18"/>
                <w:szCs w:val="18"/>
                <w:lang w:val="es-419" w:eastAsia="en-US"/>
              </w:rPr>
              <w:t>uecia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S</w:t>
            </w:r>
            <w:r w:rsidR="00210D7C" w:rsidRPr="00F72633">
              <w:rPr>
                <w:rFonts w:ascii="Arial Narrow" w:eastAsia="Times New Roman" w:hAnsi="Arial Narrow"/>
                <w:sz w:val="18"/>
                <w:szCs w:val="18"/>
                <w:lang w:val="es-419" w:eastAsia="en-US"/>
              </w:rPr>
              <w:t>uiza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T</w:t>
            </w:r>
            <w:r w:rsidR="00210D7C" w:rsidRPr="00F72633">
              <w:rPr>
                <w:rFonts w:ascii="Arial Narrow" w:eastAsia="Times New Roman" w:hAnsi="Arial Narrow"/>
                <w:sz w:val="18"/>
                <w:szCs w:val="18"/>
                <w:lang w:val="es-419" w:eastAsia="en-US"/>
              </w:rPr>
              <w:t>únez</w:t>
            </w:r>
            <w:r w:rsidR="00F332F5" w:rsidRPr="00F72633">
              <w:rPr>
                <w:rFonts w:ascii="Arial Narrow" w:eastAsia="Times New Roman" w:hAnsi="Arial Narrow"/>
                <w:sz w:val="18"/>
                <w:szCs w:val="18"/>
                <w:lang w:val="es-419" w:eastAsia="en-US"/>
              </w:rPr>
              <w:t>,</w:t>
            </w:r>
            <w:r w:rsidR="00685222"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Türkiye,</w:t>
            </w:r>
            <w:r w:rsidR="00685222" w:rsidRPr="00F72633">
              <w:rPr>
                <w:rFonts w:ascii="Arial Narrow" w:eastAsia="Times New Roman" w:hAnsi="Arial Narrow"/>
                <w:sz w:val="18"/>
                <w:szCs w:val="18"/>
                <w:lang w:val="es-419" w:eastAsia="en-US"/>
              </w:rPr>
              <w:t xml:space="preserve"> </w:t>
            </w:r>
            <w:r w:rsidR="00F332F5" w:rsidRPr="00F72633">
              <w:rPr>
                <w:rFonts w:ascii="Arial Narrow" w:eastAsia="Times New Roman" w:hAnsi="Arial Narrow"/>
                <w:sz w:val="18"/>
                <w:szCs w:val="18"/>
                <w:lang w:val="es-419" w:eastAsia="en-US"/>
              </w:rPr>
              <w:t>U</w:t>
            </w:r>
            <w:r w:rsidR="00210D7C" w:rsidRPr="00F72633">
              <w:rPr>
                <w:rFonts w:ascii="Arial Narrow" w:eastAsia="Times New Roman" w:hAnsi="Arial Narrow"/>
                <w:sz w:val="18"/>
                <w:szCs w:val="18"/>
                <w:lang w:val="es-419" w:eastAsia="en-US"/>
              </w:rPr>
              <w:t>crania</w:t>
            </w:r>
            <w:r w:rsidR="00F332F5"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685222" w:rsidRPr="00F72633">
              <w:rPr>
                <w:rFonts w:ascii="Arial Narrow" w:eastAsia="Times New Roman" w:hAnsi="Arial Narrow"/>
                <w:sz w:val="18"/>
                <w:szCs w:val="18"/>
                <w:lang w:val="es-419" w:eastAsia="en-US"/>
              </w:rPr>
              <w:t xml:space="preserve">Unión Europea, </w:t>
            </w:r>
            <w:r w:rsidR="00F332F5" w:rsidRPr="00F72633">
              <w:rPr>
                <w:rFonts w:ascii="Arial Narrow" w:eastAsia="Times New Roman" w:hAnsi="Arial Narrow"/>
                <w:sz w:val="18"/>
                <w:szCs w:val="18"/>
                <w:lang w:val="es-419" w:eastAsia="en-US"/>
              </w:rPr>
              <w:t>Uruguay;</w:t>
            </w:r>
          </w:p>
          <w:p w14:paraId="040C4D5F" w14:textId="755C3F99" w:rsidR="00F332F5" w:rsidRPr="00F72633" w:rsidRDefault="008A3E99" w:rsidP="00F332F5">
            <w:pPr>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No miembros de</w:t>
            </w:r>
            <w:r w:rsidR="00604574" w:rsidRPr="00F72633">
              <w:rPr>
                <w:rFonts w:ascii="Arial Narrow" w:eastAsia="Times New Roman" w:hAnsi="Arial Narrow"/>
                <w:sz w:val="18"/>
                <w:szCs w:val="18"/>
                <w:lang w:val="es-419" w:eastAsia="en-US"/>
              </w:rPr>
              <w:t xml:space="preserve"> la Unión</w:t>
            </w:r>
            <w:r w:rsidR="002145AE" w:rsidRPr="00F72633">
              <w:rPr>
                <w:rFonts w:ascii="Arial Narrow" w:eastAsia="Times New Roman" w:hAnsi="Arial Narrow"/>
                <w:sz w:val="18"/>
                <w:szCs w:val="18"/>
                <w:lang w:val="es-419" w:eastAsia="en-US"/>
              </w:rPr>
              <w:t>: </w:t>
            </w:r>
            <w:r w:rsidR="007E6AFE">
              <w:rPr>
                <w:rFonts w:ascii="Arial Narrow" w:eastAsia="Times New Roman" w:hAnsi="Arial Narrow"/>
                <w:sz w:val="18"/>
                <w:szCs w:val="18"/>
                <w:lang w:val="es-419" w:eastAsia="en-US"/>
              </w:rPr>
              <w:t>(</w:t>
            </w:r>
            <w:r w:rsidR="004D6A34" w:rsidRPr="00F72633">
              <w:rPr>
                <w:rFonts w:ascii="Arial Narrow" w:eastAsia="Times New Roman" w:hAnsi="Arial Narrow"/>
                <w:sz w:val="18"/>
                <w:szCs w:val="18"/>
                <w:lang w:val="es-419" w:eastAsia="en-US"/>
              </w:rPr>
              <w:t>9</w:t>
            </w:r>
            <w:r w:rsidR="007E6AFE">
              <w:rPr>
                <w:rFonts w:ascii="Arial Narrow" w:eastAsia="Times New Roman" w:hAnsi="Arial Narrow"/>
                <w:sz w:val="18"/>
                <w:szCs w:val="18"/>
                <w:lang w:val="es-419" w:eastAsia="en-US"/>
              </w:rPr>
              <w:t>)</w:t>
            </w:r>
            <w:r w:rsidR="004D6A34" w:rsidRPr="00F72633">
              <w:rPr>
                <w:rFonts w:ascii="Arial Narrow" w:eastAsia="Times New Roman" w:hAnsi="Arial Narrow"/>
                <w:sz w:val="18"/>
                <w:szCs w:val="18"/>
                <w:lang w:val="es-419" w:eastAsia="en-US"/>
              </w:rPr>
              <w:t>: Filipinas, Indonesia, Irá</w:t>
            </w:r>
            <w:r w:rsidR="00F332F5" w:rsidRPr="00F72633">
              <w:rPr>
                <w:rFonts w:ascii="Arial Narrow" w:eastAsia="Times New Roman" w:hAnsi="Arial Narrow"/>
                <w:sz w:val="18"/>
                <w:szCs w:val="18"/>
                <w:lang w:val="es-419" w:eastAsia="en-US"/>
              </w:rPr>
              <w:t>n (</w:t>
            </w:r>
            <w:r w:rsidR="004D6A34" w:rsidRPr="00F72633">
              <w:rPr>
                <w:rFonts w:ascii="Arial Narrow" w:eastAsia="Times New Roman" w:hAnsi="Arial Narrow"/>
                <w:sz w:val="18"/>
                <w:szCs w:val="18"/>
                <w:lang w:val="es-419" w:eastAsia="en-US"/>
              </w:rPr>
              <w:t>República Islámica del</w:t>
            </w:r>
            <w:r w:rsidR="00F332F5" w:rsidRPr="00F72633">
              <w:rPr>
                <w:rFonts w:ascii="Arial Narrow" w:eastAsia="Times New Roman" w:hAnsi="Arial Narrow"/>
                <w:sz w:val="18"/>
                <w:szCs w:val="18"/>
                <w:lang w:val="es-419" w:eastAsia="en-US"/>
              </w:rPr>
              <w:t>), Jamaica, Mala</w:t>
            </w:r>
            <w:r w:rsidR="004D6A34" w:rsidRPr="00F72633">
              <w:rPr>
                <w:rFonts w:ascii="Arial Narrow" w:eastAsia="Times New Roman" w:hAnsi="Arial Narrow"/>
                <w:sz w:val="18"/>
                <w:szCs w:val="18"/>
                <w:lang w:val="es-419" w:eastAsia="en-US"/>
              </w:rPr>
              <w:t xml:space="preserve">sia, Myanmar, Nigeria, Pakistán, </w:t>
            </w:r>
            <w:r w:rsidR="00F332F5" w:rsidRPr="00F72633">
              <w:rPr>
                <w:rFonts w:ascii="Arial Narrow" w:eastAsia="Times New Roman" w:hAnsi="Arial Narrow"/>
                <w:sz w:val="18"/>
                <w:szCs w:val="18"/>
                <w:lang w:val="es-419" w:eastAsia="en-US"/>
              </w:rPr>
              <w:t>Senegal</w:t>
            </w:r>
          </w:p>
          <w:p w14:paraId="6700E77D" w14:textId="77777777" w:rsidR="00F332F5" w:rsidRPr="00F72633" w:rsidRDefault="00F332F5" w:rsidP="00F332F5">
            <w:pPr>
              <w:rPr>
                <w:rFonts w:ascii="Arial Narrow" w:eastAsia="Times New Roman" w:hAnsi="Arial Narrow"/>
                <w:sz w:val="18"/>
                <w:szCs w:val="18"/>
                <w:lang w:val="es-419" w:eastAsia="en-US"/>
              </w:rPr>
            </w:pPr>
          </w:p>
          <w:p w14:paraId="28BD862C" w14:textId="3C7A3D74" w:rsidR="00F332F5" w:rsidRPr="00F72633" w:rsidRDefault="00C11CAE" w:rsidP="00F332F5">
            <w:pPr>
              <w:tabs>
                <w:tab w:val="left" w:pos="3600"/>
              </w:tabs>
              <w:spacing w:after="120"/>
              <w:rPr>
                <w:rFonts w:ascii="Arial Narrow" w:eastAsia="Times New Roman" w:hAnsi="Arial Narrow"/>
                <w:sz w:val="18"/>
                <w:szCs w:val="18"/>
                <w:lang w:val="es-419" w:eastAsia="en-US"/>
              </w:rPr>
            </w:pPr>
            <w:r w:rsidRPr="00F72633">
              <w:rPr>
                <w:rFonts w:ascii="Arial Narrow" w:hAnsi="Arial Narrow"/>
                <w:sz w:val="18"/>
                <w:lang w:val="es-419"/>
              </w:rPr>
              <w:t>También hubo alumnos de la</w:t>
            </w:r>
            <w:r w:rsidR="00F332F5" w:rsidRPr="00F72633">
              <w:rPr>
                <w:rFonts w:ascii="Arial Narrow" w:eastAsia="Times New Roman" w:hAnsi="Arial Narrow"/>
                <w:sz w:val="18"/>
                <w:szCs w:val="18"/>
                <w:lang w:val="es-419" w:eastAsia="en-US"/>
              </w:rPr>
              <w:t xml:space="preserve"> </w:t>
            </w:r>
            <w:r w:rsidRPr="00F72633">
              <w:rPr>
                <w:rFonts w:ascii="Arial Narrow" w:eastAsia="Times New Roman" w:hAnsi="Arial Narrow"/>
                <w:sz w:val="18"/>
                <w:szCs w:val="18"/>
                <w:lang w:val="es-419" w:eastAsia="en-US"/>
              </w:rPr>
              <w:t>O</w:t>
            </w:r>
            <w:r w:rsidR="00F332F5" w:rsidRPr="00F72633">
              <w:rPr>
                <w:rFonts w:ascii="Arial Narrow" w:eastAsia="Times New Roman" w:hAnsi="Arial Narrow"/>
                <w:sz w:val="18"/>
                <w:szCs w:val="18"/>
                <w:lang w:val="es-419" w:eastAsia="en-US"/>
              </w:rPr>
              <w:t>EP</w:t>
            </w:r>
            <w:r w:rsidRPr="00F72633">
              <w:rPr>
                <w:rFonts w:ascii="Arial Narrow" w:eastAsia="Times New Roman" w:hAnsi="Arial Narrow"/>
                <w:sz w:val="18"/>
                <w:szCs w:val="18"/>
                <w:lang w:val="es-419" w:eastAsia="en-US"/>
              </w:rPr>
              <w:t xml:space="preserve"> y la</w:t>
            </w:r>
            <w:r w:rsidR="00F332F5" w:rsidRPr="00F72633">
              <w:rPr>
                <w:rFonts w:ascii="Arial Narrow" w:eastAsia="Times New Roman" w:hAnsi="Arial Narrow"/>
                <w:sz w:val="18"/>
                <w:szCs w:val="18"/>
                <w:lang w:val="es-419" w:eastAsia="en-US"/>
              </w:rPr>
              <w:t xml:space="preserve"> FAO.</w:t>
            </w:r>
          </w:p>
          <w:p w14:paraId="09D0FEB5" w14:textId="77528250" w:rsidR="00275D1C" w:rsidRPr="00F72633" w:rsidRDefault="00AB66BC" w:rsidP="00AB66B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w:t>
            </w:r>
            <w:r w:rsidR="002145AE" w:rsidRPr="00F72633">
              <w:rPr>
                <w:rFonts w:ascii="Arial Narrow" w:eastAsia="Times New Roman" w:hAnsi="Arial Narrow"/>
                <w:sz w:val="18"/>
                <w:szCs w:val="18"/>
                <w:lang w:val="es-419" w:eastAsia="en-US"/>
              </w:rPr>
              <w:t> </w:t>
            </w:r>
            <w:r w:rsidR="004E134A" w:rsidRPr="00F72633">
              <w:rPr>
                <w:rFonts w:ascii="Arial Narrow" w:eastAsia="Times New Roman" w:hAnsi="Arial Narrow"/>
                <w:sz w:val="18"/>
                <w:szCs w:val="18"/>
                <w:lang w:val="es-419" w:eastAsia="en-US"/>
              </w:rPr>
              <w:t>23</w:t>
            </w:r>
            <w:r w:rsidR="002145AE"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y</w:t>
            </w:r>
            <w:r w:rsidR="002145AE" w:rsidRPr="00F72633">
              <w:rPr>
                <w:rFonts w:ascii="Arial Narrow" w:eastAsia="Times New Roman" w:hAnsi="Arial Narrow"/>
                <w:sz w:val="18"/>
                <w:szCs w:val="18"/>
                <w:lang w:val="es-419" w:eastAsia="en-US"/>
              </w:rPr>
              <w:t> </w:t>
            </w:r>
            <w:r w:rsidR="004E134A" w:rsidRPr="00F72633">
              <w:rPr>
                <w:rFonts w:ascii="Arial Narrow" w:eastAsia="Times New Roman" w:hAnsi="Arial Narrow"/>
                <w:sz w:val="18"/>
                <w:szCs w:val="18"/>
                <w:lang w:val="es-419" w:eastAsia="en-US"/>
              </w:rPr>
              <w:t>24</w:t>
            </w:r>
          </w:p>
        </w:tc>
      </w:tr>
      <w:tr w:rsidR="00275D1C" w:rsidRPr="00F72633" w14:paraId="3B2FDAB3" w14:textId="77777777" w:rsidTr="00275D1C">
        <w:tc>
          <w:tcPr>
            <w:tcW w:w="1838" w:type="dxa"/>
            <w:vMerge/>
          </w:tcPr>
          <w:p w14:paraId="675F7CDE"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55463919" w14:textId="072F8EC6"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g) </w:t>
            </w:r>
            <w:r w:rsidR="00B91B22" w:rsidRPr="00F72633">
              <w:rPr>
                <w:rFonts w:ascii="Arial Narrow" w:hAnsi="Arial Narrow"/>
                <w:sz w:val="18"/>
                <w:lang w:val="es-419"/>
              </w:rPr>
              <w:t>Participación en actividades de formación y asistencia de la UPOV</w:t>
            </w:r>
          </w:p>
        </w:tc>
        <w:tc>
          <w:tcPr>
            <w:tcW w:w="4946" w:type="dxa"/>
            <w:shd w:val="clear" w:color="auto" w:fill="auto"/>
          </w:tcPr>
          <w:p w14:paraId="020955DE" w14:textId="4F84F9BF" w:rsidR="00275D1C" w:rsidRPr="00F72633" w:rsidRDefault="002145AE" w:rsidP="00275D1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Anexo V </w:t>
            </w:r>
            <w:r w:rsidR="004207F1" w:rsidRPr="00F72633">
              <w:rPr>
                <w:rFonts w:ascii="Arial Narrow" w:eastAsia="Times New Roman" w:hAnsi="Arial Narrow"/>
                <w:sz w:val="18"/>
                <w:szCs w:val="18"/>
                <w:lang w:val="es-419" w:eastAsia="en-US"/>
              </w:rPr>
              <w:t>del presente documento</w:t>
            </w:r>
          </w:p>
        </w:tc>
      </w:tr>
      <w:tr w:rsidR="00275D1C" w:rsidRPr="00F72633" w14:paraId="30631902" w14:textId="77777777" w:rsidTr="00275D1C">
        <w:tc>
          <w:tcPr>
            <w:tcW w:w="1838" w:type="dxa"/>
            <w:vMerge/>
          </w:tcPr>
          <w:p w14:paraId="35E5CF96"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4C596DB5" w14:textId="239AED84"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h) </w:t>
            </w:r>
            <w:r w:rsidR="00AA100A" w:rsidRPr="00F72633">
              <w:rPr>
                <w:rFonts w:ascii="Arial Narrow" w:hAnsi="Arial Narrow"/>
                <w:sz w:val="18"/>
                <w:lang w:val="es-419"/>
              </w:rPr>
              <w:t>Participación en actividades formación y asistencia por parte del personal de la UPOV o de formadores en nombre del personal de la UPOV</w:t>
            </w:r>
          </w:p>
        </w:tc>
        <w:tc>
          <w:tcPr>
            <w:tcW w:w="4946" w:type="dxa"/>
            <w:shd w:val="clear" w:color="auto" w:fill="auto"/>
          </w:tcPr>
          <w:p w14:paraId="1DD285C8" w14:textId="25632CB9" w:rsidR="00275D1C" w:rsidRPr="00F72633" w:rsidRDefault="002145AE" w:rsidP="00275D1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Anexo V </w:t>
            </w:r>
            <w:r w:rsidR="004207F1" w:rsidRPr="00F72633">
              <w:rPr>
                <w:rFonts w:ascii="Arial Narrow" w:eastAsia="Times New Roman" w:hAnsi="Arial Narrow"/>
                <w:sz w:val="18"/>
                <w:szCs w:val="18"/>
                <w:lang w:val="es-419" w:eastAsia="en-US"/>
              </w:rPr>
              <w:t>del presente documento</w:t>
            </w:r>
          </w:p>
        </w:tc>
      </w:tr>
      <w:tr w:rsidR="00275D1C" w:rsidRPr="00F72633" w14:paraId="7BF69AB8" w14:textId="77777777" w:rsidTr="00275D1C">
        <w:tc>
          <w:tcPr>
            <w:tcW w:w="1838" w:type="dxa"/>
            <w:vMerge/>
          </w:tcPr>
          <w:p w14:paraId="64C322EA"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shd w:val="clear" w:color="auto" w:fill="auto"/>
          </w:tcPr>
          <w:p w14:paraId="2D1F45E6" w14:textId="11F393F8"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i) </w:t>
            </w:r>
            <w:r w:rsidR="00AA100A" w:rsidRPr="00F72633">
              <w:rPr>
                <w:rFonts w:ascii="Arial Narrow" w:hAnsi="Arial Narrow"/>
                <w:sz w:val="18"/>
                <w:lang w:val="es-419"/>
              </w:rPr>
              <w:t>Instituciones académicas que incluyen información sobre el sistema de la UPOV y que invitan a la UPOV a contribuir</w:t>
            </w:r>
          </w:p>
        </w:tc>
        <w:tc>
          <w:tcPr>
            <w:tcW w:w="4946" w:type="dxa"/>
            <w:shd w:val="clear" w:color="auto" w:fill="auto"/>
          </w:tcPr>
          <w:p w14:paraId="23C948B2" w14:textId="0497ACA4" w:rsidR="00275D1C" w:rsidRPr="00F72633" w:rsidRDefault="002145AE" w:rsidP="005D2411">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Anexo V </w:t>
            </w:r>
            <w:r w:rsidR="004207F1" w:rsidRPr="00F72633">
              <w:rPr>
                <w:rFonts w:ascii="Arial Narrow" w:eastAsia="Times New Roman" w:hAnsi="Arial Narrow"/>
                <w:sz w:val="18"/>
                <w:szCs w:val="18"/>
                <w:lang w:val="es-419" w:eastAsia="en-US"/>
              </w:rPr>
              <w:t>del presente documento</w:t>
            </w:r>
          </w:p>
        </w:tc>
      </w:tr>
      <w:tr w:rsidR="008F42EB" w:rsidRPr="00F72633" w14:paraId="02B3DF9D" w14:textId="77777777" w:rsidTr="00275D1C">
        <w:tc>
          <w:tcPr>
            <w:tcW w:w="1838" w:type="dxa"/>
            <w:vMerge w:val="restart"/>
          </w:tcPr>
          <w:p w14:paraId="3E9A7EAD" w14:textId="39CAE2C0" w:rsidR="008F42EB" w:rsidRPr="00F72633" w:rsidRDefault="008F42EB" w:rsidP="00F56392">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10. </w:t>
            </w:r>
            <w:r w:rsidR="00AA100A" w:rsidRPr="00F72633">
              <w:rPr>
                <w:rFonts w:ascii="Arial Narrow" w:eastAsia="Times New Roman" w:hAnsi="Arial Narrow"/>
                <w:sz w:val="18"/>
                <w:szCs w:val="18"/>
                <w:lang w:val="es-419" w:eastAsia="en-US"/>
              </w:rPr>
              <w:t>Elaboración de legislación sobre la protección de las variedades vegetale</w:t>
            </w:r>
            <w:r w:rsidR="00063A00">
              <w:rPr>
                <w:rFonts w:ascii="Arial Narrow" w:eastAsia="Times New Roman" w:hAnsi="Arial Narrow"/>
                <w:sz w:val="18"/>
                <w:szCs w:val="18"/>
                <w:lang w:val="es-419" w:eastAsia="en-US"/>
              </w:rPr>
              <w:t>s de conformidad con el Acta </w:t>
            </w:r>
            <w:r w:rsidR="00087482" w:rsidRPr="00F72633">
              <w:rPr>
                <w:rFonts w:ascii="Arial Narrow" w:eastAsia="Times New Roman" w:hAnsi="Arial Narrow"/>
                <w:sz w:val="18"/>
                <w:szCs w:val="18"/>
                <w:lang w:val="es-419" w:eastAsia="en-US"/>
              </w:rPr>
              <w:t>de 1991 </w:t>
            </w:r>
            <w:r w:rsidR="00AA100A" w:rsidRPr="00F72633">
              <w:rPr>
                <w:rFonts w:ascii="Arial Narrow" w:eastAsia="Times New Roman" w:hAnsi="Arial Narrow"/>
                <w:sz w:val="18"/>
                <w:szCs w:val="18"/>
                <w:lang w:val="es-419" w:eastAsia="en-US"/>
              </w:rPr>
              <w:t>del Convenio de la UPOV</w:t>
            </w:r>
          </w:p>
        </w:tc>
        <w:tc>
          <w:tcPr>
            <w:tcW w:w="2992" w:type="dxa"/>
            <w:shd w:val="clear" w:color="auto" w:fill="auto"/>
          </w:tcPr>
          <w:p w14:paraId="47FA9A2C" w14:textId="150C76A7" w:rsidR="008F42EB" w:rsidRPr="00F72633" w:rsidRDefault="008F42EB" w:rsidP="00F56392">
            <w:pPr>
              <w:jc w:val="left"/>
              <w:rPr>
                <w:rFonts w:ascii="Arial Narrow" w:hAnsi="Arial Narrow"/>
                <w:sz w:val="18"/>
                <w:lang w:val="es-419"/>
              </w:rPr>
            </w:pPr>
            <w:r w:rsidRPr="00F72633">
              <w:rPr>
                <w:rFonts w:ascii="Arial Narrow" w:hAnsi="Arial Narrow"/>
                <w:sz w:val="18"/>
                <w:lang w:val="es-419"/>
              </w:rPr>
              <w:t xml:space="preserve">a) </w:t>
            </w:r>
            <w:r w:rsidR="00AA100A" w:rsidRPr="00F72633">
              <w:rPr>
                <w:rFonts w:ascii="Arial Narrow" w:hAnsi="Arial Narrow"/>
                <w:sz w:val="18"/>
                <w:lang w:val="es-419"/>
              </w:rPr>
              <w:t>Estados y organizaciones que reciben una valoración positiva del Consejo</w:t>
            </w:r>
          </w:p>
        </w:tc>
        <w:tc>
          <w:tcPr>
            <w:tcW w:w="4946" w:type="dxa"/>
            <w:shd w:val="clear" w:color="auto" w:fill="auto"/>
          </w:tcPr>
          <w:p w14:paraId="73F97654" w14:textId="77777777" w:rsidR="008F42EB" w:rsidRPr="00F72633" w:rsidRDefault="008F42EB" w:rsidP="00F56392">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Armenia</w:t>
            </w:r>
          </w:p>
          <w:p w14:paraId="443D6761" w14:textId="10F3285A" w:rsidR="008F42EB" w:rsidRPr="00F72633" w:rsidRDefault="00AB66BC" w:rsidP="00AB66B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w:t>
            </w:r>
            <w:r w:rsidR="002145AE" w:rsidRPr="00F72633">
              <w:rPr>
                <w:rFonts w:ascii="Arial Narrow" w:eastAsia="Times New Roman" w:hAnsi="Arial Narrow"/>
                <w:sz w:val="18"/>
                <w:szCs w:val="18"/>
                <w:lang w:val="es-419" w:eastAsia="en-US"/>
              </w:rPr>
              <w:t> 18 </w:t>
            </w:r>
            <w:r w:rsidRPr="00F72633">
              <w:rPr>
                <w:rFonts w:ascii="Arial Narrow" w:eastAsia="Times New Roman" w:hAnsi="Arial Narrow"/>
                <w:sz w:val="18"/>
                <w:szCs w:val="18"/>
                <w:lang w:val="es-419" w:eastAsia="en-US"/>
              </w:rPr>
              <w:t>y</w:t>
            </w:r>
            <w:r w:rsidR="002145AE" w:rsidRPr="00F72633">
              <w:rPr>
                <w:rFonts w:ascii="Arial Narrow" w:eastAsia="Times New Roman" w:hAnsi="Arial Narrow"/>
                <w:sz w:val="18"/>
                <w:szCs w:val="18"/>
                <w:lang w:val="es-419" w:eastAsia="en-US"/>
              </w:rPr>
              <w:t> </w:t>
            </w:r>
            <w:r w:rsidR="008F42EB" w:rsidRPr="00F72633">
              <w:rPr>
                <w:rFonts w:ascii="Arial Narrow" w:eastAsia="Times New Roman" w:hAnsi="Arial Narrow"/>
                <w:sz w:val="18"/>
                <w:szCs w:val="18"/>
                <w:lang w:val="es-419" w:eastAsia="en-US"/>
              </w:rPr>
              <w:t>20</w:t>
            </w:r>
          </w:p>
        </w:tc>
      </w:tr>
      <w:tr w:rsidR="008F42EB" w:rsidRPr="00F72633" w14:paraId="7CB23AAA" w14:textId="77777777" w:rsidTr="00275D1C">
        <w:tc>
          <w:tcPr>
            <w:tcW w:w="1838" w:type="dxa"/>
            <w:vMerge/>
          </w:tcPr>
          <w:p w14:paraId="499648AD" w14:textId="77777777" w:rsidR="008F42EB" w:rsidRPr="00F72633" w:rsidRDefault="008F42EB" w:rsidP="00F56392">
            <w:pPr>
              <w:jc w:val="left"/>
              <w:rPr>
                <w:rFonts w:ascii="Arial Narrow" w:eastAsia="Times New Roman" w:hAnsi="Arial Narrow"/>
                <w:sz w:val="18"/>
                <w:szCs w:val="18"/>
                <w:lang w:val="es-419" w:eastAsia="en-US"/>
              </w:rPr>
            </w:pPr>
          </w:p>
        </w:tc>
        <w:tc>
          <w:tcPr>
            <w:tcW w:w="2992" w:type="dxa"/>
            <w:shd w:val="clear" w:color="auto" w:fill="auto"/>
          </w:tcPr>
          <w:p w14:paraId="256EE8FF" w14:textId="476A9962" w:rsidR="008F42EB" w:rsidRPr="00F72633" w:rsidRDefault="008F42EB" w:rsidP="00F56392">
            <w:pPr>
              <w:jc w:val="left"/>
              <w:rPr>
                <w:rFonts w:ascii="Arial Narrow" w:hAnsi="Arial Narrow"/>
                <w:sz w:val="18"/>
                <w:lang w:val="es-419"/>
              </w:rPr>
            </w:pPr>
            <w:r w:rsidRPr="00F72633">
              <w:rPr>
                <w:rFonts w:ascii="Arial Narrow" w:hAnsi="Arial Narrow"/>
                <w:sz w:val="18"/>
                <w:lang w:val="es-419"/>
              </w:rPr>
              <w:t xml:space="preserve">b) </w:t>
            </w:r>
            <w:r w:rsidR="00AA100A" w:rsidRPr="00F72633">
              <w:rPr>
                <w:rFonts w:ascii="Arial Narrow" w:hAnsi="Arial Narrow"/>
                <w:sz w:val="18"/>
                <w:lang w:val="es-419"/>
              </w:rPr>
              <w:t>Estados y organizaciones que reciben comentarios sobre la legislación</w:t>
            </w:r>
          </w:p>
        </w:tc>
        <w:tc>
          <w:tcPr>
            <w:tcW w:w="4946" w:type="dxa"/>
            <w:shd w:val="clear" w:color="auto" w:fill="auto"/>
          </w:tcPr>
          <w:p w14:paraId="2AED4871" w14:textId="123D570B" w:rsidR="008F42EB" w:rsidRPr="00F72633" w:rsidRDefault="00604574" w:rsidP="00E76559">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Miembros de la Unión</w:t>
            </w:r>
            <w:r w:rsidR="00087482" w:rsidRPr="00F72633">
              <w:rPr>
                <w:rFonts w:ascii="Arial Narrow" w:eastAsia="Times New Roman" w:hAnsi="Arial Narrow"/>
                <w:sz w:val="18"/>
                <w:szCs w:val="18"/>
                <w:lang w:val="es-419" w:eastAsia="en-US"/>
              </w:rPr>
              <w:t> </w:t>
            </w:r>
            <w:r w:rsidR="008F42EB" w:rsidRPr="00F72633">
              <w:rPr>
                <w:rFonts w:ascii="Arial Narrow" w:eastAsia="Times New Roman" w:hAnsi="Arial Narrow"/>
                <w:sz w:val="18"/>
                <w:szCs w:val="18"/>
                <w:lang w:val="es-419" w:eastAsia="en-US"/>
              </w:rPr>
              <w:t>(2):</w:t>
            </w:r>
            <w:r w:rsidRPr="00F72633">
              <w:rPr>
                <w:rFonts w:ascii="Arial Narrow" w:eastAsia="Times New Roman" w:hAnsi="Arial Narrow"/>
                <w:sz w:val="18"/>
                <w:szCs w:val="18"/>
                <w:lang w:val="es-419" w:eastAsia="en-US"/>
              </w:rPr>
              <w:t xml:space="preserve"> </w:t>
            </w:r>
            <w:r w:rsidR="008F42EB" w:rsidRPr="00F72633">
              <w:rPr>
                <w:rFonts w:ascii="Arial Narrow" w:hAnsi="Arial Narrow"/>
                <w:sz w:val="18"/>
                <w:lang w:val="es-419"/>
              </w:rPr>
              <w:t xml:space="preserve">Georgia </w:t>
            </w:r>
            <w:r w:rsidR="00C11CAE" w:rsidRPr="00F72633">
              <w:rPr>
                <w:rFonts w:ascii="Arial Narrow" w:hAnsi="Arial Narrow"/>
                <w:sz w:val="18"/>
                <w:lang w:val="es-419"/>
              </w:rPr>
              <w:t>y Mé</w:t>
            </w:r>
            <w:r w:rsidR="008F42EB" w:rsidRPr="00F72633">
              <w:rPr>
                <w:rFonts w:ascii="Arial Narrow" w:hAnsi="Arial Narrow"/>
                <w:sz w:val="18"/>
                <w:lang w:val="es-419"/>
              </w:rPr>
              <w:t>xico</w:t>
            </w:r>
          </w:p>
          <w:p w14:paraId="6C00EDAA" w14:textId="784151BE" w:rsidR="008F42EB" w:rsidRPr="00F72633" w:rsidRDefault="008A3E99" w:rsidP="00E76559">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No miembros de</w:t>
            </w:r>
            <w:r w:rsidR="00604574" w:rsidRPr="00F72633">
              <w:rPr>
                <w:rFonts w:ascii="Arial Narrow" w:eastAsia="Times New Roman" w:hAnsi="Arial Narrow"/>
                <w:sz w:val="18"/>
                <w:szCs w:val="18"/>
                <w:lang w:val="es-419" w:eastAsia="en-US"/>
              </w:rPr>
              <w:t xml:space="preserve"> la Unión</w:t>
            </w:r>
            <w:r w:rsidR="00087482" w:rsidRPr="00F72633">
              <w:rPr>
                <w:rFonts w:ascii="Arial Narrow" w:eastAsia="Times New Roman" w:hAnsi="Arial Narrow"/>
                <w:sz w:val="18"/>
                <w:szCs w:val="18"/>
                <w:lang w:val="es-419" w:eastAsia="en-US"/>
              </w:rPr>
              <w:t> </w:t>
            </w:r>
            <w:r w:rsidR="008F42EB" w:rsidRPr="00F72633">
              <w:rPr>
                <w:rFonts w:ascii="Arial Narrow" w:eastAsia="Times New Roman" w:hAnsi="Arial Narrow"/>
                <w:sz w:val="18"/>
                <w:szCs w:val="18"/>
                <w:lang w:val="es-419" w:eastAsia="en-US"/>
              </w:rPr>
              <w:t>(12):</w:t>
            </w:r>
            <w:r w:rsidR="00604574" w:rsidRPr="00F72633">
              <w:rPr>
                <w:rFonts w:ascii="Arial Narrow" w:eastAsia="Times New Roman" w:hAnsi="Arial Narrow"/>
                <w:sz w:val="18"/>
                <w:szCs w:val="18"/>
                <w:lang w:val="es-419" w:eastAsia="en-US"/>
              </w:rPr>
              <w:t xml:space="preserve"> </w:t>
            </w:r>
            <w:r w:rsidR="008F42EB" w:rsidRPr="00F72633">
              <w:rPr>
                <w:rFonts w:ascii="Arial Narrow" w:eastAsia="Times New Roman" w:hAnsi="Arial Narrow"/>
                <w:sz w:val="18"/>
                <w:szCs w:val="18"/>
                <w:lang w:val="es-419" w:eastAsia="en-US"/>
              </w:rPr>
              <w:t xml:space="preserve">Antigua </w:t>
            </w:r>
            <w:r w:rsidR="00C11CAE" w:rsidRPr="00F72633">
              <w:rPr>
                <w:rFonts w:ascii="Arial Narrow" w:eastAsia="Times New Roman" w:hAnsi="Arial Narrow"/>
                <w:sz w:val="18"/>
                <w:szCs w:val="18"/>
                <w:lang w:val="es-419" w:eastAsia="en-US"/>
              </w:rPr>
              <w:t>y</w:t>
            </w:r>
            <w:r w:rsidR="008F42EB" w:rsidRPr="00F72633">
              <w:rPr>
                <w:rFonts w:ascii="Arial Narrow" w:eastAsia="Times New Roman" w:hAnsi="Arial Narrow"/>
                <w:sz w:val="18"/>
                <w:szCs w:val="18"/>
                <w:lang w:val="es-419" w:eastAsia="en-US"/>
              </w:rPr>
              <w:t xml:space="preserve"> Barbuda, Armenia, Barbados, </w:t>
            </w:r>
            <w:r w:rsidR="00C11CAE" w:rsidRPr="00F72633">
              <w:rPr>
                <w:rFonts w:ascii="Arial Narrow" w:eastAsia="Times New Roman" w:hAnsi="Arial Narrow"/>
                <w:sz w:val="18"/>
                <w:szCs w:val="18"/>
                <w:lang w:val="es-419" w:eastAsia="en-US"/>
              </w:rPr>
              <w:t>Camboya</w:t>
            </w:r>
            <w:r w:rsidR="008F42EB" w:rsidRPr="00F72633">
              <w:rPr>
                <w:rFonts w:ascii="Arial Narrow" w:eastAsia="Times New Roman" w:hAnsi="Arial Narrow"/>
                <w:sz w:val="18"/>
                <w:szCs w:val="18"/>
                <w:lang w:val="es-419" w:eastAsia="en-US"/>
              </w:rPr>
              <w:t xml:space="preserve">, Guatemala, </w:t>
            </w:r>
            <w:r w:rsidR="00C11CAE" w:rsidRPr="00F72633">
              <w:rPr>
                <w:rFonts w:ascii="Arial Narrow" w:eastAsia="Times New Roman" w:hAnsi="Arial Narrow"/>
                <w:sz w:val="18"/>
                <w:szCs w:val="18"/>
                <w:lang w:val="es-419" w:eastAsia="en-US"/>
              </w:rPr>
              <w:t>Kazajstán</w:t>
            </w:r>
            <w:r w:rsidR="008F42EB" w:rsidRPr="00F72633">
              <w:rPr>
                <w:rFonts w:ascii="Arial Narrow" w:eastAsia="Times New Roman" w:hAnsi="Arial Narrow"/>
                <w:sz w:val="18"/>
                <w:szCs w:val="18"/>
                <w:lang w:val="es-419" w:eastAsia="en-US"/>
              </w:rPr>
              <w:t xml:space="preserve">, </w:t>
            </w:r>
            <w:r w:rsidR="00C11CAE" w:rsidRPr="00F72633">
              <w:rPr>
                <w:rFonts w:ascii="Arial Narrow" w:eastAsia="Times New Roman" w:hAnsi="Arial Narrow"/>
                <w:sz w:val="18"/>
                <w:szCs w:val="18"/>
                <w:lang w:val="es-419" w:eastAsia="en-US"/>
              </w:rPr>
              <w:t xml:space="preserve">Malasia, </w:t>
            </w:r>
            <w:r w:rsidR="008F42EB" w:rsidRPr="00F72633">
              <w:rPr>
                <w:rFonts w:ascii="Arial Narrow" w:eastAsia="Times New Roman" w:hAnsi="Arial Narrow"/>
                <w:sz w:val="18"/>
                <w:szCs w:val="18"/>
                <w:lang w:val="es-419" w:eastAsia="en-US"/>
              </w:rPr>
              <w:t>Malawi, Mongolia, Nigeria (</w:t>
            </w:r>
            <w:r w:rsidR="00C11CAE" w:rsidRPr="00F72633">
              <w:rPr>
                <w:rFonts w:ascii="Arial Narrow" w:eastAsia="Times New Roman" w:hAnsi="Arial Narrow"/>
                <w:sz w:val="18"/>
                <w:szCs w:val="18"/>
                <w:lang w:val="es-419" w:eastAsia="en-US"/>
              </w:rPr>
              <w:t>reglamentos</w:t>
            </w:r>
            <w:r w:rsidR="008F42EB" w:rsidRPr="00F72633">
              <w:rPr>
                <w:rFonts w:ascii="Arial Narrow" w:eastAsia="Times New Roman" w:hAnsi="Arial Narrow"/>
                <w:sz w:val="18"/>
                <w:szCs w:val="18"/>
                <w:lang w:val="es-419" w:eastAsia="en-US"/>
              </w:rPr>
              <w:t xml:space="preserve">), Timor-Leste </w:t>
            </w:r>
            <w:r w:rsidR="00C11CAE" w:rsidRPr="00F72633">
              <w:rPr>
                <w:rFonts w:ascii="Arial Narrow" w:eastAsia="Times New Roman" w:hAnsi="Arial Narrow"/>
                <w:sz w:val="18"/>
                <w:szCs w:val="18"/>
                <w:lang w:val="es-419" w:eastAsia="en-US"/>
              </w:rPr>
              <w:t>y</w:t>
            </w:r>
            <w:r w:rsidR="008F42EB" w:rsidRPr="00F72633">
              <w:rPr>
                <w:rFonts w:ascii="Arial Narrow" w:eastAsia="Times New Roman" w:hAnsi="Arial Narrow"/>
                <w:sz w:val="18"/>
                <w:szCs w:val="18"/>
                <w:lang w:val="es-419" w:eastAsia="en-US"/>
              </w:rPr>
              <w:t xml:space="preserve"> Zambia</w:t>
            </w:r>
          </w:p>
          <w:p w14:paraId="7AAA920F" w14:textId="7F952C1E" w:rsidR="008F42EB" w:rsidRPr="00F72633" w:rsidRDefault="00087482" w:rsidP="00C11CAE">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 18 </w:t>
            </w:r>
            <w:r w:rsidR="00C11CAE" w:rsidRPr="00F72633">
              <w:rPr>
                <w:rFonts w:ascii="Arial Narrow" w:eastAsia="Times New Roman" w:hAnsi="Arial Narrow"/>
                <w:sz w:val="18"/>
                <w:szCs w:val="18"/>
                <w:lang w:val="es-419" w:eastAsia="en-US"/>
              </w:rPr>
              <w:t>y</w:t>
            </w:r>
            <w:r w:rsidRPr="00F72633">
              <w:rPr>
                <w:rFonts w:ascii="Arial Narrow" w:eastAsia="Times New Roman" w:hAnsi="Arial Narrow"/>
                <w:sz w:val="18"/>
                <w:szCs w:val="18"/>
                <w:lang w:val="es-419" w:eastAsia="en-US"/>
              </w:rPr>
              <w:t> </w:t>
            </w:r>
            <w:r w:rsidR="008F42EB" w:rsidRPr="00F72633">
              <w:rPr>
                <w:rFonts w:ascii="Arial Narrow" w:eastAsia="Times New Roman" w:hAnsi="Arial Narrow"/>
                <w:sz w:val="18"/>
                <w:szCs w:val="18"/>
                <w:lang w:val="es-419" w:eastAsia="en-US"/>
              </w:rPr>
              <w:t>19</w:t>
            </w:r>
          </w:p>
        </w:tc>
      </w:tr>
      <w:tr w:rsidR="008F42EB" w:rsidRPr="00F72633" w14:paraId="10379898" w14:textId="77777777" w:rsidTr="00F72633">
        <w:tc>
          <w:tcPr>
            <w:tcW w:w="1838" w:type="dxa"/>
            <w:vMerge/>
            <w:tcBorders>
              <w:bottom w:val="single" w:sz="8" w:space="0" w:color="D9D9D9" w:themeColor="background1" w:themeShade="D9"/>
            </w:tcBorders>
          </w:tcPr>
          <w:p w14:paraId="5C817747" w14:textId="77777777" w:rsidR="008F42EB" w:rsidRPr="00F72633" w:rsidRDefault="008F42EB" w:rsidP="00F56392">
            <w:pPr>
              <w:jc w:val="left"/>
              <w:rPr>
                <w:rFonts w:ascii="Arial Narrow" w:eastAsia="Times New Roman" w:hAnsi="Arial Narrow"/>
                <w:sz w:val="18"/>
                <w:szCs w:val="18"/>
                <w:lang w:val="es-419" w:eastAsia="en-US"/>
              </w:rPr>
            </w:pPr>
          </w:p>
        </w:tc>
        <w:tc>
          <w:tcPr>
            <w:tcW w:w="2992" w:type="dxa"/>
            <w:shd w:val="clear" w:color="auto" w:fill="auto"/>
          </w:tcPr>
          <w:p w14:paraId="6DC9D1CE" w14:textId="4A06942B" w:rsidR="008F42EB" w:rsidRPr="00F72633" w:rsidRDefault="008F42EB" w:rsidP="008F42EB">
            <w:pPr>
              <w:jc w:val="left"/>
              <w:rPr>
                <w:rFonts w:ascii="Arial Narrow" w:hAnsi="Arial Narrow"/>
                <w:sz w:val="18"/>
                <w:szCs w:val="18"/>
                <w:lang w:val="es-419"/>
              </w:rPr>
            </w:pPr>
            <w:r w:rsidRPr="00F72633">
              <w:rPr>
                <w:rFonts w:ascii="Arial Narrow" w:hAnsi="Arial Narrow"/>
                <w:sz w:val="18"/>
                <w:lang w:val="es-419"/>
              </w:rPr>
              <w:t xml:space="preserve">c) </w:t>
            </w:r>
            <w:r w:rsidR="00B96F94" w:rsidRPr="00F72633">
              <w:rPr>
                <w:rFonts w:ascii="Arial Narrow" w:hAnsi="Arial Narrow"/>
                <w:sz w:val="18"/>
                <w:szCs w:val="18"/>
                <w:lang w:val="es-419"/>
              </w:rPr>
              <w:t>Reuniones con funcionarios gubernamentales para tratar asuntos legislativos</w:t>
            </w:r>
          </w:p>
        </w:tc>
        <w:tc>
          <w:tcPr>
            <w:tcW w:w="4946" w:type="dxa"/>
            <w:shd w:val="clear" w:color="auto" w:fill="auto"/>
          </w:tcPr>
          <w:p w14:paraId="7282C511" w14:textId="4F509C92" w:rsidR="008F42EB" w:rsidRPr="00F72633" w:rsidRDefault="00604574" w:rsidP="008F42EB">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Miembros de la Unión</w:t>
            </w:r>
            <w:r w:rsidR="00087482" w:rsidRPr="00F72633">
              <w:rPr>
                <w:rFonts w:ascii="Arial Narrow" w:eastAsia="Times New Roman" w:hAnsi="Arial Narrow"/>
                <w:sz w:val="18"/>
                <w:szCs w:val="18"/>
                <w:lang w:val="es-419" w:eastAsia="en-US"/>
              </w:rPr>
              <w:t> </w:t>
            </w:r>
            <w:r w:rsidR="008F42EB" w:rsidRPr="00F72633">
              <w:rPr>
                <w:rFonts w:ascii="Arial Narrow" w:eastAsia="Times New Roman" w:hAnsi="Arial Narrow"/>
                <w:sz w:val="18"/>
                <w:szCs w:val="18"/>
                <w:lang w:val="es-419" w:eastAsia="en-US"/>
              </w:rPr>
              <w:t>(</w:t>
            </w:r>
            <w:r w:rsidR="006D525E" w:rsidRPr="00F72633">
              <w:rPr>
                <w:rFonts w:ascii="Arial Narrow" w:eastAsia="Times New Roman" w:hAnsi="Arial Narrow"/>
                <w:sz w:val="18"/>
                <w:szCs w:val="18"/>
                <w:lang w:val="es-419" w:eastAsia="en-US"/>
              </w:rPr>
              <w:t>5</w:t>
            </w:r>
            <w:r w:rsidR="008F42EB"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 xml:space="preserve"> </w:t>
            </w:r>
            <w:r w:rsidR="005F6E36" w:rsidRPr="00F72633">
              <w:rPr>
                <w:rFonts w:ascii="Arial Narrow" w:eastAsia="Times New Roman" w:hAnsi="Arial Narrow"/>
                <w:sz w:val="18"/>
                <w:szCs w:val="18"/>
                <w:lang w:val="es-419" w:eastAsia="en-US"/>
              </w:rPr>
              <w:t xml:space="preserve">China, </w:t>
            </w:r>
            <w:r w:rsidR="008F42EB" w:rsidRPr="00F72633">
              <w:rPr>
                <w:rFonts w:ascii="Arial Narrow" w:hAnsi="Arial Narrow"/>
                <w:sz w:val="18"/>
                <w:lang w:val="es-419"/>
              </w:rPr>
              <w:t>Georgia</w:t>
            </w:r>
            <w:r w:rsidR="005D25D5" w:rsidRPr="00F72633">
              <w:rPr>
                <w:rFonts w:ascii="Arial Narrow" w:hAnsi="Arial Narrow"/>
                <w:sz w:val="18"/>
                <w:lang w:val="es-419"/>
              </w:rPr>
              <w:t>,</w:t>
            </w:r>
            <w:r w:rsidR="005F6E36" w:rsidRPr="00F72633">
              <w:rPr>
                <w:rFonts w:ascii="Arial Narrow" w:hAnsi="Arial Narrow"/>
                <w:sz w:val="18"/>
                <w:lang w:val="es-419"/>
              </w:rPr>
              <w:t xml:space="preserve"> </w:t>
            </w:r>
            <w:r w:rsidR="005D25D5" w:rsidRPr="00F72633">
              <w:rPr>
                <w:rFonts w:ascii="Arial Narrow" w:eastAsia="Times New Roman" w:hAnsi="Arial Narrow"/>
                <w:sz w:val="18"/>
                <w:szCs w:val="18"/>
                <w:lang w:val="es-419" w:eastAsia="en-US"/>
              </w:rPr>
              <w:t>Israel</w:t>
            </w:r>
            <w:r w:rsidR="005D25D5" w:rsidRPr="00F72633">
              <w:rPr>
                <w:rFonts w:ascii="Arial Narrow" w:hAnsi="Arial Narrow"/>
                <w:sz w:val="18"/>
                <w:lang w:val="es-419"/>
              </w:rPr>
              <w:t xml:space="preserve">, </w:t>
            </w:r>
            <w:r w:rsidR="008F42EB" w:rsidRPr="00F72633">
              <w:rPr>
                <w:rFonts w:ascii="Arial Narrow" w:hAnsi="Arial Narrow"/>
                <w:sz w:val="18"/>
                <w:lang w:val="es-419"/>
              </w:rPr>
              <w:t>M</w:t>
            </w:r>
            <w:r w:rsidR="00757C6D" w:rsidRPr="00F72633">
              <w:rPr>
                <w:rFonts w:ascii="Arial Narrow" w:hAnsi="Arial Narrow"/>
                <w:sz w:val="18"/>
                <w:lang w:val="es-419"/>
              </w:rPr>
              <w:t>é</w:t>
            </w:r>
            <w:r w:rsidR="008F42EB" w:rsidRPr="00F72633">
              <w:rPr>
                <w:rFonts w:ascii="Arial Narrow" w:hAnsi="Arial Narrow"/>
                <w:sz w:val="18"/>
                <w:lang w:val="es-419"/>
              </w:rPr>
              <w:t>xico</w:t>
            </w:r>
            <w:r w:rsidR="005D25D5" w:rsidRPr="00F72633">
              <w:rPr>
                <w:rFonts w:ascii="Arial Narrow" w:hAnsi="Arial Narrow"/>
                <w:sz w:val="18"/>
                <w:lang w:val="es-419"/>
              </w:rPr>
              <w:t xml:space="preserve"> </w:t>
            </w:r>
            <w:r w:rsidR="00757C6D" w:rsidRPr="00F72633">
              <w:rPr>
                <w:rFonts w:ascii="Arial Narrow" w:hAnsi="Arial Narrow"/>
                <w:sz w:val="18"/>
                <w:lang w:val="es-419"/>
              </w:rPr>
              <w:t>y Nuev</w:t>
            </w:r>
            <w:r w:rsidR="00063A00">
              <w:rPr>
                <w:rFonts w:ascii="Arial Narrow" w:hAnsi="Arial Narrow"/>
                <w:sz w:val="18"/>
                <w:lang w:val="es-419"/>
              </w:rPr>
              <w:t>a </w:t>
            </w:r>
            <w:r w:rsidR="00757C6D" w:rsidRPr="00F72633">
              <w:rPr>
                <w:rFonts w:ascii="Arial Narrow" w:hAnsi="Arial Narrow"/>
                <w:sz w:val="18"/>
                <w:lang w:val="es-419"/>
              </w:rPr>
              <w:t>Zelandia</w:t>
            </w:r>
          </w:p>
          <w:p w14:paraId="1DCF197C" w14:textId="3FA3B10A" w:rsidR="008F42EB" w:rsidRPr="00F72633" w:rsidRDefault="008A3E99" w:rsidP="008F42EB">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No miembros de </w:t>
            </w:r>
            <w:r w:rsidR="00604574" w:rsidRPr="00F72633">
              <w:rPr>
                <w:rFonts w:ascii="Arial Narrow" w:eastAsia="Times New Roman" w:hAnsi="Arial Narrow"/>
                <w:sz w:val="18"/>
                <w:szCs w:val="18"/>
                <w:lang w:val="es-419" w:eastAsia="en-US"/>
              </w:rPr>
              <w:t>la Unión</w:t>
            </w:r>
            <w:r w:rsidR="00087482" w:rsidRPr="00F72633">
              <w:rPr>
                <w:rFonts w:ascii="Arial Narrow" w:eastAsia="Times New Roman" w:hAnsi="Arial Narrow"/>
                <w:sz w:val="18"/>
                <w:szCs w:val="18"/>
                <w:lang w:val="es-419" w:eastAsia="en-US"/>
              </w:rPr>
              <w:t> </w:t>
            </w:r>
            <w:r w:rsidR="006D525E" w:rsidRPr="00F72633">
              <w:rPr>
                <w:rFonts w:ascii="Arial Narrow" w:eastAsia="Times New Roman" w:hAnsi="Arial Narrow"/>
                <w:sz w:val="18"/>
                <w:szCs w:val="18"/>
                <w:lang w:val="es-419" w:eastAsia="en-US"/>
              </w:rPr>
              <w:t>(14</w:t>
            </w:r>
            <w:r w:rsidR="008F42EB" w:rsidRPr="00F72633">
              <w:rPr>
                <w:rFonts w:ascii="Arial Narrow" w:eastAsia="Times New Roman" w:hAnsi="Arial Narrow"/>
                <w:sz w:val="18"/>
                <w:szCs w:val="18"/>
                <w:lang w:val="es-419" w:eastAsia="en-US"/>
              </w:rPr>
              <w:t>):</w:t>
            </w:r>
            <w:r w:rsidR="00604574" w:rsidRPr="00F72633">
              <w:rPr>
                <w:rFonts w:ascii="Arial Narrow" w:eastAsia="Times New Roman" w:hAnsi="Arial Narrow"/>
                <w:sz w:val="18"/>
                <w:szCs w:val="18"/>
                <w:lang w:val="es-419" w:eastAsia="en-US"/>
              </w:rPr>
              <w:t xml:space="preserve"> </w:t>
            </w:r>
            <w:r w:rsidR="00757C6D" w:rsidRPr="00F72633">
              <w:rPr>
                <w:rFonts w:ascii="Arial Narrow" w:eastAsia="Times New Roman" w:hAnsi="Arial Narrow"/>
                <w:sz w:val="18"/>
                <w:szCs w:val="18"/>
                <w:lang w:val="es-419" w:eastAsia="en-US"/>
              </w:rPr>
              <w:t>Antigua y Barbuda</w:t>
            </w:r>
            <w:r w:rsidR="008F42EB" w:rsidRPr="00F72633">
              <w:rPr>
                <w:rFonts w:ascii="Arial Narrow" w:eastAsia="Times New Roman" w:hAnsi="Arial Narrow"/>
                <w:sz w:val="18"/>
                <w:szCs w:val="18"/>
                <w:lang w:val="es-419" w:eastAsia="en-US"/>
              </w:rPr>
              <w:t xml:space="preserve">, Armenia, Barbados, </w:t>
            </w:r>
            <w:r w:rsidR="005F6E36" w:rsidRPr="00F72633">
              <w:rPr>
                <w:rFonts w:ascii="Arial Narrow" w:eastAsia="Times New Roman" w:hAnsi="Arial Narrow"/>
                <w:sz w:val="18"/>
                <w:szCs w:val="18"/>
                <w:lang w:val="es-419" w:eastAsia="en-US"/>
              </w:rPr>
              <w:t xml:space="preserve">Brunei Darussalam, </w:t>
            </w:r>
            <w:r w:rsidR="00C11CAE" w:rsidRPr="00F72633">
              <w:rPr>
                <w:rFonts w:ascii="Arial Narrow" w:eastAsia="Times New Roman" w:hAnsi="Arial Narrow"/>
                <w:sz w:val="18"/>
                <w:szCs w:val="18"/>
                <w:lang w:val="es-419" w:eastAsia="en-US"/>
              </w:rPr>
              <w:t>Camboya</w:t>
            </w:r>
            <w:r w:rsidR="005D25D5" w:rsidRPr="00F72633">
              <w:rPr>
                <w:rFonts w:ascii="Arial Narrow" w:eastAsia="Times New Roman" w:hAnsi="Arial Narrow"/>
                <w:sz w:val="18"/>
                <w:szCs w:val="18"/>
                <w:lang w:val="es-419" w:eastAsia="en-US"/>
              </w:rPr>
              <w:t xml:space="preserve">, Guatemala, Jamaica, </w:t>
            </w:r>
            <w:r w:rsidR="00C11CAE" w:rsidRPr="00F72633">
              <w:rPr>
                <w:rFonts w:ascii="Arial Narrow" w:eastAsia="Times New Roman" w:hAnsi="Arial Narrow"/>
                <w:sz w:val="18"/>
                <w:szCs w:val="18"/>
                <w:lang w:val="es-419" w:eastAsia="en-US"/>
              </w:rPr>
              <w:t>Kazajstán</w:t>
            </w:r>
            <w:r w:rsidR="008F42EB" w:rsidRPr="00F72633">
              <w:rPr>
                <w:rFonts w:ascii="Arial Narrow" w:eastAsia="Times New Roman" w:hAnsi="Arial Narrow"/>
                <w:sz w:val="18"/>
                <w:szCs w:val="18"/>
                <w:lang w:val="es-419" w:eastAsia="en-US"/>
              </w:rPr>
              <w:t xml:space="preserve">, </w:t>
            </w:r>
            <w:r w:rsidR="00C11CAE" w:rsidRPr="00F72633">
              <w:rPr>
                <w:rFonts w:ascii="Arial Narrow" w:eastAsia="Times New Roman" w:hAnsi="Arial Narrow"/>
                <w:sz w:val="18"/>
                <w:szCs w:val="18"/>
                <w:lang w:val="es-419" w:eastAsia="en-US"/>
              </w:rPr>
              <w:t>Malasia</w:t>
            </w:r>
            <w:r w:rsidR="008F42EB" w:rsidRPr="00F72633">
              <w:rPr>
                <w:rFonts w:ascii="Arial Narrow" w:eastAsia="Times New Roman" w:hAnsi="Arial Narrow"/>
                <w:sz w:val="18"/>
                <w:szCs w:val="18"/>
                <w:lang w:val="es-419" w:eastAsia="en-US"/>
              </w:rPr>
              <w:t>, Nigeri</w:t>
            </w:r>
            <w:r w:rsidR="005D25D5" w:rsidRPr="00F72633">
              <w:rPr>
                <w:rFonts w:ascii="Arial Narrow" w:eastAsia="Times New Roman" w:hAnsi="Arial Narrow"/>
                <w:sz w:val="18"/>
                <w:szCs w:val="18"/>
                <w:lang w:val="es-419" w:eastAsia="en-US"/>
              </w:rPr>
              <w:t>a</w:t>
            </w:r>
            <w:r w:rsidR="008F42EB" w:rsidRPr="00F72633">
              <w:rPr>
                <w:rFonts w:ascii="Arial Narrow" w:eastAsia="Times New Roman" w:hAnsi="Arial Narrow"/>
                <w:sz w:val="18"/>
                <w:szCs w:val="18"/>
                <w:lang w:val="es-419" w:eastAsia="en-US"/>
              </w:rPr>
              <w:t xml:space="preserve">, </w:t>
            </w:r>
            <w:r w:rsidR="00757C6D" w:rsidRPr="00F72633">
              <w:rPr>
                <w:rFonts w:ascii="Arial Narrow" w:eastAsia="Times New Roman" w:hAnsi="Arial Narrow"/>
                <w:sz w:val="18"/>
                <w:szCs w:val="18"/>
                <w:lang w:val="es-419" w:eastAsia="en-US"/>
              </w:rPr>
              <w:t xml:space="preserve">República Democrática Popular Lao, </w:t>
            </w:r>
            <w:r w:rsidR="008F42EB" w:rsidRPr="00F72633">
              <w:rPr>
                <w:rFonts w:ascii="Arial Narrow" w:eastAsia="Times New Roman" w:hAnsi="Arial Narrow"/>
                <w:sz w:val="18"/>
                <w:szCs w:val="18"/>
                <w:lang w:val="es-419" w:eastAsia="en-US"/>
              </w:rPr>
              <w:t>Timor-Leste</w:t>
            </w:r>
            <w:r w:rsidR="005D25D5" w:rsidRPr="00F72633">
              <w:rPr>
                <w:rFonts w:ascii="Arial Narrow" w:eastAsia="Times New Roman" w:hAnsi="Arial Narrow"/>
                <w:sz w:val="18"/>
                <w:szCs w:val="18"/>
                <w:lang w:val="es-419" w:eastAsia="en-US"/>
              </w:rPr>
              <w:t xml:space="preserve">, </w:t>
            </w:r>
            <w:r w:rsidR="008F42EB" w:rsidRPr="00F72633">
              <w:rPr>
                <w:rFonts w:ascii="Arial Narrow" w:eastAsia="Times New Roman" w:hAnsi="Arial Narrow"/>
                <w:sz w:val="18"/>
                <w:szCs w:val="18"/>
                <w:lang w:val="es-419" w:eastAsia="en-US"/>
              </w:rPr>
              <w:t>Zambia</w:t>
            </w:r>
            <w:r w:rsidR="005D25D5" w:rsidRPr="00F72633">
              <w:rPr>
                <w:rFonts w:ascii="Arial Narrow" w:eastAsia="Times New Roman" w:hAnsi="Arial Narrow"/>
                <w:sz w:val="18"/>
                <w:szCs w:val="18"/>
                <w:lang w:val="es-419" w:eastAsia="en-US"/>
              </w:rPr>
              <w:t xml:space="preserve"> </w:t>
            </w:r>
            <w:r w:rsidR="00757C6D" w:rsidRPr="00F72633">
              <w:rPr>
                <w:rFonts w:ascii="Arial Narrow" w:eastAsia="Times New Roman" w:hAnsi="Arial Narrow"/>
                <w:sz w:val="18"/>
                <w:szCs w:val="18"/>
                <w:lang w:val="es-419" w:eastAsia="en-US"/>
              </w:rPr>
              <w:t>y</w:t>
            </w:r>
            <w:r w:rsidR="005D25D5" w:rsidRPr="00F72633">
              <w:rPr>
                <w:rFonts w:ascii="Arial Narrow" w:eastAsia="Times New Roman" w:hAnsi="Arial Narrow"/>
                <w:sz w:val="18"/>
                <w:szCs w:val="18"/>
                <w:lang w:val="es-419" w:eastAsia="en-US"/>
              </w:rPr>
              <w:t xml:space="preserve"> Zimbabwe</w:t>
            </w:r>
          </w:p>
          <w:p w14:paraId="2D116AB6" w14:textId="74C2BDAE" w:rsidR="008F42EB" w:rsidRPr="00F72633" w:rsidRDefault="00C11CAE" w:rsidP="00C11CAE">
            <w:pPr>
              <w:spacing w:before="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 figura</w:t>
            </w:r>
            <w:r w:rsidR="00087482" w:rsidRPr="00F72633">
              <w:rPr>
                <w:rFonts w:ascii="Arial Narrow" w:eastAsia="Times New Roman" w:hAnsi="Arial Narrow"/>
                <w:sz w:val="18"/>
                <w:szCs w:val="18"/>
                <w:lang w:val="es-419" w:eastAsia="en-US"/>
              </w:rPr>
              <w:t> 18 </w:t>
            </w:r>
            <w:r w:rsidRPr="00F72633">
              <w:rPr>
                <w:rFonts w:ascii="Arial Narrow" w:eastAsia="Times New Roman" w:hAnsi="Arial Narrow"/>
                <w:sz w:val="18"/>
                <w:szCs w:val="18"/>
                <w:lang w:val="es-419" w:eastAsia="en-US"/>
              </w:rPr>
              <w:t>y el Anexo</w:t>
            </w:r>
            <w:r w:rsidR="008F42EB" w:rsidRPr="00F72633">
              <w:rPr>
                <w:rFonts w:ascii="Arial Narrow" w:eastAsia="Times New Roman" w:hAnsi="Arial Narrow"/>
                <w:sz w:val="18"/>
                <w:szCs w:val="18"/>
                <w:lang w:val="es-419" w:eastAsia="en-US"/>
              </w:rPr>
              <w:t xml:space="preserve"> V</w:t>
            </w:r>
          </w:p>
        </w:tc>
      </w:tr>
      <w:tr w:rsidR="00275D1C" w:rsidRPr="00F72633" w14:paraId="2BE65B2C" w14:textId="77777777" w:rsidTr="00F72633">
        <w:tc>
          <w:tcPr>
            <w:tcW w:w="1838" w:type="dxa"/>
            <w:vMerge w:val="restart"/>
            <w:tcBorders>
              <w:bottom w:val="single" w:sz="4" w:space="0" w:color="D9D9D9" w:themeColor="background1" w:themeShade="D9"/>
            </w:tcBorders>
          </w:tcPr>
          <w:p w14:paraId="3FE5B5D8" w14:textId="69BF9F72" w:rsidR="00275D1C" w:rsidRPr="00F72633" w:rsidRDefault="00275D1C" w:rsidP="00275D1C">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11. </w:t>
            </w:r>
            <w:r w:rsidR="00AA100A" w:rsidRPr="00F72633">
              <w:rPr>
                <w:rFonts w:ascii="Arial Narrow" w:eastAsia="Times New Roman" w:hAnsi="Arial Narrow"/>
                <w:sz w:val="18"/>
                <w:szCs w:val="18"/>
                <w:lang w:val="es-419" w:eastAsia="en-US"/>
              </w:rPr>
              <w:t>Aplicación de un sistema de protección de las variedades vegetales de conformidad con el Convenio de la UPOV</w:t>
            </w:r>
          </w:p>
        </w:tc>
        <w:tc>
          <w:tcPr>
            <w:tcW w:w="2992" w:type="dxa"/>
            <w:shd w:val="clear" w:color="auto" w:fill="auto"/>
          </w:tcPr>
          <w:p w14:paraId="6A7DE2E7" w14:textId="4C80C4EE" w:rsidR="00275D1C" w:rsidRPr="00F72633" w:rsidRDefault="00275D1C" w:rsidP="00275D1C">
            <w:pPr>
              <w:keepNext/>
              <w:jc w:val="left"/>
              <w:rPr>
                <w:rFonts w:ascii="Arial Narrow" w:hAnsi="Arial Narrow"/>
                <w:sz w:val="18"/>
                <w:lang w:val="es-419"/>
              </w:rPr>
            </w:pPr>
            <w:r w:rsidRPr="00F72633">
              <w:rPr>
                <w:rFonts w:ascii="Arial Narrow" w:hAnsi="Arial Narrow"/>
                <w:sz w:val="18"/>
                <w:lang w:val="es-419"/>
              </w:rPr>
              <w:t xml:space="preserve">a) </w:t>
            </w:r>
            <w:r w:rsidR="00AA100A" w:rsidRPr="00F72633">
              <w:rPr>
                <w:rFonts w:ascii="Arial Narrow" w:hAnsi="Arial Narrow"/>
                <w:sz w:val="18"/>
                <w:lang w:val="es-419"/>
              </w:rPr>
              <w:t>Número de solicitudes</w:t>
            </w:r>
          </w:p>
        </w:tc>
        <w:tc>
          <w:tcPr>
            <w:tcW w:w="4946" w:type="dxa"/>
            <w:shd w:val="clear" w:color="auto" w:fill="auto"/>
          </w:tcPr>
          <w:p w14:paraId="7A76A409" w14:textId="3C58FB2E" w:rsidR="00CC6CD1" w:rsidRPr="00F72633" w:rsidRDefault="00757C6D" w:rsidP="00CC6CD1">
            <w:pPr>
              <w:keepNext/>
              <w:spacing w:after="60"/>
              <w:jc w:val="left"/>
              <w:rPr>
                <w:rFonts w:ascii="Arial Narrow" w:eastAsia="Times New Roman" w:hAnsi="Arial Narrow"/>
                <w:sz w:val="18"/>
                <w:szCs w:val="18"/>
                <w:lang w:val="es-419" w:eastAsia="en-US"/>
              </w:rPr>
            </w:pPr>
            <w:r w:rsidRPr="00F72633">
              <w:rPr>
                <w:rFonts w:ascii="Arial Narrow" w:hAnsi="Arial Narrow"/>
                <w:sz w:val="18"/>
                <w:lang w:val="es-419"/>
              </w:rPr>
              <w:t>Número de solicitudes de derechos de obtentor</w:t>
            </w:r>
            <w:r w:rsidR="00CC6CD1" w:rsidRPr="00F72633">
              <w:rPr>
                <w:rFonts w:ascii="Arial Narrow" w:eastAsia="Times New Roman" w:hAnsi="Arial Narrow"/>
                <w:sz w:val="18"/>
                <w:szCs w:val="18"/>
                <w:lang w:val="es-419" w:eastAsia="en-US"/>
              </w:rPr>
              <w:t>:</w:t>
            </w:r>
          </w:p>
          <w:p w14:paraId="347FF198" w14:textId="5FBE9293" w:rsidR="00CC6CD1" w:rsidRPr="00F72633" w:rsidRDefault="00087482" w:rsidP="00CC6CD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Total: </w:t>
            </w:r>
            <w:r w:rsidR="00CC6CD1" w:rsidRPr="00F72633">
              <w:rPr>
                <w:rFonts w:ascii="Arial Narrow" w:eastAsia="Times New Roman" w:hAnsi="Arial Narrow"/>
                <w:sz w:val="18"/>
                <w:szCs w:val="18"/>
                <w:lang w:val="es-419" w:eastAsia="en-US"/>
              </w:rPr>
              <w:t>25</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135 </w:t>
            </w:r>
            <w:r w:rsidR="00CC6CD1" w:rsidRPr="00F72633">
              <w:rPr>
                <w:rFonts w:ascii="Arial Narrow" w:eastAsia="Times New Roman" w:hAnsi="Arial Narrow"/>
                <w:sz w:val="18"/>
                <w:szCs w:val="18"/>
                <w:lang w:val="es-419" w:eastAsia="en-US"/>
              </w:rPr>
              <w:t>(2021)</w:t>
            </w:r>
          </w:p>
          <w:p w14:paraId="2B6425AB" w14:textId="38B56865" w:rsidR="00CC6CD1" w:rsidRPr="00F72633" w:rsidRDefault="00CC6CD1" w:rsidP="00CC6CD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757C6D" w:rsidRPr="00F72633">
              <w:rPr>
                <w:rFonts w:ascii="Arial Narrow" w:hAnsi="Arial Narrow"/>
                <w:sz w:val="18"/>
                <w:lang w:val="es-419"/>
              </w:rPr>
              <w:t>Presentadas por residentes</w:t>
            </w:r>
            <w:r w:rsidR="00087482"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18</w:t>
            </w:r>
            <w:r w:rsidR="00874D41" w:rsidRPr="00F72633">
              <w:rPr>
                <w:rFonts w:ascii="Arial Narrow" w:eastAsia="Times New Roman" w:hAnsi="Arial Narrow"/>
                <w:sz w:val="18"/>
                <w:szCs w:val="18"/>
                <w:lang w:val="es-419" w:eastAsia="en-US"/>
              </w:rPr>
              <w:t> </w:t>
            </w:r>
            <w:r w:rsidR="00087482" w:rsidRPr="00F72633">
              <w:rPr>
                <w:rFonts w:ascii="Arial Narrow" w:eastAsia="Times New Roman" w:hAnsi="Arial Narrow"/>
                <w:sz w:val="18"/>
                <w:szCs w:val="18"/>
                <w:lang w:val="es-419" w:eastAsia="en-US"/>
              </w:rPr>
              <w:t>910 </w:t>
            </w:r>
            <w:r w:rsidRPr="00F72633">
              <w:rPr>
                <w:rFonts w:ascii="Arial Narrow" w:eastAsia="Times New Roman" w:hAnsi="Arial Narrow"/>
                <w:sz w:val="18"/>
                <w:szCs w:val="18"/>
                <w:lang w:val="es-419" w:eastAsia="en-US"/>
              </w:rPr>
              <w:t>(2021)</w:t>
            </w:r>
          </w:p>
          <w:p w14:paraId="3C05D59B" w14:textId="710F13B6" w:rsidR="00CC6CD1" w:rsidRPr="00F72633" w:rsidRDefault="00CC6CD1" w:rsidP="00CC6CD1">
            <w:pPr>
              <w:keepNext/>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w:t>
            </w:r>
            <w:r w:rsidRPr="00F72633">
              <w:rPr>
                <w:rFonts w:ascii="Arial Narrow" w:eastAsia="Times New Roman" w:hAnsi="Arial Narrow"/>
                <w:sz w:val="18"/>
                <w:szCs w:val="18"/>
                <w:lang w:val="es-419" w:eastAsia="en-US"/>
              </w:rPr>
              <w:tab/>
            </w:r>
            <w:r w:rsidR="00757C6D" w:rsidRPr="00F72633">
              <w:rPr>
                <w:rFonts w:ascii="Arial Narrow" w:hAnsi="Arial Narrow"/>
                <w:sz w:val="18"/>
                <w:lang w:val="es-419"/>
              </w:rPr>
              <w:t>Presentadas por no residentes</w:t>
            </w:r>
            <w:r w:rsidRPr="00F72633">
              <w:rPr>
                <w:rFonts w:ascii="Arial Narrow" w:eastAsia="Times New Roman" w:hAnsi="Arial Narrow"/>
                <w:sz w:val="18"/>
                <w:szCs w:val="18"/>
                <w:lang w:val="es-419" w:eastAsia="en-US"/>
              </w:rPr>
              <w:t>:</w:t>
            </w:r>
            <w:r w:rsidR="00087482"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6</w:t>
            </w:r>
            <w:r w:rsidR="00874D41" w:rsidRPr="00F72633">
              <w:rPr>
                <w:rFonts w:ascii="Arial Narrow" w:eastAsia="Times New Roman" w:hAnsi="Arial Narrow"/>
                <w:sz w:val="18"/>
                <w:szCs w:val="18"/>
                <w:lang w:val="es-419" w:eastAsia="en-US"/>
              </w:rPr>
              <w:t> </w:t>
            </w:r>
            <w:r w:rsidR="00087482" w:rsidRPr="00F72633">
              <w:rPr>
                <w:rFonts w:ascii="Arial Narrow" w:eastAsia="Times New Roman" w:hAnsi="Arial Narrow"/>
                <w:sz w:val="18"/>
                <w:szCs w:val="18"/>
                <w:lang w:val="es-419" w:eastAsia="en-US"/>
              </w:rPr>
              <w:t>225 </w:t>
            </w:r>
            <w:r w:rsidRPr="00F72633">
              <w:rPr>
                <w:rFonts w:ascii="Arial Narrow" w:eastAsia="Times New Roman" w:hAnsi="Arial Narrow"/>
                <w:sz w:val="18"/>
                <w:szCs w:val="18"/>
                <w:lang w:val="es-419" w:eastAsia="en-US"/>
              </w:rPr>
              <w:t>(2021)</w:t>
            </w:r>
          </w:p>
          <w:p w14:paraId="46E075E6" w14:textId="5B67111D"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Asia y el Pacífico</w:t>
            </w:r>
            <w:r w:rsidR="00087482" w:rsidRPr="00F72633">
              <w:rPr>
                <w:rFonts w:ascii="Arial Narrow" w:hAnsi="Arial Narrow"/>
                <w:sz w:val="18"/>
                <w:szCs w:val="18"/>
                <w:lang w:val="es-419"/>
              </w:rPr>
              <w:t>: </w:t>
            </w:r>
            <w:r w:rsidRPr="00F72633">
              <w:rPr>
                <w:rFonts w:ascii="Arial Narrow" w:hAnsi="Arial Narrow"/>
                <w:sz w:val="18"/>
                <w:szCs w:val="18"/>
                <w:lang w:val="es-419"/>
              </w:rPr>
              <w:t>13</w:t>
            </w:r>
            <w:r w:rsidR="00874D41" w:rsidRPr="00F72633">
              <w:rPr>
                <w:rFonts w:ascii="Arial Narrow" w:hAnsi="Arial Narrow"/>
                <w:sz w:val="18"/>
                <w:szCs w:val="18"/>
                <w:lang w:val="es-419"/>
              </w:rPr>
              <w:t> </w:t>
            </w:r>
            <w:r w:rsidR="00087482" w:rsidRPr="00F72633">
              <w:rPr>
                <w:rFonts w:ascii="Arial Narrow" w:hAnsi="Arial Narrow"/>
                <w:sz w:val="18"/>
                <w:szCs w:val="18"/>
                <w:lang w:val="es-419"/>
              </w:rPr>
              <w:t>562 </w:t>
            </w:r>
            <w:r w:rsidRPr="00F72633">
              <w:rPr>
                <w:rFonts w:ascii="Arial Narrow" w:hAnsi="Arial Narrow"/>
                <w:sz w:val="18"/>
                <w:szCs w:val="18"/>
                <w:lang w:val="es-419"/>
              </w:rPr>
              <w:t>(2021)</w:t>
            </w:r>
          </w:p>
          <w:p w14:paraId="2C17C32F" w14:textId="6B378E83"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Unión Europea</w:t>
            </w:r>
            <w:r w:rsidR="00087482" w:rsidRPr="00F72633">
              <w:rPr>
                <w:rFonts w:ascii="Arial Narrow" w:hAnsi="Arial Narrow"/>
                <w:sz w:val="18"/>
                <w:szCs w:val="18"/>
                <w:lang w:val="es-419"/>
              </w:rPr>
              <w:t>: </w:t>
            </w:r>
            <w:r w:rsidRPr="00F72633">
              <w:rPr>
                <w:rFonts w:ascii="Arial Narrow" w:hAnsi="Arial Narrow"/>
                <w:sz w:val="18"/>
                <w:szCs w:val="18"/>
                <w:lang w:val="es-419"/>
              </w:rPr>
              <w:t>4</w:t>
            </w:r>
            <w:r w:rsidR="00874D41" w:rsidRPr="00F72633">
              <w:rPr>
                <w:rFonts w:ascii="Arial Narrow" w:hAnsi="Arial Narrow"/>
                <w:sz w:val="18"/>
                <w:szCs w:val="18"/>
                <w:lang w:val="es-419"/>
              </w:rPr>
              <w:t> </w:t>
            </w:r>
            <w:r w:rsidR="00087482" w:rsidRPr="00F72633">
              <w:rPr>
                <w:rFonts w:ascii="Arial Narrow" w:hAnsi="Arial Narrow"/>
                <w:sz w:val="18"/>
                <w:szCs w:val="18"/>
                <w:lang w:val="es-419"/>
              </w:rPr>
              <w:t>904 </w:t>
            </w:r>
            <w:r w:rsidRPr="00F72633">
              <w:rPr>
                <w:rFonts w:ascii="Arial Narrow" w:hAnsi="Arial Narrow"/>
                <w:sz w:val="18"/>
                <w:szCs w:val="18"/>
                <w:lang w:val="es-419"/>
              </w:rPr>
              <w:t>(2021)</w:t>
            </w:r>
          </w:p>
          <w:p w14:paraId="26A7B89E" w14:textId="7C8730A7"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Europa (excluida la UE)</w:t>
            </w:r>
            <w:r w:rsidRPr="00F72633">
              <w:rPr>
                <w:rFonts w:ascii="Arial Narrow" w:hAnsi="Arial Narrow"/>
                <w:sz w:val="18"/>
                <w:szCs w:val="18"/>
                <w:lang w:val="es-419"/>
              </w:rPr>
              <w:t>:</w:t>
            </w:r>
            <w:r w:rsidR="00087482" w:rsidRPr="00F72633">
              <w:rPr>
                <w:rFonts w:ascii="Arial Narrow" w:hAnsi="Arial Narrow"/>
                <w:sz w:val="18"/>
                <w:szCs w:val="18"/>
                <w:lang w:val="es-419"/>
              </w:rPr>
              <w:t> </w:t>
            </w:r>
            <w:r w:rsidRPr="00F72633">
              <w:rPr>
                <w:rFonts w:ascii="Arial Narrow" w:hAnsi="Arial Narrow"/>
                <w:sz w:val="18"/>
                <w:szCs w:val="18"/>
                <w:lang w:val="es-419"/>
              </w:rPr>
              <w:t>2</w:t>
            </w:r>
            <w:r w:rsidR="00874D41" w:rsidRPr="00F72633">
              <w:rPr>
                <w:rFonts w:ascii="Arial Narrow" w:hAnsi="Arial Narrow"/>
                <w:sz w:val="18"/>
                <w:szCs w:val="18"/>
                <w:lang w:val="es-419"/>
              </w:rPr>
              <w:t> </w:t>
            </w:r>
            <w:r w:rsidR="00087482" w:rsidRPr="00F72633">
              <w:rPr>
                <w:rFonts w:ascii="Arial Narrow" w:hAnsi="Arial Narrow"/>
                <w:sz w:val="18"/>
                <w:szCs w:val="18"/>
                <w:lang w:val="es-419"/>
              </w:rPr>
              <w:t>274</w:t>
            </w:r>
            <w:r w:rsidRPr="00F72633">
              <w:rPr>
                <w:rFonts w:ascii="Arial Narrow" w:hAnsi="Arial Narrow"/>
                <w:sz w:val="18"/>
                <w:szCs w:val="18"/>
                <w:lang w:val="es-419"/>
              </w:rPr>
              <w:t>(2021)</w:t>
            </w:r>
          </w:p>
          <w:p w14:paraId="0B625760" w14:textId="21476ABA"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América del Norte</w:t>
            </w:r>
            <w:r w:rsidR="00087482" w:rsidRPr="00F72633">
              <w:rPr>
                <w:rFonts w:ascii="Arial Narrow" w:hAnsi="Arial Narrow"/>
                <w:sz w:val="18"/>
                <w:szCs w:val="18"/>
                <w:lang w:val="es-419"/>
              </w:rPr>
              <w:t>: </w:t>
            </w:r>
            <w:r w:rsidRPr="00F72633">
              <w:rPr>
                <w:rFonts w:ascii="Arial Narrow" w:hAnsi="Arial Narrow"/>
                <w:sz w:val="18"/>
                <w:szCs w:val="18"/>
                <w:lang w:val="es-419"/>
              </w:rPr>
              <w:t>2</w:t>
            </w:r>
            <w:r w:rsidR="00874D41" w:rsidRPr="00F72633">
              <w:rPr>
                <w:rFonts w:ascii="Arial Narrow" w:hAnsi="Arial Narrow"/>
                <w:sz w:val="18"/>
                <w:szCs w:val="18"/>
                <w:lang w:val="es-419"/>
              </w:rPr>
              <w:t> </w:t>
            </w:r>
            <w:r w:rsidR="00087482" w:rsidRPr="00F72633">
              <w:rPr>
                <w:rFonts w:ascii="Arial Narrow" w:hAnsi="Arial Narrow"/>
                <w:sz w:val="18"/>
                <w:szCs w:val="18"/>
                <w:lang w:val="es-419"/>
              </w:rPr>
              <w:t>268 </w:t>
            </w:r>
            <w:r w:rsidRPr="00F72633">
              <w:rPr>
                <w:rFonts w:ascii="Arial Narrow" w:hAnsi="Arial Narrow"/>
                <w:sz w:val="18"/>
                <w:szCs w:val="18"/>
                <w:lang w:val="es-419"/>
              </w:rPr>
              <w:t>(2021)</w:t>
            </w:r>
          </w:p>
          <w:p w14:paraId="56BEA669" w14:textId="5E6654F4"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América Latina</w:t>
            </w:r>
            <w:r w:rsidR="00087482" w:rsidRPr="00F72633">
              <w:rPr>
                <w:rFonts w:ascii="Arial Narrow" w:hAnsi="Arial Narrow"/>
                <w:sz w:val="18"/>
                <w:szCs w:val="18"/>
                <w:lang w:val="es-419"/>
              </w:rPr>
              <w:t>: </w:t>
            </w:r>
            <w:r w:rsidRPr="00F72633">
              <w:rPr>
                <w:rFonts w:ascii="Arial Narrow" w:hAnsi="Arial Narrow"/>
                <w:sz w:val="18"/>
                <w:szCs w:val="18"/>
                <w:lang w:val="es-419"/>
              </w:rPr>
              <w:t>1</w:t>
            </w:r>
            <w:r w:rsidR="00874D41" w:rsidRPr="00F72633">
              <w:rPr>
                <w:rFonts w:ascii="Arial Narrow" w:hAnsi="Arial Narrow"/>
                <w:sz w:val="18"/>
                <w:szCs w:val="18"/>
                <w:lang w:val="es-419"/>
              </w:rPr>
              <w:t> </w:t>
            </w:r>
            <w:r w:rsidR="00087482" w:rsidRPr="00F72633">
              <w:rPr>
                <w:rFonts w:ascii="Arial Narrow" w:hAnsi="Arial Narrow"/>
                <w:sz w:val="18"/>
                <w:szCs w:val="18"/>
                <w:lang w:val="es-419"/>
              </w:rPr>
              <w:t>509 </w:t>
            </w:r>
            <w:r w:rsidRPr="00F72633">
              <w:rPr>
                <w:rFonts w:ascii="Arial Narrow" w:hAnsi="Arial Narrow"/>
                <w:sz w:val="18"/>
                <w:szCs w:val="18"/>
                <w:lang w:val="es-419"/>
              </w:rPr>
              <w:t>(2021)</w:t>
            </w:r>
          </w:p>
          <w:p w14:paraId="6B02EE3F" w14:textId="7A5E5A2B" w:rsidR="00CC6CD1" w:rsidRPr="00F72633" w:rsidRDefault="00757C6D"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t>Á</w:t>
            </w:r>
            <w:r w:rsidR="00087482" w:rsidRPr="00F72633">
              <w:rPr>
                <w:rFonts w:ascii="Arial Narrow" w:hAnsi="Arial Narrow"/>
                <w:sz w:val="18"/>
                <w:szCs w:val="18"/>
                <w:lang w:val="es-419"/>
              </w:rPr>
              <w:t>frica: </w:t>
            </w:r>
            <w:r w:rsidR="00CC6CD1" w:rsidRPr="00F72633">
              <w:rPr>
                <w:rFonts w:ascii="Arial Narrow" w:hAnsi="Arial Narrow"/>
                <w:sz w:val="18"/>
                <w:szCs w:val="18"/>
                <w:lang w:val="es-419"/>
              </w:rPr>
              <w:t>538</w:t>
            </w:r>
            <w:r w:rsidR="00087482" w:rsidRPr="00F72633">
              <w:rPr>
                <w:rFonts w:ascii="Arial Narrow" w:hAnsi="Arial Narrow"/>
                <w:sz w:val="18"/>
                <w:szCs w:val="18"/>
                <w:lang w:val="es-419"/>
              </w:rPr>
              <w:t> </w:t>
            </w:r>
            <w:r w:rsidR="00CC6CD1" w:rsidRPr="00F72633">
              <w:rPr>
                <w:rFonts w:ascii="Arial Narrow" w:hAnsi="Arial Narrow"/>
                <w:sz w:val="18"/>
                <w:szCs w:val="18"/>
                <w:lang w:val="es-419"/>
              </w:rPr>
              <w:t>(2021)</w:t>
            </w:r>
          </w:p>
          <w:p w14:paraId="6A7ADA80" w14:textId="482B0E7D" w:rsidR="00CC6CD1" w:rsidRPr="00F72633" w:rsidRDefault="00CC6CD1" w:rsidP="00C91169">
            <w:pPr>
              <w:ind w:left="360"/>
              <w:jc w:val="left"/>
              <w:rPr>
                <w:rFonts w:ascii="Arial Narrow" w:hAnsi="Arial Narrow"/>
                <w:sz w:val="18"/>
                <w:szCs w:val="18"/>
                <w:lang w:val="es-419"/>
              </w:rPr>
            </w:pPr>
            <w:r w:rsidRPr="00F72633">
              <w:rPr>
                <w:rFonts w:ascii="Arial Narrow" w:hAnsi="Arial Narrow"/>
                <w:sz w:val="18"/>
                <w:szCs w:val="18"/>
                <w:lang w:val="es-419"/>
              </w:rPr>
              <w:t>-</w:t>
            </w:r>
            <w:r w:rsidRPr="00F72633">
              <w:rPr>
                <w:rFonts w:ascii="Arial Narrow" w:hAnsi="Arial Narrow"/>
                <w:sz w:val="18"/>
                <w:szCs w:val="18"/>
                <w:lang w:val="es-419"/>
              </w:rPr>
              <w:tab/>
            </w:r>
            <w:r w:rsidR="00757C6D" w:rsidRPr="00F72633">
              <w:rPr>
                <w:rFonts w:ascii="Arial Narrow" w:hAnsi="Arial Narrow"/>
                <w:sz w:val="18"/>
                <w:lang w:val="es-419"/>
              </w:rPr>
              <w:t>Cercano Oriente/Oriente Medio</w:t>
            </w:r>
            <w:r w:rsidR="00087482" w:rsidRPr="00F72633">
              <w:rPr>
                <w:rFonts w:ascii="Arial Narrow" w:hAnsi="Arial Narrow"/>
                <w:sz w:val="18"/>
                <w:szCs w:val="18"/>
                <w:lang w:val="es-419"/>
              </w:rPr>
              <w:t>: 80 </w:t>
            </w:r>
            <w:r w:rsidRPr="00F72633">
              <w:rPr>
                <w:rFonts w:ascii="Arial Narrow" w:hAnsi="Arial Narrow"/>
                <w:sz w:val="18"/>
                <w:szCs w:val="18"/>
                <w:lang w:val="es-419"/>
              </w:rPr>
              <w:t>(2021)</w:t>
            </w:r>
          </w:p>
          <w:p w14:paraId="061D44D5" w14:textId="5C05CED8" w:rsidR="00275D1C" w:rsidRPr="00F72633" w:rsidRDefault="00757C6D" w:rsidP="00C91169">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3.</w:t>
            </w:r>
            <w:r w:rsidR="00DA3D95" w:rsidRPr="00F72633">
              <w:rPr>
                <w:rFonts w:ascii="Arial Narrow" w:eastAsia="Times New Roman" w:hAnsi="Arial Narrow"/>
                <w:sz w:val="18"/>
                <w:szCs w:val="18"/>
                <w:lang w:val="es-419" w:eastAsia="en-US"/>
              </w:rPr>
              <w:t>a)</w:t>
            </w:r>
          </w:p>
        </w:tc>
      </w:tr>
      <w:tr w:rsidR="00275D1C" w:rsidRPr="00F72633" w14:paraId="76A0805D" w14:textId="77777777" w:rsidTr="00F72633">
        <w:tc>
          <w:tcPr>
            <w:tcW w:w="1838" w:type="dxa"/>
            <w:vMerge/>
            <w:tcBorders>
              <w:bottom w:val="single" w:sz="4" w:space="0" w:color="D9D9D9" w:themeColor="background1" w:themeShade="D9"/>
            </w:tcBorders>
          </w:tcPr>
          <w:p w14:paraId="3F447EE0" w14:textId="77777777" w:rsidR="00275D1C" w:rsidRPr="00F72633" w:rsidRDefault="00275D1C" w:rsidP="00275D1C">
            <w:pPr>
              <w:keepNext/>
              <w:jc w:val="left"/>
              <w:rPr>
                <w:rFonts w:ascii="Arial Narrow" w:eastAsia="Times New Roman" w:hAnsi="Arial Narrow"/>
                <w:sz w:val="18"/>
                <w:szCs w:val="18"/>
                <w:lang w:val="es-419" w:eastAsia="en-US"/>
              </w:rPr>
            </w:pPr>
          </w:p>
        </w:tc>
        <w:tc>
          <w:tcPr>
            <w:tcW w:w="2992" w:type="dxa"/>
            <w:shd w:val="clear" w:color="auto" w:fill="auto"/>
          </w:tcPr>
          <w:p w14:paraId="41C433B0" w14:textId="60784CBC" w:rsidR="00275D1C" w:rsidRPr="00F72633" w:rsidRDefault="00275D1C" w:rsidP="00275D1C">
            <w:pPr>
              <w:keepNext/>
              <w:jc w:val="left"/>
              <w:rPr>
                <w:rFonts w:ascii="Arial Narrow" w:hAnsi="Arial Narrow"/>
                <w:sz w:val="18"/>
                <w:lang w:val="es-419"/>
              </w:rPr>
            </w:pPr>
            <w:r w:rsidRPr="00F72633">
              <w:rPr>
                <w:rFonts w:ascii="Arial Narrow" w:hAnsi="Arial Narrow"/>
                <w:sz w:val="18"/>
                <w:lang w:val="es-419"/>
              </w:rPr>
              <w:t xml:space="preserve">b) </w:t>
            </w:r>
            <w:r w:rsidR="00AA100A" w:rsidRPr="00F72633">
              <w:rPr>
                <w:rFonts w:ascii="Arial Narrow" w:hAnsi="Arial Narrow"/>
                <w:sz w:val="18"/>
                <w:lang w:val="es-419"/>
              </w:rPr>
              <w:t>Número de títulos concedidos</w:t>
            </w:r>
          </w:p>
        </w:tc>
        <w:tc>
          <w:tcPr>
            <w:tcW w:w="4946" w:type="dxa"/>
            <w:shd w:val="clear" w:color="auto" w:fill="auto"/>
          </w:tcPr>
          <w:p w14:paraId="1EFFB863" w14:textId="26E54463" w:rsidR="00CC6CD1" w:rsidRPr="00F72633" w:rsidRDefault="00CC6CD1" w:rsidP="00CC6CD1">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15</w:t>
            </w:r>
            <w:r w:rsidR="00874D41" w:rsidRPr="00F72633">
              <w:rPr>
                <w:rFonts w:ascii="Arial Narrow" w:eastAsia="Times New Roman" w:hAnsi="Arial Narrow"/>
                <w:sz w:val="18"/>
                <w:szCs w:val="18"/>
                <w:lang w:val="es-419" w:eastAsia="en-US"/>
              </w:rPr>
              <w:t> </w:t>
            </w:r>
            <w:r w:rsidR="00E5328F" w:rsidRPr="00F72633">
              <w:rPr>
                <w:rFonts w:ascii="Arial Narrow" w:eastAsia="Times New Roman" w:hAnsi="Arial Narrow"/>
                <w:sz w:val="18"/>
                <w:szCs w:val="18"/>
                <w:lang w:val="es-419" w:eastAsia="en-US"/>
              </w:rPr>
              <w:t>081 </w:t>
            </w:r>
            <w:r w:rsidRPr="00F72633">
              <w:rPr>
                <w:rFonts w:ascii="Arial Narrow" w:eastAsia="Times New Roman" w:hAnsi="Arial Narrow"/>
                <w:sz w:val="18"/>
                <w:szCs w:val="18"/>
                <w:lang w:val="es-419" w:eastAsia="en-US"/>
              </w:rPr>
              <w:t>(2021)</w:t>
            </w:r>
          </w:p>
          <w:p w14:paraId="53517273" w14:textId="2B6DB7C4" w:rsidR="00CC6CD1" w:rsidRPr="00F72633" w:rsidRDefault="00E5328F" w:rsidP="00C91169">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w:t>
            </w:r>
            <w:r w:rsidR="00757C6D" w:rsidRPr="00F72633">
              <w:rPr>
                <w:rFonts w:ascii="Arial Narrow" w:eastAsia="Times New Roman" w:hAnsi="Arial Narrow"/>
                <w:sz w:val="18"/>
                <w:szCs w:val="18"/>
                <w:lang w:val="es-419" w:eastAsia="en-US"/>
              </w:rPr>
              <w:t>3.</w:t>
            </w:r>
            <w:r w:rsidR="00CC6CD1" w:rsidRPr="00F72633">
              <w:rPr>
                <w:rFonts w:ascii="Arial Narrow" w:eastAsia="Times New Roman" w:hAnsi="Arial Narrow"/>
                <w:sz w:val="18"/>
                <w:szCs w:val="18"/>
                <w:lang w:val="es-419" w:eastAsia="en-US"/>
              </w:rPr>
              <w:t>b)</w:t>
            </w:r>
          </w:p>
        </w:tc>
      </w:tr>
      <w:tr w:rsidR="00275D1C" w:rsidRPr="00F72633" w14:paraId="3D0CBF58" w14:textId="77777777" w:rsidTr="00F72633">
        <w:tc>
          <w:tcPr>
            <w:tcW w:w="1838" w:type="dxa"/>
            <w:vMerge/>
            <w:tcBorders>
              <w:bottom w:val="single" w:sz="4" w:space="0" w:color="D9D9D9" w:themeColor="background1" w:themeShade="D9"/>
            </w:tcBorders>
          </w:tcPr>
          <w:p w14:paraId="066960C8" w14:textId="77777777" w:rsidR="00275D1C" w:rsidRPr="00F72633" w:rsidRDefault="00275D1C" w:rsidP="00275D1C">
            <w:pPr>
              <w:keepNext/>
              <w:jc w:val="left"/>
              <w:rPr>
                <w:rFonts w:ascii="Arial Narrow" w:eastAsia="Times New Roman" w:hAnsi="Arial Narrow"/>
                <w:sz w:val="18"/>
                <w:szCs w:val="18"/>
                <w:lang w:val="es-419" w:eastAsia="en-US"/>
              </w:rPr>
            </w:pPr>
          </w:p>
        </w:tc>
        <w:tc>
          <w:tcPr>
            <w:tcW w:w="2992" w:type="dxa"/>
            <w:shd w:val="clear" w:color="auto" w:fill="auto"/>
          </w:tcPr>
          <w:p w14:paraId="13B288D7" w14:textId="6F608F55" w:rsidR="00275D1C" w:rsidRPr="00F72633" w:rsidRDefault="00275D1C" w:rsidP="00275D1C">
            <w:pPr>
              <w:keepNext/>
              <w:jc w:val="left"/>
              <w:rPr>
                <w:rFonts w:ascii="Arial Narrow" w:hAnsi="Arial Narrow"/>
                <w:sz w:val="18"/>
                <w:lang w:val="es-419"/>
              </w:rPr>
            </w:pPr>
            <w:r w:rsidRPr="00F72633">
              <w:rPr>
                <w:rFonts w:ascii="Arial Narrow" w:hAnsi="Arial Narrow"/>
                <w:sz w:val="18"/>
                <w:lang w:val="es-419"/>
              </w:rPr>
              <w:t xml:space="preserve">c) </w:t>
            </w:r>
            <w:r w:rsidR="00AA100A" w:rsidRPr="00F72633">
              <w:rPr>
                <w:rFonts w:ascii="Arial Narrow" w:hAnsi="Arial Narrow"/>
                <w:sz w:val="18"/>
                <w:lang w:val="es-419"/>
              </w:rPr>
              <w:t>Número de títulos en vigor</w:t>
            </w:r>
          </w:p>
        </w:tc>
        <w:tc>
          <w:tcPr>
            <w:tcW w:w="4946" w:type="dxa"/>
            <w:shd w:val="clear" w:color="auto" w:fill="auto"/>
          </w:tcPr>
          <w:p w14:paraId="43384BB7" w14:textId="579E351B" w:rsidR="00CC6CD1" w:rsidRPr="00F72633" w:rsidRDefault="00CC6CD1" w:rsidP="00CC6CD1">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141</w:t>
            </w:r>
            <w:r w:rsidR="00874D41" w:rsidRPr="00F72633">
              <w:rPr>
                <w:rFonts w:ascii="Arial Narrow" w:eastAsia="Times New Roman" w:hAnsi="Arial Narrow"/>
                <w:sz w:val="18"/>
                <w:szCs w:val="18"/>
                <w:lang w:val="es-419" w:eastAsia="en-US"/>
              </w:rPr>
              <w:t> </w:t>
            </w:r>
            <w:r w:rsidR="00E5328F" w:rsidRPr="00F72633">
              <w:rPr>
                <w:rFonts w:ascii="Arial Narrow" w:eastAsia="Times New Roman" w:hAnsi="Arial Narrow"/>
                <w:sz w:val="18"/>
                <w:szCs w:val="18"/>
                <w:lang w:val="es-419" w:eastAsia="en-US"/>
              </w:rPr>
              <w:t>888 </w:t>
            </w:r>
            <w:r w:rsidRPr="00F72633">
              <w:rPr>
                <w:rFonts w:ascii="Arial Narrow" w:eastAsia="Times New Roman" w:hAnsi="Arial Narrow"/>
                <w:sz w:val="18"/>
                <w:szCs w:val="18"/>
                <w:lang w:val="es-419" w:eastAsia="en-US"/>
              </w:rPr>
              <w:t>(2021)</w:t>
            </w:r>
          </w:p>
          <w:p w14:paraId="61BD7A61" w14:textId="489B0710" w:rsidR="00CC6CD1" w:rsidRPr="00F72633" w:rsidRDefault="00E5328F" w:rsidP="00C91169">
            <w:pPr>
              <w:spacing w:before="60"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w:t>
            </w:r>
            <w:r w:rsidR="00757C6D" w:rsidRPr="00F72633">
              <w:rPr>
                <w:rFonts w:ascii="Arial Narrow" w:eastAsia="Times New Roman" w:hAnsi="Arial Narrow"/>
                <w:sz w:val="18"/>
                <w:szCs w:val="18"/>
                <w:lang w:val="es-419" w:eastAsia="en-US"/>
              </w:rPr>
              <w:t>3.</w:t>
            </w:r>
            <w:r w:rsidR="00CC6CD1" w:rsidRPr="00F72633">
              <w:rPr>
                <w:rFonts w:ascii="Arial Narrow" w:eastAsia="Times New Roman" w:hAnsi="Arial Narrow"/>
                <w:sz w:val="18"/>
                <w:szCs w:val="18"/>
                <w:lang w:val="es-419" w:eastAsia="en-US"/>
              </w:rPr>
              <w:t>c)</w:t>
            </w:r>
          </w:p>
        </w:tc>
      </w:tr>
      <w:tr w:rsidR="00275D1C" w:rsidRPr="00F72633" w14:paraId="2D227194" w14:textId="77777777" w:rsidTr="00F72633">
        <w:tc>
          <w:tcPr>
            <w:tcW w:w="1838" w:type="dxa"/>
            <w:vMerge/>
            <w:tcBorders>
              <w:bottom w:val="single" w:sz="4" w:space="0" w:color="D9D9D9" w:themeColor="background1" w:themeShade="D9"/>
            </w:tcBorders>
          </w:tcPr>
          <w:p w14:paraId="2D156039" w14:textId="77777777" w:rsidR="00275D1C" w:rsidRPr="00F72633" w:rsidRDefault="00275D1C" w:rsidP="00275D1C">
            <w:pPr>
              <w:keepNext/>
              <w:jc w:val="left"/>
              <w:rPr>
                <w:rFonts w:ascii="Arial Narrow" w:eastAsia="Times New Roman" w:hAnsi="Arial Narrow"/>
                <w:sz w:val="18"/>
                <w:szCs w:val="18"/>
                <w:lang w:val="es-419" w:eastAsia="en-US"/>
              </w:rPr>
            </w:pPr>
          </w:p>
        </w:tc>
        <w:tc>
          <w:tcPr>
            <w:tcW w:w="2992" w:type="dxa"/>
            <w:shd w:val="clear" w:color="auto" w:fill="auto"/>
          </w:tcPr>
          <w:p w14:paraId="28192899" w14:textId="1126A63B" w:rsidR="00275D1C" w:rsidRPr="00F72633" w:rsidRDefault="00275D1C" w:rsidP="00275D1C">
            <w:pPr>
              <w:keepNext/>
              <w:jc w:val="left"/>
              <w:rPr>
                <w:rFonts w:ascii="Arial Narrow" w:hAnsi="Arial Narrow"/>
                <w:sz w:val="18"/>
                <w:lang w:val="es-419"/>
              </w:rPr>
            </w:pPr>
            <w:r w:rsidRPr="00F72633">
              <w:rPr>
                <w:rFonts w:ascii="Arial Narrow" w:hAnsi="Arial Narrow"/>
                <w:sz w:val="18"/>
                <w:lang w:val="es-419"/>
              </w:rPr>
              <w:t xml:space="preserve">d) </w:t>
            </w:r>
            <w:r w:rsidR="00AA100A" w:rsidRPr="00F72633">
              <w:rPr>
                <w:rFonts w:ascii="Arial Narrow" w:hAnsi="Arial Narrow"/>
                <w:sz w:val="18"/>
                <w:lang w:val="es-419"/>
              </w:rPr>
              <w:t>Número de géneros/especies protegidos por los miembros de la Unión</w:t>
            </w:r>
          </w:p>
        </w:tc>
        <w:tc>
          <w:tcPr>
            <w:tcW w:w="4946" w:type="dxa"/>
            <w:shd w:val="clear" w:color="auto" w:fill="auto"/>
          </w:tcPr>
          <w:p w14:paraId="683750C5" w14:textId="2CA98B1F" w:rsidR="00CC6CD1" w:rsidRPr="00F72633" w:rsidRDefault="00757C6D" w:rsidP="00CC6CD1">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w:t>
            </w:r>
            <w:r w:rsidR="00E5328F"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3.</w:t>
            </w:r>
            <w:r w:rsidR="00CC6CD1" w:rsidRPr="00F72633">
              <w:rPr>
                <w:rFonts w:ascii="Arial Narrow" w:eastAsia="Times New Roman" w:hAnsi="Arial Narrow"/>
                <w:sz w:val="18"/>
                <w:szCs w:val="18"/>
                <w:lang w:val="es-419" w:eastAsia="en-US"/>
              </w:rPr>
              <w:t>d)</w:t>
            </w:r>
          </w:p>
        </w:tc>
      </w:tr>
      <w:tr w:rsidR="00275D1C" w:rsidRPr="00F72633" w14:paraId="44530C93" w14:textId="77777777" w:rsidTr="00F72633">
        <w:tc>
          <w:tcPr>
            <w:tcW w:w="1838" w:type="dxa"/>
            <w:vMerge/>
            <w:tcBorders>
              <w:bottom w:val="single" w:sz="4" w:space="0" w:color="D9D9D9" w:themeColor="background1" w:themeShade="D9"/>
            </w:tcBorders>
          </w:tcPr>
          <w:p w14:paraId="1D6C16B4" w14:textId="77777777" w:rsidR="00275D1C" w:rsidRPr="00F72633" w:rsidRDefault="00275D1C" w:rsidP="00275D1C">
            <w:pPr>
              <w:keepNext/>
              <w:jc w:val="left"/>
              <w:rPr>
                <w:rFonts w:ascii="Arial Narrow" w:eastAsia="Times New Roman" w:hAnsi="Arial Narrow"/>
                <w:sz w:val="18"/>
                <w:szCs w:val="18"/>
                <w:lang w:val="es-419" w:eastAsia="en-US"/>
              </w:rPr>
            </w:pPr>
          </w:p>
        </w:tc>
        <w:tc>
          <w:tcPr>
            <w:tcW w:w="2992" w:type="dxa"/>
            <w:tcBorders>
              <w:bottom w:val="single" w:sz="8" w:space="0" w:color="D9D9D9" w:themeColor="background1" w:themeShade="D9"/>
            </w:tcBorders>
            <w:shd w:val="clear" w:color="auto" w:fill="auto"/>
          </w:tcPr>
          <w:p w14:paraId="56AFCC5C" w14:textId="378F25FC" w:rsidR="00275D1C" w:rsidRPr="00F72633" w:rsidRDefault="00275D1C" w:rsidP="00275D1C">
            <w:pPr>
              <w:keepNext/>
              <w:jc w:val="left"/>
              <w:rPr>
                <w:rFonts w:ascii="Arial Narrow" w:hAnsi="Arial Narrow"/>
                <w:sz w:val="18"/>
                <w:lang w:val="es-419"/>
              </w:rPr>
            </w:pPr>
            <w:r w:rsidRPr="00F72633">
              <w:rPr>
                <w:rFonts w:ascii="Arial Narrow" w:hAnsi="Arial Narrow"/>
                <w:sz w:val="18"/>
                <w:lang w:val="es-419"/>
              </w:rPr>
              <w:t xml:space="preserve">e) </w:t>
            </w:r>
            <w:r w:rsidR="00AA100A" w:rsidRPr="00F72633">
              <w:rPr>
                <w:rFonts w:ascii="Arial Narrow" w:hAnsi="Arial Narrow"/>
                <w:sz w:val="18"/>
                <w:lang w:val="es-419"/>
              </w:rPr>
              <w:t>Número de géneros/especies cuyas variedades se han protegido</w:t>
            </w:r>
          </w:p>
        </w:tc>
        <w:tc>
          <w:tcPr>
            <w:tcW w:w="4946" w:type="dxa"/>
            <w:tcBorders>
              <w:bottom w:val="single" w:sz="8" w:space="0" w:color="D9D9D9" w:themeColor="background1" w:themeShade="D9"/>
            </w:tcBorders>
            <w:shd w:val="clear" w:color="auto" w:fill="auto"/>
          </w:tcPr>
          <w:p w14:paraId="313FBE83" w14:textId="2002B9B9" w:rsidR="00CC6CD1" w:rsidRPr="00F72633" w:rsidRDefault="00CC6CD1" w:rsidP="00CC6CD1">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4</w:t>
            </w:r>
            <w:r w:rsidR="00874D41" w:rsidRPr="00F72633">
              <w:rPr>
                <w:rFonts w:ascii="Arial Narrow" w:eastAsia="Times New Roman" w:hAnsi="Arial Narrow"/>
                <w:sz w:val="18"/>
                <w:szCs w:val="18"/>
                <w:lang w:val="es-419" w:eastAsia="en-US"/>
              </w:rPr>
              <w:t> </w:t>
            </w:r>
            <w:r w:rsidR="00E5328F" w:rsidRPr="00F72633">
              <w:rPr>
                <w:rFonts w:ascii="Arial Narrow" w:eastAsia="Times New Roman" w:hAnsi="Arial Narrow"/>
                <w:sz w:val="18"/>
                <w:szCs w:val="18"/>
                <w:lang w:val="es-419" w:eastAsia="en-US"/>
              </w:rPr>
              <w:t>214 </w:t>
            </w:r>
            <w:r w:rsidRPr="00F72633">
              <w:rPr>
                <w:rFonts w:ascii="Arial Narrow" w:eastAsia="Times New Roman" w:hAnsi="Arial Narrow"/>
                <w:sz w:val="18"/>
                <w:szCs w:val="18"/>
                <w:lang w:val="es-419" w:eastAsia="en-US"/>
              </w:rPr>
              <w:t>(2021)</w:t>
            </w:r>
          </w:p>
          <w:p w14:paraId="757C804D" w14:textId="2AF694CC" w:rsidR="00CC6CD1" w:rsidRPr="00F72633" w:rsidRDefault="00757C6D" w:rsidP="00E5328F">
            <w:pPr>
              <w:spacing w:before="60" w:after="60"/>
              <w:jc w:val="left"/>
              <w:rPr>
                <w:rFonts w:ascii="Arial Narrow" w:eastAsia="Times New Roman" w:hAnsi="Arial Narrow"/>
                <w:sz w:val="18"/>
                <w:szCs w:val="18"/>
                <w:highlight w:val="yellow"/>
                <w:lang w:val="es-419" w:eastAsia="en-US"/>
              </w:rPr>
            </w:pPr>
            <w:r w:rsidRPr="00F72633">
              <w:rPr>
                <w:rFonts w:ascii="Arial Narrow" w:eastAsia="Times New Roman" w:hAnsi="Arial Narrow"/>
                <w:sz w:val="18"/>
                <w:szCs w:val="18"/>
                <w:lang w:val="es-419" w:eastAsia="en-US"/>
              </w:rPr>
              <w:t>Véase</w:t>
            </w:r>
            <w:r w:rsidR="00E5328F"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3.</w:t>
            </w:r>
            <w:r w:rsidR="00CC6CD1" w:rsidRPr="00F72633">
              <w:rPr>
                <w:rFonts w:ascii="Arial Narrow" w:eastAsia="Times New Roman" w:hAnsi="Arial Narrow"/>
                <w:sz w:val="18"/>
                <w:szCs w:val="18"/>
                <w:lang w:val="es-419" w:eastAsia="en-US"/>
              </w:rPr>
              <w:t>e)</w:t>
            </w:r>
          </w:p>
        </w:tc>
      </w:tr>
      <w:tr w:rsidR="00275D1C" w:rsidRPr="00F72633" w14:paraId="3CBEF472" w14:textId="77777777" w:rsidTr="00F72633">
        <w:tc>
          <w:tcPr>
            <w:tcW w:w="1838" w:type="dxa"/>
            <w:vMerge/>
            <w:tcBorders>
              <w:bottom w:val="single" w:sz="4" w:space="0" w:color="D9D9D9" w:themeColor="background1" w:themeShade="D9"/>
            </w:tcBorders>
          </w:tcPr>
          <w:p w14:paraId="41162DF5" w14:textId="77777777" w:rsidR="00275D1C" w:rsidRPr="00F72633" w:rsidRDefault="00275D1C" w:rsidP="00B904E7">
            <w:pPr>
              <w:jc w:val="left"/>
              <w:rPr>
                <w:rFonts w:ascii="Arial Narrow" w:eastAsia="Times New Roman" w:hAnsi="Arial Narrow"/>
                <w:sz w:val="18"/>
                <w:szCs w:val="18"/>
                <w:lang w:val="es-419" w:eastAsia="en-US"/>
              </w:rPr>
            </w:pPr>
          </w:p>
        </w:tc>
        <w:tc>
          <w:tcPr>
            <w:tcW w:w="2992" w:type="dxa"/>
            <w:tcBorders>
              <w:bottom w:val="single" w:sz="4" w:space="0" w:color="D9D9D9" w:themeColor="background1" w:themeShade="D9"/>
            </w:tcBorders>
            <w:shd w:val="clear" w:color="auto" w:fill="auto"/>
          </w:tcPr>
          <w:p w14:paraId="0AEDDF95" w14:textId="25A3C8AE" w:rsidR="00275D1C" w:rsidRPr="00F72633" w:rsidRDefault="00275D1C" w:rsidP="00275D1C">
            <w:pPr>
              <w:jc w:val="left"/>
              <w:rPr>
                <w:rFonts w:ascii="Arial Narrow" w:hAnsi="Arial Narrow"/>
                <w:sz w:val="18"/>
                <w:lang w:val="es-419"/>
              </w:rPr>
            </w:pPr>
            <w:r w:rsidRPr="00F72633">
              <w:rPr>
                <w:rFonts w:ascii="Arial Narrow" w:hAnsi="Arial Narrow"/>
                <w:sz w:val="18"/>
                <w:lang w:val="es-419"/>
              </w:rPr>
              <w:t xml:space="preserve">f) </w:t>
            </w:r>
            <w:r w:rsidR="00B96F94" w:rsidRPr="00F72633">
              <w:rPr>
                <w:rFonts w:ascii="Arial Narrow" w:hAnsi="Arial Narrow"/>
                <w:sz w:val="18"/>
                <w:lang w:val="es-419"/>
              </w:rPr>
              <w:t>Elaboración de un plan de estudios internacional que permita obtener una titulación reconocida por la UPOV</w:t>
            </w:r>
          </w:p>
        </w:tc>
        <w:tc>
          <w:tcPr>
            <w:tcW w:w="4946" w:type="dxa"/>
            <w:tcBorders>
              <w:bottom w:val="single" w:sz="4" w:space="0" w:color="D9D9D9" w:themeColor="background1" w:themeShade="D9"/>
            </w:tcBorders>
            <w:shd w:val="clear" w:color="auto" w:fill="auto"/>
          </w:tcPr>
          <w:p w14:paraId="62A706DB" w14:textId="349C16D6" w:rsidR="00275D1C" w:rsidRPr="00F72633" w:rsidRDefault="00E5328F" w:rsidP="00F2246C">
            <w:pPr>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En 2022 </w:t>
            </w:r>
            <w:r w:rsidR="005D016B" w:rsidRPr="00F72633">
              <w:rPr>
                <w:rFonts w:ascii="Arial Narrow" w:eastAsia="Times New Roman" w:hAnsi="Arial Narrow"/>
                <w:sz w:val="18"/>
                <w:szCs w:val="18"/>
                <w:lang w:val="es-419" w:eastAsia="en-US"/>
              </w:rPr>
              <w:t>se mantuvieron conversaciones con los asociados de formación con miras a ejecutar el proyecto acordado por el Comité Consultivo relativo al “Certificado Internacional de Protección de las Variedades Vegetales reconocido por la UPOV”</w:t>
            </w:r>
          </w:p>
        </w:tc>
      </w:tr>
    </w:tbl>
    <w:p w14:paraId="04B4A10B" w14:textId="77777777" w:rsidR="003E3C19" w:rsidRPr="00F72633" w:rsidRDefault="003E3C19" w:rsidP="003E3C19">
      <w:pPr>
        <w:rPr>
          <w:rFonts w:ascii="Arial Narrow" w:hAnsi="Arial Narrow"/>
          <w:sz w:val="18"/>
          <w:lang w:val="es-419"/>
        </w:rPr>
      </w:pPr>
    </w:p>
    <w:p w14:paraId="2092DE7E" w14:textId="77777777" w:rsidR="003E3C19" w:rsidRPr="00F72633" w:rsidRDefault="003E3C19" w:rsidP="003E3C19">
      <w:pPr>
        <w:jc w:val="left"/>
        <w:rPr>
          <w:bCs/>
          <w:color w:val="155F1A"/>
          <w:sz w:val="18"/>
          <w:lang w:val="es-419"/>
        </w:rPr>
      </w:pPr>
      <w:r w:rsidRPr="00F72633">
        <w:rPr>
          <w:lang w:val="es-419"/>
        </w:rPr>
        <w:br w:type="page"/>
      </w:r>
    </w:p>
    <w:p w14:paraId="3D6E43CB" w14:textId="4D03CA79" w:rsidR="003E3C19" w:rsidRPr="00F72633" w:rsidRDefault="003E3C19" w:rsidP="00F600D3">
      <w:pPr>
        <w:spacing w:after="60"/>
        <w:jc w:val="center"/>
        <w:rPr>
          <w:rFonts w:ascii="Arial Narrow" w:hAnsi="Arial Narrow"/>
          <w:bCs/>
          <w:color w:val="155F1A"/>
          <w:sz w:val="18"/>
          <w:lang w:val="es-419"/>
        </w:rPr>
      </w:pPr>
      <w:r w:rsidRPr="00F72633">
        <w:rPr>
          <w:rFonts w:ascii="Arial Narrow" w:hAnsi="Arial Narrow"/>
          <w:bCs/>
          <w:color w:val="155F1A"/>
          <w:sz w:val="18"/>
          <w:lang w:val="es-419"/>
        </w:rPr>
        <w:lastRenderedPageBreak/>
        <w:t>Figur</w:t>
      </w:r>
      <w:r w:rsidR="009306C6" w:rsidRPr="00F72633">
        <w:rPr>
          <w:rFonts w:ascii="Arial Narrow" w:hAnsi="Arial Narrow"/>
          <w:bCs/>
          <w:color w:val="155F1A"/>
          <w:sz w:val="18"/>
          <w:lang w:val="es-419"/>
        </w:rPr>
        <w:t>a</w:t>
      </w:r>
      <w:r w:rsidRPr="00F72633">
        <w:rPr>
          <w:rFonts w:ascii="Arial Narrow" w:hAnsi="Arial Narrow"/>
          <w:bCs/>
          <w:color w:val="155F1A"/>
          <w:sz w:val="18"/>
          <w:lang w:val="es-419"/>
        </w:rPr>
        <w:t xml:space="preserve"> </w:t>
      </w:r>
      <w:r w:rsidR="004852F6" w:rsidRPr="00F72633">
        <w:rPr>
          <w:rFonts w:ascii="Arial Narrow" w:hAnsi="Arial Narrow"/>
          <w:bCs/>
          <w:color w:val="155F1A"/>
          <w:sz w:val="18"/>
          <w:lang w:val="es-419"/>
        </w:rPr>
        <w:t>17</w:t>
      </w:r>
      <w:r w:rsidRPr="00F72633">
        <w:rPr>
          <w:rFonts w:ascii="Arial Narrow" w:hAnsi="Arial Narrow"/>
          <w:bCs/>
          <w:color w:val="155F1A"/>
          <w:sz w:val="18"/>
          <w:lang w:val="es-419"/>
        </w:rPr>
        <w:t xml:space="preserve">. </w:t>
      </w:r>
      <w:r w:rsidR="009306C6" w:rsidRPr="00F72633">
        <w:rPr>
          <w:rFonts w:ascii="Arial Narrow" w:hAnsi="Arial Narrow"/>
          <w:bCs/>
          <w:color w:val="155F1A"/>
          <w:sz w:val="18"/>
          <w:lang w:val="es-419"/>
        </w:rPr>
        <w:t>Estados y organizaciones que se han puesto en contacto con la Oficina de la Unión en 2022 para recibir asistencia en la elaboración de legislación sobre la protección de las variedades vegetales, y Estados y organizaciones que han iniciado ante el Consejo de la UPOV el procedimiento para ser miembro de la Unión</w:t>
      </w:r>
    </w:p>
    <w:p w14:paraId="4A2B892E" w14:textId="77777777" w:rsidR="003E3C19" w:rsidRPr="00F72633" w:rsidRDefault="00E76559" w:rsidP="003E3C19">
      <w:pPr>
        <w:jc w:val="center"/>
        <w:rPr>
          <w:snapToGrid w:val="0"/>
          <w:color w:val="008080"/>
          <w:szCs w:val="24"/>
          <w:lang w:val="es-419"/>
        </w:rPr>
      </w:pPr>
      <w:r w:rsidRPr="00F72633">
        <w:rPr>
          <w:noProof/>
          <w:snapToGrid w:val="0"/>
          <w:color w:val="008080"/>
          <w:szCs w:val="24"/>
          <w:lang w:eastAsia="en-US"/>
        </w:rPr>
        <w:drawing>
          <wp:inline distT="0" distB="0" distL="0" distR="0" wp14:anchorId="48EC4D32" wp14:editId="2C5A4431">
            <wp:extent cx="5594684" cy="2834640"/>
            <wp:effectExtent l="0" t="0" r="635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i.wipo.int\wipodata\DAT1\OrgUPOV\Shared\Document\C\C56 (2022)\draft_documents\c_56_02_performance_report_2021\data_collection_and_contributions_recd\YH\chart (1).png"/>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594684" cy="2834640"/>
                    </a:xfrm>
                    <a:prstGeom prst="rect">
                      <a:avLst/>
                    </a:prstGeom>
                    <a:noFill/>
                    <a:ln>
                      <a:noFill/>
                    </a:ln>
                  </pic:spPr>
                </pic:pic>
              </a:graphicData>
            </a:graphic>
          </wp:inline>
        </w:drawing>
      </w:r>
    </w:p>
    <w:p w14:paraId="033A79AA" w14:textId="5DDD4EF0" w:rsidR="003E3C19" w:rsidRPr="00F72633" w:rsidRDefault="00764788" w:rsidP="003E3C19">
      <w:pPr>
        <w:pStyle w:val="BodyText"/>
        <w:spacing w:after="180"/>
        <w:ind w:left="426" w:right="425"/>
        <w:rPr>
          <w:rFonts w:asciiTheme="minorHAnsi" w:hAnsiTheme="minorHAnsi" w:cstheme="minorHAnsi"/>
          <w:sz w:val="12"/>
          <w:szCs w:val="12"/>
          <w:lang w:val="es-419"/>
        </w:rPr>
      </w:pPr>
      <w:r w:rsidRPr="00F72633">
        <w:rPr>
          <w:rFonts w:asciiTheme="minorHAnsi" w:hAnsiTheme="minorHAnsi" w:cstheme="minorHAnsi"/>
          <w:sz w:val="12"/>
          <w:lang w:val="es-419"/>
        </w:rPr>
        <w:t>Las fronteras que figuran en este mapa no implican la expresión de opinión alguna por parte de la UPOV sobre la condición jurídica de ningún país o territorio</w:t>
      </w:r>
      <w:r w:rsidR="003E3C19" w:rsidRPr="00F72633">
        <w:rPr>
          <w:rFonts w:asciiTheme="minorHAnsi" w:hAnsiTheme="minorHAnsi" w:cstheme="minorHAnsi"/>
          <w:sz w:val="12"/>
          <w:szCs w:val="12"/>
          <w:lang w:val="es-419"/>
        </w:rPr>
        <w:t>.</w:t>
      </w:r>
    </w:p>
    <w:p w14:paraId="755A1AF6" w14:textId="1C9D7A78" w:rsidR="003E3C19" w:rsidRPr="00F72633" w:rsidRDefault="003E3C19" w:rsidP="003E3C19">
      <w:pPr>
        <w:ind w:left="992" w:right="425" w:hanging="425"/>
        <w:jc w:val="left"/>
        <w:rPr>
          <w:rFonts w:ascii="Arial Narrow" w:hAnsi="Arial Narrow"/>
          <w:sz w:val="18"/>
          <w:szCs w:val="16"/>
          <w:lang w:val="es-419"/>
        </w:rPr>
      </w:pPr>
      <w:r w:rsidRPr="00F72633">
        <w:rPr>
          <w:rFonts w:ascii="Arial Narrow" w:hAnsi="Arial Narrow"/>
          <w:noProof/>
          <w:lang w:eastAsia="en-US"/>
        </w:rPr>
        <w:drawing>
          <wp:inline distT="0" distB="0" distL="0" distR="0" wp14:anchorId="1DF6DB27" wp14:editId="2242285C">
            <wp:extent cx="115200" cy="115200"/>
            <wp:effectExtent l="19050" t="19050" r="18415" b="18415"/>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sidRPr="00F72633">
        <w:rPr>
          <w:rFonts w:ascii="Arial Narrow" w:hAnsi="Arial Narrow"/>
          <w:sz w:val="16"/>
          <w:szCs w:val="16"/>
          <w:lang w:val="es-419"/>
        </w:rPr>
        <w:tab/>
      </w:r>
      <w:r w:rsidR="009306C6" w:rsidRPr="00F72633">
        <w:rPr>
          <w:rFonts w:ascii="Arial Narrow" w:hAnsi="Arial Narrow"/>
          <w:sz w:val="18"/>
          <w:lang w:val="es-419"/>
        </w:rPr>
        <w:t>Estados y organizaciones que han iniciado ante el Consejo de la UPOV el procedimiento para ser miembros de la Unión</w:t>
      </w:r>
    </w:p>
    <w:p w14:paraId="1CC95605" w14:textId="06D285FF" w:rsidR="003E3C19" w:rsidRPr="00F72633" w:rsidRDefault="003E3C19" w:rsidP="003E3C19">
      <w:pPr>
        <w:ind w:left="992" w:right="425" w:hanging="425"/>
        <w:jc w:val="left"/>
        <w:rPr>
          <w:rFonts w:ascii="Arial Narrow" w:hAnsi="Arial Narrow"/>
          <w:sz w:val="18"/>
          <w:szCs w:val="16"/>
          <w:lang w:val="es-419"/>
        </w:rPr>
      </w:pPr>
      <w:r w:rsidRPr="00F72633">
        <w:rPr>
          <w:rFonts w:ascii="Arial Narrow" w:hAnsi="Arial Narrow"/>
          <w:noProof/>
          <w:lang w:eastAsia="en-US"/>
        </w:rPr>
        <w:drawing>
          <wp:inline distT="0" distB="0" distL="0" distR="0" wp14:anchorId="5F1305F2" wp14:editId="77D7FB6A">
            <wp:extent cx="115200" cy="115200"/>
            <wp:effectExtent l="19050" t="19050" r="18415" b="1841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15200" cy="115200"/>
                    </a:xfrm>
                    <a:prstGeom prst="rect">
                      <a:avLst/>
                    </a:prstGeom>
                    <a:ln>
                      <a:solidFill>
                        <a:schemeClr val="tx1"/>
                      </a:solidFill>
                    </a:ln>
                  </pic:spPr>
                </pic:pic>
              </a:graphicData>
            </a:graphic>
          </wp:inline>
        </w:drawing>
      </w:r>
      <w:r w:rsidRPr="00F72633">
        <w:rPr>
          <w:rFonts w:ascii="Arial Narrow" w:hAnsi="Arial Narrow"/>
          <w:sz w:val="16"/>
          <w:szCs w:val="16"/>
          <w:lang w:val="es-419"/>
        </w:rPr>
        <w:tab/>
      </w:r>
      <w:r w:rsidR="009306C6" w:rsidRPr="00F72633">
        <w:rPr>
          <w:rFonts w:ascii="Arial Narrow" w:hAnsi="Arial Narrow"/>
          <w:sz w:val="18"/>
          <w:lang w:val="es-419"/>
        </w:rPr>
        <w:t>Estados y organizaciones que se han puesto en contacto con la Oficina de la Unión para recibir asistencia en la elaboración de legislación sobre la protección de las variedades vegetales</w:t>
      </w:r>
    </w:p>
    <w:p w14:paraId="72F5B197" w14:textId="77777777" w:rsidR="003E3C19" w:rsidRPr="00F72633" w:rsidRDefault="003E3C19" w:rsidP="003E3C19">
      <w:pPr>
        <w:rPr>
          <w:rFonts w:ascii="Arial Narrow" w:hAnsi="Arial Narrow"/>
          <w:sz w:val="18"/>
          <w:lang w:val="es-419"/>
        </w:rPr>
      </w:pPr>
    </w:p>
    <w:p w14:paraId="56AADB66" w14:textId="77777777" w:rsidR="003E3C19" w:rsidRPr="00F72633" w:rsidRDefault="003E3C19" w:rsidP="003E3C19">
      <w:pPr>
        <w:jc w:val="left"/>
        <w:rPr>
          <w:rFonts w:ascii="Arial Narrow" w:hAnsi="Arial Narrow"/>
          <w:bCs/>
          <w:sz w:val="18"/>
          <w:lang w:val="es-419"/>
        </w:rPr>
      </w:pPr>
      <w:bookmarkStart w:id="36" w:name="_Toc50132357"/>
      <w:bookmarkStart w:id="37" w:name="_Toc336339209"/>
    </w:p>
    <w:p w14:paraId="73AFC778" w14:textId="5714FFF4" w:rsidR="003E3C19" w:rsidRPr="00F72633" w:rsidRDefault="003E3C19" w:rsidP="00AF3F69">
      <w:pPr>
        <w:pStyle w:val="Caption"/>
        <w:rPr>
          <w:lang w:val="es-419"/>
        </w:rPr>
      </w:pPr>
      <w:r w:rsidRPr="00F72633">
        <w:rPr>
          <w:lang w:val="es-419"/>
        </w:rPr>
        <w:t>Figur</w:t>
      </w:r>
      <w:r w:rsidR="009306C6" w:rsidRPr="00F72633">
        <w:rPr>
          <w:lang w:val="es-419"/>
        </w:rPr>
        <w:t>a</w:t>
      </w:r>
      <w:r w:rsidRPr="00F72633">
        <w:rPr>
          <w:lang w:val="es-419"/>
        </w:rPr>
        <w:t xml:space="preserve"> </w:t>
      </w:r>
      <w:r w:rsidR="004852F6" w:rsidRPr="00F72633">
        <w:rPr>
          <w:lang w:val="es-419"/>
        </w:rPr>
        <w:t>18</w:t>
      </w:r>
      <w:r w:rsidRPr="00F72633">
        <w:rPr>
          <w:lang w:val="es-419"/>
        </w:rPr>
        <w:t xml:space="preserve">. </w:t>
      </w:r>
      <w:r w:rsidR="00576A17" w:rsidRPr="00F72633">
        <w:rPr>
          <w:lang w:val="es-419"/>
        </w:rPr>
        <w:t>Asistencia prestada en la elaboración de legislación sobre la protección de las variedades vegetales e</w:t>
      </w:r>
      <w:r w:rsidR="00E76559" w:rsidRPr="00F72633">
        <w:rPr>
          <w:lang w:val="es-419"/>
        </w:rPr>
        <w:t>n 2022</w:t>
      </w:r>
    </w:p>
    <w:p w14:paraId="39844A9E" w14:textId="77777777" w:rsidR="003E3C19" w:rsidRPr="00F72633" w:rsidRDefault="006D525E" w:rsidP="003E3C19">
      <w:pPr>
        <w:keepNext/>
        <w:keepLines/>
        <w:widowControl w:val="0"/>
        <w:jc w:val="center"/>
        <w:rPr>
          <w:color w:val="008080"/>
          <w:szCs w:val="18"/>
          <w:lang w:val="es-419"/>
        </w:rPr>
      </w:pPr>
      <w:r w:rsidRPr="00F72633">
        <w:rPr>
          <w:noProof/>
          <w:szCs w:val="18"/>
          <w:lang w:eastAsia="en-US"/>
        </w:rPr>
        <w:drawing>
          <wp:inline distT="0" distB="0" distL="0" distR="0" wp14:anchorId="33D4FDEE" wp14:editId="0D1E6702">
            <wp:extent cx="5594678" cy="2834636"/>
            <wp:effectExtent l="0" t="0" r="635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S\meetings with officials_based on Annex V reviewed by YH_July 25.pn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594678" cy="2834636"/>
                    </a:xfrm>
                    <a:prstGeom prst="rect">
                      <a:avLst/>
                    </a:prstGeom>
                    <a:noFill/>
                    <a:ln>
                      <a:noFill/>
                    </a:ln>
                  </pic:spPr>
                </pic:pic>
              </a:graphicData>
            </a:graphic>
          </wp:inline>
        </w:drawing>
      </w:r>
      <w:r w:rsidR="003E3C19" w:rsidRPr="00F72633">
        <w:rPr>
          <w:lang w:val="es-419" w:eastAsia="en-US"/>
        </w:rPr>
        <w:t xml:space="preserve"> </w:t>
      </w:r>
    </w:p>
    <w:p w14:paraId="232F6B56" w14:textId="1592AC61" w:rsidR="003E3C19" w:rsidRPr="00F72633" w:rsidRDefault="00764788" w:rsidP="003E3C19">
      <w:pPr>
        <w:pStyle w:val="BodyText"/>
        <w:spacing w:after="240"/>
        <w:ind w:left="720" w:right="425"/>
        <w:rPr>
          <w:rFonts w:ascii="Arial Narrow" w:hAnsi="Arial Narrow"/>
          <w:sz w:val="14"/>
          <w:szCs w:val="12"/>
          <w:lang w:val="es-419"/>
        </w:rPr>
      </w:pPr>
      <w:r w:rsidRPr="00F72633">
        <w:rPr>
          <w:rFonts w:ascii="Arial Narrow" w:hAnsi="Arial Narrow"/>
          <w:sz w:val="14"/>
          <w:szCs w:val="12"/>
          <w:lang w:val="es-419"/>
        </w:rPr>
        <w:t>Las fronteras que figuran en este mapa no implican la expresión de opinión alguna por parte de la UPOV sobre la condición jurídica de ningún país o territorio</w:t>
      </w:r>
      <w:r w:rsidR="003E3C19" w:rsidRPr="00F72633">
        <w:rPr>
          <w:rFonts w:ascii="Arial Narrow" w:hAnsi="Arial Narrow"/>
          <w:sz w:val="14"/>
          <w:szCs w:val="12"/>
          <w:lang w:val="es-419"/>
        </w:rPr>
        <w:t>.</w:t>
      </w:r>
    </w:p>
    <w:p w14:paraId="6D359735" w14:textId="6D9DFC27" w:rsidR="003E3C19" w:rsidRPr="00F72633" w:rsidRDefault="003E3C19" w:rsidP="003E3C19">
      <w:pPr>
        <w:ind w:left="567"/>
        <w:jc w:val="left"/>
        <w:rPr>
          <w:rFonts w:ascii="Arial Narrow" w:hAnsi="Arial Narrow"/>
          <w:sz w:val="18"/>
          <w:szCs w:val="18"/>
          <w:lang w:val="es-419"/>
        </w:rPr>
      </w:pPr>
      <w:r w:rsidRPr="00F72633">
        <w:rPr>
          <w:rFonts w:ascii="Arial Narrow" w:hAnsi="Arial Narrow"/>
          <w:noProof/>
          <w:sz w:val="18"/>
          <w:szCs w:val="18"/>
          <w:lang w:eastAsia="en-US"/>
        </w:rPr>
        <w:drawing>
          <wp:inline distT="0" distB="0" distL="0" distR="0" wp14:anchorId="62627F82" wp14:editId="77C27883">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22400" cy="115200"/>
                    </a:xfrm>
                    <a:prstGeom prst="rect">
                      <a:avLst/>
                    </a:prstGeom>
                    <a:ln>
                      <a:solidFill>
                        <a:schemeClr val="tx1"/>
                      </a:solidFill>
                    </a:ln>
                  </pic:spPr>
                </pic:pic>
              </a:graphicData>
            </a:graphic>
          </wp:inline>
        </w:drawing>
      </w:r>
      <w:r w:rsidRPr="00F72633">
        <w:rPr>
          <w:rFonts w:ascii="Arial Narrow" w:hAnsi="Arial Narrow"/>
          <w:sz w:val="18"/>
          <w:szCs w:val="18"/>
          <w:lang w:val="es-419"/>
        </w:rPr>
        <w:tab/>
      </w:r>
      <w:r w:rsidR="00576A17" w:rsidRPr="00F72633">
        <w:rPr>
          <w:rFonts w:ascii="Arial Narrow" w:hAnsi="Arial Narrow"/>
          <w:sz w:val="18"/>
          <w:lang w:val="es-419"/>
        </w:rPr>
        <w:t>Estados y organizaciones respecto de cuya legislación el Consejo de la UPOV ha manifestado una opinión positiva</w:t>
      </w:r>
    </w:p>
    <w:p w14:paraId="3BF6CBB5" w14:textId="50F168B7" w:rsidR="003E3C19" w:rsidRPr="00F72633" w:rsidRDefault="003E3C19" w:rsidP="003E3C19">
      <w:pPr>
        <w:ind w:left="1134" w:hanging="567"/>
        <w:jc w:val="left"/>
        <w:rPr>
          <w:rFonts w:ascii="Arial Narrow" w:hAnsi="Arial Narrow"/>
          <w:sz w:val="18"/>
          <w:szCs w:val="18"/>
          <w:lang w:val="es-419"/>
        </w:rPr>
      </w:pPr>
      <w:r w:rsidRPr="00F72633">
        <w:rPr>
          <w:rFonts w:ascii="Arial Narrow" w:hAnsi="Arial Narrow"/>
          <w:noProof/>
          <w:sz w:val="18"/>
          <w:szCs w:val="18"/>
          <w:lang w:eastAsia="en-US"/>
        </w:rPr>
        <w:drawing>
          <wp:inline distT="0" distB="0" distL="0" distR="0" wp14:anchorId="7A963512" wp14:editId="6F7EDA90">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115200" cy="115200"/>
                    </a:xfrm>
                    <a:prstGeom prst="rect">
                      <a:avLst/>
                    </a:prstGeom>
                    <a:ln>
                      <a:solidFill>
                        <a:schemeClr val="tx1"/>
                      </a:solidFill>
                    </a:ln>
                  </pic:spPr>
                </pic:pic>
              </a:graphicData>
            </a:graphic>
          </wp:inline>
        </w:drawing>
      </w:r>
      <w:r w:rsidRPr="00F72633">
        <w:rPr>
          <w:rFonts w:ascii="Arial Narrow" w:hAnsi="Arial Narrow"/>
          <w:sz w:val="18"/>
          <w:szCs w:val="18"/>
          <w:lang w:val="es-419"/>
        </w:rPr>
        <w:tab/>
      </w:r>
      <w:r w:rsidR="00576A17" w:rsidRPr="00F72633">
        <w:rPr>
          <w:rFonts w:ascii="Arial Narrow" w:hAnsi="Arial Narrow"/>
          <w:sz w:val="18"/>
          <w:lang w:val="es-419"/>
        </w:rPr>
        <w:t>Estados y organizaciones que han recibido comentarios sobre la legislación</w:t>
      </w:r>
    </w:p>
    <w:p w14:paraId="05F1B78C" w14:textId="066C6D7B" w:rsidR="003E3C19" w:rsidRPr="00F72633" w:rsidRDefault="003E3C19" w:rsidP="003E3C19">
      <w:pPr>
        <w:ind w:left="1134" w:hanging="567"/>
        <w:jc w:val="left"/>
        <w:rPr>
          <w:rFonts w:ascii="Arial Narrow" w:hAnsi="Arial Narrow"/>
          <w:sz w:val="18"/>
          <w:szCs w:val="18"/>
          <w:lang w:val="es-419"/>
        </w:rPr>
      </w:pPr>
      <w:r w:rsidRPr="00F72633">
        <w:rPr>
          <w:rFonts w:ascii="Arial Narrow" w:hAnsi="Arial Narrow"/>
          <w:noProof/>
          <w:sz w:val="18"/>
          <w:szCs w:val="18"/>
          <w:lang w:eastAsia="en-US"/>
        </w:rPr>
        <w:drawing>
          <wp:inline distT="0" distB="0" distL="0" distR="0" wp14:anchorId="7093BD39" wp14:editId="6ECF17BC">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126000" cy="115200"/>
                    </a:xfrm>
                    <a:prstGeom prst="rect">
                      <a:avLst/>
                    </a:prstGeom>
                    <a:ln>
                      <a:solidFill>
                        <a:schemeClr val="tx1"/>
                      </a:solidFill>
                    </a:ln>
                  </pic:spPr>
                </pic:pic>
              </a:graphicData>
            </a:graphic>
          </wp:inline>
        </w:drawing>
      </w:r>
      <w:r w:rsidRPr="00F72633">
        <w:rPr>
          <w:rFonts w:ascii="Arial Narrow" w:hAnsi="Arial Narrow"/>
          <w:sz w:val="18"/>
          <w:szCs w:val="18"/>
          <w:lang w:val="es-419"/>
        </w:rPr>
        <w:tab/>
      </w:r>
      <w:r w:rsidR="00576A17" w:rsidRPr="00F72633">
        <w:rPr>
          <w:rFonts w:ascii="Arial Narrow" w:hAnsi="Arial Narrow"/>
          <w:sz w:val="18"/>
          <w:lang w:val="es-419"/>
        </w:rPr>
        <w:t>Reuniones con funcionarios de la administración para examinar asuntos legislativos</w:t>
      </w:r>
    </w:p>
    <w:bookmarkEnd w:id="36"/>
    <w:bookmarkEnd w:id="37"/>
    <w:p w14:paraId="251B32B4" w14:textId="77777777" w:rsidR="003E3C19" w:rsidRPr="00F72633" w:rsidRDefault="003E3C19" w:rsidP="003E3C19">
      <w:pPr>
        <w:rPr>
          <w:lang w:val="es-419"/>
        </w:rPr>
      </w:pPr>
    </w:p>
    <w:p w14:paraId="1F74E9C0" w14:textId="77777777" w:rsidR="00E76559" w:rsidRPr="00F72633" w:rsidRDefault="00E76559" w:rsidP="00E76559">
      <w:pPr>
        <w:rPr>
          <w:lang w:val="es-419"/>
        </w:rPr>
      </w:pPr>
    </w:p>
    <w:p w14:paraId="633833BA" w14:textId="77777777" w:rsidR="003E3C19" w:rsidRPr="00F72633" w:rsidRDefault="003E3C19" w:rsidP="003E3C19">
      <w:pPr>
        <w:rPr>
          <w:lang w:val="es-419"/>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3E3C19" w:rsidRPr="00F72633" w14:paraId="5E966ACB" w14:textId="77777777" w:rsidTr="00B904E7">
        <w:tc>
          <w:tcPr>
            <w:tcW w:w="4961" w:type="dxa"/>
          </w:tcPr>
          <w:p w14:paraId="7E25639F" w14:textId="6BE536E8" w:rsidR="003E3C19" w:rsidRPr="00F72633" w:rsidRDefault="003E3C19" w:rsidP="00AF3F69">
            <w:pPr>
              <w:pStyle w:val="Caption"/>
              <w:rPr>
                <w:lang w:val="es-419"/>
              </w:rPr>
            </w:pPr>
            <w:r w:rsidRPr="00F72633">
              <w:rPr>
                <w:lang w:val="es-419"/>
              </w:rPr>
              <w:lastRenderedPageBreak/>
              <w:t>Figur</w:t>
            </w:r>
            <w:r w:rsidR="00576A17" w:rsidRPr="00F72633">
              <w:rPr>
                <w:lang w:val="es-419"/>
              </w:rPr>
              <w:t>a</w:t>
            </w:r>
            <w:r w:rsidRPr="00F72633">
              <w:rPr>
                <w:lang w:val="es-419"/>
              </w:rPr>
              <w:t xml:space="preserve"> </w:t>
            </w:r>
            <w:r w:rsidR="004852F6" w:rsidRPr="00F72633">
              <w:rPr>
                <w:lang w:val="es-419"/>
              </w:rPr>
              <w:t>19</w:t>
            </w:r>
            <w:r w:rsidRPr="00F72633">
              <w:rPr>
                <w:lang w:val="es-419"/>
              </w:rPr>
              <w:t xml:space="preserve">. </w:t>
            </w:r>
            <w:r w:rsidR="00576A17" w:rsidRPr="00F72633">
              <w:rPr>
                <w:lang w:val="es-419"/>
              </w:rPr>
              <w:t>Estados y organizaciones que han recibido comentarios sobre legislación</w:t>
            </w:r>
          </w:p>
          <w:p w14:paraId="53785FEF" w14:textId="0DD64A2B" w:rsidR="00B308CE" w:rsidRPr="00F72633" w:rsidRDefault="00B308CE" w:rsidP="00B308CE">
            <w:pPr>
              <w:jc w:val="center"/>
              <w:rPr>
                <w:lang w:val="es-419"/>
              </w:rPr>
            </w:pPr>
            <w:r w:rsidRPr="00F72633">
              <w:rPr>
                <w:noProof/>
                <w:lang w:eastAsia="en-US"/>
              </w:rPr>
              <w:drawing>
                <wp:inline distT="0" distB="0" distL="0" distR="0" wp14:anchorId="7DAE2BF7" wp14:editId="3B90EFEF">
                  <wp:extent cx="2992967" cy="212865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32956" cy="2157099"/>
                          </a:xfrm>
                          <a:prstGeom prst="rect">
                            <a:avLst/>
                          </a:prstGeom>
                          <a:noFill/>
                          <a:ln>
                            <a:noFill/>
                          </a:ln>
                        </pic:spPr>
                      </pic:pic>
                    </a:graphicData>
                  </a:graphic>
                </wp:inline>
              </w:drawing>
            </w:r>
          </w:p>
          <w:p w14:paraId="7B6BD108" w14:textId="40B4CB7E" w:rsidR="003E3C19" w:rsidRPr="00F72633" w:rsidRDefault="003E3C19" w:rsidP="00B904E7">
            <w:pPr>
              <w:jc w:val="center"/>
              <w:rPr>
                <w:szCs w:val="18"/>
                <w:lang w:val="es-419"/>
              </w:rPr>
            </w:pPr>
          </w:p>
        </w:tc>
        <w:tc>
          <w:tcPr>
            <w:tcW w:w="4962" w:type="dxa"/>
          </w:tcPr>
          <w:p w14:paraId="723F0CED" w14:textId="28F66143" w:rsidR="003E3C19" w:rsidRPr="00F72633" w:rsidRDefault="00576A17" w:rsidP="00AF3F69">
            <w:pPr>
              <w:pStyle w:val="Caption"/>
              <w:rPr>
                <w:lang w:val="es-419"/>
              </w:rPr>
            </w:pPr>
            <w:r w:rsidRPr="00F72633">
              <w:rPr>
                <w:lang w:val="es-419"/>
              </w:rPr>
              <w:t>Figura</w:t>
            </w:r>
            <w:r w:rsidR="003E3C19" w:rsidRPr="00F72633">
              <w:rPr>
                <w:lang w:val="es-419"/>
              </w:rPr>
              <w:t xml:space="preserve"> </w:t>
            </w:r>
            <w:r w:rsidR="004852F6" w:rsidRPr="00F72633">
              <w:rPr>
                <w:lang w:val="es-419"/>
              </w:rPr>
              <w:t>20</w:t>
            </w:r>
            <w:r w:rsidR="003E3C19" w:rsidRPr="00F72633">
              <w:rPr>
                <w:lang w:val="es-419"/>
              </w:rPr>
              <w:t xml:space="preserve">. </w:t>
            </w:r>
            <w:r w:rsidRPr="00F72633">
              <w:rPr>
                <w:lang w:val="es-419"/>
              </w:rPr>
              <w:t xml:space="preserve">Estados y organizaciones </w:t>
            </w:r>
            <w:r w:rsidR="00D32C2F">
              <w:rPr>
                <w:lang w:val="es-419"/>
              </w:rPr>
              <w:t>respecto de cuya legislación el </w:t>
            </w:r>
            <w:r w:rsidRPr="00F72633">
              <w:rPr>
                <w:lang w:val="es-419"/>
              </w:rPr>
              <w:t>Consejo ha manifestado una opinión positiva</w:t>
            </w:r>
          </w:p>
          <w:p w14:paraId="176534B8" w14:textId="5D739CC9" w:rsidR="00B308CE" w:rsidRPr="00F72633" w:rsidRDefault="00B308CE" w:rsidP="00B308CE">
            <w:pPr>
              <w:rPr>
                <w:lang w:val="es-419"/>
              </w:rPr>
            </w:pPr>
            <w:r w:rsidRPr="00F72633">
              <w:rPr>
                <w:noProof/>
                <w:lang w:eastAsia="en-US"/>
              </w:rPr>
              <w:drawing>
                <wp:inline distT="0" distB="0" distL="0" distR="0" wp14:anchorId="2E4120D1" wp14:editId="1A7389A1">
                  <wp:extent cx="3107055" cy="2116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07055" cy="2116455"/>
                          </a:xfrm>
                          <a:prstGeom prst="rect">
                            <a:avLst/>
                          </a:prstGeom>
                          <a:noFill/>
                          <a:ln>
                            <a:noFill/>
                          </a:ln>
                        </pic:spPr>
                      </pic:pic>
                    </a:graphicData>
                  </a:graphic>
                </wp:inline>
              </w:drawing>
            </w:r>
          </w:p>
          <w:p w14:paraId="77DFC506" w14:textId="4C70D52A" w:rsidR="003E3C19" w:rsidRPr="00F72633" w:rsidRDefault="003E3C19" w:rsidP="00AF3F69">
            <w:pPr>
              <w:pStyle w:val="Caption"/>
              <w:rPr>
                <w:lang w:val="es-419" w:eastAsia="en-US"/>
              </w:rPr>
            </w:pPr>
          </w:p>
        </w:tc>
      </w:tr>
    </w:tbl>
    <w:p w14:paraId="4B8BD213" w14:textId="77777777" w:rsidR="003E3C19" w:rsidRPr="00F72633" w:rsidRDefault="003E3C19" w:rsidP="003E3C19">
      <w:pPr>
        <w:rPr>
          <w:rFonts w:ascii="Arial Narrow" w:hAnsi="Arial Narrow"/>
          <w:sz w:val="18"/>
          <w:lang w:val="es-419"/>
        </w:rPr>
      </w:pPr>
    </w:p>
    <w:p w14:paraId="4E07050F" w14:textId="77777777" w:rsidR="003E3C19" w:rsidRPr="00F72633" w:rsidRDefault="003E3C19" w:rsidP="003E3C19">
      <w:pPr>
        <w:rPr>
          <w:rFonts w:ascii="Arial Narrow" w:hAnsi="Arial Narrow"/>
          <w:sz w:val="18"/>
          <w:lang w:val="es-419"/>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3E3C19" w:rsidRPr="00F72633" w14:paraId="26EA7BAB" w14:textId="77777777" w:rsidTr="00B904E7">
        <w:tc>
          <w:tcPr>
            <w:tcW w:w="4961" w:type="dxa"/>
          </w:tcPr>
          <w:p w14:paraId="7E59E856" w14:textId="69969BD6" w:rsidR="003E3C19" w:rsidRPr="00F72633" w:rsidRDefault="003E3C19" w:rsidP="00AF3F69">
            <w:pPr>
              <w:pStyle w:val="Caption"/>
              <w:rPr>
                <w:lang w:val="es-419"/>
              </w:rPr>
            </w:pPr>
            <w:r w:rsidRPr="00F72633">
              <w:rPr>
                <w:lang w:val="es-419"/>
              </w:rPr>
              <w:t>Figur</w:t>
            </w:r>
            <w:r w:rsidR="00576A17" w:rsidRPr="00F72633">
              <w:rPr>
                <w:lang w:val="es-419"/>
              </w:rPr>
              <w:t>a</w:t>
            </w:r>
            <w:r w:rsidRPr="00F72633">
              <w:rPr>
                <w:lang w:val="es-419"/>
              </w:rPr>
              <w:t xml:space="preserve"> </w:t>
            </w:r>
            <w:r w:rsidR="00856107" w:rsidRPr="00F72633">
              <w:rPr>
                <w:lang w:val="es-419"/>
              </w:rPr>
              <w:t>21</w:t>
            </w:r>
            <w:r w:rsidRPr="00F72633">
              <w:rPr>
                <w:lang w:val="es-419"/>
              </w:rPr>
              <w:t xml:space="preserve">. </w:t>
            </w:r>
            <w:r w:rsidR="00576A17" w:rsidRPr="00F72633">
              <w:rPr>
                <w:lang w:val="es-419"/>
              </w:rPr>
              <w:t>Adhesión al Acta de 1991 o ratificación de dicha Acta</w:t>
            </w:r>
          </w:p>
          <w:p w14:paraId="51E5575A" w14:textId="2F55C8A1" w:rsidR="00B308CE" w:rsidRPr="00F72633" w:rsidRDefault="00B308CE" w:rsidP="00B308CE">
            <w:pPr>
              <w:rPr>
                <w:lang w:val="es-419"/>
              </w:rPr>
            </w:pPr>
            <w:r w:rsidRPr="00F72633">
              <w:rPr>
                <w:noProof/>
                <w:lang w:eastAsia="en-US"/>
              </w:rPr>
              <w:drawing>
                <wp:inline distT="0" distB="0" distL="0" distR="0" wp14:anchorId="1F2FD026" wp14:editId="6656E9D7">
                  <wp:extent cx="3111500" cy="238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11500" cy="2383155"/>
                          </a:xfrm>
                          <a:prstGeom prst="rect">
                            <a:avLst/>
                          </a:prstGeom>
                          <a:noFill/>
                          <a:ln>
                            <a:noFill/>
                          </a:ln>
                        </pic:spPr>
                      </pic:pic>
                    </a:graphicData>
                  </a:graphic>
                </wp:inline>
              </w:drawing>
            </w:r>
          </w:p>
          <w:p w14:paraId="5A332DEA" w14:textId="65042F6F" w:rsidR="006214F6" w:rsidRPr="00F72633" w:rsidRDefault="006214F6" w:rsidP="006214F6">
            <w:pPr>
              <w:jc w:val="center"/>
              <w:rPr>
                <w:lang w:val="es-419" w:eastAsia="en-US"/>
              </w:rPr>
            </w:pPr>
          </w:p>
        </w:tc>
        <w:tc>
          <w:tcPr>
            <w:tcW w:w="4962" w:type="dxa"/>
          </w:tcPr>
          <w:p w14:paraId="787561D1" w14:textId="7CA1F55B" w:rsidR="003E3C19" w:rsidRPr="00F72633" w:rsidRDefault="003E3C19" w:rsidP="00AF3F69">
            <w:pPr>
              <w:pStyle w:val="Caption"/>
              <w:rPr>
                <w:lang w:val="es-419"/>
              </w:rPr>
            </w:pPr>
            <w:r w:rsidRPr="00F72633">
              <w:rPr>
                <w:lang w:val="es-419"/>
              </w:rPr>
              <w:t>Figur</w:t>
            </w:r>
            <w:r w:rsidR="00576A17" w:rsidRPr="00F72633">
              <w:rPr>
                <w:lang w:val="es-419"/>
              </w:rPr>
              <w:t>a</w:t>
            </w:r>
            <w:r w:rsidRPr="00F72633">
              <w:rPr>
                <w:lang w:val="es-419"/>
              </w:rPr>
              <w:t xml:space="preserve"> </w:t>
            </w:r>
            <w:r w:rsidR="00856107" w:rsidRPr="00F72633">
              <w:rPr>
                <w:lang w:val="es-419"/>
              </w:rPr>
              <w:t>22</w:t>
            </w:r>
            <w:r w:rsidRPr="00F72633">
              <w:rPr>
                <w:lang w:val="es-419"/>
              </w:rPr>
              <w:t xml:space="preserve">. </w:t>
            </w:r>
            <w:r w:rsidR="00576A17" w:rsidRPr="00F72633">
              <w:rPr>
                <w:lang w:val="es-419"/>
              </w:rPr>
              <w:t>Nuevos miembros de la Unión</w:t>
            </w:r>
          </w:p>
          <w:p w14:paraId="6C4E98A5" w14:textId="539FA638" w:rsidR="00B308CE" w:rsidRPr="00F72633" w:rsidRDefault="00B308CE" w:rsidP="00B308CE">
            <w:pPr>
              <w:rPr>
                <w:lang w:val="es-419"/>
              </w:rPr>
            </w:pPr>
            <w:r w:rsidRPr="00F72633">
              <w:rPr>
                <w:noProof/>
                <w:lang w:eastAsia="en-US"/>
              </w:rPr>
              <w:drawing>
                <wp:inline distT="0" distB="0" distL="0" distR="0" wp14:anchorId="5F5D4279" wp14:editId="032127E7">
                  <wp:extent cx="3062538" cy="2383155"/>
                  <wp:effectExtent l="0" t="0" r="508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67885" cy="2387316"/>
                          </a:xfrm>
                          <a:prstGeom prst="rect">
                            <a:avLst/>
                          </a:prstGeom>
                          <a:noFill/>
                          <a:ln>
                            <a:noFill/>
                          </a:ln>
                        </pic:spPr>
                      </pic:pic>
                    </a:graphicData>
                  </a:graphic>
                </wp:inline>
              </w:drawing>
            </w:r>
          </w:p>
          <w:p w14:paraId="4A3679C6" w14:textId="093F7F58" w:rsidR="006214F6" w:rsidRPr="00F72633" w:rsidRDefault="006214F6" w:rsidP="006214F6">
            <w:pPr>
              <w:jc w:val="center"/>
              <w:rPr>
                <w:lang w:val="es-419" w:eastAsia="en-US"/>
              </w:rPr>
            </w:pPr>
          </w:p>
        </w:tc>
      </w:tr>
    </w:tbl>
    <w:p w14:paraId="0C9727B1" w14:textId="77777777" w:rsidR="003E3C19" w:rsidRPr="00F72633" w:rsidRDefault="003E3C19" w:rsidP="003E3C19">
      <w:pPr>
        <w:rPr>
          <w:lang w:val="es-419"/>
        </w:rPr>
      </w:pPr>
    </w:p>
    <w:p w14:paraId="1DDA593D" w14:textId="77777777" w:rsidR="003E3C19" w:rsidRPr="00F72633" w:rsidRDefault="003E3C19" w:rsidP="003E3C19">
      <w:pPr>
        <w:rPr>
          <w:lang w:val="es-419"/>
        </w:rPr>
      </w:pPr>
    </w:p>
    <w:p w14:paraId="5C9E4BE1" w14:textId="77777777" w:rsidR="003E3C19" w:rsidRPr="00F72633" w:rsidRDefault="003E3C19" w:rsidP="003E3C19">
      <w:pPr>
        <w:rPr>
          <w:lang w:val="es-419"/>
        </w:rPr>
      </w:pPr>
      <w:r w:rsidRPr="00F72633">
        <w:rPr>
          <w:lang w:val="es-419"/>
        </w:rPr>
        <w:br w:type="page"/>
      </w:r>
    </w:p>
    <w:p w14:paraId="3FD1E4F5" w14:textId="55F4397D" w:rsidR="003E3C19" w:rsidRPr="00F72633" w:rsidRDefault="00C12B07" w:rsidP="006449D7">
      <w:pPr>
        <w:spacing w:after="120"/>
        <w:jc w:val="center"/>
        <w:rPr>
          <w:rFonts w:ascii="Arial Narrow" w:hAnsi="Arial Narrow"/>
          <w:i/>
          <w:sz w:val="18"/>
          <w:szCs w:val="18"/>
          <w:lang w:val="es-419"/>
        </w:rPr>
      </w:pPr>
      <w:r w:rsidRPr="00F72633">
        <w:rPr>
          <w:rFonts w:ascii="Arial Narrow" w:hAnsi="Arial Narrow"/>
          <w:i/>
          <w:sz w:val="18"/>
          <w:lang w:val="es-419"/>
        </w:rPr>
        <w:lastRenderedPageBreak/>
        <w:t>Número de participantes en las sesiones principales* de los cursos de enseñanza a distancia de la UPOV en 2022, por categoría</w:t>
      </w:r>
    </w:p>
    <w:tbl>
      <w:tblPr>
        <w:tblW w:w="9776" w:type="dxa"/>
        <w:tblInd w:w="-5" w:type="dxa"/>
        <w:tblBorders>
          <w:bottom w:val="single" w:sz="8" w:space="0" w:color="D9D9D9" w:themeColor="background1" w:themeShade="D9"/>
          <w:insideH w:val="single" w:sz="8" w:space="0" w:color="D9D9D9" w:themeColor="background1" w:themeShade="D9"/>
        </w:tblBorders>
        <w:tblCellMar>
          <w:top w:w="28" w:type="dxa"/>
          <w:left w:w="57" w:type="dxa"/>
          <w:bottom w:w="28" w:type="dxa"/>
          <w:right w:w="57" w:type="dxa"/>
        </w:tblCellMar>
        <w:tblLook w:val="01E0" w:firstRow="1" w:lastRow="1" w:firstColumn="1" w:lastColumn="1" w:noHBand="0" w:noVBand="0"/>
      </w:tblPr>
      <w:tblGrid>
        <w:gridCol w:w="5103"/>
        <w:gridCol w:w="932"/>
        <w:gridCol w:w="953"/>
        <w:gridCol w:w="929"/>
        <w:gridCol w:w="929"/>
        <w:gridCol w:w="930"/>
      </w:tblGrid>
      <w:tr w:rsidR="007413ED" w:rsidRPr="00F72633" w14:paraId="5B4B25B8" w14:textId="77777777" w:rsidTr="000E335D">
        <w:tc>
          <w:tcPr>
            <w:tcW w:w="5103" w:type="dxa"/>
            <w:vMerge w:val="restart"/>
            <w:tcBorders>
              <w:top w:val="nil"/>
              <w:bottom w:val="nil"/>
            </w:tcBorders>
            <w:shd w:val="clear" w:color="auto" w:fill="E2E7EB" w:themeFill="accent3" w:themeFillTint="33"/>
            <w:vAlign w:val="center"/>
          </w:tcPr>
          <w:p w14:paraId="72496C42" w14:textId="49869C59" w:rsidR="007413ED" w:rsidRPr="00F72633" w:rsidRDefault="007413ED" w:rsidP="00206E0A">
            <w:pPr>
              <w:spacing w:before="20" w:after="20"/>
              <w:jc w:val="left"/>
              <w:rPr>
                <w:rFonts w:ascii="Arial Narrow" w:eastAsia="MS Mincho" w:hAnsi="Arial Narrow"/>
                <w:b/>
                <w:sz w:val="18"/>
                <w:szCs w:val="18"/>
                <w:lang w:val="es-419"/>
              </w:rPr>
            </w:pPr>
            <w:r w:rsidRPr="00F72633">
              <w:rPr>
                <w:rFonts w:ascii="Arial Narrow" w:eastAsia="MS Mincho" w:hAnsi="Arial Narrow"/>
                <w:b/>
                <w:sz w:val="18"/>
                <w:szCs w:val="18"/>
                <w:lang w:val="es-419"/>
              </w:rPr>
              <w:t>Categor</w:t>
            </w:r>
            <w:r w:rsidR="00206E0A" w:rsidRPr="00F72633">
              <w:rPr>
                <w:rFonts w:ascii="Arial Narrow" w:eastAsia="MS Mincho" w:hAnsi="Arial Narrow"/>
                <w:b/>
                <w:sz w:val="18"/>
                <w:szCs w:val="18"/>
                <w:lang w:val="es-419"/>
              </w:rPr>
              <w:t>ía</w:t>
            </w:r>
          </w:p>
        </w:tc>
        <w:tc>
          <w:tcPr>
            <w:tcW w:w="4673" w:type="dxa"/>
            <w:gridSpan w:val="5"/>
            <w:tcBorders>
              <w:top w:val="nil"/>
              <w:bottom w:val="nil"/>
            </w:tcBorders>
            <w:shd w:val="clear" w:color="auto" w:fill="E2E7EB" w:themeFill="accent3" w:themeFillTint="33"/>
            <w:vAlign w:val="center"/>
          </w:tcPr>
          <w:p w14:paraId="05CB1757" w14:textId="368A4256" w:rsidR="007413ED" w:rsidRPr="00F72633" w:rsidRDefault="00206E0A" w:rsidP="000E335D">
            <w:pPr>
              <w:spacing w:before="20" w:after="20"/>
              <w:jc w:val="center"/>
              <w:rPr>
                <w:rFonts w:ascii="Arial Narrow" w:hAnsi="Arial Narrow"/>
                <w:b/>
                <w:sz w:val="18"/>
                <w:szCs w:val="18"/>
                <w:lang w:val="es-419"/>
              </w:rPr>
            </w:pPr>
            <w:r w:rsidRPr="00F72633">
              <w:rPr>
                <w:rFonts w:ascii="Arial Narrow" w:hAnsi="Arial Narrow"/>
                <w:b/>
                <w:sz w:val="18"/>
                <w:lang w:val="es-419"/>
              </w:rPr>
              <w:t>Número de participantes en</w:t>
            </w:r>
            <w:r w:rsidR="007413ED" w:rsidRPr="00F72633">
              <w:rPr>
                <w:rFonts w:ascii="Arial Narrow" w:hAnsi="Arial Narrow"/>
                <w:b/>
                <w:sz w:val="18"/>
                <w:szCs w:val="18"/>
                <w:lang w:val="es-419"/>
              </w:rPr>
              <w:t xml:space="preserve"> 2022</w:t>
            </w:r>
          </w:p>
        </w:tc>
      </w:tr>
      <w:tr w:rsidR="007413ED" w:rsidRPr="00F72633" w14:paraId="2B5A3D49" w14:textId="77777777" w:rsidTr="000E335D">
        <w:trPr>
          <w:trHeight w:val="343"/>
        </w:trPr>
        <w:tc>
          <w:tcPr>
            <w:tcW w:w="5103" w:type="dxa"/>
            <w:vMerge/>
            <w:tcBorders>
              <w:top w:val="nil"/>
              <w:bottom w:val="nil"/>
            </w:tcBorders>
            <w:shd w:val="clear" w:color="auto" w:fill="E2E7EB" w:themeFill="accent3" w:themeFillTint="33"/>
          </w:tcPr>
          <w:p w14:paraId="6CF2D7C3" w14:textId="77777777" w:rsidR="007413ED" w:rsidRPr="00F72633" w:rsidRDefault="007413ED" w:rsidP="000E335D">
            <w:pPr>
              <w:spacing w:before="20" w:after="20"/>
              <w:jc w:val="left"/>
              <w:rPr>
                <w:rFonts w:ascii="Arial Narrow" w:eastAsia="MS Mincho" w:hAnsi="Arial Narrow"/>
                <w:sz w:val="18"/>
                <w:szCs w:val="18"/>
                <w:lang w:val="es-419"/>
              </w:rPr>
            </w:pPr>
          </w:p>
        </w:tc>
        <w:tc>
          <w:tcPr>
            <w:tcW w:w="932" w:type="dxa"/>
            <w:tcBorders>
              <w:top w:val="nil"/>
              <w:bottom w:val="nil"/>
            </w:tcBorders>
            <w:shd w:val="clear" w:color="auto" w:fill="E2E7EB" w:themeFill="accent3" w:themeFillTint="33"/>
            <w:vAlign w:val="bottom"/>
          </w:tcPr>
          <w:p w14:paraId="3B4C3E77" w14:textId="77777777" w:rsidR="007413ED" w:rsidRPr="00F72633" w:rsidRDefault="007413ED" w:rsidP="000E335D">
            <w:pPr>
              <w:spacing w:before="20" w:after="20"/>
              <w:jc w:val="center"/>
              <w:rPr>
                <w:rFonts w:ascii="Arial Narrow" w:hAnsi="Arial Narrow"/>
                <w:b/>
                <w:sz w:val="18"/>
                <w:szCs w:val="18"/>
                <w:lang w:val="es-419"/>
              </w:rPr>
            </w:pPr>
            <w:r w:rsidRPr="00F72633">
              <w:rPr>
                <w:rFonts w:ascii="Arial Narrow" w:hAnsi="Arial Narrow"/>
                <w:b/>
                <w:sz w:val="18"/>
                <w:szCs w:val="18"/>
                <w:lang w:val="es-419"/>
              </w:rPr>
              <w:t>DL-205</w:t>
            </w:r>
          </w:p>
        </w:tc>
        <w:tc>
          <w:tcPr>
            <w:tcW w:w="953" w:type="dxa"/>
            <w:tcBorders>
              <w:top w:val="nil"/>
              <w:bottom w:val="nil"/>
            </w:tcBorders>
            <w:shd w:val="clear" w:color="auto" w:fill="E2E7EB" w:themeFill="accent3" w:themeFillTint="33"/>
            <w:vAlign w:val="bottom"/>
          </w:tcPr>
          <w:p w14:paraId="770520FC" w14:textId="77777777" w:rsidR="007413ED" w:rsidRPr="00F72633" w:rsidRDefault="007413ED" w:rsidP="000E335D">
            <w:pPr>
              <w:spacing w:before="20" w:after="20"/>
              <w:jc w:val="center"/>
              <w:rPr>
                <w:rFonts w:ascii="Arial Narrow" w:hAnsi="Arial Narrow"/>
                <w:b/>
                <w:sz w:val="18"/>
                <w:szCs w:val="18"/>
                <w:lang w:val="es-419"/>
              </w:rPr>
            </w:pPr>
            <w:r w:rsidRPr="00F72633">
              <w:rPr>
                <w:rFonts w:ascii="Arial Narrow" w:hAnsi="Arial Narrow"/>
                <w:b/>
                <w:sz w:val="18"/>
                <w:szCs w:val="18"/>
                <w:lang w:val="es-419"/>
              </w:rPr>
              <w:t>DL-305</w:t>
            </w:r>
          </w:p>
        </w:tc>
        <w:tc>
          <w:tcPr>
            <w:tcW w:w="929" w:type="dxa"/>
            <w:tcBorders>
              <w:top w:val="nil"/>
              <w:bottom w:val="nil"/>
            </w:tcBorders>
            <w:shd w:val="clear" w:color="auto" w:fill="E2E7EB" w:themeFill="accent3" w:themeFillTint="33"/>
            <w:vAlign w:val="bottom"/>
          </w:tcPr>
          <w:p w14:paraId="1ACF67DF" w14:textId="77777777" w:rsidR="007413ED" w:rsidRPr="00F72633" w:rsidRDefault="007413ED" w:rsidP="000E335D">
            <w:pPr>
              <w:spacing w:before="20" w:after="20"/>
              <w:jc w:val="center"/>
              <w:rPr>
                <w:rFonts w:ascii="Arial Narrow" w:hAnsi="Arial Narrow"/>
                <w:b/>
                <w:sz w:val="18"/>
                <w:szCs w:val="18"/>
                <w:lang w:val="es-419"/>
              </w:rPr>
            </w:pPr>
            <w:r w:rsidRPr="00F72633">
              <w:rPr>
                <w:rFonts w:ascii="Arial Narrow" w:hAnsi="Arial Narrow"/>
                <w:b/>
                <w:sz w:val="18"/>
                <w:szCs w:val="18"/>
                <w:lang w:val="es-419"/>
              </w:rPr>
              <w:t>DL-305A</w:t>
            </w:r>
          </w:p>
        </w:tc>
        <w:tc>
          <w:tcPr>
            <w:tcW w:w="929" w:type="dxa"/>
            <w:tcBorders>
              <w:top w:val="nil"/>
              <w:bottom w:val="nil"/>
            </w:tcBorders>
            <w:shd w:val="clear" w:color="auto" w:fill="E2E7EB" w:themeFill="accent3" w:themeFillTint="33"/>
            <w:vAlign w:val="bottom"/>
          </w:tcPr>
          <w:p w14:paraId="21D0A776" w14:textId="77777777" w:rsidR="007413ED" w:rsidRPr="00F72633" w:rsidRDefault="007413ED" w:rsidP="000E335D">
            <w:pPr>
              <w:spacing w:before="20" w:after="20"/>
              <w:jc w:val="center"/>
              <w:rPr>
                <w:rFonts w:ascii="Arial Narrow" w:hAnsi="Arial Narrow"/>
                <w:b/>
                <w:sz w:val="18"/>
                <w:szCs w:val="18"/>
                <w:lang w:val="es-419"/>
              </w:rPr>
            </w:pPr>
            <w:r w:rsidRPr="00F72633">
              <w:rPr>
                <w:rFonts w:ascii="Arial Narrow" w:hAnsi="Arial Narrow"/>
                <w:b/>
                <w:sz w:val="18"/>
                <w:szCs w:val="18"/>
                <w:lang w:val="es-419"/>
              </w:rPr>
              <w:t>DL-305B</w:t>
            </w:r>
          </w:p>
        </w:tc>
        <w:tc>
          <w:tcPr>
            <w:tcW w:w="930" w:type="dxa"/>
            <w:tcBorders>
              <w:top w:val="nil"/>
              <w:bottom w:val="nil"/>
            </w:tcBorders>
            <w:shd w:val="clear" w:color="auto" w:fill="E2E7EB" w:themeFill="accent3" w:themeFillTint="33"/>
            <w:vAlign w:val="bottom"/>
          </w:tcPr>
          <w:p w14:paraId="5CB51E5A" w14:textId="77777777" w:rsidR="007413ED" w:rsidRPr="00F72633" w:rsidRDefault="007413ED" w:rsidP="000E335D">
            <w:pPr>
              <w:spacing w:before="20" w:after="20"/>
              <w:jc w:val="center"/>
              <w:rPr>
                <w:rFonts w:ascii="Arial Narrow" w:hAnsi="Arial Narrow"/>
                <w:b/>
                <w:sz w:val="18"/>
                <w:szCs w:val="18"/>
                <w:lang w:val="es-419"/>
              </w:rPr>
            </w:pPr>
            <w:r w:rsidRPr="00F72633">
              <w:rPr>
                <w:rFonts w:ascii="Arial Narrow" w:hAnsi="Arial Narrow"/>
                <w:b/>
                <w:sz w:val="18"/>
                <w:szCs w:val="18"/>
                <w:lang w:val="es-419"/>
              </w:rPr>
              <w:t>Total</w:t>
            </w:r>
          </w:p>
        </w:tc>
      </w:tr>
      <w:tr w:rsidR="007413ED" w:rsidRPr="00F72633" w14:paraId="65222CE0" w14:textId="77777777" w:rsidTr="000E335D">
        <w:tc>
          <w:tcPr>
            <w:tcW w:w="5103" w:type="dxa"/>
            <w:tcBorders>
              <w:top w:val="nil"/>
            </w:tcBorders>
            <w:vAlign w:val="center"/>
          </w:tcPr>
          <w:p w14:paraId="3FEDE426" w14:textId="7C3D6168" w:rsidR="007413ED" w:rsidRPr="00F72633" w:rsidRDefault="00206E0A" w:rsidP="000E335D">
            <w:pPr>
              <w:jc w:val="left"/>
              <w:rPr>
                <w:rFonts w:ascii="Arial Narrow" w:hAnsi="Arial Narrow"/>
                <w:sz w:val="18"/>
                <w:szCs w:val="18"/>
                <w:lang w:val="es-419"/>
              </w:rPr>
            </w:pPr>
            <w:r w:rsidRPr="00F72633">
              <w:rPr>
                <w:rFonts w:ascii="Arial Narrow" w:eastAsia="MS Mincho" w:hAnsi="Arial Narrow"/>
                <w:sz w:val="18"/>
                <w:szCs w:val="18"/>
                <w:lang w:val="es-419"/>
              </w:rPr>
              <w:t xml:space="preserve">Categoría 1: </w:t>
            </w:r>
            <w:r w:rsidRPr="00F72633">
              <w:rPr>
                <w:rFonts w:ascii="Arial Narrow" w:hAnsi="Arial Narrow"/>
                <w:sz w:val="18"/>
                <w:lang w:val="es-419"/>
              </w:rPr>
              <w:t>funcionarios gubernamentales de miembros de la Unión</w:t>
            </w:r>
          </w:p>
        </w:tc>
        <w:tc>
          <w:tcPr>
            <w:tcW w:w="932" w:type="dxa"/>
            <w:tcBorders>
              <w:top w:val="nil"/>
            </w:tcBorders>
            <w:shd w:val="clear" w:color="auto" w:fill="auto"/>
            <w:vAlign w:val="bottom"/>
          </w:tcPr>
          <w:p w14:paraId="24565C59"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324</w:t>
            </w:r>
          </w:p>
        </w:tc>
        <w:tc>
          <w:tcPr>
            <w:tcW w:w="953" w:type="dxa"/>
            <w:tcBorders>
              <w:top w:val="nil"/>
            </w:tcBorders>
            <w:shd w:val="clear" w:color="auto" w:fill="auto"/>
            <w:vAlign w:val="bottom"/>
          </w:tcPr>
          <w:p w14:paraId="2021944E"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130</w:t>
            </w:r>
          </w:p>
        </w:tc>
        <w:tc>
          <w:tcPr>
            <w:tcW w:w="929" w:type="dxa"/>
            <w:tcBorders>
              <w:top w:val="nil"/>
            </w:tcBorders>
            <w:shd w:val="clear" w:color="auto" w:fill="auto"/>
            <w:vAlign w:val="bottom"/>
          </w:tcPr>
          <w:p w14:paraId="4343433C"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69</w:t>
            </w:r>
          </w:p>
        </w:tc>
        <w:tc>
          <w:tcPr>
            <w:tcW w:w="929" w:type="dxa"/>
            <w:tcBorders>
              <w:top w:val="nil"/>
            </w:tcBorders>
            <w:shd w:val="clear" w:color="auto" w:fill="auto"/>
            <w:vAlign w:val="bottom"/>
          </w:tcPr>
          <w:p w14:paraId="067738E8"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88</w:t>
            </w:r>
          </w:p>
        </w:tc>
        <w:tc>
          <w:tcPr>
            <w:tcW w:w="930" w:type="dxa"/>
            <w:tcBorders>
              <w:top w:val="nil"/>
            </w:tcBorders>
            <w:shd w:val="clear" w:color="auto" w:fill="auto"/>
            <w:vAlign w:val="center"/>
          </w:tcPr>
          <w:p w14:paraId="26CEC32C"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611</w:t>
            </w:r>
          </w:p>
        </w:tc>
      </w:tr>
      <w:tr w:rsidR="007413ED" w:rsidRPr="00F72633" w14:paraId="10E24F66" w14:textId="77777777" w:rsidTr="000E335D">
        <w:tc>
          <w:tcPr>
            <w:tcW w:w="5103" w:type="dxa"/>
            <w:vAlign w:val="center"/>
          </w:tcPr>
          <w:p w14:paraId="6B20688F" w14:textId="17413E82" w:rsidR="007413ED" w:rsidRPr="00F72633" w:rsidRDefault="00206E0A" w:rsidP="000E335D">
            <w:pPr>
              <w:jc w:val="left"/>
              <w:rPr>
                <w:rFonts w:ascii="Arial Narrow" w:hAnsi="Arial Narrow"/>
                <w:sz w:val="18"/>
                <w:szCs w:val="18"/>
                <w:lang w:val="es-419"/>
              </w:rPr>
            </w:pPr>
            <w:r w:rsidRPr="00F72633">
              <w:rPr>
                <w:rFonts w:ascii="Arial Narrow" w:eastAsia="MS Mincho" w:hAnsi="Arial Narrow"/>
                <w:sz w:val="18"/>
                <w:szCs w:val="18"/>
                <w:lang w:val="es-419"/>
              </w:rPr>
              <w:t xml:space="preserve">Categoría 2: </w:t>
            </w:r>
            <w:r w:rsidRPr="00F72633">
              <w:rPr>
                <w:rFonts w:ascii="Arial Narrow" w:hAnsi="Arial Narrow"/>
                <w:sz w:val="18"/>
                <w:lang w:val="es-419"/>
              </w:rPr>
              <w:t>funcionarios de Estados observadores u organizaciones intergubernamentales</w:t>
            </w:r>
          </w:p>
        </w:tc>
        <w:tc>
          <w:tcPr>
            <w:tcW w:w="932" w:type="dxa"/>
            <w:shd w:val="clear" w:color="auto" w:fill="auto"/>
            <w:vAlign w:val="bottom"/>
          </w:tcPr>
          <w:p w14:paraId="55583853"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18</w:t>
            </w:r>
          </w:p>
        </w:tc>
        <w:tc>
          <w:tcPr>
            <w:tcW w:w="953" w:type="dxa"/>
            <w:shd w:val="clear" w:color="auto" w:fill="auto"/>
            <w:vAlign w:val="bottom"/>
          </w:tcPr>
          <w:p w14:paraId="3475A417"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4</w:t>
            </w:r>
          </w:p>
        </w:tc>
        <w:tc>
          <w:tcPr>
            <w:tcW w:w="929" w:type="dxa"/>
            <w:shd w:val="clear" w:color="auto" w:fill="auto"/>
            <w:vAlign w:val="bottom"/>
          </w:tcPr>
          <w:p w14:paraId="2024DB54"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5</w:t>
            </w:r>
          </w:p>
        </w:tc>
        <w:tc>
          <w:tcPr>
            <w:tcW w:w="929" w:type="dxa"/>
            <w:shd w:val="clear" w:color="auto" w:fill="auto"/>
            <w:vAlign w:val="bottom"/>
          </w:tcPr>
          <w:p w14:paraId="40FED83E"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3</w:t>
            </w:r>
          </w:p>
        </w:tc>
        <w:tc>
          <w:tcPr>
            <w:tcW w:w="930" w:type="dxa"/>
            <w:shd w:val="clear" w:color="auto" w:fill="auto"/>
            <w:vAlign w:val="center"/>
          </w:tcPr>
          <w:p w14:paraId="0BBA9B3E"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30</w:t>
            </w:r>
          </w:p>
        </w:tc>
      </w:tr>
      <w:tr w:rsidR="007413ED" w:rsidRPr="00F72633" w14:paraId="74391BF1" w14:textId="77777777" w:rsidTr="000E335D">
        <w:tc>
          <w:tcPr>
            <w:tcW w:w="5103" w:type="dxa"/>
            <w:vAlign w:val="center"/>
          </w:tcPr>
          <w:p w14:paraId="550CC688" w14:textId="4CBF6B2B" w:rsidR="007413ED" w:rsidRPr="00F72633" w:rsidRDefault="00206E0A" w:rsidP="000E335D">
            <w:pPr>
              <w:jc w:val="left"/>
              <w:rPr>
                <w:rFonts w:ascii="Arial Narrow" w:hAnsi="Arial Narrow"/>
                <w:sz w:val="18"/>
                <w:szCs w:val="18"/>
                <w:lang w:val="es-419"/>
              </w:rPr>
            </w:pPr>
            <w:r w:rsidRPr="00F72633">
              <w:rPr>
                <w:rFonts w:ascii="Arial Narrow" w:eastAsia="MS Mincho" w:hAnsi="Arial Narrow"/>
                <w:sz w:val="18"/>
                <w:szCs w:val="18"/>
                <w:lang w:val="es-419"/>
              </w:rPr>
              <w:t>Categoría 3:</w:t>
            </w:r>
            <w:r w:rsidR="007413ED" w:rsidRPr="00F72633">
              <w:rPr>
                <w:rFonts w:ascii="Arial Narrow" w:eastAsia="MS Mincho" w:hAnsi="Arial Narrow"/>
                <w:sz w:val="18"/>
                <w:szCs w:val="18"/>
                <w:lang w:val="es-419"/>
              </w:rPr>
              <w:t xml:space="preserve"> </w:t>
            </w:r>
            <w:r w:rsidRPr="00F72633">
              <w:rPr>
                <w:rFonts w:ascii="Arial Narrow" w:hAnsi="Arial Narrow"/>
                <w:sz w:val="18"/>
                <w:lang w:val="es-419"/>
              </w:rPr>
              <w:t>otros (t</w:t>
            </w:r>
            <w:r w:rsidR="00874D41" w:rsidRPr="00F72633">
              <w:rPr>
                <w:rFonts w:ascii="Arial Narrow" w:hAnsi="Arial Narrow"/>
                <w:sz w:val="18"/>
                <w:lang w:val="es-419"/>
              </w:rPr>
              <w:t>asa de inscripció</w:t>
            </w:r>
            <w:r w:rsidR="008724A2" w:rsidRPr="00F72633">
              <w:rPr>
                <w:rFonts w:ascii="Arial Narrow" w:hAnsi="Arial Narrow"/>
                <w:sz w:val="18"/>
                <w:lang w:val="es-419"/>
              </w:rPr>
              <w:t>n: </w:t>
            </w:r>
            <w:r w:rsidR="00874D41" w:rsidRPr="00F72633">
              <w:rPr>
                <w:rFonts w:ascii="Arial Narrow" w:hAnsi="Arial Narrow"/>
                <w:sz w:val="18"/>
                <w:lang w:val="es-419"/>
              </w:rPr>
              <w:t>1 </w:t>
            </w:r>
            <w:r w:rsidR="008724A2" w:rsidRPr="00F72633">
              <w:rPr>
                <w:rFonts w:ascii="Arial Narrow" w:hAnsi="Arial Narrow"/>
                <w:sz w:val="18"/>
                <w:lang w:val="es-419"/>
              </w:rPr>
              <w:t>000 </w:t>
            </w:r>
            <w:r w:rsidRPr="00F72633">
              <w:rPr>
                <w:rFonts w:ascii="Arial Narrow" w:hAnsi="Arial Narrow"/>
                <w:sz w:val="18"/>
                <w:lang w:val="es-419"/>
              </w:rPr>
              <w:t>francos suizos)</w:t>
            </w:r>
          </w:p>
        </w:tc>
        <w:tc>
          <w:tcPr>
            <w:tcW w:w="932" w:type="dxa"/>
            <w:shd w:val="clear" w:color="auto" w:fill="auto"/>
            <w:vAlign w:val="bottom"/>
          </w:tcPr>
          <w:p w14:paraId="66293E5F"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25</w:t>
            </w:r>
          </w:p>
        </w:tc>
        <w:tc>
          <w:tcPr>
            <w:tcW w:w="953" w:type="dxa"/>
            <w:shd w:val="clear" w:color="auto" w:fill="auto"/>
            <w:vAlign w:val="bottom"/>
          </w:tcPr>
          <w:p w14:paraId="574AC316"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5</w:t>
            </w:r>
          </w:p>
        </w:tc>
        <w:tc>
          <w:tcPr>
            <w:tcW w:w="929" w:type="dxa"/>
            <w:shd w:val="clear" w:color="auto" w:fill="auto"/>
            <w:vAlign w:val="bottom"/>
          </w:tcPr>
          <w:p w14:paraId="6A2B1781"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0</w:t>
            </w:r>
          </w:p>
        </w:tc>
        <w:tc>
          <w:tcPr>
            <w:tcW w:w="929" w:type="dxa"/>
            <w:shd w:val="clear" w:color="auto" w:fill="auto"/>
            <w:vAlign w:val="bottom"/>
          </w:tcPr>
          <w:p w14:paraId="12319B04"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1</w:t>
            </w:r>
          </w:p>
        </w:tc>
        <w:tc>
          <w:tcPr>
            <w:tcW w:w="930" w:type="dxa"/>
            <w:shd w:val="clear" w:color="auto" w:fill="auto"/>
            <w:vAlign w:val="center"/>
          </w:tcPr>
          <w:p w14:paraId="14149231"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31</w:t>
            </w:r>
          </w:p>
        </w:tc>
      </w:tr>
      <w:tr w:rsidR="007413ED" w:rsidRPr="00F72633" w14:paraId="6389364A" w14:textId="77777777" w:rsidTr="000E335D">
        <w:tc>
          <w:tcPr>
            <w:tcW w:w="5103" w:type="dxa"/>
            <w:tcBorders>
              <w:bottom w:val="single" w:sz="8" w:space="0" w:color="D9D9D9" w:themeColor="background1" w:themeShade="D9"/>
            </w:tcBorders>
            <w:vAlign w:val="center"/>
          </w:tcPr>
          <w:p w14:paraId="4DF1EAF4" w14:textId="1C1F7973" w:rsidR="007413ED" w:rsidRPr="00F72633" w:rsidRDefault="00206E0A" w:rsidP="00206E0A">
            <w:pPr>
              <w:jc w:val="left"/>
              <w:rPr>
                <w:rFonts w:ascii="Arial Narrow" w:hAnsi="Arial Narrow"/>
                <w:sz w:val="18"/>
                <w:szCs w:val="18"/>
                <w:lang w:val="es-419"/>
              </w:rPr>
            </w:pPr>
            <w:r w:rsidRPr="00F72633">
              <w:rPr>
                <w:rFonts w:ascii="Arial Narrow" w:eastAsia="MS Mincho" w:hAnsi="Arial Narrow"/>
                <w:sz w:val="18"/>
                <w:szCs w:val="18"/>
                <w:lang w:val="es-419"/>
              </w:rPr>
              <w:t>Categoría</w:t>
            </w:r>
            <w:r w:rsidR="007413ED" w:rsidRPr="00F72633">
              <w:rPr>
                <w:rFonts w:ascii="Arial Narrow" w:eastAsia="MS Mincho" w:hAnsi="Arial Narrow"/>
                <w:sz w:val="18"/>
                <w:szCs w:val="18"/>
                <w:lang w:val="es-419"/>
              </w:rPr>
              <w:t xml:space="preserve"> 4: </w:t>
            </w:r>
            <w:r w:rsidRPr="00F72633">
              <w:rPr>
                <w:rFonts w:ascii="Arial Narrow" w:hAnsi="Arial Narrow"/>
                <w:sz w:val="18"/>
                <w:lang w:val="es-419"/>
              </w:rPr>
              <w:t>exoneración discrecional del pago de la tasa de inscripción para determinados participantes</w:t>
            </w:r>
          </w:p>
        </w:tc>
        <w:tc>
          <w:tcPr>
            <w:tcW w:w="932" w:type="dxa"/>
            <w:tcBorders>
              <w:bottom w:val="single" w:sz="8" w:space="0" w:color="D9D9D9" w:themeColor="background1" w:themeShade="D9"/>
            </w:tcBorders>
            <w:shd w:val="clear" w:color="auto" w:fill="auto"/>
            <w:vAlign w:val="bottom"/>
          </w:tcPr>
          <w:p w14:paraId="54CF7CF7"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9</w:t>
            </w:r>
          </w:p>
        </w:tc>
        <w:tc>
          <w:tcPr>
            <w:tcW w:w="953" w:type="dxa"/>
            <w:tcBorders>
              <w:bottom w:val="single" w:sz="8" w:space="0" w:color="D9D9D9" w:themeColor="background1" w:themeShade="D9"/>
            </w:tcBorders>
            <w:shd w:val="clear" w:color="auto" w:fill="auto"/>
            <w:vAlign w:val="bottom"/>
          </w:tcPr>
          <w:p w14:paraId="36F9DFE8"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2</w:t>
            </w:r>
          </w:p>
        </w:tc>
        <w:tc>
          <w:tcPr>
            <w:tcW w:w="929" w:type="dxa"/>
            <w:tcBorders>
              <w:bottom w:val="single" w:sz="8" w:space="0" w:color="D9D9D9" w:themeColor="background1" w:themeShade="D9"/>
            </w:tcBorders>
            <w:shd w:val="clear" w:color="auto" w:fill="auto"/>
            <w:vAlign w:val="bottom"/>
          </w:tcPr>
          <w:p w14:paraId="2B0F8865"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0</w:t>
            </w:r>
          </w:p>
        </w:tc>
        <w:tc>
          <w:tcPr>
            <w:tcW w:w="929" w:type="dxa"/>
            <w:tcBorders>
              <w:bottom w:val="single" w:sz="8" w:space="0" w:color="D9D9D9" w:themeColor="background1" w:themeShade="D9"/>
            </w:tcBorders>
            <w:shd w:val="clear" w:color="auto" w:fill="auto"/>
            <w:vAlign w:val="bottom"/>
          </w:tcPr>
          <w:p w14:paraId="0DF05E9D"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1</w:t>
            </w:r>
          </w:p>
        </w:tc>
        <w:tc>
          <w:tcPr>
            <w:tcW w:w="930" w:type="dxa"/>
            <w:tcBorders>
              <w:bottom w:val="single" w:sz="8" w:space="0" w:color="D9D9D9" w:themeColor="background1" w:themeShade="D9"/>
            </w:tcBorders>
            <w:shd w:val="clear" w:color="auto" w:fill="auto"/>
            <w:vAlign w:val="center"/>
          </w:tcPr>
          <w:p w14:paraId="596A714B" w14:textId="77777777" w:rsidR="007413ED" w:rsidRPr="00F72633" w:rsidRDefault="007413ED" w:rsidP="000E335D">
            <w:pPr>
              <w:jc w:val="center"/>
              <w:rPr>
                <w:rFonts w:ascii="Arial Narrow" w:hAnsi="Arial Narrow"/>
                <w:sz w:val="18"/>
                <w:szCs w:val="18"/>
                <w:lang w:val="es-419"/>
              </w:rPr>
            </w:pPr>
            <w:r w:rsidRPr="00F72633">
              <w:rPr>
                <w:rFonts w:ascii="Arial Narrow" w:hAnsi="Arial Narrow"/>
                <w:sz w:val="18"/>
                <w:szCs w:val="18"/>
                <w:lang w:val="es-419"/>
              </w:rPr>
              <w:t>12</w:t>
            </w:r>
          </w:p>
        </w:tc>
      </w:tr>
      <w:tr w:rsidR="007413ED" w:rsidRPr="00F72633" w14:paraId="2736F166" w14:textId="77777777" w:rsidTr="000E335D">
        <w:tc>
          <w:tcPr>
            <w:tcW w:w="5103" w:type="dxa"/>
            <w:tcBorders>
              <w:top w:val="single" w:sz="8" w:space="0" w:color="D9D9D9" w:themeColor="background1" w:themeShade="D9"/>
              <w:bottom w:val="nil"/>
            </w:tcBorders>
          </w:tcPr>
          <w:p w14:paraId="21F4B23D" w14:textId="77777777" w:rsidR="007413ED" w:rsidRPr="00F72633" w:rsidRDefault="006449D7" w:rsidP="000E335D">
            <w:pPr>
              <w:jc w:val="right"/>
              <w:rPr>
                <w:rFonts w:ascii="Arial Narrow" w:eastAsia="MS Mincho" w:hAnsi="Arial Narrow"/>
                <w:sz w:val="18"/>
                <w:szCs w:val="18"/>
                <w:lang w:val="es-419"/>
              </w:rPr>
            </w:pPr>
            <w:r w:rsidRPr="00F72633">
              <w:rPr>
                <w:rFonts w:ascii="Arial Narrow" w:eastAsia="MS Mincho" w:hAnsi="Arial Narrow"/>
                <w:sz w:val="18"/>
                <w:szCs w:val="18"/>
                <w:lang w:val="es-419"/>
              </w:rPr>
              <w:t>Total:</w:t>
            </w:r>
          </w:p>
        </w:tc>
        <w:tc>
          <w:tcPr>
            <w:tcW w:w="932" w:type="dxa"/>
            <w:tcBorders>
              <w:top w:val="single" w:sz="8" w:space="0" w:color="D9D9D9" w:themeColor="background1" w:themeShade="D9"/>
              <w:bottom w:val="nil"/>
            </w:tcBorders>
            <w:shd w:val="clear" w:color="auto" w:fill="auto"/>
          </w:tcPr>
          <w:p w14:paraId="4366A394" w14:textId="77777777" w:rsidR="007413ED" w:rsidRPr="00F72633" w:rsidRDefault="007413ED" w:rsidP="006449D7">
            <w:pPr>
              <w:spacing w:after="120"/>
              <w:jc w:val="center"/>
              <w:rPr>
                <w:rFonts w:ascii="Arial Narrow" w:hAnsi="Arial Narrow"/>
                <w:sz w:val="18"/>
                <w:szCs w:val="18"/>
                <w:lang w:val="es-419"/>
              </w:rPr>
            </w:pPr>
            <w:r w:rsidRPr="00F72633">
              <w:rPr>
                <w:rFonts w:ascii="Arial Narrow" w:hAnsi="Arial Narrow"/>
                <w:sz w:val="18"/>
                <w:szCs w:val="18"/>
                <w:lang w:val="es-419"/>
              </w:rPr>
              <w:t>376</w:t>
            </w:r>
          </w:p>
        </w:tc>
        <w:tc>
          <w:tcPr>
            <w:tcW w:w="953" w:type="dxa"/>
            <w:tcBorders>
              <w:top w:val="single" w:sz="8" w:space="0" w:color="D9D9D9" w:themeColor="background1" w:themeShade="D9"/>
              <w:bottom w:val="nil"/>
            </w:tcBorders>
            <w:shd w:val="clear" w:color="auto" w:fill="auto"/>
          </w:tcPr>
          <w:p w14:paraId="539E414D" w14:textId="77777777" w:rsidR="007413ED" w:rsidRPr="00F72633" w:rsidRDefault="007413ED" w:rsidP="006449D7">
            <w:pPr>
              <w:spacing w:after="120"/>
              <w:jc w:val="center"/>
              <w:rPr>
                <w:rFonts w:ascii="Arial Narrow" w:hAnsi="Arial Narrow"/>
                <w:sz w:val="18"/>
                <w:szCs w:val="18"/>
                <w:lang w:val="es-419"/>
              </w:rPr>
            </w:pPr>
            <w:r w:rsidRPr="00F72633">
              <w:rPr>
                <w:rFonts w:ascii="Arial Narrow" w:hAnsi="Arial Narrow"/>
                <w:sz w:val="18"/>
                <w:szCs w:val="18"/>
                <w:lang w:val="es-419"/>
              </w:rPr>
              <w:t>141</w:t>
            </w:r>
          </w:p>
        </w:tc>
        <w:tc>
          <w:tcPr>
            <w:tcW w:w="929" w:type="dxa"/>
            <w:tcBorders>
              <w:top w:val="single" w:sz="8" w:space="0" w:color="D9D9D9" w:themeColor="background1" w:themeShade="D9"/>
              <w:bottom w:val="nil"/>
            </w:tcBorders>
            <w:shd w:val="clear" w:color="auto" w:fill="auto"/>
          </w:tcPr>
          <w:p w14:paraId="793C0D52" w14:textId="77777777" w:rsidR="007413ED" w:rsidRPr="00F72633" w:rsidRDefault="007413ED" w:rsidP="006449D7">
            <w:pPr>
              <w:spacing w:after="120"/>
              <w:jc w:val="center"/>
              <w:rPr>
                <w:rFonts w:ascii="Arial Narrow" w:hAnsi="Arial Narrow"/>
                <w:sz w:val="18"/>
                <w:szCs w:val="18"/>
                <w:lang w:val="es-419"/>
              </w:rPr>
            </w:pPr>
            <w:r w:rsidRPr="00F72633">
              <w:rPr>
                <w:rFonts w:ascii="Arial Narrow" w:hAnsi="Arial Narrow"/>
                <w:sz w:val="18"/>
                <w:szCs w:val="18"/>
                <w:lang w:val="es-419"/>
              </w:rPr>
              <w:t>74</w:t>
            </w:r>
          </w:p>
        </w:tc>
        <w:tc>
          <w:tcPr>
            <w:tcW w:w="929" w:type="dxa"/>
            <w:tcBorders>
              <w:top w:val="single" w:sz="8" w:space="0" w:color="D9D9D9" w:themeColor="background1" w:themeShade="D9"/>
              <w:bottom w:val="nil"/>
            </w:tcBorders>
            <w:shd w:val="clear" w:color="auto" w:fill="auto"/>
          </w:tcPr>
          <w:p w14:paraId="0FD807A4" w14:textId="77777777" w:rsidR="007413ED" w:rsidRPr="00F72633" w:rsidRDefault="007413ED" w:rsidP="006449D7">
            <w:pPr>
              <w:spacing w:after="120"/>
              <w:jc w:val="center"/>
              <w:rPr>
                <w:rFonts w:ascii="Arial Narrow" w:hAnsi="Arial Narrow"/>
                <w:sz w:val="18"/>
                <w:szCs w:val="18"/>
                <w:lang w:val="es-419"/>
              </w:rPr>
            </w:pPr>
            <w:r w:rsidRPr="00F72633">
              <w:rPr>
                <w:rFonts w:ascii="Arial Narrow" w:hAnsi="Arial Narrow"/>
                <w:sz w:val="18"/>
                <w:szCs w:val="18"/>
                <w:lang w:val="es-419"/>
              </w:rPr>
              <w:t>93</w:t>
            </w:r>
          </w:p>
        </w:tc>
        <w:tc>
          <w:tcPr>
            <w:tcW w:w="930" w:type="dxa"/>
            <w:tcBorders>
              <w:top w:val="single" w:sz="8" w:space="0" w:color="D9D9D9" w:themeColor="background1" w:themeShade="D9"/>
              <w:bottom w:val="nil"/>
            </w:tcBorders>
            <w:shd w:val="clear" w:color="auto" w:fill="auto"/>
          </w:tcPr>
          <w:p w14:paraId="6DA9D400" w14:textId="77777777" w:rsidR="007413ED" w:rsidRPr="00F72633" w:rsidRDefault="007413ED" w:rsidP="006449D7">
            <w:pPr>
              <w:spacing w:after="120"/>
              <w:jc w:val="center"/>
              <w:rPr>
                <w:rFonts w:ascii="Arial Narrow" w:hAnsi="Arial Narrow"/>
                <w:bCs/>
                <w:sz w:val="18"/>
                <w:szCs w:val="18"/>
                <w:lang w:val="es-419"/>
              </w:rPr>
            </w:pPr>
            <w:r w:rsidRPr="00F72633">
              <w:rPr>
                <w:rFonts w:ascii="Arial Narrow" w:hAnsi="Arial Narrow"/>
                <w:sz w:val="18"/>
                <w:szCs w:val="18"/>
                <w:lang w:val="es-419"/>
              </w:rPr>
              <w:t>684</w:t>
            </w:r>
          </w:p>
        </w:tc>
      </w:tr>
    </w:tbl>
    <w:p w14:paraId="01D79107" w14:textId="77777777" w:rsidR="003E3C19" w:rsidRPr="00F72633" w:rsidRDefault="003E3C19" w:rsidP="003E3C19">
      <w:pPr>
        <w:rPr>
          <w:rFonts w:ascii="Arial Narrow" w:hAnsi="Arial Narrow"/>
          <w:sz w:val="18"/>
          <w:szCs w:val="18"/>
          <w:lang w:val="es-419"/>
        </w:rPr>
      </w:pPr>
    </w:p>
    <w:p w14:paraId="45E36B25" w14:textId="77777777" w:rsidR="003E3C19" w:rsidRPr="00F72633" w:rsidRDefault="003E3C19" w:rsidP="003E3C19">
      <w:pPr>
        <w:rPr>
          <w:rFonts w:ascii="Arial Narrow" w:hAnsi="Arial Narrow"/>
          <w:sz w:val="18"/>
          <w:szCs w:val="18"/>
          <w:lang w:val="es-419"/>
        </w:rPr>
      </w:pPr>
    </w:p>
    <w:p w14:paraId="40924DB9" w14:textId="4BDC005C" w:rsidR="003E3C19" w:rsidRPr="00F72633" w:rsidRDefault="003E3C19" w:rsidP="00AF3F69">
      <w:pPr>
        <w:pStyle w:val="Caption"/>
        <w:rPr>
          <w:lang w:val="es-419"/>
        </w:rPr>
      </w:pPr>
      <w:r w:rsidRPr="00F72633">
        <w:rPr>
          <w:lang w:val="es-419"/>
        </w:rPr>
        <w:t>Figur</w:t>
      </w:r>
      <w:r w:rsidR="00764788" w:rsidRPr="00F72633">
        <w:rPr>
          <w:lang w:val="es-419"/>
        </w:rPr>
        <w:t>a</w:t>
      </w:r>
      <w:r w:rsidRPr="00F72633">
        <w:rPr>
          <w:lang w:val="es-419"/>
        </w:rPr>
        <w:t xml:space="preserve"> </w:t>
      </w:r>
      <w:r w:rsidR="00856107" w:rsidRPr="00F72633">
        <w:rPr>
          <w:lang w:val="es-419"/>
        </w:rPr>
        <w:t>23</w:t>
      </w:r>
      <w:r w:rsidR="00764788" w:rsidRPr="00F72633">
        <w:rPr>
          <w:lang w:val="es-419"/>
        </w:rPr>
        <w:t xml:space="preserve">. Participación en los cursos </w:t>
      </w:r>
      <w:r w:rsidRPr="00F72633">
        <w:rPr>
          <w:lang w:val="es-419"/>
        </w:rPr>
        <w:t xml:space="preserve">UPOV DL-205, DL-305, DL-305A </w:t>
      </w:r>
      <w:r w:rsidR="00764788" w:rsidRPr="00F72633">
        <w:rPr>
          <w:lang w:val="es-419"/>
        </w:rPr>
        <w:t>y</w:t>
      </w:r>
      <w:r w:rsidRPr="00F72633">
        <w:rPr>
          <w:lang w:val="es-419"/>
        </w:rPr>
        <w:t xml:space="preserve"> DL-305B </w:t>
      </w:r>
      <w:r w:rsidR="00764788" w:rsidRPr="00F72633">
        <w:rPr>
          <w:lang w:val="es-419"/>
        </w:rPr>
        <w:t>en</w:t>
      </w:r>
      <w:r w:rsidRPr="00F72633">
        <w:rPr>
          <w:lang w:val="es-419"/>
        </w:rPr>
        <w:t xml:space="preserve"> 2022</w:t>
      </w:r>
    </w:p>
    <w:p w14:paraId="47BC9689" w14:textId="77777777" w:rsidR="003E3C19" w:rsidRPr="00F72633" w:rsidRDefault="007413ED" w:rsidP="003E3C19">
      <w:pPr>
        <w:jc w:val="center"/>
        <w:rPr>
          <w:rFonts w:ascii="Arial Narrow" w:hAnsi="Arial Narrow"/>
          <w:lang w:val="es-419"/>
        </w:rPr>
      </w:pPr>
      <w:r w:rsidRPr="00F72633">
        <w:rPr>
          <w:noProof/>
          <w:lang w:eastAsia="en-US"/>
        </w:rPr>
        <w:drawing>
          <wp:inline distT="0" distB="0" distL="0" distR="0" wp14:anchorId="1378456A" wp14:editId="080BB85F">
            <wp:extent cx="5613296" cy="2829437"/>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625346" cy="2835511"/>
                    </a:xfrm>
                    <a:prstGeom prst="rect">
                      <a:avLst/>
                    </a:prstGeom>
                  </pic:spPr>
                </pic:pic>
              </a:graphicData>
            </a:graphic>
          </wp:inline>
        </w:drawing>
      </w:r>
      <w:r w:rsidR="003E3C19" w:rsidRPr="00F72633">
        <w:rPr>
          <w:lang w:val="es-419"/>
        </w:rPr>
        <w:t xml:space="preserve"> </w:t>
      </w:r>
    </w:p>
    <w:p w14:paraId="28E7E7ED" w14:textId="3986610C" w:rsidR="003E3C19" w:rsidRPr="00F72633" w:rsidRDefault="00764788" w:rsidP="003E3C19">
      <w:pPr>
        <w:pStyle w:val="BodyText"/>
        <w:ind w:left="426" w:right="425"/>
        <w:rPr>
          <w:rFonts w:ascii="Arial Narrow" w:hAnsi="Arial Narrow"/>
          <w:sz w:val="12"/>
          <w:szCs w:val="12"/>
          <w:lang w:val="es-419"/>
        </w:rPr>
      </w:pPr>
      <w:r w:rsidRPr="00F72633">
        <w:rPr>
          <w:rFonts w:ascii="Arial Narrow" w:hAnsi="Arial Narrow"/>
          <w:sz w:val="12"/>
          <w:lang w:val="es-419"/>
        </w:rPr>
        <w:t>Las fronteras que figuran en este mapa no implican la expresión de opinión alguna por parte de la UPOV sobre la condición jurídica de ningún país o territorio</w:t>
      </w:r>
    </w:p>
    <w:p w14:paraId="63B946FD" w14:textId="5B8D9C9C" w:rsidR="003E3C19" w:rsidRPr="00F72633" w:rsidRDefault="003E3C19" w:rsidP="003E3C19">
      <w:pPr>
        <w:spacing w:before="120"/>
        <w:jc w:val="center"/>
        <w:rPr>
          <w:rFonts w:ascii="Arial Narrow" w:hAnsi="Arial Narrow"/>
          <w:lang w:val="es-419"/>
        </w:rPr>
      </w:pPr>
      <w:r w:rsidRPr="00F72633">
        <w:rPr>
          <w:rFonts w:ascii="Arial Narrow" w:hAnsi="Arial Narrow"/>
          <w:noProof/>
          <w:lang w:eastAsia="en-US"/>
        </w:rPr>
        <w:drawing>
          <wp:inline distT="0" distB="0" distL="0" distR="0" wp14:anchorId="44ACC537" wp14:editId="3316AB5E">
            <wp:extent cx="122400" cy="115200"/>
            <wp:effectExtent l="19050" t="19050" r="11430" b="184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22400" cy="115200"/>
                    </a:xfrm>
                    <a:prstGeom prst="rect">
                      <a:avLst/>
                    </a:prstGeom>
                    <a:ln>
                      <a:solidFill>
                        <a:schemeClr val="tx1"/>
                      </a:solidFill>
                    </a:ln>
                  </pic:spPr>
                </pic:pic>
              </a:graphicData>
            </a:graphic>
          </wp:inline>
        </w:drawing>
      </w:r>
      <w:r w:rsidR="00933446" w:rsidRPr="00F72633">
        <w:rPr>
          <w:rFonts w:ascii="Arial Narrow" w:hAnsi="Arial Narrow"/>
          <w:sz w:val="16"/>
          <w:szCs w:val="16"/>
          <w:lang w:val="es-419"/>
        </w:rPr>
        <w:t xml:space="preserve"> </w:t>
      </w:r>
      <w:r w:rsidR="00604574" w:rsidRPr="00F72633">
        <w:rPr>
          <w:rFonts w:ascii="Arial Narrow" w:hAnsi="Arial Narrow"/>
          <w:sz w:val="16"/>
          <w:szCs w:val="16"/>
          <w:lang w:val="es-419"/>
        </w:rPr>
        <w:t>Miembros de la Unión</w:t>
      </w:r>
      <w:r w:rsidRPr="00F72633">
        <w:rPr>
          <w:rFonts w:ascii="Arial Narrow" w:hAnsi="Arial Narrow"/>
          <w:sz w:val="16"/>
          <w:szCs w:val="16"/>
          <w:lang w:val="es-419"/>
        </w:rPr>
        <w:tab/>
      </w:r>
      <w:r w:rsidRPr="00F72633">
        <w:rPr>
          <w:rFonts w:ascii="Arial Narrow" w:hAnsi="Arial Narrow"/>
          <w:sz w:val="16"/>
          <w:szCs w:val="16"/>
          <w:lang w:val="es-419"/>
        </w:rPr>
        <w:tab/>
      </w:r>
      <w:r w:rsidRPr="00F72633">
        <w:rPr>
          <w:rFonts w:ascii="Arial Narrow" w:hAnsi="Arial Narrow"/>
          <w:noProof/>
          <w:lang w:eastAsia="en-US"/>
        </w:rPr>
        <w:drawing>
          <wp:inline distT="0" distB="0" distL="0" distR="0" wp14:anchorId="07B90D91" wp14:editId="614A340A">
            <wp:extent cx="122400" cy="115200"/>
            <wp:effectExtent l="19050" t="19050" r="11430" b="184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122400" cy="115200"/>
                    </a:xfrm>
                    <a:prstGeom prst="rect">
                      <a:avLst/>
                    </a:prstGeom>
                    <a:ln>
                      <a:solidFill>
                        <a:schemeClr val="tx1"/>
                      </a:solidFill>
                    </a:ln>
                  </pic:spPr>
                </pic:pic>
              </a:graphicData>
            </a:graphic>
          </wp:inline>
        </w:drawing>
      </w:r>
      <w:r w:rsidR="00933446" w:rsidRPr="00F72633">
        <w:rPr>
          <w:rFonts w:ascii="Arial Narrow" w:hAnsi="Arial Narrow"/>
          <w:sz w:val="16"/>
          <w:szCs w:val="16"/>
          <w:lang w:val="es-419"/>
        </w:rPr>
        <w:t xml:space="preserve"> </w:t>
      </w:r>
      <w:r w:rsidR="006D3011" w:rsidRPr="00F72633">
        <w:rPr>
          <w:rFonts w:ascii="Arial Narrow" w:hAnsi="Arial Narrow"/>
          <w:sz w:val="16"/>
          <w:szCs w:val="16"/>
          <w:lang w:val="es-419"/>
        </w:rPr>
        <w:t>No miembros de</w:t>
      </w:r>
      <w:r w:rsidR="00604574" w:rsidRPr="00F72633">
        <w:rPr>
          <w:rFonts w:ascii="Arial Narrow" w:hAnsi="Arial Narrow"/>
          <w:sz w:val="16"/>
          <w:szCs w:val="16"/>
          <w:lang w:val="es-419"/>
        </w:rPr>
        <w:t xml:space="preserve"> la Unión</w:t>
      </w:r>
    </w:p>
    <w:p w14:paraId="55E53439" w14:textId="77777777" w:rsidR="00B525A5" w:rsidRPr="00F72633" w:rsidRDefault="00B525A5" w:rsidP="003E3C19">
      <w:pPr>
        <w:rPr>
          <w:rFonts w:ascii="Arial Narrow" w:hAnsi="Arial Narrow"/>
          <w:sz w:val="18"/>
          <w:szCs w:val="18"/>
          <w:lang w:val="es-419"/>
        </w:rPr>
      </w:pPr>
    </w:p>
    <w:p w14:paraId="55114027" w14:textId="77777777" w:rsidR="00B525A5" w:rsidRPr="00F72633" w:rsidRDefault="00B525A5" w:rsidP="003E3C19">
      <w:pPr>
        <w:rPr>
          <w:rFonts w:ascii="Arial Narrow" w:hAnsi="Arial Narrow"/>
          <w:sz w:val="18"/>
          <w:szCs w:val="18"/>
          <w:lang w:val="es-419"/>
        </w:rPr>
      </w:pPr>
    </w:p>
    <w:p w14:paraId="11D70305" w14:textId="0089FBBB" w:rsidR="003C2911" w:rsidRPr="00F72633" w:rsidRDefault="003C2911" w:rsidP="00AF3F69">
      <w:pPr>
        <w:pStyle w:val="Caption"/>
        <w:rPr>
          <w:lang w:val="es-419"/>
        </w:rPr>
      </w:pPr>
      <w:bookmarkStart w:id="38" w:name="_Toc48142772"/>
      <w:r w:rsidRPr="00F72633">
        <w:rPr>
          <w:lang w:val="es-419"/>
        </w:rPr>
        <w:t>Figur</w:t>
      </w:r>
      <w:r w:rsidR="00764788" w:rsidRPr="00F72633">
        <w:rPr>
          <w:lang w:val="es-419"/>
        </w:rPr>
        <w:t>a</w:t>
      </w:r>
      <w:r w:rsidRPr="00F72633">
        <w:rPr>
          <w:lang w:val="es-419"/>
        </w:rPr>
        <w:t xml:space="preserve"> 24. </w:t>
      </w:r>
      <w:bookmarkEnd w:id="38"/>
      <w:r w:rsidR="00764788" w:rsidRPr="00F72633">
        <w:rPr>
          <w:lang w:val="es-419"/>
        </w:rPr>
        <w:t>Participantes en los cursos de enseñanza a distancia, por idioma</w:t>
      </w:r>
      <w:r w:rsidRPr="00F72633">
        <w:rPr>
          <w:rStyle w:val="FootnoteReference"/>
          <w:lang w:val="es-419"/>
        </w:rPr>
        <w:footnoteReference w:id="6"/>
      </w:r>
    </w:p>
    <w:p w14:paraId="009B8B0C" w14:textId="58DCEB5E" w:rsidR="003E3C19" w:rsidRPr="00F72633" w:rsidRDefault="00E4799C" w:rsidP="006F4552">
      <w:pPr>
        <w:jc w:val="center"/>
        <w:rPr>
          <w:lang w:val="es-419"/>
        </w:rPr>
      </w:pPr>
      <w:r w:rsidRPr="00F72633">
        <w:rPr>
          <w:noProof/>
          <w:lang w:eastAsia="en-US"/>
        </w:rPr>
        <w:drawing>
          <wp:inline distT="0" distB="0" distL="0" distR="0" wp14:anchorId="0BDD38BB" wp14:editId="453B0055">
            <wp:extent cx="3856567" cy="2812157"/>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881467" cy="2830313"/>
                    </a:xfrm>
                    <a:prstGeom prst="rect">
                      <a:avLst/>
                    </a:prstGeom>
                    <a:noFill/>
                    <a:ln>
                      <a:noFill/>
                    </a:ln>
                  </pic:spPr>
                </pic:pic>
              </a:graphicData>
            </a:graphic>
          </wp:inline>
        </w:drawing>
      </w:r>
    </w:p>
    <w:p w14:paraId="6A31EF9F" w14:textId="77777777" w:rsidR="003E3C19" w:rsidRPr="00F72633" w:rsidRDefault="003E3C19" w:rsidP="003E3C19">
      <w:pPr>
        <w:rPr>
          <w:lang w:val="es-419"/>
        </w:rPr>
      </w:pPr>
      <w:r w:rsidRPr="00F72633">
        <w:rPr>
          <w:lang w:val="es-419"/>
        </w:rPr>
        <w:br w:type="page"/>
      </w:r>
    </w:p>
    <w:p w14:paraId="18C2A3AC" w14:textId="748B16BB" w:rsidR="003E3C19" w:rsidRPr="00F72633" w:rsidRDefault="00491853" w:rsidP="003E3C19">
      <w:pPr>
        <w:pStyle w:val="Heading2"/>
        <w:rPr>
          <w:lang w:val="es-419"/>
        </w:rPr>
      </w:pPr>
      <w:bookmarkStart w:id="39" w:name="_Toc80365154"/>
      <w:bookmarkStart w:id="40" w:name="_Toc143527475"/>
      <w:r w:rsidRPr="00F72633">
        <w:rPr>
          <w:lang w:val="es-419"/>
        </w:rPr>
        <w:lastRenderedPageBreak/>
        <w:t>SUBPROGRAMA</w:t>
      </w:r>
      <w:r w:rsidR="003E3C19" w:rsidRPr="00F72633">
        <w:rPr>
          <w:lang w:val="es-419"/>
        </w:rPr>
        <w:t xml:space="preserve"> UV.4:</w:t>
      </w:r>
      <w:r w:rsidR="00933446" w:rsidRPr="00F72633">
        <w:rPr>
          <w:lang w:val="es-419"/>
        </w:rPr>
        <w:t xml:space="preserve"> </w:t>
      </w:r>
      <w:bookmarkEnd w:id="39"/>
      <w:r w:rsidR="00AC0F6F" w:rsidRPr="00F72633">
        <w:rPr>
          <w:lang w:val="es-419"/>
        </w:rPr>
        <w:t>Relaciones exteriores</w:t>
      </w:r>
      <w:bookmarkEnd w:id="40"/>
    </w:p>
    <w:p w14:paraId="7E0DB48E" w14:textId="005F0F6D" w:rsidR="003E3C19" w:rsidRPr="00F72633" w:rsidRDefault="00E044FA" w:rsidP="003E3C19">
      <w:pPr>
        <w:pStyle w:val="Heading3"/>
        <w:rPr>
          <w:lang w:val="es-419"/>
        </w:rPr>
      </w:pPr>
      <w:r w:rsidRPr="00F72633">
        <w:rPr>
          <w:lang w:val="es-419"/>
        </w:rPr>
        <w:t>Objetivos</w:t>
      </w:r>
      <w:r w:rsidR="00CD46DC" w:rsidRPr="00F72633">
        <w:rPr>
          <w:lang w:val="es-419"/>
        </w:rPr>
        <w:t>:</w:t>
      </w:r>
    </w:p>
    <w:p w14:paraId="6ED498D4" w14:textId="22F88C92" w:rsidR="007C2966" w:rsidRPr="00F72633" w:rsidRDefault="007C2966" w:rsidP="007C2966">
      <w:pPr>
        <w:spacing w:after="40"/>
        <w:ind w:left="567" w:hanging="567"/>
        <w:rPr>
          <w:rFonts w:ascii="ArialMT" w:eastAsia="Times New Roman" w:hAnsi="ArialMT" w:cs="ArialMT"/>
          <w:sz w:val="19"/>
          <w:szCs w:val="19"/>
          <w:lang w:val="es-419" w:eastAsia="en-US"/>
        </w:rPr>
      </w:pPr>
      <w:r w:rsidRPr="00F72633">
        <w:rPr>
          <w:rFonts w:ascii="ArialMT" w:eastAsia="Times New Roman" w:hAnsi="ArialMT" w:cs="ArialMT"/>
          <w:sz w:val="19"/>
          <w:szCs w:val="19"/>
          <w:lang w:val="es-419" w:eastAsia="en-US"/>
        </w:rPr>
        <w:t>a)</w:t>
      </w:r>
      <w:r w:rsidRPr="00F72633">
        <w:rPr>
          <w:rFonts w:ascii="ArialMT" w:eastAsia="Times New Roman" w:hAnsi="ArialMT" w:cs="ArialMT"/>
          <w:sz w:val="19"/>
          <w:szCs w:val="19"/>
          <w:lang w:val="es-419" w:eastAsia="en-US"/>
        </w:rPr>
        <w:tab/>
      </w:r>
      <w:r w:rsidR="00F61B62" w:rsidRPr="00F72633">
        <w:rPr>
          <w:rFonts w:ascii="ArialMT" w:hAnsi="ArialMT"/>
          <w:sz w:val="19"/>
          <w:lang w:val="es-419"/>
        </w:rPr>
        <w:t xml:space="preserve">Sensibilizar </w:t>
      </w:r>
      <w:r w:rsidR="00CD46DC" w:rsidRPr="00F72633">
        <w:rPr>
          <w:rFonts w:ascii="ArialMT" w:hAnsi="ArialMT"/>
          <w:sz w:val="19"/>
          <w:lang w:val="es-419"/>
        </w:rPr>
        <w:t>y concienciar acerca del sistema de protección de las variedades vegetales de la UPOV;</w:t>
      </w:r>
    </w:p>
    <w:p w14:paraId="6CF7F6EC" w14:textId="435365E3" w:rsidR="003E3C19" w:rsidRPr="00F72633" w:rsidRDefault="007C2966" w:rsidP="007C2966">
      <w:pPr>
        <w:spacing w:after="40"/>
        <w:ind w:left="567" w:hanging="567"/>
        <w:rPr>
          <w:lang w:val="es-419"/>
        </w:rPr>
      </w:pPr>
      <w:r w:rsidRPr="00F72633">
        <w:rPr>
          <w:rFonts w:ascii="ArialMT" w:eastAsia="Times New Roman" w:hAnsi="ArialMT" w:cs="ArialMT"/>
          <w:sz w:val="19"/>
          <w:szCs w:val="19"/>
          <w:lang w:val="es-419" w:eastAsia="en-US"/>
        </w:rPr>
        <w:t>b)</w:t>
      </w:r>
      <w:r w:rsidRPr="00F72633">
        <w:rPr>
          <w:rFonts w:ascii="ArialMT" w:eastAsia="Times New Roman" w:hAnsi="ArialMT" w:cs="ArialMT"/>
          <w:sz w:val="19"/>
          <w:szCs w:val="19"/>
          <w:lang w:val="es-419" w:eastAsia="en-US"/>
        </w:rPr>
        <w:tab/>
      </w:r>
      <w:r w:rsidR="00F61B62" w:rsidRPr="00F72633">
        <w:rPr>
          <w:rFonts w:ascii="ArialMT" w:hAnsi="ArialMT"/>
          <w:sz w:val="19"/>
          <w:lang w:val="es-419"/>
        </w:rPr>
        <w:t xml:space="preserve">Proporcionar </w:t>
      </w:r>
      <w:r w:rsidR="00CD46DC" w:rsidRPr="00F72633">
        <w:rPr>
          <w:rFonts w:ascii="ArialMT" w:hAnsi="ArialMT"/>
          <w:sz w:val="19"/>
          <w:lang w:val="es-419"/>
        </w:rPr>
        <w:t>información sobre el Convenio de la UPOV a otras organizaciones intergubernamentales en aras de la complementariedad con otros tratados internacionales</w:t>
      </w:r>
      <w:r w:rsidRPr="00F72633">
        <w:rPr>
          <w:rFonts w:ascii="ArialMT" w:eastAsia="Times New Roman" w:hAnsi="ArialMT" w:cs="ArialMT"/>
          <w:sz w:val="19"/>
          <w:szCs w:val="19"/>
          <w:lang w:val="es-419" w:eastAsia="en-US"/>
        </w:rPr>
        <w:t>.</w:t>
      </w:r>
    </w:p>
    <w:p w14:paraId="7FC8A9F3" w14:textId="77777777" w:rsidR="003E3C19" w:rsidRPr="00F72633" w:rsidRDefault="003E3C19" w:rsidP="003E3C19">
      <w:pPr>
        <w:rPr>
          <w:lang w:val="es-419"/>
        </w:rPr>
      </w:pPr>
    </w:p>
    <w:p w14:paraId="502CD6F9" w14:textId="5398CDA6" w:rsidR="003E3C19" w:rsidRPr="00F72633" w:rsidRDefault="00E044FA" w:rsidP="003E3C19">
      <w:pPr>
        <w:pStyle w:val="Heading3"/>
        <w:rPr>
          <w:lang w:val="es-419"/>
        </w:rPr>
      </w:pPr>
      <w:r w:rsidRPr="00F72633">
        <w:rPr>
          <w:lang w:val="es-419"/>
        </w:rPr>
        <w:t>Datos sobre el rendimiento</w:t>
      </w:r>
      <w:r w:rsidR="003E3C19" w:rsidRPr="00F72633">
        <w:rPr>
          <w:lang w:val="es-419"/>
        </w:rPr>
        <w:t>:</w:t>
      </w:r>
    </w:p>
    <w:tbl>
      <w:tblPr>
        <w:tblW w:w="9918" w:type="dxa"/>
        <w:tblInd w:w="-10" w:type="dxa"/>
        <w:tblBorders>
          <w:top w:val="single" w:sz="8" w:space="0" w:color="D9D9D9" w:themeColor="background1" w:themeShade="D9"/>
          <w:bottom w:val="single" w:sz="8" w:space="0" w:color="D9D9D9" w:themeColor="background1" w:themeShade="D9"/>
          <w:insideH w:val="single" w:sz="8" w:space="0" w:color="D9D9D9" w:themeColor="background1" w:themeShade="D9"/>
        </w:tblBorders>
        <w:tblCellMar>
          <w:top w:w="28" w:type="dxa"/>
          <w:bottom w:w="28" w:type="dxa"/>
        </w:tblCellMar>
        <w:tblLook w:val="04A0" w:firstRow="1" w:lastRow="0" w:firstColumn="1" w:lastColumn="0" w:noHBand="0" w:noVBand="1"/>
      </w:tblPr>
      <w:tblGrid>
        <w:gridCol w:w="1838"/>
        <w:gridCol w:w="2992"/>
        <w:gridCol w:w="5088"/>
      </w:tblGrid>
      <w:tr w:rsidR="003E3C19" w:rsidRPr="00F72633" w14:paraId="6B64A037" w14:textId="77777777" w:rsidTr="007C2966">
        <w:trPr>
          <w:trHeight w:val="530"/>
          <w:tblHeader/>
        </w:trPr>
        <w:tc>
          <w:tcPr>
            <w:tcW w:w="1838" w:type="dxa"/>
            <w:tcBorders>
              <w:top w:val="nil"/>
              <w:bottom w:val="nil"/>
            </w:tcBorders>
            <w:shd w:val="clear" w:color="auto" w:fill="E2E7EB" w:themeFill="accent3" w:themeFillTint="33"/>
            <w:vAlign w:val="center"/>
            <w:hideMark/>
          </w:tcPr>
          <w:p w14:paraId="633FE67F" w14:textId="652BE786"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Resultados previstos</w:t>
            </w:r>
          </w:p>
        </w:tc>
        <w:tc>
          <w:tcPr>
            <w:tcW w:w="2992" w:type="dxa"/>
            <w:tcBorders>
              <w:top w:val="nil"/>
              <w:bottom w:val="nil"/>
            </w:tcBorders>
            <w:shd w:val="clear" w:color="auto" w:fill="E2E7EB" w:themeFill="accent3" w:themeFillTint="33"/>
            <w:vAlign w:val="center"/>
            <w:hideMark/>
          </w:tcPr>
          <w:p w14:paraId="257A8063" w14:textId="321D9EDF"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Indicadores de rendimiento</w:t>
            </w:r>
          </w:p>
        </w:tc>
        <w:tc>
          <w:tcPr>
            <w:tcW w:w="5088" w:type="dxa"/>
            <w:tcBorders>
              <w:top w:val="nil"/>
              <w:bottom w:val="nil"/>
            </w:tcBorders>
            <w:shd w:val="clear" w:color="auto" w:fill="E2E7EB" w:themeFill="accent3" w:themeFillTint="33"/>
            <w:vAlign w:val="center"/>
            <w:hideMark/>
          </w:tcPr>
          <w:p w14:paraId="679C1F2B" w14:textId="1AB57944" w:rsidR="003E3C19" w:rsidRPr="00F72633" w:rsidRDefault="00E044FA" w:rsidP="00B904E7">
            <w:pPr>
              <w:jc w:val="left"/>
              <w:rPr>
                <w:rFonts w:ascii="Arial Narrow" w:eastAsia="Times New Roman" w:hAnsi="Arial Narrow"/>
                <w:b/>
                <w:bCs/>
                <w:sz w:val="18"/>
                <w:szCs w:val="18"/>
                <w:lang w:val="es-419" w:eastAsia="en-US"/>
              </w:rPr>
            </w:pPr>
            <w:r w:rsidRPr="00F72633">
              <w:rPr>
                <w:rFonts w:ascii="Arial Narrow" w:eastAsia="Times New Roman" w:hAnsi="Arial Narrow"/>
                <w:b/>
                <w:bCs/>
                <w:sz w:val="18"/>
                <w:szCs w:val="18"/>
                <w:lang w:val="es-419" w:eastAsia="en-US"/>
              </w:rPr>
              <w:t>Datos sobre el rendimiento</w:t>
            </w:r>
          </w:p>
        </w:tc>
      </w:tr>
      <w:tr w:rsidR="007C2966" w:rsidRPr="00F72633" w14:paraId="608C6DB0" w14:textId="77777777" w:rsidTr="007C2966">
        <w:trPr>
          <w:trHeight w:val="290"/>
        </w:trPr>
        <w:tc>
          <w:tcPr>
            <w:tcW w:w="1838" w:type="dxa"/>
            <w:vMerge w:val="restart"/>
            <w:tcBorders>
              <w:top w:val="nil"/>
            </w:tcBorders>
            <w:shd w:val="clear" w:color="auto" w:fill="auto"/>
            <w:hideMark/>
          </w:tcPr>
          <w:p w14:paraId="0E6357E4" w14:textId="6B00CF34" w:rsidR="007C2966" w:rsidRPr="00F72633" w:rsidRDefault="007C2966" w:rsidP="007C2966">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12. </w:t>
            </w:r>
            <w:r w:rsidR="00CD46DC" w:rsidRPr="00F72633">
              <w:rPr>
                <w:rFonts w:ascii="Arial Narrow" w:eastAsia="Times New Roman" w:hAnsi="Arial Narrow"/>
                <w:sz w:val="18"/>
                <w:szCs w:val="18"/>
                <w:lang w:val="es-419" w:eastAsia="en-US"/>
              </w:rPr>
              <w:t>Concienciación sobre la función y las actividades de la UPOV</w:t>
            </w:r>
          </w:p>
          <w:p w14:paraId="142F8DB0" w14:textId="77777777" w:rsidR="00DC599D" w:rsidRPr="00F72633" w:rsidRDefault="00DC599D" w:rsidP="007C2966">
            <w:pPr>
              <w:jc w:val="left"/>
              <w:rPr>
                <w:rFonts w:ascii="Arial Narrow" w:eastAsia="Times New Roman" w:hAnsi="Arial Narrow"/>
                <w:sz w:val="18"/>
                <w:szCs w:val="18"/>
                <w:lang w:val="es-419" w:eastAsia="en-US"/>
              </w:rPr>
            </w:pPr>
          </w:p>
        </w:tc>
        <w:tc>
          <w:tcPr>
            <w:tcW w:w="2992" w:type="dxa"/>
            <w:shd w:val="clear" w:color="auto" w:fill="auto"/>
            <w:hideMark/>
          </w:tcPr>
          <w:p w14:paraId="7F5B53D4" w14:textId="67680D42" w:rsidR="007C2966" w:rsidRPr="00F72633" w:rsidRDefault="007C2966" w:rsidP="007C2966">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a) </w:t>
            </w:r>
            <w:r w:rsidR="00CD46DC" w:rsidRPr="00F72633">
              <w:rPr>
                <w:rFonts w:ascii="Arial Narrow" w:eastAsia="Times New Roman" w:hAnsi="Arial Narrow"/>
                <w:sz w:val="18"/>
                <w:szCs w:val="18"/>
                <w:lang w:val="es-419" w:eastAsia="en-US"/>
              </w:rPr>
              <w:t>Número de nuevos visitantes del sitio web de la UPOV</w:t>
            </w:r>
          </w:p>
        </w:tc>
        <w:tc>
          <w:tcPr>
            <w:tcW w:w="5088" w:type="dxa"/>
            <w:shd w:val="clear" w:color="auto" w:fill="auto"/>
          </w:tcPr>
          <w:p w14:paraId="6DABE360" w14:textId="4FF5B7BB" w:rsidR="007413ED" w:rsidRPr="00F72633" w:rsidRDefault="007413ED" w:rsidP="007413ED">
            <w:pPr>
              <w:spacing w:before="40" w:after="40"/>
              <w:jc w:val="left"/>
              <w:rPr>
                <w:rFonts w:ascii="Arial Narrow" w:eastAsia="Times New Roman" w:hAnsi="Arial Narrow"/>
                <w:spacing w:val="-2"/>
                <w:sz w:val="18"/>
                <w:szCs w:val="18"/>
                <w:lang w:val="es-419" w:eastAsia="en-US"/>
              </w:rPr>
            </w:pPr>
            <w:r w:rsidRPr="00F72633">
              <w:rPr>
                <w:rFonts w:ascii="Arial Narrow" w:eastAsia="Times New Roman" w:hAnsi="Arial Narrow"/>
                <w:spacing w:val="-2"/>
                <w:sz w:val="18"/>
                <w:szCs w:val="18"/>
                <w:lang w:val="es-419" w:eastAsia="en-US"/>
              </w:rPr>
              <w:t>2022</w:t>
            </w:r>
            <w:r w:rsidR="008724A2" w:rsidRPr="00F72633">
              <w:rPr>
                <w:rFonts w:ascii="Arial Narrow" w:eastAsia="Times New Roman" w:hAnsi="Arial Narrow"/>
                <w:spacing w:val="-2"/>
                <w:sz w:val="18"/>
                <w:szCs w:val="18"/>
                <w:lang w:val="es-419" w:eastAsia="en-US"/>
              </w:rPr>
              <w:t>: </w:t>
            </w:r>
            <w:r w:rsidR="00B525A5" w:rsidRPr="00F72633">
              <w:rPr>
                <w:rFonts w:ascii="Arial Narrow" w:eastAsia="Times New Roman" w:hAnsi="Arial Narrow"/>
                <w:spacing w:val="-2"/>
                <w:sz w:val="18"/>
                <w:szCs w:val="18"/>
                <w:lang w:val="es-419" w:eastAsia="en-US"/>
              </w:rPr>
              <w:t>118</w:t>
            </w:r>
            <w:r w:rsidR="00874D41" w:rsidRPr="00F72633">
              <w:rPr>
                <w:rFonts w:ascii="Arial Narrow" w:eastAsia="Times New Roman" w:hAnsi="Arial Narrow"/>
                <w:spacing w:val="-2"/>
                <w:sz w:val="18"/>
                <w:szCs w:val="18"/>
                <w:lang w:val="es-419" w:eastAsia="en-US"/>
              </w:rPr>
              <w:t> </w:t>
            </w:r>
            <w:r w:rsidR="008724A2" w:rsidRPr="00F72633">
              <w:rPr>
                <w:rFonts w:ascii="Arial Narrow" w:eastAsia="Times New Roman" w:hAnsi="Arial Narrow"/>
                <w:spacing w:val="-2"/>
                <w:sz w:val="18"/>
                <w:szCs w:val="18"/>
                <w:lang w:val="es-419" w:eastAsia="en-US"/>
              </w:rPr>
              <w:t>316 </w:t>
            </w:r>
            <w:r w:rsidR="0040786B" w:rsidRPr="00F72633">
              <w:rPr>
                <w:rFonts w:ascii="Arial Narrow" w:hAnsi="Arial Narrow"/>
                <w:sz w:val="18"/>
                <w:lang w:val="es-419"/>
              </w:rPr>
              <w:t>usuarios únicos</w:t>
            </w:r>
            <w:r w:rsidR="0040786B" w:rsidRPr="00F72633">
              <w:rPr>
                <w:rFonts w:ascii="Arial Narrow" w:eastAsia="Times New Roman" w:hAnsi="Arial Narrow"/>
                <w:spacing w:val="-2"/>
                <w:sz w:val="18"/>
                <w:szCs w:val="18"/>
                <w:lang w:val="es-419" w:eastAsia="en-US"/>
              </w:rPr>
              <w:t xml:space="preserve"> (-6,</w:t>
            </w:r>
            <w:r w:rsidR="00B525A5" w:rsidRPr="00F72633">
              <w:rPr>
                <w:rFonts w:ascii="Arial Narrow" w:eastAsia="Times New Roman" w:hAnsi="Arial Narrow"/>
                <w:spacing w:val="-2"/>
                <w:sz w:val="18"/>
                <w:szCs w:val="18"/>
                <w:lang w:val="es-419" w:eastAsia="en-US"/>
              </w:rPr>
              <w:t>52</w:t>
            </w:r>
            <w:r w:rsidR="00201141" w:rsidRPr="00F72633">
              <w:rPr>
                <w:rFonts w:ascii="Arial Narrow" w:eastAsia="Times New Roman" w:hAnsi="Arial Narrow"/>
                <w:spacing w:val="-2"/>
                <w:sz w:val="18"/>
                <w:szCs w:val="18"/>
                <w:lang w:val="es-419" w:eastAsia="en-US"/>
              </w:rPr>
              <w:t> </w:t>
            </w:r>
            <w:r w:rsidR="00B525A5" w:rsidRPr="00F72633">
              <w:rPr>
                <w:rFonts w:ascii="Arial Narrow" w:eastAsia="Times New Roman" w:hAnsi="Arial Narrow"/>
                <w:spacing w:val="-2"/>
                <w:sz w:val="18"/>
                <w:szCs w:val="18"/>
                <w:lang w:val="es-419" w:eastAsia="en-US"/>
              </w:rPr>
              <w:t>%)</w:t>
            </w:r>
          </w:p>
          <w:p w14:paraId="763EC159" w14:textId="009A9D02" w:rsidR="007413ED" w:rsidRPr="00F72633" w:rsidRDefault="00CD46DC" w:rsidP="00B525A5">
            <w:pPr>
              <w:spacing w:before="40" w:after="40"/>
              <w:jc w:val="left"/>
              <w:rPr>
                <w:rFonts w:ascii="Arial Narrow" w:eastAsia="Times New Roman" w:hAnsi="Arial Narrow"/>
                <w:spacing w:val="-2"/>
                <w:sz w:val="18"/>
                <w:szCs w:val="18"/>
                <w:lang w:val="es-419" w:eastAsia="en-US"/>
              </w:rPr>
            </w:pPr>
            <w:r w:rsidRPr="00F72633">
              <w:rPr>
                <w:rFonts w:ascii="Arial Narrow" w:eastAsia="Times New Roman" w:hAnsi="Arial Narrow"/>
                <w:spacing w:val="-2"/>
                <w:sz w:val="18"/>
                <w:szCs w:val="18"/>
                <w:lang w:val="es-419" w:eastAsia="en-US"/>
              </w:rPr>
              <w:t>Véase la figura</w:t>
            </w:r>
            <w:r w:rsidR="008724A2" w:rsidRPr="00F72633">
              <w:rPr>
                <w:rFonts w:ascii="Arial Narrow" w:eastAsia="Times New Roman" w:hAnsi="Arial Narrow"/>
                <w:spacing w:val="-2"/>
                <w:sz w:val="18"/>
                <w:szCs w:val="18"/>
                <w:lang w:val="es-419" w:eastAsia="en-US"/>
              </w:rPr>
              <w:t> </w:t>
            </w:r>
            <w:r w:rsidR="00B525A5" w:rsidRPr="00F72633">
              <w:rPr>
                <w:rFonts w:ascii="Arial Narrow" w:eastAsia="Times New Roman" w:hAnsi="Arial Narrow"/>
                <w:spacing w:val="-2"/>
                <w:sz w:val="18"/>
                <w:szCs w:val="18"/>
                <w:lang w:val="es-419" w:eastAsia="en-US"/>
              </w:rPr>
              <w:t>25</w:t>
            </w:r>
          </w:p>
        </w:tc>
      </w:tr>
      <w:tr w:rsidR="007C2966" w:rsidRPr="00F72633" w14:paraId="2BD1FB81" w14:textId="77777777" w:rsidTr="007C2966">
        <w:trPr>
          <w:trHeight w:val="280"/>
        </w:trPr>
        <w:tc>
          <w:tcPr>
            <w:tcW w:w="1838" w:type="dxa"/>
            <w:vMerge/>
            <w:hideMark/>
          </w:tcPr>
          <w:p w14:paraId="0658EA9C" w14:textId="77777777" w:rsidR="007C2966" w:rsidRPr="00F72633" w:rsidRDefault="007C2966" w:rsidP="00B904E7">
            <w:pPr>
              <w:jc w:val="left"/>
              <w:rPr>
                <w:rFonts w:ascii="Arial Narrow" w:eastAsia="Times New Roman" w:hAnsi="Arial Narrow"/>
                <w:sz w:val="18"/>
                <w:szCs w:val="18"/>
                <w:lang w:val="es-419" w:eastAsia="en-US"/>
              </w:rPr>
            </w:pPr>
          </w:p>
        </w:tc>
        <w:tc>
          <w:tcPr>
            <w:tcW w:w="2992" w:type="dxa"/>
            <w:shd w:val="clear" w:color="auto" w:fill="auto"/>
            <w:hideMark/>
          </w:tcPr>
          <w:p w14:paraId="1C2D04D7" w14:textId="19E36FB0" w:rsidR="007C2966" w:rsidRPr="00F72633" w:rsidRDefault="007C2966" w:rsidP="007C2966">
            <w:pPr>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b) </w:t>
            </w:r>
            <w:r w:rsidR="00CD46DC" w:rsidRPr="00F72633">
              <w:rPr>
                <w:rFonts w:ascii="Arial Narrow" w:eastAsia="Times New Roman" w:hAnsi="Arial Narrow"/>
                <w:sz w:val="18"/>
                <w:szCs w:val="18"/>
                <w:lang w:val="es-419" w:eastAsia="en-US"/>
              </w:rPr>
              <w:t>Número de visitas a las funciones de carácter público del sitio web de la UPOV</w:t>
            </w:r>
          </w:p>
        </w:tc>
        <w:tc>
          <w:tcPr>
            <w:tcW w:w="5088" w:type="dxa"/>
            <w:shd w:val="clear" w:color="auto" w:fill="auto"/>
          </w:tcPr>
          <w:p w14:paraId="061F7F5B" w14:textId="053A4F46" w:rsidR="007413ED" w:rsidRPr="00F72633" w:rsidRDefault="008724A2" w:rsidP="00B525A5">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B525A5" w:rsidRPr="00F72633">
              <w:rPr>
                <w:rFonts w:ascii="Arial Narrow" w:eastAsia="Times New Roman" w:hAnsi="Arial Narrow"/>
                <w:sz w:val="18"/>
                <w:szCs w:val="18"/>
                <w:lang w:val="es-419" w:eastAsia="en-US"/>
              </w:rPr>
              <w:t>876</w:t>
            </w:r>
            <w:r w:rsidR="00874D41"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805 </w:t>
            </w:r>
            <w:r w:rsidR="00B525A5" w:rsidRPr="00F72633">
              <w:rPr>
                <w:rFonts w:ascii="Arial Narrow" w:eastAsia="Times New Roman" w:hAnsi="Arial Narrow"/>
                <w:sz w:val="18"/>
                <w:szCs w:val="18"/>
                <w:lang w:val="es-419" w:eastAsia="en-US"/>
              </w:rPr>
              <w:t>visit</w:t>
            </w:r>
            <w:r w:rsidR="0040786B" w:rsidRPr="00F72633">
              <w:rPr>
                <w:rFonts w:ascii="Arial Narrow" w:eastAsia="Times New Roman" w:hAnsi="Arial Narrow"/>
                <w:sz w:val="18"/>
                <w:szCs w:val="18"/>
                <w:lang w:val="es-419" w:eastAsia="en-US"/>
              </w:rPr>
              <w:t>a</w:t>
            </w:r>
            <w:r w:rsidR="00B525A5" w:rsidRPr="00F72633">
              <w:rPr>
                <w:rFonts w:ascii="Arial Narrow" w:eastAsia="Times New Roman" w:hAnsi="Arial Narrow"/>
                <w:sz w:val="18"/>
                <w:szCs w:val="18"/>
                <w:lang w:val="es-419" w:eastAsia="en-US"/>
              </w:rPr>
              <w:t>s (+3</w:t>
            </w:r>
            <w:r w:rsidR="0040786B" w:rsidRPr="00F72633">
              <w:rPr>
                <w:rFonts w:ascii="Arial Narrow" w:eastAsia="Times New Roman" w:hAnsi="Arial Narrow"/>
                <w:sz w:val="18"/>
                <w:szCs w:val="18"/>
                <w:lang w:val="es-419" w:eastAsia="en-US"/>
              </w:rPr>
              <w:t>,</w:t>
            </w:r>
            <w:r w:rsidR="00B525A5" w:rsidRPr="00F72633">
              <w:rPr>
                <w:rFonts w:ascii="Arial Narrow" w:eastAsia="Times New Roman" w:hAnsi="Arial Narrow"/>
                <w:sz w:val="18"/>
                <w:szCs w:val="18"/>
                <w:lang w:val="es-419" w:eastAsia="en-US"/>
              </w:rPr>
              <w:t>75</w:t>
            </w:r>
            <w:r w:rsidR="00201141" w:rsidRPr="00F72633">
              <w:rPr>
                <w:rFonts w:ascii="Arial Narrow" w:eastAsia="Times New Roman" w:hAnsi="Arial Narrow"/>
                <w:sz w:val="18"/>
                <w:szCs w:val="18"/>
                <w:lang w:val="es-419" w:eastAsia="en-US"/>
              </w:rPr>
              <w:t> </w:t>
            </w:r>
            <w:r w:rsidR="00B525A5" w:rsidRPr="00F72633">
              <w:rPr>
                <w:rFonts w:ascii="Arial Narrow" w:eastAsia="Times New Roman" w:hAnsi="Arial Narrow"/>
                <w:sz w:val="18"/>
                <w:szCs w:val="18"/>
                <w:lang w:val="es-419" w:eastAsia="en-US"/>
              </w:rPr>
              <w:t>%)</w:t>
            </w:r>
          </w:p>
          <w:p w14:paraId="016571F9" w14:textId="4532552C" w:rsidR="00B525A5" w:rsidRPr="00F72633" w:rsidRDefault="00CD46DC" w:rsidP="00B525A5">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pacing w:val="-2"/>
                <w:sz w:val="18"/>
                <w:szCs w:val="18"/>
                <w:lang w:val="es-419" w:eastAsia="en-US"/>
              </w:rPr>
              <w:t>Véase la figura</w:t>
            </w:r>
            <w:r w:rsidR="008724A2" w:rsidRPr="00F72633">
              <w:rPr>
                <w:rFonts w:ascii="Arial Narrow" w:eastAsia="Times New Roman" w:hAnsi="Arial Narrow"/>
                <w:spacing w:val="-2"/>
                <w:sz w:val="18"/>
                <w:szCs w:val="18"/>
                <w:lang w:val="es-419" w:eastAsia="en-US"/>
              </w:rPr>
              <w:t> </w:t>
            </w:r>
            <w:r w:rsidR="00F5092C" w:rsidRPr="00F72633">
              <w:rPr>
                <w:rFonts w:ascii="Arial Narrow" w:eastAsia="Times New Roman" w:hAnsi="Arial Narrow"/>
                <w:spacing w:val="-2"/>
                <w:sz w:val="18"/>
                <w:szCs w:val="18"/>
                <w:lang w:val="es-419" w:eastAsia="en-US"/>
              </w:rPr>
              <w:t>26</w:t>
            </w:r>
          </w:p>
        </w:tc>
      </w:tr>
      <w:tr w:rsidR="007C2966" w:rsidRPr="00F72633" w14:paraId="10A98B80" w14:textId="77777777" w:rsidTr="007C2966">
        <w:trPr>
          <w:trHeight w:val="280"/>
        </w:trPr>
        <w:tc>
          <w:tcPr>
            <w:tcW w:w="1838" w:type="dxa"/>
            <w:vMerge/>
            <w:hideMark/>
          </w:tcPr>
          <w:p w14:paraId="31AA577C" w14:textId="77777777" w:rsidR="007C2966" w:rsidRPr="00F72633" w:rsidRDefault="007C2966" w:rsidP="00B904E7">
            <w:pPr>
              <w:jc w:val="left"/>
              <w:rPr>
                <w:rFonts w:ascii="Arial Narrow" w:eastAsia="Times New Roman" w:hAnsi="Arial Narrow"/>
                <w:sz w:val="18"/>
                <w:szCs w:val="18"/>
                <w:lang w:val="es-419" w:eastAsia="en-US"/>
              </w:rPr>
            </w:pPr>
          </w:p>
        </w:tc>
        <w:tc>
          <w:tcPr>
            <w:tcW w:w="2992" w:type="dxa"/>
            <w:tcBorders>
              <w:bottom w:val="nil"/>
            </w:tcBorders>
            <w:shd w:val="clear" w:color="auto" w:fill="auto"/>
          </w:tcPr>
          <w:p w14:paraId="6EEB0A4C" w14:textId="15794165" w:rsidR="007C2966" w:rsidRPr="00F72633" w:rsidRDefault="007C2966" w:rsidP="004F2EB1">
            <w:pPr>
              <w:jc w:val="left"/>
              <w:rPr>
                <w:rFonts w:ascii="Arial Narrow" w:eastAsia="Times New Roman" w:hAnsi="Arial Narrow"/>
                <w:sz w:val="18"/>
                <w:szCs w:val="18"/>
                <w:lang w:val="es-419" w:eastAsia="en-US"/>
              </w:rPr>
            </w:pPr>
            <w:r w:rsidRPr="00F72633">
              <w:rPr>
                <w:rFonts w:ascii="Arial Narrow" w:hAnsi="Arial Narrow"/>
                <w:sz w:val="18"/>
                <w:lang w:val="es-419"/>
              </w:rPr>
              <w:t xml:space="preserve">c) </w:t>
            </w:r>
            <w:r w:rsidR="00CD46DC" w:rsidRPr="00F72633">
              <w:rPr>
                <w:rFonts w:ascii="Arial Narrow" w:hAnsi="Arial Narrow"/>
                <w:sz w:val="18"/>
                <w:lang w:val="es-419"/>
              </w:rPr>
              <w:t>Número de publicaciones en l</w:t>
            </w:r>
            <w:r w:rsidR="004F2EB1" w:rsidRPr="00F72633">
              <w:rPr>
                <w:rFonts w:ascii="Arial Narrow" w:hAnsi="Arial Narrow"/>
                <w:sz w:val="18"/>
                <w:lang w:val="es-419"/>
              </w:rPr>
              <w:t>a</w:t>
            </w:r>
            <w:r w:rsidR="00CD46DC" w:rsidRPr="00F72633">
              <w:rPr>
                <w:rFonts w:ascii="Arial Narrow" w:hAnsi="Arial Narrow"/>
                <w:sz w:val="18"/>
                <w:lang w:val="es-419"/>
              </w:rPr>
              <w:t xml:space="preserve">s </w:t>
            </w:r>
            <w:r w:rsidR="004F2EB1" w:rsidRPr="00F72633">
              <w:rPr>
                <w:rFonts w:ascii="Arial Narrow" w:hAnsi="Arial Narrow"/>
                <w:sz w:val="18"/>
                <w:lang w:val="es-419"/>
              </w:rPr>
              <w:t>redes sociales</w:t>
            </w:r>
          </w:p>
        </w:tc>
        <w:tc>
          <w:tcPr>
            <w:tcW w:w="5088" w:type="dxa"/>
            <w:tcBorders>
              <w:bottom w:val="nil"/>
            </w:tcBorders>
            <w:shd w:val="clear" w:color="auto" w:fill="auto"/>
          </w:tcPr>
          <w:p w14:paraId="49F6EA6D" w14:textId="09EC85E9" w:rsidR="00B66E20" w:rsidRPr="00F72633" w:rsidRDefault="00D948CA" w:rsidP="001C491A">
            <w:pPr>
              <w:tabs>
                <w:tab w:val="left" w:pos="459"/>
              </w:tabs>
              <w:spacing w:after="6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w:t>
            </w:r>
            <w:r w:rsidR="001C491A">
              <w:rPr>
                <w:rFonts w:ascii="Arial Narrow" w:eastAsia="Times New Roman" w:hAnsi="Arial Narrow"/>
                <w:sz w:val="18"/>
                <w:szCs w:val="18"/>
                <w:lang w:val="es-419" w:eastAsia="en-US"/>
              </w:rPr>
              <w:tab/>
            </w:r>
            <w:r w:rsidR="00B66E20" w:rsidRPr="00F72633">
              <w:rPr>
                <w:rFonts w:ascii="Arial Narrow" w:eastAsia="Times New Roman" w:hAnsi="Arial Narrow"/>
                <w:sz w:val="18"/>
                <w:szCs w:val="18"/>
                <w:lang w:val="es-419" w:eastAsia="en-US"/>
              </w:rPr>
              <w:t>UPOV Twitter</w:t>
            </w:r>
            <w:r w:rsidR="008724A2" w:rsidRPr="00F72633">
              <w:rPr>
                <w:rFonts w:ascii="Arial Narrow" w:eastAsia="Times New Roman" w:hAnsi="Arial Narrow"/>
                <w:sz w:val="18"/>
                <w:szCs w:val="18"/>
                <w:lang w:val="es-419" w:eastAsia="en-US"/>
              </w:rPr>
              <w:t> </w:t>
            </w:r>
            <w:r w:rsidR="00B66E20" w:rsidRPr="00F72633">
              <w:rPr>
                <w:rFonts w:ascii="Arial Narrow" w:eastAsia="Times New Roman" w:hAnsi="Arial Narrow"/>
                <w:sz w:val="18"/>
                <w:szCs w:val="18"/>
                <w:lang w:val="es-419" w:eastAsia="en-US"/>
              </w:rPr>
              <w:t>574</w:t>
            </w:r>
            <w:r w:rsidR="008724A2" w:rsidRPr="00F72633">
              <w:rPr>
                <w:rFonts w:ascii="Arial Narrow" w:eastAsia="Times New Roman" w:hAnsi="Arial Narrow"/>
                <w:sz w:val="18"/>
                <w:szCs w:val="18"/>
                <w:lang w:val="es-419" w:eastAsia="en-US"/>
              </w:rPr>
              <w:t> </w:t>
            </w:r>
            <w:r w:rsidR="00C357E4" w:rsidRPr="00F72633">
              <w:rPr>
                <w:rFonts w:ascii="Arial Narrow" w:eastAsia="Times New Roman" w:hAnsi="Arial Narrow"/>
                <w:sz w:val="18"/>
                <w:szCs w:val="18"/>
                <w:lang w:val="es-419" w:eastAsia="en-US"/>
              </w:rPr>
              <w:t>publicaciones</w:t>
            </w:r>
          </w:p>
          <w:p w14:paraId="208C2D8B" w14:textId="0B1B0BE8" w:rsidR="00B66E20" w:rsidRPr="00F72633" w:rsidRDefault="001C491A" w:rsidP="001C491A">
            <w:pPr>
              <w:tabs>
                <w:tab w:val="left" w:pos="459"/>
              </w:tabs>
              <w:spacing w:after="60"/>
              <w:jc w:val="left"/>
              <w:rPr>
                <w:rFonts w:ascii="Arial Narrow" w:eastAsia="Times New Roman" w:hAnsi="Arial Narrow"/>
                <w:sz w:val="18"/>
                <w:szCs w:val="18"/>
                <w:lang w:val="es-419" w:eastAsia="en-US"/>
              </w:rPr>
            </w:pPr>
            <w:r>
              <w:rPr>
                <w:rFonts w:ascii="Arial Narrow" w:eastAsia="Times New Roman" w:hAnsi="Arial Narrow"/>
                <w:sz w:val="18"/>
                <w:szCs w:val="18"/>
                <w:lang w:val="es-419" w:eastAsia="en-US"/>
              </w:rPr>
              <w:tab/>
            </w:r>
            <w:r w:rsidR="008724A2" w:rsidRPr="00F72633">
              <w:rPr>
                <w:rFonts w:ascii="Arial Narrow" w:eastAsia="Times New Roman" w:hAnsi="Arial Narrow"/>
                <w:sz w:val="18"/>
                <w:szCs w:val="18"/>
                <w:lang w:val="es-419" w:eastAsia="en-US"/>
              </w:rPr>
              <w:t>UPOV LinkedIn 560 </w:t>
            </w:r>
            <w:r w:rsidR="00C357E4" w:rsidRPr="00F72633">
              <w:rPr>
                <w:rFonts w:ascii="Arial Narrow" w:eastAsia="Times New Roman" w:hAnsi="Arial Narrow"/>
                <w:sz w:val="18"/>
                <w:szCs w:val="18"/>
                <w:lang w:val="es-419" w:eastAsia="en-US"/>
              </w:rPr>
              <w:t>publicaciones</w:t>
            </w:r>
          </w:p>
          <w:p w14:paraId="3CBBEE16" w14:textId="402454B4" w:rsidR="007C2966" w:rsidRPr="00F72633" w:rsidRDefault="001C491A" w:rsidP="001C491A">
            <w:pPr>
              <w:tabs>
                <w:tab w:val="left" w:pos="459"/>
              </w:tabs>
              <w:spacing w:after="60"/>
              <w:jc w:val="left"/>
              <w:rPr>
                <w:rFonts w:ascii="Arial Narrow" w:eastAsia="Times New Roman" w:hAnsi="Arial Narrow"/>
                <w:sz w:val="18"/>
                <w:szCs w:val="18"/>
                <w:lang w:val="es-419" w:eastAsia="en-US"/>
              </w:rPr>
            </w:pPr>
            <w:r>
              <w:rPr>
                <w:rFonts w:ascii="Arial Narrow" w:eastAsia="Times New Roman" w:hAnsi="Arial Narrow"/>
                <w:sz w:val="18"/>
                <w:szCs w:val="18"/>
                <w:lang w:val="es-419" w:eastAsia="en-US"/>
              </w:rPr>
              <w:tab/>
            </w:r>
            <w:r w:rsidR="00B66E20" w:rsidRPr="00F72633">
              <w:rPr>
                <w:rFonts w:ascii="Arial Narrow" w:eastAsia="Times New Roman" w:hAnsi="Arial Narrow"/>
                <w:sz w:val="18"/>
                <w:szCs w:val="18"/>
                <w:lang w:val="es-419" w:eastAsia="en-US"/>
              </w:rPr>
              <w:t>VSG UPOV Twitter</w:t>
            </w:r>
            <w:r w:rsidR="008724A2" w:rsidRPr="00F72633">
              <w:rPr>
                <w:rFonts w:ascii="Arial Narrow" w:eastAsia="Times New Roman" w:hAnsi="Arial Narrow"/>
                <w:sz w:val="18"/>
                <w:szCs w:val="18"/>
                <w:lang w:val="es-419" w:eastAsia="en-US"/>
              </w:rPr>
              <w:t> 28 </w:t>
            </w:r>
            <w:r w:rsidR="00C357E4" w:rsidRPr="00F72633">
              <w:rPr>
                <w:rFonts w:ascii="Arial Narrow" w:eastAsia="Times New Roman" w:hAnsi="Arial Narrow"/>
                <w:sz w:val="18"/>
                <w:szCs w:val="18"/>
                <w:lang w:val="es-419" w:eastAsia="en-US"/>
              </w:rPr>
              <w:t>publicaciones</w:t>
            </w:r>
            <w:r w:rsidR="00B66E20" w:rsidRPr="00F72633">
              <w:rPr>
                <w:rStyle w:val="FootnoteReference"/>
                <w:rFonts w:ascii="Arial Narrow" w:eastAsia="Times New Roman" w:hAnsi="Arial Narrow"/>
                <w:sz w:val="18"/>
                <w:szCs w:val="18"/>
                <w:lang w:val="es-419" w:eastAsia="en-US"/>
              </w:rPr>
              <w:footnoteReference w:id="7"/>
            </w:r>
          </w:p>
        </w:tc>
      </w:tr>
      <w:tr w:rsidR="007C2966" w:rsidRPr="00F72633" w14:paraId="3D22CD9B" w14:textId="77777777" w:rsidTr="007C2966">
        <w:trPr>
          <w:trHeight w:val="280"/>
        </w:trPr>
        <w:tc>
          <w:tcPr>
            <w:tcW w:w="1838" w:type="dxa"/>
            <w:vMerge/>
            <w:tcBorders>
              <w:bottom w:val="nil"/>
            </w:tcBorders>
            <w:hideMark/>
          </w:tcPr>
          <w:p w14:paraId="5359683E" w14:textId="77777777" w:rsidR="007C2966" w:rsidRPr="00F72633" w:rsidRDefault="007C2966" w:rsidP="00B904E7">
            <w:pPr>
              <w:jc w:val="left"/>
              <w:rPr>
                <w:rFonts w:ascii="Arial Narrow" w:eastAsia="Times New Roman" w:hAnsi="Arial Narrow"/>
                <w:sz w:val="18"/>
                <w:szCs w:val="18"/>
                <w:lang w:val="es-419" w:eastAsia="en-US"/>
              </w:rPr>
            </w:pPr>
          </w:p>
        </w:tc>
        <w:tc>
          <w:tcPr>
            <w:tcW w:w="2992" w:type="dxa"/>
            <w:shd w:val="clear" w:color="auto" w:fill="auto"/>
          </w:tcPr>
          <w:p w14:paraId="2800FBF3" w14:textId="7BCA96C4" w:rsidR="007C2966" w:rsidRPr="00F72633" w:rsidRDefault="007C2966" w:rsidP="004F2EB1">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d) </w:t>
            </w:r>
            <w:r w:rsidR="0040786B" w:rsidRPr="00F72633">
              <w:rPr>
                <w:rFonts w:ascii="Arial Narrow" w:hAnsi="Arial Narrow"/>
                <w:sz w:val="18"/>
                <w:lang w:val="es-419"/>
              </w:rPr>
              <w:t>Número de seguidores en l</w:t>
            </w:r>
            <w:r w:rsidR="004F2EB1" w:rsidRPr="00F72633">
              <w:rPr>
                <w:rFonts w:ascii="Arial Narrow" w:hAnsi="Arial Narrow"/>
                <w:sz w:val="18"/>
                <w:lang w:val="es-419"/>
              </w:rPr>
              <w:t>a</w:t>
            </w:r>
            <w:r w:rsidR="0040786B" w:rsidRPr="00F72633">
              <w:rPr>
                <w:rFonts w:ascii="Arial Narrow" w:hAnsi="Arial Narrow"/>
                <w:sz w:val="18"/>
                <w:lang w:val="es-419"/>
              </w:rPr>
              <w:t xml:space="preserve">s </w:t>
            </w:r>
            <w:r w:rsidR="004F2EB1" w:rsidRPr="00F72633">
              <w:rPr>
                <w:rFonts w:ascii="Arial Narrow" w:hAnsi="Arial Narrow"/>
                <w:sz w:val="18"/>
                <w:lang w:val="es-419"/>
              </w:rPr>
              <w:t>redes sociales</w:t>
            </w:r>
          </w:p>
        </w:tc>
        <w:tc>
          <w:tcPr>
            <w:tcW w:w="5088" w:type="dxa"/>
            <w:shd w:val="clear" w:color="auto" w:fill="auto"/>
          </w:tcPr>
          <w:p w14:paraId="48CE628F" w14:textId="220B9A7B" w:rsidR="00B66E20" w:rsidRPr="00F72633" w:rsidRDefault="00B66E20" w:rsidP="00B66E20">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@UPOVint</w:t>
            </w:r>
            <w:r w:rsidR="005A1B0C" w:rsidRPr="00F72633">
              <w:rPr>
                <w:rFonts w:ascii="Arial Narrow" w:eastAsia="Times New Roman" w:hAnsi="Arial Narrow"/>
                <w:sz w:val="18"/>
                <w:szCs w:val="18"/>
                <w:lang w:val="es-419" w:eastAsia="en-US"/>
              </w:rPr>
              <w:br/>
            </w:r>
            <w:r w:rsidR="00C357E4" w:rsidRPr="00F72633">
              <w:rPr>
                <w:rFonts w:ascii="Arial Narrow" w:eastAsia="Times New Roman" w:hAnsi="Arial Narrow"/>
                <w:sz w:val="18"/>
                <w:szCs w:val="18"/>
                <w:lang w:val="es-419" w:eastAsia="en-US"/>
              </w:rPr>
              <w:t>el</w:t>
            </w:r>
            <w:r w:rsidR="008724A2" w:rsidRPr="00F72633">
              <w:rPr>
                <w:rFonts w:ascii="Arial Narrow" w:eastAsia="Times New Roman" w:hAnsi="Arial Narrow"/>
                <w:sz w:val="18"/>
                <w:szCs w:val="18"/>
                <w:lang w:val="es-419" w:eastAsia="en-US"/>
              </w:rPr>
              <w:t> 31/12/2022: </w:t>
            </w:r>
            <w:r w:rsidRPr="00F72633">
              <w:rPr>
                <w:rFonts w:ascii="Arial Narrow" w:eastAsia="Times New Roman" w:hAnsi="Arial Narrow"/>
                <w:sz w:val="18"/>
                <w:szCs w:val="18"/>
                <w:lang w:val="es-419" w:eastAsia="en-US"/>
              </w:rPr>
              <w:t>2</w:t>
            </w:r>
            <w:r w:rsidR="00874D41" w:rsidRPr="00F72633">
              <w:rPr>
                <w:rFonts w:ascii="Arial Narrow" w:eastAsia="Times New Roman" w:hAnsi="Arial Narrow"/>
                <w:sz w:val="18"/>
                <w:szCs w:val="18"/>
                <w:lang w:val="es-419" w:eastAsia="en-US"/>
              </w:rPr>
              <w:t> </w:t>
            </w:r>
            <w:r w:rsidR="008724A2" w:rsidRPr="00F72633">
              <w:rPr>
                <w:rFonts w:ascii="Arial Narrow" w:eastAsia="Times New Roman" w:hAnsi="Arial Narrow"/>
                <w:sz w:val="18"/>
                <w:szCs w:val="18"/>
                <w:lang w:val="es-419" w:eastAsia="en-US"/>
              </w:rPr>
              <w:t>255 </w:t>
            </w:r>
            <w:r w:rsidR="00C357E4" w:rsidRPr="00F72633">
              <w:rPr>
                <w:rFonts w:ascii="Arial Narrow" w:eastAsia="Times New Roman" w:hAnsi="Arial Narrow"/>
                <w:sz w:val="18"/>
                <w:szCs w:val="18"/>
                <w:lang w:val="es-419" w:eastAsia="en-US"/>
              </w:rPr>
              <w:t>seguidores</w:t>
            </w:r>
          </w:p>
          <w:p w14:paraId="30A7D427" w14:textId="72E9D8F8" w:rsidR="00B66E20" w:rsidRPr="00F72633" w:rsidRDefault="00B66E20" w:rsidP="005A1B0C">
            <w:pPr>
              <w:spacing w:before="6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@vsgupov</w:t>
            </w:r>
            <w:r w:rsidR="005A1B0C" w:rsidRPr="00F72633">
              <w:rPr>
                <w:rFonts w:ascii="Arial Narrow" w:eastAsia="Times New Roman" w:hAnsi="Arial Narrow"/>
                <w:sz w:val="18"/>
                <w:szCs w:val="18"/>
                <w:lang w:val="es-419" w:eastAsia="en-US"/>
              </w:rPr>
              <w:br/>
            </w:r>
            <w:r w:rsidR="00C357E4" w:rsidRPr="00F72633">
              <w:rPr>
                <w:rFonts w:ascii="Arial Narrow" w:eastAsia="Times New Roman" w:hAnsi="Arial Narrow"/>
                <w:sz w:val="18"/>
                <w:szCs w:val="18"/>
                <w:lang w:val="es-419" w:eastAsia="en-US"/>
              </w:rPr>
              <w:t>el</w:t>
            </w:r>
            <w:r w:rsidR="008724A2"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31/12/2022</w:t>
            </w:r>
            <w:r w:rsidR="008724A2" w:rsidRPr="00F72633">
              <w:rPr>
                <w:rFonts w:ascii="Arial Narrow" w:eastAsia="Times New Roman" w:hAnsi="Arial Narrow"/>
                <w:sz w:val="18"/>
                <w:szCs w:val="18"/>
                <w:lang w:val="es-419" w:eastAsia="en-US"/>
              </w:rPr>
              <w:t>: </w:t>
            </w:r>
            <w:r w:rsidRPr="00F72633">
              <w:rPr>
                <w:rFonts w:ascii="Arial Narrow" w:eastAsia="Times New Roman" w:hAnsi="Arial Narrow"/>
                <w:sz w:val="18"/>
                <w:szCs w:val="18"/>
                <w:lang w:val="es-419" w:eastAsia="en-US"/>
              </w:rPr>
              <w:t>722</w:t>
            </w:r>
            <w:r w:rsidR="008724A2" w:rsidRPr="00F72633">
              <w:rPr>
                <w:rFonts w:ascii="Arial Narrow" w:eastAsia="Times New Roman" w:hAnsi="Arial Narrow"/>
                <w:sz w:val="18"/>
                <w:szCs w:val="18"/>
                <w:lang w:val="es-419" w:eastAsia="en-US"/>
              </w:rPr>
              <w:t> </w:t>
            </w:r>
            <w:r w:rsidR="00C357E4" w:rsidRPr="00F72633">
              <w:rPr>
                <w:rFonts w:ascii="Arial Narrow" w:eastAsia="Times New Roman" w:hAnsi="Arial Narrow"/>
                <w:sz w:val="18"/>
                <w:szCs w:val="18"/>
                <w:lang w:val="es-419" w:eastAsia="en-US"/>
              </w:rPr>
              <w:t>seguidores</w:t>
            </w:r>
          </w:p>
          <w:p w14:paraId="3182AB98" w14:textId="155DA347" w:rsidR="00B66E20" w:rsidRPr="00F72633" w:rsidRDefault="00C357E4" w:rsidP="005A1B0C">
            <w:pPr>
              <w:spacing w:before="6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Cuenta de la </w:t>
            </w:r>
            <w:r w:rsidR="00B66E20" w:rsidRPr="00F72633">
              <w:rPr>
                <w:rFonts w:ascii="Arial Narrow" w:eastAsia="Times New Roman" w:hAnsi="Arial Narrow"/>
                <w:sz w:val="18"/>
                <w:szCs w:val="18"/>
                <w:lang w:val="es-419" w:eastAsia="en-US"/>
              </w:rPr>
              <w:t xml:space="preserve">UPOV </w:t>
            </w:r>
            <w:r w:rsidRPr="00F72633">
              <w:rPr>
                <w:rFonts w:ascii="Arial Narrow" w:eastAsia="Times New Roman" w:hAnsi="Arial Narrow"/>
                <w:sz w:val="18"/>
                <w:szCs w:val="18"/>
                <w:lang w:val="es-419" w:eastAsia="en-US"/>
              </w:rPr>
              <w:t xml:space="preserve">en </w:t>
            </w:r>
            <w:r w:rsidR="00B66E20" w:rsidRPr="00F72633">
              <w:rPr>
                <w:rFonts w:ascii="Arial Narrow" w:eastAsia="Times New Roman" w:hAnsi="Arial Narrow"/>
                <w:sz w:val="18"/>
                <w:szCs w:val="18"/>
                <w:lang w:val="es-419" w:eastAsia="en-US"/>
              </w:rPr>
              <w:t>LinkedIn:</w:t>
            </w:r>
            <w:r w:rsidR="005A1B0C" w:rsidRPr="00F72633">
              <w:rPr>
                <w:rFonts w:ascii="Arial Narrow" w:eastAsia="Times New Roman" w:hAnsi="Arial Narrow"/>
                <w:sz w:val="18"/>
                <w:szCs w:val="18"/>
                <w:lang w:val="es-419" w:eastAsia="en-US"/>
              </w:rPr>
              <w:br/>
            </w:r>
            <w:r w:rsidRPr="00F72633">
              <w:rPr>
                <w:rFonts w:ascii="Arial Narrow" w:eastAsia="Times New Roman" w:hAnsi="Arial Narrow"/>
                <w:sz w:val="18"/>
                <w:szCs w:val="18"/>
                <w:lang w:val="es-419" w:eastAsia="en-US"/>
              </w:rPr>
              <w:t>el</w:t>
            </w:r>
            <w:r w:rsidR="008724A2" w:rsidRPr="00F72633">
              <w:rPr>
                <w:rFonts w:ascii="Arial Narrow" w:eastAsia="Times New Roman" w:hAnsi="Arial Narrow"/>
                <w:sz w:val="18"/>
                <w:szCs w:val="18"/>
                <w:lang w:val="es-419" w:eastAsia="en-US"/>
              </w:rPr>
              <w:t> 31/12/2022: </w:t>
            </w:r>
            <w:r w:rsidR="00B66E20" w:rsidRPr="00F72633">
              <w:rPr>
                <w:rFonts w:ascii="Arial Narrow" w:eastAsia="Times New Roman" w:hAnsi="Arial Narrow"/>
                <w:sz w:val="18"/>
                <w:szCs w:val="18"/>
                <w:lang w:val="es-419" w:eastAsia="en-US"/>
              </w:rPr>
              <w:t>3</w:t>
            </w:r>
            <w:r w:rsidR="00874D41" w:rsidRPr="00F72633">
              <w:rPr>
                <w:rFonts w:ascii="Arial Narrow" w:eastAsia="Times New Roman" w:hAnsi="Arial Narrow"/>
                <w:sz w:val="18"/>
                <w:szCs w:val="18"/>
                <w:lang w:val="es-419" w:eastAsia="en-US"/>
              </w:rPr>
              <w:t> </w:t>
            </w:r>
            <w:r w:rsidR="008724A2" w:rsidRPr="00F72633">
              <w:rPr>
                <w:rFonts w:ascii="Arial Narrow" w:eastAsia="Times New Roman" w:hAnsi="Arial Narrow"/>
                <w:sz w:val="18"/>
                <w:szCs w:val="18"/>
                <w:lang w:val="es-419" w:eastAsia="en-US"/>
              </w:rPr>
              <w:t>912 </w:t>
            </w:r>
            <w:r w:rsidRPr="00F72633">
              <w:rPr>
                <w:rFonts w:ascii="Arial Narrow" w:eastAsia="Times New Roman" w:hAnsi="Arial Narrow"/>
                <w:sz w:val="18"/>
                <w:szCs w:val="18"/>
                <w:lang w:val="es-419" w:eastAsia="en-US"/>
              </w:rPr>
              <w:t>seguidores</w:t>
            </w:r>
          </w:p>
          <w:p w14:paraId="7CFDAE5F" w14:textId="03981575" w:rsidR="00B525A5" w:rsidRPr="00F72633" w:rsidRDefault="00C357E4" w:rsidP="005A1B0C">
            <w:pPr>
              <w:spacing w:before="6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Cuenta del </w:t>
            </w:r>
            <w:r w:rsidR="00C453FC" w:rsidRPr="00F72633">
              <w:rPr>
                <w:rFonts w:ascii="Arial Narrow" w:eastAsia="Times New Roman" w:hAnsi="Arial Narrow"/>
                <w:sz w:val="18"/>
                <w:szCs w:val="18"/>
                <w:lang w:val="es-419" w:eastAsia="en-US"/>
              </w:rPr>
              <w:t>secretario general adjunto</w:t>
            </w:r>
            <w:r w:rsidR="00B66E20" w:rsidRPr="00F72633">
              <w:rPr>
                <w:rFonts w:ascii="Arial Narrow" w:eastAsia="Times New Roman" w:hAnsi="Arial Narrow"/>
                <w:sz w:val="18"/>
                <w:szCs w:val="18"/>
                <w:lang w:val="es-419" w:eastAsia="en-US"/>
              </w:rPr>
              <w:t xml:space="preserve"> (Peter Button) </w:t>
            </w:r>
            <w:r w:rsidRPr="00F72633">
              <w:rPr>
                <w:rFonts w:ascii="Arial Narrow" w:eastAsia="Times New Roman" w:hAnsi="Arial Narrow"/>
                <w:sz w:val="18"/>
                <w:szCs w:val="18"/>
                <w:lang w:val="es-419" w:eastAsia="en-US"/>
              </w:rPr>
              <w:t xml:space="preserve">en </w:t>
            </w:r>
            <w:r w:rsidR="00B66E20" w:rsidRPr="00F72633">
              <w:rPr>
                <w:rFonts w:ascii="Arial Narrow" w:eastAsia="Times New Roman" w:hAnsi="Arial Narrow"/>
                <w:sz w:val="18"/>
                <w:szCs w:val="18"/>
                <w:lang w:val="es-419" w:eastAsia="en-US"/>
              </w:rPr>
              <w:t>LinkedIn:</w:t>
            </w:r>
            <w:r w:rsidR="005A1B0C" w:rsidRPr="00F72633">
              <w:rPr>
                <w:rFonts w:ascii="Arial Narrow" w:eastAsia="Times New Roman" w:hAnsi="Arial Narrow"/>
                <w:sz w:val="18"/>
                <w:szCs w:val="18"/>
                <w:lang w:val="es-419" w:eastAsia="en-US"/>
              </w:rPr>
              <w:br/>
            </w:r>
            <w:r w:rsidRPr="00F72633">
              <w:rPr>
                <w:rFonts w:ascii="Arial Narrow" w:eastAsia="Times New Roman" w:hAnsi="Arial Narrow"/>
                <w:sz w:val="18"/>
                <w:szCs w:val="18"/>
                <w:lang w:val="es-419" w:eastAsia="en-US"/>
              </w:rPr>
              <w:t>el</w:t>
            </w:r>
            <w:r w:rsidR="008724A2" w:rsidRPr="00F72633">
              <w:rPr>
                <w:rFonts w:ascii="Arial Narrow" w:eastAsia="Times New Roman" w:hAnsi="Arial Narrow"/>
                <w:sz w:val="18"/>
                <w:szCs w:val="18"/>
                <w:lang w:val="es-419" w:eastAsia="en-US"/>
              </w:rPr>
              <w:t> 05/12/2022: </w:t>
            </w:r>
            <w:r w:rsidR="00B66E20" w:rsidRPr="00F72633">
              <w:rPr>
                <w:rFonts w:ascii="Arial Narrow" w:eastAsia="Times New Roman" w:hAnsi="Arial Narrow"/>
                <w:sz w:val="18"/>
                <w:szCs w:val="18"/>
                <w:lang w:val="es-419" w:eastAsia="en-US"/>
              </w:rPr>
              <w:t>1</w:t>
            </w:r>
            <w:r w:rsidR="00874D41" w:rsidRPr="00F72633">
              <w:rPr>
                <w:rFonts w:ascii="Arial Narrow" w:eastAsia="Times New Roman" w:hAnsi="Arial Narrow"/>
                <w:sz w:val="18"/>
                <w:szCs w:val="18"/>
                <w:lang w:val="es-419" w:eastAsia="en-US"/>
              </w:rPr>
              <w:t> </w:t>
            </w:r>
            <w:r w:rsidR="008724A2" w:rsidRPr="00F72633">
              <w:rPr>
                <w:rFonts w:ascii="Arial Narrow" w:eastAsia="Times New Roman" w:hAnsi="Arial Narrow"/>
                <w:sz w:val="18"/>
                <w:szCs w:val="18"/>
                <w:lang w:val="es-419" w:eastAsia="en-US"/>
              </w:rPr>
              <w:t>059 </w:t>
            </w:r>
            <w:r w:rsidRPr="00F72633">
              <w:rPr>
                <w:rFonts w:ascii="Arial Narrow" w:eastAsia="Times New Roman" w:hAnsi="Arial Narrow"/>
                <w:sz w:val="18"/>
                <w:szCs w:val="18"/>
                <w:lang w:val="es-419" w:eastAsia="en-US"/>
              </w:rPr>
              <w:t>seguidores</w:t>
            </w:r>
            <w:r w:rsidR="00B66E20" w:rsidRPr="00F72633">
              <w:rPr>
                <w:rStyle w:val="FootnoteReference"/>
                <w:rFonts w:ascii="Arial Narrow" w:eastAsia="Times New Roman" w:hAnsi="Arial Narrow"/>
                <w:sz w:val="18"/>
                <w:szCs w:val="18"/>
                <w:lang w:val="es-419" w:eastAsia="en-US"/>
              </w:rPr>
              <w:footnoteReference w:id="8"/>
            </w:r>
          </w:p>
          <w:p w14:paraId="2B176FA5" w14:textId="5949EDE1" w:rsidR="00B525A5" w:rsidRPr="00F72633" w:rsidRDefault="00AB66BC" w:rsidP="00AB66BC">
            <w:pPr>
              <w:spacing w:before="6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Véanse las figuras</w:t>
            </w:r>
            <w:r w:rsidR="008724A2" w:rsidRPr="00F72633">
              <w:rPr>
                <w:rFonts w:ascii="Arial Narrow" w:eastAsia="Times New Roman" w:hAnsi="Arial Narrow"/>
                <w:sz w:val="18"/>
                <w:szCs w:val="18"/>
                <w:lang w:val="es-419" w:eastAsia="en-US"/>
              </w:rPr>
              <w:t> 28 </w:t>
            </w:r>
            <w:r w:rsidRPr="00F72633">
              <w:rPr>
                <w:rFonts w:ascii="Arial Narrow" w:eastAsia="Times New Roman" w:hAnsi="Arial Narrow"/>
                <w:sz w:val="18"/>
                <w:szCs w:val="18"/>
                <w:lang w:val="es-419" w:eastAsia="en-US"/>
              </w:rPr>
              <w:t>y</w:t>
            </w:r>
            <w:r w:rsidR="008724A2" w:rsidRPr="00F72633">
              <w:rPr>
                <w:rFonts w:ascii="Arial Narrow" w:eastAsia="Times New Roman" w:hAnsi="Arial Narrow"/>
                <w:sz w:val="18"/>
                <w:szCs w:val="18"/>
                <w:lang w:val="es-419" w:eastAsia="en-US"/>
              </w:rPr>
              <w:t> </w:t>
            </w:r>
            <w:r w:rsidR="00B525A5" w:rsidRPr="00F72633">
              <w:rPr>
                <w:rFonts w:ascii="Arial Narrow" w:eastAsia="Times New Roman" w:hAnsi="Arial Narrow"/>
                <w:sz w:val="18"/>
                <w:szCs w:val="18"/>
                <w:lang w:val="es-419" w:eastAsia="en-US"/>
              </w:rPr>
              <w:t>29</w:t>
            </w:r>
          </w:p>
        </w:tc>
      </w:tr>
      <w:tr w:rsidR="007413ED" w:rsidRPr="00F72633" w14:paraId="2BFC97F9" w14:textId="77777777" w:rsidTr="007C2966">
        <w:trPr>
          <w:trHeight w:val="280"/>
        </w:trPr>
        <w:tc>
          <w:tcPr>
            <w:tcW w:w="1838" w:type="dxa"/>
          </w:tcPr>
          <w:p w14:paraId="7B3683C7"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shd w:val="clear" w:color="auto" w:fill="auto"/>
          </w:tcPr>
          <w:p w14:paraId="756A6CA4" w14:textId="0CCBEDE6"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e) </w:t>
            </w:r>
            <w:r w:rsidR="0040786B" w:rsidRPr="00F72633">
              <w:rPr>
                <w:rFonts w:ascii="Arial Narrow" w:hAnsi="Arial Narrow"/>
                <w:sz w:val="18"/>
                <w:lang w:val="es-419"/>
              </w:rPr>
              <w:t>Número de estudios publicados en el sitio web de la UPOV</w:t>
            </w:r>
          </w:p>
        </w:tc>
        <w:tc>
          <w:tcPr>
            <w:tcW w:w="5088" w:type="dxa"/>
            <w:shd w:val="clear" w:color="auto" w:fill="auto"/>
          </w:tcPr>
          <w:p w14:paraId="0ED6B975" w14:textId="55D0C6CA" w:rsidR="007413ED" w:rsidRPr="00F72633" w:rsidRDefault="00C357E4" w:rsidP="007413ED">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Dos estudios publicados</w:t>
            </w:r>
            <w:r w:rsidR="007C68EE" w:rsidRPr="00F72633">
              <w:rPr>
                <w:rFonts w:ascii="Arial Narrow" w:eastAsia="Times New Roman" w:hAnsi="Arial Narrow"/>
                <w:sz w:val="18"/>
                <w:szCs w:val="18"/>
                <w:lang w:val="es-419" w:eastAsia="en-US"/>
              </w:rPr>
              <w:t>:</w:t>
            </w:r>
          </w:p>
          <w:p w14:paraId="5E9563F1" w14:textId="3F6D75BC" w:rsidR="007413ED" w:rsidRPr="00F72633" w:rsidRDefault="00FB757A" w:rsidP="00FB757A">
            <w:pPr>
              <w:pStyle w:val="ListParagraph"/>
              <w:numPr>
                <w:ilvl w:val="0"/>
                <w:numId w:val="30"/>
              </w:numPr>
              <w:spacing w:before="40" w:after="40"/>
              <w:jc w:val="left"/>
              <w:rPr>
                <w:rFonts w:ascii="Arial Narrow" w:hAnsi="Arial Narrow"/>
                <w:sz w:val="18"/>
                <w:szCs w:val="18"/>
                <w:lang w:val="es-419"/>
              </w:rPr>
            </w:pPr>
            <w:r w:rsidRPr="00F72633">
              <w:rPr>
                <w:rFonts w:ascii="Arial Narrow" w:hAnsi="Arial Narrow"/>
                <w:sz w:val="18"/>
                <w:szCs w:val="18"/>
                <w:lang w:val="es-419"/>
              </w:rPr>
              <w:t xml:space="preserve">Informe de la OCVV y la </w:t>
            </w:r>
            <w:r w:rsidR="007413ED" w:rsidRPr="00F72633">
              <w:rPr>
                <w:rFonts w:ascii="Arial Narrow" w:hAnsi="Arial Narrow"/>
                <w:sz w:val="18"/>
                <w:szCs w:val="18"/>
                <w:lang w:val="es-419"/>
              </w:rPr>
              <w:t xml:space="preserve">EUIPO: </w:t>
            </w:r>
            <w:r w:rsidR="00C357E4" w:rsidRPr="00F72633">
              <w:rPr>
                <w:rFonts w:ascii="Arial Narrow" w:hAnsi="Arial Narrow"/>
                <w:i/>
                <w:sz w:val="18"/>
                <w:szCs w:val="18"/>
                <w:lang w:val="es-419"/>
              </w:rPr>
              <w:t>Repercusión del sistema comunitario de protección de varied</w:t>
            </w:r>
            <w:r w:rsidR="001C491A">
              <w:rPr>
                <w:rFonts w:ascii="Arial Narrow" w:hAnsi="Arial Narrow"/>
                <w:i/>
                <w:sz w:val="18"/>
                <w:szCs w:val="18"/>
                <w:lang w:val="es-419"/>
              </w:rPr>
              <w:t>ades en la economía de la Unión </w:t>
            </w:r>
            <w:r w:rsidR="00C357E4" w:rsidRPr="00F72633">
              <w:rPr>
                <w:rFonts w:ascii="Arial Narrow" w:hAnsi="Arial Narrow"/>
                <w:i/>
                <w:sz w:val="18"/>
                <w:szCs w:val="18"/>
                <w:lang w:val="es-419"/>
              </w:rPr>
              <w:t>Europea y el medio ambiente</w:t>
            </w:r>
            <w:r w:rsidR="007413ED" w:rsidRPr="00F72633">
              <w:rPr>
                <w:rFonts w:ascii="Arial Narrow" w:hAnsi="Arial Narrow"/>
                <w:sz w:val="18"/>
                <w:szCs w:val="18"/>
                <w:lang w:val="es-419"/>
              </w:rPr>
              <w:t>;</w:t>
            </w:r>
          </w:p>
          <w:p w14:paraId="2427F55C" w14:textId="7301ED90" w:rsidR="007413ED" w:rsidRPr="00F72633" w:rsidRDefault="00FB757A" w:rsidP="00FB757A">
            <w:pPr>
              <w:pStyle w:val="ListParagraph"/>
              <w:numPr>
                <w:ilvl w:val="0"/>
                <w:numId w:val="30"/>
              </w:numPr>
              <w:spacing w:before="40" w:after="40"/>
              <w:jc w:val="left"/>
              <w:rPr>
                <w:rFonts w:ascii="Arial Narrow" w:hAnsi="Arial Narrow"/>
                <w:sz w:val="18"/>
                <w:szCs w:val="18"/>
                <w:lang w:val="es-419"/>
              </w:rPr>
            </w:pPr>
            <w:r w:rsidRPr="00F72633">
              <w:rPr>
                <w:rFonts w:ascii="Arial Narrow" w:hAnsi="Arial Narrow"/>
                <w:sz w:val="18"/>
                <w:szCs w:val="18"/>
                <w:lang w:val="es-419"/>
              </w:rPr>
              <w:t xml:space="preserve">Informe de </w:t>
            </w:r>
            <w:r w:rsidR="007413ED" w:rsidRPr="00F72633">
              <w:rPr>
                <w:rFonts w:ascii="Arial Narrow" w:hAnsi="Arial Narrow"/>
                <w:sz w:val="18"/>
                <w:szCs w:val="18"/>
                <w:lang w:val="es-419"/>
              </w:rPr>
              <w:t xml:space="preserve">IP Australia </w:t>
            </w:r>
            <w:r w:rsidRPr="00F72633">
              <w:rPr>
                <w:rFonts w:ascii="Arial Narrow" w:hAnsi="Arial Narrow"/>
                <w:sz w:val="18"/>
                <w:szCs w:val="18"/>
                <w:lang w:val="es-419"/>
              </w:rPr>
              <w:t xml:space="preserve">sobre los efectos económicos de los derechos de obtentor en </w:t>
            </w:r>
            <w:r w:rsidR="007413ED" w:rsidRPr="00F72633">
              <w:rPr>
                <w:rFonts w:ascii="Arial Narrow" w:hAnsi="Arial Narrow"/>
                <w:sz w:val="18"/>
                <w:szCs w:val="18"/>
                <w:lang w:val="es-419"/>
              </w:rPr>
              <w:t>Australia</w:t>
            </w:r>
          </w:p>
        </w:tc>
      </w:tr>
      <w:tr w:rsidR="007413ED" w:rsidRPr="00F72633" w14:paraId="4F778137" w14:textId="77777777" w:rsidTr="007C2966">
        <w:trPr>
          <w:trHeight w:val="280"/>
        </w:trPr>
        <w:tc>
          <w:tcPr>
            <w:tcW w:w="1838" w:type="dxa"/>
          </w:tcPr>
          <w:p w14:paraId="145F0539"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shd w:val="clear" w:color="auto" w:fill="auto"/>
          </w:tcPr>
          <w:p w14:paraId="1C58266A" w14:textId="2F928476"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f) </w:t>
            </w:r>
            <w:r w:rsidR="0040786B" w:rsidRPr="00F72633">
              <w:rPr>
                <w:rFonts w:ascii="Arial Narrow" w:hAnsi="Arial Narrow"/>
                <w:sz w:val="18"/>
                <w:lang w:val="es-419"/>
              </w:rPr>
              <w:t>Número de videos publicados en el sitio web de la UPOV</w:t>
            </w:r>
          </w:p>
        </w:tc>
        <w:tc>
          <w:tcPr>
            <w:tcW w:w="5088" w:type="dxa"/>
            <w:shd w:val="clear" w:color="auto" w:fill="auto"/>
          </w:tcPr>
          <w:p w14:paraId="7CC667A7" w14:textId="1DAB2397" w:rsidR="007413ED" w:rsidRPr="00F72633" w:rsidRDefault="007413ED" w:rsidP="007413ED">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w:t>
            </w:r>
            <w:r w:rsidR="00FB757A" w:rsidRPr="00F72633">
              <w:rPr>
                <w:rFonts w:ascii="Arial Narrow" w:eastAsia="Times New Roman" w:hAnsi="Arial Narrow"/>
                <w:sz w:val="18"/>
                <w:szCs w:val="18"/>
                <w:lang w:val="es-419" w:eastAsia="en-US"/>
              </w:rPr>
              <w:t>uevos videos publicados e</w:t>
            </w:r>
            <w:r w:rsidR="008724A2" w:rsidRPr="00F72633">
              <w:rPr>
                <w:rFonts w:ascii="Arial Narrow" w:eastAsia="Times New Roman" w:hAnsi="Arial Narrow"/>
                <w:sz w:val="18"/>
                <w:szCs w:val="18"/>
                <w:lang w:val="es-419" w:eastAsia="en-US"/>
              </w:rPr>
              <w:t>n </w:t>
            </w:r>
            <w:r w:rsidRPr="00F72633">
              <w:rPr>
                <w:rFonts w:ascii="Arial Narrow" w:eastAsia="Times New Roman" w:hAnsi="Arial Narrow"/>
                <w:sz w:val="18"/>
                <w:szCs w:val="18"/>
                <w:lang w:val="es-419" w:eastAsia="en-US"/>
              </w:rPr>
              <w:t xml:space="preserve">2022: </w:t>
            </w:r>
          </w:p>
          <w:p w14:paraId="628365E1" w14:textId="094E6D5D" w:rsidR="007413ED" w:rsidRPr="00F72633" w:rsidRDefault="00FB757A" w:rsidP="00FB757A">
            <w:pPr>
              <w:pStyle w:val="ListParagraph"/>
              <w:numPr>
                <w:ilvl w:val="0"/>
                <w:numId w:val="31"/>
              </w:numPr>
              <w:spacing w:before="40" w:after="40"/>
              <w:jc w:val="left"/>
              <w:rPr>
                <w:rFonts w:ascii="Arial Narrow" w:hAnsi="Arial Narrow"/>
                <w:sz w:val="18"/>
                <w:szCs w:val="18"/>
                <w:lang w:val="es-419"/>
              </w:rPr>
            </w:pPr>
            <w:r w:rsidRPr="00F72633">
              <w:rPr>
                <w:rFonts w:ascii="Arial Narrow" w:hAnsi="Arial Narrow"/>
                <w:sz w:val="18"/>
                <w:szCs w:val="18"/>
                <w:lang w:val="es-419"/>
              </w:rPr>
              <w:t>PAÍSES BAJO</w:t>
            </w:r>
            <w:r w:rsidR="007413ED" w:rsidRPr="00F72633">
              <w:rPr>
                <w:rFonts w:ascii="Arial Narrow" w:hAnsi="Arial Narrow"/>
                <w:sz w:val="18"/>
                <w:szCs w:val="18"/>
                <w:lang w:val="es-419"/>
              </w:rPr>
              <w:t xml:space="preserve">S: </w:t>
            </w:r>
            <w:r w:rsidRPr="00F72633">
              <w:rPr>
                <w:rFonts w:ascii="Arial Narrow" w:hAnsi="Arial Narrow"/>
                <w:i/>
                <w:sz w:val="18"/>
                <w:szCs w:val="18"/>
                <w:lang w:val="es-419"/>
              </w:rPr>
              <w:t>Cómo la UPOV ayuda a una empresa familiar de fitomejoramiento de los Países Bajos a operar a nivel mundial</w:t>
            </w:r>
          </w:p>
          <w:p w14:paraId="65E85E73" w14:textId="4D13DED4" w:rsidR="007413ED" w:rsidRPr="00F72633" w:rsidRDefault="00FB757A" w:rsidP="004D740E">
            <w:pPr>
              <w:pStyle w:val="ListParagraph"/>
              <w:numPr>
                <w:ilvl w:val="0"/>
                <w:numId w:val="31"/>
              </w:numPr>
              <w:spacing w:before="40" w:after="40"/>
              <w:jc w:val="left"/>
              <w:rPr>
                <w:rFonts w:ascii="Arial Narrow" w:hAnsi="Arial Narrow"/>
                <w:sz w:val="18"/>
                <w:szCs w:val="18"/>
                <w:lang w:val="es-419"/>
              </w:rPr>
            </w:pPr>
            <w:r w:rsidRPr="00F72633">
              <w:rPr>
                <w:rFonts w:ascii="Arial Narrow" w:hAnsi="Arial Narrow"/>
                <w:sz w:val="18"/>
                <w:szCs w:val="18"/>
                <w:lang w:val="es-419"/>
              </w:rPr>
              <w:t>PAÍSES BAJOS</w:t>
            </w:r>
            <w:r w:rsidR="007413ED" w:rsidRPr="00F72633">
              <w:rPr>
                <w:rFonts w:ascii="Arial Narrow" w:hAnsi="Arial Narrow"/>
                <w:sz w:val="18"/>
                <w:szCs w:val="18"/>
                <w:lang w:val="es-419"/>
              </w:rPr>
              <w:t xml:space="preserve">: </w:t>
            </w:r>
            <w:r w:rsidRPr="00F72633">
              <w:rPr>
                <w:rFonts w:ascii="Arial Narrow" w:hAnsi="Arial Narrow"/>
                <w:i/>
                <w:sz w:val="18"/>
                <w:szCs w:val="18"/>
                <w:lang w:val="es-419"/>
              </w:rPr>
              <w:t>Netherlands Triple Helix - government, business and academia working together. Learn how this complements plant variety protection</w:t>
            </w:r>
            <w:r w:rsidRPr="00F72633">
              <w:rPr>
                <w:rFonts w:ascii="Arial Narrow" w:hAnsi="Arial Narrow"/>
                <w:sz w:val="18"/>
                <w:szCs w:val="18"/>
                <w:lang w:val="es-419"/>
              </w:rPr>
              <w:t xml:space="preserve"> (La triple hélice de los Países Bajos: el gobierno, las empresas y el mundo académico trabajan juntos.</w:t>
            </w:r>
            <w:r w:rsidR="004D740E" w:rsidRPr="00F72633">
              <w:rPr>
                <w:rFonts w:ascii="Arial Narrow" w:hAnsi="Arial Narrow"/>
                <w:sz w:val="18"/>
                <w:szCs w:val="18"/>
                <w:lang w:val="es-419"/>
              </w:rPr>
              <w:t xml:space="preserve"> </w:t>
            </w:r>
            <w:r w:rsidR="00B22F3E" w:rsidRPr="00F72633">
              <w:rPr>
                <w:rFonts w:ascii="Arial Narrow" w:hAnsi="Arial Narrow"/>
                <w:sz w:val="18"/>
                <w:szCs w:val="18"/>
                <w:lang w:val="es-419"/>
              </w:rPr>
              <w:t xml:space="preserve">Cómo </w:t>
            </w:r>
            <w:r w:rsidR="004D740E" w:rsidRPr="00F72633">
              <w:rPr>
                <w:rFonts w:ascii="Arial Narrow" w:hAnsi="Arial Narrow"/>
                <w:sz w:val="18"/>
                <w:szCs w:val="18"/>
                <w:lang w:val="es-419"/>
              </w:rPr>
              <w:t>se complementa la protección de las obtenciones vegetales)</w:t>
            </w:r>
          </w:p>
          <w:p w14:paraId="1E7C4955" w14:textId="1E2FBD25" w:rsidR="007413ED" w:rsidRPr="00F72633" w:rsidRDefault="007413ED" w:rsidP="004D740E">
            <w:pPr>
              <w:pStyle w:val="ListParagraph"/>
              <w:numPr>
                <w:ilvl w:val="0"/>
                <w:numId w:val="31"/>
              </w:numPr>
              <w:spacing w:before="40" w:after="40"/>
              <w:jc w:val="left"/>
              <w:rPr>
                <w:rFonts w:ascii="Arial Narrow" w:hAnsi="Arial Narrow"/>
                <w:sz w:val="18"/>
                <w:szCs w:val="18"/>
                <w:lang w:val="es-419"/>
              </w:rPr>
            </w:pPr>
            <w:r w:rsidRPr="00F72633">
              <w:rPr>
                <w:rFonts w:ascii="Arial Narrow" w:hAnsi="Arial Narrow"/>
                <w:sz w:val="18"/>
                <w:szCs w:val="18"/>
                <w:lang w:val="es-419"/>
              </w:rPr>
              <w:t>BRA</w:t>
            </w:r>
            <w:r w:rsidR="004D740E" w:rsidRPr="00F72633">
              <w:rPr>
                <w:rFonts w:ascii="Arial Narrow" w:hAnsi="Arial Narrow"/>
                <w:sz w:val="18"/>
                <w:szCs w:val="18"/>
                <w:lang w:val="es-419"/>
              </w:rPr>
              <w:t>S</w:t>
            </w:r>
            <w:r w:rsidRPr="00F72633">
              <w:rPr>
                <w:rFonts w:ascii="Arial Narrow" w:hAnsi="Arial Narrow"/>
                <w:sz w:val="18"/>
                <w:szCs w:val="18"/>
                <w:lang w:val="es-419"/>
              </w:rPr>
              <w:t xml:space="preserve">IL: </w:t>
            </w:r>
            <w:r w:rsidR="004D740E" w:rsidRPr="00F72633">
              <w:rPr>
                <w:rFonts w:ascii="Arial Narrow" w:hAnsi="Arial Narrow"/>
                <w:i/>
                <w:sz w:val="18"/>
                <w:szCs w:val="18"/>
                <w:lang w:val="es-419"/>
              </w:rPr>
              <w:t>Nuevas variedades de frijoles (</w:t>
            </w:r>
            <w:r w:rsidR="00B22F3E" w:rsidRPr="00F72633">
              <w:rPr>
                <w:rFonts w:ascii="Arial Narrow" w:hAnsi="Arial Narrow"/>
                <w:i/>
                <w:sz w:val="18"/>
                <w:szCs w:val="18"/>
                <w:lang w:val="es-419"/>
              </w:rPr>
              <w:t>Phaseolus</w:t>
            </w:r>
            <w:r w:rsidR="004D740E" w:rsidRPr="00F72633">
              <w:rPr>
                <w:rFonts w:ascii="Arial Narrow" w:hAnsi="Arial Narrow"/>
                <w:i/>
                <w:sz w:val="18"/>
                <w:szCs w:val="18"/>
                <w:lang w:val="es-419"/>
              </w:rPr>
              <w:t xml:space="preserve"> vulgaris): impacto logrado por EMBRAPA a través de la protección de obtenciones vegetales en el Brasil</w:t>
            </w:r>
          </w:p>
          <w:p w14:paraId="2115F668" w14:textId="071BD93D" w:rsidR="007413ED" w:rsidRPr="00F72633" w:rsidRDefault="007413ED" w:rsidP="004D740E">
            <w:pPr>
              <w:pStyle w:val="ListParagraph"/>
              <w:numPr>
                <w:ilvl w:val="0"/>
                <w:numId w:val="31"/>
              </w:numPr>
              <w:spacing w:before="40" w:after="40"/>
              <w:jc w:val="left"/>
              <w:rPr>
                <w:rFonts w:ascii="Arial Narrow" w:hAnsi="Arial Narrow"/>
                <w:sz w:val="18"/>
                <w:szCs w:val="18"/>
                <w:lang w:val="es-419"/>
              </w:rPr>
            </w:pPr>
            <w:r w:rsidRPr="00F72633">
              <w:rPr>
                <w:rFonts w:ascii="Arial Narrow" w:hAnsi="Arial Narrow"/>
                <w:sz w:val="18"/>
                <w:szCs w:val="18"/>
                <w:lang w:val="es-419"/>
              </w:rPr>
              <w:t xml:space="preserve">CHINA: </w:t>
            </w:r>
            <w:r w:rsidR="004D740E" w:rsidRPr="00F72633">
              <w:rPr>
                <w:rFonts w:ascii="Arial Narrow" w:hAnsi="Arial Narrow"/>
                <w:i/>
                <w:sz w:val="18"/>
                <w:szCs w:val="18"/>
                <w:lang w:val="es-419"/>
              </w:rPr>
              <w:t>New Varieties of trees and herbs with high quality developed in China</w:t>
            </w:r>
            <w:r w:rsidR="004D740E" w:rsidRPr="00F72633">
              <w:rPr>
                <w:rFonts w:ascii="Arial Narrow" w:hAnsi="Arial Narrow"/>
                <w:sz w:val="18"/>
                <w:szCs w:val="18"/>
                <w:lang w:val="es-419"/>
              </w:rPr>
              <w:t xml:space="preserve"> (National Forestry and Grassland Administration (NFGA)) (Desarrollo de nuevas variedades de árboles y hierbas de gran calidad en China (Administración Estatal de Silvicultura y Pastizales))</w:t>
            </w:r>
          </w:p>
          <w:p w14:paraId="629AB3EB" w14:textId="2204D8C3" w:rsidR="007413ED" w:rsidRPr="00F72633" w:rsidRDefault="007413ED" w:rsidP="004D740E">
            <w:pPr>
              <w:pStyle w:val="ListParagraph"/>
              <w:numPr>
                <w:ilvl w:val="0"/>
                <w:numId w:val="31"/>
              </w:numPr>
              <w:spacing w:before="40" w:after="40"/>
              <w:jc w:val="left"/>
              <w:rPr>
                <w:rFonts w:ascii="Arial Narrow" w:hAnsi="Arial Narrow"/>
                <w:i/>
                <w:sz w:val="18"/>
                <w:szCs w:val="18"/>
                <w:lang w:val="es-419"/>
              </w:rPr>
            </w:pPr>
            <w:r w:rsidRPr="00F72633">
              <w:rPr>
                <w:rFonts w:ascii="Arial Narrow" w:hAnsi="Arial Narrow"/>
                <w:sz w:val="18"/>
                <w:szCs w:val="18"/>
                <w:lang w:val="es-419"/>
              </w:rPr>
              <w:t xml:space="preserve">CHILE: </w:t>
            </w:r>
            <w:r w:rsidR="004D740E" w:rsidRPr="00F72633">
              <w:rPr>
                <w:rFonts w:ascii="Arial Narrow" w:hAnsi="Arial Narrow"/>
                <w:i/>
                <w:sz w:val="18"/>
                <w:szCs w:val="18"/>
                <w:lang w:val="es-419"/>
              </w:rPr>
              <w:t>Mejores opciones para los productores de frambuesa en Chile</w:t>
            </w:r>
          </w:p>
          <w:p w14:paraId="63F52ACA" w14:textId="75374251" w:rsidR="007413ED" w:rsidRPr="00F72633" w:rsidRDefault="004D740E" w:rsidP="0040786B">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Visu</w:t>
            </w:r>
            <w:r w:rsidR="007440A8" w:rsidRPr="00F72633">
              <w:rPr>
                <w:rFonts w:ascii="Arial Narrow" w:eastAsia="Times New Roman" w:hAnsi="Arial Narrow"/>
                <w:sz w:val="18"/>
                <w:szCs w:val="18"/>
                <w:lang w:val="es-419" w:eastAsia="en-US"/>
              </w:rPr>
              <w:t>alizaciones totales combinadas: </w:t>
            </w:r>
            <w:r w:rsidR="00F92E08" w:rsidRPr="00F72633">
              <w:rPr>
                <w:rFonts w:ascii="Arial Narrow" w:eastAsia="Times New Roman" w:hAnsi="Arial Narrow"/>
                <w:sz w:val="18"/>
                <w:szCs w:val="18"/>
                <w:lang w:val="es-419" w:eastAsia="en-US"/>
              </w:rPr>
              <w:t>38</w:t>
            </w:r>
            <w:r w:rsidR="00874D41" w:rsidRPr="00F72633">
              <w:rPr>
                <w:rFonts w:ascii="Arial Narrow" w:eastAsia="Times New Roman" w:hAnsi="Arial Narrow"/>
                <w:sz w:val="18"/>
                <w:szCs w:val="18"/>
                <w:lang w:val="es-419" w:eastAsia="en-US"/>
              </w:rPr>
              <w:t> </w:t>
            </w:r>
            <w:r w:rsidR="00F92E08" w:rsidRPr="00F72633">
              <w:rPr>
                <w:rFonts w:ascii="Arial Narrow" w:eastAsia="Times New Roman" w:hAnsi="Arial Narrow"/>
                <w:sz w:val="18"/>
                <w:szCs w:val="18"/>
                <w:lang w:val="es-419" w:eastAsia="en-US"/>
              </w:rPr>
              <w:t>499</w:t>
            </w:r>
          </w:p>
        </w:tc>
      </w:tr>
      <w:tr w:rsidR="007413ED" w:rsidRPr="00F72633" w14:paraId="32CFD7DF" w14:textId="77777777" w:rsidTr="007C2966">
        <w:trPr>
          <w:trHeight w:val="280"/>
        </w:trPr>
        <w:tc>
          <w:tcPr>
            <w:tcW w:w="1838" w:type="dxa"/>
            <w:tcBorders>
              <w:bottom w:val="nil"/>
            </w:tcBorders>
          </w:tcPr>
          <w:p w14:paraId="36A50228"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tcBorders>
              <w:bottom w:val="nil"/>
            </w:tcBorders>
            <w:shd w:val="clear" w:color="auto" w:fill="auto"/>
          </w:tcPr>
          <w:p w14:paraId="735096F0" w14:textId="4D32A1A2"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g) </w:t>
            </w:r>
            <w:r w:rsidR="0040786B" w:rsidRPr="00F72633">
              <w:rPr>
                <w:rFonts w:ascii="Arial Narrow" w:hAnsi="Arial Narrow"/>
                <w:sz w:val="18"/>
                <w:lang w:val="es-419"/>
              </w:rPr>
              <w:t>Número de visitas a la página de ventajas del sitio web de la UPOV</w:t>
            </w:r>
          </w:p>
        </w:tc>
        <w:tc>
          <w:tcPr>
            <w:tcW w:w="5088" w:type="dxa"/>
            <w:tcBorders>
              <w:bottom w:val="nil"/>
            </w:tcBorders>
            <w:shd w:val="clear" w:color="auto" w:fill="auto"/>
          </w:tcPr>
          <w:p w14:paraId="75BB704B" w14:textId="0690EA56" w:rsidR="007413ED" w:rsidRPr="00F72633" w:rsidRDefault="007440A8" w:rsidP="0040786B">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2022: </w:t>
            </w:r>
            <w:r w:rsidR="007413ED" w:rsidRPr="00F72633">
              <w:rPr>
                <w:rFonts w:ascii="Arial Narrow" w:eastAsia="Times New Roman" w:hAnsi="Arial Narrow"/>
                <w:sz w:val="18"/>
                <w:szCs w:val="18"/>
                <w:lang w:val="es-419" w:eastAsia="en-US"/>
              </w:rPr>
              <w:t>4</w:t>
            </w:r>
            <w:r w:rsidR="00874D41" w:rsidRPr="00F72633">
              <w:rPr>
                <w:rFonts w:ascii="Arial Narrow" w:eastAsia="Times New Roman" w:hAnsi="Arial Narrow"/>
                <w:sz w:val="18"/>
                <w:szCs w:val="18"/>
                <w:lang w:val="es-419" w:eastAsia="en-US"/>
              </w:rPr>
              <w:t> </w:t>
            </w:r>
            <w:r w:rsidR="007413ED" w:rsidRPr="00F72633">
              <w:rPr>
                <w:rFonts w:ascii="Arial Narrow" w:eastAsia="Times New Roman" w:hAnsi="Arial Narrow"/>
                <w:sz w:val="18"/>
                <w:szCs w:val="18"/>
                <w:lang w:val="es-419" w:eastAsia="en-US"/>
              </w:rPr>
              <w:t>412</w:t>
            </w:r>
            <w:r w:rsidRPr="00F72633">
              <w:rPr>
                <w:rFonts w:ascii="Arial Narrow" w:eastAsia="Times New Roman" w:hAnsi="Arial Narrow"/>
                <w:sz w:val="18"/>
                <w:szCs w:val="18"/>
                <w:lang w:val="es-419" w:eastAsia="en-US"/>
              </w:rPr>
              <w:t> </w:t>
            </w:r>
            <w:r w:rsidR="001D23F9" w:rsidRPr="00F72633">
              <w:rPr>
                <w:rFonts w:ascii="Arial Narrow" w:eastAsia="Times New Roman" w:hAnsi="Arial Narrow"/>
                <w:sz w:val="18"/>
                <w:szCs w:val="18"/>
                <w:lang w:val="es-419" w:eastAsia="en-US"/>
              </w:rPr>
              <w:t>visit</w:t>
            </w:r>
            <w:r w:rsidR="008C1E2F" w:rsidRPr="00F72633">
              <w:rPr>
                <w:rFonts w:ascii="Arial Narrow" w:eastAsia="Times New Roman" w:hAnsi="Arial Narrow"/>
                <w:sz w:val="18"/>
                <w:szCs w:val="18"/>
                <w:lang w:val="es-419" w:eastAsia="en-US"/>
              </w:rPr>
              <w:t>a</w:t>
            </w:r>
            <w:r w:rsidR="001D23F9" w:rsidRPr="00F72633">
              <w:rPr>
                <w:rFonts w:ascii="Arial Narrow" w:eastAsia="Times New Roman" w:hAnsi="Arial Narrow"/>
                <w:sz w:val="18"/>
                <w:szCs w:val="18"/>
                <w:lang w:val="es-419" w:eastAsia="en-US"/>
              </w:rPr>
              <w:t>s</w:t>
            </w:r>
          </w:p>
        </w:tc>
      </w:tr>
      <w:tr w:rsidR="007413ED" w:rsidRPr="00F72633" w14:paraId="666125DB" w14:textId="77777777" w:rsidTr="00C41477">
        <w:trPr>
          <w:cantSplit/>
        </w:trPr>
        <w:tc>
          <w:tcPr>
            <w:tcW w:w="1838" w:type="dxa"/>
            <w:tcBorders>
              <w:bottom w:val="nil"/>
            </w:tcBorders>
          </w:tcPr>
          <w:p w14:paraId="6A994BC5"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tcBorders>
              <w:bottom w:val="nil"/>
            </w:tcBorders>
            <w:shd w:val="clear" w:color="auto" w:fill="auto"/>
          </w:tcPr>
          <w:p w14:paraId="15FCA288" w14:textId="62C395AB"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h) </w:t>
            </w:r>
            <w:r w:rsidR="0040786B" w:rsidRPr="00F72633">
              <w:rPr>
                <w:rFonts w:ascii="Arial Narrow" w:hAnsi="Arial Narrow"/>
                <w:sz w:val="18"/>
                <w:lang w:val="es-419"/>
              </w:rPr>
              <w:t xml:space="preserve">Número de idiomas </w:t>
            </w:r>
            <w:r w:rsidR="00122D1F" w:rsidRPr="00F72633">
              <w:rPr>
                <w:rFonts w:ascii="Arial Narrow" w:hAnsi="Arial Narrow"/>
                <w:sz w:val="18"/>
                <w:lang w:val="es-419"/>
              </w:rPr>
              <w:t>en que se publican estudios y vi</w:t>
            </w:r>
            <w:r w:rsidR="0040786B" w:rsidRPr="00F72633">
              <w:rPr>
                <w:rFonts w:ascii="Arial Narrow" w:hAnsi="Arial Narrow"/>
                <w:sz w:val="18"/>
                <w:lang w:val="es-419"/>
              </w:rPr>
              <w:t>deos</w:t>
            </w:r>
          </w:p>
        </w:tc>
        <w:tc>
          <w:tcPr>
            <w:tcW w:w="5088" w:type="dxa"/>
            <w:tcBorders>
              <w:bottom w:val="nil"/>
            </w:tcBorders>
            <w:shd w:val="clear" w:color="auto" w:fill="auto"/>
          </w:tcPr>
          <w:p w14:paraId="17F3E658" w14:textId="3F060BFB" w:rsidR="005506C5" w:rsidRPr="00F72633" w:rsidRDefault="007413ED" w:rsidP="007413ED">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 xml:space="preserve">Videos </w:t>
            </w:r>
            <w:r w:rsidR="00C446CA" w:rsidRPr="00F72633">
              <w:rPr>
                <w:rFonts w:ascii="Arial Narrow" w:eastAsia="Times New Roman" w:hAnsi="Arial Narrow"/>
                <w:sz w:val="18"/>
                <w:szCs w:val="18"/>
                <w:lang w:val="es-419" w:eastAsia="en-US"/>
              </w:rPr>
              <w:t>en la página de Ventajas del sitio web de la</w:t>
            </w:r>
            <w:r w:rsidRPr="00F72633">
              <w:rPr>
                <w:rFonts w:ascii="Arial Narrow" w:eastAsia="Times New Roman" w:hAnsi="Arial Narrow"/>
                <w:sz w:val="18"/>
                <w:szCs w:val="18"/>
                <w:lang w:val="es-419" w:eastAsia="en-US"/>
              </w:rPr>
              <w:t xml:space="preserve"> UPOV</w:t>
            </w:r>
            <w:r w:rsidR="00473CD1" w:rsidRPr="00F72633">
              <w:rPr>
                <w:rFonts w:ascii="Arial Narrow" w:eastAsia="Times New Roman" w:hAnsi="Arial Narrow"/>
                <w:sz w:val="18"/>
                <w:szCs w:val="18"/>
                <w:lang w:val="es-419" w:eastAsia="en-US"/>
              </w:rPr>
              <w:t>:</w:t>
            </w:r>
          </w:p>
          <w:p w14:paraId="02D87485" w14:textId="1E0AE285" w:rsidR="005506C5" w:rsidRPr="00F72633" w:rsidRDefault="00C446CA" w:rsidP="001D23F9">
            <w:pPr>
              <w:pStyle w:val="NormalWeb"/>
              <w:numPr>
                <w:ilvl w:val="0"/>
                <w:numId w:val="32"/>
              </w:numPr>
              <w:spacing w:before="0" w:beforeAutospacing="0" w:after="0" w:afterAutospacing="0"/>
              <w:ind w:left="316" w:hanging="292"/>
              <w:jc w:val="left"/>
              <w:rPr>
                <w:rFonts w:ascii="Arial Narrow" w:hAnsi="Arial Narrow"/>
                <w:bCs/>
                <w:iCs/>
                <w:lang w:val="es-419"/>
              </w:rPr>
            </w:pPr>
            <w:r w:rsidRPr="00F72633">
              <w:rPr>
                <w:rFonts w:ascii="Arial Narrow" w:hAnsi="Arial Narrow"/>
                <w:bCs/>
                <w:i/>
                <w:iCs/>
                <w:lang w:val="es-419"/>
              </w:rPr>
              <w:t>La diversidad en el tomate</w:t>
            </w:r>
            <w:r w:rsidR="005506C5" w:rsidRPr="00F72633">
              <w:rPr>
                <w:rFonts w:ascii="Arial Narrow" w:hAnsi="Arial Narrow"/>
                <w:bCs/>
                <w:iCs/>
                <w:lang w:val="es-419"/>
              </w:rPr>
              <w:t xml:space="preserve"> (</w:t>
            </w:r>
            <w:r w:rsidRPr="00F72633">
              <w:rPr>
                <w:rFonts w:ascii="Arial Narrow" w:hAnsi="Arial Narrow"/>
                <w:bCs/>
                <w:i/>
                <w:iCs/>
                <w:lang w:val="es-419"/>
              </w:rPr>
              <w:t>español, francés inglés</w:t>
            </w:r>
            <w:r w:rsidR="005506C5" w:rsidRPr="00F72633">
              <w:rPr>
                <w:rFonts w:ascii="Arial Narrow" w:hAnsi="Arial Narrow"/>
                <w:bCs/>
                <w:iCs/>
                <w:lang w:val="es-419"/>
              </w:rPr>
              <w:t>)</w:t>
            </w:r>
          </w:p>
          <w:p w14:paraId="44FACEC9" w14:textId="02D28C6E" w:rsidR="005506C5" w:rsidRPr="00F72633" w:rsidRDefault="005506C5" w:rsidP="001D23F9">
            <w:pPr>
              <w:pStyle w:val="NormalWeb"/>
              <w:numPr>
                <w:ilvl w:val="0"/>
                <w:numId w:val="32"/>
              </w:numPr>
              <w:spacing w:before="0" w:beforeAutospacing="0" w:after="0" w:afterAutospacing="0"/>
              <w:ind w:left="316" w:hanging="292"/>
              <w:jc w:val="left"/>
              <w:rPr>
                <w:rFonts w:ascii="Arial Narrow" w:hAnsi="Arial Narrow"/>
                <w:bCs/>
                <w:iCs/>
                <w:lang w:val="es-419"/>
              </w:rPr>
            </w:pPr>
            <w:r w:rsidRPr="00F72633">
              <w:rPr>
                <w:rFonts w:ascii="Arial Narrow" w:hAnsi="Arial Narrow"/>
                <w:bCs/>
                <w:iCs/>
                <w:lang w:val="es-419"/>
              </w:rPr>
              <w:t>(</w:t>
            </w:r>
            <w:r w:rsidR="00C446CA" w:rsidRPr="00F72633">
              <w:rPr>
                <w:rFonts w:ascii="Arial Narrow" w:hAnsi="Arial Narrow"/>
                <w:bCs/>
                <w:iCs/>
                <w:lang w:val="es-419"/>
              </w:rPr>
              <w:t>Países Bajo</w:t>
            </w:r>
            <w:r w:rsidRPr="00F72633">
              <w:rPr>
                <w:rFonts w:ascii="Arial Narrow" w:hAnsi="Arial Narrow"/>
                <w:bCs/>
                <w:iCs/>
                <w:lang w:val="es-419"/>
              </w:rPr>
              <w:t>s) Triple H</w:t>
            </w:r>
            <w:r w:rsidR="00C446CA" w:rsidRPr="00F72633">
              <w:rPr>
                <w:rFonts w:ascii="Arial Narrow" w:hAnsi="Arial Narrow"/>
                <w:bCs/>
                <w:iCs/>
                <w:lang w:val="es-419"/>
              </w:rPr>
              <w:t>élice</w:t>
            </w:r>
            <w:r w:rsidRPr="00F72633">
              <w:rPr>
                <w:rFonts w:ascii="Arial Narrow" w:hAnsi="Arial Narrow"/>
                <w:bCs/>
                <w:iCs/>
                <w:lang w:val="es-419"/>
              </w:rPr>
              <w:t xml:space="preserve"> (</w:t>
            </w:r>
            <w:r w:rsidR="00C446CA" w:rsidRPr="00F72633">
              <w:rPr>
                <w:rFonts w:ascii="Arial Narrow" w:hAnsi="Arial Narrow"/>
                <w:bCs/>
                <w:i/>
                <w:iCs/>
                <w:lang w:val="es-419"/>
              </w:rPr>
              <w:t>inglés</w:t>
            </w:r>
            <w:r w:rsidRPr="00F72633">
              <w:rPr>
                <w:rFonts w:ascii="Arial Narrow" w:hAnsi="Arial Narrow"/>
                <w:bCs/>
                <w:iCs/>
                <w:lang w:val="es-419"/>
              </w:rPr>
              <w:t>)</w:t>
            </w:r>
          </w:p>
          <w:p w14:paraId="64DBBEE6" w14:textId="2280656C" w:rsidR="005506C5" w:rsidRPr="00F72633" w:rsidRDefault="005506C5" w:rsidP="001D23F9">
            <w:pPr>
              <w:pStyle w:val="NormalWeb"/>
              <w:numPr>
                <w:ilvl w:val="0"/>
                <w:numId w:val="32"/>
              </w:numPr>
              <w:spacing w:before="0" w:beforeAutospacing="0" w:after="0" w:afterAutospacing="0"/>
              <w:ind w:left="316" w:hanging="292"/>
              <w:jc w:val="left"/>
              <w:rPr>
                <w:rFonts w:ascii="Arial Narrow" w:hAnsi="Arial Narrow"/>
                <w:bCs/>
                <w:iCs/>
                <w:lang w:val="es-419"/>
              </w:rPr>
            </w:pPr>
            <w:r w:rsidRPr="00F72633">
              <w:rPr>
                <w:rFonts w:ascii="Arial Narrow" w:hAnsi="Arial Narrow"/>
                <w:bCs/>
                <w:iCs/>
                <w:lang w:val="es-419"/>
              </w:rPr>
              <w:t xml:space="preserve">(China) </w:t>
            </w:r>
            <w:r w:rsidRPr="00F72633">
              <w:rPr>
                <w:rFonts w:ascii="Arial Narrow" w:hAnsi="Arial Narrow"/>
                <w:bCs/>
                <w:i/>
                <w:iCs/>
                <w:lang w:val="es-419"/>
              </w:rPr>
              <w:t>New Varieties of trees and herbs with h</w:t>
            </w:r>
            <w:r w:rsidR="00C446CA" w:rsidRPr="00F72633">
              <w:rPr>
                <w:rFonts w:ascii="Arial Narrow" w:hAnsi="Arial Narrow"/>
                <w:bCs/>
                <w:i/>
                <w:iCs/>
                <w:lang w:val="es-419"/>
              </w:rPr>
              <w:t>igh quality developed in China</w:t>
            </w:r>
            <w:r w:rsidR="00C446CA" w:rsidRPr="00F72633">
              <w:rPr>
                <w:rFonts w:ascii="Arial Narrow" w:hAnsi="Arial Narrow"/>
                <w:bCs/>
                <w:iCs/>
                <w:lang w:val="es-419"/>
              </w:rPr>
              <w:t xml:space="preserve"> (Desarrollo de nuevas variedades de árboles y hierbas de gran calidad en China) </w:t>
            </w:r>
            <w:r w:rsidRPr="00F72633">
              <w:rPr>
                <w:rFonts w:ascii="Arial Narrow" w:hAnsi="Arial Narrow"/>
                <w:bCs/>
                <w:iCs/>
                <w:lang w:val="es-419"/>
              </w:rPr>
              <w:t>(</w:t>
            </w:r>
            <w:r w:rsidR="00C446CA" w:rsidRPr="00F72633">
              <w:rPr>
                <w:rFonts w:ascii="Arial Narrow" w:hAnsi="Arial Narrow"/>
                <w:bCs/>
                <w:iCs/>
                <w:lang w:val="es-419"/>
              </w:rPr>
              <w:t xml:space="preserve">chino, </w:t>
            </w:r>
            <w:r w:rsidR="00C446CA" w:rsidRPr="00F72633">
              <w:rPr>
                <w:rFonts w:ascii="Arial Narrow" w:hAnsi="Arial Narrow"/>
                <w:bCs/>
                <w:i/>
                <w:iCs/>
                <w:lang w:val="es-419"/>
              </w:rPr>
              <w:t>inglés</w:t>
            </w:r>
            <w:r w:rsidRPr="00F72633">
              <w:rPr>
                <w:rFonts w:ascii="Arial Narrow" w:hAnsi="Arial Narrow"/>
                <w:bCs/>
                <w:iCs/>
                <w:lang w:val="es-419"/>
              </w:rPr>
              <w:t>)</w:t>
            </w:r>
          </w:p>
          <w:p w14:paraId="5D377224" w14:textId="2A0E9962" w:rsidR="001D23F9" w:rsidRPr="00F72633" w:rsidRDefault="001D23F9" w:rsidP="001D23F9">
            <w:pPr>
              <w:pStyle w:val="NormalWeb"/>
              <w:numPr>
                <w:ilvl w:val="0"/>
                <w:numId w:val="32"/>
              </w:numPr>
              <w:spacing w:before="0" w:beforeAutospacing="0" w:after="0" w:afterAutospacing="0"/>
              <w:ind w:hanging="336"/>
              <w:jc w:val="left"/>
              <w:rPr>
                <w:rFonts w:ascii="Arial Narrow" w:hAnsi="Arial Narrow"/>
                <w:bCs/>
                <w:iCs/>
                <w:lang w:val="es-419"/>
              </w:rPr>
            </w:pPr>
            <w:r w:rsidRPr="00F72633">
              <w:rPr>
                <w:rFonts w:ascii="Arial Narrow" w:hAnsi="Arial Narrow"/>
                <w:bCs/>
                <w:iCs/>
                <w:lang w:val="es-419"/>
              </w:rPr>
              <w:t>(Bra</w:t>
            </w:r>
            <w:r w:rsidR="00C446CA" w:rsidRPr="00F72633">
              <w:rPr>
                <w:rFonts w:ascii="Arial Narrow" w:hAnsi="Arial Narrow"/>
                <w:bCs/>
                <w:iCs/>
                <w:lang w:val="es-419"/>
              </w:rPr>
              <w:t>s</w:t>
            </w:r>
            <w:r w:rsidRPr="00F72633">
              <w:rPr>
                <w:rFonts w:ascii="Arial Narrow" w:hAnsi="Arial Narrow"/>
                <w:bCs/>
                <w:iCs/>
                <w:lang w:val="es-419"/>
              </w:rPr>
              <w:t xml:space="preserve">il) </w:t>
            </w:r>
            <w:r w:rsidR="00C446CA" w:rsidRPr="00F72633">
              <w:rPr>
                <w:rFonts w:ascii="Arial Narrow" w:hAnsi="Arial Narrow"/>
                <w:bCs/>
                <w:i/>
                <w:iCs/>
                <w:lang w:val="es-419"/>
              </w:rPr>
              <w:t>Nuevas variedades de frijoles (</w:t>
            </w:r>
            <w:r w:rsidR="00B22F3E" w:rsidRPr="00F72633">
              <w:rPr>
                <w:rFonts w:ascii="Arial Narrow" w:hAnsi="Arial Narrow"/>
                <w:bCs/>
                <w:i/>
                <w:iCs/>
                <w:lang w:val="es-419"/>
              </w:rPr>
              <w:t>Phaseolus</w:t>
            </w:r>
            <w:r w:rsidR="00C446CA" w:rsidRPr="00F72633">
              <w:rPr>
                <w:rFonts w:ascii="Arial Narrow" w:hAnsi="Arial Narrow"/>
                <w:bCs/>
                <w:i/>
                <w:iCs/>
                <w:lang w:val="es-419"/>
              </w:rPr>
              <w:t xml:space="preserve"> vulgaris): impacto logrado por EMBRAPA a través de la protección de obtenciones vegetales en el Brasil </w:t>
            </w:r>
            <w:r w:rsidRPr="00F72633">
              <w:rPr>
                <w:rFonts w:ascii="Arial Narrow" w:hAnsi="Arial Narrow"/>
                <w:bCs/>
                <w:iCs/>
                <w:lang w:val="es-419"/>
              </w:rPr>
              <w:t>(</w:t>
            </w:r>
            <w:r w:rsidR="00C446CA" w:rsidRPr="00F72633">
              <w:rPr>
                <w:rFonts w:ascii="Arial Narrow" w:hAnsi="Arial Narrow"/>
                <w:bCs/>
                <w:i/>
                <w:iCs/>
                <w:lang w:val="es-419"/>
              </w:rPr>
              <w:t>español, francés inglés</w:t>
            </w:r>
            <w:r w:rsidR="00473CD1" w:rsidRPr="00F72633">
              <w:rPr>
                <w:rFonts w:ascii="Arial Narrow" w:hAnsi="Arial Narrow"/>
                <w:bCs/>
                <w:i/>
                <w:iCs/>
                <w:lang w:val="es-419"/>
              </w:rPr>
              <w:t>)</w:t>
            </w:r>
          </w:p>
          <w:p w14:paraId="3322C132" w14:textId="1087894F" w:rsidR="001D23F9" w:rsidRPr="00F72633" w:rsidRDefault="001D23F9" w:rsidP="001D23F9">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w:t>
            </w:r>
            <w:r w:rsidR="00C446CA" w:rsidRPr="00F72633">
              <w:rPr>
                <w:rFonts w:ascii="Arial Narrow" w:hAnsi="Arial Narrow"/>
                <w:bCs/>
                <w:iCs/>
                <w:lang w:val="es-419"/>
              </w:rPr>
              <w:t>Países Bajos</w:t>
            </w:r>
            <w:r w:rsidRPr="00F72633">
              <w:rPr>
                <w:rFonts w:ascii="Arial Narrow" w:hAnsi="Arial Narrow"/>
                <w:bCs/>
                <w:iCs/>
                <w:lang w:val="es-419"/>
              </w:rPr>
              <w:t xml:space="preserve">) </w:t>
            </w:r>
            <w:r w:rsidR="00C446CA" w:rsidRPr="00F72633">
              <w:rPr>
                <w:rFonts w:ascii="Arial Narrow" w:hAnsi="Arial Narrow"/>
                <w:bCs/>
                <w:i/>
                <w:iCs/>
                <w:lang w:val="es-419"/>
              </w:rPr>
              <w:t>Cómo la UPOV ayuda a una empresa familiar de fitomejoramiento de los Países Bajos a operar a nivel mundial</w:t>
            </w:r>
            <w:r w:rsidRPr="00F72633">
              <w:rPr>
                <w:rFonts w:ascii="Arial Narrow" w:hAnsi="Arial Narrow"/>
                <w:bCs/>
                <w:i/>
                <w:iCs/>
                <w:lang w:val="es-419"/>
              </w:rPr>
              <w:t xml:space="preserve"> </w:t>
            </w:r>
            <w:r w:rsidRPr="00F72633">
              <w:rPr>
                <w:rFonts w:ascii="Arial Narrow" w:hAnsi="Arial Narrow"/>
                <w:bCs/>
                <w:iCs/>
                <w:lang w:val="es-419"/>
              </w:rPr>
              <w:t>(</w:t>
            </w:r>
            <w:r w:rsidR="00C446CA" w:rsidRPr="00F72633">
              <w:rPr>
                <w:rFonts w:ascii="Arial Narrow" w:hAnsi="Arial Narrow"/>
                <w:bCs/>
                <w:i/>
                <w:iCs/>
                <w:lang w:val="es-419"/>
              </w:rPr>
              <w:t>inglés</w:t>
            </w:r>
            <w:r w:rsidR="00473CD1" w:rsidRPr="00F72633">
              <w:rPr>
                <w:rFonts w:ascii="Arial Narrow" w:hAnsi="Arial Narrow"/>
                <w:bCs/>
                <w:iCs/>
                <w:lang w:val="es-419"/>
              </w:rPr>
              <w:t>)</w:t>
            </w:r>
          </w:p>
          <w:p w14:paraId="575A6724" w14:textId="5A3CD4AF" w:rsidR="001D23F9" w:rsidRPr="00F72633" w:rsidRDefault="001D23F9" w:rsidP="00C446CA">
            <w:pPr>
              <w:pStyle w:val="NormalWeb"/>
              <w:numPr>
                <w:ilvl w:val="0"/>
                <w:numId w:val="32"/>
              </w:numPr>
              <w:spacing w:before="0" w:beforeAutospacing="0" w:after="0" w:afterAutospacing="0"/>
              <w:jc w:val="left"/>
              <w:rPr>
                <w:rFonts w:ascii="Arial Narrow" w:hAnsi="Arial Narrow"/>
                <w:bCs/>
                <w:i/>
                <w:iCs/>
                <w:lang w:val="es-419"/>
              </w:rPr>
            </w:pPr>
            <w:r w:rsidRPr="00F72633">
              <w:rPr>
                <w:rFonts w:ascii="Arial Narrow" w:hAnsi="Arial Narrow"/>
                <w:bCs/>
                <w:iCs/>
                <w:lang w:val="es-419"/>
              </w:rPr>
              <w:t xml:space="preserve">(Chile) </w:t>
            </w:r>
            <w:r w:rsidR="00C446CA" w:rsidRPr="00F72633">
              <w:rPr>
                <w:rFonts w:ascii="Arial Narrow" w:hAnsi="Arial Narrow"/>
                <w:bCs/>
                <w:i/>
                <w:iCs/>
                <w:lang w:val="es-419"/>
              </w:rPr>
              <w:t>Mejores opciones para los productores de frambuesa en Chile</w:t>
            </w:r>
            <w:r w:rsidR="00D608F2" w:rsidRPr="00F72633">
              <w:rPr>
                <w:rFonts w:ascii="Arial Narrow" w:hAnsi="Arial Narrow"/>
                <w:bCs/>
                <w:i/>
                <w:iCs/>
                <w:lang w:val="es-419"/>
              </w:rPr>
              <w:t xml:space="preserve"> </w:t>
            </w:r>
            <w:r w:rsidR="00D608F2" w:rsidRPr="00F72633">
              <w:rPr>
                <w:rFonts w:ascii="Arial Narrow" w:hAnsi="Arial Narrow"/>
                <w:bCs/>
                <w:iCs/>
                <w:lang w:val="es-419"/>
              </w:rPr>
              <w:t>(</w:t>
            </w:r>
            <w:r w:rsidR="00C446CA" w:rsidRPr="00F72633">
              <w:rPr>
                <w:rFonts w:ascii="Arial Narrow" w:hAnsi="Arial Narrow"/>
                <w:bCs/>
                <w:i/>
                <w:iCs/>
                <w:lang w:val="es-419"/>
              </w:rPr>
              <w:t>español, inglés</w:t>
            </w:r>
            <w:r w:rsidR="00D608F2" w:rsidRPr="00F72633">
              <w:rPr>
                <w:rFonts w:ascii="Arial Narrow" w:hAnsi="Arial Narrow"/>
                <w:bCs/>
                <w:i/>
                <w:iCs/>
                <w:lang w:val="es-419"/>
              </w:rPr>
              <w:t>)</w:t>
            </w:r>
          </w:p>
          <w:p w14:paraId="4233B0F6" w14:textId="3973E5C0" w:rsidR="001D23F9" w:rsidRPr="00F72633" w:rsidRDefault="001D23F9" w:rsidP="001D23F9">
            <w:pPr>
              <w:pStyle w:val="NormalWeb"/>
              <w:numPr>
                <w:ilvl w:val="0"/>
                <w:numId w:val="32"/>
              </w:numPr>
              <w:spacing w:before="0" w:beforeAutospacing="0" w:after="0" w:afterAutospacing="0"/>
              <w:jc w:val="left"/>
              <w:rPr>
                <w:rFonts w:ascii="Arial Narrow" w:hAnsi="Arial Narrow"/>
                <w:bCs/>
                <w:i/>
                <w:iCs/>
                <w:lang w:val="es-419"/>
              </w:rPr>
            </w:pPr>
            <w:r w:rsidRPr="00F72633">
              <w:rPr>
                <w:rFonts w:ascii="Arial Narrow" w:hAnsi="Arial Narrow"/>
                <w:bCs/>
                <w:iCs/>
                <w:lang w:val="es-419"/>
              </w:rPr>
              <w:t>(Per</w:t>
            </w:r>
            <w:r w:rsidR="00347E8F" w:rsidRPr="00F72633">
              <w:rPr>
                <w:rFonts w:ascii="Arial Narrow" w:hAnsi="Arial Narrow"/>
                <w:bCs/>
                <w:iCs/>
                <w:lang w:val="es-419"/>
              </w:rPr>
              <w:t>ú</w:t>
            </w:r>
            <w:r w:rsidRPr="00F72633">
              <w:rPr>
                <w:rFonts w:ascii="Arial Narrow" w:hAnsi="Arial Narrow"/>
                <w:bCs/>
                <w:iCs/>
                <w:lang w:val="es-419"/>
              </w:rPr>
              <w:t xml:space="preserve">) </w:t>
            </w:r>
            <w:r w:rsidR="00347E8F" w:rsidRPr="00F72633">
              <w:rPr>
                <w:rFonts w:ascii="Arial Narrow" w:hAnsi="Arial Narrow"/>
                <w:bCs/>
                <w:i/>
                <w:iCs/>
                <w:lang w:val="es-419"/>
              </w:rPr>
              <w:t>El sistema de protección de las obtenciones vegetales: los beneficios para el desarrollo del sector arrocero en el Perú</w:t>
            </w:r>
            <w:r w:rsidR="00473CD1" w:rsidRPr="00F72633">
              <w:rPr>
                <w:rFonts w:ascii="Arial Narrow" w:hAnsi="Arial Narrow"/>
                <w:bCs/>
                <w:iCs/>
                <w:lang w:val="es-419"/>
              </w:rPr>
              <w:t xml:space="preserve"> </w:t>
            </w:r>
            <w:r w:rsidR="00473CD1" w:rsidRPr="00F72633">
              <w:rPr>
                <w:rFonts w:ascii="Arial Narrow" w:hAnsi="Arial Narrow"/>
                <w:bCs/>
                <w:i/>
                <w:iCs/>
                <w:lang w:val="es-419"/>
              </w:rPr>
              <w:t>(</w:t>
            </w:r>
            <w:r w:rsidR="00C446CA" w:rsidRPr="00F72633">
              <w:rPr>
                <w:rFonts w:ascii="Arial Narrow" w:hAnsi="Arial Narrow"/>
                <w:bCs/>
                <w:i/>
                <w:iCs/>
                <w:lang w:val="es-419"/>
              </w:rPr>
              <w:t>español, inglés</w:t>
            </w:r>
            <w:r w:rsidR="00473CD1" w:rsidRPr="00F72633">
              <w:rPr>
                <w:rFonts w:ascii="Arial Narrow" w:hAnsi="Arial Narrow"/>
                <w:bCs/>
                <w:i/>
                <w:iCs/>
                <w:lang w:val="es-419"/>
              </w:rPr>
              <w:t>)</w:t>
            </w:r>
          </w:p>
          <w:p w14:paraId="5418A1E3" w14:textId="60574115" w:rsidR="00690A68" w:rsidRPr="00F72633" w:rsidRDefault="00690A68" w:rsidP="00690A68">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 xml:space="preserve">(Uruguay) </w:t>
            </w:r>
            <w:r w:rsidR="00347E8F" w:rsidRPr="00F72633">
              <w:rPr>
                <w:rFonts w:ascii="Arial Narrow" w:hAnsi="Arial Narrow"/>
                <w:bCs/>
                <w:i/>
                <w:iCs/>
                <w:lang w:val="es-419"/>
              </w:rPr>
              <w:t>Obtentor público utiliza protección de obtenciones vegetales para asegurar oferta de semillas de cebolla de alta calidad a los agricultores</w:t>
            </w:r>
            <w:r w:rsidR="00D608F2" w:rsidRPr="00F72633">
              <w:rPr>
                <w:rFonts w:ascii="Arial Narrow" w:hAnsi="Arial Narrow"/>
                <w:bCs/>
                <w:iCs/>
                <w:lang w:val="es-419"/>
              </w:rPr>
              <w:t xml:space="preserve"> (</w:t>
            </w:r>
            <w:r w:rsidR="00C446CA" w:rsidRPr="00F72633">
              <w:rPr>
                <w:rFonts w:ascii="Arial Narrow" w:hAnsi="Arial Narrow"/>
                <w:bCs/>
                <w:i/>
                <w:iCs/>
                <w:lang w:val="es-419"/>
              </w:rPr>
              <w:t>español, inglés</w:t>
            </w:r>
            <w:r w:rsidR="00D608F2" w:rsidRPr="00F72633">
              <w:rPr>
                <w:rFonts w:ascii="Arial Narrow" w:hAnsi="Arial Narrow"/>
                <w:bCs/>
                <w:i/>
                <w:iCs/>
                <w:lang w:val="es-419"/>
              </w:rPr>
              <w:t>)</w:t>
            </w:r>
          </w:p>
          <w:p w14:paraId="5007571B" w14:textId="4EC699C5" w:rsidR="00473CD1" w:rsidRPr="00F72633" w:rsidRDefault="00473CD1" w:rsidP="00473CD1">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 xml:space="preserve">(Ecuador) </w:t>
            </w:r>
            <w:r w:rsidR="00347E8F" w:rsidRPr="00F72633">
              <w:rPr>
                <w:rFonts w:ascii="Arial Narrow" w:hAnsi="Arial Narrow"/>
                <w:bCs/>
                <w:i/>
                <w:iCs/>
                <w:lang w:val="es-419"/>
              </w:rPr>
              <w:t>El rol de la protección de obtenciones vegetales en el desarrollo de nueva variedad de mora que mejora condición de trabajo de agricultores</w:t>
            </w:r>
            <w:r w:rsidRPr="00F72633">
              <w:rPr>
                <w:rFonts w:ascii="Arial Narrow" w:hAnsi="Arial Narrow"/>
                <w:bCs/>
                <w:iCs/>
                <w:lang w:val="es-419"/>
              </w:rPr>
              <w:t xml:space="preserve"> </w:t>
            </w:r>
            <w:r w:rsidRPr="00F72633">
              <w:rPr>
                <w:rFonts w:ascii="Arial Narrow" w:hAnsi="Arial Narrow"/>
                <w:bCs/>
                <w:i/>
                <w:iCs/>
                <w:lang w:val="es-419"/>
              </w:rPr>
              <w:t>(</w:t>
            </w:r>
            <w:r w:rsidR="00C446CA" w:rsidRPr="00F72633">
              <w:rPr>
                <w:rFonts w:ascii="Arial Narrow" w:hAnsi="Arial Narrow"/>
                <w:bCs/>
                <w:i/>
                <w:iCs/>
                <w:lang w:val="es-419"/>
              </w:rPr>
              <w:t>español, inglés</w:t>
            </w:r>
            <w:r w:rsidRPr="00F72633">
              <w:rPr>
                <w:rFonts w:ascii="Arial Narrow" w:hAnsi="Arial Narrow"/>
                <w:bCs/>
                <w:i/>
                <w:iCs/>
                <w:lang w:val="es-419"/>
              </w:rPr>
              <w:t>)</w:t>
            </w:r>
          </w:p>
          <w:p w14:paraId="44A59840" w14:textId="4C829369" w:rsidR="00473CD1" w:rsidRPr="00F72633" w:rsidRDefault="00473CD1" w:rsidP="00473CD1">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 xml:space="preserve">(Argentina) </w:t>
            </w:r>
            <w:r w:rsidR="00347E8F" w:rsidRPr="00F72633">
              <w:rPr>
                <w:rFonts w:ascii="Arial Narrow" w:hAnsi="Arial Narrow"/>
                <w:bCs/>
                <w:i/>
                <w:iCs/>
                <w:lang w:val="es-419"/>
              </w:rPr>
              <w:t>Uso del sistema UPOV para beneficio de los custodios de germoplasma nativo en la Argentina</w:t>
            </w:r>
            <w:r w:rsidRPr="00F72633">
              <w:rPr>
                <w:rFonts w:ascii="Arial Narrow" w:hAnsi="Arial Narrow"/>
                <w:bCs/>
                <w:iCs/>
                <w:lang w:val="es-419"/>
              </w:rPr>
              <w:t xml:space="preserve"> (</w:t>
            </w:r>
            <w:r w:rsidR="00C446CA" w:rsidRPr="00F72633">
              <w:rPr>
                <w:rFonts w:ascii="Arial Narrow" w:hAnsi="Arial Narrow"/>
                <w:bCs/>
                <w:i/>
                <w:iCs/>
                <w:lang w:val="es-419"/>
              </w:rPr>
              <w:t>español, inglés</w:t>
            </w:r>
            <w:r w:rsidRPr="00F72633">
              <w:rPr>
                <w:rFonts w:ascii="Arial Narrow" w:hAnsi="Arial Narrow"/>
                <w:bCs/>
                <w:i/>
                <w:iCs/>
                <w:lang w:val="es-419"/>
              </w:rPr>
              <w:t>)</w:t>
            </w:r>
          </w:p>
          <w:p w14:paraId="1FCEA93E" w14:textId="41CD4BE0" w:rsidR="00473CD1" w:rsidRPr="00F72633" w:rsidRDefault="00347E8F" w:rsidP="00347E8F">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
                <w:iCs/>
                <w:lang w:val="es-419"/>
              </w:rPr>
              <w:t>El sistema de la UPOV aporta beneficios a la agricultura en Colombia</w:t>
            </w:r>
            <w:r w:rsidR="00473CD1" w:rsidRPr="00F72633">
              <w:rPr>
                <w:rFonts w:ascii="Arial Narrow" w:hAnsi="Arial Narrow"/>
                <w:bCs/>
                <w:iCs/>
                <w:lang w:val="es-419"/>
              </w:rPr>
              <w:t xml:space="preserve"> (</w:t>
            </w:r>
            <w:r w:rsidR="00C446CA" w:rsidRPr="00F72633">
              <w:rPr>
                <w:rFonts w:ascii="Arial Narrow" w:hAnsi="Arial Narrow"/>
                <w:bCs/>
                <w:i/>
                <w:iCs/>
                <w:lang w:val="es-419"/>
              </w:rPr>
              <w:t>español, francés inglés</w:t>
            </w:r>
            <w:r w:rsidR="00473CD1" w:rsidRPr="00F72633">
              <w:rPr>
                <w:rFonts w:ascii="Arial Narrow" w:hAnsi="Arial Narrow"/>
                <w:bCs/>
                <w:i/>
                <w:iCs/>
                <w:lang w:val="es-419"/>
              </w:rPr>
              <w:t>)</w:t>
            </w:r>
          </w:p>
          <w:p w14:paraId="563F68C5" w14:textId="6B4451D8" w:rsidR="00473CD1" w:rsidRPr="00F72633" w:rsidRDefault="00473CD1" w:rsidP="00425B3A">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 xml:space="preserve">(China) </w:t>
            </w:r>
            <w:r w:rsidRPr="00F72633">
              <w:rPr>
                <w:rFonts w:ascii="Arial Narrow" w:hAnsi="Arial Narrow"/>
                <w:bCs/>
                <w:i/>
                <w:iCs/>
                <w:lang w:val="es-419"/>
              </w:rPr>
              <w:t>Celebration of the twentieth anniversary of the accession of China to UPOV Convention</w:t>
            </w:r>
            <w:r w:rsidRPr="00F72633">
              <w:rPr>
                <w:rFonts w:ascii="Arial Narrow" w:hAnsi="Arial Narrow"/>
                <w:bCs/>
                <w:iCs/>
                <w:lang w:val="es-419"/>
              </w:rPr>
              <w:t xml:space="preserve"> </w:t>
            </w:r>
            <w:r w:rsidR="00425B3A" w:rsidRPr="00F72633">
              <w:rPr>
                <w:rFonts w:ascii="Arial Narrow" w:hAnsi="Arial Narrow"/>
                <w:bCs/>
                <w:iCs/>
                <w:lang w:val="es-419"/>
              </w:rPr>
              <w:t xml:space="preserve">(Celebración del vigésimo aniversario de la adhesión de China al Convenio de la UPOV) </w:t>
            </w:r>
            <w:r w:rsidRPr="00F72633">
              <w:rPr>
                <w:rFonts w:ascii="Arial Narrow" w:hAnsi="Arial Narrow"/>
                <w:bCs/>
                <w:i/>
                <w:iCs/>
                <w:lang w:val="es-419"/>
              </w:rPr>
              <w:t>(</w:t>
            </w:r>
            <w:r w:rsidR="00C446CA" w:rsidRPr="00F72633">
              <w:rPr>
                <w:rFonts w:ascii="Arial Narrow" w:hAnsi="Arial Narrow"/>
                <w:bCs/>
                <w:i/>
                <w:iCs/>
                <w:lang w:val="es-419"/>
              </w:rPr>
              <w:t>inglés</w:t>
            </w:r>
            <w:r w:rsidRPr="00F72633">
              <w:rPr>
                <w:rFonts w:ascii="Arial Narrow" w:hAnsi="Arial Narrow"/>
                <w:bCs/>
                <w:i/>
                <w:iCs/>
                <w:lang w:val="es-419"/>
              </w:rPr>
              <w:t>)</w:t>
            </w:r>
          </w:p>
          <w:p w14:paraId="59A31EB6" w14:textId="4CC9F2FC" w:rsidR="00473CD1" w:rsidRPr="00F72633" w:rsidRDefault="00473CD1" w:rsidP="00473CD1">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Cs/>
                <w:lang w:val="es-419"/>
              </w:rPr>
              <w:t>(Jap</w:t>
            </w:r>
            <w:r w:rsidR="00425B3A" w:rsidRPr="00F72633">
              <w:rPr>
                <w:rFonts w:ascii="Arial Narrow" w:hAnsi="Arial Narrow"/>
                <w:bCs/>
                <w:iCs/>
                <w:lang w:val="es-419"/>
              </w:rPr>
              <w:t>ó</w:t>
            </w:r>
            <w:r w:rsidRPr="00F72633">
              <w:rPr>
                <w:rFonts w:ascii="Arial Narrow" w:hAnsi="Arial Narrow"/>
                <w:bCs/>
                <w:iCs/>
                <w:lang w:val="es-419"/>
              </w:rPr>
              <w:t xml:space="preserve">n) </w:t>
            </w:r>
            <w:r w:rsidRPr="00F72633">
              <w:rPr>
                <w:rFonts w:ascii="Arial Narrow" w:hAnsi="Arial Narrow"/>
                <w:bCs/>
                <w:i/>
                <w:iCs/>
                <w:lang w:val="es-419"/>
              </w:rPr>
              <w:t>Ashiro Rindo</w:t>
            </w:r>
            <w:r w:rsidRPr="00F72633">
              <w:rPr>
                <w:rFonts w:ascii="Arial Narrow" w:hAnsi="Arial Narrow"/>
                <w:bCs/>
                <w:iCs/>
                <w:lang w:val="es-419"/>
              </w:rPr>
              <w:t xml:space="preserve"> (</w:t>
            </w:r>
            <w:r w:rsidR="00C446CA" w:rsidRPr="00F72633">
              <w:rPr>
                <w:rFonts w:ascii="Arial Narrow" w:hAnsi="Arial Narrow"/>
                <w:bCs/>
                <w:i/>
                <w:iCs/>
                <w:lang w:val="es-419"/>
              </w:rPr>
              <w:t>inglés</w:t>
            </w:r>
            <w:r w:rsidRPr="00F72633">
              <w:rPr>
                <w:rFonts w:ascii="Arial Narrow" w:hAnsi="Arial Narrow"/>
                <w:bCs/>
                <w:iCs/>
                <w:lang w:val="es-419"/>
              </w:rPr>
              <w:t>)</w:t>
            </w:r>
          </w:p>
          <w:p w14:paraId="61DE2174" w14:textId="3EA233DE" w:rsidR="00473CD1" w:rsidRPr="00F72633" w:rsidRDefault="00425B3A" w:rsidP="00425B3A">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
                <w:iCs/>
                <w:lang w:val="es-419"/>
              </w:rPr>
              <w:t>Los productores de cerezas del Canadá se benefician de la política gubernamental</w:t>
            </w:r>
            <w:r w:rsidR="00473CD1" w:rsidRPr="00F72633">
              <w:rPr>
                <w:rFonts w:ascii="Arial Narrow" w:hAnsi="Arial Narrow"/>
                <w:bCs/>
                <w:iCs/>
                <w:lang w:val="es-419"/>
              </w:rPr>
              <w:t xml:space="preserve"> (</w:t>
            </w:r>
            <w:r w:rsidR="00C446CA" w:rsidRPr="00F72633">
              <w:rPr>
                <w:rFonts w:ascii="Arial Narrow" w:hAnsi="Arial Narrow"/>
                <w:bCs/>
                <w:i/>
                <w:iCs/>
                <w:lang w:val="es-419"/>
              </w:rPr>
              <w:t>español, francés inglés</w:t>
            </w:r>
            <w:r w:rsidR="00473CD1" w:rsidRPr="00F72633">
              <w:rPr>
                <w:rFonts w:ascii="Arial Narrow" w:hAnsi="Arial Narrow"/>
                <w:bCs/>
                <w:i/>
                <w:iCs/>
                <w:lang w:val="es-419"/>
              </w:rPr>
              <w:t>)</w:t>
            </w:r>
          </w:p>
          <w:p w14:paraId="21B64A37" w14:textId="4BE3439C" w:rsidR="00473CD1" w:rsidRPr="00F72633" w:rsidRDefault="00425B3A" w:rsidP="00425B3A">
            <w:pPr>
              <w:pStyle w:val="NormalWeb"/>
              <w:numPr>
                <w:ilvl w:val="0"/>
                <w:numId w:val="32"/>
              </w:numPr>
              <w:spacing w:before="0" w:beforeAutospacing="0" w:after="0" w:afterAutospacing="0"/>
              <w:jc w:val="left"/>
              <w:rPr>
                <w:rFonts w:ascii="Arial Narrow" w:hAnsi="Arial Narrow"/>
                <w:bCs/>
                <w:iCs/>
                <w:lang w:val="es-419"/>
              </w:rPr>
            </w:pPr>
            <w:r w:rsidRPr="00F72633">
              <w:rPr>
                <w:rFonts w:ascii="Arial Narrow" w:hAnsi="Arial Narrow"/>
                <w:bCs/>
                <w:i/>
                <w:iCs/>
                <w:lang w:val="es-419"/>
              </w:rPr>
              <w:t>El florecimiento de la industria de las rosas en Kenya</w:t>
            </w:r>
            <w:r w:rsidR="00473CD1" w:rsidRPr="00F72633">
              <w:rPr>
                <w:rFonts w:ascii="Arial Narrow" w:hAnsi="Arial Narrow"/>
                <w:bCs/>
                <w:iCs/>
                <w:lang w:val="es-419"/>
              </w:rPr>
              <w:t xml:space="preserve"> (</w:t>
            </w:r>
            <w:r w:rsidR="00C446CA" w:rsidRPr="00F72633">
              <w:rPr>
                <w:rFonts w:ascii="Arial Narrow" w:hAnsi="Arial Narrow"/>
                <w:bCs/>
                <w:i/>
                <w:iCs/>
                <w:lang w:val="es-419"/>
              </w:rPr>
              <w:t>español, francés inglés</w:t>
            </w:r>
            <w:r w:rsidR="00473CD1" w:rsidRPr="00F72633">
              <w:rPr>
                <w:rFonts w:ascii="Arial Narrow" w:hAnsi="Arial Narrow"/>
                <w:bCs/>
                <w:i/>
                <w:iCs/>
                <w:lang w:val="es-419"/>
              </w:rPr>
              <w:t>)</w:t>
            </w:r>
          </w:p>
          <w:p w14:paraId="6949E91C" w14:textId="03040DD7" w:rsidR="00473CD1" w:rsidRPr="00F72633" w:rsidRDefault="00473CD1" w:rsidP="00473CD1">
            <w:pPr>
              <w:pStyle w:val="NormalWeb"/>
              <w:numPr>
                <w:ilvl w:val="0"/>
                <w:numId w:val="32"/>
              </w:numPr>
              <w:spacing w:before="0" w:beforeAutospacing="0" w:after="0" w:afterAutospacing="0"/>
              <w:ind w:left="316" w:hanging="316"/>
              <w:jc w:val="left"/>
              <w:rPr>
                <w:rFonts w:ascii="Arial Narrow" w:hAnsi="Arial Narrow"/>
                <w:bCs/>
                <w:iCs/>
                <w:lang w:val="es-419"/>
              </w:rPr>
            </w:pPr>
            <w:r w:rsidRPr="00F72633">
              <w:rPr>
                <w:rFonts w:ascii="Arial Narrow" w:hAnsi="Arial Narrow"/>
                <w:bCs/>
                <w:iCs/>
                <w:lang w:val="es-419"/>
              </w:rPr>
              <w:t>(Jap</w:t>
            </w:r>
            <w:r w:rsidR="00425B3A" w:rsidRPr="00F72633">
              <w:rPr>
                <w:rFonts w:ascii="Arial Narrow" w:hAnsi="Arial Narrow"/>
                <w:bCs/>
                <w:iCs/>
                <w:lang w:val="es-419"/>
              </w:rPr>
              <w:t>ó</w:t>
            </w:r>
            <w:r w:rsidRPr="00F72633">
              <w:rPr>
                <w:rFonts w:ascii="Arial Narrow" w:hAnsi="Arial Narrow"/>
                <w:bCs/>
                <w:iCs/>
                <w:lang w:val="es-419"/>
              </w:rPr>
              <w:t xml:space="preserve">n) </w:t>
            </w:r>
            <w:r w:rsidR="00425B3A" w:rsidRPr="00F72633">
              <w:rPr>
                <w:rFonts w:ascii="Arial Narrow" w:hAnsi="Arial Narrow"/>
                <w:bCs/>
                <w:iCs/>
                <w:lang w:val="es-419"/>
              </w:rPr>
              <w:t xml:space="preserve">Arroz </w:t>
            </w:r>
            <w:r w:rsidRPr="00F72633">
              <w:rPr>
                <w:rFonts w:ascii="Arial Narrow" w:hAnsi="Arial Narrow"/>
                <w:bCs/>
                <w:iCs/>
                <w:lang w:val="es-419"/>
              </w:rPr>
              <w:t xml:space="preserve">Tsuyahime </w:t>
            </w:r>
            <w:r w:rsidRPr="00F72633">
              <w:rPr>
                <w:rFonts w:ascii="Arial Narrow" w:hAnsi="Arial Narrow"/>
                <w:bCs/>
                <w:i/>
                <w:iCs/>
                <w:lang w:val="es-419"/>
              </w:rPr>
              <w:t>(</w:t>
            </w:r>
            <w:r w:rsidR="00425B3A" w:rsidRPr="00F72633">
              <w:rPr>
                <w:rFonts w:ascii="Arial Narrow" w:hAnsi="Arial Narrow"/>
                <w:bCs/>
                <w:i/>
                <w:iCs/>
                <w:lang w:val="es-419"/>
              </w:rPr>
              <w:t xml:space="preserve">chino, </w:t>
            </w:r>
            <w:r w:rsidR="00C446CA" w:rsidRPr="00F72633">
              <w:rPr>
                <w:rFonts w:ascii="Arial Narrow" w:hAnsi="Arial Narrow"/>
                <w:bCs/>
                <w:i/>
                <w:iCs/>
                <w:lang w:val="es-419"/>
              </w:rPr>
              <w:t>español, francés inglés</w:t>
            </w:r>
            <w:r w:rsidRPr="00F72633">
              <w:rPr>
                <w:rFonts w:ascii="Arial Narrow" w:hAnsi="Arial Narrow"/>
                <w:bCs/>
                <w:i/>
                <w:iCs/>
                <w:lang w:val="es-419"/>
              </w:rPr>
              <w:t xml:space="preserve">, </w:t>
            </w:r>
            <w:r w:rsidR="00425B3A" w:rsidRPr="00F72633">
              <w:rPr>
                <w:rFonts w:ascii="Arial Narrow" w:hAnsi="Arial Narrow"/>
                <w:bCs/>
                <w:i/>
                <w:iCs/>
                <w:lang w:val="es-419"/>
              </w:rPr>
              <w:t>t</w:t>
            </w:r>
            <w:r w:rsidRPr="00F72633">
              <w:rPr>
                <w:rFonts w:ascii="Arial Narrow" w:hAnsi="Arial Narrow"/>
                <w:bCs/>
                <w:i/>
                <w:iCs/>
                <w:lang w:val="es-419"/>
              </w:rPr>
              <w:t>ai</w:t>
            </w:r>
            <w:r w:rsidR="00425B3A" w:rsidRPr="00F72633">
              <w:rPr>
                <w:rFonts w:ascii="Arial Narrow" w:hAnsi="Arial Narrow"/>
                <w:bCs/>
                <w:i/>
                <w:iCs/>
                <w:lang w:val="es-419"/>
              </w:rPr>
              <w:t>landés</w:t>
            </w:r>
            <w:r w:rsidRPr="00F72633">
              <w:rPr>
                <w:rFonts w:ascii="Arial Narrow" w:hAnsi="Arial Narrow"/>
                <w:bCs/>
                <w:i/>
                <w:iCs/>
                <w:lang w:val="es-419"/>
              </w:rPr>
              <w:t>)</w:t>
            </w:r>
          </w:p>
          <w:p w14:paraId="5380BBCD" w14:textId="6D464576" w:rsidR="007413ED" w:rsidRPr="00F72633" w:rsidRDefault="00422B6C" w:rsidP="007A799E">
            <w:pPr>
              <w:spacing w:before="12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Estudio</w:t>
            </w:r>
            <w:r w:rsidR="00035E9F" w:rsidRPr="00F72633">
              <w:rPr>
                <w:rFonts w:ascii="Arial Narrow" w:eastAsia="Times New Roman" w:hAnsi="Arial Narrow"/>
                <w:sz w:val="18"/>
                <w:szCs w:val="18"/>
                <w:lang w:val="es-419" w:eastAsia="en-US"/>
              </w:rPr>
              <w:t>s:</w:t>
            </w:r>
          </w:p>
          <w:p w14:paraId="0CB17F24" w14:textId="134F3A67" w:rsidR="007413ED" w:rsidRPr="00F72633" w:rsidRDefault="000465F8" w:rsidP="000465F8">
            <w:pPr>
              <w:pStyle w:val="NormalWeb"/>
              <w:numPr>
                <w:ilvl w:val="0"/>
                <w:numId w:val="32"/>
              </w:numPr>
              <w:spacing w:before="0" w:beforeAutospacing="0" w:after="0" w:afterAutospacing="0"/>
              <w:jc w:val="left"/>
              <w:rPr>
                <w:rFonts w:ascii="Arial Narrow" w:hAnsi="Arial Narrow"/>
                <w:lang w:val="es-419"/>
              </w:rPr>
            </w:pPr>
            <w:r w:rsidRPr="00F72633">
              <w:rPr>
                <w:rFonts w:ascii="Arial Narrow" w:hAnsi="Arial Narrow"/>
                <w:bCs/>
                <w:i/>
                <w:iCs/>
                <w:lang w:val="es-419"/>
              </w:rPr>
              <w:t>Informe de la UPOV sobre el Impacto de la Protección de las Obtenciones Vegetales</w:t>
            </w:r>
            <w:r w:rsidR="007413ED" w:rsidRPr="00F72633">
              <w:rPr>
                <w:rFonts w:ascii="Arial Narrow" w:hAnsi="Arial Narrow"/>
                <w:bCs/>
                <w:iCs/>
                <w:lang w:val="es-419"/>
              </w:rPr>
              <w:t xml:space="preserve"> </w:t>
            </w:r>
            <w:r w:rsidR="007413ED" w:rsidRPr="00F72633">
              <w:rPr>
                <w:rFonts w:ascii="Arial Narrow" w:hAnsi="Arial Narrow"/>
                <w:bCs/>
                <w:iCs/>
                <w:lang w:val="es-419"/>
              </w:rPr>
              <w:br/>
              <w:t>(</w:t>
            </w:r>
            <w:r w:rsidRPr="00F72633">
              <w:rPr>
                <w:rFonts w:ascii="Arial Narrow" w:hAnsi="Arial Narrow"/>
                <w:bCs/>
                <w:i/>
                <w:iCs/>
                <w:lang w:val="es-419"/>
              </w:rPr>
              <w:t xml:space="preserve">alemán, español, francés, </w:t>
            </w:r>
            <w:r w:rsidR="00C446CA" w:rsidRPr="00F72633">
              <w:rPr>
                <w:rFonts w:ascii="Arial Narrow" w:hAnsi="Arial Narrow"/>
                <w:bCs/>
                <w:i/>
                <w:iCs/>
                <w:lang w:val="es-419"/>
              </w:rPr>
              <w:t>inglés</w:t>
            </w:r>
            <w:r w:rsidR="007413ED" w:rsidRPr="00F72633">
              <w:rPr>
                <w:rFonts w:ascii="Arial Narrow" w:hAnsi="Arial Narrow"/>
                <w:bCs/>
                <w:iCs/>
                <w:lang w:val="es-419"/>
              </w:rPr>
              <w:t>)</w:t>
            </w:r>
          </w:p>
          <w:p w14:paraId="10674F7D" w14:textId="778BBBD5" w:rsidR="007413ED" w:rsidRPr="00F72633" w:rsidRDefault="00CC3AAB" w:rsidP="00AA1ECA">
            <w:pPr>
              <w:pStyle w:val="NormalWeb"/>
              <w:numPr>
                <w:ilvl w:val="0"/>
                <w:numId w:val="32"/>
              </w:numPr>
              <w:spacing w:after="0" w:afterAutospacing="0"/>
              <w:jc w:val="left"/>
              <w:rPr>
                <w:rFonts w:ascii="Arial Narrow" w:hAnsi="Arial Narrow"/>
                <w:lang w:val="es-419"/>
              </w:rPr>
            </w:pPr>
            <w:r w:rsidRPr="00F72633">
              <w:rPr>
                <w:rFonts w:ascii="Arial Narrow" w:hAnsi="Arial Narrow"/>
                <w:i/>
                <w:lang w:val="es-419"/>
              </w:rPr>
              <w:t>Socio-economic benefits of UPOV membership in Viet Nam:</w:t>
            </w:r>
            <w:r w:rsidR="0085724C" w:rsidRPr="00F72633">
              <w:rPr>
                <w:rFonts w:ascii="Arial Narrow" w:hAnsi="Arial Narrow"/>
                <w:i/>
                <w:lang w:val="es-419"/>
              </w:rPr>
              <w:t xml:space="preserve"> </w:t>
            </w:r>
            <w:r w:rsidRPr="00F72633">
              <w:rPr>
                <w:rFonts w:ascii="Arial Narrow" w:hAnsi="Arial Narrow"/>
                <w:i/>
                <w:lang w:val="es-419"/>
              </w:rPr>
              <w:t xml:space="preserve">An </w:t>
            </w:r>
            <w:r w:rsidR="000C68F0" w:rsidRPr="00F72633">
              <w:rPr>
                <w:rFonts w:ascii="Arial Narrow" w:hAnsi="Arial Narrow"/>
                <w:i/>
                <w:lang w:val="es-419"/>
              </w:rPr>
              <w:t>ex-</w:t>
            </w:r>
            <w:r w:rsidRPr="00F72633">
              <w:rPr>
                <w:rFonts w:ascii="Arial Narrow" w:hAnsi="Arial Narrow"/>
                <w:i/>
                <w:lang w:val="es-419"/>
              </w:rPr>
              <w:t xml:space="preserve">post assessment on plant breeding and </w:t>
            </w:r>
            <w:r w:rsidR="000E16EE" w:rsidRPr="00F72633">
              <w:rPr>
                <w:rFonts w:ascii="Arial Narrow" w:hAnsi="Arial Narrow"/>
                <w:i/>
                <w:lang w:val="es-419"/>
              </w:rPr>
              <w:t>agricultural productivity after </w:t>
            </w:r>
            <w:r w:rsidRPr="00F72633">
              <w:rPr>
                <w:rFonts w:ascii="Arial Narrow" w:hAnsi="Arial Narrow"/>
                <w:i/>
                <w:lang w:val="es-419"/>
              </w:rPr>
              <w:t>10 years</w:t>
            </w:r>
            <w:r w:rsidRPr="00F72633">
              <w:rPr>
                <w:rFonts w:ascii="Arial Narrow" w:hAnsi="Arial Narrow"/>
                <w:lang w:val="es-419"/>
              </w:rPr>
              <w:t xml:space="preserve"> </w:t>
            </w:r>
            <w:r w:rsidR="000465F8" w:rsidRPr="00F72633">
              <w:rPr>
                <w:rFonts w:ascii="Arial Narrow" w:hAnsi="Arial Narrow"/>
                <w:lang w:val="es-419"/>
              </w:rPr>
              <w:t xml:space="preserve">(Beneficios socioeconómicos de la adhesión de Viet Nam a la UPOV: evaluación </w:t>
            </w:r>
            <w:r w:rsidR="000465F8" w:rsidRPr="00F72633">
              <w:rPr>
                <w:rFonts w:ascii="Arial Narrow" w:hAnsi="Arial Narrow"/>
                <w:i/>
                <w:lang w:val="es-419"/>
              </w:rPr>
              <w:t>ex post</w:t>
            </w:r>
            <w:r w:rsidR="000465F8" w:rsidRPr="00F72633">
              <w:rPr>
                <w:rFonts w:ascii="Arial Narrow" w:hAnsi="Arial Narrow"/>
                <w:lang w:val="es-419"/>
              </w:rPr>
              <w:t xml:space="preserve"> del fitomejoramiento y la productividad agrícola al cabo de diez años) (autor para correspondencia: Steffen Noleppa) de HFFA Research GmbH</w:t>
            </w:r>
            <w:r w:rsidRPr="00F72633">
              <w:rPr>
                <w:rFonts w:ascii="Arial Narrow" w:hAnsi="Arial Narrow"/>
                <w:lang w:val="es-419"/>
              </w:rPr>
              <w:t xml:space="preserve"> (</w:t>
            </w:r>
            <w:r w:rsidR="00C446CA" w:rsidRPr="00F72633">
              <w:rPr>
                <w:rFonts w:ascii="Arial Narrow" w:hAnsi="Arial Narrow"/>
                <w:i/>
                <w:lang w:val="es-419"/>
              </w:rPr>
              <w:t>inglés</w:t>
            </w:r>
            <w:r w:rsidRPr="00F72633">
              <w:rPr>
                <w:rFonts w:ascii="Arial Narrow" w:hAnsi="Arial Narrow"/>
                <w:i/>
                <w:lang w:val="es-419"/>
              </w:rPr>
              <w:t xml:space="preserve"> </w:t>
            </w:r>
            <w:r w:rsidR="000465F8" w:rsidRPr="00F72633">
              <w:rPr>
                <w:rFonts w:ascii="Arial Narrow" w:hAnsi="Arial Narrow"/>
                <w:i/>
                <w:lang w:val="es-419"/>
              </w:rPr>
              <w:t>y vietnamita</w:t>
            </w:r>
            <w:r w:rsidRPr="00F72633">
              <w:rPr>
                <w:rFonts w:ascii="Arial Narrow" w:hAnsi="Arial Narrow"/>
                <w:lang w:val="es-419"/>
              </w:rPr>
              <w:t>)</w:t>
            </w:r>
          </w:p>
        </w:tc>
      </w:tr>
      <w:tr w:rsidR="007413ED" w:rsidRPr="00F72633" w14:paraId="1F6FE4A8" w14:textId="77777777" w:rsidTr="007C2966">
        <w:trPr>
          <w:trHeight w:val="280"/>
        </w:trPr>
        <w:tc>
          <w:tcPr>
            <w:tcW w:w="1838" w:type="dxa"/>
            <w:tcBorders>
              <w:bottom w:val="nil"/>
            </w:tcBorders>
          </w:tcPr>
          <w:p w14:paraId="37F62C49"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tcBorders>
              <w:bottom w:val="nil"/>
            </w:tcBorders>
            <w:shd w:val="clear" w:color="auto" w:fill="auto"/>
          </w:tcPr>
          <w:p w14:paraId="7A0DAB4E" w14:textId="07ED42B3"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i) </w:t>
            </w:r>
            <w:r w:rsidR="0040786B" w:rsidRPr="00F72633">
              <w:rPr>
                <w:rFonts w:ascii="Arial Narrow" w:hAnsi="Arial Narrow"/>
                <w:sz w:val="18"/>
                <w:lang w:val="es-419"/>
              </w:rPr>
              <w:t>Participación en reuniones con los sectores interesados pertinentes</w:t>
            </w:r>
          </w:p>
        </w:tc>
        <w:tc>
          <w:tcPr>
            <w:tcW w:w="5088" w:type="dxa"/>
            <w:tcBorders>
              <w:bottom w:val="nil"/>
            </w:tcBorders>
            <w:shd w:val="clear" w:color="auto" w:fill="auto"/>
          </w:tcPr>
          <w:p w14:paraId="7971D7C7" w14:textId="1DE83D72" w:rsidR="007413ED" w:rsidRPr="00F72633" w:rsidRDefault="0040786B" w:rsidP="007413ED">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w:t>
            </w:r>
            <w:r w:rsidR="00AA3791" w:rsidRPr="00F72633">
              <w:rPr>
                <w:rFonts w:ascii="Arial Narrow" w:eastAsia="Times New Roman" w:hAnsi="Arial Narrow"/>
                <w:sz w:val="18"/>
                <w:szCs w:val="18"/>
                <w:lang w:val="es-419" w:eastAsia="en-US"/>
              </w:rPr>
              <w:t>xo V </w:t>
            </w:r>
            <w:r w:rsidRPr="00F72633">
              <w:rPr>
                <w:rFonts w:ascii="Arial Narrow" w:eastAsia="Times New Roman" w:hAnsi="Arial Narrow"/>
                <w:sz w:val="18"/>
                <w:szCs w:val="18"/>
                <w:lang w:val="es-419" w:eastAsia="en-US"/>
              </w:rPr>
              <w:t>del presente documento.</w:t>
            </w:r>
          </w:p>
        </w:tc>
      </w:tr>
      <w:tr w:rsidR="007413ED" w:rsidRPr="00F72633" w14:paraId="1FCC571F" w14:textId="77777777" w:rsidTr="00F72633">
        <w:trPr>
          <w:trHeight w:val="280"/>
        </w:trPr>
        <w:tc>
          <w:tcPr>
            <w:tcW w:w="1838" w:type="dxa"/>
            <w:tcBorders>
              <w:bottom w:val="single" w:sz="8" w:space="0" w:color="D9D9D9" w:themeColor="background1" w:themeShade="D9"/>
            </w:tcBorders>
          </w:tcPr>
          <w:p w14:paraId="22A3C225"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tcBorders>
              <w:bottom w:val="single" w:sz="8" w:space="0" w:color="D9D9D9" w:themeColor="background1" w:themeShade="D9"/>
            </w:tcBorders>
            <w:shd w:val="clear" w:color="auto" w:fill="auto"/>
          </w:tcPr>
          <w:p w14:paraId="7F5BD95C" w14:textId="554ED6CF" w:rsidR="007413ED" w:rsidRPr="00F72633" w:rsidRDefault="007413ED" w:rsidP="007413ED">
            <w:pPr>
              <w:jc w:val="left"/>
              <w:rPr>
                <w:rFonts w:ascii="Arial Narrow" w:eastAsia="Times New Roman" w:hAnsi="Arial Narrow"/>
                <w:spacing w:val="-2"/>
                <w:sz w:val="18"/>
                <w:szCs w:val="18"/>
                <w:lang w:val="es-419" w:eastAsia="en-US"/>
              </w:rPr>
            </w:pPr>
            <w:r w:rsidRPr="00F72633">
              <w:rPr>
                <w:rFonts w:ascii="Arial Narrow" w:hAnsi="Arial Narrow"/>
                <w:sz w:val="18"/>
                <w:lang w:val="es-419"/>
              </w:rPr>
              <w:t xml:space="preserve">j) </w:t>
            </w:r>
            <w:r w:rsidR="0040786B" w:rsidRPr="00F72633">
              <w:rPr>
                <w:rFonts w:ascii="Arial Narrow" w:hAnsi="Arial Narrow"/>
                <w:sz w:val="18"/>
                <w:lang w:val="es-419"/>
              </w:rPr>
              <w:t>Participación de los sectores interesados en eventos, seminarios y simposios</w:t>
            </w:r>
          </w:p>
        </w:tc>
        <w:tc>
          <w:tcPr>
            <w:tcW w:w="5088" w:type="dxa"/>
            <w:tcBorders>
              <w:bottom w:val="single" w:sz="8" w:space="0" w:color="D9D9D9" w:themeColor="background1" w:themeShade="D9"/>
            </w:tcBorders>
            <w:shd w:val="clear" w:color="auto" w:fill="auto"/>
          </w:tcPr>
          <w:p w14:paraId="01AE890D" w14:textId="0659C86C" w:rsidR="007413ED" w:rsidRPr="00F72633" w:rsidRDefault="00AA3791" w:rsidP="007413ED">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Véase el Anexo V </w:t>
            </w:r>
            <w:r w:rsidR="0040786B" w:rsidRPr="00F72633">
              <w:rPr>
                <w:rFonts w:ascii="Arial Narrow" w:eastAsia="Times New Roman" w:hAnsi="Arial Narrow"/>
                <w:sz w:val="18"/>
                <w:szCs w:val="18"/>
                <w:lang w:val="es-419" w:eastAsia="en-US"/>
              </w:rPr>
              <w:t>del presente documento.</w:t>
            </w:r>
          </w:p>
        </w:tc>
      </w:tr>
      <w:tr w:rsidR="007413ED" w:rsidRPr="00F72633" w14:paraId="6B48DDE0" w14:textId="77777777" w:rsidTr="00F72633">
        <w:trPr>
          <w:trHeight w:val="280"/>
        </w:trPr>
        <w:tc>
          <w:tcPr>
            <w:tcW w:w="1838" w:type="dxa"/>
            <w:tcBorders>
              <w:bottom w:val="single" w:sz="4" w:space="0" w:color="D9D9D9" w:themeColor="background1" w:themeShade="D9"/>
            </w:tcBorders>
          </w:tcPr>
          <w:p w14:paraId="7D36F7DC" w14:textId="77777777" w:rsidR="007413ED" w:rsidRPr="00F72633" w:rsidRDefault="007413ED" w:rsidP="007413ED">
            <w:pPr>
              <w:jc w:val="left"/>
              <w:rPr>
                <w:rFonts w:ascii="Arial Narrow" w:eastAsia="Times New Roman" w:hAnsi="Arial Narrow"/>
                <w:sz w:val="18"/>
                <w:szCs w:val="18"/>
                <w:lang w:val="es-419" w:eastAsia="en-US"/>
              </w:rPr>
            </w:pPr>
          </w:p>
        </w:tc>
        <w:tc>
          <w:tcPr>
            <w:tcW w:w="2992" w:type="dxa"/>
            <w:tcBorders>
              <w:bottom w:val="single" w:sz="4" w:space="0" w:color="D9D9D9" w:themeColor="background1" w:themeShade="D9"/>
            </w:tcBorders>
            <w:shd w:val="clear" w:color="auto" w:fill="auto"/>
          </w:tcPr>
          <w:p w14:paraId="40CF9B39" w14:textId="7E2D78C7" w:rsidR="007413ED" w:rsidRPr="00F11ECF" w:rsidRDefault="007413ED" w:rsidP="007413ED">
            <w:pPr>
              <w:jc w:val="left"/>
              <w:rPr>
                <w:rFonts w:ascii="Arial Narrow" w:eastAsia="Times New Roman" w:hAnsi="Arial Narrow"/>
                <w:spacing w:val="-2"/>
                <w:sz w:val="18"/>
                <w:szCs w:val="18"/>
                <w:lang w:val="es-419" w:eastAsia="en-US"/>
              </w:rPr>
            </w:pPr>
            <w:r w:rsidRPr="00F11ECF">
              <w:rPr>
                <w:rFonts w:ascii="Arial Narrow" w:hAnsi="Arial Narrow"/>
                <w:sz w:val="18"/>
                <w:szCs w:val="18"/>
                <w:lang w:val="es-419"/>
              </w:rPr>
              <w:t>k</w:t>
            </w:r>
            <w:r w:rsidR="000C3557" w:rsidRPr="00F11ECF">
              <w:rPr>
                <w:rFonts w:ascii="Arial Narrow" w:hAnsi="Arial Narrow"/>
                <w:sz w:val="18"/>
                <w:szCs w:val="18"/>
                <w:lang w:val="es-419"/>
              </w:rPr>
              <w:t>)</w:t>
            </w:r>
            <w:r w:rsidR="0040786B" w:rsidRPr="00F11ECF">
              <w:rPr>
                <w:rFonts w:ascii="Arial Narrow" w:hAnsi="Arial Narrow"/>
                <w:sz w:val="18"/>
                <w:szCs w:val="18"/>
                <w:lang w:val="es-419"/>
              </w:rPr>
              <w:t xml:space="preserve"> Iniciativas de la Alianza Mundial por las Semillas</w:t>
            </w:r>
          </w:p>
        </w:tc>
        <w:tc>
          <w:tcPr>
            <w:tcW w:w="5088" w:type="dxa"/>
            <w:tcBorders>
              <w:bottom w:val="single" w:sz="4" w:space="0" w:color="D9D9D9" w:themeColor="background1" w:themeShade="D9"/>
            </w:tcBorders>
            <w:shd w:val="clear" w:color="auto" w:fill="auto"/>
          </w:tcPr>
          <w:p w14:paraId="7782AD8C" w14:textId="6409F2CE" w:rsidR="007413ED" w:rsidRPr="00F72633" w:rsidRDefault="008C7F60" w:rsidP="0040786B">
            <w:pPr>
              <w:spacing w:before="40" w:after="40"/>
              <w:jc w:val="left"/>
              <w:rPr>
                <w:rFonts w:ascii="Arial Narrow" w:eastAsia="Times New Roman" w:hAnsi="Arial Narrow"/>
                <w:sz w:val="18"/>
                <w:szCs w:val="18"/>
                <w:lang w:val="es-419" w:eastAsia="en-US"/>
              </w:rPr>
            </w:pPr>
            <w:r w:rsidRPr="00F72633">
              <w:rPr>
                <w:rFonts w:ascii="Arial Narrow" w:eastAsia="Times New Roman" w:hAnsi="Arial Narrow"/>
                <w:sz w:val="18"/>
                <w:szCs w:val="18"/>
                <w:lang w:val="es-419" w:eastAsia="en-US"/>
              </w:rPr>
              <w:t>No aplicable</w:t>
            </w:r>
          </w:p>
        </w:tc>
      </w:tr>
    </w:tbl>
    <w:p w14:paraId="6574CAB1" w14:textId="77777777" w:rsidR="004505CD" w:rsidRPr="00F72633" w:rsidRDefault="004505CD" w:rsidP="003E3C19">
      <w:pPr>
        <w:rPr>
          <w:rFonts w:ascii="Arial Narrow" w:hAnsi="Arial Narrow"/>
          <w:sz w:val="18"/>
          <w:lang w:val="es-419"/>
        </w:rPr>
      </w:pPr>
    </w:p>
    <w:p w14:paraId="4C90CCEE" w14:textId="77777777" w:rsidR="004505CD" w:rsidRPr="00F72633" w:rsidRDefault="004505CD">
      <w:pPr>
        <w:jc w:val="left"/>
        <w:rPr>
          <w:rFonts w:ascii="Arial Narrow" w:hAnsi="Arial Narrow"/>
          <w:sz w:val="18"/>
          <w:lang w:val="es-419"/>
        </w:rPr>
      </w:pPr>
      <w:r w:rsidRPr="00F72633">
        <w:rPr>
          <w:rFonts w:ascii="Arial Narrow" w:hAnsi="Arial Narrow"/>
          <w:sz w:val="18"/>
          <w:lang w:val="es-419"/>
        </w:rPr>
        <w:br w:type="page"/>
      </w:r>
    </w:p>
    <w:p w14:paraId="6A129E20" w14:textId="77777777" w:rsidR="003E3C19" w:rsidRPr="00F72633" w:rsidRDefault="003E3C19" w:rsidP="003E3C19">
      <w:pPr>
        <w:rPr>
          <w:rFonts w:ascii="Arial Narrow" w:hAnsi="Arial Narrow"/>
          <w:sz w:val="18"/>
          <w:lang w:val="es-419"/>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890"/>
        <w:gridCol w:w="4890"/>
      </w:tblGrid>
      <w:tr w:rsidR="00177EFF" w:rsidRPr="00F72633" w14:paraId="0C1633E1" w14:textId="77777777" w:rsidTr="00BF26AD">
        <w:trPr>
          <w:trHeight w:val="466"/>
        </w:trPr>
        <w:tc>
          <w:tcPr>
            <w:tcW w:w="4890" w:type="dxa"/>
          </w:tcPr>
          <w:p w14:paraId="67491F65" w14:textId="4B6059CC" w:rsidR="00177EFF" w:rsidRPr="00F72633" w:rsidRDefault="00177EFF" w:rsidP="00AF3F69">
            <w:pPr>
              <w:pStyle w:val="Caption"/>
              <w:rPr>
                <w:lang w:val="es-419"/>
              </w:rPr>
            </w:pPr>
            <w:r w:rsidRPr="00F72633">
              <w:rPr>
                <w:lang w:val="es-419"/>
              </w:rPr>
              <w:t>Figur</w:t>
            </w:r>
            <w:r w:rsidR="00061227" w:rsidRPr="00F72633">
              <w:rPr>
                <w:lang w:val="es-419"/>
              </w:rPr>
              <w:t>a</w:t>
            </w:r>
            <w:r w:rsidRPr="00F72633">
              <w:rPr>
                <w:lang w:val="es-419"/>
              </w:rPr>
              <w:t xml:space="preserve"> 25. </w:t>
            </w:r>
            <w:r w:rsidR="00061227" w:rsidRPr="00F72633">
              <w:rPr>
                <w:lang w:val="es-419"/>
              </w:rPr>
              <w:t>Visitas al sitio web de la UPOV</w:t>
            </w:r>
            <w:bookmarkStart w:id="41" w:name="_Ref110875171"/>
            <w:r w:rsidR="0071419F" w:rsidRPr="00F72633">
              <w:rPr>
                <w:rStyle w:val="EndnoteReference"/>
                <w:i/>
                <w:color w:val="008080"/>
                <w:szCs w:val="18"/>
                <w:lang w:val="es-419"/>
              </w:rPr>
              <w:endnoteReference w:id="2"/>
            </w:r>
            <w:bookmarkEnd w:id="41"/>
            <w:r w:rsidRPr="00F72633">
              <w:rPr>
                <w:lang w:val="es-419"/>
              </w:rPr>
              <w:t xml:space="preserve"> – </w:t>
            </w:r>
            <w:r w:rsidR="00061227" w:rsidRPr="00F72633">
              <w:rPr>
                <w:lang w:val="es-419"/>
              </w:rPr>
              <w:t>número de visitantes</w:t>
            </w:r>
          </w:p>
          <w:p w14:paraId="4A61BEC6" w14:textId="5A51C97C" w:rsidR="007A748A" w:rsidRPr="00F72633" w:rsidRDefault="007A748A" w:rsidP="007A748A">
            <w:pPr>
              <w:jc w:val="center"/>
              <w:rPr>
                <w:lang w:val="es-419"/>
              </w:rPr>
            </w:pPr>
            <w:r w:rsidRPr="00F72633">
              <w:rPr>
                <w:noProof/>
                <w:lang w:eastAsia="en-US"/>
              </w:rPr>
              <w:drawing>
                <wp:inline distT="0" distB="0" distL="0" distR="0" wp14:anchorId="17B72715" wp14:editId="2A0A97CA">
                  <wp:extent cx="2671234" cy="2246782"/>
                  <wp:effectExtent l="0" t="0" r="0" b="127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86125" cy="2259307"/>
                          </a:xfrm>
                          <a:prstGeom prst="rect">
                            <a:avLst/>
                          </a:prstGeom>
                          <a:noFill/>
                          <a:ln>
                            <a:noFill/>
                          </a:ln>
                        </pic:spPr>
                      </pic:pic>
                    </a:graphicData>
                  </a:graphic>
                </wp:inline>
              </w:drawing>
            </w:r>
          </w:p>
          <w:p w14:paraId="7B464380" w14:textId="14D273F5" w:rsidR="00BF26AD" w:rsidRPr="00F72633" w:rsidRDefault="00BF26AD" w:rsidP="00BF26AD">
            <w:pPr>
              <w:jc w:val="center"/>
              <w:rPr>
                <w:lang w:val="es-419"/>
              </w:rPr>
            </w:pPr>
          </w:p>
        </w:tc>
        <w:tc>
          <w:tcPr>
            <w:tcW w:w="4890" w:type="dxa"/>
          </w:tcPr>
          <w:p w14:paraId="51986F39" w14:textId="2AF045A1" w:rsidR="00177EFF" w:rsidRPr="00F72633" w:rsidRDefault="00123FDC" w:rsidP="00AF3F69">
            <w:pPr>
              <w:pStyle w:val="Caption"/>
              <w:rPr>
                <w:lang w:val="es-419"/>
              </w:rPr>
            </w:pPr>
            <w:r w:rsidRPr="00F72633">
              <w:rPr>
                <w:lang w:val="es-419"/>
              </w:rPr>
              <w:t>Figur</w:t>
            </w:r>
            <w:r w:rsidR="00061227" w:rsidRPr="00F72633">
              <w:rPr>
                <w:lang w:val="es-419"/>
              </w:rPr>
              <w:t>a</w:t>
            </w:r>
            <w:r w:rsidRPr="00F72633">
              <w:rPr>
                <w:lang w:val="es-419"/>
              </w:rPr>
              <w:t xml:space="preserve"> 2</w:t>
            </w:r>
            <w:r w:rsidR="00F5092C" w:rsidRPr="00F72633">
              <w:rPr>
                <w:lang w:val="es-419"/>
              </w:rPr>
              <w:t>6</w:t>
            </w:r>
            <w:r w:rsidRPr="00F72633">
              <w:rPr>
                <w:lang w:val="es-419"/>
              </w:rPr>
              <w:t xml:space="preserve">. </w:t>
            </w:r>
            <w:r w:rsidR="00061227" w:rsidRPr="00F72633">
              <w:rPr>
                <w:lang w:val="es-419"/>
              </w:rPr>
              <w:t xml:space="preserve">Secciones visitadas por los usuarios del sitio web en </w:t>
            </w:r>
            <w:r w:rsidRPr="00F72633">
              <w:rPr>
                <w:lang w:val="es-419"/>
              </w:rPr>
              <w:t>2022</w:t>
            </w:r>
            <w:r w:rsidR="00FF5172" w:rsidRPr="00F72633">
              <w:rPr>
                <w:rStyle w:val="FootnoteReference"/>
                <w:lang w:val="es-419"/>
              </w:rPr>
              <w:footnoteReference w:id="9"/>
            </w:r>
          </w:p>
          <w:p w14:paraId="5EABF91E" w14:textId="046E7432" w:rsidR="00485280" w:rsidRPr="00F72633" w:rsidRDefault="00485280" w:rsidP="00485280">
            <w:pPr>
              <w:jc w:val="center"/>
              <w:rPr>
                <w:lang w:val="es-419"/>
              </w:rPr>
            </w:pPr>
            <w:r w:rsidRPr="00F72633">
              <w:rPr>
                <w:noProof/>
                <w:lang w:eastAsia="en-US"/>
              </w:rPr>
              <w:drawing>
                <wp:inline distT="0" distB="0" distL="0" distR="0" wp14:anchorId="05632B6F" wp14:editId="5C4A8615">
                  <wp:extent cx="3086100" cy="2252157"/>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96497" cy="2259745"/>
                          </a:xfrm>
                          <a:prstGeom prst="rect">
                            <a:avLst/>
                          </a:prstGeom>
                          <a:noFill/>
                          <a:ln>
                            <a:noFill/>
                          </a:ln>
                        </pic:spPr>
                      </pic:pic>
                    </a:graphicData>
                  </a:graphic>
                </wp:inline>
              </w:drawing>
            </w:r>
          </w:p>
          <w:p w14:paraId="5FEFC2EF" w14:textId="6E3CA826" w:rsidR="00BF26AD" w:rsidRPr="00F72633" w:rsidRDefault="00BF26AD" w:rsidP="00BF26AD">
            <w:pPr>
              <w:jc w:val="center"/>
              <w:rPr>
                <w:lang w:val="es-419"/>
              </w:rPr>
            </w:pPr>
          </w:p>
        </w:tc>
      </w:tr>
    </w:tbl>
    <w:p w14:paraId="4AD0E52D" w14:textId="77777777" w:rsidR="003E3C19" w:rsidRPr="00F72633" w:rsidRDefault="003E3C19" w:rsidP="003E3C19">
      <w:pPr>
        <w:rPr>
          <w:rFonts w:ascii="Arial Narrow" w:hAnsi="Arial Narrow"/>
          <w:sz w:val="18"/>
          <w:szCs w:val="18"/>
          <w:lang w:val="es-419"/>
        </w:rPr>
      </w:pPr>
    </w:p>
    <w:p w14:paraId="4AF4D028" w14:textId="77777777" w:rsidR="004505CD" w:rsidRPr="00F72633" w:rsidRDefault="004505CD" w:rsidP="003E3C19">
      <w:pPr>
        <w:rPr>
          <w:rFonts w:ascii="Arial Narrow" w:hAnsi="Arial Narrow"/>
          <w:sz w:val="18"/>
          <w:szCs w:val="18"/>
          <w:lang w:val="es-419"/>
        </w:rPr>
      </w:pP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0"/>
      </w:tblGrid>
      <w:tr w:rsidR="00606610" w:rsidRPr="00F72633" w14:paraId="611DF4BE" w14:textId="77777777" w:rsidTr="000432D4">
        <w:trPr>
          <w:trHeight w:val="466"/>
        </w:trPr>
        <w:tc>
          <w:tcPr>
            <w:tcW w:w="4890" w:type="dxa"/>
          </w:tcPr>
          <w:p w14:paraId="2CE25C15" w14:textId="066E97D0" w:rsidR="00606610" w:rsidRPr="00F72633" w:rsidRDefault="00606610" w:rsidP="00AF3F69">
            <w:pPr>
              <w:pStyle w:val="Caption"/>
              <w:rPr>
                <w:lang w:val="es-419"/>
              </w:rPr>
            </w:pPr>
            <w:r w:rsidRPr="00F72633">
              <w:rPr>
                <w:lang w:val="es-419" w:eastAsia="en-US"/>
              </w:rPr>
              <w:t>Figur</w:t>
            </w:r>
            <w:r w:rsidR="00061227" w:rsidRPr="00F72633">
              <w:rPr>
                <w:lang w:val="es-419" w:eastAsia="en-US"/>
              </w:rPr>
              <w:t>a</w:t>
            </w:r>
            <w:r w:rsidRPr="00F72633">
              <w:rPr>
                <w:lang w:val="es-419" w:eastAsia="en-US"/>
              </w:rPr>
              <w:t xml:space="preserve"> </w:t>
            </w:r>
            <w:r w:rsidR="00177EFF" w:rsidRPr="00F72633">
              <w:rPr>
                <w:lang w:val="es-419"/>
              </w:rPr>
              <w:t>2</w:t>
            </w:r>
            <w:r w:rsidR="00F5092C" w:rsidRPr="00F72633">
              <w:rPr>
                <w:lang w:val="es-419"/>
              </w:rPr>
              <w:t>7</w:t>
            </w:r>
            <w:r w:rsidRPr="00F72633">
              <w:rPr>
                <w:lang w:val="es-419"/>
              </w:rPr>
              <w:t xml:space="preserve">. </w:t>
            </w:r>
            <w:r w:rsidR="00D408DB" w:rsidRPr="00F72633">
              <w:rPr>
                <w:lang w:val="es-419"/>
              </w:rPr>
              <w:t xml:space="preserve">Seguidores de </w:t>
            </w:r>
            <w:r w:rsidRPr="00F72633">
              <w:rPr>
                <w:lang w:val="es-419"/>
              </w:rPr>
              <w:t>@UPOV</w:t>
            </w:r>
            <w:r w:rsidR="00D408DB" w:rsidRPr="00F72633">
              <w:rPr>
                <w:lang w:val="es-419"/>
              </w:rPr>
              <w:t>int y de la</w:t>
            </w:r>
            <w:r w:rsidR="00061227" w:rsidRPr="00F72633">
              <w:rPr>
                <w:lang w:val="es-419"/>
              </w:rPr>
              <w:t xml:space="preserve"> UPOV </w:t>
            </w:r>
            <w:r w:rsidR="00D408DB" w:rsidRPr="00F72633">
              <w:rPr>
                <w:lang w:val="es-419"/>
              </w:rPr>
              <w:t xml:space="preserve">en </w:t>
            </w:r>
            <w:r w:rsidR="00061227" w:rsidRPr="00F72633">
              <w:rPr>
                <w:lang w:val="es-419"/>
              </w:rPr>
              <w:t>LinkedIn</w:t>
            </w:r>
          </w:p>
          <w:p w14:paraId="5BC2CCEB" w14:textId="1E60ACD4" w:rsidR="00485280" w:rsidRPr="00F72633" w:rsidRDefault="00485280" w:rsidP="00485280">
            <w:pPr>
              <w:rPr>
                <w:lang w:val="es-419"/>
              </w:rPr>
            </w:pPr>
            <w:r w:rsidRPr="00F72633">
              <w:rPr>
                <w:noProof/>
                <w:lang w:eastAsia="en-US"/>
              </w:rPr>
              <w:drawing>
                <wp:inline distT="0" distB="0" distL="0" distR="0" wp14:anchorId="225F3126" wp14:editId="05879F66">
                  <wp:extent cx="3005667" cy="2082135"/>
                  <wp:effectExtent l="0" t="0" r="4445"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21777" cy="2093295"/>
                          </a:xfrm>
                          <a:prstGeom prst="rect">
                            <a:avLst/>
                          </a:prstGeom>
                          <a:noFill/>
                          <a:ln>
                            <a:noFill/>
                          </a:ln>
                        </pic:spPr>
                      </pic:pic>
                    </a:graphicData>
                  </a:graphic>
                </wp:inline>
              </w:drawing>
            </w:r>
          </w:p>
          <w:p w14:paraId="4F6BCC65" w14:textId="78EF67B8" w:rsidR="00C8739B" w:rsidRPr="00F72633" w:rsidRDefault="00D408DB" w:rsidP="00AA3791">
            <w:pPr>
              <w:spacing w:before="120"/>
              <w:jc w:val="left"/>
              <w:rPr>
                <w:rFonts w:ascii="Arial Narrow" w:hAnsi="Arial Narrow"/>
                <w:lang w:val="es-419"/>
              </w:rPr>
            </w:pPr>
            <w:r w:rsidRPr="00F72633">
              <w:rPr>
                <w:rFonts w:ascii="Arial Narrow" w:hAnsi="Arial Narrow"/>
                <w:sz w:val="18"/>
                <w:lang w:val="es-419"/>
              </w:rPr>
              <w:t>Nota</w:t>
            </w:r>
            <w:r w:rsidR="00C8739B" w:rsidRPr="00F72633">
              <w:rPr>
                <w:rFonts w:ascii="Arial Narrow" w:hAnsi="Arial Narrow"/>
                <w:sz w:val="18"/>
                <w:lang w:val="es-419"/>
              </w:rPr>
              <w:t xml:space="preserve">: </w:t>
            </w:r>
            <w:r w:rsidRPr="00F72633">
              <w:rPr>
                <w:rFonts w:ascii="Arial Narrow" w:hAnsi="Arial Narrow"/>
                <w:sz w:val="18"/>
                <w:lang w:val="es-419"/>
              </w:rPr>
              <w:t>Seguimiento de datos analíticos de la cuenta en LinkedIn de la UPOV del</w:t>
            </w:r>
            <w:r w:rsidR="00AA3791" w:rsidRPr="00F72633">
              <w:rPr>
                <w:rFonts w:ascii="Arial Narrow" w:hAnsi="Arial Narrow"/>
                <w:sz w:val="18"/>
                <w:lang w:val="es-419"/>
              </w:rPr>
              <w:t> 17 </w:t>
            </w:r>
            <w:r w:rsidRPr="00F72633">
              <w:rPr>
                <w:rFonts w:ascii="Arial Narrow" w:hAnsi="Arial Narrow"/>
                <w:sz w:val="18"/>
                <w:lang w:val="es-419"/>
              </w:rPr>
              <w:t>de mayo de</w:t>
            </w:r>
            <w:r w:rsidR="00AA3791" w:rsidRPr="00F72633">
              <w:rPr>
                <w:rFonts w:ascii="Arial Narrow" w:hAnsi="Arial Narrow"/>
                <w:sz w:val="18"/>
                <w:lang w:val="es-419"/>
              </w:rPr>
              <w:t> </w:t>
            </w:r>
            <w:r w:rsidRPr="00F72633">
              <w:rPr>
                <w:rFonts w:ascii="Arial Narrow" w:hAnsi="Arial Narrow"/>
                <w:sz w:val="18"/>
                <w:lang w:val="es-419"/>
              </w:rPr>
              <w:t>2020</w:t>
            </w:r>
            <w:r w:rsidR="00AA3791" w:rsidRPr="00F72633">
              <w:rPr>
                <w:rFonts w:ascii="Arial Narrow" w:hAnsi="Arial Narrow"/>
                <w:sz w:val="18"/>
                <w:lang w:val="es-419"/>
              </w:rPr>
              <w:t> </w:t>
            </w:r>
            <w:r w:rsidRPr="00F72633">
              <w:rPr>
                <w:rFonts w:ascii="Arial Narrow" w:hAnsi="Arial Narrow"/>
                <w:sz w:val="18"/>
                <w:lang w:val="es-419"/>
              </w:rPr>
              <w:t>en adelante. Seguimiento de d</w:t>
            </w:r>
            <w:r w:rsidR="00AA3791" w:rsidRPr="00F72633">
              <w:rPr>
                <w:rFonts w:ascii="Arial Narrow" w:hAnsi="Arial Narrow"/>
                <w:sz w:val="18"/>
                <w:lang w:val="es-419"/>
              </w:rPr>
              <w:t>atos analíticos de @UPOVint del 4 </w:t>
            </w:r>
            <w:r w:rsidRPr="00F72633">
              <w:rPr>
                <w:rFonts w:ascii="Arial Narrow" w:hAnsi="Arial Narrow"/>
                <w:sz w:val="18"/>
                <w:lang w:val="es-419"/>
              </w:rPr>
              <w:t>de marzo de</w:t>
            </w:r>
            <w:r w:rsidR="00AA3791" w:rsidRPr="00F72633">
              <w:rPr>
                <w:rFonts w:ascii="Arial Narrow" w:hAnsi="Arial Narrow"/>
                <w:sz w:val="18"/>
                <w:lang w:val="es-419"/>
              </w:rPr>
              <w:t> </w:t>
            </w:r>
            <w:r w:rsidRPr="00F72633">
              <w:rPr>
                <w:rFonts w:ascii="Arial Narrow" w:hAnsi="Arial Narrow"/>
                <w:sz w:val="18"/>
                <w:lang w:val="es-419"/>
              </w:rPr>
              <w:t>2019</w:t>
            </w:r>
            <w:r w:rsidR="00AA3791" w:rsidRPr="00F72633">
              <w:rPr>
                <w:rFonts w:ascii="Arial Narrow" w:hAnsi="Arial Narrow"/>
                <w:sz w:val="18"/>
                <w:lang w:val="es-419"/>
              </w:rPr>
              <w:t> </w:t>
            </w:r>
            <w:r w:rsidRPr="00F72633">
              <w:rPr>
                <w:rFonts w:ascii="Arial Narrow" w:hAnsi="Arial Narrow"/>
                <w:sz w:val="18"/>
                <w:lang w:val="es-419"/>
              </w:rPr>
              <w:t>en adelante.</w:t>
            </w:r>
          </w:p>
        </w:tc>
        <w:tc>
          <w:tcPr>
            <w:tcW w:w="4890" w:type="dxa"/>
          </w:tcPr>
          <w:p w14:paraId="758D1C34" w14:textId="6417D5D9" w:rsidR="00606610" w:rsidRPr="00F72633" w:rsidRDefault="00606610" w:rsidP="00AF3F69">
            <w:pPr>
              <w:pStyle w:val="Caption"/>
              <w:rPr>
                <w:lang w:val="es-419" w:eastAsia="en-US"/>
              </w:rPr>
            </w:pPr>
            <w:r w:rsidRPr="00F72633">
              <w:rPr>
                <w:lang w:val="es-419" w:eastAsia="en-US"/>
              </w:rPr>
              <w:t>Figur</w:t>
            </w:r>
            <w:r w:rsidR="00061227" w:rsidRPr="00F72633">
              <w:rPr>
                <w:lang w:val="es-419" w:eastAsia="en-US"/>
              </w:rPr>
              <w:t>a</w:t>
            </w:r>
            <w:r w:rsidRPr="00F72633">
              <w:rPr>
                <w:lang w:val="es-419" w:eastAsia="en-US"/>
              </w:rPr>
              <w:t xml:space="preserve"> </w:t>
            </w:r>
            <w:r w:rsidR="00177EFF" w:rsidRPr="00F72633">
              <w:rPr>
                <w:lang w:val="es-419"/>
              </w:rPr>
              <w:t>2</w:t>
            </w:r>
            <w:r w:rsidR="00F5092C" w:rsidRPr="00F72633">
              <w:rPr>
                <w:lang w:val="es-419"/>
              </w:rPr>
              <w:t>8</w:t>
            </w:r>
            <w:r w:rsidRPr="00F72633">
              <w:rPr>
                <w:lang w:val="es-419" w:eastAsia="en-US"/>
              </w:rPr>
              <w:t xml:space="preserve">. </w:t>
            </w:r>
            <w:r w:rsidR="00D408DB" w:rsidRPr="00F72633">
              <w:rPr>
                <w:lang w:val="es-419" w:eastAsia="en-US"/>
              </w:rPr>
              <w:t xml:space="preserve">Seguidores de </w:t>
            </w:r>
            <w:r w:rsidRPr="00F72633">
              <w:rPr>
                <w:lang w:val="es-419" w:eastAsia="en-US"/>
              </w:rPr>
              <w:t>@vsgup</w:t>
            </w:r>
            <w:r w:rsidR="00061227" w:rsidRPr="00F72633">
              <w:rPr>
                <w:lang w:val="es-419" w:eastAsia="en-US"/>
              </w:rPr>
              <w:t xml:space="preserve">ov </w:t>
            </w:r>
            <w:r w:rsidR="00D408DB" w:rsidRPr="00F72633">
              <w:rPr>
                <w:lang w:val="es-419" w:eastAsia="en-US"/>
              </w:rPr>
              <w:t xml:space="preserve">y de </w:t>
            </w:r>
            <w:r w:rsidR="00061227" w:rsidRPr="00F72633">
              <w:rPr>
                <w:lang w:val="es-419" w:eastAsia="en-US"/>
              </w:rPr>
              <w:t>Peter Button</w:t>
            </w:r>
          </w:p>
          <w:p w14:paraId="0173DC99" w14:textId="0D6728D1" w:rsidR="00485280" w:rsidRPr="00F72633" w:rsidRDefault="00485280" w:rsidP="00485280">
            <w:pPr>
              <w:rPr>
                <w:lang w:val="es-419" w:eastAsia="en-US"/>
              </w:rPr>
            </w:pPr>
            <w:r w:rsidRPr="00F72633">
              <w:rPr>
                <w:noProof/>
                <w:lang w:eastAsia="en-US"/>
              </w:rPr>
              <w:drawing>
                <wp:inline distT="0" distB="0" distL="0" distR="0" wp14:anchorId="656F2178" wp14:editId="60175A5C">
                  <wp:extent cx="2865755" cy="2072812"/>
                  <wp:effectExtent l="0" t="0" r="0" b="381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73391" cy="2078335"/>
                          </a:xfrm>
                          <a:prstGeom prst="rect">
                            <a:avLst/>
                          </a:prstGeom>
                          <a:noFill/>
                          <a:ln>
                            <a:noFill/>
                          </a:ln>
                        </pic:spPr>
                      </pic:pic>
                    </a:graphicData>
                  </a:graphic>
                </wp:inline>
              </w:drawing>
            </w:r>
          </w:p>
          <w:p w14:paraId="417FDBBF" w14:textId="3A926ACC" w:rsidR="000432D4" w:rsidRPr="00F72633" w:rsidRDefault="000432D4" w:rsidP="000432D4">
            <w:pPr>
              <w:jc w:val="center"/>
              <w:rPr>
                <w:lang w:val="es-419" w:eastAsia="en-US"/>
              </w:rPr>
            </w:pPr>
          </w:p>
        </w:tc>
      </w:tr>
    </w:tbl>
    <w:p w14:paraId="0B7FCDC1" w14:textId="5309937B" w:rsidR="003E3C19" w:rsidRPr="00F72633" w:rsidRDefault="003E3C19" w:rsidP="003E3C19">
      <w:pPr>
        <w:rPr>
          <w:lang w:val="es-419"/>
        </w:rPr>
        <w:sectPr w:rsidR="003E3C19" w:rsidRPr="00F72633" w:rsidSect="00B904E7">
          <w:headerReference w:type="even" r:id="rId49"/>
          <w:headerReference w:type="default" r:id="rId50"/>
          <w:footerReference w:type="even" r:id="rId51"/>
          <w:footerReference w:type="default" r:id="rId52"/>
          <w:headerReference w:type="first" r:id="rId53"/>
          <w:footerReference w:type="first" r:id="rId54"/>
          <w:footnotePr>
            <w:numRestart w:val="eachSect"/>
          </w:footnotePr>
          <w:pgSz w:w="11907" w:h="16840" w:code="9"/>
          <w:pgMar w:top="1134" w:right="1134" w:bottom="709" w:left="1134" w:header="425" w:footer="447" w:gutter="0"/>
          <w:pgNumType w:start="1"/>
          <w:cols w:space="720"/>
          <w:titlePg/>
          <w:docGrid w:linePitch="272"/>
        </w:sectPr>
      </w:pPr>
    </w:p>
    <w:p w14:paraId="41052028" w14:textId="53C4FD3F" w:rsidR="003E3C19" w:rsidRPr="00F72633" w:rsidRDefault="003E3C19" w:rsidP="003E3C19">
      <w:pPr>
        <w:pStyle w:val="Heading1"/>
        <w:rPr>
          <w:lang w:val="es-419"/>
        </w:rPr>
      </w:pPr>
      <w:bookmarkStart w:id="42" w:name="_Toc80365155"/>
      <w:bookmarkStart w:id="43" w:name="_Toc143527476"/>
      <w:r w:rsidRPr="00F72633">
        <w:rPr>
          <w:lang w:val="es-419"/>
        </w:rPr>
        <w:lastRenderedPageBreak/>
        <w:t>iii.</w:t>
      </w:r>
      <w:r w:rsidRPr="00F72633">
        <w:rPr>
          <w:lang w:val="es-419"/>
        </w:rPr>
        <w:tab/>
      </w:r>
      <w:bookmarkEnd w:id="42"/>
      <w:r w:rsidR="00AC0F6F" w:rsidRPr="00F72633">
        <w:rPr>
          <w:lang w:val="es-419"/>
        </w:rPr>
        <w:t>anexos</w:t>
      </w:r>
      <w:bookmarkEnd w:id="43"/>
    </w:p>
    <w:p w14:paraId="7CAF7D76" w14:textId="31CAA7C2" w:rsidR="003E3C19" w:rsidRPr="00F72633" w:rsidRDefault="00AC0F6F" w:rsidP="003E3C19">
      <w:pPr>
        <w:pStyle w:val="AnnexTitle"/>
        <w:rPr>
          <w:lang w:val="es-419"/>
        </w:rPr>
      </w:pPr>
      <w:bookmarkStart w:id="44" w:name="_Toc143527477"/>
      <w:bookmarkStart w:id="45" w:name="_Toc80365157"/>
      <w:bookmarkStart w:id="46" w:name="_Toc80365156"/>
      <w:r w:rsidRPr="00F72633">
        <w:rPr>
          <w:lang w:val="es-419"/>
        </w:rPr>
        <w:t>ANEXO</w:t>
      </w:r>
      <w:r w:rsidR="003E3C19" w:rsidRPr="00F72633">
        <w:rPr>
          <w:lang w:val="es-419"/>
        </w:rPr>
        <w:t xml:space="preserve"> I</w:t>
      </w:r>
      <w:r w:rsidR="003E3C19" w:rsidRPr="00F72633">
        <w:rPr>
          <w:lang w:val="es-419"/>
        </w:rPr>
        <w:tab/>
      </w:r>
      <w:r w:rsidR="00947CE8" w:rsidRPr="00F72633">
        <w:rPr>
          <w:lang w:val="es-419"/>
        </w:rPr>
        <w:t>Fondos extrapresupuestario</w:t>
      </w:r>
      <w:r w:rsidR="00837CC6" w:rsidRPr="00F72633">
        <w:rPr>
          <w:lang w:val="es-419"/>
        </w:rPr>
        <w:t>s</w:t>
      </w:r>
      <w:r w:rsidR="00947CE8" w:rsidRPr="00F72633">
        <w:rPr>
          <w:lang w:val="es-419"/>
        </w:rPr>
        <w:t xml:space="preserve"> (fondos fiduciarios)</w:t>
      </w:r>
      <w:bookmarkEnd w:id="44"/>
    </w:p>
    <w:bookmarkEnd w:id="45"/>
    <w:p w14:paraId="736D1D63" w14:textId="07E49CF3" w:rsidR="001645C8" w:rsidRPr="00F72633" w:rsidRDefault="003C3D59" w:rsidP="001645C8">
      <w:pPr>
        <w:keepNext/>
        <w:rPr>
          <w:lang w:val="es-419"/>
        </w:rPr>
      </w:pPr>
      <w:r w:rsidRPr="00F72633">
        <w:rPr>
          <w:lang w:val="es-419"/>
        </w:rPr>
        <w:t xml:space="preserve">A </w:t>
      </w:r>
      <w:r w:rsidR="00F2535C" w:rsidRPr="00F72633">
        <w:rPr>
          <w:lang w:val="es-419"/>
        </w:rPr>
        <w:t>continuación,</w:t>
      </w:r>
      <w:r w:rsidRPr="00F72633">
        <w:rPr>
          <w:lang w:val="es-419"/>
        </w:rPr>
        <w:t xml:space="preserve"> se presentan los fondos extrapresupuestarios (incluidos los fondos fiduciarios) recibidos de los donantes</w:t>
      </w:r>
      <w:r w:rsidR="001645C8" w:rsidRPr="00F72633">
        <w:rPr>
          <w:lang w:val="es-419"/>
        </w:rPr>
        <w:t>.</w:t>
      </w:r>
    </w:p>
    <w:p w14:paraId="3C0D532E" w14:textId="70065B50" w:rsidR="001645C8" w:rsidRPr="00F72633" w:rsidRDefault="001645C8" w:rsidP="001645C8">
      <w:pPr>
        <w:rPr>
          <w:lang w:val="es-419" w:eastAsia="en-US"/>
        </w:rPr>
      </w:pPr>
    </w:p>
    <w:p w14:paraId="663CDB0F" w14:textId="08E7C712" w:rsidR="001645C8" w:rsidRPr="00F72633" w:rsidRDefault="00F2535C" w:rsidP="00C61555">
      <w:pPr>
        <w:jc w:val="center"/>
        <w:rPr>
          <w:lang w:val="es-419" w:eastAsia="en-US"/>
        </w:rPr>
      </w:pPr>
      <w:r w:rsidRPr="00F2535C">
        <w:rPr>
          <w:noProof/>
          <w:lang w:eastAsia="en-US"/>
        </w:rPr>
        <w:drawing>
          <wp:inline distT="0" distB="0" distL="0" distR="0" wp14:anchorId="19A915E8" wp14:editId="2FDF9B3D">
            <wp:extent cx="6120765" cy="242348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765" cy="2423486"/>
                    </a:xfrm>
                    <a:prstGeom prst="rect">
                      <a:avLst/>
                    </a:prstGeom>
                    <a:noFill/>
                    <a:ln>
                      <a:noFill/>
                    </a:ln>
                  </pic:spPr>
                </pic:pic>
              </a:graphicData>
            </a:graphic>
          </wp:inline>
        </w:drawing>
      </w:r>
    </w:p>
    <w:p w14:paraId="47ACB600" w14:textId="77777777" w:rsidR="001645C8" w:rsidRPr="00F72633" w:rsidRDefault="001645C8" w:rsidP="001645C8">
      <w:pPr>
        <w:rPr>
          <w:rFonts w:eastAsia="Times New Roman"/>
          <w:b/>
          <w:bCs/>
          <w:iCs/>
          <w:color w:val="155F1A"/>
          <w:szCs w:val="28"/>
          <w:lang w:val="es-419" w:eastAsia="en-US"/>
        </w:rPr>
      </w:pPr>
    </w:p>
    <w:p w14:paraId="47CEF8E3" w14:textId="77777777" w:rsidR="001645C8" w:rsidRPr="00F72633" w:rsidRDefault="001645C8" w:rsidP="001645C8">
      <w:pPr>
        <w:rPr>
          <w:rFonts w:eastAsia="Times New Roman"/>
          <w:b/>
          <w:bCs/>
          <w:iCs/>
          <w:color w:val="155F1A"/>
          <w:szCs w:val="28"/>
          <w:lang w:val="es-419" w:eastAsia="en-US"/>
        </w:rPr>
      </w:pPr>
    </w:p>
    <w:p w14:paraId="6A2F02F7" w14:textId="3AB5FE10" w:rsidR="001645C8" w:rsidRPr="00F72633" w:rsidRDefault="003C3D59" w:rsidP="001645C8">
      <w:pPr>
        <w:rPr>
          <w:rFonts w:eastAsia="Times New Roman"/>
          <w:b/>
          <w:bCs/>
          <w:iCs/>
          <w:color w:val="155F1A"/>
          <w:szCs w:val="28"/>
          <w:lang w:val="es-419" w:eastAsia="en-US"/>
        </w:rPr>
      </w:pPr>
      <w:r w:rsidRPr="00F72633">
        <w:rPr>
          <w:b/>
          <w:color w:val="155F1A"/>
          <w:lang w:val="es-419"/>
        </w:rPr>
        <w:t xml:space="preserve">Ingresos y gastos por </w:t>
      </w:r>
      <w:r w:rsidR="00EF433A" w:rsidRPr="00F72633">
        <w:rPr>
          <w:b/>
          <w:color w:val="155F1A"/>
          <w:lang w:val="es-419"/>
        </w:rPr>
        <w:t xml:space="preserve">fondo </w:t>
      </w:r>
      <w:r w:rsidRPr="00F72633">
        <w:rPr>
          <w:b/>
          <w:color w:val="155F1A"/>
          <w:lang w:val="es-419"/>
        </w:rPr>
        <w:t>correspondientes a</w:t>
      </w:r>
      <w:r w:rsidR="001645C8" w:rsidRPr="00F72633">
        <w:rPr>
          <w:rFonts w:eastAsia="Times New Roman"/>
          <w:b/>
          <w:bCs/>
          <w:iCs/>
          <w:color w:val="155F1A"/>
          <w:szCs w:val="28"/>
          <w:lang w:val="es-419" w:eastAsia="en-US"/>
        </w:rPr>
        <w:t xml:space="preserve"> 2022</w:t>
      </w:r>
    </w:p>
    <w:p w14:paraId="65DDCF54" w14:textId="77777777" w:rsidR="00C61555" w:rsidRPr="00F72633" w:rsidRDefault="00C61555" w:rsidP="001645C8">
      <w:pPr>
        <w:rPr>
          <w:rFonts w:eastAsia="Times New Roman"/>
          <w:b/>
          <w:bCs/>
          <w:iCs/>
          <w:color w:val="155F1A"/>
          <w:szCs w:val="28"/>
          <w:lang w:val="es-419" w:eastAsia="en-US"/>
        </w:rPr>
      </w:pPr>
    </w:p>
    <w:p w14:paraId="77396DA3" w14:textId="02AE3EFE" w:rsidR="001645C8" w:rsidRPr="00F72633" w:rsidRDefault="00C61555" w:rsidP="008F7A81">
      <w:pPr>
        <w:jc w:val="center"/>
        <w:rPr>
          <w:rFonts w:eastAsia="Times New Roman"/>
          <w:b/>
          <w:bCs/>
          <w:iCs/>
          <w:color w:val="155F1A"/>
          <w:szCs w:val="28"/>
          <w:lang w:val="es-419" w:eastAsia="en-US"/>
        </w:rPr>
      </w:pPr>
      <w:r w:rsidRPr="00F72633">
        <w:rPr>
          <w:noProof/>
          <w:lang w:eastAsia="en-US"/>
        </w:rPr>
        <w:drawing>
          <wp:inline distT="0" distB="0" distL="0" distR="0" wp14:anchorId="46A76DFF" wp14:editId="17894033">
            <wp:extent cx="4008967" cy="2641793"/>
            <wp:effectExtent l="0" t="0" r="0" b="635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17337" cy="2647308"/>
                    </a:xfrm>
                    <a:prstGeom prst="rect">
                      <a:avLst/>
                    </a:prstGeom>
                    <a:noFill/>
                    <a:ln>
                      <a:noFill/>
                    </a:ln>
                  </pic:spPr>
                </pic:pic>
              </a:graphicData>
            </a:graphic>
          </wp:inline>
        </w:drawing>
      </w:r>
    </w:p>
    <w:p w14:paraId="712FED63" w14:textId="77777777" w:rsidR="001645C8" w:rsidRPr="00F72633" w:rsidRDefault="001645C8" w:rsidP="001645C8">
      <w:pPr>
        <w:ind w:left="851" w:right="283" w:hanging="567"/>
        <w:rPr>
          <w:i/>
          <w:sz w:val="18"/>
          <w:szCs w:val="18"/>
          <w:lang w:val="es-419"/>
        </w:rPr>
      </w:pPr>
    </w:p>
    <w:p w14:paraId="56B2F3D0" w14:textId="44798F0A" w:rsidR="001645C8" w:rsidRPr="00F72633" w:rsidRDefault="001645C8" w:rsidP="001645C8">
      <w:pPr>
        <w:ind w:left="851" w:right="283" w:hanging="567"/>
        <w:rPr>
          <w:i/>
          <w:sz w:val="16"/>
          <w:szCs w:val="18"/>
          <w:lang w:val="es-419"/>
        </w:rPr>
      </w:pPr>
      <w:r w:rsidRPr="00F72633">
        <w:rPr>
          <w:i/>
          <w:sz w:val="16"/>
          <w:szCs w:val="18"/>
          <w:lang w:val="es-419"/>
        </w:rPr>
        <w:t>Not</w:t>
      </w:r>
      <w:r w:rsidR="003C3D59" w:rsidRPr="00F72633">
        <w:rPr>
          <w:i/>
          <w:sz w:val="16"/>
          <w:szCs w:val="18"/>
          <w:lang w:val="es-419"/>
        </w:rPr>
        <w:t>a</w:t>
      </w:r>
      <w:r w:rsidRPr="00F72633">
        <w:rPr>
          <w:i/>
          <w:sz w:val="16"/>
          <w:szCs w:val="18"/>
          <w:lang w:val="es-419"/>
        </w:rPr>
        <w:t xml:space="preserve">: </w:t>
      </w:r>
      <w:r w:rsidRPr="00F72633">
        <w:rPr>
          <w:i/>
          <w:sz w:val="16"/>
          <w:szCs w:val="18"/>
          <w:lang w:val="es-419"/>
        </w:rPr>
        <w:tab/>
      </w:r>
      <w:r w:rsidR="003C3D59" w:rsidRPr="00F72633">
        <w:rPr>
          <w:i/>
          <w:sz w:val="16"/>
          <w:lang w:val="es-419"/>
        </w:rPr>
        <w:t>Fondos fiduciarios del Gobierno del Canadá destinados a ejecutar un programa de asistencia técnica en el Senegal para mejorar la capacidad del Ministerio de Agricultura e Infraestructura Rural en determinados aspectos de la agricultura, entre ellos la formación y el fortalecimiento de la capacidad a fin de aplicar el sistema de propiedad intelectual y de derechos de obtentor de la UPOV.</w:t>
      </w:r>
    </w:p>
    <w:p w14:paraId="2A404E5A" w14:textId="77777777" w:rsidR="001645C8" w:rsidRPr="00F72633" w:rsidRDefault="001645C8" w:rsidP="004120AB">
      <w:pPr>
        <w:rPr>
          <w:sz w:val="18"/>
          <w:lang w:val="es-419"/>
        </w:rPr>
      </w:pPr>
    </w:p>
    <w:p w14:paraId="000A99BB" w14:textId="77777777" w:rsidR="001645C8" w:rsidRPr="00F72633" w:rsidRDefault="001645C8" w:rsidP="004120AB">
      <w:pPr>
        <w:rPr>
          <w:lang w:val="es-419"/>
        </w:rPr>
      </w:pPr>
    </w:p>
    <w:p w14:paraId="31B855E7" w14:textId="5E2CCF54" w:rsidR="001645C8" w:rsidRPr="00F72633" w:rsidRDefault="001645C8" w:rsidP="001645C8">
      <w:pPr>
        <w:ind w:left="851" w:right="283" w:hanging="567"/>
        <w:jc w:val="center"/>
        <w:rPr>
          <w:i/>
          <w:sz w:val="18"/>
          <w:szCs w:val="18"/>
          <w:lang w:val="es-419"/>
        </w:rPr>
      </w:pPr>
    </w:p>
    <w:p w14:paraId="781AC512" w14:textId="7E511C9B" w:rsidR="00DE4F97" w:rsidRPr="00F72633" w:rsidRDefault="00DE4F97" w:rsidP="001645C8">
      <w:pPr>
        <w:ind w:left="851" w:right="283" w:hanging="567"/>
        <w:jc w:val="center"/>
        <w:rPr>
          <w:i/>
          <w:sz w:val="18"/>
          <w:szCs w:val="18"/>
          <w:lang w:val="es-419"/>
        </w:rPr>
      </w:pPr>
    </w:p>
    <w:p w14:paraId="07C456E4" w14:textId="126DCEE3" w:rsidR="001645C8" w:rsidRPr="00F72633" w:rsidRDefault="0065490A" w:rsidP="0065490A">
      <w:pPr>
        <w:ind w:left="851" w:right="283" w:hanging="567"/>
        <w:jc w:val="center"/>
        <w:rPr>
          <w:i/>
          <w:sz w:val="18"/>
          <w:szCs w:val="18"/>
          <w:lang w:val="es-419"/>
        </w:rPr>
      </w:pPr>
      <w:r w:rsidRPr="00F72633">
        <w:rPr>
          <w:noProof/>
          <w:lang w:eastAsia="en-US"/>
        </w:rPr>
        <w:lastRenderedPageBreak/>
        <w:drawing>
          <wp:inline distT="0" distB="0" distL="0" distR="0" wp14:anchorId="542AADCF" wp14:editId="0BF018B1">
            <wp:extent cx="3881967" cy="2397599"/>
            <wp:effectExtent l="0" t="0" r="4445" b="317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99813" cy="2408621"/>
                    </a:xfrm>
                    <a:prstGeom prst="rect">
                      <a:avLst/>
                    </a:prstGeom>
                    <a:noFill/>
                    <a:ln>
                      <a:noFill/>
                    </a:ln>
                  </pic:spPr>
                </pic:pic>
              </a:graphicData>
            </a:graphic>
          </wp:inline>
        </w:drawing>
      </w:r>
    </w:p>
    <w:p w14:paraId="12460D06" w14:textId="77777777" w:rsidR="001645C8" w:rsidRPr="00F72633" w:rsidRDefault="001645C8" w:rsidP="001645C8">
      <w:pPr>
        <w:ind w:left="851" w:right="283" w:hanging="567"/>
        <w:jc w:val="center"/>
        <w:rPr>
          <w:i/>
          <w:sz w:val="18"/>
          <w:szCs w:val="18"/>
          <w:lang w:val="es-419"/>
        </w:rPr>
      </w:pPr>
    </w:p>
    <w:p w14:paraId="246E4864" w14:textId="5DD185A0" w:rsidR="001645C8" w:rsidRPr="00F72633" w:rsidRDefault="001645C8" w:rsidP="001645C8">
      <w:pPr>
        <w:ind w:left="567" w:hanging="567"/>
        <w:rPr>
          <w:i/>
          <w:sz w:val="16"/>
          <w:szCs w:val="18"/>
          <w:lang w:val="es-419"/>
        </w:rPr>
      </w:pPr>
      <w:r w:rsidRPr="00F72633">
        <w:rPr>
          <w:i/>
          <w:sz w:val="16"/>
          <w:szCs w:val="18"/>
          <w:lang w:val="es-419"/>
        </w:rPr>
        <w:t>Not</w:t>
      </w:r>
      <w:r w:rsidR="00A27811" w:rsidRPr="00F72633">
        <w:rPr>
          <w:i/>
          <w:sz w:val="16"/>
          <w:szCs w:val="18"/>
          <w:lang w:val="es-419"/>
        </w:rPr>
        <w:t>a</w:t>
      </w:r>
      <w:r w:rsidRPr="00F72633">
        <w:rPr>
          <w:i/>
          <w:sz w:val="16"/>
          <w:szCs w:val="18"/>
          <w:lang w:val="es-419"/>
        </w:rPr>
        <w:t>:</w:t>
      </w:r>
      <w:r w:rsidRPr="00F72633">
        <w:rPr>
          <w:i/>
          <w:sz w:val="16"/>
          <w:szCs w:val="18"/>
          <w:lang w:val="es-419"/>
        </w:rPr>
        <w:tab/>
      </w:r>
      <w:r w:rsidR="00A27811" w:rsidRPr="00F72633">
        <w:rPr>
          <w:i/>
          <w:sz w:val="16"/>
          <w:lang w:val="es-419"/>
        </w:rPr>
        <w:t>Fondos fiduciarios del Gobierno del Japón destinados a seminarios y talleres regionales sobre la protección de las obtenciones vegetales en la región asiática y al desarrollo del proyecto piloto del Foro EAPVP.</w:t>
      </w:r>
    </w:p>
    <w:p w14:paraId="35DBFA6C" w14:textId="77777777" w:rsidR="001645C8" w:rsidRPr="00F72633" w:rsidRDefault="001645C8" w:rsidP="004120AB">
      <w:pPr>
        <w:rPr>
          <w:lang w:val="es-419"/>
        </w:rPr>
      </w:pPr>
    </w:p>
    <w:p w14:paraId="5322CFC2" w14:textId="29C8C73D" w:rsidR="001645C8" w:rsidRPr="00F72633" w:rsidRDefault="001645C8" w:rsidP="004120AB">
      <w:pPr>
        <w:rPr>
          <w:lang w:val="es-419"/>
        </w:rPr>
      </w:pPr>
    </w:p>
    <w:p w14:paraId="79892D19" w14:textId="0C894327" w:rsidR="001645C8" w:rsidRPr="00F72633" w:rsidRDefault="00F2535C" w:rsidP="008F7A81">
      <w:pPr>
        <w:jc w:val="center"/>
        <w:rPr>
          <w:lang w:val="es-419"/>
        </w:rPr>
      </w:pPr>
      <w:r w:rsidRPr="00F2535C">
        <w:rPr>
          <w:noProof/>
          <w:lang w:eastAsia="en-US"/>
        </w:rPr>
        <w:drawing>
          <wp:inline distT="0" distB="0" distL="0" distR="0" wp14:anchorId="14CFE067" wp14:editId="54E64ED5">
            <wp:extent cx="3989247" cy="24975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996471" cy="2502063"/>
                    </a:xfrm>
                    <a:prstGeom prst="rect">
                      <a:avLst/>
                    </a:prstGeom>
                    <a:noFill/>
                    <a:ln>
                      <a:noFill/>
                    </a:ln>
                  </pic:spPr>
                </pic:pic>
              </a:graphicData>
            </a:graphic>
          </wp:inline>
        </w:drawing>
      </w:r>
    </w:p>
    <w:p w14:paraId="1E94204E" w14:textId="77777777" w:rsidR="001645C8" w:rsidRPr="00F72633" w:rsidRDefault="001645C8" w:rsidP="001645C8">
      <w:pPr>
        <w:ind w:left="567" w:hanging="567"/>
        <w:jc w:val="center"/>
        <w:rPr>
          <w:i/>
          <w:sz w:val="18"/>
          <w:szCs w:val="18"/>
          <w:lang w:val="es-419"/>
        </w:rPr>
      </w:pPr>
    </w:p>
    <w:p w14:paraId="33A80C81" w14:textId="3380C7DC" w:rsidR="001645C8" w:rsidRPr="00F72633" w:rsidRDefault="001645C8" w:rsidP="001645C8">
      <w:pPr>
        <w:ind w:left="567" w:hanging="567"/>
        <w:rPr>
          <w:i/>
          <w:sz w:val="16"/>
          <w:szCs w:val="16"/>
          <w:lang w:val="es-419"/>
        </w:rPr>
      </w:pPr>
      <w:r w:rsidRPr="00F72633">
        <w:rPr>
          <w:i/>
          <w:sz w:val="16"/>
          <w:szCs w:val="16"/>
          <w:lang w:val="es-419"/>
        </w:rPr>
        <w:t>Not</w:t>
      </w:r>
      <w:r w:rsidR="00A27811" w:rsidRPr="00F72633">
        <w:rPr>
          <w:i/>
          <w:sz w:val="16"/>
          <w:szCs w:val="16"/>
          <w:lang w:val="es-419"/>
        </w:rPr>
        <w:t>a</w:t>
      </w:r>
      <w:r w:rsidRPr="00F72633">
        <w:rPr>
          <w:i/>
          <w:sz w:val="16"/>
          <w:szCs w:val="16"/>
          <w:lang w:val="es-419"/>
        </w:rPr>
        <w:t>:</w:t>
      </w:r>
      <w:r w:rsidRPr="00F72633">
        <w:rPr>
          <w:i/>
          <w:sz w:val="16"/>
          <w:szCs w:val="16"/>
          <w:lang w:val="es-419"/>
        </w:rPr>
        <w:tab/>
        <w:t xml:space="preserve"> </w:t>
      </w:r>
      <w:r w:rsidR="00A27811" w:rsidRPr="00F72633">
        <w:rPr>
          <w:i/>
          <w:sz w:val="16"/>
          <w:lang w:val="es-419"/>
        </w:rPr>
        <w:t>Fondo extrapresupuestario de los Países Bajos destinado a proporcionar y promover el sistema de la UPOV de protección de las variedades vegetales.</w:t>
      </w:r>
    </w:p>
    <w:p w14:paraId="50F4853B" w14:textId="77777777" w:rsidR="001645C8" w:rsidRPr="00F72633" w:rsidRDefault="001645C8" w:rsidP="004120AB">
      <w:pPr>
        <w:rPr>
          <w:lang w:val="es-419"/>
        </w:rPr>
      </w:pPr>
    </w:p>
    <w:p w14:paraId="4FA81681" w14:textId="3E8A8D24" w:rsidR="001645C8" w:rsidRPr="00F72633" w:rsidRDefault="001645C8" w:rsidP="004120AB">
      <w:pPr>
        <w:rPr>
          <w:lang w:val="es-419"/>
        </w:rPr>
      </w:pPr>
    </w:p>
    <w:p w14:paraId="7E74262E" w14:textId="0CFA3660" w:rsidR="001645C8" w:rsidRPr="00F72633" w:rsidRDefault="008F7A81" w:rsidP="008F7A81">
      <w:pPr>
        <w:jc w:val="center"/>
        <w:rPr>
          <w:lang w:val="es-419"/>
        </w:rPr>
      </w:pPr>
      <w:r w:rsidRPr="00F72633">
        <w:rPr>
          <w:noProof/>
          <w:lang w:eastAsia="en-US"/>
        </w:rPr>
        <w:drawing>
          <wp:inline distT="0" distB="0" distL="0" distR="0" wp14:anchorId="26415620" wp14:editId="087634BB">
            <wp:extent cx="4001664" cy="2383367"/>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17566" cy="2392838"/>
                    </a:xfrm>
                    <a:prstGeom prst="rect">
                      <a:avLst/>
                    </a:prstGeom>
                    <a:noFill/>
                    <a:ln>
                      <a:noFill/>
                    </a:ln>
                  </pic:spPr>
                </pic:pic>
              </a:graphicData>
            </a:graphic>
          </wp:inline>
        </w:drawing>
      </w:r>
    </w:p>
    <w:p w14:paraId="48E9B250" w14:textId="77777777" w:rsidR="001645C8" w:rsidRPr="00F72633" w:rsidRDefault="001645C8" w:rsidP="001645C8">
      <w:pPr>
        <w:ind w:left="851" w:right="283" w:hanging="567"/>
        <w:jc w:val="center"/>
        <w:rPr>
          <w:i/>
          <w:sz w:val="18"/>
          <w:szCs w:val="18"/>
          <w:lang w:val="es-419"/>
        </w:rPr>
      </w:pPr>
    </w:p>
    <w:p w14:paraId="3EA11AFD" w14:textId="5B44793D" w:rsidR="001645C8" w:rsidRPr="00F72633" w:rsidRDefault="001645C8" w:rsidP="001645C8">
      <w:pPr>
        <w:ind w:left="900" w:hanging="630"/>
        <w:rPr>
          <w:i/>
          <w:sz w:val="16"/>
          <w:szCs w:val="18"/>
          <w:lang w:val="es-419"/>
        </w:rPr>
      </w:pPr>
      <w:r w:rsidRPr="00F72633">
        <w:rPr>
          <w:i/>
          <w:iCs/>
          <w:color w:val="000000"/>
          <w:sz w:val="16"/>
          <w:szCs w:val="18"/>
          <w:lang w:val="es-419"/>
        </w:rPr>
        <w:t>Not</w:t>
      </w:r>
      <w:r w:rsidR="00A27811" w:rsidRPr="00F72633">
        <w:rPr>
          <w:i/>
          <w:iCs/>
          <w:color w:val="000000"/>
          <w:sz w:val="16"/>
          <w:szCs w:val="18"/>
          <w:lang w:val="es-419"/>
        </w:rPr>
        <w:t>a</w:t>
      </w:r>
      <w:r w:rsidRPr="00F72633">
        <w:rPr>
          <w:i/>
          <w:iCs/>
          <w:color w:val="000000"/>
          <w:sz w:val="16"/>
          <w:szCs w:val="18"/>
          <w:lang w:val="es-419"/>
        </w:rPr>
        <w:t>:</w:t>
      </w:r>
      <w:r w:rsidRPr="00F72633">
        <w:rPr>
          <w:i/>
          <w:iCs/>
          <w:color w:val="000000"/>
          <w:sz w:val="16"/>
          <w:szCs w:val="18"/>
          <w:lang w:val="es-419"/>
        </w:rPr>
        <w:tab/>
      </w:r>
      <w:r w:rsidR="000D20D3">
        <w:rPr>
          <w:i/>
          <w:color w:val="000000"/>
          <w:sz w:val="16"/>
          <w:lang w:val="es-419"/>
        </w:rPr>
        <w:t>UPOV PRISMA</w:t>
      </w:r>
      <w:r w:rsidR="00A27811" w:rsidRPr="00F72633">
        <w:rPr>
          <w:i/>
          <w:color w:val="000000"/>
          <w:sz w:val="16"/>
          <w:lang w:val="es-419"/>
        </w:rPr>
        <w:t xml:space="preserve"> es una herramienta en línea para ayudar a presentar solicitudes de protección de obtenciones vegetales en las oficinas de los miembros de la Unión participantes. El fondo destinado </w:t>
      </w:r>
      <w:r w:rsidR="000D20D3">
        <w:rPr>
          <w:i/>
          <w:color w:val="000000"/>
          <w:sz w:val="16"/>
          <w:lang w:val="es-419"/>
        </w:rPr>
        <w:t>UPOV PRISMA</w:t>
      </w:r>
      <w:r w:rsidR="00A27811" w:rsidRPr="00F72633">
        <w:rPr>
          <w:i/>
          <w:color w:val="000000"/>
          <w:sz w:val="16"/>
          <w:lang w:val="es-419"/>
        </w:rPr>
        <w:t xml:space="preserve"> es una contribución a cargo del Naktuinbouw (Países Bajos) para apoyar el desarrollo de </w:t>
      </w:r>
      <w:r w:rsidR="000D20D3">
        <w:rPr>
          <w:i/>
          <w:color w:val="000000"/>
          <w:sz w:val="16"/>
          <w:lang w:val="es-419"/>
        </w:rPr>
        <w:t>UPOV PRISMA</w:t>
      </w:r>
      <w:r w:rsidR="00A27811" w:rsidRPr="00F72633">
        <w:rPr>
          <w:i/>
          <w:color w:val="000000"/>
          <w:sz w:val="16"/>
          <w:lang w:val="es-419"/>
        </w:rPr>
        <w:t>.</w:t>
      </w:r>
    </w:p>
    <w:p w14:paraId="45952FC1" w14:textId="77777777" w:rsidR="001645C8" w:rsidRPr="00F72633" w:rsidRDefault="001645C8" w:rsidP="004120AB">
      <w:pPr>
        <w:rPr>
          <w:lang w:val="es-419"/>
        </w:rPr>
      </w:pPr>
    </w:p>
    <w:p w14:paraId="0755E2C6" w14:textId="7A05FE82" w:rsidR="001645C8" w:rsidRPr="00F72633" w:rsidRDefault="001645C8" w:rsidP="004120AB">
      <w:pPr>
        <w:rPr>
          <w:lang w:val="es-419"/>
        </w:rPr>
      </w:pPr>
    </w:p>
    <w:p w14:paraId="04E96960" w14:textId="2A7C777E" w:rsidR="001645C8" w:rsidRPr="00F72633" w:rsidRDefault="00BC1F0A" w:rsidP="00BC1F0A">
      <w:pPr>
        <w:jc w:val="center"/>
        <w:rPr>
          <w:lang w:val="es-419"/>
        </w:rPr>
      </w:pPr>
      <w:r w:rsidRPr="00F72633">
        <w:rPr>
          <w:noProof/>
          <w:lang w:eastAsia="en-US"/>
        </w:rPr>
        <w:drawing>
          <wp:inline distT="0" distB="0" distL="0" distR="0" wp14:anchorId="45F811F2" wp14:editId="0EEEC4A4">
            <wp:extent cx="3826933" cy="2236564"/>
            <wp:effectExtent l="0" t="0" r="254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36480" cy="2242144"/>
                    </a:xfrm>
                    <a:prstGeom prst="rect">
                      <a:avLst/>
                    </a:prstGeom>
                    <a:noFill/>
                    <a:ln>
                      <a:noFill/>
                    </a:ln>
                  </pic:spPr>
                </pic:pic>
              </a:graphicData>
            </a:graphic>
          </wp:inline>
        </w:drawing>
      </w:r>
    </w:p>
    <w:p w14:paraId="7D8222ED" w14:textId="77777777" w:rsidR="001645C8" w:rsidRPr="00F72633" w:rsidRDefault="001645C8" w:rsidP="001645C8">
      <w:pPr>
        <w:rPr>
          <w:lang w:val="es-419" w:eastAsia="en-US"/>
        </w:rPr>
      </w:pPr>
    </w:p>
    <w:p w14:paraId="0482CF3E" w14:textId="708DF0C3" w:rsidR="001645C8" w:rsidRPr="00F72633" w:rsidRDefault="001645C8" w:rsidP="001645C8">
      <w:pPr>
        <w:ind w:left="900" w:hanging="630"/>
        <w:rPr>
          <w:i/>
          <w:sz w:val="16"/>
          <w:szCs w:val="18"/>
          <w:lang w:val="es-419"/>
        </w:rPr>
      </w:pPr>
      <w:r w:rsidRPr="00F72633">
        <w:rPr>
          <w:i/>
          <w:iCs/>
          <w:color w:val="000000"/>
          <w:sz w:val="16"/>
          <w:szCs w:val="18"/>
          <w:lang w:val="es-419"/>
        </w:rPr>
        <w:t>Not</w:t>
      </w:r>
      <w:r w:rsidR="0097386F" w:rsidRPr="00F72633">
        <w:rPr>
          <w:i/>
          <w:iCs/>
          <w:color w:val="000000"/>
          <w:sz w:val="16"/>
          <w:szCs w:val="18"/>
          <w:lang w:val="es-419"/>
        </w:rPr>
        <w:t>a</w:t>
      </w:r>
      <w:r w:rsidRPr="00F72633">
        <w:rPr>
          <w:i/>
          <w:iCs/>
          <w:color w:val="000000"/>
          <w:sz w:val="16"/>
          <w:szCs w:val="18"/>
          <w:lang w:val="es-419"/>
        </w:rPr>
        <w:t>:</w:t>
      </w:r>
      <w:r w:rsidRPr="00F72633">
        <w:rPr>
          <w:i/>
          <w:iCs/>
          <w:color w:val="000000"/>
          <w:sz w:val="16"/>
          <w:szCs w:val="18"/>
          <w:lang w:val="es-419"/>
        </w:rPr>
        <w:tab/>
      </w:r>
      <w:r w:rsidR="0097386F" w:rsidRPr="00F72633">
        <w:rPr>
          <w:i/>
          <w:sz w:val="16"/>
          <w:lang w:val="es-419"/>
        </w:rPr>
        <w:t>Fondo extrapresupuestario del Gobierno de los Estados Unidos de América destinado a</w:t>
      </w:r>
      <w:r w:rsidRPr="00F72633">
        <w:rPr>
          <w:i/>
          <w:iCs/>
          <w:color w:val="000000"/>
          <w:sz w:val="16"/>
          <w:szCs w:val="18"/>
          <w:lang w:val="es-419"/>
        </w:rPr>
        <w:t xml:space="preserve"> </w:t>
      </w:r>
      <w:r w:rsidR="0097386F" w:rsidRPr="00F72633">
        <w:rPr>
          <w:i/>
          <w:iCs/>
          <w:color w:val="000000"/>
          <w:sz w:val="16"/>
          <w:szCs w:val="18"/>
          <w:lang w:val="es-419"/>
        </w:rPr>
        <w:t>la educación en materia de protección de la propiedad intelectual en el ámbito de la protección de las obtenciones vegetales.</w:t>
      </w:r>
    </w:p>
    <w:p w14:paraId="29553BCA" w14:textId="77777777" w:rsidR="001645C8" w:rsidRPr="00F72633" w:rsidRDefault="001645C8" w:rsidP="001645C8">
      <w:pPr>
        <w:rPr>
          <w:lang w:val="es-419" w:eastAsia="en-US"/>
        </w:rPr>
      </w:pPr>
    </w:p>
    <w:p w14:paraId="45E38C0D" w14:textId="77777777" w:rsidR="001645C8" w:rsidRPr="00F72633" w:rsidRDefault="001645C8" w:rsidP="001645C8">
      <w:pPr>
        <w:rPr>
          <w:lang w:val="es-419" w:eastAsia="en-US"/>
        </w:rPr>
      </w:pPr>
    </w:p>
    <w:p w14:paraId="108F50FB" w14:textId="63C0FBE4" w:rsidR="003E3C19" w:rsidRPr="00F72633" w:rsidRDefault="003E3C19" w:rsidP="003E3C19">
      <w:pPr>
        <w:rPr>
          <w:lang w:val="es-419" w:eastAsia="en-US"/>
        </w:rPr>
      </w:pPr>
    </w:p>
    <w:p w14:paraId="6522659A" w14:textId="0776D9FC" w:rsidR="003E3C19" w:rsidRPr="00F72633" w:rsidRDefault="003E3C19" w:rsidP="003E3C19">
      <w:pPr>
        <w:jc w:val="right"/>
        <w:rPr>
          <w:lang w:val="es-419" w:eastAsia="en-US"/>
        </w:rPr>
      </w:pPr>
      <w:r w:rsidRPr="00F72633">
        <w:rPr>
          <w:lang w:val="es-419" w:eastAsia="en-US"/>
        </w:rPr>
        <w:t>[</w:t>
      </w:r>
      <w:r w:rsidR="0097386F" w:rsidRPr="00F72633">
        <w:rPr>
          <w:lang w:val="es-419" w:eastAsia="en-US"/>
        </w:rPr>
        <w:t xml:space="preserve">Sigue el </w:t>
      </w:r>
      <w:r w:rsidRPr="00F72633">
        <w:rPr>
          <w:lang w:val="es-419" w:eastAsia="en-US"/>
        </w:rPr>
        <w:t>Anex</w:t>
      </w:r>
      <w:r w:rsidR="0097386F" w:rsidRPr="00F72633">
        <w:rPr>
          <w:lang w:val="es-419" w:eastAsia="en-US"/>
        </w:rPr>
        <w:t>o</w:t>
      </w:r>
      <w:r w:rsidRPr="00F72633">
        <w:rPr>
          <w:lang w:val="es-419" w:eastAsia="en-US"/>
        </w:rPr>
        <w:t xml:space="preserve"> II]</w:t>
      </w:r>
    </w:p>
    <w:p w14:paraId="73A0BC87" w14:textId="77777777" w:rsidR="003E3C19" w:rsidRPr="00F72633" w:rsidRDefault="003E3C19" w:rsidP="003E3C19">
      <w:pPr>
        <w:rPr>
          <w:lang w:val="es-419" w:eastAsia="en-US"/>
        </w:rPr>
      </w:pPr>
    </w:p>
    <w:p w14:paraId="786D8359" w14:textId="77777777" w:rsidR="003E3C19" w:rsidRPr="00F72633" w:rsidRDefault="003E3C19" w:rsidP="0004663A">
      <w:pPr>
        <w:rPr>
          <w:lang w:val="es-419"/>
        </w:rPr>
        <w:sectPr w:rsidR="003E3C19" w:rsidRPr="00F72633" w:rsidSect="00B904E7">
          <w:headerReference w:type="even" r:id="rId61"/>
          <w:headerReference w:type="default" r:id="rId62"/>
          <w:footerReference w:type="even" r:id="rId63"/>
          <w:footerReference w:type="default" r:id="rId64"/>
          <w:headerReference w:type="first" r:id="rId65"/>
          <w:footerReference w:type="first" r:id="rId66"/>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1C54D45C" w14:textId="6E6AEC3B" w:rsidR="003E3C19" w:rsidRPr="00F72633" w:rsidRDefault="00AC0F6F" w:rsidP="003E3C19">
      <w:pPr>
        <w:pStyle w:val="AnnexTitle"/>
        <w:rPr>
          <w:lang w:val="es-419"/>
        </w:rPr>
      </w:pPr>
      <w:bookmarkStart w:id="47" w:name="_Toc80365158"/>
      <w:bookmarkStart w:id="48" w:name="_Toc143527478"/>
      <w:r w:rsidRPr="00F72633">
        <w:rPr>
          <w:lang w:val="es-419"/>
        </w:rPr>
        <w:lastRenderedPageBreak/>
        <w:t>ANEXO</w:t>
      </w:r>
      <w:r w:rsidR="003E3C19" w:rsidRPr="00F72633">
        <w:rPr>
          <w:lang w:val="es-419"/>
        </w:rPr>
        <w:t xml:space="preserve"> II</w:t>
      </w:r>
      <w:r w:rsidR="003E3C19" w:rsidRPr="00F72633">
        <w:rPr>
          <w:lang w:val="es-419"/>
        </w:rPr>
        <w:tab/>
      </w:r>
      <w:bookmarkStart w:id="49" w:name="_Toc460229928"/>
      <w:bookmarkStart w:id="50" w:name="_Toc522808860"/>
      <w:bookmarkStart w:id="51" w:name="_Toc47539516"/>
      <w:bookmarkEnd w:id="47"/>
      <w:r w:rsidR="00947CE8" w:rsidRPr="00F72633">
        <w:rPr>
          <w:lang w:val="es-419"/>
        </w:rPr>
        <w:t>Fondo de operaciones y contribuciones</w:t>
      </w:r>
      <w:bookmarkEnd w:id="48"/>
    </w:p>
    <w:p w14:paraId="7D639DF7" w14:textId="0D6419B2" w:rsidR="001645C8" w:rsidRPr="00F72633" w:rsidRDefault="00E90AB4" w:rsidP="001645C8">
      <w:pPr>
        <w:pStyle w:val="Heading9"/>
        <w:rPr>
          <w:lang w:val="es-419"/>
        </w:rPr>
      </w:pPr>
      <w:r w:rsidRPr="00F72633">
        <w:rPr>
          <w:lang w:val="es-419"/>
        </w:rPr>
        <w:t>Fondo de operaciones al 31 de diciembre de </w:t>
      </w:r>
      <w:r w:rsidR="001645C8" w:rsidRPr="00F72633">
        <w:rPr>
          <w:lang w:val="es-419"/>
        </w:rPr>
        <w:t>2022</w:t>
      </w:r>
    </w:p>
    <w:p w14:paraId="71B0170C" w14:textId="5D56E4F3" w:rsidR="001645C8" w:rsidRPr="00F72633" w:rsidRDefault="00E90AB4" w:rsidP="001645C8">
      <w:pPr>
        <w:rPr>
          <w:iCs/>
          <w:lang w:val="es-419"/>
        </w:rPr>
      </w:pPr>
      <w:r w:rsidRPr="00F72633">
        <w:rPr>
          <w:lang w:val="es-419"/>
        </w:rPr>
        <w:t>Con arreglo al artículo 4.2 </w:t>
      </w:r>
      <w:r w:rsidR="00275719" w:rsidRPr="00F72633">
        <w:rPr>
          <w:lang w:val="es-419"/>
        </w:rPr>
        <w:t xml:space="preserve">de su Reglamento Financiero y Reglamentación Financiera (véase el documento UPOV/INF/4/6), la UPOV dispone de un fondo de operaciones. </w:t>
      </w:r>
      <w:r w:rsidR="000E33B2">
        <w:rPr>
          <w:lang w:val="es-419"/>
        </w:rPr>
        <w:t xml:space="preserve"> </w:t>
      </w:r>
      <w:r w:rsidR="00275719" w:rsidRPr="00F72633">
        <w:rPr>
          <w:lang w:val="es-419"/>
        </w:rPr>
        <w:t>Según el estado d</w:t>
      </w:r>
      <w:r w:rsidRPr="00F72633">
        <w:rPr>
          <w:lang w:val="es-419"/>
        </w:rPr>
        <w:t>e la situación financiera al 31 </w:t>
      </w:r>
      <w:r w:rsidR="00275719" w:rsidRPr="00F72633">
        <w:rPr>
          <w:lang w:val="es-419"/>
        </w:rPr>
        <w:t>de diciembre de 2022, el fondo de operaciones asciende a 57</w:t>
      </w:r>
      <w:r w:rsidR="00874D41" w:rsidRPr="00F72633">
        <w:rPr>
          <w:lang w:val="es-419"/>
        </w:rPr>
        <w:t>8 </w:t>
      </w:r>
      <w:r w:rsidR="00275719" w:rsidRPr="00F72633">
        <w:rPr>
          <w:lang w:val="es-419"/>
        </w:rPr>
        <w:t xml:space="preserve">345 francos suizos. </w:t>
      </w:r>
      <w:r w:rsidR="000E33B2">
        <w:rPr>
          <w:lang w:val="es-419"/>
        </w:rPr>
        <w:t xml:space="preserve"> </w:t>
      </w:r>
      <w:r w:rsidR="00275719" w:rsidRPr="00F72633">
        <w:rPr>
          <w:lang w:val="es-419"/>
        </w:rPr>
        <w:t>La participación de cada miembro de la Unión, calculada de conformidad con la decisión adoptad</w:t>
      </w:r>
      <w:r w:rsidR="000E33B2">
        <w:rPr>
          <w:lang w:val="es-419"/>
        </w:rPr>
        <w:t>a por el Consejo en su vigésima </w:t>
      </w:r>
      <w:r w:rsidR="00275719" w:rsidRPr="00F72633">
        <w:rPr>
          <w:lang w:val="es-419"/>
        </w:rPr>
        <w:t>tercera sesión extraord</w:t>
      </w:r>
      <w:r w:rsidRPr="00F72633">
        <w:rPr>
          <w:lang w:val="es-419"/>
        </w:rPr>
        <w:t>inaria, celebrada en Ginebra el 7 de abril de 2006 (véase el párrafo 12, Anexo II, del documento C(Extr.)/23/5 </w:t>
      </w:r>
      <w:r w:rsidR="00275719" w:rsidRPr="00F72633">
        <w:rPr>
          <w:lang w:val="es-419"/>
        </w:rPr>
        <w:t>“Informe” y el Anexo del documento UPOV/INF/13/2), es la siguiente:</w:t>
      </w:r>
    </w:p>
    <w:p w14:paraId="0B710D31" w14:textId="00E59185" w:rsidR="001645C8" w:rsidRPr="00F72633" w:rsidRDefault="001645C8" w:rsidP="001645C8">
      <w:pPr>
        <w:rPr>
          <w:iCs/>
          <w:lang w:val="es-419"/>
        </w:rPr>
      </w:pPr>
    </w:p>
    <w:p w14:paraId="020C5684" w14:textId="0C0D68B8" w:rsidR="003113F3" w:rsidRPr="00F72633" w:rsidRDefault="009A4B09" w:rsidP="003113F3">
      <w:pPr>
        <w:jc w:val="center"/>
        <w:rPr>
          <w:iCs/>
          <w:lang w:val="es-419"/>
        </w:rPr>
      </w:pPr>
      <w:r w:rsidRPr="009A4B09">
        <w:rPr>
          <w:noProof/>
          <w:lang w:eastAsia="en-US"/>
        </w:rPr>
        <w:drawing>
          <wp:inline distT="0" distB="0" distL="0" distR="0" wp14:anchorId="4058B3EA" wp14:editId="77D8B4C4">
            <wp:extent cx="4813200" cy="7592400"/>
            <wp:effectExtent l="0" t="0" r="6985"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813200" cy="7592400"/>
                    </a:xfrm>
                    <a:prstGeom prst="rect">
                      <a:avLst/>
                    </a:prstGeom>
                    <a:noFill/>
                    <a:ln>
                      <a:noFill/>
                    </a:ln>
                  </pic:spPr>
                </pic:pic>
              </a:graphicData>
            </a:graphic>
          </wp:inline>
        </w:drawing>
      </w:r>
    </w:p>
    <w:p w14:paraId="13B2F1D9" w14:textId="77777777" w:rsidR="001645C8" w:rsidRPr="00F72633" w:rsidRDefault="001645C8" w:rsidP="001645C8">
      <w:pPr>
        <w:rPr>
          <w:iCs/>
          <w:lang w:val="es-419"/>
        </w:rPr>
      </w:pPr>
    </w:p>
    <w:p w14:paraId="52F4D797" w14:textId="3C78CD30" w:rsidR="001645C8" w:rsidRPr="00F72633" w:rsidRDefault="00275719" w:rsidP="001645C8">
      <w:pPr>
        <w:pStyle w:val="Heading9"/>
        <w:rPr>
          <w:lang w:val="es-419"/>
        </w:rPr>
      </w:pPr>
      <w:r w:rsidRPr="00F72633">
        <w:rPr>
          <w:lang w:val="es-419"/>
        </w:rPr>
        <w:t>Contribuciones de los miembros de la Unión</w:t>
      </w:r>
    </w:p>
    <w:p w14:paraId="01647226" w14:textId="192A6F62" w:rsidR="004A013B" w:rsidRPr="00F72633" w:rsidRDefault="00926DD6" w:rsidP="00A833A7">
      <w:pPr>
        <w:jc w:val="center"/>
        <w:rPr>
          <w:lang w:val="es-419" w:eastAsia="en-US"/>
        </w:rPr>
      </w:pPr>
      <w:r w:rsidRPr="00926DD6">
        <w:rPr>
          <w:noProof/>
          <w:lang w:eastAsia="en-US"/>
        </w:rPr>
        <w:drawing>
          <wp:inline distT="0" distB="0" distL="0" distR="0" wp14:anchorId="1D9893DB" wp14:editId="50D740B8">
            <wp:extent cx="6120765" cy="7959797"/>
            <wp:effectExtent l="0" t="0" r="0" b="3175"/>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765" cy="7959797"/>
                    </a:xfrm>
                    <a:prstGeom prst="rect">
                      <a:avLst/>
                    </a:prstGeom>
                    <a:noFill/>
                    <a:ln>
                      <a:noFill/>
                    </a:ln>
                  </pic:spPr>
                </pic:pic>
              </a:graphicData>
            </a:graphic>
          </wp:inline>
        </w:drawing>
      </w:r>
    </w:p>
    <w:p w14:paraId="15FF99D2" w14:textId="62C556EB" w:rsidR="001645C8" w:rsidRPr="00F72633" w:rsidRDefault="001645C8" w:rsidP="001645C8">
      <w:pPr>
        <w:rPr>
          <w:lang w:val="es-419" w:eastAsia="en-US"/>
        </w:rPr>
      </w:pPr>
    </w:p>
    <w:p w14:paraId="17066851" w14:textId="5A02D40D" w:rsidR="001645C8" w:rsidRPr="00F72633" w:rsidRDefault="001645C8" w:rsidP="001645C8">
      <w:pPr>
        <w:rPr>
          <w:lang w:val="es-419" w:eastAsia="en-US"/>
        </w:rPr>
      </w:pPr>
    </w:p>
    <w:p w14:paraId="710FE61F" w14:textId="77777777" w:rsidR="004120AB" w:rsidRPr="00F72633" w:rsidRDefault="004120AB">
      <w:pPr>
        <w:jc w:val="left"/>
        <w:rPr>
          <w:rFonts w:eastAsia="Times New Roman"/>
          <w:b/>
          <w:bCs/>
          <w:iCs/>
          <w:color w:val="155F1A"/>
          <w:szCs w:val="28"/>
          <w:lang w:val="es-419" w:eastAsia="en-US"/>
        </w:rPr>
      </w:pPr>
      <w:r w:rsidRPr="00F72633">
        <w:rPr>
          <w:lang w:val="es-419"/>
        </w:rPr>
        <w:br w:type="page"/>
      </w:r>
    </w:p>
    <w:p w14:paraId="027789C8" w14:textId="144EA8D9" w:rsidR="001645C8" w:rsidRPr="00F72633" w:rsidRDefault="00275719" w:rsidP="001645C8">
      <w:pPr>
        <w:pStyle w:val="Heading9"/>
        <w:rPr>
          <w:lang w:val="es-419"/>
        </w:rPr>
      </w:pPr>
      <w:r w:rsidRPr="00F72633">
        <w:rPr>
          <w:lang w:val="es-419"/>
        </w:rPr>
        <w:lastRenderedPageBreak/>
        <w:t>Contribuciones percibidas por anticipado</w:t>
      </w:r>
    </w:p>
    <w:p w14:paraId="28B0598F" w14:textId="4574AEF7" w:rsidR="00A833A7" w:rsidRPr="00F72633" w:rsidRDefault="00A833A7" w:rsidP="00A833A7">
      <w:pPr>
        <w:jc w:val="center"/>
        <w:rPr>
          <w:lang w:val="es-419" w:eastAsia="en-US"/>
        </w:rPr>
      </w:pPr>
      <w:r w:rsidRPr="00F72633">
        <w:rPr>
          <w:noProof/>
          <w:lang w:eastAsia="en-US"/>
        </w:rPr>
        <w:drawing>
          <wp:inline distT="0" distB="0" distL="0" distR="0" wp14:anchorId="2184746B" wp14:editId="1369F318">
            <wp:extent cx="2908300" cy="3653448"/>
            <wp:effectExtent l="0" t="0" r="6350" b="4445"/>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912710" cy="3658987"/>
                    </a:xfrm>
                    <a:prstGeom prst="rect">
                      <a:avLst/>
                    </a:prstGeom>
                    <a:noFill/>
                    <a:ln>
                      <a:noFill/>
                    </a:ln>
                  </pic:spPr>
                </pic:pic>
              </a:graphicData>
            </a:graphic>
          </wp:inline>
        </w:drawing>
      </w:r>
    </w:p>
    <w:p w14:paraId="3EED7840" w14:textId="34C3329E" w:rsidR="001645C8" w:rsidRPr="00F72633" w:rsidRDefault="001645C8" w:rsidP="001645C8">
      <w:pPr>
        <w:jc w:val="center"/>
        <w:rPr>
          <w:lang w:val="es-419" w:eastAsia="en-US"/>
        </w:rPr>
      </w:pPr>
    </w:p>
    <w:p w14:paraId="372B0ABE" w14:textId="77777777" w:rsidR="001645C8" w:rsidRPr="00F72633" w:rsidRDefault="001645C8" w:rsidP="001645C8">
      <w:pPr>
        <w:rPr>
          <w:lang w:val="es-419" w:eastAsia="en-US"/>
        </w:rPr>
      </w:pPr>
    </w:p>
    <w:p w14:paraId="0947DD30" w14:textId="77777777" w:rsidR="001645C8" w:rsidRPr="00F72633" w:rsidRDefault="001645C8" w:rsidP="001645C8">
      <w:pPr>
        <w:rPr>
          <w:lang w:val="es-419" w:eastAsia="en-US"/>
        </w:rPr>
      </w:pPr>
    </w:p>
    <w:p w14:paraId="24FD3CD3" w14:textId="77777777" w:rsidR="001645C8" w:rsidRPr="00F72633" w:rsidRDefault="001645C8" w:rsidP="001645C8">
      <w:pPr>
        <w:rPr>
          <w:lang w:val="es-419" w:eastAsia="en-US"/>
        </w:rPr>
      </w:pPr>
    </w:p>
    <w:p w14:paraId="221341F2" w14:textId="77777777" w:rsidR="001645C8" w:rsidRPr="00F72633" w:rsidRDefault="001645C8" w:rsidP="001645C8">
      <w:pPr>
        <w:jc w:val="left"/>
        <w:rPr>
          <w:rFonts w:eastAsia="Times New Roman"/>
          <w:b/>
          <w:bCs/>
          <w:iCs/>
          <w:color w:val="155F1A"/>
          <w:szCs w:val="28"/>
          <w:lang w:val="es-419" w:eastAsia="en-US"/>
        </w:rPr>
      </w:pPr>
      <w:r w:rsidRPr="00F72633">
        <w:rPr>
          <w:lang w:val="es-419"/>
        </w:rPr>
        <w:br w:type="page"/>
      </w:r>
    </w:p>
    <w:p w14:paraId="7698D16B" w14:textId="07177BE6" w:rsidR="006C7717" w:rsidRPr="00F72633" w:rsidRDefault="00275719" w:rsidP="00D118B2">
      <w:pPr>
        <w:spacing w:after="240"/>
        <w:rPr>
          <w:rFonts w:eastAsia="Times New Roman"/>
          <w:b/>
          <w:bCs/>
          <w:iCs/>
          <w:color w:val="155F1A"/>
          <w:szCs w:val="28"/>
          <w:lang w:val="es-419" w:eastAsia="en-US"/>
        </w:rPr>
      </w:pPr>
      <w:r w:rsidRPr="00F72633">
        <w:rPr>
          <w:rFonts w:eastAsia="Times New Roman"/>
          <w:b/>
          <w:bCs/>
          <w:iCs/>
          <w:color w:val="155F1A"/>
          <w:szCs w:val="28"/>
          <w:lang w:val="es-419" w:eastAsia="en-US"/>
        </w:rPr>
        <w:lastRenderedPageBreak/>
        <w:t>Importes de las contribuciones adeudadas y de la participación en el fondo de oper</w:t>
      </w:r>
      <w:r w:rsidR="00804B40" w:rsidRPr="00F72633">
        <w:rPr>
          <w:rFonts w:eastAsia="Times New Roman"/>
          <w:b/>
          <w:bCs/>
          <w:iCs/>
          <w:color w:val="155F1A"/>
          <w:szCs w:val="28"/>
          <w:lang w:val="es-419" w:eastAsia="en-US"/>
        </w:rPr>
        <w:t>aciones pendiente de pago al 31 </w:t>
      </w:r>
      <w:r w:rsidRPr="00F72633">
        <w:rPr>
          <w:rFonts w:eastAsia="Times New Roman"/>
          <w:b/>
          <w:bCs/>
          <w:iCs/>
          <w:color w:val="155F1A"/>
          <w:szCs w:val="28"/>
          <w:lang w:val="es-419" w:eastAsia="en-US"/>
        </w:rPr>
        <w:t>de diciembre de</w:t>
      </w:r>
      <w:r w:rsidR="00804B40" w:rsidRPr="00F72633">
        <w:rPr>
          <w:rFonts w:eastAsia="Times New Roman"/>
          <w:b/>
          <w:bCs/>
          <w:iCs/>
          <w:color w:val="155F1A"/>
          <w:szCs w:val="28"/>
          <w:lang w:val="es-419" w:eastAsia="en-US"/>
        </w:rPr>
        <w:t> </w:t>
      </w:r>
      <w:r w:rsidR="0036135E" w:rsidRPr="00F72633">
        <w:rPr>
          <w:rFonts w:eastAsia="Times New Roman"/>
          <w:b/>
          <w:bCs/>
          <w:iCs/>
          <w:color w:val="155F1A"/>
          <w:szCs w:val="28"/>
          <w:lang w:val="es-419" w:eastAsia="en-US"/>
        </w:rPr>
        <w:t>2022</w:t>
      </w:r>
    </w:p>
    <w:p w14:paraId="3B2E4986" w14:textId="4D6250E5" w:rsidR="001645C8" w:rsidRPr="00F72633" w:rsidRDefault="00D118B2" w:rsidP="00AB3C48">
      <w:pPr>
        <w:spacing w:after="240"/>
        <w:jc w:val="right"/>
        <w:rPr>
          <w:rFonts w:eastAsia="Times New Roman"/>
          <w:b/>
          <w:bCs/>
          <w:iCs/>
          <w:color w:val="155F1A"/>
          <w:szCs w:val="28"/>
          <w:lang w:val="es-419" w:eastAsia="en-US"/>
        </w:rPr>
      </w:pPr>
      <w:r w:rsidRPr="00D118B2">
        <w:rPr>
          <w:noProof/>
          <w:lang w:eastAsia="en-US"/>
        </w:rPr>
        <w:drawing>
          <wp:inline distT="0" distB="0" distL="0" distR="0" wp14:anchorId="41EFE346" wp14:editId="53DC22CB">
            <wp:extent cx="6120765" cy="7644674"/>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765" cy="7644674"/>
                    </a:xfrm>
                    <a:prstGeom prst="rect">
                      <a:avLst/>
                    </a:prstGeom>
                    <a:noFill/>
                    <a:ln>
                      <a:noFill/>
                    </a:ln>
                  </pic:spPr>
                </pic:pic>
              </a:graphicData>
            </a:graphic>
          </wp:inline>
        </w:drawing>
      </w:r>
    </w:p>
    <w:p w14:paraId="7D8E02E8" w14:textId="77777777" w:rsidR="001645C8" w:rsidRPr="00F72633" w:rsidRDefault="001645C8" w:rsidP="001645C8">
      <w:pPr>
        <w:rPr>
          <w:lang w:val="es-419" w:eastAsia="en-US"/>
        </w:rPr>
      </w:pPr>
    </w:p>
    <w:p w14:paraId="4C12733E" w14:textId="77777777" w:rsidR="003E3C19" w:rsidRPr="00F72633" w:rsidRDefault="003E3C19" w:rsidP="003E3C19">
      <w:pPr>
        <w:rPr>
          <w:lang w:val="es-419" w:eastAsia="en-US"/>
        </w:rPr>
      </w:pPr>
    </w:p>
    <w:bookmarkEnd w:id="49"/>
    <w:bookmarkEnd w:id="50"/>
    <w:bookmarkEnd w:id="51"/>
    <w:p w14:paraId="7ADC0030" w14:textId="70FF295C" w:rsidR="003E3C19" w:rsidRPr="00F72633" w:rsidRDefault="003E3C19" w:rsidP="003E3C19">
      <w:pPr>
        <w:jc w:val="right"/>
        <w:rPr>
          <w:lang w:val="es-419" w:eastAsia="en-US"/>
        </w:rPr>
      </w:pPr>
      <w:r w:rsidRPr="00F72633">
        <w:rPr>
          <w:lang w:val="es-419" w:eastAsia="en-US"/>
        </w:rPr>
        <w:t>[</w:t>
      </w:r>
      <w:r w:rsidR="001479C8" w:rsidRPr="00F72633">
        <w:rPr>
          <w:lang w:val="es-419" w:eastAsia="en-US"/>
        </w:rPr>
        <w:t>Sigue el An</w:t>
      </w:r>
      <w:r w:rsidRPr="00F72633">
        <w:rPr>
          <w:lang w:val="es-419" w:eastAsia="en-US"/>
        </w:rPr>
        <w:t>ex</w:t>
      </w:r>
      <w:r w:rsidR="001479C8" w:rsidRPr="00F72633">
        <w:rPr>
          <w:lang w:val="es-419" w:eastAsia="en-US"/>
        </w:rPr>
        <w:t>o</w:t>
      </w:r>
      <w:r w:rsidRPr="00F72633">
        <w:rPr>
          <w:lang w:val="es-419" w:eastAsia="en-US"/>
        </w:rPr>
        <w:t xml:space="preserve"> III]</w:t>
      </w:r>
    </w:p>
    <w:p w14:paraId="65003C81" w14:textId="77777777" w:rsidR="003E3C19" w:rsidRPr="00F72633" w:rsidRDefault="003E3C19" w:rsidP="003E3C19">
      <w:pPr>
        <w:rPr>
          <w:lang w:val="es-419" w:eastAsia="en-US"/>
        </w:rPr>
      </w:pPr>
    </w:p>
    <w:p w14:paraId="551DFF7F" w14:textId="77777777" w:rsidR="003E3C19" w:rsidRPr="00F72633" w:rsidRDefault="003E3C19" w:rsidP="0004663A">
      <w:pPr>
        <w:rPr>
          <w:lang w:val="es-419"/>
        </w:rPr>
        <w:sectPr w:rsidR="003E3C19" w:rsidRPr="00F72633" w:rsidSect="00B904E7">
          <w:headerReference w:type="even" r:id="rId71"/>
          <w:headerReference w:type="default" r:id="rId72"/>
          <w:footerReference w:type="even" r:id="rId73"/>
          <w:footerReference w:type="default" r:id="rId74"/>
          <w:headerReference w:type="first" r:id="rId75"/>
          <w:footerReference w:type="first" r:id="rId76"/>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7ADF94C8" w14:textId="66C1154E" w:rsidR="003E3C19" w:rsidRPr="00F72633" w:rsidRDefault="00AC0F6F" w:rsidP="003E3C19">
      <w:pPr>
        <w:pStyle w:val="AnnexTitle"/>
        <w:rPr>
          <w:lang w:val="es-419"/>
        </w:rPr>
      </w:pPr>
      <w:bookmarkStart w:id="52" w:name="_Toc143527479"/>
      <w:r w:rsidRPr="00F72633">
        <w:rPr>
          <w:lang w:val="es-419"/>
        </w:rPr>
        <w:lastRenderedPageBreak/>
        <w:t>ANEXO</w:t>
      </w:r>
      <w:r w:rsidR="003E3C19" w:rsidRPr="00F72633">
        <w:rPr>
          <w:lang w:val="es-419"/>
        </w:rPr>
        <w:t xml:space="preserve"> III</w:t>
      </w:r>
      <w:r w:rsidR="003E3C19" w:rsidRPr="00F72633">
        <w:rPr>
          <w:lang w:val="es-419"/>
        </w:rPr>
        <w:tab/>
      </w:r>
      <w:r w:rsidR="00947CE8" w:rsidRPr="00F72633">
        <w:rPr>
          <w:lang w:val="es-419"/>
        </w:rPr>
        <w:t>Situación en relación con la UPOV</w:t>
      </w:r>
      <w:bookmarkEnd w:id="52"/>
    </w:p>
    <w:p w14:paraId="6E5BC134" w14:textId="550258B4" w:rsidR="001D5C8B" w:rsidRPr="00F72633" w:rsidRDefault="00303720" w:rsidP="001D5C8B">
      <w:pPr>
        <w:rPr>
          <w:rFonts w:asciiTheme="minorHAnsi" w:hAnsiTheme="minorHAnsi" w:cstheme="minorHAnsi"/>
          <w:lang w:val="es-419"/>
        </w:rPr>
      </w:pPr>
      <w:r w:rsidRPr="00F72633">
        <w:rPr>
          <w:rFonts w:asciiTheme="minorHAnsi" w:hAnsiTheme="minorHAnsi"/>
          <w:lang w:val="es-419"/>
        </w:rPr>
        <w:t>En el cuadro siguiente se ofrece información detallada sobre la situación en relación con la UPOV.</w:t>
      </w:r>
    </w:p>
    <w:p w14:paraId="510FCE2B" w14:textId="77777777" w:rsidR="001D5C8B" w:rsidRPr="00F72633" w:rsidRDefault="001D5C8B" w:rsidP="001D5C8B">
      <w:pPr>
        <w:rPr>
          <w:rFonts w:asciiTheme="minorHAnsi" w:hAnsiTheme="minorHAnsi" w:cstheme="minorHAnsi"/>
          <w:lang w:val="es-419"/>
        </w:rPr>
      </w:pPr>
    </w:p>
    <w:p w14:paraId="5A71DC56" w14:textId="77777777" w:rsidR="00990489" w:rsidRPr="00F72633" w:rsidRDefault="00990489" w:rsidP="00990489">
      <w:pPr>
        <w:pStyle w:val="BodyText"/>
        <w:spacing w:after="120"/>
        <w:jc w:val="center"/>
        <w:rPr>
          <w:b/>
          <w:lang w:val="es-419"/>
        </w:rPr>
        <w:sectPr w:rsidR="00990489" w:rsidRPr="00F72633" w:rsidSect="00DD1FF6">
          <w:headerReference w:type="even" r:id="rId77"/>
          <w:headerReference w:type="default" r:id="rId78"/>
          <w:footerReference w:type="even" r:id="rId79"/>
          <w:footerReference w:type="default" r:id="rId80"/>
          <w:footerReference w:type="first" r:id="rId81"/>
          <w:pgSz w:w="11907" w:h="16840" w:code="9"/>
          <w:pgMar w:top="510" w:right="1134" w:bottom="1134" w:left="1134" w:header="510" w:footer="680" w:gutter="0"/>
          <w:cols w:space="720"/>
          <w:titlePg/>
        </w:sectPr>
      </w:pPr>
      <w:r w:rsidRPr="00F72633">
        <w:rPr>
          <w:b/>
          <w:lang w:val="es-419"/>
        </w:rPr>
        <w:t>Miembros de la UPOV</w:t>
      </w:r>
    </w:p>
    <w:p w14:paraId="5D1EAF00" w14:textId="77777777" w:rsidR="00990489" w:rsidRPr="00F72633" w:rsidRDefault="00990489" w:rsidP="00990489">
      <w:pPr>
        <w:spacing w:before="40"/>
        <w:jc w:val="left"/>
        <w:rPr>
          <w:sz w:val="16"/>
          <w:szCs w:val="16"/>
          <w:lang w:val="es-419"/>
        </w:rPr>
      </w:pPr>
      <w:r w:rsidRPr="00F72633">
        <w:rPr>
          <w:sz w:val="16"/>
          <w:lang w:val="es-419"/>
        </w:rPr>
        <w:t>Albania</w:t>
      </w:r>
      <w:r w:rsidRPr="00F72633">
        <w:rPr>
          <w:sz w:val="16"/>
          <w:vertAlign w:val="superscript"/>
          <w:lang w:val="es-419"/>
        </w:rPr>
        <w:t>2</w:t>
      </w:r>
    </w:p>
    <w:p w14:paraId="7D2C7215" w14:textId="77777777" w:rsidR="00990489" w:rsidRPr="00F72633" w:rsidRDefault="00990489" w:rsidP="00990489">
      <w:pPr>
        <w:spacing w:before="40"/>
        <w:jc w:val="left"/>
        <w:rPr>
          <w:sz w:val="16"/>
          <w:szCs w:val="16"/>
          <w:lang w:val="es-419"/>
        </w:rPr>
      </w:pPr>
      <w:r w:rsidRPr="00F72633">
        <w:rPr>
          <w:sz w:val="16"/>
          <w:lang w:val="es-419"/>
        </w:rPr>
        <w:t>Alemania</w:t>
      </w:r>
      <w:r w:rsidRPr="00F72633">
        <w:rPr>
          <w:rStyle w:val="FootnoteReference"/>
          <w:sz w:val="16"/>
          <w:lang w:val="es-419"/>
        </w:rPr>
        <w:t>2</w:t>
      </w:r>
    </w:p>
    <w:p w14:paraId="2D217CBA" w14:textId="77777777" w:rsidR="00990489" w:rsidRPr="00F72633" w:rsidRDefault="00990489" w:rsidP="00990489">
      <w:pPr>
        <w:spacing w:before="40"/>
        <w:jc w:val="left"/>
        <w:rPr>
          <w:sz w:val="16"/>
          <w:szCs w:val="16"/>
          <w:lang w:val="es-419"/>
        </w:rPr>
      </w:pPr>
      <w:r w:rsidRPr="00F72633">
        <w:rPr>
          <w:sz w:val="16"/>
          <w:lang w:val="es-419"/>
        </w:rPr>
        <w:t>Argentina</w:t>
      </w:r>
      <w:r w:rsidRPr="00F72633">
        <w:rPr>
          <w:rStyle w:val="FootnoteReference"/>
          <w:sz w:val="16"/>
          <w:lang w:val="es-419"/>
        </w:rPr>
        <w:t>1</w:t>
      </w:r>
    </w:p>
    <w:p w14:paraId="78BAB107" w14:textId="77777777" w:rsidR="00990489" w:rsidRPr="00F72633" w:rsidRDefault="00990489" w:rsidP="00990489">
      <w:pPr>
        <w:spacing w:before="40"/>
        <w:jc w:val="left"/>
        <w:rPr>
          <w:sz w:val="16"/>
          <w:szCs w:val="16"/>
          <w:lang w:val="es-419"/>
        </w:rPr>
      </w:pPr>
      <w:r w:rsidRPr="00F72633">
        <w:rPr>
          <w:sz w:val="16"/>
          <w:lang w:val="es-419"/>
        </w:rPr>
        <w:t>Australia</w:t>
      </w:r>
      <w:r w:rsidRPr="00F72633">
        <w:rPr>
          <w:sz w:val="16"/>
          <w:vertAlign w:val="superscript"/>
          <w:lang w:val="es-419"/>
        </w:rPr>
        <w:t>2</w:t>
      </w:r>
    </w:p>
    <w:p w14:paraId="2D2641FF" w14:textId="77777777" w:rsidR="00990489" w:rsidRPr="00F72633" w:rsidRDefault="00990489" w:rsidP="00990489">
      <w:pPr>
        <w:spacing w:before="40"/>
        <w:jc w:val="left"/>
        <w:rPr>
          <w:sz w:val="16"/>
          <w:szCs w:val="16"/>
          <w:lang w:val="es-419"/>
        </w:rPr>
      </w:pPr>
      <w:r w:rsidRPr="00F72633">
        <w:rPr>
          <w:sz w:val="16"/>
          <w:lang w:val="es-419"/>
        </w:rPr>
        <w:t>Austria</w:t>
      </w:r>
      <w:r w:rsidRPr="00F72633">
        <w:rPr>
          <w:rStyle w:val="FootnoteReference"/>
          <w:sz w:val="16"/>
          <w:lang w:val="es-419"/>
        </w:rPr>
        <w:t>2</w:t>
      </w:r>
    </w:p>
    <w:p w14:paraId="2FBE8F35" w14:textId="77777777" w:rsidR="00990489" w:rsidRPr="00F72633" w:rsidRDefault="00990489" w:rsidP="00990489">
      <w:pPr>
        <w:spacing w:before="40"/>
        <w:jc w:val="left"/>
        <w:rPr>
          <w:sz w:val="16"/>
          <w:szCs w:val="16"/>
          <w:lang w:val="es-419"/>
        </w:rPr>
      </w:pPr>
      <w:r w:rsidRPr="00F72633">
        <w:rPr>
          <w:sz w:val="16"/>
          <w:lang w:val="es-419"/>
        </w:rPr>
        <w:t>Azerbaiyán</w:t>
      </w:r>
      <w:r w:rsidRPr="00F72633">
        <w:rPr>
          <w:sz w:val="16"/>
          <w:vertAlign w:val="superscript"/>
          <w:lang w:val="es-419"/>
        </w:rPr>
        <w:t>2</w:t>
      </w:r>
    </w:p>
    <w:p w14:paraId="3C88A73E" w14:textId="77777777" w:rsidR="00990489" w:rsidRPr="00F72633" w:rsidRDefault="00990489" w:rsidP="00990489">
      <w:pPr>
        <w:spacing w:before="40"/>
        <w:jc w:val="left"/>
        <w:rPr>
          <w:sz w:val="16"/>
          <w:szCs w:val="16"/>
          <w:lang w:val="es-419"/>
        </w:rPr>
      </w:pPr>
      <w:r w:rsidRPr="00F72633">
        <w:rPr>
          <w:sz w:val="16"/>
          <w:lang w:val="es-419"/>
        </w:rPr>
        <w:t>Belarús</w:t>
      </w:r>
      <w:r w:rsidRPr="00F72633">
        <w:rPr>
          <w:sz w:val="16"/>
          <w:vertAlign w:val="superscript"/>
          <w:lang w:val="es-419"/>
        </w:rPr>
        <w:t>2</w:t>
      </w:r>
    </w:p>
    <w:p w14:paraId="6184B7D5" w14:textId="77777777" w:rsidR="00990489" w:rsidRPr="00F72633" w:rsidRDefault="00990489" w:rsidP="00990489">
      <w:pPr>
        <w:spacing w:before="40"/>
        <w:jc w:val="left"/>
        <w:rPr>
          <w:sz w:val="16"/>
          <w:szCs w:val="16"/>
          <w:vertAlign w:val="superscript"/>
          <w:lang w:val="es-419"/>
        </w:rPr>
      </w:pPr>
      <w:r w:rsidRPr="00F72633">
        <w:rPr>
          <w:sz w:val="16"/>
          <w:lang w:val="es-419"/>
        </w:rPr>
        <w:t>Bélgica</w:t>
      </w:r>
      <w:r w:rsidRPr="00F72633">
        <w:rPr>
          <w:rStyle w:val="FootnoteReference"/>
          <w:sz w:val="16"/>
          <w:lang w:val="es-419"/>
        </w:rPr>
        <w:t>2</w:t>
      </w:r>
    </w:p>
    <w:p w14:paraId="3B8D5D11" w14:textId="77777777" w:rsidR="00990489" w:rsidRPr="00F72633" w:rsidRDefault="00990489" w:rsidP="00990489">
      <w:pPr>
        <w:spacing w:before="40"/>
        <w:ind w:left="28" w:hanging="28"/>
        <w:jc w:val="left"/>
        <w:rPr>
          <w:sz w:val="16"/>
          <w:szCs w:val="16"/>
          <w:vertAlign w:val="superscript"/>
          <w:lang w:val="es-419"/>
        </w:rPr>
      </w:pPr>
      <w:r w:rsidRPr="00F72633">
        <w:rPr>
          <w:sz w:val="16"/>
          <w:lang w:val="es-419"/>
        </w:rPr>
        <w:t>Bolivia (Estado Plurinacional de)</w:t>
      </w:r>
      <w:r w:rsidRPr="00F72633">
        <w:rPr>
          <w:sz w:val="16"/>
          <w:vertAlign w:val="superscript"/>
          <w:lang w:val="es-419"/>
        </w:rPr>
        <w:t>1</w:t>
      </w:r>
    </w:p>
    <w:p w14:paraId="3938243A" w14:textId="77777777" w:rsidR="00990489" w:rsidRPr="00F72633" w:rsidRDefault="00990489" w:rsidP="00990489">
      <w:pPr>
        <w:spacing w:before="40"/>
        <w:ind w:left="28" w:hanging="28"/>
        <w:jc w:val="left"/>
        <w:rPr>
          <w:sz w:val="16"/>
          <w:szCs w:val="16"/>
          <w:lang w:val="es-419"/>
        </w:rPr>
      </w:pPr>
      <w:r w:rsidRPr="00F72633">
        <w:rPr>
          <w:sz w:val="16"/>
          <w:lang w:val="es-419"/>
        </w:rPr>
        <w:t>Bosnia y Herzegovina</w:t>
      </w:r>
      <w:r w:rsidRPr="00F72633">
        <w:rPr>
          <w:sz w:val="16"/>
          <w:vertAlign w:val="superscript"/>
          <w:lang w:val="es-419"/>
        </w:rPr>
        <w:t>2</w:t>
      </w:r>
    </w:p>
    <w:p w14:paraId="39D290C0" w14:textId="77777777" w:rsidR="00990489" w:rsidRPr="00F72633" w:rsidRDefault="00990489" w:rsidP="00990489">
      <w:pPr>
        <w:spacing w:before="40"/>
        <w:jc w:val="left"/>
        <w:rPr>
          <w:sz w:val="16"/>
          <w:szCs w:val="16"/>
          <w:vertAlign w:val="superscript"/>
          <w:lang w:val="es-419"/>
        </w:rPr>
      </w:pPr>
      <w:r w:rsidRPr="00F72633">
        <w:rPr>
          <w:sz w:val="16"/>
          <w:lang w:val="es-419"/>
        </w:rPr>
        <w:t>Brasil</w:t>
      </w:r>
      <w:r w:rsidRPr="00F72633">
        <w:rPr>
          <w:sz w:val="16"/>
          <w:vertAlign w:val="superscript"/>
          <w:lang w:val="es-419"/>
        </w:rPr>
        <w:t>1</w:t>
      </w:r>
    </w:p>
    <w:p w14:paraId="5E07DAC2" w14:textId="77777777" w:rsidR="00990489" w:rsidRPr="00F72633" w:rsidRDefault="00990489" w:rsidP="00990489">
      <w:pPr>
        <w:spacing w:before="40"/>
        <w:jc w:val="left"/>
        <w:rPr>
          <w:sz w:val="16"/>
          <w:szCs w:val="16"/>
          <w:lang w:val="es-419"/>
        </w:rPr>
      </w:pPr>
      <w:r w:rsidRPr="00F72633">
        <w:rPr>
          <w:sz w:val="16"/>
          <w:lang w:val="es-419"/>
        </w:rPr>
        <w:t>Bulgaria</w:t>
      </w:r>
      <w:r w:rsidRPr="00F72633">
        <w:rPr>
          <w:sz w:val="16"/>
          <w:vertAlign w:val="superscript"/>
          <w:lang w:val="es-419"/>
        </w:rPr>
        <w:t>2</w:t>
      </w:r>
    </w:p>
    <w:p w14:paraId="6E60297A" w14:textId="77777777" w:rsidR="00990489" w:rsidRPr="00F72633" w:rsidRDefault="00990489" w:rsidP="00990489">
      <w:pPr>
        <w:spacing w:before="40"/>
        <w:jc w:val="left"/>
        <w:rPr>
          <w:sz w:val="16"/>
          <w:szCs w:val="16"/>
          <w:lang w:val="es-419"/>
        </w:rPr>
      </w:pPr>
      <w:r w:rsidRPr="00F72633">
        <w:rPr>
          <w:sz w:val="16"/>
          <w:lang w:val="es-419"/>
        </w:rPr>
        <w:t>Canadá</w:t>
      </w:r>
      <w:r w:rsidRPr="00F72633">
        <w:rPr>
          <w:rStyle w:val="FootnoteReference"/>
          <w:sz w:val="16"/>
          <w:lang w:val="es-419"/>
        </w:rPr>
        <w:t>2</w:t>
      </w:r>
    </w:p>
    <w:p w14:paraId="7A2427D3" w14:textId="77777777" w:rsidR="00990489" w:rsidRPr="00F72633" w:rsidRDefault="00990489" w:rsidP="00990489">
      <w:pPr>
        <w:spacing w:before="40"/>
        <w:jc w:val="left"/>
        <w:rPr>
          <w:sz w:val="16"/>
          <w:szCs w:val="16"/>
          <w:vertAlign w:val="superscript"/>
          <w:lang w:val="es-419"/>
        </w:rPr>
      </w:pPr>
      <w:r w:rsidRPr="00F72633">
        <w:rPr>
          <w:sz w:val="16"/>
          <w:lang w:val="es-419"/>
        </w:rPr>
        <w:t>Chile</w:t>
      </w:r>
      <w:r w:rsidRPr="00F72633">
        <w:rPr>
          <w:sz w:val="16"/>
          <w:vertAlign w:val="superscript"/>
          <w:lang w:val="es-419"/>
        </w:rPr>
        <w:t>1</w:t>
      </w:r>
    </w:p>
    <w:p w14:paraId="5818C941" w14:textId="77777777" w:rsidR="00990489" w:rsidRPr="00F72633" w:rsidRDefault="00990489" w:rsidP="00990489">
      <w:pPr>
        <w:spacing w:before="40"/>
        <w:jc w:val="left"/>
        <w:rPr>
          <w:sz w:val="16"/>
          <w:szCs w:val="16"/>
          <w:vertAlign w:val="superscript"/>
          <w:lang w:val="es-419"/>
        </w:rPr>
      </w:pPr>
      <w:r w:rsidRPr="00F72633">
        <w:rPr>
          <w:sz w:val="16"/>
          <w:lang w:val="es-419"/>
        </w:rPr>
        <w:t>China</w:t>
      </w:r>
      <w:r w:rsidRPr="00F72633">
        <w:rPr>
          <w:sz w:val="16"/>
          <w:vertAlign w:val="superscript"/>
          <w:lang w:val="es-419"/>
        </w:rPr>
        <w:t>1</w:t>
      </w:r>
    </w:p>
    <w:p w14:paraId="49EDA957" w14:textId="77777777" w:rsidR="00990489" w:rsidRPr="00F72633" w:rsidRDefault="00990489" w:rsidP="00990489">
      <w:pPr>
        <w:spacing w:before="40"/>
        <w:jc w:val="left"/>
        <w:rPr>
          <w:sz w:val="16"/>
          <w:szCs w:val="16"/>
          <w:vertAlign w:val="superscript"/>
          <w:lang w:val="es-419"/>
        </w:rPr>
      </w:pPr>
      <w:r w:rsidRPr="00F72633">
        <w:rPr>
          <w:sz w:val="16"/>
          <w:lang w:val="es-419"/>
        </w:rPr>
        <w:t>Colombia</w:t>
      </w:r>
      <w:r w:rsidRPr="00F72633">
        <w:rPr>
          <w:sz w:val="16"/>
          <w:vertAlign w:val="superscript"/>
          <w:lang w:val="es-419"/>
        </w:rPr>
        <w:t>1</w:t>
      </w:r>
    </w:p>
    <w:p w14:paraId="3D864992" w14:textId="77777777" w:rsidR="00990489" w:rsidRPr="00F72633" w:rsidRDefault="00990489" w:rsidP="00990489">
      <w:pPr>
        <w:spacing w:before="40"/>
        <w:jc w:val="left"/>
        <w:rPr>
          <w:sz w:val="16"/>
          <w:szCs w:val="16"/>
          <w:lang w:val="es-419"/>
        </w:rPr>
      </w:pPr>
      <w:r w:rsidRPr="00F72633">
        <w:rPr>
          <w:sz w:val="16"/>
          <w:lang w:val="es-419"/>
        </w:rPr>
        <w:t>Costa Rica</w:t>
      </w:r>
      <w:r w:rsidRPr="00F72633">
        <w:rPr>
          <w:sz w:val="16"/>
          <w:vertAlign w:val="superscript"/>
          <w:lang w:val="es-419"/>
        </w:rPr>
        <w:t>2</w:t>
      </w:r>
    </w:p>
    <w:p w14:paraId="63C12D25" w14:textId="77777777" w:rsidR="00990489" w:rsidRPr="00F72633" w:rsidRDefault="00990489" w:rsidP="00990489">
      <w:pPr>
        <w:spacing w:before="40"/>
        <w:jc w:val="left"/>
        <w:rPr>
          <w:sz w:val="16"/>
          <w:szCs w:val="16"/>
          <w:vertAlign w:val="superscript"/>
          <w:lang w:val="es-419"/>
        </w:rPr>
      </w:pPr>
      <w:r w:rsidRPr="00F72633">
        <w:rPr>
          <w:sz w:val="16"/>
          <w:lang w:val="es-419"/>
        </w:rPr>
        <w:t>Croacia</w:t>
      </w:r>
      <w:r w:rsidRPr="00F72633">
        <w:rPr>
          <w:sz w:val="16"/>
          <w:vertAlign w:val="superscript"/>
          <w:lang w:val="es-419"/>
        </w:rPr>
        <w:t>2</w:t>
      </w:r>
    </w:p>
    <w:p w14:paraId="04EDCCBF" w14:textId="77777777" w:rsidR="00990489" w:rsidRPr="00F72633" w:rsidRDefault="00990489" w:rsidP="00990489">
      <w:pPr>
        <w:spacing w:before="40"/>
        <w:jc w:val="left"/>
        <w:rPr>
          <w:sz w:val="16"/>
          <w:szCs w:val="16"/>
          <w:lang w:val="es-419"/>
        </w:rPr>
      </w:pPr>
      <w:r w:rsidRPr="00F72633">
        <w:rPr>
          <w:sz w:val="16"/>
          <w:lang w:val="es-419"/>
        </w:rPr>
        <w:t>Dinamarca</w:t>
      </w:r>
      <w:r w:rsidRPr="00F72633">
        <w:rPr>
          <w:rStyle w:val="FootnoteReference"/>
          <w:sz w:val="16"/>
          <w:lang w:val="es-419"/>
        </w:rPr>
        <w:t>2</w:t>
      </w:r>
    </w:p>
    <w:p w14:paraId="31D468DF" w14:textId="77777777" w:rsidR="00990489" w:rsidRPr="00F72633" w:rsidRDefault="00990489" w:rsidP="00990489">
      <w:pPr>
        <w:spacing w:before="40"/>
        <w:jc w:val="left"/>
        <w:rPr>
          <w:sz w:val="16"/>
          <w:szCs w:val="16"/>
          <w:vertAlign w:val="superscript"/>
          <w:lang w:val="es-419"/>
        </w:rPr>
      </w:pPr>
      <w:r w:rsidRPr="00F72633">
        <w:rPr>
          <w:sz w:val="16"/>
          <w:lang w:val="es-419"/>
        </w:rPr>
        <w:t>Ecuador</w:t>
      </w:r>
      <w:r w:rsidRPr="00F72633">
        <w:rPr>
          <w:sz w:val="16"/>
          <w:vertAlign w:val="superscript"/>
          <w:lang w:val="es-419"/>
        </w:rPr>
        <w:t>1</w:t>
      </w:r>
    </w:p>
    <w:p w14:paraId="3CC7F04E" w14:textId="77777777" w:rsidR="00990489" w:rsidRPr="00F72633" w:rsidRDefault="00990489" w:rsidP="00990489">
      <w:pPr>
        <w:spacing w:before="40"/>
        <w:jc w:val="left"/>
        <w:rPr>
          <w:sz w:val="16"/>
          <w:szCs w:val="16"/>
          <w:lang w:val="es-419"/>
        </w:rPr>
      </w:pPr>
      <w:r w:rsidRPr="00F72633">
        <w:rPr>
          <w:sz w:val="16"/>
          <w:lang w:val="es-419"/>
        </w:rPr>
        <w:t>Egipto</w:t>
      </w:r>
      <w:r w:rsidRPr="00F72633">
        <w:rPr>
          <w:sz w:val="16"/>
          <w:vertAlign w:val="superscript"/>
          <w:lang w:val="es-419"/>
        </w:rPr>
        <w:t>2</w:t>
      </w:r>
    </w:p>
    <w:p w14:paraId="5D5AAA24" w14:textId="77777777" w:rsidR="00990489" w:rsidRPr="00F72633" w:rsidRDefault="00990489" w:rsidP="00990489">
      <w:pPr>
        <w:spacing w:before="40"/>
        <w:jc w:val="left"/>
        <w:rPr>
          <w:sz w:val="16"/>
          <w:szCs w:val="16"/>
          <w:vertAlign w:val="superscript"/>
          <w:lang w:val="es-419"/>
        </w:rPr>
      </w:pPr>
      <w:r w:rsidRPr="00F72633">
        <w:rPr>
          <w:sz w:val="16"/>
          <w:lang w:val="es-419"/>
        </w:rPr>
        <w:t>Eslovaquia</w:t>
      </w:r>
      <w:r w:rsidRPr="00F72633">
        <w:rPr>
          <w:sz w:val="16"/>
          <w:vertAlign w:val="superscript"/>
          <w:lang w:val="es-419"/>
        </w:rPr>
        <w:t>2</w:t>
      </w:r>
    </w:p>
    <w:p w14:paraId="7A3DFDB1" w14:textId="77777777" w:rsidR="00990489" w:rsidRPr="00F72633" w:rsidRDefault="00990489" w:rsidP="00990489">
      <w:pPr>
        <w:spacing w:before="40"/>
        <w:jc w:val="left"/>
        <w:rPr>
          <w:sz w:val="16"/>
          <w:szCs w:val="16"/>
          <w:lang w:val="es-419"/>
        </w:rPr>
      </w:pPr>
      <w:r w:rsidRPr="00F72633">
        <w:rPr>
          <w:sz w:val="16"/>
          <w:lang w:val="es-419"/>
        </w:rPr>
        <w:t>Eslovenia</w:t>
      </w:r>
      <w:r w:rsidRPr="00F72633">
        <w:rPr>
          <w:sz w:val="16"/>
          <w:vertAlign w:val="superscript"/>
          <w:lang w:val="es-419"/>
        </w:rPr>
        <w:t>2</w:t>
      </w:r>
    </w:p>
    <w:p w14:paraId="07A79E7E" w14:textId="77777777" w:rsidR="000C4026" w:rsidRPr="00F72633" w:rsidRDefault="000C4026" w:rsidP="000C4026">
      <w:pPr>
        <w:keepNext/>
        <w:spacing w:before="40"/>
        <w:jc w:val="left"/>
        <w:rPr>
          <w:sz w:val="16"/>
          <w:szCs w:val="16"/>
          <w:lang w:val="es-419"/>
        </w:rPr>
      </w:pPr>
      <w:r w:rsidRPr="00F72633">
        <w:rPr>
          <w:sz w:val="16"/>
          <w:lang w:val="es-419"/>
        </w:rPr>
        <w:t>España</w:t>
      </w:r>
      <w:r w:rsidRPr="00F72633">
        <w:rPr>
          <w:rStyle w:val="FootnoteReference"/>
          <w:sz w:val="16"/>
          <w:lang w:val="es-419"/>
        </w:rPr>
        <w:t>2</w:t>
      </w:r>
    </w:p>
    <w:p w14:paraId="373A6E9B" w14:textId="77777777" w:rsidR="00990489" w:rsidRPr="00F72633" w:rsidRDefault="00990489" w:rsidP="00990489">
      <w:pPr>
        <w:spacing w:before="40"/>
        <w:ind w:left="28" w:hanging="28"/>
        <w:jc w:val="left"/>
        <w:rPr>
          <w:sz w:val="16"/>
          <w:szCs w:val="16"/>
          <w:lang w:val="es-419"/>
        </w:rPr>
      </w:pPr>
      <w:r w:rsidRPr="00F72633">
        <w:rPr>
          <w:sz w:val="16"/>
          <w:lang w:val="es-419"/>
        </w:rPr>
        <w:t>Estados Unidos de América</w:t>
      </w:r>
      <w:r w:rsidRPr="00F72633">
        <w:rPr>
          <w:sz w:val="16"/>
          <w:vertAlign w:val="superscript"/>
          <w:lang w:val="es-419"/>
        </w:rPr>
        <w:t>2</w:t>
      </w:r>
    </w:p>
    <w:p w14:paraId="57B1FB29" w14:textId="77777777" w:rsidR="00990489" w:rsidRPr="00F72633" w:rsidRDefault="00990489" w:rsidP="00990489">
      <w:pPr>
        <w:spacing w:before="40"/>
        <w:jc w:val="left"/>
        <w:rPr>
          <w:sz w:val="16"/>
          <w:szCs w:val="16"/>
          <w:lang w:val="es-419"/>
        </w:rPr>
      </w:pPr>
      <w:r w:rsidRPr="00F72633">
        <w:rPr>
          <w:sz w:val="16"/>
          <w:lang w:val="es-419"/>
        </w:rPr>
        <w:t>Estonia</w:t>
      </w:r>
      <w:r w:rsidRPr="00F72633">
        <w:rPr>
          <w:sz w:val="16"/>
          <w:vertAlign w:val="superscript"/>
          <w:lang w:val="es-419"/>
        </w:rPr>
        <w:t>2</w:t>
      </w:r>
    </w:p>
    <w:p w14:paraId="61FD3F57" w14:textId="77777777" w:rsidR="00990489" w:rsidRPr="00F72633" w:rsidRDefault="00990489" w:rsidP="000C4026">
      <w:pPr>
        <w:spacing w:before="40"/>
        <w:ind w:left="28" w:hanging="28"/>
        <w:jc w:val="left"/>
        <w:rPr>
          <w:sz w:val="16"/>
          <w:szCs w:val="16"/>
          <w:lang w:val="es-419"/>
        </w:rPr>
      </w:pPr>
      <w:r w:rsidRPr="00F72633">
        <w:rPr>
          <w:sz w:val="16"/>
          <w:lang w:val="es-419"/>
        </w:rPr>
        <w:t>Federación de Rusia</w:t>
      </w:r>
      <w:r w:rsidRPr="00F72633">
        <w:rPr>
          <w:sz w:val="16"/>
          <w:vertAlign w:val="superscript"/>
          <w:lang w:val="es-419"/>
        </w:rPr>
        <w:t>2</w:t>
      </w:r>
    </w:p>
    <w:p w14:paraId="4B73D894" w14:textId="77777777" w:rsidR="00990489" w:rsidRPr="00F72633" w:rsidRDefault="00990489" w:rsidP="00990489">
      <w:pPr>
        <w:spacing w:before="40"/>
        <w:jc w:val="left"/>
        <w:rPr>
          <w:sz w:val="16"/>
          <w:szCs w:val="16"/>
          <w:lang w:val="es-419"/>
        </w:rPr>
      </w:pPr>
      <w:r w:rsidRPr="00F72633">
        <w:rPr>
          <w:sz w:val="16"/>
          <w:lang w:val="es-419"/>
        </w:rPr>
        <w:t>Finlandia</w:t>
      </w:r>
      <w:r w:rsidRPr="00F72633">
        <w:rPr>
          <w:rStyle w:val="FootnoteReference"/>
          <w:sz w:val="16"/>
          <w:lang w:val="es-419"/>
        </w:rPr>
        <w:t>2</w:t>
      </w:r>
    </w:p>
    <w:p w14:paraId="364875CA" w14:textId="77777777" w:rsidR="00990489" w:rsidRPr="00F72633" w:rsidRDefault="00990489" w:rsidP="00990489">
      <w:pPr>
        <w:spacing w:before="40"/>
        <w:jc w:val="left"/>
        <w:rPr>
          <w:sz w:val="16"/>
          <w:szCs w:val="16"/>
          <w:lang w:val="es-419"/>
        </w:rPr>
      </w:pPr>
      <w:r w:rsidRPr="00F72633">
        <w:rPr>
          <w:sz w:val="16"/>
          <w:lang w:val="es-419"/>
        </w:rPr>
        <w:t>Francia</w:t>
      </w:r>
      <w:r w:rsidRPr="00F72633">
        <w:rPr>
          <w:rStyle w:val="FootnoteReference"/>
          <w:sz w:val="16"/>
          <w:lang w:val="es-419"/>
        </w:rPr>
        <w:t>2</w:t>
      </w:r>
    </w:p>
    <w:p w14:paraId="14DB9FED" w14:textId="77777777" w:rsidR="00990489" w:rsidRPr="00F72633" w:rsidRDefault="00990489" w:rsidP="00990489">
      <w:pPr>
        <w:spacing w:before="40"/>
        <w:jc w:val="left"/>
        <w:rPr>
          <w:sz w:val="16"/>
          <w:szCs w:val="16"/>
          <w:lang w:val="es-419"/>
        </w:rPr>
      </w:pPr>
      <w:r w:rsidRPr="00F72633">
        <w:rPr>
          <w:sz w:val="16"/>
          <w:lang w:val="es-419"/>
        </w:rPr>
        <w:t>Georgia</w:t>
      </w:r>
      <w:r w:rsidRPr="00F72633">
        <w:rPr>
          <w:sz w:val="16"/>
          <w:vertAlign w:val="superscript"/>
          <w:lang w:val="es-419"/>
        </w:rPr>
        <w:t>2</w:t>
      </w:r>
    </w:p>
    <w:p w14:paraId="4892FCE5" w14:textId="77777777" w:rsidR="00990489" w:rsidRPr="00F72633" w:rsidRDefault="00990489" w:rsidP="00990489">
      <w:pPr>
        <w:spacing w:before="40"/>
        <w:jc w:val="left"/>
        <w:rPr>
          <w:sz w:val="16"/>
          <w:szCs w:val="16"/>
          <w:vertAlign w:val="superscript"/>
          <w:lang w:val="es-419"/>
        </w:rPr>
      </w:pPr>
      <w:r w:rsidRPr="00F72633">
        <w:rPr>
          <w:sz w:val="16"/>
          <w:lang w:val="es-419"/>
        </w:rPr>
        <w:t>Ghana</w:t>
      </w:r>
      <w:r w:rsidRPr="00F72633">
        <w:rPr>
          <w:sz w:val="16"/>
          <w:vertAlign w:val="superscript"/>
          <w:lang w:val="es-419"/>
        </w:rPr>
        <w:t>2</w:t>
      </w:r>
    </w:p>
    <w:p w14:paraId="49FCC711" w14:textId="77777777" w:rsidR="00990489" w:rsidRPr="00F72633" w:rsidRDefault="00990489" w:rsidP="00990489">
      <w:pPr>
        <w:spacing w:before="40"/>
        <w:jc w:val="left"/>
        <w:rPr>
          <w:sz w:val="16"/>
          <w:szCs w:val="16"/>
          <w:lang w:val="es-419"/>
        </w:rPr>
      </w:pPr>
      <w:r w:rsidRPr="00F72633">
        <w:rPr>
          <w:sz w:val="16"/>
          <w:lang w:val="es-419"/>
        </w:rPr>
        <w:t>Hungría</w:t>
      </w:r>
      <w:r w:rsidRPr="00F72633">
        <w:rPr>
          <w:rStyle w:val="FootnoteReference"/>
          <w:sz w:val="16"/>
          <w:lang w:val="es-419"/>
        </w:rPr>
        <w:t>2</w:t>
      </w:r>
    </w:p>
    <w:p w14:paraId="36AF2F16" w14:textId="77777777" w:rsidR="000C4026" w:rsidRPr="00F72633" w:rsidRDefault="000C4026" w:rsidP="000C4026">
      <w:pPr>
        <w:spacing w:before="40"/>
        <w:jc w:val="left"/>
        <w:rPr>
          <w:sz w:val="16"/>
          <w:szCs w:val="16"/>
          <w:lang w:val="es-419"/>
        </w:rPr>
      </w:pPr>
      <w:r w:rsidRPr="00F72633">
        <w:rPr>
          <w:sz w:val="16"/>
          <w:lang w:val="es-419"/>
        </w:rPr>
        <w:t>Irlanda</w:t>
      </w:r>
      <w:r w:rsidRPr="00F72633">
        <w:rPr>
          <w:rStyle w:val="FootnoteReference"/>
          <w:sz w:val="16"/>
          <w:lang w:val="es-419"/>
        </w:rPr>
        <w:t>2</w:t>
      </w:r>
    </w:p>
    <w:p w14:paraId="016DA3E8" w14:textId="77777777" w:rsidR="00990489" w:rsidRPr="00F72633" w:rsidRDefault="00990489" w:rsidP="00990489">
      <w:pPr>
        <w:spacing w:before="40"/>
        <w:jc w:val="left"/>
        <w:rPr>
          <w:sz w:val="16"/>
          <w:lang w:val="es-419"/>
        </w:rPr>
      </w:pPr>
      <w:r w:rsidRPr="00F72633">
        <w:rPr>
          <w:sz w:val="16"/>
          <w:lang w:val="es-419"/>
        </w:rPr>
        <w:t>Islandia</w:t>
      </w:r>
      <w:r w:rsidRPr="00F72633">
        <w:rPr>
          <w:rStyle w:val="FootnoteReference"/>
          <w:sz w:val="16"/>
          <w:lang w:val="es-419"/>
        </w:rPr>
        <w:t>2</w:t>
      </w:r>
      <w:r w:rsidRPr="00F72633">
        <w:rPr>
          <w:sz w:val="16"/>
          <w:lang w:val="es-419"/>
        </w:rPr>
        <w:t xml:space="preserve"> </w:t>
      </w:r>
    </w:p>
    <w:p w14:paraId="347E1A27" w14:textId="77777777" w:rsidR="00990489" w:rsidRPr="00F72633" w:rsidRDefault="00990489" w:rsidP="00990489">
      <w:pPr>
        <w:spacing w:before="40"/>
        <w:jc w:val="left"/>
        <w:rPr>
          <w:sz w:val="16"/>
          <w:szCs w:val="16"/>
          <w:vertAlign w:val="superscript"/>
          <w:lang w:val="es-419"/>
        </w:rPr>
      </w:pPr>
      <w:r w:rsidRPr="00F72633">
        <w:rPr>
          <w:sz w:val="16"/>
          <w:lang w:val="es-419"/>
        </w:rPr>
        <w:t>Israel</w:t>
      </w:r>
      <w:r w:rsidRPr="00F72633">
        <w:rPr>
          <w:sz w:val="16"/>
          <w:vertAlign w:val="superscript"/>
          <w:lang w:val="es-419"/>
        </w:rPr>
        <w:t>2</w:t>
      </w:r>
    </w:p>
    <w:p w14:paraId="64BE08A8" w14:textId="77777777" w:rsidR="00990489" w:rsidRPr="00F72633" w:rsidRDefault="00990489" w:rsidP="00990489">
      <w:pPr>
        <w:spacing w:before="40"/>
        <w:jc w:val="left"/>
        <w:rPr>
          <w:sz w:val="16"/>
          <w:szCs w:val="16"/>
          <w:lang w:val="es-419"/>
        </w:rPr>
      </w:pPr>
      <w:r w:rsidRPr="00F72633">
        <w:rPr>
          <w:sz w:val="16"/>
          <w:lang w:val="es-419"/>
        </w:rPr>
        <w:t>Italia</w:t>
      </w:r>
      <w:r w:rsidRPr="00F72633">
        <w:rPr>
          <w:rStyle w:val="FootnoteReference"/>
          <w:sz w:val="16"/>
          <w:lang w:val="es-419"/>
        </w:rPr>
        <w:t>1</w:t>
      </w:r>
    </w:p>
    <w:p w14:paraId="695F019A" w14:textId="77777777" w:rsidR="00990489" w:rsidRPr="00F72633" w:rsidRDefault="00990489" w:rsidP="00990489">
      <w:pPr>
        <w:spacing w:before="40"/>
        <w:jc w:val="left"/>
        <w:rPr>
          <w:sz w:val="16"/>
          <w:szCs w:val="16"/>
          <w:lang w:val="es-419"/>
        </w:rPr>
      </w:pPr>
      <w:r w:rsidRPr="00F72633">
        <w:rPr>
          <w:sz w:val="16"/>
          <w:lang w:val="es-419"/>
        </w:rPr>
        <w:t>Japón</w:t>
      </w:r>
      <w:r w:rsidRPr="00F72633">
        <w:rPr>
          <w:sz w:val="16"/>
          <w:vertAlign w:val="superscript"/>
          <w:lang w:val="es-419"/>
        </w:rPr>
        <w:t>2</w:t>
      </w:r>
    </w:p>
    <w:p w14:paraId="7CCD5259" w14:textId="77777777" w:rsidR="00990489" w:rsidRPr="00F72633" w:rsidRDefault="00990489" w:rsidP="00990489">
      <w:pPr>
        <w:spacing w:before="40"/>
        <w:jc w:val="left"/>
        <w:rPr>
          <w:sz w:val="16"/>
          <w:szCs w:val="16"/>
          <w:lang w:val="es-419"/>
        </w:rPr>
      </w:pPr>
      <w:r w:rsidRPr="00F72633">
        <w:rPr>
          <w:sz w:val="16"/>
          <w:lang w:val="es-419"/>
        </w:rPr>
        <w:t>Jordania</w:t>
      </w:r>
      <w:r w:rsidRPr="00F72633">
        <w:rPr>
          <w:sz w:val="16"/>
          <w:vertAlign w:val="superscript"/>
          <w:lang w:val="es-419"/>
        </w:rPr>
        <w:t>2</w:t>
      </w:r>
    </w:p>
    <w:p w14:paraId="6BDD25A1" w14:textId="77777777" w:rsidR="00990489" w:rsidRPr="00F72633" w:rsidRDefault="00990489" w:rsidP="00990489">
      <w:pPr>
        <w:spacing w:before="40"/>
        <w:jc w:val="left"/>
        <w:rPr>
          <w:sz w:val="16"/>
          <w:szCs w:val="16"/>
          <w:lang w:val="es-419"/>
        </w:rPr>
      </w:pPr>
      <w:r w:rsidRPr="00F72633">
        <w:rPr>
          <w:sz w:val="16"/>
          <w:lang w:val="es-419"/>
        </w:rPr>
        <w:t>Kenya</w:t>
      </w:r>
      <w:r w:rsidRPr="00F72633">
        <w:rPr>
          <w:sz w:val="16"/>
          <w:vertAlign w:val="superscript"/>
          <w:lang w:val="es-419"/>
        </w:rPr>
        <w:t>2</w:t>
      </w:r>
    </w:p>
    <w:p w14:paraId="1DF970B9" w14:textId="77777777" w:rsidR="00990489" w:rsidRPr="00F72633" w:rsidRDefault="00990489" w:rsidP="00990489">
      <w:pPr>
        <w:spacing w:before="40"/>
        <w:jc w:val="left"/>
        <w:rPr>
          <w:sz w:val="16"/>
          <w:szCs w:val="16"/>
          <w:lang w:val="es-419"/>
        </w:rPr>
      </w:pPr>
      <w:r w:rsidRPr="00F72633">
        <w:rPr>
          <w:sz w:val="16"/>
          <w:lang w:val="es-419"/>
        </w:rPr>
        <w:t>Kirguistán</w:t>
      </w:r>
      <w:r w:rsidRPr="00F72633">
        <w:rPr>
          <w:sz w:val="16"/>
          <w:vertAlign w:val="superscript"/>
          <w:lang w:val="es-419"/>
        </w:rPr>
        <w:t>2</w:t>
      </w:r>
    </w:p>
    <w:p w14:paraId="05663DF4" w14:textId="77777777" w:rsidR="00990489" w:rsidRPr="00F72633" w:rsidRDefault="00990489" w:rsidP="00990489">
      <w:pPr>
        <w:spacing w:before="40"/>
        <w:jc w:val="left"/>
        <w:rPr>
          <w:sz w:val="16"/>
          <w:szCs w:val="16"/>
          <w:lang w:val="es-419"/>
        </w:rPr>
      </w:pPr>
      <w:r w:rsidRPr="00F72633">
        <w:rPr>
          <w:sz w:val="16"/>
          <w:lang w:val="es-419"/>
        </w:rPr>
        <w:t>Letonia</w:t>
      </w:r>
      <w:r w:rsidRPr="00F72633">
        <w:rPr>
          <w:sz w:val="16"/>
          <w:vertAlign w:val="superscript"/>
          <w:lang w:val="es-419"/>
        </w:rPr>
        <w:t>2</w:t>
      </w:r>
    </w:p>
    <w:p w14:paraId="3E637DD3" w14:textId="77777777" w:rsidR="00990489" w:rsidRPr="00F72633" w:rsidRDefault="00990489" w:rsidP="00990489">
      <w:pPr>
        <w:spacing w:before="40"/>
        <w:jc w:val="left"/>
        <w:rPr>
          <w:sz w:val="16"/>
          <w:szCs w:val="16"/>
          <w:lang w:val="es-419"/>
        </w:rPr>
      </w:pPr>
      <w:r w:rsidRPr="00F72633">
        <w:rPr>
          <w:sz w:val="16"/>
          <w:lang w:val="es-419"/>
        </w:rPr>
        <w:t>Lituania</w:t>
      </w:r>
      <w:r w:rsidRPr="00F72633">
        <w:rPr>
          <w:sz w:val="16"/>
          <w:vertAlign w:val="superscript"/>
          <w:lang w:val="es-419"/>
        </w:rPr>
        <w:t>2</w:t>
      </w:r>
    </w:p>
    <w:p w14:paraId="09DEECBC" w14:textId="77777777" w:rsidR="00990489" w:rsidRPr="00F72633" w:rsidRDefault="00990489" w:rsidP="00990489">
      <w:pPr>
        <w:spacing w:before="40"/>
        <w:ind w:left="28" w:hanging="28"/>
        <w:jc w:val="left"/>
        <w:rPr>
          <w:sz w:val="16"/>
          <w:vertAlign w:val="superscript"/>
          <w:lang w:val="es-419"/>
        </w:rPr>
      </w:pPr>
      <w:r w:rsidRPr="00F72633">
        <w:rPr>
          <w:sz w:val="16"/>
          <w:lang w:val="es-419"/>
        </w:rPr>
        <w:t>Macedonia del Norte</w:t>
      </w:r>
      <w:r w:rsidRPr="00F72633">
        <w:rPr>
          <w:sz w:val="16"/>
          <w:vertAlign w:val="superscript"/>
          <w:lang w:val="es-419"/>
        </w:rPr>
        <w:t>2</w:t>
      </w:r>
    </w:p>
    <w:p w14:paraId="7291AA66" w14:textId="77777777" w:rsidR="00990489" w:rsidRPr="00F72633" w:rsidRDefault="00990489" w:rsidP="00990489">
      <w:pPr>
        <w:spacing w:before="40"/>
        <w:jc w:val="left"/>
        <w:rPr>
          <w:sz w:val="16"/>
          <w:szCs w:val="16"/>
          <w:lang w:val="es-419"/>
        </w:rPr>
      </w:pPr>
      <w:r w:rsidRPr="00F72633">
        <w:rPr>
          <w:sz w:val="16"/>
          <w:lang w:val="es-419"/>
        </w:rPr>
        <w:t>Marruecos</w:t>
      </w:r>
      <w:r w:rsidRPr="00F72633">
        <w:rPr>
          <w:rStyle w:val="FootnoteReference"/>
          <w:sz w:val="16"/>
          <w:lang w:val="es-419"/>
        </w:rPr>
        <w:t>2</w:t>
      </w:r>
    </w:p>
    <w:p w14:paraId="5943117A" w14:textId="77777777" w:rsidR="00990489" w:rsidRPr="00F72633" w:rsidRDefault="00990489" w:rsidP="00990489">
      <w:pPr>
        <w:spacing w:before="40"/>
        <w:jc w:val="left"/>
        <w:rPr>
          <w:sz w:val="16"/>
          <w:szCs w:val="16"/>
          <w:vertAlign w:val="superscript"/>
          <w:lang w:val="es-419"/>
        </w:rPr>
      </w:pPr>
      <w:r w:rsidRPr="00F72633">
        <w:rPr>
          <w:sz w:val="16"/>
          <w:lang w:val="es-419"/>
        </w:rPr>
        <w:t>México</w:t>
      </w:r>
      <w:r w:rsidRPr="00F72633">
        <w:rPr>
          <w:sz w:val="16"/>
          <w:vertAlign w:val="superscript"/>
          <w:lang w:val="es-419"/>
        </w:rPr>
        <w:t>1</w:t>
      </w:r>
    </w:p>
    <w:p w14:paraId="7D024A10" w14:textId="77777777" w:rsidR="00990489" w:rsidRPr="00F72633" w:rsidRDefault="00990489" w:rsidP="00990489">
      <w:pPr>
        <w:spacing w:before="40"/>
        <w:jc w:val="left"/>
        <w:rPr>
          <w:sz w:val="16"/>
          <w:szCs w:val="16"/>
          <w:vertAlign w:val="superscript"/>
          <w:lang w:val="es-419"/>
        </w:rPr>
      </w:pPr>
      <w:r w:rsidRPr="00F72633">
        <w:rPr>
          <w:sz w:val="16"/>
          <w:lang w:val="es-419"/>
        </w:rPr>
        <w:t>Montenegro</w:t>
      </w:r>
      <w:r w:rsidRPr="00F72633">
        <w:rPr>
          <w:sz w:val="16"/>
          <w:vertAlign w:val="superscript"/>
          <w:lang w:val="es-419"/>
        </w:rPr>
        <w:t>2</w:t>
      </w:r>
    </w:p>
    <w:p w14:paraId="5BE0325C" w14:textId="77777777" w:rsidR="00990489" w:rsidRPr="00F72633" w:rsidRDefault="00990489" w:rsidP="00990489">
      <w:pPr>
        <w:spacing w:before="40"/>
        <w:ind w:left="28" w:hanging="28"/>
        <w:jc w:val="left"/>
        <w:rPr>
          <w:sz w:val="16"/>
          <w:szCs w:val="16"/>
          <w:vertAlign w:val="superscript"/>
          <w:lang w:val="es-419"/>
        </w:rPr>
      </w:pPr>
      <w:r w:rsidRPr="00F72633">
        <w:rPr>
          <w:sz w:val="16"/>
          <w:lang w:val="es-419"/>
        </w:rPr>
        <w:t>Nicaragua</w:t>
      </w:r>
      <w:r w:rsidRPr="00F72633">
        <w:rPr>
          <w:sz w:val="16"/>
          <w:vertAlign w:val="superscript"/>
          <w:lang w:val="es-419"/>
        </w:rPr>
        <w:t>1</w:t>
      </w:r>
    </w:p>
    <w:p w14:paraId="1A8D7311" w14:textId="77777777" w:rsidR="000C4026" w:rsidRPr="00F72633" w:rsidRDefault="000C4026" w:rsidP="000C4026">
      <w:pPr>
        <w:spacing w:before="40"/>
        <w:ind w:left="28" w:hanging="28"/>
        <w:jc w:val="left"/>
        <w:rPr>
          <w:sz w:val="16"/>
          <w:szCs w:val="16"/>
          <w:lang w:val="es-419"/>
        </w:rPr>
      </w:pPr>
      <w:r w:rsidRPr="00F72633">
        <w:rPr>
          <w:sz w:val="16"/>
          <w:lang w:val="es-419"/>
        </w:rPr>
        <w:t>Noruega</w:t>
      </w:r>
      <w:r w:rsidRPr="00F72633">
        <w:rPr>
          <w:rStyle w:val="FootnoteReference"/>
          <w:sz w:val="16"/>
          <w:lang w:val="es-419"/>
        </w:rPr>
        <w:t>1</w:t>
      </w:r>
    </w:p>
    <w:p w14:paraId="42F8D8A6" w14:textId="77777777" w:rsidR="00990489" w:rsidRPr="00F72633" w:rsidRDefault="00990489" w:rsidP="00990489">
      <w:pPr>
        <w:spacing w:before="40"/>
        <w:ind w:left="28" w:hanging="28"/>
        <w:jc w:val="left"/>
        <w:rPr>
          <w:sz w:val="16"/>
          <w:szCs w:val="16"/>
          <w:lang w:val="es-419"/>
        </w:rPr>
      </w:pPr>
      <w:r w:rsidRPr="00F72633">
        <w:rPr>
          <w:sz w:val="16"/>
          <w:lang w:val="es-419"/>
        </w:rPr>
        <w:t>Nueva Zelandia</w:t>
      </w:r>
      <w:r w:rsidRPr="00F72633">
        <w:rPr>
          <w:rStyle w:val="FootnoteReference"/>
          <w:sz w:val="16"/>
          <w:lang w:val="es-419"/>
        </w:rPr>
        <w:t>1</w:t>
      </w:r>
    </w:p>
    <w:p w14:paraId="5F9C415A" w14:textId="77777777" w:rsidR="00990489" w:rsidRPr="00F72633" w:rsidRDefault="00990489" w:rsidP="000C4026">
      <w:pPr>
        <w:spacing w:before="40"/>
        <w:jc w:val="left"/>
        <w:rPr>
          <w:sz w:val="16"/>
          <w:szCs w:val="16"/>
          <w:lang w:val="es-419"/>
        </w:rPr>
      </w:pPr>
      <w:r w:rsidRPr="00F72633">
        <w:rPr>
          <w:sz w:val="16"/>
          <w:lang w:val="es-419"/>
        </w:rPr>
        <w:t>Omán</w:t>
      </w:r>
      <w:r w:rsidRPr="00F72633">
        <w:rPr>
          <w:sz w:val="16"/>
          <w:vertAlign w:val="superscript"/>
          <w:lang w:val="es-419"/>
        </w:rPr>
        <w:t>2</w:t>
      </w:r>
    </w:p>
    <w:p w14:paraId="08840CDD" w14:textId="77777777" w:rsidR="00990489" w:rsidRPr="00F72633" w:rsidRDefault="00990489" w:rsidP="000C4026">
      <w:pPr>
        <w:keepLines/>
        <w:spacing w:before="40"/>
        <w:ind w:left="28" w:hanging="28"/>
        <w:jc w:val="left"/>
        <w:rPr>
          <w:sz w:val="16"/>
          <w:szCs w:val="16"/>
          <w:lang w:val="es-419"/>
        </w:rPr>
      </w:pPr>
      <w:r w:rsidRPr="00F72633">
        <w:rPr>
          <w:sz w:val="16"/>
          <w:lang w:val="es-419"/>
        </w:rPr>
        <w:t>Organización Africana de la Propiedad Intelectual</w:t>
      </w:r>
      <w:r w:rsidRPr="00F72633">
        <w:rPr>
          <w:sz w:val="16"/>
          <w:vertAlign w:val="superscript"/>
          <w:lang w:val="es-419"/>
        </w:rPr>
        <w:t>2, 4</w:t>
      </w:r>
    </w:p>
    <w:p w14:paraId="4CEE34BB" w14:textId="52D9CBB6" w:rsidR="00990489" w:rsidRPr="00F72633" w:rsidRDefault="00990489" w:rsidP="00990489">
      <w:pPr>
        <w:spacing w:before="40"/>
        <w:jc w:val="left"/>
        <w:rPr>
          <w:sz w:val="16"/>
          <w:szCs w:val="16"/>
          <w:lang w:val="es-419"/>
        </w:rPr>
      </w:pPr>
      <w:r w:rsidRPr="00F72633">
        <w:rPr>
          <w:sz w:val="16"/>
          <w:lang w:val="es-419"/>
        </w:rPr>
        <w:t>Países Bajos</w:t>
      </w:r>
      <w:r w:rsidRPr="00F72633">
        <w:rPr>
          <w:sz w:val="16"/>
          <w:vertAlign w:val="superscript"/>
          <w:lang w:val="es-419"/>
        </w:rPr>
        <w:t>2</w:t>
      </w:r>
    </w:p>
    <w:p w14:paraId="6969B77B" w14:textId="77777777" w:rsidR="00990489" w:rsidRPr="00F72633" w:rsidRDefault="00990489" w:rsidP="000C4026">
      <w:pPr>
        <w:spacing w:before="40"/>
        <w:jc w:val="left"/>
        <w:rPr>
          <w:sz w:val="16"/>
          <w:szCs w:val="16"/>
          <w:vertAlign w:val="superscript"/>
          <w:lang w:val="es-419"/>
        </w:rPr>
      </w:pPr>
      <w:r w:rsidRPr="00F72633">
        <w:rPr>
          <w:sz w:val="16"/>
          <w:lang w:val="es-419"/>
        </w:rPr>
        <w:t>Panamá</w:t>
      </w:r>
      <w:r w:rsidRPr="00F72633">
        <w:rPr>
          <w:sz w:val="16"/>
          <w:vertAlign w:val="superscript"/>
          <w:lang w:val="es-419"/>
        </w:rPr>
        <w:t>2</w:t>
      </w:r>
    </w:p>
    <w:p w14:paraId="17B0E9D0" w14:textId="77777777" w:rsidR="00990489" w:rsidRPr="00F72633" w:rsidRDefault="00990489" w:rsidP="00990489">
      <w:pPr>
        <w:spacing w:before="40"/>
        <w:jc w:val="left"/>
        <w:rPr>
          <w:sz w:val="16"/>
          <w:szCs w:val="16"/>
          <w:vertAlign w:val="superscript"/>
          <w:lang w:val="es-419"/>
        </w:rPr>
      </w:pPr>
      <w:r w:rsidRPr="00F72633">
        <w:rPr>
          <w:sz w:val="16"/>
          <w:lang w:val="es-419"/>
        </w:rPr>
        <w:t>Paraguay</w:t>
      </w:r>
      <w:r w:rsidRPr="00F72633">
        <w:rPr>
          <w:sz w:val="16"/>
          <w:vertAlign w:val="superscript"/>
          <w:lang w:val="es-419"/>
        </w:rPr>
        <w:t>1</w:t>
      </w:r>
    </w:p>
    <w:p w14:paraId="79069B43" w14:textId="77777777" w:rsidR="00990489" w:rsidRPr="00F72633" w:rsidRDefault="00990489" w:rsidP="00990489">
      <w:pPr>
        <w:spacing w:before="40"/>
        <w:jc w:val="left"/>
        <w:rPr>
          <w:sz w:val="16"/>
          <w:szCs w:val="16"/>
          <w:lang w:val="es-419"/>
        </w:rPr>
      </w:pPr>
      <w:r w:rsidRPr="00F72633">
        <w:rPr>
          <w:sz w:val="16"/>
          <w:lang w:val="es-419"/>
        </w:rPr>
        <w:t>Perú</w:t>
      </w:r>
      <w:r w:rsidRPr="00F72633">
        <w:rPr>
          <w:sz w:val="16"/>
          <w:vertAlign w:val="superscript"/>
          <w:lang w:val="es-419"/>
        </w:rPr>
        <w:t>2</w:t>
      </w:r>
    </w:p>
    <w:p w14:paraId="0D7F5D38"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Polonia</w:t>
      </w:r>
      <w:r w:rsidRPr="00F72633">
        <w:rPr>
          <w:rStyle w:val="FootnoteReference"/>
          <w:rFonts w:ascii="Arial" w:hAnsi="Arial"/>
          <w:sz w:val="16"/>
          <w:lang w:val="es-419"/>
        </w:rPr>
        <w:t>2</w:t>
      </w:r>
    </w:p>
    <w:p w14:paraId="6A27D4D4"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Portugal</w:t>
      </w:r>
      <w:r w:rsidRPr="00F72633">
        <w:rPr>
          <w:rFonts w:ascii="Arial" w:hAnsi="Arial"/>
          <w:sz w:val="16"/>
          <w:vertAlign w:val="superscript"/>
          <w:lang w:val="es-419"/>
        </w:rPr>
        <w:t>1</w:t>
      </w:r>
    </w:p>
    <w:p w14:paraId="151CBEA8" w14:textId="77777777" w:rsidR="00990489" w:rsidRPr="00F72633" w:rsidRDefault="00990489" w:rsidP="00990489">
      <w:pPr>
        <w:spacing w:before="40"/>
        <w:jc w:val="left"/>
        <w:rPr>
          <w:sz w:val="16"/>
          <w:szCs w:val="16"/>
          <w:lang w:val="es-419"/>
        </w:rPr>
      </w:pPr>
      <w:r w:rsidRPr="00F72633">
        <w:rPr>
          <w:sz w:val="16"/>
          <w:lang w:val="es-419"/>
        </w:rPr>
        <w:t>Reino Unido</w:t>
      </w:r>
      <w:r w:rsidRPr="00F72633">
        <w:rPr>
          <w:sz w:val="16"/>
          <w:vertAlign w:val="superscript"/>
          <w:lang w:val="es-419"/>
        </w:rPr>
        <w:t>2</w:t>
      </w:r>
    </w:p>
    <w:p w14:paraId="0ACAED41" w14:textId="77777777" w:rsidR="00990489" w:rsidRPr="00F72633" w:rsidRDefault="00990489" w:rsidP="00990489">
      <w:pPr>
        <w:spacing w:before="40"/>
        <w:jc w:val="left"/>
        <w:rPr>
          <w:sz w:val="16"/>
          <w:szCs w:val="16"/>
          <w:lang w:val="es-419"/>
        </w:rPr>
      </w:pPr>
      <w:r w:rsidRPr="00F72633">
        <w:rPr>
          <w:sz w:val="16"/>
          <w:lang w:val="es-419"/>
        </w:rPr>
        <w:t>República Checa</w:t>
      </w:r>
      <w:r w:rsidRPr="00F72633">
        <w:rPr>
          <w:sz w:val="16"/>
          <w:vertAlign w:val="superscript"/>
          <w:lang w:val="es-419"/>
        </w:rPr>
        <w:t>2</w:t>
      </w:r>
    </w:p>
    <w:p w14:paraId="25FC8F43"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República de Corea</w:t>
      </w:r>
      <w:r w:rsidRPr="00F72633">
        <w:rPr>
          <w:rFonts w:ascii="Arial" w:hAnsi="Arial"/>
          <w:sz w:val="16"/>
          <w:vertAlign w:val="superscript"/>
          <w:lang w:val="es-419"/>
        </w:rPr>
        <w:t>2</w:t>
      </w:r>
    </w:p>
    <w:p w14:paraId="6510BD1A"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República de Moldova</w:t>
      </w:r>
      <w:r w:rsidRPr="00F72633">
        <w:rPr>
          <w:rFonts w:ascii="Arial" w:hAnsi="Arial"/>
          <w:sz w:val="16"/>
          <w:vertAlign w:val="superscript"/>
          <w:lang w:val="es-419"/>
        </w:rPr>
        <w:t>2</w:t>
      </w:r>
    </w:p>
    <w:p w14:paraId="4E337E63" w14:textId="77777777" w:rsidR="00990489" w:rsidRPr="00F72633" w:rsidRDefault="00990489" w:rsidP="00990489">
      <w:pPr>
        <w:spacing w:before="40"/>
        <w:jc w:val="left"/>
        <w:rPr>
          <w:sz w:val="16"/>
          <w:szCs w:val="16"/>
          <w:lang w:val="es-419"/>
        </w:rPr>
      </w:pPr>
      <w:r w:rsidRPr="00F72633">
        <w:rPr>
          <w:sz w:val="16"/>
          <w:lang w:val="es-419"/>
        </w:rPr>
        <w:t>República Dominicana</w:t>
      </w:r>
      <w:r w:rsidRPr="00F72633">
        <w:rPr>
          <w:sz w:val="16"/>
          <w:vertAlign w:val="superscript"/>
          <w:lang w:val="es-419"/>
        </w:rPr>
        <w:t>2</w:t>
      </w:r>
    </w:p>
    <w:p w14:paraId="2884840B" w14:textId="77777777" w:rsidR="00990489" w:rsidRPr="00F72633" w:rsidRDefault="00990489" w:rsidP="00990489">
      <w:pPr>
        <w:spacing w:before="40"/>
        <w:ind w:left="28" w:hanging="28"/>
        <w:jc w:val="left"/>
        <w:rPr>
          <w:sz w:val="16"/>
          <w:szCs w:val="16"/>
          <w:lang w:val="es-419"/>
        </w:rPr>
      </w:pPr>
      <w:r w:rsidRPr="00F72633">
        <w:rPr>
          <w:sz w:val="16"/>
          <w:lang w:val="es-419"/>
        </w:rPr>
        <w:t>República Unida de Tanzanía</w:t>
      </w:r>
      <w:r w:rsidRPr="00F72633">
        <w:rPr>
          <w:sz w:val="16"/>
          <w:vertAlign w:val="superscript"/>
          <w:lang w:val="es-419"/>
        </w:rPr>
        <w:t>2</w:t>
      </w:r>
    </w:p>
    <w:p w14:paraId="7ECA58EF"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Rumania</w:t>
      </w:r>
      <w:r w:rsidRPr="00F72633">
        <w:rPr>
          <w:rFonts w:ascii="Arial" w:hAnsi="Arial"/>
          <w:sz w:val="16"/>
          <w:vertAlign w:val="superscript"/>
          <w:lang w:val="es-419"/>
        </w:rPr>
        <w:t>2</w:t>
      </w:r>
    </w:p>
    <w:p w14:paraId="33C2B8D8" w14:textId="77777777" w:rsidR="00990489" w:rsidRPr="00F72633" w:rsidRDefault="00990489" w:rsidP="00990489">
      <w:pPr>
        <w:pStyle w:val="BodyTextKeep"/>
        <w:keepNext w:val="0"/>
        <w:spacing w:before="40" w:after="0"/>
        <w:jc w:val="left"/>
        <w:rPr>
          <w:rFonts w:ascii="Arial" w:hAnsi="Arial" w:cs="Arial"/>
          <w:sz w:val="16"/>
          <w:szCs w:val="16"/>
          <w:vertAlign w:val="superscript"/>
          <w:lang w:val="es-419"/>
        </w:rPr>
      </w:pPr>
      <w:r w:rsidRPr="00F72633">
        <w:rPr>
          <w:rFonts w:ascii="Arial" w:hAnsi="Arial"/>
          <w:sz w:val="16"/>
          <w:lang w:val="es-419"/>
        </w:rPr>
        <w:t>San Vicente y las Granadinas</w:t>
      </w:r>
      <w:r w:rsidRPr="00F72633">
        <w:rPr>
          <w:rFonts w:ascii="Arial" w:hAnsi="Arial"/>
          <w:sz w:val="16"/>
          <w:vertAlign w:val="superscript"/>
          <w:lang w:val="es-419"/>
        </w:rPr>
        <w:t>2</w:t>
      </w:r>
    </w:p>
    <w:p w14:paraId="5039FF39" w14:textId="77777777" w:rsidR="00990489" w:rsidRPr="00F72633" w:rsidRDefault="00990489" w:rsidP="00990489">
      <w:pPr>
        <w:pStyle w:val="BodyTextKeep"/>
        <w:keepNext w:val="0"/>
        <w:spacing w:before="40" w:after="0"/>
        <w:jc w:val="left"/>
        <w:rPr>
          <w:rFonts w:ascii="Arial" w:hAnsi="Arial" w:cs="Arial"/>
          <w:sz w:val="16"/>
          <w:szCs w:val="16"/>
          <w:lang w:val="es-419"/>
        </w:rPr>
      </w:pPr>
      <w:r w:rsidRPr="00F72633">
        <w:rPr>
          <w:rFonts w:ascii="Arial" w:hAnsi="Arial"/>
          <w:sz w:val="16"/>
          <w:lang w:val="es-419"/>
        </w:rPr>
        <w:t>Serbia</w:t>
      </w:r>
      <w:r w:rsidRPr="00F72633">
        <w:rPr>
          <w:rFonts w:ascii="Arial" w:hAnsi="Arial"/>
          <w:sz w:val="16"/>
          <w:vertAlign w:val="superscript"/>
          <w:lang w:val="es-419"/>
        </w:rPr>
        <w:t>2</w:t>
      </w:r>
    </w:p>
    <w:p w14:paraId="5C0115DB" w14:textId="77777777" w:rsidR="00990489" w:rsidRPr="00F72633" w:rsidRDefault="00990489" w:rsidP="00990489">
      <w:pPr>
        <w:pStyle w:val="BodyTextKeep"/>
        <w:keepNext w:val="0"/>
        <w:spacing w:before="40" w:after="0"/>
        <w:jc w:val="left"/>
        <w:rPr>
          <w:rFonts w:ascii="Arial" w:hAnsi="Arial" w:cs="Arial"/>
          <w:sz w:val="16"/>
          <w:szCs w:val="16"/>
          <w:lang w:val="es-419"/>
        </w:rPr>
      </w:pPr>
      <w:r w:rsidRPr="00F72633">
        <w:rPr>
          <w:rFonts w:ascii="Arial" w:hAnsi="Arial"/>
          <w:sz w:val="16"/>
          <w:lang w:val="es-419"/>
        </w:rPr>
        <w:t>Singapur</w:t>
      </w:r>
      <w:r w:rsidRPr="00F72633">
        <w:rPr>
          <w:rFonts w:ascii="Arial" w:hAnsi="Arial"/>
          <w:sz w:val="16"/>
          <w:vertAlign w:val="superscript"/>
          <w:lang w:val="es-419"/>
        </w:rPr>
        <w:t>2</w:t>
      </w:r>
    </w:p>
    <w:p w14:paraId="30B05ED5" w14:textId="77777777" w:rsidR="00990489" w:rsidRPr="00F72633" w:rsidRDefault="00990489" w:rsidP="00990489">
      <w:pPr>
        <w:keepNext/>
        <w:spacing w:before="40"/>
        <w:jc w:val="left"/>
        <w:rPr>
          <w:sz w:val="16"/>
          <w:lang w:val="es-419"/>
        </w:rPr>
      </w:pPr>
      <w:r w:rsidRPr="00F72633">
        <w:rPr>
          <w:sz w:val="16"/>
          <w:lang w:val="es-419"/>
        </w:rPr>
        <w:t>Sudáfrica</w:t>
      </w:r>
      <w:r w:rsidRPr="00F72633">
        <w:rPr>
          <w:rStyle w:val="FootnoteReference"/>
          <w:sz w:val="16"/>
          <w:lang w:val="es-419"/>
        </w:rPr>
        <w:t>1</w:t>
      </w:r>
    </w:p>
    <w:p w14:paraId="2E6B9810" w14:textId="77777777" w:rsidR="00990489" w:rsidRPr="00F72633" w:rsidRDefault="00990489" w:rsidP="00990489">
      <w:pPr>
        <w:pStyle w:val="BodyTextKeep"/>
        <w:keepNext w:val="0"/>
        <w:spacing w:before="40" w:after="0"/>
        <w:jc w:val="left"/>
        <w:rPr>
          <w:rFonts w:ascii="Arial" w:hAnsi="Arial" w:cs="Arial"/>
          <w:sz w:val="16"/>
          <w:szCs w:val="16"/>
          <w:lang w:val="es-419"/>
        </w:rPr>
      </w:pPr>
      <w:r w:rsidRPr="00F72633">
        <w:rPr>
          <w:rFonts w:ascii="Arial" w:hAnsi="Arial"/>
          <w:sz w:val="16"/>
          <w:lang w:val="es-419"/>
        </w:rPr>
        <w:t>Suecia</w:t>
      </w:r>
      <w:r w:rsidRPr="00F72633">
        <w:rPr>
          <w:rFonts w:ascii="Arial" w:hAnsi="Arial"/>
          <w:sz w:val="16"/>
          <w:vertAlign w:val="superscript"/>
          <w:lang w:val="es-419"/>
        </w:rPr>
        <w:t>2</w:t>
      </w:r>
    </w:p>
    <w:p w14:paraId="70B57B8C" w14:textId="77777777" w:rsidR="00990489" w:rsidRPr="00F72633" w:rsidRDefault="00990489" w:rsidP="00990489">
      <w:pPr>
        <w:spacing w:before="40"/>
        <w:jc w:val="left"/>
        <w:rPr>
          <w:sz w:val="16"/>
          <w:szCs w:val="16"/>
          <w:lang w:val="es-419"/>
        </w:rPr>
      </w:pPr>
      <w:r w:rsidRPr="00F72633">
        <w:rPr>
          <w:sz w:val="16"/>
          <w:lang w:val="es-419"/>
        </w:rPr>
        <w:t>Suiza</w:t>
      </w:r>
      <w:r w:rsidRPr="00F72633">
        <w:rPr>
          <w:sz w:val="16"/>
          <w:vertAlign w:val="superscript"/>
          <w:lang w:val="es-419"/>
        </w:rPr>
        <w:t>2</w:t>
      </w:r>
    </w:p>
    <w:p w14:paraId="7D518C9D" w14:textId="77777777" w:rsidR="00990489" w:rsidRPr="00F72633" w:rsidRDefault="00990489" w:rsidP="00990489">
      <w:pPr>
        <w:spacing w:before="40"/>
        <w:jc w:val="left"/>
        <w:rPr>
          <w:sz w:val="16"/>
          <w:szCs w:val="16"/>
          <w:vertAlign w:val="superscript"/>
          <w:lang w:val="es-419"/>
        </w:rPr>
      </w:pPr>
      <w:r w:rsidRPr="00F72633">
        <w:rPr>
          <w:sz w:val="16"/>
          <w:lang w:val="es-419"/>
        </w:rPr>
        <w:t>Trinidad y Tabago</w:t>
      </w:r>
      <w:r w:rsidRPr="00F72633">
        <w:rPr>
          <w:sz w:val="16"/>
          <w:vertAlign w:val="superscript"/>
          <w:lang w:val="es-419"/>
        </w:rPr>
        <w:t>1</w:t>
      </w:r>
    </w:p>
    <w:p w14:paraId="3C8C4C76" w14:textId="77777777" w:rsidR="00990489" w:rsidRPr="00F72633" w:rsidRDefault="00990489" w:rsidP="00990489">
      <w:pPr>
        <w:spacing w:before="40"/>
        <w:jc w:val="left"/>
        <w:rPr>
          <w:sz w:val="16"/>
          <w:szCs w:val="16"/>
          <w:lang w:val="es-419"/>
        </w:rPr>
      </w:pPr>
      <w:r w:rsidRPr="00F72633">
        <w:rPr>
          <w:sz w:val="16"/>
          <w:lang w:val="es-419"/>
        </w:rPr>
        <w:t>Túnez</w:t>
      </w:r>
      <w:r w:rsidRPr="00F72633">
        <w:rPr>
          <w:sz w:val="16"/>
          <w:vertAlign w:val="superscript"/>
          <w:lang w:val="es-419"/>
        </w:rPr>
        <w:t>2</w:t>
      </w:r>
    </w:p>
    <w:p w14:paraId="6D5E1438" w14:textId="77777777" w:rsidR="00990489" w:rsidRPr="00F72633" w:rsidRDefault="00990489" w:rsidP="00990489">
      <w:pPr>
        <w:spacing w:before="40"/>
        <w:jc w:val="left"/>
        <w:rPr>
          <w:sz w:val="16"/>
          <w:szCs w:val="16"/>
          <w:lang w:val="es-419"/>
        </w:rPr>
      </w:pPr>
      <w:r w:rsidRPr="00F72633">
        <w:rPr>
          <w:sz w:val="16"/>
          <w:lang w:val="es-419"/>
        </w:rPr>
        <w:t>Turquía</w:t>
      </w:r>
      <w:r w:rsidRPr="00F72633">
        <w:rPr>
          <w:sz w:val="16"/>
          <w:vertAlign w:val="superscript"/>
          <w:lang w:val="es-419"/>
        </w:rPr>
        <w:t>2</w:t>
      </w:r>
    </w:p>
    <w:p w14:paraId="4D3AA1E1" w14:textId="77777777" w:rsidR="00990489" w:rsidRPr="00F72633" w:rsidRDefault="00990489" w:rsidP="00990489">
      <w:pPr>
        <w:spacing w:before="40"/>
        <w:jc w:val="left"/>
        <w:rPr>
          <w:sz w:val="16"/>
          <w:szCs w:val="16"/>
          <w:lang w:val="es-419"/>
        </w:rPr>
      </w:pPr>
      <w:r w:rsidRPr="00F72633">
        <w:rPr>
          <w:sz w:val="16"/>
          <w:lang w:val="es-419"/>
        </w:rPr>
        <w:t>Ucrania</w:t>
      </w:r>
      <w:r w:rsidRPr="00F72633">
        <w:rPr>
          <w:sz w:val="16"/>
          <w:vertAlign w:val="superscript"/>
          <w:lang w:val="es-419"/>
        </w:rPr>
        <w:t>2</w:t>
      </w:r>
    </w:p>
    <w:p w14:paraId="5D610031" w14:textId="77777777" w:rsidR="00990489" w:rsidRPr="00F72633" w:rsidRDefault="00990489" w:rsidP="00990489">
      <w:pPr>
        <w:spacing w:before="40"/>
        <w:jc w:val="left"/>
        <w:rPr>
          <w:sz w:val="16"/>
          <w:szCs w:val="16"/>
          <w:vertAlign w:val="superscript"/>
          <w:lang w:val="es-419"/>
        </w:rPr>
      </w:pPr>
      <w:r w:rsidRPr="00F72633">
        <w:rPr>
          <w:sz w:val="16"/>
          <w:lang w:val="es-419"/>
        </w:rPr>
        <w:t>Unión Europea</w:t>
      </w:r>
      <w:r w:rsidRPr="00F72633">
        <w:rPr>
          <w:sz w:val="16"/>
          <w:vertAlign w:val="superscript"/>
          <w:lang w:val="es-419"/>
        </w:rPr>
        <w:t>2, 3</w:t>
      </w:r>
    </w:p>
    <w:p w14:paraId="6D512E44" w14:textId="77777777" w:rsidR="00990489" w:rsidRPr="00F72633" w:rsidRDefault="00990489" w:rsidP="00990489">
      <w:pPr>
        <w:spacing w:before="40"/>
        <w:jc w:val="left"/>
        <w:rPr>
          <w:sz w:val="16"/>
          <w:szCs w:val="16"/>
          <w:vertAlign w:val="superscript"/>
          <w:lang w:val="es-419"/>
        </w:rPr>
      </w:pPr>
      <w:r w:rsidRPr="00F72633">
        <w:rPr>
          <w:sz w:val="16"/>
          <w:lang w:val="es-419"/>
        </w:rPr>
        <w:t>Uruguay</w:t>
      </w:r>
      <w:r w:rsidRPr="00F72633">
        <w:rPr>
          <w:sz w:val="16"/>
          <w:vertAlign w:val="superscript"/>
          <w:lang w:val="es-419"/>
        </w:rPr>
        <w:t>1</w:t>
      </w:r>
    </w:p>
    <w:p w14:paraId="5E68D811" w14:textId="77777777" w:rsidR="00990489" w:rsidRPr="00F72633" w:rsidRDefault="00990489" w:rsidP="00990489">
      <w:pPr>
        <w:spacing w:before="40"/>
        <w:jc w:val="left"/>
        <w:rPr>
          <w:sz w:val="16"/>
          <w:szCs w:val="16"/>
          <w:lang w:val="es-419"/>
        </w:rPr>
      </w:pPr>
      <w:r w:rsidRPr="00F72633">
        <w:rPr>
          <w:sz w:val="16"/>
          <w:lang w:val="es-419"/>
        </w:rPr>
        <w:t>Uzbekistán</w:t>
      </w:r>
      <w:r w:rsidRPr="00F72633">
        <w:rPr>
          <w:sz w:val="16"/>
          <w:vertAlign w:val="superscript"/>
          <w:lang w:val="es-419"/>
        </w:rPr>
        <w:t>2</w:t>
      </w:r>
    </w:p>
    <w:p w14:paraId="7735FDA2" w14:textId="77777777" w:rsidR="00990489" w:rsidRPr="00F72633" w:rsidRDefault="00990489" w:rsidP="00990489">
      <w:pPr>
        <w:spacing w:before="40"/>
        <w:jc w:val="left"/>
        <w:rPr>
          <w:sz w:val="16"/>
          <w:szCs w:val="16"/>
          <w:lang w:val="es-419"/>
        </w:rPr>
      </w:pPr>
      <w:r w:rsidRPr="00F72633">
        <w:rPr>
          <w:sz w:val="16"/>
          <w:lang w:val="es-419"/>
        </w:rPr>
        <w:t>Viet Nam</w:t>
      </w:r>
      <w:r w:rsidRPr="00F72633">
        <w:rPr>
          <w:sz w:val="16"/>
          <w:vertAlign w:val="superscript"/>
          <w:lang w:val="es-419"/>
        </w:rPr>
        <w:t>2</w:t>
      </w:r>
    </w:p>
    <w:p w14:paraId="6D501A8C" w14:textId="5CBF2257" w:rsidR="00990489" w:rsidRDefault="00990489" w:rsidP="00990489">
      <w:pPr>
        <w:pStyle w:val="BodyText"/>
        <w:spacing w:after="120"/>
        <w:jc w:val="left"/>
        <w:rPr>
          <w:sz w:val="16"/>
          <w:szCs w:val="16"/>
          <w:lang w:val="es-419"/>
        </w:rPr>
      </w:pPr>
    </w:p>
    <w:p w14:paraId="35175FE0" w14:textId="77777777" w:rsidR="00990489" w:rsidRPr="00F72633" w:rsidRDefault="00990489" w:rsidP="00990489">
      <w:pPr>
        <w:pStyle w:val="BodyText"/>
        <w:jc w:val="right"/>
        <w:rPr>
          <w:sz w:val="16"/>
          <w:szCs w:val="16"/>
          <w:lang w:val="es-419"/>
        </w:rPr>
        <w:sectPr w:rsidR="00990489" w:rsidRPr="00F72633" w:rsidSect="000C4026">
          <w:headerReference w:type="even" r:id="rId82"/>
          <w:headerReference w:type="default" r:id="rId83"/>
          <w:footerReference w:type="even" r:id="rId84"/>
          <w:footerReference w:type="default" r:id="rId85"/>
          <w:headerReference w:type="first" r:id="rId86"/>
          <w:footerReference w:type="first" r:id="rId87"/>
          <w:footnotePr>
            <w:numRestart w:val="eachSect"/>
          </w:footnotePr>
          <w:endnotePr>
            <w:numFmt w:val="lowerLetter"/>
          </w:endnotePr>
          <w:type w:val="continuous"/>
          <w:pgSz w:w="11907" w:h="16840" w:code="9"/>
          <w:pgMar w:top="1134" w:right="850" w:bottom="851" w:left="851" w:header="425" w:footer="680" w:gutter="0"/>
          <w:cols w:num="5" w:space="211"/>
          <w:titlePg/>
          <w:docGrid w:linePitch="272"/>
        </w:sectPr>
      </w:pPr>
      <w:r w:rsidRPr="00F72633">
        <w:rPr>
          <w:sz w:val="16"/>
          <w:lang w:val="es-419"/>
        </w:rPr>
        <w:t>(Total: 78)</w:t>
      </w:r>
    </w:p>
    <w:p w14:paraId="3F8DB0DA" w14:textId="77777777" w:rsidR="001D5C8B" w:rsidRPr="00F72633" w:rsidRDefault="001D5C8B" w:rsidP="001D5C8B">
      <w:pPr>
        <w:pStyle w:val="BodyText"/>
        <w:rPr>
          <w:sz w:val="16"/>
          <w:szCs w:val="16"/>
          <w:lang w:val="es-419"/>
        </w:rPr>
      </w:pPr>
    </w:p>
    <w:p w14:paraId="39C66EE4" w14:textId="77777777" w:rsidR="001D5C8B" w:rsidRPr="00F72633" w:rsidRDefault="001D5C8B" w:rsidP="001D5C8B">
      <w:pPr>
        <w:spacing w:before="40" w:after="120"/>
        <w:jc w:val="left"/>
        <w:rPr>
          <w:sz w:val="16"/>
          <w:u w:val="single"/>
          <w:lang w:val="es-419"/>
        </w:rPr>
        <w:sectPr w:rsidR="001D5C8B" w:rsidRPr="00F72633" w:rsidSect="00B904E7">
          <w:headerReference w:type="even" r:id="rId88"/>
          <w:headerReference w:type="default" r:id="rId89"/>
          <w:footerReference w:type="even" r:id="rId90"/>
          <w:footerReference w:type="default" r:id="rId91"/>
          <w:headerReference w:type="first" r:id="rId92"/>
          <w:footerReference w:type="first" r:id="rId93"/>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p>
    <w:p w14:paraId="0C98F68D" w14:textId="77777777" w:rsidR="001D5C8B" w:rsidRPr="00F72633" w:rsidRDefault="001D5C8B" w:rsidP="001D5C8B">
      <w:pPr>
        <w:tabs>
          <w:tab w:val="left" w:pos="1418"/>
        </w:tabs>
        <w:spacing w:before="40" w:after="120"/>
        <w:jc w:val="left"/>
        <w:rPr>
          <w:sz w:val="16"/>
          <w:u w:val="single"/>
          <w:lang w:val="es-419"/>
        </w:rPr>
      </w:pPr>
      <w:r w:rsidRPr="00F72633">
        <w:rPr>
          <w:sz w:val="16"/>
          <w:u w:val="single"/>
          <w:lang w:val="es-419"/>
        </w:rPr>
        <w:tab/>
      </w:r>
    </w:p>
    <w:p w14:paraId="63372AE7" w14:textId="2D46148C" w:rsidR="001D5C8B" w:rsidRPr="00F72633" w:rsidRDefault="001D5C8B" w:rsidP="001D5C8B">
      <w:pPr>
        <w:tabs>
          <w:tab w:val="left" w:pos="284"/>
        </w:tabs>
        <w:spacing w:after="60"/>
        <w:ind w:left="84"/>
        <w:rPr>
          <w:sz w:val="14"/>
          <w:szCs w:val="16"/>
          <w:lang w:val="es-419"/>
        </w:rPr>
      </w:pPr>
      <w:r w:rsidRPr="00F72633">
        <w:rPr>
          <w:sz w:val="14"/>
          <w:szCs w:val="16"/>
          <w:vertAlign w:val="superscript"/>
          <w:lang w:val="es-419"/>
        </w:rPr>
        <w:t>1</w:t>
      </w:r>
      <w:r w:rsidRPr="00F72633">
        <w:rPr>
          <w:sz w:val="14"/>
          <w:szCs w:val="16"/>
          <w:lang w:val="es-419"/>
        </w:rPr>
        <w:tab/>
      </w:r>
      <w:r w:rsidR="00972959" w:rsidRPr="00F72633">
        <w:rPr>
          <w:sz w:val="14"/>
          <w:lang w:val="es-419"/>
        </w:rPr>
        <w:t>El Acta de 1978 es la última Acta por la que 17 </w:t>
      </w:r>
      <w:r w:rsidR="00303720" w:rsidRPr="00F72633">
        <w:rPr>
          <w:sz w:val="14"/>
          <w:lang w:val="es-419"/>
        </w:rPr>
        <w:t>Estados están vinculados.</w:t>
      </w:r>
    </w:p>
    <w:p w14:paraId="5675DC26" w14:textId="22322E88" w:rsidR="001D5C8B" w:rsidRPr="00F72633" w:rsidRDefault="001D5C8B" w:rsidP="001D5C8B">
      <w:pPr>
        <w:tabs>
          <w:tab w:val="left" w:pos="284"/>
        </w:tabs>
        <w:spacing w:after="60"/>
        <w:ind w:left="84"/>
        <w:rPr>
          <w:sz w:val="14"/>
          <w:szCs w:val="16"/>
          <w:lang w:val="es-419"/>
        </w:rPr>
      </w:pPr>
      <w:r w:rsidRPr="00F72633">
        <w:rPr>
          <w:sz w:val="14"/>
          <w:szCs w:val="16"/>
          <w:vertAlign w:val="superscript"/>
          <w:lang w:val="es-419"/>
        </w:rPr>
        <w:t>2</w:t>
      </w:r>
      <w:r w:rsidRPr="00F72633">
        <w:rPr>
          <w:sz w:val="14"/>
          <w:szCs w:val="16"/>
          <w:lang w:val="es-419"/>
        </w:rPr>
        <w:tab/>
      </w:r>
      <w:r w:rsidR="00972959" w:rsidRPr="00F72633">
        <w:rPr>
          <w:sz w:val="14"/>
          <w:lang w:val="es-419"/>
        </w:rPr>
        <w:t>El Acta de 1991 es la última Acta por la que 59 Estados y 2 </w:t>
      </w:r>
      <w:r w:rsidR="00303720" w:rsidRPr="00F72633">
        <w:rPr>
          <w:sz w:val="14"/>
          <w:lang w:val="es-419"/>
        </w:rPr>
        <w:t>organizaciones están vinculados.</w:t>
      </w:r>
    </w:p>
    <w:p w14:paraId="028B7DCB" w14:textId="56B7EF24" w:rsidR="001D5C8B" w:rsidRPr="00F72633" w:rsidRDefault="001D5C8B" w:rsidP="001D5C8B">
      <w:pPr>
        <w:tabs>
          <w:tab w:val="left" w:pos="284"/>
        </w:tabs>
        <w:spacing w:after="60"/>
        <w:ind w:left="284" w:hanging="200"/>
        <w:rPr>
          <w:sz w:val="14"/>
          <w:szCs w:val="16"/>
          <w:lang w:val="es-419"/>
        </w:rPr>
      </w:pPr>
      <w:r w:rsidRPr="00F72633">
        <w:rPr>
          <w:sz w:val="14"/>
          <w:szCs w:val="16"/>
          <w:vertAlign w:val="superscript"/>
          <w:lang w:val="es-419"/>
        </w:rPr>
        <w:t>3</w:t>
      </w:r>
      <w:r w:rsidRPr="00F72633">
        <w:rPr>
          <w:sz w:val="14"/>
          <w:szCs w:val="16"/>
          <w:lang w:val="es-419"/>
        </w:rPr>
        <w:tab/>
      </w:r>
      <w:r w:rsidR="00303720" w:rsidRPr="00F72633">
        <w:rPr>
          <w:sz w:val="14"/>
          <w:lang w:val="es-419"/>
        </w:rPr>
        <w:t>Cuenta con un sistema de protección de los derechos de obtentor</w:t>
      </w:r>
      <w:r w:rsidR="00972959" w:rsidRPr="00F72633">
        <w:rPr>
          <w:sz w:val="14"/>
          <w:lang w:val="es-419"/>
        </w:rPr>
        <w:t xml:space="preserve"> que cubre el territorio de sus 27 </w:t>
      </w:r>
      <w:r w:rsidR="00303720" w:rsidRPr="00F72633">
        <w:rPr>
          <w:sz w:val="14"/>
          <w:lang w:val="es-419"/>
        </w:rPr>
        <w:t xml:space="preserve">Estados miembros </w:t>
      </w:r>
      <w:r w:rsidR="00303720" w:rsidRPr="00F72633">
        <w:rPr>
          <w:i/>
          <w:sz w:val="14"/>
          <w:lang w:val="es-419"/>
        </w:rPr>
        <w:t>(Alemania, Austria, Bélgica, Bulgaria, Chipre, Croacia, Dinamarca, Eslovaquia, Eslovenia, España, Estonia, Finlandia, Francia, Grecia, Hungría, Irlanda, Italia, Letonia, Lituania, Luxemburgo, Malta, Países Bajos, Polonia, Portugal, República Checa, Rumania, Suecia)</w:t>
      </w:r>
      <w:r w:rsidRPr="00F72633">
        <w:rPr>
          <w:i/>
          <w:sz w:val="14"/>
          <w:szCs w:val="16"/>
          <w:lang w:val="es-419"/>
        </w:rPr>
        <w:t>.</w:t>
      </w:r>
    </w:p>
    <w:p w14:paraId="3C657C02" w14:textId="529CBF36" w:rsidR="001D5C8B" w:rsidRPr="00F72633" w:rsidRDefault="001D5C8B" w:rsidP="001D5C8B">
      <w:pPr>
        <w:tabs>
          <w:tab w:val="left" w:pos="284"/>
        </w:tabs>
        <w:spacing w:after="60"/>
        <w:ind w:left="284" w:hanging="200"/>
        <w:rPr>
          <w:i/>
          <w:sz w:val="14"/>
          <w:szCs w:val="16"/>
          <w:lang w:val="es-419"/>
        </w:rPr>
      </w:pPr>
      <w:r w:rsidRPr="00F72633">
        <w:rPr>
          <w:sz w:val="14"/>
          <w:szCs w:val="16"/>
          <w:vertAlign w:val="superscript"/>
          <w:lang w:val="es-419"/>
        </w:rPr>
        <w:t>4</w:t>
      </w:r>
      <w:r w:rsidRPr="00F72633">
        <w:rPr>
          <w:sz w:val="14"/>
          <w:szCs w:val="16"/>
          <w:lang w:val="es-419"/>
        </w:rPr>
        <w:tab/>
      </w:r>
      <w:r w:rsidR="00303720" w:rsidRPr="00F72633">
        <w:rPr>
          <w:sz w:val="14"/>
          <w:lang w:val="es-419"/>
        </w:rPr>
        <w:t>Cuenta con un sistema de derechos de obtentor que se</w:t>
      </w:r>
      <w:r w:rsidR="00386075" w:rsidRPr="00F72633">
        <w:rPr>
          <w:sz w:val="14"/>
          <w:lang w:val="es-419"/>
        </w:rPr>
        <w:t xml:space="preserve"> aplica en el territorio de sus 17 </w:t>
      </w:r>
      <w:r w:rsidR="00303720" w:rsidRPr="00F72633">
        <w:rPr>
          <w:sz w:val="14"/>
          <w:lang w:val="es-419"/>
        </w:rPr>
        <w:t xml:space="preserve">Estados miembros </w:t>
      </w:r>
      <w:r w:rsidR="00303720" w:rsidRPr="00F72633">
        <w:rPr>
          <w:i/>
          <w:sz w:val="14"/>
          <w:lang w:val="es-419"/>
        </w:rPr>
        <w:t>(Benin, Burkina Faso, Camerún, Chad, Comoras, Congo, Côte d’Ivoire, Gabón, Guinea, Guinea Bissau, Guinea Ecuatorial, Malí, Mauritania, Níger, República Centroafricana, Senegal y Togo).</w:t>
      </w:r>
    </w:p>
    <w:p w14:paraId="1C533977" w14:textId="77777777" w:rsidR="001D5C8B" w:rsidRPr="00F72633" w:rsidRDefault="001D5C8B" w:rsidP="001D5C8B">
      <w:pPr>
        <w:keepNext/>
        <w:jc w:val="center"/>
        <w:rPr>
          <w:b/>
          <w:sz w:val="18"/>
          <w:szCs w:val="24"/>
          <w:lang w:val="es-419"/>
        </w:rPr>
      </w:pPr>
    </w:p>
    <w:p w14:paraId="3FD04174" w14:textId="77777777" w:rsidR="001D5C8B" w:rsidRPr="00F72633" w:rsidRDefault="001D5C8B" w:rsidP="001D5C8B">
      <w:pPr>
        <w:keepNext/>
        <w:jc w:val="center"/>
        <w:rPr>
          <w:b/>
          <w:sz w:val="18"/>
          <w:szCs w:val="24"/>
          <w:lang w:val="es-419"/>
        </w:rPr>
      </w:pPr>
    </w:p>
    <w:p w14:paraId="7EF584B0" w14:textId="77777777" w:rsidR="00FC3D21" w:rsidRPr="00F72633" w:rsidRDefault="00FC3D21" w:rsidP="00FC3D21">
      <w:pPr>
        <w:keepNext/>
        <w:tabs>
          <w:tab w:val="left" w:pos="0"/>
        </w:tabs>
        <w:jc w:val="center"/>
        <w:rPr>
          <w:b/>
          <w:spacing w:val="-2"/>
          <w:lang w:val="es-419"/>
        </w:rPr>
      </w:pPr>
      <w:r w:rsidRPr="00F72633">
        <w:rPr>
          <w:b/>
          <w:lang w:val="es-419"/>
        </w:rPr>
        <w:t>Estados y organizaciones intergubernamentales que han iniciado el procedimiento de adhesión al Convenio de la UPOV</w:t>
      </w:r>
    </w:p>
    <w:p w14:paraId="2BF03D4A" w14:textId="77777777" w:rsidR="00FC3D21" w:rsidRPr="00F72633" w:rsidRDefault="00FC3D21" w:rsidP="00FC3D21">
      <w:pPr>
        <w:pStyle w:val="BodyText3"/>
        <w:keepNext/>
        <w:tabs>
          <w:tab w:val="left" w:pos="284"/>
        </w:tabs>
        <w:spacing w:after="0"/>
        <w:rPr>
          <w:sz w:val="18"/>
          <w:szCs w:val="20"/>
          <w:lang w:val="es-419"/>
        </w:rPr>
      </w:pPr>
    </w:p>
    <w:p w14:paraId="428A8246" w14:textId="4BB9A657" w:rsidR="001D5C8B" w:rsidRPr="00F72633" w:rsidRDefault="00FC3D21" w:rsidP="00FC3D21">
      <w:pPr>
        <w:pStyle w:val="BodyText3"/>
        <w:tabs>
          <w:tab w:val="left" w:pos="284"/>
        </w:tabs>
        <w:spacing w:after="0"/>
        <w:rPr>
          <w:sz w:val="18"/>
          <w:szCs w:val="20"/>
          <w:lang w:val="es-419"/>
        </w:rPr>
      </w:pPr>
      <w:r w:rsidRPr="00F72633">
        <w:rPr>
          <w:lang w:val="es-419"/>
        </w:rPr>
        <w:t>Afganistán, Armenia, Brunei Darussalam, Emiratos Árabes Unidos, Filipinas, Guatemala, Honduras, India, Irán (República Islámica de), Jamaica, Kazajstán, Malasia, Mauricio, Mongolia, Myanmar, Nigeria, Tayikistán, Venezuela (República Bolivariana de) y Zimbabwe, así como la Organización Regional Africana de la Propiedad Intelectual (ARIPO).</w:t>
      </w:r>
    </w:p>
    <w:p w14:paraId="49CB2D0D" w14:textId="77777777" w:rsidR="000A2FCD" w:rsidRPr="00F72633" w:rsidRDefault="000A2FCD" w:rsidP="000A2FCD">
      <w:pPr>
        <w:keepNext/>
        <w:jc w:val="center"/>
        <w:rPr>
          <w:b/>
          <w:sz w:val="18"/>
          <w:szCs w:val="24"/>
          <w:lang w:val="es-419"/>
        </w:rPr>
      </w:pPr>
    </w:p>
    <w:p w14:paraId="128C2CFC" w14:textId="77777777" w:rsidR="000A2FCD" w:rsidRPr="00F72633" w:rsidRDefault="000A2FCD" w:rsidP="000A2FCD">
      <w:pPr>
        <w:keepNext/>
        <w:jc w:val="center"/>
        <w:rPr>
          <w:b/>
          <w:sz w:val="18"/>
          <w:szCs w:val="24"/>
          <w:lang w:val="es-419"/>
        </w:rPr>
      </w:pPr>
    </w:p>
    <w:p w14:paraId="5BE394FF" w14:textId="77777777" w:rsidR="00FC3D21" w:rsidRPr="00F72633" w:rsidRDefault="00FC3D21" w:rsidP="00FC3D21">
      <w:pPr>
        <w:jc w:val="center"/>
        <w:rPr>
          <w:b/>
          <w:lang w:val="es-419"/>
        </w:rPr>
      </w:pPr>
      <w:r w:rsidRPr="00F72633">
        <w:rPr>
          <w:b/>
          <w:lang w:val="es-419"/>
        </w:rPr>
        <w:t>Estados y organizaciones intergubernamentales que han entrado en contacto con la Oficina de la Unión para solicitarle asistencia en la elaboración de leyes basadas en el Convenio de la UPOV</w:t>
      </w:r>
    </w:p>
    <w:p w14:paraId="44D7D7EC" w14:textId="77777777" w:rsidR="00FC3D21" w:rsidRPr="00F72633" w:rsidRDefault="00FC3D21" w:rsidP="00FC3D21">
      <w:pPr>
        <w:jc w:val="center"/>
        <w:rPr>
          <w:b/>
          <w:lang w:val="es-419"/>
        </w:rPr>
      </w:pPr>
    </w:p>
    <w:p w14:paraId="65242D4C" w14:textId="77736E86" w:rsidR="001D5C8B" w:rsidRPr="00F72633" w:rsidRDefault="00FC3D21" w:rsidP="000A2FCD">
      <w:pPr>
        <w:rPr>
          <w:sz w:val="16"/>
          <w:szCs w:val="16"/>
          <w:lang w:val="es-419"/>
        </w:rPr>
      </w:pPr>
      <w:r w:rsidRPr="00F72633">
        <w:rPr>
          <w:sz w:val="16"/>
          <w:lang w:val="es-419"/>
        </w:rPr>
        <w:t>Antigua y Barbuda, Arabia Saudita, Argelia, Bahrein, Barbados, Camboya, Chipre, Cuba, El Salvador, Indonesia, Iraq, Libia, Liechtenstein, Malawi, Mozambique, Namibia, Pakistán, República Democrática Popular Lao, Sudán, Tailandia, Tonga, Turkmenistán y Zambia, así como la Comunidad de África Meridional para el Desarrollo (SADC).</w:t>
      </w:r>
    </w:p>
    <w:p w14:paraId="37EA9D91" w14:textId="77777777" w:rsidR="001D5C8B" w:rsidRPr="00F72633" w:rsidRDefault="001D5C8B" w:rsidP="001D5C8B">
      <w:pPr>
        <w:jc w:val="left"/>
        <w:rPr>
          <w:sz w:val="18"/>
          <w:lang w:val="es-419"/>
        </w:rPr>
      </w:pPr>
    </w:p>
    <w:p w14:paraId="3EAB9F2A" w14:textId="77777777" w:rsidR="003E3C19" w:rsidRPr="00F72633" w:rsidRDefault="003E3C19" w:rsidP="003E3C19">
      <w:pPr>
        <w:rPr>
          <w:i/>
          <w:sz w:val="16"/>
          <w:szCs w:val="24"/>
          <w:lang w:val="es-419"/>
        </w:rPr>
      </w:pPr>
    </w:p>
    <w:p w14:paraId="5905DFC7" w14:textId="77777777" w:rsidR="003E3C19" w:rsidRPr="00F72633" w:rsidRDefault="003E3C19" w:rsidP="003E3C19">
      <w:pPr>
        <w:rPr>
          <w:i/>
          <w:sz w:val="16"/>
          <w:szCs w:val="24"/>
          <w:lang w:val="es-419"/>
        </w:rPr>
      </w:pPr>
    </w:p>
    <w:p w14:paraId="5166C71C" w14:textId="77777777" w:rsidR="003E3C19" w:rsidRPr="00F72633" w:rsidRDefault="003E3C19" w:rsidP="003E3C19">
      <w:pPr>
        <w:rPr>
          <w:sz w:val="16"/>
          <w:szCs w:val="16"/>
          <w:lang w:val="es-419"/>
        </w:rPr>
        <w:sectPr w:rsidR="003E3C19" w:rsidRPr="00F72633" w:rsidSect="00B904E7">
          <w:headerReference w:type="even" r:id="rId94"/>
          <w:headerReference w:type="default" r:id="rId95"/>
          <w:footerReference w:type="even" r:id="rId96"/>
          <w:footerReference w:type="default" r:id="rId97"/>
          <w:headerReference w:type="first" r:id="rId98"/>
          <w:footerReference w:type="first" r:id="rId99"/>
          <w:footnotePr>
            <w:numRestart w:val="eachSect"/>
          </w:footnotePr>
          <w:endnotePr>
            <w:numFmt w:val="lowerLetter"/>
          </w:endnotePr>
          <w:type w:val="continuous"/>
          <w:pgSz w:w="11907" w:h="16840" w:code="9"/>
          <w:pgMar w:top="1134" w:right="850" w:bottom="851" w:left="851" w:header="425" w:footer="680" w:gutter="0"/>
          <w:cols w:space="113"/>
          <w:titlePg/>
          <w:docGrid w:linePitch="272"/>
        </w:sectPr>
      </w:pPr>
    </w:p>
    <w:p w14:paraId="6EF153A3" w14:textId="77777777" w:rsidR="003E3C19" w:rsidRPr="00F72633" w:rsidRDefault="003E3C19" w:rsidP="003E3C19">
      <w:pPr>
        <w:jc w:val="left"/>
        <w:rPr>
          <w:lang w:val="es-419"/>
        </w:rPr>
      </w:pPr>
    </w:p>
    <w:p w14:paraId="3B228595" w14:textId="285D6B3A" w:rsidR="00D165C8" w:rsidRPr="00F72633" w:rsidRDefault="009914D5" w:rsidP="003E3C19">
      <w:pPr>
        <w:rPr>
          <w:lang w:val="es-419"/>
        </w:rPr>
      </w:pPr>
      <w:r w:rsidRPr="00F72633">
        <w:rPr>
          <w:lang w:val="es-419"/>
        </w:rPr>
        <w:t>En el mapa siguiente se ofrece un panorama de la situación en relación con la UPOV al final de</w:t>
      </w:r>
      <w:r w:rsidR="003E3C19" w:rsidRPr="00F72633">
        <w:rPr>
          <w:lang w:val="es-419"/>
        </w:rPr>
        <w:t xml:space="preserve"> 202</w:t>
      </w:r>
      <w:r w:rsidR="00D165C8" w:rsidRPr="00F72633">
        <w:rPr>
          <w:lang w:val="es-419"/>
        </w:rPr>
        <w:t>2</w:t>
      </w:r>
      <w:r w:rsidR="003E3C19" w:rsidRPr="00F72633">
        <w:rPr>
          <w:lang w:val="es-419"/>
        </w:rPr>
        <w:t>.</w:t>
      </w:r>
    </w:p>
    <w:p w14:paraId="366B783A" w14:textId="77777777" w:rsidR="003E3C19" w:rsidRPr="00F72633" w:rsidRDefault="003E3C19" w:rsidP="003E3C19">
      <w:pPr>
        <w:keepNext/>
        <w:jc w:val="center"/>
        <w:rPr>
          <w:i/>
          <w:color w:val="26724C" w:themeColor="accent1" w:themeShade="BF"/>
          <w:sz w:val="18"/>
          <w:lang w:val="es-419"/>
        </w:rPr>
      </w:pPr>
    </w:p>
    <w:p w14:paraId="53F00D67" w14:textId="77777777" w:rsidR="003E3C19" w:rsidRPr="00F72633" w:rsidRDefault="001D5C8B" w:rsidP="003E3C19">
      <w:pPr>
        <w:jc w:val="center"/>
        <w:rPr>
          <w:spacing w:val="-2"/>
          <w:lang w:val="es-419"/>
        </w:rPr>
      </w:pPr>
      <w:r w:rsidRPr="00F72633">
        <w:rPr>
          <w:noProof/>
          <w:spacing w:val="-2"/>
          <w:lang w:eastAsia="en-US"/>
        </w:rPr>
        <w:drawing>
          <wp:inline distT="0" distB="0" distL="0" distR="0" wp14:anchorId="32469B72" wp14:editId="59C64239">
            <wp:extent cx="6104804" cy="3093101"/>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6104804" cy="3093101"/>
                    </a:xfrm>
                    <a:prstGeom prst="rect">
                      <a:avLst/>
                    </a:prstGeom>
                    <a:noFill/>
                    <a:ln>
                      <a:noFill/>
                    </a:ln>
                  </pic:spPr>
                </pic:pic>
              </a:graphicData>
            </a:graphic>
          </wp:inline>
        </w:drawing>
      </w:r>
    </w:p>
    <w:p w14:paraId="3B3F1B6F" w14:textId="3869EEC9" w:rsidR="003E3C19" w:rsidRPr="00F72633" w:rsidRDefault="00764788" w:rsidP="003E3C19">
      <w:pPr>
        <w:pStyle w:val="BodyText"/>
        <w:spacing w:after="180"/>
        <w:rPr>
          <w:sz w:val="12"/>
          <w:szCs w:val="12"/>
          <w:lang w:val="es-419"/>
        </w:rPr>
      </w:pPr>
      <w:r w:rsidRPr="00F72633">
        <w:rPr>
          <w:sz w:val="12"/>
          <w:szCs w:val="12"/>
          <w:lang w:val="es-419"/>
        </w:rPr>
        <w:t>Las fronteras que figuran en este mapa no implican la expresión de opinión alguna por parte de la UPOV sobre la condición jurídica de ningún país o territorio.</w:t>
      </w:r>
    </w:p>
    <w:p w14:paraId="7F0C4431" w14:textId="5522517B" w:rsidR="003E3C19" w:rsidRPr="00F72633" w:rsidRDefault="003E3C19" w:rsidP="003E3C19">
      <w:pPr>
        <w:spacing w:after="60"/>
        <w:ind w:left="567" w:hanging="567"/>
        <w:jc w:val="left"/>
        <w:rPr>
          <w:sz w:val="16"/>
          <w:szCs w:val="16"/>
          <w:lang w:val="es-419"/>
        </w:rPr>
      </w:pPr>
      <w:r w:rsidRPr="00F72633">
        <w:rPr>
          <w:noProof/>
          <w:sz w:val="18"/>
          <w:lang w:eastAsia="en-US"/>
        </w:rPr>
        <w:drawing>
          <wp:inline distT="0" distB="0" distL="0" distR="0" wp14:anchorId="25E76E6F" wp14:editId="3A84571D">
            <wp:extent cx="115200" cy="115200"/>
            <wp:effectExtent l="19050" t="19050" r="18415" b="184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stretch>
                      <a:fillRect/>
                    </a:stretch>
                  </pic:blipFill>
                  <pic:spPr>
                    <a:xfrm>
                      <a:off x="0" y="0"/>
                      <a:ext cx="115200" cy="115200"/>
                    </a:xfrm>
                    <a:prstGeom prst="rect">
                      <a:avLst/>
                    </a:prstGeom>
                    <a:ln>
                      <a:solidFill>
                        <a:schemeClr val="tx1"/>
                      </a:solidFill>
                    </a:ln>
                  </pic:spPr>
                </pic:pic>
              </a:graphicData>
            </a:graphic>
          </wp:inline>
        </w:drawing>
      </w:r>
      <w:r w:rsidRPr="00F72633">
        <w:rPr>
          <w:sz w:val="16"/>
          <w:szCs w:val="16"/>
          <w:lang w:val="es-419"/>
        </w:rPr>
        <w:tab/>
      </w:r>
      <w:r w:rsidR="009914D5" w:rsidRPr="00F72633">
        <w:rPr>
          <w:sz w:val="16"/>
          <w:lang w:val="es-419"/>
        </w:rPr>
        <w:t>78</w:t>
      </w:r>
      <w:r w:rsidR="003D748C" w:rsidRPr="00F72633">
        <w:rPr>
          <w:sz w:val="16"/>
          <w:lang w:val="es-419"/>
        </w:rPr>
        <w:t> </w:t>
      </w:r>
      <w:r w:rsidR="009914D5" w:rsidRPr="00F72633">
        <w:rPr>
          <w:sz w:val="16"/>
          <w:lang w:val="es-419"/>
        </w:rPr>
        <w:t>miembr</w:t>
      </w:r>
      <w:r w:rsidR="003D748C" w:rsidRPr="00F72633">
        <w:rPr>
          <w:sz w:val="16"/>
          <w:lang w:val="es-419"/>
        </w:rPr>
        <w:t>os de la UPOV, que abarcaban 97 </w:t>
      </w:r>
      <w:r w:rsidR="009914D5" w:rsidRPr="00F72633">
        <w:rPr>
          <w:sz w:val="16"/>
          <w:lang w:val="es-419"/>
        </w:rPr>
        <w:t>Estados, al final de</w:t>
      </w:r>
      <w:r w:rsidR="003D748C" w:rsidRPr="00F72633">
        <w:rPr>
          <w:sz w:val="16"/>
          <w:lang w:val="es-419"/>
        </w:rPr>
        <w:t> </w:t>
      </w:r>
      <w:r w:rsidR="00F76178" w:rsidRPr="00F72633">
        <w:rPr>
          <w:sz w:val="16"/>
          <w:lang w:val="es-419"/>
        </w:rPr>
        <w:t>2022</w:t>
      </w:r>
    </w:p>
    <w:p w14:paraId="14A107F6" w14:textId="6480F63C" w:rsidR="003E3C19" w:rsidRPr="00F72633" w:rsidRDefault="003E3C19" w:rsidP="003E3C19">
      <w:pPr>
        <w:spacing w:after="60"/>
        <w:ind w:left="567" w:hanging="567"/>
        <w:jc w:val="left"/>
        <w:rPr>
          <w:sz w:val="16"/>
          <w:szCs w:val="16"/>
          <w:lang w:val="es-419"/>
        </w:rPr>
      </w:pPr>
      <w:r w:rsidRPr="00F72633">
        <w:rPr>
          <w:noProof/>
          <w:sz w:val="18"/>
          <w:lang w:eastAsia="en-US"/>
        </w:rPr>
        <w:drawing>
          <wp:inline distT="0" distB="0" distL="0" distR="0" wp14:anchorId="020ED59F" wp14:editId="0E25DF53">
            <wp:extent cx="115200" cy="115200"/>
            <wp:effectExtent l="19050" t="19050" r="18415" b="184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15200" cy="115200"/>
                    </a:xfrm>
                    <a:prstGeom prst="rect">
                      <a:avLst/>
                    </a:prstGeom>
                    <a:ln>
                      <a:solidFill>
                        <a:schemeClr val="tx1"/>
                      </a:solidFill>
                    </a:ln>
                  </pic:spPr>
                </pic:pic>
              </a:graphicData>
            </a:graphic>
          </wp:inline>
        </w:drawing>
      </w:r>
      <w:r w:rsidRPr="00F72633">
        <w:rPr>
          <w:sz w:val="16"/>
          <w:szCs w:val="16"/>
          <w:lang w:val="es-419"/>
        </w:rPr>
        <w:tab/>
      </w:r>
      <w:r w:rsidR="003D748C" w:rsidRPr="00F72633">
        <w:rPr>
          <w:sz w:val="16"/>
          <w:lang w:val="es-419"/>
        </w:rPr>
        <w:t>19 Estados y 1 </w:t>
      </w:r>
      <w:r w:rsidR="009914D5" w:rsidRPr="00F72633">
        <w:rPr>
          <w:sz w:val="16"/>
          <w:lang w:val="es-419"/>
        </w:rPr>
        <w:t>organización intergubernamental habían iniciado el procedimiento de adhesión al Convenio de la UPOV al final de</w:t>
      </w:r>
      <w:r w:rsidR="003D748C" w:rsidRPr="00F72633">
        <w:rPr>
          <w:sz w:val="16"/>
          <w:lang w:val="es-419"/>
        </w:rPr>
        <w:t> </w:t>
      </w:r>
      <w:r w:rsidRPr="00F72633">
        <w:rPr>
          <w:sz w:val="16"/>
          <w:lang w:val="es-419"/>
        </w:rPr>
        <w:t>202</w:t>
      </w:r>
      <w:r w:rsidR="001D5C8B" w:rsidRPr="00F72633">
        <w:rPr>
          <w:sz w:val="16"/>
          <w:lang w:val="es-419"/>
        </w:rPr>
        <w:t>2</w:t>
      </w:r>
    </w:p>
    <w:p w14:paraId="00BB1B19" w14:textId="055A0A06" w:rsidR="003E3C19" w:rsidRPr="00F72633" w:rsidRDefault="003E3C19" w:rsidP="003E3C19">
      <w:pPr>
        <w:spacing w:after="60"/>
        <w:ind w:left="567" w:hanging="567"/>
        <w:jc w:val="left"/>
        <w:rPr>
          <w:sz w:val="16"/>
          <w:szCs w:val="16"/>
          <w:lang w:val="es-419"/>
        </w:rPr>
      </w:pPr>
      <w:r w:rsidRPr="00F72633">
        <w:rPr>
          <w:noProof/>
          <w:sz w:val="18"/>
          <w:lang w:eastAsia="en-US"/>
        </w:rPr>
        <w:drawing>
          <wp:inline distT="0" distB="0" distL="0" distR="0" wp14:anchorId="5DF52D39" wp14:editId="21D4CBC9">
            <wp:extent cx="115200" cy="115200"/>
            <wp:effectExtent l="19050" t="19050" r="18415" b="1841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115200" cy="115200"/>
                    </a:xfrm>
                    <a:prstGeom prst="rect">
                      <a:avLst/>
                    </a:prstGeom>
                    <a:ln>
                      <a:solidFill>
                        <a:schemeClr val="tx1"/>
                      </a:solidFill>
                    </a:ln>
                  </pic:spPr>
                </pic:pic>
              </a:graphicData>
            </a:graphic>
          </wp:inline>
        </w:drawing>
      </w:r>
      <w:r w:rsidRPr="00F72633">
        <w:rPr>
          <w:sz w:val="16"/>
          <w:szCs w:val="16"/>
          <w:lang w:val="es-419"/>
        </w:rPr>
        <w:tab/>
      </w:r>
      <w:r w:rsidR="003D748C" w:rsidRPr="00F72633">
        <w:rPr>
          <w:sz w:val="16"/>
          <w:lang w:val="es-419"/>
        </w:rPr>
        <w:t>23 Estados y 1 </w:t>
      </w:r>
      <w:r w:rsidR="009914D5" w:rsidRPr="00F72633">
        <w:rPr>
          <w:sz w:val="16"/>
          <w:lang w:val="es-419"/>
        </w:rPr>
        <w:t>organización intergubernamental habían entrado en contacto con la Oficina de la Unión para solicitarle asistencia en la elaboración de leyes basadas en el Convenio de la UPOV al final de</w:t>
      </w:r>
      <w:r w:rsidR="00046767" w:rsidRPr="00F72633">
        <w:rPr>
          <w:sz w:val="16"/>
          <w:lang w:val="es-419"/>
        </w:rPr>
        <w:t> </w:t>
      </w:r>
      <w:r w:rsidRPr="00F72633">
        <w:rPr>
          <w:sz w:val="16"/>
          <w:lang w:val="es-419"/>
        </w:rPr>
        <w:t>202</w:t>
      </w:r>
      <w:r w:rsidR="001D5C8B" w:rsidRPr="00F72633">
        <w:rPr>
          <w:sz w:val="16"/>
          <w:lang w:val="es-419"/>
        </w:rPr>
        <w:t>2</w:t>
      </w:r>
    </w:p>
    <w:p w14:paraId="250B4070" w14:textId="77777777" w:rsidR="003E3C19" w:rsidRPr="00F72633" w:rsidRDefault="003E3C19" w:rsidP="003E3C19">
      <w:pPr>
        <w:rPr>
          <w:lang w:val="es-419"/>
        </w:rPr>
      </w:pPr>
    </w:p>
    <w:p w14:paraId="3BB3BE90" w14:textId="77777777" w:rsidR="00601AB3" w:rsidRPr="00F72633" w:rsidRDefault="00601AB3" w:rsidP="003E3C19">
      <w:pPr>
        <w:rPr>
          <w:lang w:val="es-419"/>
        </w:rPr>
      </w:pPr>
    </w:p>
    <w:p w14:paraId="79A2704A" w14:textId="77777777" w:rsidR="003E3C19" w:rsidRPr="00F72633" w:rsidRDefault="003E3C19" w:rsidP="003E3C19">
      <w:pPr>
        <w:rPr>
          <w:lang w:val="es-419"/>
        </w:rPr>
      </w:pPr>
    </w:p>
    <w:p w14:paraId="67BAC476" w14:textId="2CD8444D" w:rsidR="003E3C19" w:rsidRPr="00F72633" w:rsidRDefault="003E3C19" w:rsidP="003E3C19">
      <w:pPr>
        <w:jc w:val="right"/>
        <w:rPr>
          <w:lang w:val="es-419"/>
        </w:rPr>
      </w:pPr>
      <w:r w:rsidRPr="00F72633">
        <w:rPr>
          <w:lang w:val="es-419"/>
        </w:rPr>
        <w:t>[</w:t>
      </w:r>
      <w:r w:rsidR="001479C8" w:rsidRPr="00F72633">
        <w:rPr>
          <w:lang w:val="es-419"/>
        </w:rPr>
        <w:t>Sigue el A</w:t>
      </w:r>
      <w:r w:rsidRPr="00F72633">
        <w:rPr>
          <w:lang w:val="es-419"/>
        </w:rPr>
        <w:t>nex</w:t>
      </w:r>
      <w:r w:rsidR="001479C8" w:rsidRPr="00F72633">
        <w:rPr>
          <w:lang w:val="es-419"/>
        </w:rPr>
        <w:t>o</w:t>
      </w:r>
      <w:r w:rsidRPr="00F72633">
        <w:rPr>
          <w:lang w:val="es-419"/>
        </w:rPr>
        <w:t xml:space="preserve"> IV]</w:t>
      </w:r>
    </w:p>
    <w:p w14:paraId="030FCD32" w14:textId="77777777" w:rsidR="003E3C19" w:rsidRPr="00F72633" w:rsidRDefault="003E3C19" w:rsidP="003E3C19">
      <w:pPr>
        <w:rPr>
          <w:lang w:val="es-419"/>
        </w:rPr>
      </w:pPr>
    </w:p>
    <w:p w14:paraId="103FA0FA" w14:textId="77777777" w:rsidR="003E3C19" w:rsidRPr="00F72633" w:rsidRDefault="003E3C19" w:rsidP="003E3C19">
      <w:pPr>
        <w:rPr>
          <w:lang w:val="es-419"/>
        </w:rPr>
      </w:pPr>
    </w:p>
    <w:p w14:paraId="740F57EF" w14:textId="77777777" w:rsidR="003E3C19" w:rsidRPr="00F72633" w:rsidRDefault="003E3C19" w:rsidP="003E3C19">
      <w:pPr>
        <w:rPr>
          <w:lang w:val="es-419"/>
        </w:rPr>
      </w:pPr>
    </w:p>
    <w:p w14:paraId="0BAD56C0" w14:textId="77777777" w:rsidR="003E3C19" w:rsidRPr="00F72633" w:rsidRDefault="003E3C19" w:rsidP="003E3C19">
      <w:pPr>
        <w:rPr>
          <w:lang w:val="es-419"/>
        </w:rPr>
      </w:pPr>
    </w:p>
    <w:p w14:paraId="13E5BF05" w14:textId="77777777" w:rsidR="003E3C19" w:rsidRPr="00F72633" w:rsidRDefault="003E3C19" w:rsidP="003E3C19">
      <w:pPr>
        <w:pStyle w:val="AnnexTitle"/>
        <w:rPr>
          <w:lang w:val="es-419"/>
        </w:rPr>
        <w:sectPr w:rsidR="003E3C19" w:rsidRPr="00F72633" w:rsidSect="00B904E7">
          <w:headerReference w:type="even" r:id="rId102"/>
          <w:headerReference w:type="default" r:id="rId103"/>
          <w:footerReference w:type="even" r:id="rId104"/>
          <w:footerReference w:type="default" r:id="rId105"/>
          <w:headerReference w:type="first" r:id="rId106"/>
          <w:footerReference w:type="first" r:id="rId107"/>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6FDDF04A" w14:textId="717B6425" w:rsidR="003E3C19" w:rsidRPr="00F72633" w:rsidRDefault="00AC0F6F" w:rsidP="003E3C19">
      <w:pPr>
        <w:pStyle w:val="AnnexTitle"/>
        <w:rPr>
          <w:lang w:val="es-419"/>
        </w:rPr>
      </w:pPr>
      <w:bookmarkStart w:id="53" w:name="_Toc143527480"/>
      <w:bookmarkStart w:id="54" w:name="_Toc80365159"/>
      <w:bookmarkEnd w:id="33"/>
      <w:bookmarkEnd w:id="34"/>
      <w:bookmarkEnd w:id="46"/>
      <w:r w:rsidRPr="00F72633">
        <w:rPr>
          <w:lang w:val="es-419"/>
        </w:rPr>
        <w:lastRenderedPageBreak/>
        <w:t>ANEXO</w:t>
      </w:r>
      <w:r w:rsidR="003E3C19" w:rsidRPr="00F72633">
        <w:rPr>
          <w:lang w:val="es-419"/>
        </w:rPr>
        <w:t xml:space="preserve"> IV</w:t>
      </w:r>
      <w:r w:rsidR="003E3C19" w:rsidRPr="00F72633">
        <w:rPr>
          <w:lang w:val="es-419"/>
        </w:rPr>
        <w:tab/>
      </w:r>
      <w:r w:rsidR="00947CE8" w:rsidRPr="00F72633">
        <w:rPr>
          <w:lang w:val="es-419"/>
        </w:rPr>
        <w:t>Miembros de la Unión</w:t>
      </w:r>
      <w:bookmarkEnd w:id="53"/>
    </w:p>
    <w:p w14:paraId="3058400B" w14:textId="36C7FF36" w:rsidR="003E3C19" w:rsidRPr="00F72633" w:rsidRDefault="00374153" w:rsidP="003E3C19">
      <w:pPr>
        <w:rPr>
          <w:lang w:val="es-419"/>
        </w:rPr>
      </w:pPr>
      <w:r w:rsidRPr="00F72633">
        <w:rPr>
          <w:lang w:val="es-419"/>
        </w:rPr>
        <w:t>En el presente Anexo se da cuenta de la situación de los miembros de la Unión respecto de las d</w:t>
      </w:r>
      <w:r w:rsidR="00046767" w:rsidRPr="00F72633">
        <w:rPr>
          <w:lang w:val="es-419"/>
        </w:rPr>
        <w:t>istintas Actas del Convenio, al 31 de diciembre de 2022 (véanse los artículos 31 y 32 del Convenio de </w:t>
      </w:r>
      <w:r w:rsidRPr="00F72633">
        <w:rPr>
          <w:lang w:val="es-419"/>
        </w:rPr>
        <w:t xml:space="preserve">1961, </w:t>
      </w:r>
      <w:r w:rsidR="00046767" w:rsidRPr="00F72633">
        <w:rPr>
          <w:lang w:val="es-419"/>
        </w:rPr>
        <w:t>el artículo 32.1) del Acta de 1978 y el artículo 34.2) del Acta de </w:t>
      </w:r>
      <w:r w:rsidRPr="00F72633">
        <w:rPr>
          <w:lang w:val="es-419"/>
        </w:rPr>
        <w:t>1991).</w:t>
      </w:r>
    </w:p>
    <w:p w14:paraId="449DB4E5" w14:textId="77777777" w:rsidR="003E3C19" w:rsidRPr="00F72633" w:rsidRDefault="003E3C19" w:rsidP="003E3C19">
      <w:pPr>
        <w:rPr>
          <w:lang w:val="es-419"/>
        </w:rPr>
      </w:pPr>
    </w:p>
    <w:p w14:paraId="7131994B" w14:textId="5C9D42CB" w:rsidR="001112E4" w:rsidRDefault="001112E4" w:rsidP="003E3C19">
      <w:pPr>
        <w:rPr>
          <w:lang w:val="es-419"/>
        </w:rPr>
      </w:pPr>
    </w:p>
    <w:p w14:paraId="18183BD7" w14:textId="7BD1CD3C" w:rsidR="001678EE" w:rsidRDefault="001678EE" w:rsidP="003E3C19">
      <w:pPr>
        <w:rPr>
          <w:lang w:val="es-419"/>
        </w:rPr>
      </w:pPr>
      <w:r>
        <w:rPr>
          <w:noProof/>
          <w:lang w:eastAsia="en-US"/>
        </w:rPr>
        <w:drawing>
          <wp:inline distT="0" distB="0" distL="0" distR="0" wp14:anchorId="3ABB83E3" wp14:editId="136500A3">
            <wp:extent cx="1332000" cy="1332000"/>
            <wp:effectExtent l="0" t="0" r="1905" b="1905"/>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qr-code_c_57_2_annex_iv_ES.pn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7B9972AA" w14:textId="77777777" w:rsidR="001678EE" w:rsidRPr="00F72633" w:rsidRDefault="001678EE" w:rsidP="003E3C19">
      <w:pPr>
        <w:rPr>
          <w:lang w:val="es-419"/>
        </w:rPr>
      </w:pPr>
    </w:p>
    <w:p w14:paraId="4B551268" w14:textId="77777777" w:rsidR="003E3C19" w:rsidRPr="00F72633" w:rsidRDefault="003E3C19" w:rsidP="003E3C19">
      <w:pPr>
        <w:jc w:val="left"/>
        <w:rPr>
          <w:rFonts w:ascii="Arial Narrow" w:hAnsi="Arial Narrow"/>
          <w:lang w:val="es-419" w:eastAsia="en-US"/>
        </w:rPr>
      </w:pPr>
    </w:p>
    <w:p w14:paraId="19AFF7AD" w14:textId="7A1BCEB1" w:rsidR="003E3C19" w:rsidRPr="00F72633" w:rsidRDefault="004F22B9" w:rsidP="003E3C19">
      <w:pPr>
        <w:rPr>
          <w:rStyle w:val="Hyperlink"/>
          <w:rFonts w:ascii="Arial Narrow" w:hAnsi="Arial Narrow"/>
          <w:sz w:val="18"/>
          <w:lang w:val="es-419"/>
        </w:rPr>
      </w:pPr>
      <w:hyperlink r:id="rId109" w:history="1">
        <w:r w:rsidR="001678EE">
          <w:rPr>
            <w:rStyle w:val="Hyperlink"/>
            <w:rFonts w:ascii="Arial Narrow" w:hAnsi="Arial Narrow"/>
            <w:sz w:val="18"/>
            <w:lang w:val="es-419"/>
          </w:rPr>
          <w:t>https://www.upov.int/edocs/mdocs/upov/es/c_57/c_57_2_annex_iv.pdf</w:t>
        </w:r>
      </w:hyperlink>
    </w:p>
    <w:p w14:paraId="0EBD5DCD" w14:textId="77777777" w:rsidR="003E3C19" w:rsidRPr="00F72633" w:rsidRDefault="003E3C19" w:rsidP="003E3C19">
      <w:pPr>
        <w:jc w:val="left"/>
        <w:rPr>
          <w:rFonts w:ascii="Arial Narrow" w:hAnsi="Arial Narrow"/>
          <w:lang w:val="es-419" w:eastAsia="en-US"/>
        </w:rPr>
      </w:pPr>
    </w:p>
    <w:p w14:paraId="11C42C8F" w14:textId="77777777" w:rsidR="003E3C19" w:rsidRPr="00F72633" w:rsidRDefault="003E3C19" w:rsidP="003E3C19">
      <w:pPr>
        <w:jc w:val="left"/>
        <w:rPr>
          <w:rFonts w:ascii="Arial Narrow" w:hAnsi="Arial Narrow"/>
          <w:lang w:val="es-419" w:eastAsia="en-US"/>
        </w:rPr>
      </w:pPr>
    </w:p>
    <w:p w14:paraId="2DEE2E6F" w14:textId="77777777" w:rsidR="003E3C19" w:rsidRPr="00F72633" w:rsidRDefault="003E3C19" w:rsidP="003E3C19">
      <w:pPr>
        <w:jc w:val="left"/>
        <w:rPr>
          <w:rFonts w:ascii="Arial Narrow" w:hAnsi="Arial Narrow"/>
          <w:lang w:val="es-419" w:eastAsia="en-US"/>
        </w:rPr>
      </w:pPr>
    </w:p>
    <w:p w14:paraId="257832EA" w14:textId="788BD6A8" w:rsidR="003E3C19" w:rsidRPr="00F72633" w:rsidRDefault="003E3C19" w:rsidP="003E3C19">
      <w:pPr>
        <w:jc w:val="right"/>
        <w:rPr>
          <w:lang w:val="es-419"/>
        </w:rPr>
      </w:pPr>
      <w:r w:rsidRPr="00F72633">
        <w:rPr>
          <w:lang w:val="es-419"/>
        </w:rPr>
        <w:t>[</w:t>
      </w:r>
      <w:r w:rsidR="001479C8" w:rsidRPr="00F72633">
        <w:rPr>
          <w:lang w:val="es-419"/>
        </w:rPr>
        <w:t>Sigue el A</w:t>
      </w:r>
      <w:r w:rsidRPr="00F72633">
        <w:rPr>
          <w:lang w:val="es-419"/>
        </w:rPr>
        <w:t>nex</w:t>
      </w:r>
      <w:r w:rsidR="001479C8" w:rsidRPr="00F72633">
        <w:rPr>
          <w:lang w:val="es-419"/>
        </w:rPr>
        <w:t>o</w:t>
      </w:r>
      <w:r w:rsidRPr="00F72633">
        <w:rPr>
          <w:lang w:val="es-419"/>
        </w:rPr>
        <w:t xml:space="preserve"> V]</w:t>
      </w:r>
    </w:p>
    <w:p w14:paraId="0F4605A4" w14:textId="77777777" w:rsidR="003E3C19" w:rsidRPr="00F72633" w:rsidRDefault="003E3C19" w:rsidP="003E3C19">
      <w:pPr>
        <w:rPr>
          <w:rFonts w:ascii="Arial Narrow" w:hAnsi="Arial Narrow"/>
          <w:lang w:val="es-419" w:eastAsia="en-US"/>
        </w:rPr>
      </w:pPr>
    </w:p>
    <w:p w14:paraId="0C5314C3" w14:textId="77777777" w:rsidR="003E3C19" w:rsidRPr="00F72633" w:rsidRDefault="003E3C19" w:rsidP="0004663A">
      <w:pPr>
        <w:rPr>
          <w:lang w:val="es-419"/>
        </w:rPr>
        <w:sectPr w:rsidR="003E3C19" w:rsidRPr="00F72633" w:rsidSect="00B904E7">
          <w:headerReference w:type="even" r:id="rId110"/>
          <w:headerReference w:type="default" r:id="rId111"/>
          <w:footerReference w:type="even" r:id="rId112"/>
          <w:footerReference w:type="default" r:id="rId113"/>
          <w:headerReference w:type="first" r:id="rId114"/>
          <w:footerReference w:type="first" r:id="rId115"/>
          <w:footnotePr>
            <w:numRestart w:val="eachSect"/>
          </w:footnotePr>
          <w:endnotePr>
            <w:numFmt w:val="lowerLetter"/>
          </w:endnotePr>
          <w:pgSz w:w="11907" w:h="16840" w:code="9"/>
          <w:pgMar w:top="1134" w:right="1134" w:bottom="851" w:left="1134" w:header="510" w:footer="680" w:gutter="0"/>
          <w:cols w:space="720"/>
          <w:titlePg/>
          <w:docGrid w:linePitch="272"/>
        </w:sectPr>
      </w:pPr>
    </w:p>
    <w:p w14:paraId="6A502872" w14:textId="06A3B7FB" w:rsidR="003E3C19" w:rsidRPr="00F72633" w:rsidRDefault="00AC0F6F" w:rsidP="003E3C19">
      <w:pPr>
        <w:pStyle w:val="AnnexTitle"/>
        <w:rPr>
          <w:lang w:val="es-419"/>
        </w:rPr>
      </w:pPr>
      <w:bookmarkStart w:id="55" w:name="_Toc143527481"/>
      <w:r w:rsidRPr="00F72633">
        <w:rPr>
          <w:lang w:val="es-419"/>
        </w:rPr>
        <w:lastRenderedPageBreak/>
        <w:t>ANEXO</w:t>
      </w:r>
      <w:r w:rsidR="003E3C19" w:rsidRPr="00F72633">
        <w:rPr>
          <w:lang w:val="es-419"/>
        </w:rPr>
        <w:t xml:space="preserve"> V</w:t>
      </w:r>
      <w:r w:rsidR="003E3C19" w:rsidRPr="00F72633">
        <w:rPr>
          <w:lang w:val="es-419"/>
        </w:rPr>
        <w:tab/>
      </w:r>
      <w:r w:rsidR="00947CE8" w:rsidRPr="00F72633">
        <w:rPr>
          <w:lang w:val="es-419"/>
        </w:rPr>
        <w:t>Lista de actividades en</w:t>
      </w:r>
      <w:r w:rsidR="00046767" w:rsidRPr="00F72633">
        <w:rPr>
          <w:lang w:val="es-419"/>
        </w:rPr>
        <w:t> </w:t>
      </w:r>
      <w:r w:rsidR="003E3C19" w:rsidRPr="00F72633">
        <w:rPr>
          <w:lang w:val="es-419"/>
        </w:rPr>
        <w:t>202</w:t>
      </w:r>
      <w:bookmarkEnd w:id="54"/>
      <w:r w:rsidR="00721A2F" w:rsidRPr="00F72633">
        <w:rPr>
          <w:lang w:val="es-419"/>
        </w:rPr>
        <w:t>2</w:t>
      </w:r>
      <w:bookmarkEnd w:id="55"/>
    </w:p>
    <w:p w14:paraId="202C92AE" w14:textId="77777777" w:rsidR="003E3C19" w:rsidRPr="00F72633" w:rsidRDefault="003E3C19" w:rsidP="003E3C19">
      <w:pPr>
        <w:rPr>
          <w:lang w:val="es-419"/>
        </w:rPr>
      </w:pPr>
    </w:p>
    <w:p w14:paraId="6903DAF3" w14:textId="6A04DA12" w:rsidR="003E3C19" w:rsidRDefault="003E3C19" w:rsidP="003E3C19">
      <w:pPr>
        <w:rPr>
          <w:lang w:val="es-419" w:eastAsia="en-US"/>
        </w:rPr>
      </w:pPr>
    </w:p>
    <w:p w14:paraId="572ED4C8" w14:textId="19ACA2BA" w:rsidR="004A2637" w:rsidRDefault="004A2637" w:rsidP="003E3C19">
      <w:pPr>
        <w:rPr>
          <w:lang w:val="es-419" w:eastAsia="en-US"/>
        </w:rPr>
      </w:pPr>
      <w:r>
        <w:rPr>
          <w:noProof/>
          <w:lang w:eastAsia="en-US"/>
        </w:rPr>
        <w:drawing>
          <wp:inline distT="0" distB="0" distL="0" distR="0" wp14:anchorId="0EEB7CDC" wp14:editId="0ECF00F4">
            <wp:extent cx="1332000" cy="1332000"/>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c_57_2_annex_v_ES.png"/>
                    <pic:cNvPicPr/>
                  </pic:nvPicPr>
                  <pic:blipFill>
                    <a:blip r:embed="rId116"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1FB3DDFA" w14:textId="77777777" w:rsidR="004A2637" w:rsidRPr="00F72633" w:rsidRDefault="004A2637" w:rsidP="003E3C19">
      <w:pPr>
        <w:rPr>
          <w:lang w:val="es-419" w:eastAsia="en-US"/>
        </w:rPr>
      </w:pPr>
    </w:p>
    <w:p w14:paraId="6330BAD1" w14:textId="77777777" w:rsidR="003E3C19" w:rsidRPr="00F72633" w:rsidRDefault="003E3C19" w:rsidP="003E3C19">
      <w:pPr>
        <w:rPr>
          <w:lang w:val="es-419" w:eastAsia="en-US"/>
        </w:rPr>
      </w:pPr>
    </w:p>
    <w:p w14:paraId="5F7BBFF0" w14:textId="674E1CF6" w:rsidR="003E3C19" w:rsidRPr="00F72633" w:rsidRDefault="004F22B9" w:rsidP="003E3C19">
      <w:pPr>
        <w:rPr>
          <w:rFonts w:ascii="Arial Narrow" w:hAnsi="Arial Narrow"/>
          <w:sz w:val="18"/>
          <w:lang w:val="es-419" w:eastAsia="en-US"/>
        </w:rPr>
      </w:pPr>
      <w:hyperlink r:id="rId117" w:history="1">
        <w:r w:rsidR="00C615A7">
          <w:rPr>
            <w:rStyle w:val="Hyperlink"/>
            <w:rFonts w:ascii="Arial Narrow" w:hAnsi="Arial Narrow"/>
            <w:sz w:val="18"/>
            <w:lang w:val="es-419" w:eastAsia="en-US"/>
          </w:rPr>
          <w:t>https://www.upov.int/edocs/mdocs/upov/es/c_57/c_57_2_annex_v.pdf</w:t>
        </w:r>
      </w:hyperlink>
    </w:p>
    <w:p w14:paraId="297F3620" w14:textId="77777777" w:rsidR="003E3C19" w:rsidRPr="00F72633" w:rsidRDefault="003E3C19" w:rsidP="003E3C19">
      <w:pPr>
        <w:rPr>
          <w:lang w:val="es-419" w:eastAsia="en-US"/>
        </w:rPr>
      </w:pPr>
    </w:p>
    <w:p w14:paraId="104C3E99" w14:textId="77777777" w:rsidR="003E3C19" w:rsidRPr="00F72633" w:rsidRDefault="003E3C19" w:rsidP="003E3C19">
      <w:pPr>
        <w:jc w:val="right"/>
        <w:rPr>
          <w:lang w:val="es-419" w:eastAsia="en-US"/>
        </w:rPr>
      </w:pPr>
    </w:p>
    <w:p w14:paraId="580A264F" w14:textId="77777777" w:rsidR="003E3C19" w:rsidRPr="00F72633" w:rsidRDefault="003E3C19" w:rsidP="003E3C19">
      <w:pPr>
        <w:jc w:val="right"/>
        <w:rPr>
          <w:lang w:val="es-419" w:eastAsia="en-US"/>
        </w:rPr>
      </w:pPr>
    </w:p>
    <w:p w14:paraId="186C7D6B" w14:textId="77777777" w:rsidR="003E3C19" w:rsidRPr="00F72633" w:rsidRDefault="003E3C19" w:rsidP="003E3C19">
      <w:pPr>
        <w:jc w:val="right"/>
        <w:rPr>
          <w:lang w:val="es-419" w:eastAsia="en-US"/>
        </w:rPr>
      </w:pPr>
    </w:p>
    <w:p w14:paraId="151427BF" w14:textId="67D9E114" w:rsidR="003E3C19" w:rsidRPr="00F72633" w:rsidRDefault="003E3C19" w:rsidP="003E3C19">
      <w:pPr>
        <w:jc w:val="right"/>
        <w:rPr>
          <w:lang w:val="es-419" w:eastAsia="en-US"/>
        </w:rPr>
      </w:pPr>
      <w:r w:rsidRPr="00F72633">
        <w:rPr>
          <w:lang w:val="es-419" w:eastAsia="en-US"/>
        </w:rPr>
        <w:t>[</w:t>
      </w:r>
      <w:r w:rsidR="00155D39" w:rsidRPr="00F72633">
        <w:rPr>
          <w:lang w:val="es-419" w:eastAsia="en-US"/>
        </w:rPr>
        <w:t>Sigue el Apé</w:t>
      </w:r>
      <w:r w:rsidRPr="00F72633">
        <w:rPr>
          <w:lang w:val="es-419" w:eastAsia="en-US"/>
        </w:rPr>
        <w:t>ndi</w:t>
      </w:r>
      <w:r w:rsidR="00155D39" w:rsidRPr="00F72633">
        <w:rPr>
          <w:lang w:val="es-419" w:eastAsia="en-US"/>
        </w:rPr>
        <w:t>ce</w:t>
      </w:r>
      <w:r w:rsidRPr="00F72633">
        <w:rPr>
          <w:lang w:val="es-419" w:eastAsia="en-US"/>
        </w:rPr>
        <w:t>]</w:t>
      </w:r>
    </w:p>
    <w:p w14:paraId="414594DE" w14:textId="77777777" w:rsidR="003E3C19" w:rsidRPr="00F72633" w:rsidRDefault="003E3C19" w:rsidP="003E3C19">
      <w:pPr>
        <w:rPr>
          <w:lang w:val="es-419" w:eastAsia="en-US"/>
        </w:rPr>
        <w:sectPr w:rsidR="003E3C19" w:rsidRPr="00F72633" w:rsidSect="00B904E7">
          <w:headerReference w:type="even" r:id="rId118"/>
          <w:headerReference w:type="default" r:id="rId119"/>
          <w:footerReference w:type="even" r:id="rId120"/>
          <w:footerReference w:type="default" r:id="rId121"/>
          <w:headerReference w:type="first" r:id="rId122"/>
          <w:footerReference w:type="first" r:id="rId123"/>
          <w:footnotePr>
            <w:numRestart w:val="eachSect"/>
          </w:footnotePr>
          <w:endnotePr>
            <w:numFmt w:val="lowerLetter"/>
          </w:endnotePr>
          <w:pgSz w:w="16840" w:h="11907" w:orient="landscape" w:code="9"/>
          <w:pgMar w:top="1134" w:right="510" w:bottom="709" w:left="709" w:header="510" w:footer="510" w:gutter="0"/>
          <w:cols w:space="720"/>
          <w:titlePg/>
          <w:docGrid w:linePitch="272"/>
        </w:sectPr>
      </w:pPr>
    </w:p>
    <w:p w14:paraId="256CD142" w14:textId="3EB9377F" w:rsidR="003E3C19" w:rsidRPr="00F72633" w:rsidRDefault="003E3C19" w:rsidP="003E3C19">
      <w:pPr>
        <w:pStyle w:val="Heading1"/>
        <w:rPr>
          <w:lang w:val="es-419"/>
        </w:rPr>
      </w:pPr>
      <w:bookmarkStart w:id="56" w:name="_Toc80365160"/>
      <w:bookmarkStart w:id="57" w:name="_Toc143527482"/>
      <w:r w:rsidRPr="00F72633">
        <w:rPr>
          <w:lang w:val="es-419"/>
        </w:rPr>
        <w:lastRenderedPageBreak/>
        <w:t>iv.</w:t>
      </w:r>
      <w:r w:rsidRPr="00F72633">
        <w:rPr>
          <w:lang w:val="es-419"/>
        </w:rPr>
        <w:tab/>
      </w:r>
      <w:bookmarkEnd w:id="56"/>
      <w:r w:rsidR="00947CE8" w:rsidRPr="00F72633">
        <w:rPr>
          <w:lang w:val="es-419"/>
        </w:rPr>
        <w:t>apéndice</w:t>
      </w:r>
      <w:bookmarkEnd w:id="57"/>
    </w:p>
    <w:p w14:paraId="5AA484D3" w14:textId="230175A0" w:rsidR="003E3C19" w:rsidRPr="00F72633" w:rsidRDefault="00947CE8" w:rsidP="003E3C19">
      <w:pPr>
        <w:pStyle w:val="Heading2"/>
        <w:rPr>
          <w:lang w:val="es-419"/>
        </w:rPr>
      </w:pPr>
      <w:bookmarkStart w:id="58" w:name="_Toc143527483"/>
      <w:r w:rsidRPr="00F72633">
        <w:rPr>
          <w:lang w:val="es-419"/>
        </w:rPr>
        <w:t>SIGLAS Y ABREVIATURAS</w:t>
      </w:r>
      <w:bookmarkEnd w:id="58"/>
    </w:p>
    <w:bookmarkEnd w:id="0"/>
    <w:bookmarkEnd w:id="1"/>
    <w:bookmarkEnd w:id="2"/>
    <w:bookmarkEnd w:id="3"/>
    <w:bookmarkEnd w:id="4"/>
    <w:bookmarkEnd w:id="5"/>
    <w:bookmarkEnd w:id="15"/>
    <w:bookmarkEnd w:id="16"/>
    <w:bookmarkEnd w:id="17"/>
    <w:p w14:paraId="7488872A" w14:textId="1F4AE871" w:rsidR="003E3C19" w:rsidRPr="00F72633" w:rsidRDefault="00626178" w:rsidP="003E3C19">
      <w:pPr>
        <w:jc w:val="center"/>
        <w:rPr>
          <w:b/>
          <w:lang w:val="es-419"/>
        </w:rPr>
      </w:pPr>
      <w:r w:rsidRPr="00F72633">
        <w:rPr>
          <w:b/>
          <w:lang w:val="es-419"/>
        </w:rPr>
        <w:t>Términos de la UPOV</w:t>
      </w:r>
    </w:p>
    <w:p w14:paraId="34B64168" w14:textId="77777777" w:rsidR="003E3C19" w:rsidRPr="00F72633" w:rsidRDefault="003E3C19" w:rsidP="003E3C19">
      <w:pPr>
        <w:rPr>
          <w:lang w:val="es-419"/>
        </w:rPr>
      </w:pPr>
    </w:p>
    <w:tbl>
      <w:tblPr>
        <w:tblW w:w="9923" w:type="dxa"/>
        <w:tblLook w:val="04A0" w:firstRow="1" w:lastRow="0" w:firstColumn="1" w:lastColumn="0" w:noHBand="0" w:noVBand="1"/>
      </w:tblPr>
      <w:tblGrid>
        <w:gridCol w:w="2268"/>
        <w:gridCol w:w="7655"/>
      </w:tblGrid>
      <w:tr w:rsidR="00561560" w:rsidRPr="00F72633" w14:paraId="5A53E6B5" w14:textId="77777777" w:rsidTr="00B904E7">
        <w:tc>
          <w:tcPr>
            <w:tcW w:w="2268" w:type="dxa"/>
          </w:tcPr>
          <w:p w14:paraId="4EF80307" w14:textId="1B76E12D"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BMT</w:t>
            </w:r>
          </w:p>
        </w:tc>
        <w:tc>
          <w:tcPr>
            <w:tcW w:w="7655" w:type="dxa"/>
          </w:tcPr>
          <w:p w14:paraId="1B9911FD" w14:textId="0B13BCAF"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sobre Técnicas Bioquímicas y Moleculares, y Perfiles de ADN en particular</w:t>
            </w:r>
          </w:p>
        </w:tc>
      </w:tr>
      <w:tr w:rsidR="00561560" w:rsidRPr="00F72633" w14:paraId="6234F42D" w14:textId="77777777" w:rsidTr="00B904E7">
        <w:tc>
          <w:tcPr>
            <w:tcW w:w="2268" w:type="dxa"/>
          </w:tcPr>
          <w:p w14:paraId="5FC698C0" w14:textId="49F5DF03"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CAJ</w:t>
            </w:r>
          </w:p>
        </w:tc>
        <w:tc>
          <w:tcPr>
            <w:tcW w:w="7655" w:type="dxa"/>
          </w:tcPr>
          <w:p w14:paraId="60DEE646" w14:textId="61696A37"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 xml:space="preserve">Comité Administrativo y Jurídico </w:t>
            </w:r>
          </w:p>
        </w:tc>
      </w:tr>
      <w:tr w:rsidR="00561560" w:rsidRPr="00F72633" w14:paraId="5884F64C" w14:textId="77777777" w:rsidTr="00B904E7">
        <w:tc>
          <w:tcPr>
            <w:tcW w:w="2268" w:type="dxa"/>
          </w:tcPr>
          <w:p w14:paraId="24886001" w14:textId="7D7BA2F3"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DHE</w:t>
            </w:r>
          </w:p>
        </w:tc>
        <w:tc>
          <w:tcPr>
            <w:tcW w:w="7655" w:type="dxa"/>
          </w:tcPr>
          <w:p w14:paraId="1ED7D14B" w14:textId="7D4FAADB"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Distinción, homogeneidad y estabilidad</w:t>
            </w:r>
          </w:p>
        </w:tc>
      </w:tr>
      <w:tr w:rsidR="00561560" w:rsidRPr="00F72633" w14:paraId="033FDACD" w14:textId="77777777" w:rsidTr="00B904E7">
        <w:tc>
          <w:tcPr>
            <w:tcW w:w="2268" w:type="dxa"/>
          </w:tcPr>
          <w:p w14:paraId="7FE9A975" w14:textId="532842E6"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DL-205</w:t>
            </w:r>
          </w:p>
        </w:tc>
        <w:tc>
          <w:tcPr>
            <w:tcW w:w="7655" w:type="dxa"/>
          </w:tcPr>
          <w:p w14:paraId="4216E444" w14:textId="41CDBD31"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Curso de enseñanza a distancia de la UPOV “Introducción al sistema de la UPOV de protección de las variedades vegetales en virtud del Convenio de la UPOV”</w:t>
            </w:r>
          </w:p>
        </w:tc>
      </w:tr>
      <w:tr w:rsidR="00561560" w:rsidRPr="00F72633" w14:paraId="17F2992F" w14:textId="77777777" w:rsidTr="00B904E7">
        <w:tc>
          <w:tcPr>
            <w:tcW w:w="2268" w:type="dxa"/>
          </w:tcPr>
          <w:p w14:paraId="43B992A2" w14:textId="03B3CD2B"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DL-305</w:t>
            </w:r>
          </w:p>
        </w:tc>
        <w:tc>
          <w:tcPr>
            <w:tcW w:w="7655" w:type="dxa"/>
          </w:tcPr>
          <w:p w14:paraId="413B387B" w14:textId="5FC9109E" w:rsidR="00561560" w:rsidRPr="00F72633" w:rsidRDefault="00561560" w:rsidP="00561560">
            <w:pPr>
              <w:spacing w:after="20"/>
              <w:jc w:val="left"/>
              <w:rPr>
                <w:rFonts w:ascii="Arial Narrow" w:hAnsi="Arial Narrow"/>
                <w:spacing w:val="-2"/>
                <w:sz w:val="18"/>
                <w:lang w:val="es-419"/>
              </w:rPr>
            </w:pPr>
            <w:r w:rsidRPr="00F72633">
              <w:rPr>
                <w:rFonts w:ascii="Arial Narrow" w:hAnsi="Arial Narrow"/>
                <w:sz w:val="18"/>
                <w:lang w:val="es-419"/>
              </w:rPr>
              <w:t>Curso de enseñanza a distancia de la UPOV titulado “Examen de solicitudes de derechos de obtentor”</w:t>
            </w:r>
          </w:p>
        </w:tc>
      </w:tr>
      <w:tr w:rsidR="00561560" w:rsidRPr="00F72633" w14:paraId="2E8E5A59" w14:textId="77777777" w:rsidTr="00B904E7">
        <w:tc>
          <w:tcPr>
            <w:tcW w:w="2268" w:type="dxa"/>
          </w:tcPr>
          <w:p w14:paraId="50EB5306" w14:textId="7BCA3188"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DL-305A</w:t>
            </w:r>
          </w:p>
        </w:tc>
        <w:tc>
          <w:tcPr>
            <w:tcW w:w="7655" w:type="dxa"/>
          </w:tcPr>
          <w:p w14:paraId="6EDCFACC" w14:textId="718C68EF"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Curso de enseñanza a distancia de la UPOV titulado “Administración de los derechos de obtentor” (parte A del curso DL-305)</w:t>
            </w:r>
          </w:p>
        </w:tc>
      </w:tr>
      <w:tr w:rsidR="00561560" w:rsidRPr="00F72633" w14:paraId="112AD9FB" w14:textId="77777777" w:rsidTr="00B904E7">
        <w:tc>
          <w:tcPr>
            <w:tcW w:w="2268" w:type="dxa"/>
          </w:tcPr>
          <w:p w14:paraId="262CD416" w14:textId="20882DE1"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DL-305B</w:t>
            </w:r>
          </w:p>
        </w:tc>
        <w:tc>
          <w:tcPr>
            <w:tcW w:w="7655" w:type="dxa"/>
          </w:tcPr>
          <w:p w14:paraId="20D11BF9" w14:textId="081D4AF4"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Curso de enseñanza a distancia de la UPOV “Examen DHE” (parte B del curso DL-305)</w:t>
            </w:r>
          </w:p>
        </w:tc>
      </w:tr>
      <w:tr w:rsidR="00561560" w:rsidRPr="00F72633" w14:paraId="65D08554" w14:textId="77777777" w:rsidTr="00B904E7">
        <w:tc>
          <w:tcPr>
            <w:tcW w:w="2268" w:type="dxa"/>
          </w:tcPr>
          <w:p w14:paraId="33F92057" w14:textId="0364DF68"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Oficina</w:t>
            </w:r>
          </w:p>
        </w:tc>
        <w:tc>
          <w:tcPr>
            <w:tcW w:w="7655" w:type="dxa"/>
          </w:tcPr>
          <w:p w14:paraId="775A7F3F" w14:textId="2B9BEB0E"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Oficina de la Unión</w:t>
            </w:r>
          </w:p>
        </w:tc>
      </w:tr>
      <w:tr w:rsidR="00561560" w:rsidRPr="00F72633" w14:paraId="3CBA33E3" w14:textId="77777777" w:rsidTr="00B904E7">
        <w:tc>
          <w:tcPr>
            <w:tcW w:w="2268" w:type="dxa"/>
          </w:tcPr>
          <w:p w14:paraId="0B97C1A8" w14:textId="53A3433B"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PLUTO</w:t>
            </w:r>
          </w:p>
        </w:tc>
        <w:tc>
          <w:tcPr>
            <w:tcW w:w="7655" w:type="dxa"/>
          </w:tcPr>
          <w:p w14:paraId="57ED1136" w14:textId="5A9D5A55" w:rsidR="00561560" w:rsidRPr="00F72633" w:rsidRDefault="00561560" w:rsidP="00561560">
            <w:pPr>
              <w:autoSpaceDE w:val="0"/>
              <w:autoSpaceDN w:val="0"/>
              <w:adjustRightInd w:val="0"/>
              <w:spacing w:after="20"/>
              <w:jc w:val="left"/>
              <w:rPr>
                <w:rFonts w:ascii="Arial Narrow" w:hAnsi="Arial Narrow"/>
                <w:sz w:val="18"/>
                <w:lang w:val="es-419"/>
              </w:rPr>
            </w:pPr>
            <w:r w:rsidRPr="00F72633">
              <w:rPr>
                <w:rFonts w:ascii="Arial Narrow" w:hAnsi="Arial Narrow"/>
                <w:sz w:val="18"/>
                <w:lang w:val="es-419"/>
              </w:rPr>
              <w:t>Base de datos de la UPOV sobre variedades vegetales</w:t>
            </w:r>
          </w:p>
        </w:tc>
      </w:tr>
      <w:tr w:rsidR="00561560" w:rsidRPr="00F72633" w14:paraId="334BD5E1" w14:textId="77777777" w:rsidTr="00B904E7">
        <w:tc>
          <w:tcPr>
            <w:tcW w:w="2268" w:type="dxa"/>
          </w:tcPr>
          <w:p w14:paraId="4E655B30" w14:textId="3A953FE6" w:rsidR="00561560" w:rsidRPr="00F72633" w:rsidRDefault="00561560" w:rsidP="00561560">
            <w:pPr>
              <w:autoSpaceDE w:val="0"/>
              <w:autoSpaceDN w:val="0"/>
              <w:adjustRightInd w:val="0"/>
              <w:spacing w:after="20"/>
              <w:jc w:val="left"/>
              <w:rPr>
                <w:rFonts w:ascii="Arial Narrow" w:hAnsi="Arial Narrow"/>
                <w:snapToGrid w:val="0"/>
                <w:sz w:val="18"/>
                <w:lang w:val="es-419"/>
              </w:rPr>
            </w:pPr>
            <w:r w:rsidRPr="00F72633">
              <w:rPr>
                <w:rFonts w:ascii="Arial Narrow" w:hAnsi="Arial Narrow"/>
                <w:sz w:val="18"/>
                <w:lang w:val="es-419"/>
              </w:rPr>
              <w:t>TC</w:t>
            </w:r>
          </w:p>
        </w:tc>
        <w:tc>
          <w:tcPr>
            <w:tcW w:w="7655" w:type="dxa"/>
          </w:tcPr>
          <w:p w14:paraId="21682478" w14:textId="30997D26" w:rsidR="00561560" w:rsidRPr="00F72633" w:rsidRDefault="00561560" w:rsidP="00561560">
            <w:pPr>
              <w:autoSpaceDE w:val="0"/>
              <w:autoSpaceDN w:val="0"/>
              <w:adjustRightInd w:val="0"/>
              <w:spacing w:after="20"/>
              <w:jc w:val="left"/>
              <w:rPr>
                <w:rFonts w:ascii="Arial Narrow" w:hAnsi="Arial Narrow"/>
                <w:snapToGrid w:val="0"/>
                <w:sz w:val="18"/>
                <w:lang w:val="es-419"/>
              </w:rPr>
            </w:pPr>
            <w:r w:rsidRPr="00F72633">
              <w:rPr>
                <w:rFonts w:ascii="Arial Narrow" w:hAnsi="Arial Narrow"/>
                <w:sz w:val="18"/>
                <w:lang w:val="es-419"/>
              </w:rPr>
              <w:t>Comité Técnico</w:t>
            </w:r>
          </w:p>
        </w:tc>
      </w:tr>
      <w:tr w:rsidR="00561560" w:rsidRPr="00F72633" w14:paraId="62B6BDD8" w14:textId="77777777" w:rsidTr="00B904E7">
        <w:tc>
          <w:tcPr>
            <w:tcW w:w="2268" w:type="dxa"/>
          </w:tcPr>
          <w:p w14:paraId="7F58DABF" w14:textId="6E199211"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TC</w:t>
            </w:r>
            <w:r w:rsidRPr="00F72633">
              <w:rPr>
                <w:rFonts w:ascii="Arial Narrow" w:hAnsi="Arial Narrow"/>
                <w:sz w:val="18"/>
                <w:lang w:val="es-419"/>
              </w:rPr>
              <w:noBreakHyphen/>
              <w:t>EDC</w:t>
            </w:r>
          </w:p>
        </w:tc>
        <w:tc>
          <w:tcPr>
            <w:tcW w:w="7655" w:type="dxa"/>
          </w:tcPr>
          <w:p w14:paraId="0ECCD291" w14:textId="7F91F71E"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Comité de Redacción Ampliado</w:t>
            </w:r>
          </w:p>
        </w:tc>
      </w:tr>
      <w:tr w:rsidR="00561560" w:rsidRPr="00F72633" w14:paraId="1A6A1BC6" w14:textId="77777777" w:rsidTr="00B904E7">
        <w:tc>
          <w:tcPr>
            <w:tcW w:w="2268" w:type="dxa"/>
          </w:tcPr>
          <w:p w14:paraId="179DF804" w14:textId="3DBD7A78"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TWA</w:t>
            </w:r>
          </w:p>
        </w:tc>
        <w:tc>
          <w:tcPr>
            <w:tcW w:w="7655" w:type="dxa"/>
          </w:tcPr>
          <w:p w14:paraId="22405E30" w14:textId="69B1D6EB"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 Plantas Agrícolas</w:t>
            </w:r>
          </w:p>
        </w:tc>
      </w:tr>
      <w:tr w:rsidR="00561560" w:rsidRPr="00F72633" w14:paraId="0FB6BFF2" w14:textId="77777777" w:rsidTr="00B904E7">
        <w:tc>
          <w:tcPr>
            <w:tcW w:w="2268" w:type="dxa"/>
          </w:tcPr>
          <w:p w14:paraId="73B84794" w14:textId="14A3C342"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TWC</w:t>
            </w:r>
          </w:p>
        </w:tc>
        <w:tc>
          <w:tcPr>
            <w:tcW w:w="7655" w:type="dxa"/>
          </w:tcPr>
          <w:p w14:paraId="7F9EF1FF" w14:textId="68D1A113"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 Automatización y Programas Informáticos</w:t>
            </w:r>
          </w:p>
        </w:tc>
      </w:tr>
      <w:tr w:rsidR="00561560" w:rsidRPr="00F72633" w14:paraId="2EBA264C" w14:textId="77777777" w:rsidTr="00B904E7">
        <w:tc>
          <w:tcPr>
            <w:tcW w:w="2268" w:type="dxa"/>
          </w:tcPr>
          <w:p w14:paraId="70EE6793" w14:textId="749AB3BC"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TWF</w:t>
            </w:r>
          </w:p>
        </w:tc>
        <w:tc>
          <w:tcPr>
            <w:tcW w:w="7655" w:type="dxa"/>
          </w:tcPr>
          <w:p w14:paraId="0508693E" w14:textId="6499BA12"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 Plantas Frutales</w:t>
            </w:r>
          </w:p>
        </w:tc>
      </w:tr>
      <w:tr w:rsidR="00561560" w:rsidRPr="00F72633" w14:paraId="1545B386" w14:textId="77777777" w:rsidTr="00B904E7">
        <w:tc>
          <w:tcPr>
            <w:tcW w:w="2268" w:type="dxa"/>
          </w:tcPr>
          <w:p w14:paraId="365C02FB" w14:textId="04E6835B"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TWM</w:t>
            </w:r>
          </w:p>
        </w:tc>
        <w:tc>
          <w:tcPr>
            <w:tcW w:w="7655" w:type="dxa"/>
          </w:tcPr>
          <w:p w14:paraId="02EB3B11" w14:textId="3A1EA17F"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w:t>
            </w:r>
            <w:r w:rsidR="00D81184" w:rsidRPr="00F72633">
              <w:rPr>
                <w:rFonts w:ascii="Arial Narrow" w:hAnsi="Arial Narrow"/>
                <w:sz w:val="18"/>
                <w:lang w:val="es-419"/>
              </w:rPr>
              <w:t xml:space="preserve"> Métodos y Técnicas de Examen</w:t>
            </w:r>
          </w:p>
        </w:tc>
      </w:tr>
      <w:tr w:rsidR="00561560" w:rsidRPr="00F72633" w14:paraId="5273F256" w14:textId="77777777" w:rsidTr="00B904E7">
        <w:tc>
          <w:tcPr>
            <w:tcW w:w="2268" w:type="dxa"/>
          </w:tcPr>
          <w:p w14:paraId="2E04E5F0" w14:textId="61A658AD"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TWO</w:t>
            </w:r>
          </w:p>
        </w:tc>
        <w:tc>
          <w:tcPr>
            <w:tcW w:w="7655" w:type="dxa"/>
          </w:tcPr>
          <w:p w14:paraId="0CF5F2E5" w14:textId="5D98A792"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 Plantas Ornamentales y Árboles Forestales</w:t>
            </w:r>
          </w:p>
        </w:tc>
      </w:tr>
      <w:tr w:rsidR="00561560" w:rsidRPr="00F72633" w14:paraId="6172D6E0" w14:textId="77777777" w:rsidTr="00B904E7">
        <w:tc>
          <w:tcPr>
            <w:tcW w:w="2268" w:type="dxa"/>
          </w:tcPr>
          <w:p w14:paraId="4524C175" w14:textId="6B654E2E"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TWP</w:t>
            </w:r>
          </w:p>
        </w:tc>
        <w:tc>
          <w:tcPr>
            <w:tcW w:w="7655" w:type="dxa"/>
          </w:tcPr>
          <w:p w14:paraId="2E1E74C8" w14:textId="3012266B"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Grupo(s) de Trabajo Técnico</w:t>
            </w:r>
          </w:p>
        </w:tc>
      </w:tr>
      <w:tr w:rsidR="00561560" w:rsidRPr="00F72633" w14:paraId="3CE00E84" w14:textId="77777777" w:rsidTr="00B904E7">
        <w:tc>
          <w:tcPr>
            <w:tcW w:w="2268" w:type="dxa"/>
          </w:tcPr>
          <w:p w14:paraId="0DAA2E63" w14:textId="392A4E33"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TWV</w:t>
            </w:r>
          </w:p>
        </w:tc>
        <w:tc>
          <w:tcPr>
            <w:tcW w:w="7655" w:type="dxa"/>
          </w:tcPr>
          <w:p w14:paraId="54C24BBA" w14:textId="4B6FD2EF"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Grupo de Trabajo Técnico sobre Hortalizas</w:t>
            </w:r>
          </w:p>
        </w:tc>
      </w:tr>
      <w:tr w:rsidR="00AA086E" w:rsidRPr="00F72633" w14:paraId="162B6965" w14:textId="77777777" w:rsidTr="003130AE">
        <w:tc>
          <w:tcPr>
            <w:tcW w:w="2268" w:type="dxa"/>
          </w:tcPr>
          <w:p w14:paraId="2C4CAEB4" w14:textId="77777777" w:rsidR="00AA086E" w:rsidRPr="00F72633" w:rsidRDefault="00AA086E" w:rsidP="003130AE">
            <w:pPr>
              <w:autoSpaceDE w:val="0"/>
              <w:autoSpaceDN w:val="0"/>
              <w:adjustRightInd w:val="0"/>
              <w:spacing w:after="20"/>
              <w:jc w:val="left"/>
              <w:rPr>
                <w:rFonts w:ascii="Arial Narrow" w:hAnsi="Arial Narrow"/>
                <w:sz w:val="18"/>
                <w:lang w:val="es-419"/>
              </w:rPr>
            </w:pPr>
            <w:r>
              <w:rPr>
                <w:rFonts w:ascii="Arial Narrow" w:hAnsi="Arial Narrow"/>
                <w:sz w:val="18"/>
                <w:lang w:val="es-419"/>
              </w:rPr>
              <w:t>UPOV e</w:t>
            </w:r>
            <w:r>
              <w:rPr>
                <w:rFonts w:ascii="Arial Narrow" w:hAnsi="Arial Narrow"/>
                <w:sz w:val="18"/>
                <w:lang w:val="es-419"/>
              </w:rPr>
              <w:noBreakHyphen/>
              <w:t>PVP</w:t>
            </w:r>
          </w:p>
        </w:tc>
        <w:tc>
          <w:tcPr>
            <w:tcW w:w="7655" w:type="dxa"/>
          </w:tcPr>
          <w:p w14:paraId="14D6F96C" w14:textId="67196679" w:rsidR="00AA086E" w:rsidRPr="00F72633" w:rsidRDefault="00AA086E" w:rsidP="00AA086E">
            <w:pPr>
              <w:autoSpaceDE w:val="0"/>
              <w:autoSpaceDN w:val="0"/>
              <w:adjustRightInd w:val="0"/>
              <w:spacing w:after="20"/>
              <w:jc w:val="left"/>
              <w:rPr>
                <w:rFonts w:ascii="Arial Narrow" w:hAnsi="Arial Narrow"/>
                <w:sz w:val="18"/>
                <w:lang w:val="es-419"/>
              </w:rPr>
            </w:pPr>
            <w:r>
              <w:rPr>
                <w:rFonts w:ascii="Arial Narrow" w:hAnsi="Arial Narrow"/>
                <w:sz w:val="18"/>
                <w:lang w:val="es-419"/>
              </w:rPr>
              <w:t>UPOV e</w:t>
            </w:r>
            <w:r>
              <w:rPr>
                <w:rFonts w:ascii="Arial Narrow" w:hAnsi="Arial Narrow"/>
                <w:sz w:val="18"/>
                <w:lang w:val="es-419"/>
              </w:rPr>
              <w:noBreakHyphen/>
              <w:t>PVP</w:t>
            </w:r>
            <w:r w:rsidRPr="00F72633">
              <w:rPr>
                <w:rFonts w:ascii="Arial Narrow" w:hAnsi="Arial Narrow"/>
                <w:sz w:val="18"/>
                <w:lang w:val="es-419"/>
              </w:rPr>
              <w:t xml:space="preserve"> consta de un conjunto de herramientas electrónicas destinadas a que los miembros de la UPOV apliquen el sistema de protección de las obtenciones vegetales de la UPOV. </w:t>
            </w:r>
            <w:r>
              <w:rPr>
                <w:rFonts w:ascii="Arial Narrow" w:hAnsi="Arial Narrow"/>
                <w:sz w:val="18"/>
                <w:lang w:val="es-419"/>
              </w:rPr>
              <w:t xml:space="preserve"> </w:t>
            </w:r>
            <w:r w:rsidRPr="00F72633">
              <w:rPr>
                <w:rFonts w:ascii="Arial Narrow" w:hAnsi="Arial Narrow"/>
                <w:sz w:val="18"/>
                <w:lang w:val="es-419"/>
              </w:rPr>
              <w:t xml:space="preserve">Entre los componentes del </w:t>
            </w:r>
            <w:r>
              <w:rPr>
                <w:rFonts w:ascii="Arial Narrow" w:hAnsi="Arial Narrow"/>
                <w:sz w:val="18"/>
                <w:lang w:val="es-419"/>
              </w:rPr>
              <w:t>UPOV e</w:t>
            </w:r>
            <w:r>
              <w:rPr>
                <w:rFonts w:ascii="Arial Narrow" w:hAnsi="Arial Narrow"/>
                <w:sz w:val="18"/>
                <w:lang w:val="es-419"/>
              </w:rPr>
              <w:noBreakHyphen/>
              <w:t>PVP</w:t>
            </w:r>
            <w:r w:rsidRPr="00F72633">
              <w:rPr>
                <w:rFonts w:ascii="Arial Narrow" w:hAnsi="Arial Narrow"/>
                <w:sz w:val="18"/>
                <w:lang w:val="es-419"/>
              </w:rPr>
              <w:t xml:space="preserve"> se encuentran </w:t>
            </w:r>
            <w:r>
              <w:rPr>
                <w:rFonts w:ascii="Arial Narrow" w:hAnsi="Arial Narrow"/>
                <w:sz w:val="18"/>
                <w:lang w:val="es-419"/>
              </w:rPr>
              <w:t>UPOV PRISMA</w:t>
            </w:r>
            <w:r w:rsidRPr="00F72633">
              <w:rPr>
                <w:rFonts w:ascii="Arial Narrow" w:hAnsi="Arial Narrow"/>
                <w:sz w:val="18"/>
                <w:lang w:val="es-419"/>
              </w:rPr>
              <w:t xml:space="preserve">, el módulo </w:t>
            </w:r>
            <w:r>
              <w:rPr>
                <w:rFonts w:ascii="Arial Narrow" w:hAnsi="Arial Narrow"/>
                <w:sz w:val="18"/>
                <w:lang w:val="es-419"/>
              </w:rPr>
              <w:t>UPOV e</w:t>
            </w:r>
            <w:r>
              <w:rPr>
                <w:rFonts w:ascii="Arial Narrow" w:hAnsi="Arial Narrow"/>
                <w:sz w:val="18"/>
                <w:lang w:val="es-419"/>
              </w:rPr>
              <w:noBreakHyphen/>
              <w:t>PVP</w:t>
            </w:r>
            <w:r w:rsidRPr="00F72633">
              <w:rPr>
                <w:rFonts w:ascii="Arial Narrow" w:hAnsi="Arial Narrow"/>
                <w:sz w:val="18"/>
                <w:lang w:val="es-419"/>
              </w:rPr>
              <w:t xml:space="preserve"> de administración, el módulo </w:t>
            </w:r>
            <w:r>
              <w:rPr>
                <w:rFonts w:ascii="Arial Narrow" w:hAnsi="Arial Narrow"/>
                <w:sz w:val="18"/>
                <w:lang w:val="es-419"/>
              </w:rPr>
              <w:t>UPOV e</w:t>
            </w:r>
            <w:r>
              <w:rPr>
                <w:rFonts w:ascii="Arial Narrow" w:hAnsi="Arial Narrow"/>
                <w:sz w:val="18"/>
                <w:lang w:val="es-419"/>
              </w:rPr>
              <w:noBreakHyphen/>
              <w:t>PVP</w:t>
            </w:r>
            <w:r w:rsidRPr="00F72633">
              <w:rPr>
                <w:rFonts w:ascii="Arial Narrow" w:hAnsi="Arial Narrow"/>
                <w:sz w:val="18"/>
                <w:lang w:val="es-419"/>
              </w:rPr>
              <w:t xml:space="preserve"> de intercambio de informes DHE y la base de datos PLUTO.</w:t>
            </w:r>
          </w:p>
        </w:tc>
      </w:tr>
      <w:tr w:rsidR="00561560" w:rsidRPr="00F72633" w14:paraId="781A8977" w14:textId="77777777" w:rsidTr="00B904E7">
        <w:tc>
          <w:tcPr>
            <w:tcW w:w="2268" w:type="dxa"/>
          </w:tcPr>
          <w:p w14:paraId="7A999FA9" w14:textId="31F39F83" w:rsidR="00561560" w:rsidRPr="00F72633" w:rsidRDefault="000D20D3" w:rsidP="00561560">
            <w:pPr>
              <w:spacing w:after="20"/>
              <w:jc w:val="left"/>
              <w:rPr>
                <w:rFonts w:ascii="Arial Narrow" w:hAnsi="Arial Narrow"/>
                <w:sz w:val="18"/>
                <w:lang w:val="es-419"/>
              </w:rPr>
            </w:pPr>
            <w:r>
              <w:rPr>
                <w:rFonts w:ascii="Arial Narrow" w:hAnsi="Arial Narrow"/>
                <w:sz w:val="18"/>
                <w:lang w:val="es-419"/>
              </w:rPr>
              <w:t>UPOV PRISMA</w:t>
            </w:r>
          </w:p>
        </w:tc>
        <w:tc>
          <w:tcPr>
            <w:tcW w:w="7655" w:type="dxa"/>
          </w:tcPr>
          <w:p w14:paraId="728F220F" w14:textId="7A8C9986"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 xml:space="preserve">Herramienta de solicitudes de derechos de obtentor </w:t>
            </w:r>
            <w:r w:rsidR="000D20D3">
              <w:rPr>
                <w:rFonts w:ascii="Arial Narrow" w:hAnsi="Arial Narrow"/>
                <w:sz w:val="18"/>
                <w:lang w:val="es-419"/>
              </w:rPr>
              <w:t>UPOV PRISMA</w:t>
            </w:r>
          </w:p>
        </w:tc>
      </w:tr>
      <w:tr w:rsidR="00561560" w:rsidRPr="00F72633" w14:paraId="154751D4" w14:textId="77777777" w:rsidTr="00B904E7">
        <w:tc>
          <w:tcPr>
            <w:tcW w:w="2268" w:type="dxa"/>
          </w:tcPr>
          <w:p w14:paraId="2D18895A" w14:textId="45AA7459"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WSP</w:t>
            </w:r>
          </w:p>
        </w:tc>
        <w:tc>
          <w:tcPr>
            <w:tcW w:w="7655" w:type="dxa"/>
          </w:tcPr>
          <w:p w14:paraId="215A038F" w14:textId="6ADCE86D" w:rsidR="00561560" w:rsidRPr="00F72633" w:rsidRDefault="00561560" w:rsidP="00561560">
            <w:pPr>
              <w:spacing w:after="20"/>
              <w:jc w:val="left"/>
              <w:rPr>
                <w:rFonts w:ascii="Arial Narrow" w:hAnsi="Arial Narrow"/>
                <w:sz w:val="18"/>
                <w:lang w:val="es-419"/>
              </w:rPr>
            </w:pPr>
            <w:r w:rsidRPr="00F72633">
              <w:rPr>
                <w:rFonts w:ascii="Arial Narrow" w:hAnsi="Arial Narrow"/>
                <w:sz w:val="18"/>
                <w:lang w:val="es-419"/>
              </w:rPr>
              <w:t>Alianza Mundial por las Semillas</w:t>
            </w:r>
          </w:p>
        </w:tc>
      </w:tr>
    </w:tbl>
    <w:p w14:paraId="02FA3CB8" w14:textId="77777777" w:rsidR="003E3C19" w:rsidRPr="00F72633" w:rsidRDefault="003E3C19" w:rsidP="003E3C19">
      <w:pPr>
        <w:rPr>
          <w:lang w:val="es-419"/>
        </w:rPr>
      </w:pPr>
    </w:p>
    <w:p w14:paraId="54F82307" w14:textId="77777777" w:rsidR="003E3C19" w:rsidRPr="00F72633" w:rsidRDefault="003E3C19" w:rsidP="003E3C19">
      <w:pPr>
        <w:ind w:left="1418" w:hanging="1418"/>
        <w:rPr>
          <w:lang w:val="es-419"/>
        </w:rPr>
      </w:pPr>
    </w:p>
    <w:p w14:paraId="4E64A89F" w14:textId="7CD86279" w:rsidR="003E3C19" w:rsidRPr="00F72633" w:rsidRDefault="00626178" w:rsidP="003E3C19">
      <w:pPr>
        <w:ind w:left="1418" w:hanging="1418"/>
        <w:jc w:val="center"/>
        <w:rPr>
          <w:b/>
          <w:lang w:val="es-419"/>
        </w:rPr>
      </w:pPr>
      <w:r w:rsidRPr="00F72633">
        <w:rPr>
          <w:b/>
          <w:lang w:val="es-419"/>
        </w:rPr>
        <w:t>Siglas (también incluidas en el Anexo V)</w:t>
      </w:r>
    </w:p>
    <w:p w14:paraId="06A5CDE2" w14:textId="77777777" w:rsidR="003E3C19" w:rsidRPr="00F72633" w:rsidRDefault="003E3C19" w:rsidP="003E3C19">
      <w:pPr>
        <w:rPr>
          <w:lang w:val="es-419"/>
        </w:rPr>
      </w:pPr>
    </w:p>
    <w:tbl>
      <w:tblPr>
        <w:tblW w:w="9923" w:type="dxa"/>
        <w:tblLook w:val="04A0" w:firstRow="1" w:lastRow="0" w:firstColumn="1" w:lastColumn="0" w:noHBand="0" w:noVBand="1"/>
      </w:tblPr>
      <w:tblGrid>
        <w:gridCol w:w="1985"/>
        <w:gridCol w:w="7938"/>
      </w:tblGrid>
      <w:tr w:rsidR="00E43B18" w:rsidRPr="00F72633" w14:paraId="21D69DDD" w14:textId="77777777" w:rsidTr="00DD1FF6">
        <w:tc>
          <w:tcPr>
            <w:tcW w:w="1985" w:type="dxa"/>
            <w:tcBorders>
              <w:top w:val="nil"/>
              <w:left w:val="nil"/>
              <w:bottom w:val="nil"/>
              <w:right w:val="nil"/>
            </w:tcBorders>
            <w:shd w:val="clear" w:color="auto" w:fill="auto"/>
            <w:noWrap/>
            <w:tcMar>
              <w:top w:w="28" w:type="dxa"/>
              <w:bottom w:w="28" w:type="dxa"/>
            </w:tcMar>
            <w:hideMark/>
          </w:tcPr>
          <w:p w14:paraId="400DEB12"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2050Today</w:t>
            </w:r>
          </w:p>
        </w:tc>
        <w:tc>
          <w:tcPr>
            <w:tcW w:w="7938" w:type="dxa"/>
            <w:tcBorders>
              <w:top w:val="nil"/>
              <w:left w:val="nil"/>
              <w:bottom w:val="nil"/>
              <w:right w:val="nil"/>
            </w:tcBorders>
            <w:shd w:val="clear" w:color="auto" w:fill="auto"/>
            <w:noWrap/>
            <w:tcMar>
              <w:top w:w="28" w:type="dxa"/>
              <w:bottom w:w="28" w:type="dxa"/>
            </w:tcMar>
            <w:hideMark/>
          </w:tcPr>
          <w:p w14:paraId="70FFD68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 xml:space="preserve">Una iniciativa de acción climática que agrupa un conjunto de instituciones internacionales con sede en Ginebra. </w:t>
            </w:r>
          </w:p>
        </w:tc>
      </w:tr>
      <w:tr w:rsidR="00E43B18" w:rsidRPr="00F72633" w14:paraId="0A76F918" w14:textId="77777777" w:rsidTr="00DD1FF6">
        <w:tc>
          <w:tcPr>
            <w:tcW w:w="1985" w:type="dxa"/>
            <w:tcBorders>
              <w:top w:val="nil"/>
              <w:left w:val="nil"/>
              <w:bottom w:val="nil"/>
              <w:right w:val="nil"/>
            </w:tcBorders>
            <w:shd w:val="clear" w:color="auto" w:fill="auto"/>
            <w:noWrap/>
            <w:tcMar>
              <w:top w:w="28" w:type="dxa"/>
              <w:bottom w:w="28" w:type="dxa"/>
            </w:tcMar>
            <w:hideMark/>
          </w:tcPr>
          <w:p w14:paraId="1E64E064"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AFSTA</w:t>
            </w:r>
          </w:p>
        </w:tc>
        <w:tc>
          <w:tcPr>
            <w:tcW w:w="7938" w:type="dxa"/>
            <w:tcBorders>
              <w:top w:val="nil"/>
              <w:left w:val="nil"/>
              <w:bottom w:val="nil"/>
              <w:right w:val="nil"/>
            </w:tcBorders>
            <w:shd w:val="clear" w:color="auto" w:fill="auto"/>
            <w:noWrap/>
            <w:tcMar>
              <w:top w:w="28" w:type="dxa"/>
              <w:bottom w:w="28" w:type="dxa"/>
            </w:tcMar>
            <w:hideMark/>
          </w:tcPr>
          <w:p w14:paraId="1F012862"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African Seed Trade Association (Asociación africana de comercio de semillas)</w:t>
            </w:r>
          </w:p>
        </w:tc>
      </w:tr>
      <w:tr w:rsidR="00E43B18" w:rsidRPr="00F72633" w14:paraId="49FC9A15" w14:textId="77777777" w:rsidTr="00DD1FF6">
        <w:tc>
          <w:tcPr>
            <w:tcW w:w="1985" w:type="dxa"/>
            <w:tcBorders>
              <w:top w:val="nil"/>
              <w:left w:val="nil"/>
              <w:bottom w:val="nil"/>
              <w:right w:val="nil"/>
            </w:tcBorders>
            <w:shd w:val="clear" w:color="auto" w:fill="auto"/>
            <w:noWrap/>
            <w:tcMar>
              <w:top w:w="28" w:type="dxa"/>
              <w:bottom w:w="28" w:type="dxa"/>
            </w:tcMar>
            <w:hideMark/>
          </w:tcPr>
          <w:p w14:paraId="27FC980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AIPH</w:t>
            </w:r>
          </w:p>
        </w:tc>
        <w:tc>
          <w:tcPr>
            <w:tcW w:w="7938" w:type="dxa"/>
            <w:tcBorders>
              <w:top w:val="nil"/>
              <w:left w:val="nil"/>
              <w:bottom w:val="nil"/>
              <w:right w:val="nil"/>
            </w:tcBorders>
            <w:shd w:val="clear" w:color="auto" w:fill="auto"/>
            <w:noWrap/>
            <w:tcMar>
              <w:top w:w="28" w:type="dxa"/>
              <w:bottom w:w="28" w:type="dxa"/>
            </w:tcMar>
            <w:hideMark/>
          </w:tcPr>
          <w:p w14:paraId="2061260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Asociación Internacional de Productores Hortícolas</w:t>
            </w:r>
          </w:p>
        </w:tc>
      </w:tr>
      <w:tr w:rsidR="002F7C19" w:rsidRPr="00F72633" w14:paraId="7896A863" w14:textId="77777777" w:rsidTr="00DD1FF6">
        <w:tc>
          <w:tcPr>
            <w:tcW w:w="1985" w:type="dxa"/>
            <w:tcBorders>
              <w:top w:val="nil"/>
              <w:left w:val="nil"/>
              <w:bottom w:val="nil"/>
              <w:right w:val="nil"/>
            </w:tcBorders>
            <w:shd w:val="clear" w:color="auto" w:fill="auto"/>
            <w:noWrap/>
            <w:tcMar>
              <w:top w:w="28" w:type="dxa"/>
              <w:bottom w:w="28" w:type="dxa"/>
            </w:tcMar>
          </w:tcPr>
          <w:p w14:paraId="14BDF646" w14:textId="2384A366" w:rsidR="002F7C19" w:rsidRPr="00F72633" w:rsidRDefault="002F7C1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AIPPI</w:t>
            </w:r>
          </w:p>
        </w:tc>
        <w:tc>
          <w:tcPr>
            <w:tcW w:w="7938" w:type="dxa"/>
            <w:tcBorders>
              <w:top w:val="nil"/>
              <w:left w:val="nil"/>
              <w:bottom w:val="nil"/>
              <w:right w:val="nil"/>
            </w:tcBorders>
            <w:shd w:val="clear" w:color="auto" w:fill="auto"/>
            <w:noWrap/>
            <w:tcMar>
              <w:top w:w="28" w:type="dxa"/>
              <w:bottom w:w="28" w:type="dxa"/>
            </w:tcMar>
          </w:tcPr>
          <w:p w14:paraId="569DA382" w14:textId="16C75810" w:rsidR="002F7C19" w:rsidRPr="00F72633" w:rsidRDefault="002F7C1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Asociación Internacional para la Protección de la Propiedad Intelectual</w:t>
            </w:r>
          </w:p>
        </w:tc>
      </w:tr>
      <w:tr w:rsidR="002F7C19" w:rsidRPr="00F72633" w14:paraId="67A69E5E" w14:textId="77777777" w:rsidTr="00DD1FF6">
        <w:tc>
          <w:tcPr>
            <w:tcW w:w="1985" w:type="dxa"/>
            <w:tcBorders>
              <w:top w:val="nil"/>
              <w:left w:val="nil"/>
              <w:bottom w:val="nil"/>
              <w:right w:val="nil"/>
            </w:tcBorders>
            <w:shd w:val="clear" w:color="auto" w:fill="auto"/>
            <w:noWrap/>
            <w:tcMar>
              <w:top w:w="28" w:type="dxa"/>
              <w:bottom w:w="28" w:type="dxa"/>
            </w:tcMar>
          </w:tcPr>
          <w:p w14:paraId="3DB561AB" w14:textId="1AD59367" w:rsidR="002F7C19" w:rsidRPr="00F72633" w:rsidRDefault="002F7C1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AOHE</w:t>
            </w:r>
          </w:p>
        </w:tc>
        <w:tc>
          <w:tcPr>
            <w:tcW w:w="7938" w:type="dxa"/>
            <w:tcBorders>
              <w:top w:val="nil"/>
              <w:left w:val="nil"/>
              <w:bottom w:val="nil"/>
              <w:right w:val="nil"/>
            </w:tcBorders>
            <w:shd w:val="clear" w:color="auto" w:fill="auto"/>
            <w:noWrap/>
            <w:tcMar>
              <w:top w:w="28" w:type="dxa"/>
              <w:bottom w:w="28" w:type="dxa"/>
            </w:tcMar>
          </w:tcPr>
          <w:p w14:paraId="7270ACEB" w14:textId="621A99C8" w:rsidR="002F7C19" w:rsidRPr="00F72633" w:rsidRDefault="002F7C1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Asociación de Obtentores Hortícolas Europeos</w:t>
            </w:r>
          </w:p>
        </w:tc>
      </w:tr>
      <w:tr w:rsidR="00E43B18" w:rsidRPr="00F72633" w14:paraId="4C252FBF" w14:textId="77777777" w:rsidTr="00DD1FF6">
        <w:tc>
          <w:tcPr>
            <w:tcW w:w="1985" w:type="dxa"/>
            <w:tcBorders>
              <w:top w:val="nil"/>
              <w:left w:val="nil"/>
              <w:bottom w:val="nil"/>
              <w:right w:val="nil"/>
            </w:tcBorders>
            <w:shd w:val="clear" w:color="auto" w:fill="auto"/>
            <w:noWrap/>
            <w:tcMar>
              <w:top w:w="28" w:type="dxa"/>
              <w:bottom w:w="28" w:type="dxa"/>
            </w:tcMar>
            <w:hideMark/>
          </w:tcPr>
          <w:p w14:paraId="0AF575EF"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APBREBES</w:t>
            </w:r>
          </w:p>
        </w:tc>
        <w:tc>
          <w:tcPr>
            <w:tcW w:w="7938" w:type="dxa"/>
            <w:tcBorders>
              <w:top w:val="nil"/>
              <w:left w:val="nil"/>
              <w:bottom w:val="nil"/>
              <w:right w:val="nil"/>
            </w:tcBorders>
            <w:shd w:val="clear" w:color="auto" w:fill="auto"/>
            <w:noWrap/>
            <w:tcMar>
              <w:top w:w="28" w:type="dxa"/>
              <w:bottom w:w="28" w:type="dxa"/>
            </w:tcMar>
            <w:hideMark/>
          </w:tcPr>
          <w:p w14:paraId="05BA0381"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Association for Plant Breeding for the Benefit of Society (Asociación para el fitomejoramiento en beneficio de la sociedad)</w:t>
            </w:r>
          </w:p>
        </w:tc>
      </w:tr>
      <w:tr w:rsidR="00E43B18" w:rsidRPr="00F72633" w14:paraId="0E606CB5" w14:textId="77777777" w:rsidTr="00DD1FF6">
        <w:tc>
          <w:tcPr>
            <w:tcW w:w="1985" w:type="dxa"/>
            <w:tcBorders>
              <w:top w:val="nil"/>
              <w:left w:val="nil"/>
              <w:bottom w:val="nil"/>
              <w:right w:val="nil"/>
            </w:tcBorders>
            <w:shd w:val="clear" w:color="auto" w:fill="auto"/>
            <w:noWrap/>
            <w:tcMar>
              <w:top w:w="28" w:type="dxa"/>
              <w:bottom w:w="28" w:type="dxa"/>
            </w:tcMar>
            <w:hideMark/>
          </w:tcPr>
          <w:p w14:paraId="49A5A1F4"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APSA</w:t>
            </w:r>
          </w:p>
        </w:tc>
        <w:tc>
          <w:tcPr>
            <w:tcW w:w="7938" w:type="dxa"/>
            <w:tcBorders>
              <w:top w:val="nil"/>
              <w:left w:val="nil"/>
              <w:bottom w:val="nil"/>
              <w:right w:val="nil"/>
            </w:tcBorders>
            <w:shd w:val="clear" w:color="auto" w:fill="auto"/>
            <w:noWrap/>
            <w:tcMar>
              <w:top w:w="28" w:type="dxa"/>
              <w:bottom w:w="28" w:type="dxa"/>
            </w:tcMar>
            <w:hideMark/>
          </w:tcPr>
          <w:p w14:paraId="7242F93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Asia and Pacific Seed Association (Asociación de Semillas de Asia y el Pacífico)</w:t>
            </w:r>
          </w:p>
        </w:tc>
      </w:tr>
      <w:tr w:rsidR="00E43B18" w:rsidRPr="00F72633" w14:paraId="038BE313" w14:textId="77777777" w:rsidTr="00DD1FF6">
        <w:tc>
          <w:tcPr>
            <w:tcW w:w="1985" w:type="dxa"/>
            <w:tcBorders>
              <w:top w:val="nil"/>
              <w:left w:val="nil"/>
              <w:bottom w:val="nil"/>
              <w:right w:val="nil"/>
            </w:tcBorders>
            <w:shd w:val="clear" w:color="auto" w:fill="auto"/>
            <w:noWrap/>
            <w:tcMar>
              <w:top w:w="28" w:type="dxa"/>
              <w:bottom w:w="28" w:type="dxa"/>
            </w:tcMar>
            <w:hideMark/>
          </w:tcPr>
          <w:p w14:paraId="61DCD6F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ARIPO</w:t>
            </w:r>
          </w:p>
        </w:tc>
        <w:tc>
          <w:tcPr>
            <w:tcW w:w="7938" w:type="dxa"/>
            <w:tcBorders>
              <w:top w:val="nil"/>
              <w:left w:val="nil"/>
              <w:bottom w:val="nil"/>
              <w:right w:val="nil"/>
            </w:tcBorders>
            <w:shd w:val="clear" w:color="auto" w:fill="auto"/>
            <w:noWrap/>
            <w:tcMar>
              <w:top w:w="28" w:type="dxa"/>
              <w:bottom w:w="28" w:type="dxa"/>
            </w:tcMar>
            <w:hideMark/>
          </w:tcPr>
          <w:p w14:paraId="70302F1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Regional Africana de la Propiedad Intelectual</w:t>
            </w:r>
          </w:p>
        </w:tc>
      </w:tr>
      <w:tr w:rsidR="00E43B18" w:rsidRPr="00F72633" w14:paraId="05D146E2" w14:textId="77777777" w:rsidTr="00DD1FF6">
        <w:tc>
          <w:tcPr>
            <w:tcW w:w="1985" w:type="dxa"/>
            <w:tcBorders>
              <w:top w:val="nil"/>
              <w:left w:val="nil"/>
              <w:bottom w:val="nil"/>
              <w:right w:val="nil"/>
            </w:tcBorders>
            <w:shd w:val="clear" w:color="auto" w:fill="auto"/>
            <w:noWrap/>
            <w:tcMar>
              <w:top w:w="28" w:type="dxa"/>
              <w:bottom w:w="28" w:type="dxa"/>
            </w:tcMar>
            <w:hideMark/>
          </w:tcPr>
          <w:p w14:paraId="5CBF1E2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ASEAN</w:t>
            </w:r>
          </w:p>
        </w:tc>
        <w:tc>
          <w:tcPr>
            <w:tcW w:w="7938" w:type="dxa"/>
            <w:tcBorders>
              <w:top w:val="nil"/>
              <w:left w:val="nil"/>
              <w:bottom w:val="nil"/>
              <w:right w:val="nil"/>
            </w:tcBorders>
            <w:shd w:val="clear" w:color="auto" w:fill="auto"/>
            <w:noWrap/>
            <w:tcMar>
              <w:top w:w="28" w:type="dxa"/>
              <w:bottom w:w="28" w:type="dxa"/>
            </w:tcMar>
            <w:hideMark/>
          </w:tcPr>
          <w:p w14:paraId="2AF4A100"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Asociación de Naciones del Asia Sudoriental</w:t>
            </w:r>
          </w:p>
        </w:tc>
      </w:tr>
      <w:tr w:rsidR="00E43B18" w:rsidRPr="00F72633" w14:paraId="36814265" w14:textId="77777777" w:rsidTr="00DD1FF6">
        <w:tc>
          <w:tcPr>
            <w:tcW w:w="1985" w:type="dxa"/>
            <w:tcBorders>
              <w:top w:val="nil"/>
              <w:left w:val="nil"/>
              <w:bottom w:val="nil"/>
              <w:right w:val="nil"/>
            </w:tcBorders>
            <w:shd w:val="clear" w:color="auto" w:fill="auto"/>
            <w:noWrap/>
            <w:tcMar>
              <w:top w:w="28" w:type="dxa"/>
              <w:bottom w:w="28" w:type="dxa"/>
            </w:tcMar>
            <w:hideMark/>
          </w:tcPr>
          <w:p w14:paraId="545DC56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BruIPO</w:t>
            </w:r>
          </w:p>
        </w:tc>
        <w:tc>
          <w:tcPr>
            <w:tcW w:w="7938" w:type="dxa"/>
            <w:tcBorders>
              <w:top w:val="nil"/>
              <w:left w:val="nil"/>
              <w:bottom w:val="nil"/>
              <w:right w:val="nil"/>
            </w:tcBorders>
            <w:shd w:val="clear" w:color="auto" w:fill="auto"/>
            <w:noWrap/>
            <w:tcMar>
              <w:top w:w="28" w:type="dxa"/>
              <w:bottom w:w="28" w:type="dxa"/>
            </w:tcMar>
            <w:hideMark/>
          </w:tcPr>
          <w:p w14:paraId="2C6B96B4"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de Propiedad Intelectual de Brunei Darussalam</w:t>
            </w:r>
          </w:p>
        </w:tc>
      </w:tr>
      <w:tr w:rsidR="00E43B18" w:rsidRPr="00F72633" w14:paraId="160E486D" w14:textId="77777777" w:rsidTr="00DD1FF6">
        <w:tc>
          <w:tcPr>
            <w:tcW w:w="1985" w:type="dxa"/>
            <w:tcBorders>
              <w:top w:val="nil"/>
              <w:left w:val="nil"/>
              <w:bottom w:val="nil"/>
              <w:right w:val="nil"/>
            </w:tcBorders>
            <w:shd w:val="clear" w:color="auto" w:fill="auto"/>
            <w:noWrap/>
            <w:tcMar>
              <w:top w:w="28" w:type="dxa"/>
              <w:bottom w:w="28" w:type="dxa"/>
            </w:tcMar>
          </w:tcPr>
          <w:p w14:paraId="540FC9CE"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CARDI</w:t>
            </w:r>
          </w:p>
        </w:tc>
        <w:tc>
          <w:tcPr>
            <w:tcW w:w="7938" w:type="dxa"/>
            <w:tcBorders>
              <w:top w:val="nil"/>
              <w:left w:val="nil"/>
              <w:bottom w:val="nil"/>
              <w:right w:val="nil"/>
            </w:tcBorders>
            <w:shd w:val="clear" w:color="auto" w:fill="auto"/>
            <w:noWrap/>
            <w:tcMar>
              <w:top w:w="28" w:type="dxa"/>
              <w:bottom w:w="28" w:type="dxa"/>
            </w:tcMar>
          </w:tcPr>
          <w:p w14:paraId="7CBDBD26" w14:textId="42938230" w:rsidR="00E43B18" w:rsidRPr="00F72633" w:rsidRDefault="002F7C19"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Cambodian Agricultural Research and Development Institute (Instituto de Investigación y Desarrollo Agrícola de Camboya)</w:t>
            </w:r>
          </w:p>
        </w:tc>
      </w:tr>
      <w:tr w:rsidR="00E43B18" w:rsidRPr="00F72633" w14:paraId="528D4A3E" w14:textId="77777777" w:rsidTr="00DD1FF6">
        <w:tc>
          <w:tcPr>
            <w:tcW w:w="1985" w:type="dxa"/>
            <w:tcBorders>
              <w:top w:val="nil"/>
              <w:left w:val="nil"/>
              <w:bottom w:val="nil"/>
              <w:right w:val="nil"/>
            </w:tcBorders>
            <w:shd w:val="clear" w:color="auto" w:fill="auto"/>
            <w:noWrap/>
            <w:tcMar>
              <w:top w:w="28" w:type="dxa"/>
              <w:bottom w:w="28" w:type="dxa"/>
            </w:tcMar>
            <w:hideMark/>
          </w:tcPr>
          <w:p w14:paraId="3CFD4D8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CARICOM</w:t>
            </w:r>
          </w:p>
        </w:tc>
        <w:tc>
          <w:tcPr>
            <w:tcW w:w="7938" w:type="dxa"/>
            <w:tcBorders>
              <w:top w:val="nil"/>
              <w:left w:val="nil"/>
              <w:bottom w:val="nil"/>
              <w:right w:val="nil"/>
            </w:tcBorders>
            <w:shd w:val="clear" w:color="auto" w:fill="auto"/>
            <w:noWrap/>
            <w:tcMar>
              <w:top w:w="28" w:type="dxa"/>
              <w:bottom w:w="28" w:type="dxa"/>
            </w:tcMar>
            <w:hideMark/>
          </w:tcPr>
          <w:p w14:paraId="5C94C66E"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Comunidad del Caribe</w:t>
            </w:r>
          </w:p>
        </w:tc>
      </w:tr>
      <w:tr w:rsidR="00E43B18" w:rsidRPr="00F72633" w14:paraId="712EC48C" w14:textId="77777777" w:rsidTr="00DD1FF6">
        <w:tc>
          <w:tcPr>
            <w:tcW w:w="1985" w:type="dxa"/>
            <w:tcBorders>
              <w:top w:val="nil"/>
              <w:left w:val="nil"/>
              <w:bottom w:val="nil"/>
              <w:right w:val="nil"/>
            </w:tcBorders>
            <w:shd w:val="clear" w:color="auto" w:fill="auto"/>
            <w:noWrap/>
            <w:tcMar>
              <w:top w:w="28" w:type="dxa"/>
              <w:bottom w:w="28" w:type="dxa"/>
            </w:tcMar>
            <w:hideMark/>
          </w:tcPr>
          <w:p w14:paraId="2E187DC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CarIPI</w:t>
            </w:r>
          </w:p>
        </w:tc>
        <w:tc>
          <w:tcPr>
            <w:tcW w:w="7938" w:type="dxa"/>
            <w:tcBorders>
              <w:top w:val="nil"/>
              <w:left w:val="nil"/>
              <w:bottom w:val="nil"/>
              <w:right w:val="nil"/>
            </w:tcBorders>
            <w:shd w:val="clear" w:color="auto" w:fill="auto"/>
            <w:noWrap/>
            <w:tcMar>
              <w:top w:w="28" w:type="dxa"/>
              <w:bottom w:w="28" w:type="dxa"/>
            </w:tcMar>
            <w:hideMark/>
          </w:tcPr>
          <w:p w14:paraId="7C9EBFBE"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CARIFORUM Intellectual Property Rights and Innovation (Derechos de propiedad intelectual e innovación del CARIFORUM)</w:t>
            </w:r>
          </w:p>
        </w:tc>
      </w:tr>
      <w:tr w:rsidR="002F7C19" w:rsidRPr="00F72633" w14:paraId="115A0F6F" w14:textId="77777777" w:rsidTr="00DD1FF6">
        <w:tc>
          <w:tcPr>
            <w:tcW w:w="1985" w:type="dxa"/>
            <w:tcBorders>
              <w:top w:val="nil"/>
              <w:left w:val="nil"/>
              <w:bottom w:val="nil"/>
              <w:right w:val="nil"/>
            </w:tcBorders>
            <w:shd w:val="clear" w:color="auto" w:fill="auto"/>
            <w:noWrap/>
            <w:tcMar>
              <w:top w:w="28" w:type="dxa"/>
              <w:bottom w:w="28" w:type="dxa"/>
            </w:tcMar>
          </w:tcPr>
          <w:p w14:paraId="0CD2F2F0" w14:textId="0D1F241F" w:rsidR="002F7C19" w:rsidRPr="00F72633" w:rsidRDefault="002F7C1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CATIE</w:t>
            </w:r>
          </w:p>
        </w:tc>
        <w:tc>
          <w:tcPr>
            <w:tcW w:w="7938" w:type="dxa"/>
            <w:tcBorders>
              <w:top w:val="nil"/>
              <w:left w:val="nil"/>
              <w:bottom w:val="nil"/>
              <w:right w:val="nil"/>
            </w:tcBorders>
            <w:shd w:val="clear" w:color="auto" w:fill="auto"/>
            <w:noWrap/>
            <w:tcMar>
              <w:top w:w="28" w:type="dxa"/>
              <w:bottom w:w="28" w:type="dxa"/>
            </w:tcMar>
          </w:tcPr>
          <w:p w14:paraId="13BE94AB" w14:textId="5C2AF351" w:rsidR="002F7C19" w:rsidRPr="00F72633" w:rsidRDefault="002F7C19" w:rsidP="00DD1FF6">
            <w:pPr>
              <w:spacing w:after="20"/>
              <w:jc w:val="left"/>
              <w:rPr>
                <w:rFonts w:ascii="Arial Narrow" w:hAnsi="Arial Narrow"/>
                <w:color w:val="000000"/>
                <w:sz w:val="18"/>
                <w:lang w:val="es-419"/>
              </w:rPr>
            </w:pPr>
            <w:r w:rsidRPr="00F72633">
              <w:rPr>
                <w:rFonts w:ascii="Arial Narrow" w:eastAsia="Times New Roman" w:hAnsi="Arial Narrow"/>
                <w:color w:val="000000"/>
                <w:sz w:val="18"/>
                <w:szCs w:val="18"/>
                <w:lang w:val="es-419" w:eastAsia="en-US"/>
              </w:rPr>
              <w:t>Centro Agronómico Tropical de Investigación y Enseñanza</w:t>
            </w:r>
          </w:p>
        </w:tc>
      </w:tr>
      <w:tr w:rsidR="00E43B18" w:rsidRPr="00F72633" w14:paraId="4009226C" w14:textId="77777777" w:rsidTr="00DD1FF6">
        <w:tc>
          <w:tcPr>
            <w:tcW w:w="1985" w:type="dxa"/>
            <w:tcBorders>
              <w:top w:val="nil"/>
              <w:left w:val="nil"/>
              <w:bottom w:val="nil"/>
              <w:right w:val="nil"/>
            </w:tcBorders>
            <w:shd w:val="clear" w:color="auto" w:fill="auto"/>
            <w:noWrap/>
            <w:tcMar>
              <w:top w:w="28" w:type="dxa"/>
              <w:bottom w:w="28" w:type="dxa"/>
            </w:tcMar>
            <w:hideMark/>
          </w:tcPr>
          <w:p w14:paraId="2A3717B0"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CDB</w:t>
            </w:r>
          </w:p>
        </w:tc>
        <w:tc>
          <w:tcPr>
            <w:tcW w:w="7938" w:type="dxa"/>
            <w:tcBorders>
              <w:top w:val="nil"/>
              <w:left w:val="nil"/>
              <w:bottom w:val="nil"/>
              <w:right w:val="nil"/>
            </w:tcBorders>
            <w:shd w:val="clear" w:color="auto" w:fill="auto"/>
            <w:noWrap/>
            <w:tcMar>
              <w:top w:w="28" w:type="dxa"/>
              <w:bottom w:w="28" w:type="dxa"/>
            </w:tcMar>
            <w:hideMark/>
          </w:tcPr>
          <w:p w14:paraId="1E9472E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Convenio sobre la Diversidad Biológica</w:t>
            </w:r>
          </w:p>
        </w:tc>
      </w:tr>
      <w:tr w:rsidR="00E43B18" w:rsidRPr="00F72633" w14:paraId="70DC797C" w14:textId="77777777" w:rsidTr="00DD1FF6">
        <w:tc>
          <w:tcPr>
            <w:tcW w:w="1985" w:type="dxa"/>
            <w:tcBorders>
              <w:top w:val="nil"/>
              <w:left w:val="nil"/>
              <w:bottom w:val="nil"/>
              <w:right w:val="nil"/>
            </w:tcBorders>
            <w:shd w:val="clear" w:color="auto" w:fill="auto"/>
            <w:noWrap/>
            <w:tcMar>
              <w:top w:w="28" w:type="dxa"/>
              <w:bottom w:w="28" w:type="dxa"/>
            </w:tcMar>
            <w:hideMark/>
          </w:tcPr>
          <w:p w14:paraId="1BDFB38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CFIA</w:t>
            </w:r>
          </w:p>
        </w:tc>
        <w:tc>
          <w:tcPr>
            <w:tcW w:w="7938" w:type="dxa"/>
            <w:tcBorders>
              <w:top w:val="nil"/>
              <w:left w:val="nil"/>
              <w:bottom w:val="nil"/>
              <w:right w:val="nil"/>
            </w:tcBorders>
            <w:shd w:val="clear" w:color="auto" w:fill="auto"/>
            <w:noWrap/>
            <w:tcMar>
              <w:top w:w="28" w:type="dxa"/>
              <w:bottom w:w="28" w:type="dxa"/>
            </w:tcMar>
            <w:hideMark/>
          </w:tcPr>
          <w:p w14:paraId="6FF6F9DD"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Agencia Canadiense de Inspección Alimentaria</w:t>
            </w:r>
          </w:p>
        </w:tc>
      </w:tr>
      <w:tr w:rsidR="00E43B18" w:rsidRPr="00F72633" w14:paraId="56A46139" w14:textId="77777777" w:rsidTr="00DD1FF6">
        <w:tc>
          <w:tcPr>
            <w:tcW w:w="1985" w:type="dxa"/>
            <w:tcBorders>
              <w:top w:val="nil"/>
              <w:left w:val="nil"/>
              <w:bottom w:val="nil"/>
              <w:right w:val="nil"/>
            </w:tcBorders>
            <w:shd w:val="clear" w:color="auto" w:fill="auto"/>
            <w:noWrap/>
            <w:tcMar>
              <w:top w:w="28" w:type="dxa"/>
              <w:bottom w:w="28" w:type="dxa"/>
            </w:tcMar>
            <w:hideMark/>
          </w:tcPr>
          <w:p w14:paraId="5C227F9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szCs w:val="18"/>
                <w:lang w:val="es-419"/>
              </w:rPr>
              <w:t>CGIAR</w:t>
            </w:r>
          </w:p>
        </w:tc>
        <w:tc>
          <w:tcPr>
            <w:tcW w:w="7938" w:type="dxa"/>
            <w:tcBorders>
              <w:top w:val="nil"/>
              <w:left w:val="nil"/>
              <w:bottom w:val="nil"/>
              <w:right w:val="nil"/>
            </w:tcBorders>
            <w:shd w:val="clear" w:color="auto" w:fill="auto"/>
            <w:noWrap/>
            <w:tcMar>
              <w:top w:w="28" w:type="dxa"/>
              <w:bottom w:w="28" w:type="dxa"/>
            </w:tcMar>
            <w:hideMark/>
          </w:tcPr>
          <w:p w14:paraId="3285EB65"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Grupo Consultivo sobre Investigación Agrícola Internacional</w:t>
            </w:r>
          </w:p>
        </w:tc>
      </w:tr>
      <w:tr w:rsidR="00E43B18" w:rsidRPr="00F72633" w14:paraId="6C720E26" w14:textId="77777777" w:rsidTr="00DD1FF6">
        <w:tc>
          <w:tcPr>
            <w:tcW w:w="1985" w:type="dxa"/>
            <w:tcBorders>
              <w:top w:val="nil"/>
              <w:left w:val="nil"/>
              <w:bottom w:val="nil"/>
              <w:right w:val="nil"/>
            </w:tcBorders>
            <w:shd w:val="clear" w:color="auto" w:fill="auto"/>
            <w:noWrap/>
            <w:tcMar>
              <w:top w:w="28" w:type="dxa"/>
              <w:bottom w:w="28" w:type="dxa"/>
            </w:tcMar>
            <w:hideMark/>
          </w:tcPr>
          <w:p w14:paraId="08F2D53E"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CIOPORA</w:t>
            </w:r>
          </w:p>
        </w:tc>
        <w:tc>
          <w:tcPr>
            <w:tcW w:w="7938" w:type="dxa"/>
            <w:tcBorders>
              <w:top w:val="nil"/>
              <w:left w:val="nil"/>
              <w:bottom w:val="nil"/>
              <w:right w:val="nil"/>
            </w:tcBorders>
            <w:shd w:val="clear" w:color="auto" w:fill="auto"/>
            <w:noWrap/>
            <w:tcMar>
              <w:top w:w="28" w:type="dxa"/>
              <w:bottom w:w="28" w:type="dxa"/>
            </w:tcMar>
            <w:hideMark/>
          </w:tcPr>
          <w:p w14:paraId="66EB503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Comunidad Internacional de Obtentores de Variedades Ornamentales y Frutales de Reproducción Asexuada</w:t>
            </w:r>
          </w:p>
        </w:tc>
      </w:tr>
      <w:tr w:rsidR="00E43B18" w:rsidRPr="00F72633" w14:paraId="1FF02215" w14:textId="77777777" w:rsidTr="00DD1FF6">
        <w:tc>
          <w:tcPr>
            <w:tcW w:w="1985" w:type="dxa"/>
            <w:tcBorders>
              <w:top w:val="nil"/>
              <w:left w:val="nil"/>
              <w:bottom w:val="nil"/>
              <w:right w:val="nil"/>
            </w:tcBorders>
            <w:shd w:val="clear" w:color="auto" w:fill="auto"/>
            <w:noWrap/>
            <w:tcMar>
              <w:top w:w="28" w:type="dxa"/>
              <w:bottom w:w="28" w:type="dxa"/>
            </w:tcMar>
            <w:hideMark/>
          </w:tcPr>
          <w:p w14:paraId="6E95A76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lastRenderedPageBreak/>
              <w:t>CIPO (San Vicente y las Granadinas)</w:t>
            </w:r>
          </w:p>
        </w:tc>
        <w:tc>
          <w:tcPr>
            <w:tcW w:w="7938" w:type="dxa"/>
            <w:tcBorders>
              <w:top w:val="nil"/>
              <w:left w:val="nil"/>
              <w:bottom w:val="nil"/>
              <w:right w:val="nil"/>
            </w:tcBorders>
            <w:shd w:val="clear" w:color="auto" w:fill="auto"/>
            <w:noWrap/>
            <w:tcMar>
              <w:top w:w="28" w:type="dxa"/>
              <w:bottom w:w="28" w:type="dxa"/>
            </w:tcMar>
            <w:hideMark/>
          </w:tcPr>
          <w:p w14:paraId="7E445EA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de Comercio y Propiedad Intelectual de San Vicente y las Granadinas</w:t>
            </w:r>
          </w:p>
        </w:tc>
      </w:tr>
      <w:tr w:rsidR="00E43B18" w:rsidRPr="00F72633" w14:paraId="1C12A0A7" w14:textId="77777777" w:rsidTr="00DD1FF6">
        <w:tc>
          <w:tcPr>
            <w:tcW w:w="1985" w:type="dxa"/>
            <w:tcBorders>
              <w:top w:val="nil"/>
              <w:left w:val="nil"/>
              <w:bottom w:val="nil"/>
              <w:right w:val="nil"/>
            </w:tcBorders>
            <w:shd w:val="clear" w:color="auto" w:fill="auto"/>
            <w:noWrap/>
            <w:tcMar>
              <w:top w:w="28" w:type="dxa"/>
              <w:bottom w:w="28" w:type="dxa"/>
            </w:tcMar>
            <w:hideMark/>
          </w:tcPr>
          <w:p w14:paraId="5A584B61"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CLI</w:t>
            </w:r>
          </w:p>
        </w:tc>
        <w:tc>
          <w:tcPr>
            <w:tcW w:w="7938" w:type="dxa"/>
            <w:tcBorders>
              <w:top w:val="nil"/>
              <w:left w:val="nil"/>
              <w:bottom w:val="nil"/>
              <w:right w:val="nil"/>
            </w:tcBorders>
            <w:shd w:val="clear" w:color="auto" w:fill="auto"/>
            <w:noWrap/>
            <w:tcMar>
              <w:top w:w="28" w:type="dxa"/>
              <w:bottom w:w="28" w:type="dxa"/>
            </w:tcMar>
            <w:hideMark/>
          </w:tcPr>
          <w:p w14:paraId="0850BA95"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CropLife International</w:t>
            </w:r>
          </w:p>
        </w:tc>
      </w:tr>
      <w:tr w:rsidR="00E43B18" w:rsidRPr="00F72633" w14:paraId="7F51C6AF" w14:textId="77777777" w:rsidTr="00DD1FF6">
        <w:tc>
          <w:tcPr>
            <w:tcW w:w="1985" w:type="dxa"/>
            <w:tcBorders>
              <w:top w:val="nil"/>
              <w:left w:val="nil"/>
              <w:bottom w:val="nil"/>
              <w:right w:val="nil"/>
            </w:tcBorders>
            <w:shd w:val="clear" w:color="auto" w:fill="auto"/>
            <w:noWrap/>
            <w:tcMar>
              <w:top w:w="28" w:type="dxa"/>
              <w:bottom w:w="28" w:type="dxa"/>
            </w:tcMar>
            <w:hideMark/>
          </w:tcPr>
          <w:p w14:paraId="11A9D4D4" w14:textId="721FEF2C"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CNI</w:t>
            </w:r>
            <w:r w:rsidR="00035940" w:rsidRPr="00F72633">
              <w:rPr>
                <w:rFonts w:ascii="Arial Narrow" w:hAnsi="Arial Narrow"/>
                <w:color w:val="000000"/>
                <w:sz w:val="18"/>
                <w:lang w:val="es-419"/>
              </w:rPr>
              <w:t>PA</w:t>
            </w:r>
          </w:p>
        </w:tc>
        <w:tc>
          <w:tcPr>
            <w:tcW w:w="7938" w:type="dxa"/>
            <w:tcBorders>
              <w:top w:val="nil"/>
              <w:left w:val="nil"/>
              <w:bottom w:val="nil"/>
              <w:right w:val="nil"/>
            </w:tcBorders>
            <w:shd w:val="clear" w:color="auto" w:fill="auto"/>
            <w:tcMar>
              <w:top w:w="28" w:type="dxa"/>
              <w:bottom w:w="28" w:type="dxa"/>
            </w:tcMar>
            <w:hideMark/>
          </w:tcPr>
          <w:p w14:paraId="3B56784C" w14:textId="2DE111E9" w:rsidR="00E43B18" w:rsidRPr="00F72633" w:rsidRDefault="00035940" w:rsidP="00DD1FF6">
            <w:pPr>
              <w:spacing w:after="20"/>
              <w:jc w:val="left"/>
              <w:rPr>
                <w:rFonts w:ascii="Arial Narrow" w:hAnsi="Arial Narrow"/>
                <w:color w:val="000000"/>
                <w:sz w:val="18"/>
                <w:szCs w:val="18"/>
                <w:lang w:val="es-419"/>
              </w:rPr>
            </w:pPr>
            <w:r w:rsidRPr="00F72633">
              <w:rPr>
                <w:rFonts w:ascii="Arial Narrow" w:hAnsi="Arial Narrow"/>
                <w:iCs/>
                <w:color w:val="000000"/>
                <w:sz w:val="18"/>
                <w:lang w:val="es-419"/>
              </w:rPr>
              <w:t>Administración Nacional de Propiedad Intelectual de China</w:t>
            </w:r>
          </w:p>
        </w:tc>
      </w:tr>
      <w:tr w:rsidR="00E43B18" w:rsidRPr="00F72633" w14:paraId="73F2999E" w14:textId="77777777" w:rsidTr="00DD1FF6">
        <w:tc>
          <w:tcPr>
            <w:tcW w:w="1985" w:type="dxa"/>
            <w:tcBorders>
              <w:top w:val="nil"/>
              <w:left w:val="nil"/>
              <w:bottom w:val="nil"/>
              <w:right w:val="nil"/>
            </w:tcBorders>
            <w:shd w:val="clear" w:color="auto" w:fill="auto"/>
            <w:noWrap/>
            <w:tcMar>
              <w:top w:w="28" w:type="dxa"/>
              <w:bottom w:w="28" w:type="dxa"/>
            </w:tcMar>
            <w:hideMark/>
          </w:tcPr>
          <w:p w14:paraId="036864A8" w14:textId="7446B7A5" w:rsidR="00E43B18" w:rsidRPr="00F72633" w:rsidRDefault="00035940" w:rsidP="00035940">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COPA-COGECA</w:t>
            </w:r>
          </w:p>
        </w:tc>
        <w:tc>
          <w:tcPr>
            <w:tcW w:w="7938" w:type="dxa"/>
            <w:tcBorders>
              <w:top w:val="nil"/>
              <w:left w:val="nil"/>
              <w:bottom w:val="nil"/>
              <w:right w:val="nil"/>
            </w:tcBorders>
            <w:shd w:val="clear" w:color="auto" w:fill="auto"/>
            <w:noWrap/>
            <w:tcMar>
              <w:top w:w="28" w:type="dxa"/>
              <w:bottom w:w="28" w:type="dxa"/>
            </w:tcMar>
            <w:hideMark/>
          </w:tcPr>
          <w:p w14:paraId="56EA41FE" w14:textId="5E326648" w:rsidR="00E43B18" w:rsidRPr="00F72633" w:rsidRDefault="00035940"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Comité de Organizaciones Profesionales Agrícolas / Confederación General de Cooperativas Agrícolas</w:t>
            </w:r>
          </w:p>
        </w:tc>
      </w:tr>
      <w:tr w:rsidR="00E43B18" w:rsidRPr="00F72633" w14:paraId="7B03C91E" w14:textId="77777777" w:rsidTr="00DD1FF6">
        <w:tc>
          <w:tcPr>
            <w:tcW w:w="1985" w:type="dxa"/>
            <w:tcBorders>
              <w:top w:val="nil"/>
              <w:left w:val="nil"/>
              <w:bottom w:val="nil"/>
              <w:right w:val="nil"/>
            </w:tcBorders>
            <w:shd w:val="clear" w:color="auto" w:fill="auto"/>
            <w:noWrap/>
            <w:tcMar>
              <w:top w:w="28" w:type="dxa"/>
              <w:bottom w:w="28" w:type="dxa"/>
            </w:tcMar>
            <w:hideMark/>
          </w:tcPr>
          <w:p w14:paraId="3CFC3544" w14:textId="57FFBDBD" w:rsidR="00E43B18" w:rsidRPr="00F72633" w:rsidRDefault="00E43B18" w:rsidP="00035940">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CORAF</w:t>
            </w:r>
          </w:p>
        </w:tc>
        <w:tc>
          <w:tcPr>
            <w:tcW w:w="7938" w:type="dxa"/>
            <w:tcBorders>
              <w:top w:val="nil"/>
              <w:left w:val="nil"/>
              <w:bottom w:val="nil"/>
              <w:right w:val="nil"/>
            </w:tcBorders>
            <w:shd w:val="clear" w:color="auto" w:fill="auto"/>
            <w:noWrap/>
            <w:tcMar>
              <w:top w:w="28" w:type="dxa"/>
              <w:bottom w:w="28" w:type="dxa"/>
            </w:tcMar>
            <w:hideMark/>
          </w:tcPr>
          <w:p w14:paraId="329436B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Conseil Ouest et Centre Africain pour la Recherche et le Développement Agricoles (Consejo de África Occidental y Central para la Investigación y el Desarrollo Agrícolas)</w:t>
            </w:r>
          </w:p>
        </w:tc>
      </w:tr>
      <w:tr w:rsidR="00AD7FEB" w:rsidRPr="00F72633" w14:paraId="0928CD26" w14:textId="77777777" w:rsidTr="00DD1FF6">
        <w:tc>
          <w:tcPr>
            <w:tcW w:w="1985" w:type="dxa"/>
            <w:tcBorders>
              <w:top w:val="nil"/>
              <w:left w:val="nil"/>
              <w:bottom w:val="nil"/>
              <w:right w:val="nil"/>
            </w:tcBorders>
            <w:shd w:val="clear" w:color="auto" w:fill="auto"/>
            <w:noWrap/>
            <w:tcMar>
              <w:top w:w="28" w:type="dxa"/>
              <w:bottom w:w="28" w:type="dxa"/>
            </w:tcMar>
          </w:tcPr>
          <w:p w14:paraId="6213AA7E" w14:textId="27550631" w:rsidR="00AD7FEB" w:rsidRPr="00F72633" w:rsidRDefault="00AD7FE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EMBO</w:t>
            </w:r>
          </w:p>
        </w:tc>
        <w:tc>
          <w:tcPr>
            <w:tcW w:w="7938" w:type="dxa"/>
            <w:tcBorders>
              <w:top w:val="nil"/>
              <w:left w:val="nil"/>
              <w:bottom w:val="nil"/>
              <w:right w:val="nil"/>
            </w:tcBorders>
            <w:shd w:val="clear" w:color="auto" w:fill="auto"/>
            <w:noWrap/>
            <w:tcMar>
              <w:top w:w="28" w:type="dxa"/>
              <w:bottom w:w="28" w:type="dxa"/>
            </w:tcMar>
          </w:tcPr>
          <w:p w14:paraId="27808987" w14:textId="2A389BC6" w:rsidR="00AD7FEB" w:rsidRPr="00F72633" w:rsidRDefault="00AD7FE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Organización Europea de Biología Molecular</w:t>
            </w:r>
          </w:p>
        </w:tc>
      </w:tr>
      <w:tr w:rsidR="00AE61E9" w:rsidRPr="00F72633" w14:paraId="3B0F08B6" w14:textId="77777777" w:rsidTr="00DD1FF6">
        <w:tc>
          <w:tcPr>
            <w:tcW w:w="1985" w:type="dxa"/>
            <w:tcBorders>
              <w:top w:val="nil"/>
              <w:left w:val="nil"/>
              <w:bottom w:val="nil"/>
              <w:right w:val="nil"/>
            </w:tcBorders>
            <w:shd w:val="clear" w:color="auto" w:fill="auto"/>
            <w:noWrap/>
            <w:tcMar>
              <w:top w:w="28" w:type="dxa"/>
              <w:bottom w:w="28" w:type="dxa"/>
            </w:tcMar>
          </w:tcPr>
          <w:p w14:paraId="17FBA7FD" w14:textId="79AADC59" w:rsidR="00AE61E9" w:rsidRPr="00F72633" w:rsidRDefault="00AE61E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EPSO</w:t>
            </w:r>
          </w:p>
        </w:tc>
        <w:tc>
          <w:tcPr>
            <w:tcW w:w="7938" w:type="dxa"/>
            <w:tcBorders>
              <w:top w:val="nil"/>
              <w:left w:val="nil"/>
              <w:bottom w:val="nil"/>
              <w:right w:val="nil"/>
            </w:tcBorders>
            <w:shd w:val="clear" w:color="auto" w:fill="auto"/>
            <w:noWrap/>
            <w:tcMar>
              <w:top w:w="28" w:type="dxa"/>
              <w:bottom w:w="28" w:type="dxa"/>
            </w:tcMar>
          </w:tcPr>
          <w:p w14:paraId="2C685EF1" w14:textId="30DB5054" w:rsidR="00AE61E9" w:rsidRPr="00F72633" w:rsidRDefault="00AE61E9"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European Plant Science Organisation (Organización Europea de Fitología)</w:t>
            </w:r>
          </w:p>
        </w:tc>
      </w:tr>
      <w:tr w:rsidR="00E43B18" w:rsidRPr="00F72633" w14:paraId="5999B1E8" w14:textId="77777777" w:rsidTr="00DD1FF6">
        <w:tc>
          <w:tcPr>
            <w:tcW w:w="1985" w:type="dxa"/>
            <w:tcBorders>
              <w:top w:val="nil"/>
              <w:left w:val="nil"/>
              <w:bottom w:val="nil"/>
              <w:right w:val="nil"/>
            </w:tcBorders>
            <w:shd w:val="clear" w:color="auto" w:fill="auto"/>
            <w:noWrap/>
            <w:tcMar>
              <w:top w:w="28" w:type="dxa"/>
              <w:bottom w:w="28" w:type="dxa"/>
            </w:tcMar>
            <w:hideMark/>
          </w:tcPr>
          <w:p w14:paraId="4712925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EUIPO</w:t>
            </w:r>
          </w:p>
        </w:tc>
        <w:tc>
          <w:tcPr>
            <w:tcW w:w="7938" w:type="dxa"/>
            <w:tcBorders>
              <w:top w:val="nil"/>
              <w:left w:val="nil"/>
              <w:bottom w:val="nil"/>
              <w:right w:val="nil"/>
            </w:tcBorders>
            <w:shd w:val="clear" w:color="auto" w:fill="auto"/>
            <w:noWrap/>
            <w:tcMar>
              <w:top w:w="28" w:type="dxa"/>
              <w:bottom w:w="28" w:type="dxa"/>
            </w:tcMar>
            <w:hideMark/>
          </w:tcPr>
          <w:p w14:paraId="2E85AF10"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de Propiedad Intelectual de la Unión Europea</w:t>
            </w:r>
          </w:p>
        </w:tc>
      </w:tr>
      <w:tr w:rsidR="00E43B18" w:rsidRPr="00F72633" w14:paraId="1520E842" w14:textId="77777777" w:rsidTr="00DD1FF6">
        <w:tc>
          <w:tcPr>
            <w:tcW w:w="1985" w:type="dxa"/>
            <w:tcBorders>
              <w:top w:val="nil"/>
              <w:left w:val="nil"/>
              <w:bottom w:val="nil"/>
              <w:right w:val="nil"/>
            </w:tcBorders>
            <w:shd w:val="clear" w:color="auto" w:fill="auto"/>
            <w:noWrap/>
            <w:tcMar>
              <w:top w:w="28" w:type="dxa"/>
              <w:bottom w:w="28" w:type="dxa"/>
            </w:tcMar>
            <w:hideMark/>
          </w:tcPr>
          <w:p w14:paraId="784AFAD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FAO</w:t>
            </w:r>
          </w:p>
        </w:tc>
        <w:tc>
          <w:tcPr>
            <w:tcW w:w="7938" w:type="dxa"/>
            <w:tcBorders>
              <w:top w:val="nil"/>
              <w:left w:val="nil"/>
              <w:bottom w:val="nil"/>
              <w:right w:val="nil"/>
            </w:tcBorders>
            <w:shd w:val="clear" w:color="auto" w:fill="auto"/>
            <w:noWrap/>
            <w:tcMar>
              <w:top w:w="28" w:type="dxa"/>
              <w:bottom w:w="28" w:type="dxa"/>
            </w:tcMar>
            <w:hideMark/>
          </w:tcPr>
          <w:p w14:paraId="6F867AC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de las Naciones Unidas para la Agricultura y la Alimentación</w:t>
            </w:r>
          </w:p>
        </w:tc>
      </w:tr>
      <w:tr w:rsidR="00AE61E9" w:rsidRPr="00F72633" w14:paraId="40BE0B43" w14:textId="77777777" w:rsidTr="00DD1FF6">
        <w:tc>
          <w:tcPr>
            <w:tcW w:w="1985" w:type="dxa"/>
            <w:tcBorders>
              <w:top w:val="nil"/>
              <w:left w:val="nil"/>
              <w:bottom w:val="nil"/>
              <w:right w:val="nil"/>
            </w:tcBorders>
            <w:shd w:val="clear" w:color="auto" w:fill="auto"/>
            <w:noWrap/>
            <w:tcMar>
              <w:top w:w="28" w:type="dxa"/>
              <w:bottom w:w="28" w:type="dxa"/>
            </w:tcMar>
          </w:tcPr>
          <w:p w14:paraId="0D0ABE9C" w14:textId="5D057A8E" w:rsidR="00AE61E9" w:rsidRPr="00F72633" w:rsidRDefault="00AE61E9" w:rsidP="00AE61E9">
            <w:pPr>
              <w:spacing w:after="20"/>
              <w:jc w:val="left"/>
              <w:rPr>
                <w:rFonts w:ascii="Arial Narrow" w:hAnsi="Arial Narrow"/>
                <w:color w:val="000000"/>
                <w:sz w:val="18"/>
                <w:lang w:val="es-419"/>
              </w:rPr>
            </w:pPr>
            <w:r w:rsidRPr="00F72633">
              <w:rPr>
                <w:rFonts w:ascii="Arial Narrow" w:hAnsi="Arial Narrow"/>
                <w:color w:val="000000"/>
                <w:sz w:val="18"/>
                <w:lang w:val="es-419"/>
              </w:rPr>
              <w:t>Foro EAPVP</w:t>
            </w:r>
          </w:p>
        </w:tc>
        <w:tc>
          <w:tcPr>
            <w:tcW w:w="7938" w:type="dxa"/>
            <w:tcBorders>
              <w:top w:val="nil"/>
              <w:left w:val="nil"/>
              <w:bottom w:val="nil"/>
              <w:right w:val="nil"/>
            </w:tcBorders>
            <w:shd w:val="clear" w:color="auto" w:fill="auto"/>
            <w:noWrap/>
            <w:tcMar>
              <w:top w:w="28" w:type="dxa"/>
              <w:bottom w:w="28" w:type="dxa"/>
            </w:tcMar>
          </w:tcPr>
          <w:p w14:paraId="703F2010" w14:textId="363B7839" w:rsidR="00AE61E9" w:rsidRPr="00F72633" w:rsidRDefault="00AE61E9" w:rsidP="00AE61E9">
            <w:pPr>
              <w:spacing w:after="20"/>
              <w:jc w:val="left"/>
              <w:rPr>
                <w:rFonts w:ascii="Arial Narrow" w:hAnsi="Arial Narrow"/>
                <w:color w:val="000000"/>
                <w:sz w:val="18"/>
                <w:lang w:val="es-419"/>
              </w:rPr>
            </w:pPr>
            <w:r w:rsidRPr="00F72633">
              <w:rPr>
                <w:rFonts w:ascii="Arial Narrow" w:hAnsi="Arial Narrow"/>
                <w:color w:val="000000"/>
                <w:sz w:val="18"/>
                <w:lang w:val="es-419"/>
              </w:rPr>
              <w:t>Foro de Asia Oriental para la Protección de las Variedades Vegetales</w:t>
            </w:r>
          </w:p>
        </w:tc>
      </w:tr>
      <w:tr w:rsidR="00E43B18" w:rsidRPr="00F72633" w14:paraId="3F9DB0F3" w14:textId="77777777" w:rsidTr="00DD1FF6">
        <w:tc>
          <w:tcPr>
            <w:tcW w:w="1985" w:type="dxa"/>
            <w:tcBorders>
              <w:top w:val="nil"/>
              <w:left w:val="nil"/>
              <w:bottom w:val="nil"/>
              <w:right w:val="nil"/>
            </w:tcBorders>
            <w:shd w:val="clear" w:color="auto" w:fill="auto"/>
            <w:noWrap/>
            <w:tcMar>
              <w:top w:w="28" w:type="dxa"/>
              <w:bottom w:w="28" w:type="dxa"/>
            </w:tcMar>
            <w:hideMark/>
          </w:tcPr>
          <w:p w14:paraId="2A7AD5DD" w14:textId="78F8C437" w:rsidR="00E43B18" w:rsidRPr="00F72633" w:rsidRDefault="00AE61E9"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GES</w:t>
            </w:r>
          </w:p>
        </w:tc>
        <w:tc>
          <w:tcPr>
            <w:tcW w:w="7938" w:type="dxa"/>
            <w:tcBorders>
              <w:top w:val="nil"/>
              <w:left w:val="nil"/>
              <w:bottom w:val="nil"/>
              <w:right w:val="nil"/>
            </w:tcBorders>
            <w:shd w:val="clear" w:color="auto" w:fill="auto"/>
            <w:noWrap/>
            <w:tcMar>
              <w:top w:w="28" w:type="dxa"/>
              <w:bottom w:w="28" w:type="dxa"/>
            </w:tcMar>
            <w:hideMark/>
          </w:tcPr>
          <w:p w14:paraId="456B475E" w14:textId="4E2108F5" w:rsidR="00E43B18" w:rsidRPr="00F72633" w:rsidRDefault="00AE61E9"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Geneva English School (Escuela de Inglés de Ginebra)</w:t>
            </w:r>
          </w:p>
        </w:tc>
      </w:tr>
      <w:tr w:rsidR="00E43B18" w:rsidRPr="00F72633" w14:paraId="099996BE" w14:textId="77777777" w:rsidTr="00DD1FF6">
        <w:tc>
          <w:tcPr>
            <w:tcW w:w="1985" w:type="dxa"/>
            <w:tcBorders>
              <w:top w:val="nil"/>
              <w:left w:val="nil"/>
              <w:bottom w:val="nil"/>
              <w:right w:val="nil"/>
            </w:tcBorders>
            <w:shd w:val="clear" w:color="auto" w:fill="auto"/>
            <w:noWrap/>
            <w:tcMar>
              <w:top w:w="28" w:type="dxa"/>
              <w:bottom w:w="28" w:type="dxa"/>
            </w:tcMar>
            <w:hideMark/>
          </w:tcPr>
          <w:p w14:paraId="7F56ED0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GEVES de Francia</w:t>
            </w:r>
          </w:p>
        </w:tc>
        <w:tc>
          <w:tcPr>
            <w:tcW w:w="7938" w:type="dxa"/>
            <w:tcBorders>
              <w:top w:val="nil"/>
              <w:left w:val="nil"/>
              <w:bottom w:val="nil"/>
              <w:right w:val="nil"/>
            </w:tcBorders>
            <w:shd w:val="clear" w:color="auto" w:fill="auto"/>
            <w:noWrap/>
            <w:tcMar>
              <w:top w:w="28" w:type="dxa"/>
              <w:bottom w:w="28" w:type="dxa"/>
            </w:tcMar>
            <w:hideMark/>
          </w:tcPr>
          <w:p w14:paraId="44D06403"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Groupe d'Étude et de contrôle des Variétés et des Semences (</w:t>
            </w:r>
            <w:r w:rsidRPr="00F72633">
              <w:rPr>
                <w:rFonts w:ascii="Arial Narrow" w:hAnsi="Arial Narrow"/>
                <w:iCs/>
                <w:color w:val="000000"/>
                <w:sz w:val="18"/>
                <w:lang w:val="es-419"/>
              </w:rPr>
              <w:t>Grupo de Estudio y Control de Variedades y Semillas</w:t>
            </w:r>
            <w:r w:rsidRPr="00F72633">
              <w:rPr>
                <w:rFonts w:ascii="Arial Narrow" w:hAnsi="Arial Narrow"/>
                <w:color w:val="000000"/>
                <w:sz w:val="18"/>
                <w:lang w:val="es-419"/>
              </w:rPr>
              <w:t>)</w:t>
            </w:r>
          </w:p>
        </w:tc>
      </w:tr>
      <w:tr w:rsidR="00E43B18" w:rsidRPr="00F72633" w14:paraId="5894AA26" w14:textId="77777777" w:rsidTr="00DD1FF6">
        <w:tc>
          <w:tcPr>
            <w:tcW w:w="1985" w:type="dxa"/>
            <w:tcBorders>
              <w:top w:val="nil"/>
              <w:left w:val="nil"/>
              <w:bottom w:val="nil"/>
              <w:right w:val="nil"/>
            </w:tcBorders>
            <w:shd w:val="clear" w:color="auto" w:fill="auto"/>
            <w:noWrap/>
            <w:tcMar>
              <w:top w:w="28" w:type="dxa"/>
              <w:bottom w:w="28" w:type="dxa"/>
            </w:tcMar>
            <w:hideMark/>
          </w:tcPr>
          <w:p w14:paraId="52F3DB2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INASE (Argentina)</w:t>
            </w:r>
          </w:p>
        </w:tc>
        <w:tc>
          <w:tcPr>
            <w:tcW w:w="7938" w:type="dxa"/>
            <w:tcBorders>
              <w:top w:val="nil"/>
              <w:left w:val="nil"/>
              <w:bottom w:val="nil"/>
              <w:right w:val="nil"/>
            </w:tcBorders>
            <w:shd w:val="clear" w:color="auto" w:fill="auto"/>
            <w:tcMar>
              <w:top w:w="28" w:type="dxa"/>
              <w:bottom w:w="28" w:type="dxa"/>
            </w:tcMar>
            <w:hideMark/>
          </w:tcPr>
          <w:p w14:paraId="702BBA3D"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Instituto Nacional de Semillas</w:t>
            </w:r>
          </w:p>
        </w:tc>
      </w:tr>
      <w:tr w:rsidR="00E43B18" w:rsidRPr="00F72633" w14:paraId="229F0E27" w14:textId="77777777" w:rsidTr="00DD1FF6">
        <w:tc>
          <w:tcPr>
            <w:tcW w:w="1985" w:type="dxa"/>
            <w:tcBorders>
              <w:top w:val="nil"/>
              <w:left w:val="nil"/>
              <w:bottom w:val="nil"/>
              <w:right w:val="nil"/>
            </w:tcBorders>
            <w:shd w:val="clear" w:color="auto" w:fill="auto"/>
            <w:noWrap/>
            <w:tcMar>
              <w:top w:w="28" w:type="dxa"/>
              <w:bottom w:w="28" w:type="dxa"/>
            </w:tcMar>
            <w:hideMark/>
          </w:tcPr>
          <w:p w14:paraId="40D37A7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INDECOPI (Perú)</w:t>
            </w:r>
          </w:p>
        </w:tc>
        <w:tc>
          <w:tcPr>
            <w:tcW w:w="7938" w:type="dxa"/>
            <w:tcBorders>
              <w:top w:val="nil"/>
              <w:left w:val="nil"/>
              <w:bottom w:val="nil"/>
              <w:right w:val="nil"/>
            </w:tcBorders>
            <w:shd w:val="clear" w:color="auto" w:fill="auto"/>
            <w:tcMar>
              <w:top w:w="28" w:type="dxa"/>
              <w:bottom w:w="28" w:type="dxa"/>
            </w:tcMar>
            <w:hideMark/>
          </w:tcPr>
          <w:p w14:paraId="0C0E7B5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Instituto Nacional de Defensa de la Competencia y de la Protección de la Propiedad Intelectual</w:t>
            </w:r>
          </w:p>
        </w:tc>
      </w:tr>
      <w:tr w:rsidR="00E43B18" w:rsidRPr="00F72633" w14:paraId="36CE6698" w14:textId="77777777" w:rsidTr="00DD1FF6">
        <w:tc>
          <w:tcPr>
            <w:tcW w:w="1985" w:type="dxa"/>
            <w:tcBorders>
              <w:top w:val="nil"/>
              <w:left w:val="nil"/>
              <w:bottom w:val="nil"/>
              <w:right w:val="nil"/>
            </w:tcBorders>
            <w:shd w:val="clear" w:color="auto" w:fill="auto"/>
            <w:noWrap/>
            <w:tcMar>
              <w:top w:w="28" w:type="dxa"/>
              <w:bottom w:w="28" w:type="dxa"/>
            </w:tcMar>
            <w:hideMark/>
          </w:tcPr>
          <w:p w14:paraId="4AEEBB92" w14:textId="768D31CA" w:rsidR="00E43B18" w:rsidRPr="00F72633" w:rsidRDefault="00E43B18" w:rsidP="00853BB7">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w:t>
            </w:r>
            <w:r w:rsidR="00853BB7" w:rsidRPr="00F72633">
              <w:rPr>
                <w:rFonts w:ascii="Arial Narrow" w:hAnsi="Arial Narrow"/>
                <w:color w:val="000000"/>
                <w:sz w:val="18"/>
                <w:lang w:val="es-419"/>
              </w:rPr>
              <w:t>IA</w:t>
            </w:r>
            <w:r w:rsidRPr="00F72633">
              <w:rPr>
                <w:rFonts w:ascii="Arial Narrow" w:hAnsi="Arial Narrow"/>
                <w:color w:val="000000"/>
                <w:sz w:val="18"/>
                <w:lang w:val="es-419"/>
              </w:rPr>
              <w:t xml:space="preserve"> (</w:t>
            </w:r>
            <w:r w:rsidR="00853BB7" w:rsidRPr="00F72633">
              <w:rPr>
                <w:rFonts w:ascii="Arial Narrow" w:hAnsi="Arial Narrow"/>
                <w:color w:val="000000"/>
                <w:sz w:val="18"/>
                <w:lang w:val="es-419"/>
              </w:rPr>
              <w:t>Perú</w:t>
            </w:r>
            <w:r w:rsidRPr="00F72633">
              <w:rPr>
                <w:rFonts w:ascii="Arial Narrow" w:hAnsi="Arial Narrow"/>
                <w:color w:val="000000"/>
                <w:sz w:val="18"/>
                <w:lang w:val="es-419"/>
              </w:rPr>
              <w:t>)</w:t>
            </w:r>
          </w:p>
        </w:tc>
        <w:tc>
          <w:tcPr>
            <w:tcW w:w="7938" w:type="dxa"/>
            <w:tcBorders>
              <w:top w:val="nil"/>
              <w:left w:val="nil"/>
              <w:bottom w:val="nil"/>
              <w:right w:val="nil"/>
            </w:tcBorders>
            <w:shd w:val="clear" w:color="auto" w:fill="auto"/>
            <w:tcMar>
              <w:top w:w="28" w:type="dxa"/>
              <w:bottom w:w="28" w:type="dxa"/>
            </w:tcMar>
            <w:hideMark/>
          </w:tcPr>
          <w:p w14:paraId="439E9BDE" w14:textId="7CC41B8B" w:rsidR="00E43B18" w:rsidRPr="00F72633" w:rsidRDefault="00E43B18" w:rsidP="00853BB7">
            <w:pPr>
              <w:spacing w:after="20"/>
              <w:jc w:val="left"/>
              <w:rPr>
                <w:rFonts w:ascii="Arial Narrow" w:hAnsi="Arial Narrow"/>
                <w:color w:val="000000"/>
                <w:sz w:val="18"/>
                <w:szCs w:val="18"/>
                <w:lang w:val="es-419"/>
              </w:rPr>
            </w:pPr>
            <w:r w:rsidRPr="00F72633">
              <w:rPr>
                <w:rFonts w:ascii="Arial Narrow" w:hAnsi="Arial Narrow"/>
                <w:iCs/>
                <w:color w:val="000000"/>
                <w:sz w:val="18"/>
                <w:lang w:val="es-419"/>
              </w:rPr>
              <w:t xml:space="preserve">Instituto Nacional </w:t>
            </w:r>
            <w:r w:rsidR="00853BB7" w:rsidRPr="00F72633">
              <w:rPr>
                <w:rFonts w:ascii="Arial Narrow" w:hAnsi="Arial Narrow"/>
                <w:iCs/>
                <w:color w:val="000000"/>
                <w:sz w:val="18"/>
                <w:lang w:val="es-419"/>
              </w:rPr>
              <w:t>de Innovación Agraria</w:t>
            </w:r>
          </w:p>
        </w:tc>
      </w:tr>
      <w:tr w:rsidR="00853BB7" w:rsidRPr="00F72633" w14:paraId="7FFD5D43" w14:textId="77777777" w:rsidTr="00DD1FF6">
        <w:tc>
          <w:tcPr>
            <w:tcW w:w="1985" w:type="dxa"/>
            <w:tcBorders>
              <w:top w:val="nil"/>
              <w:left w:val="nil"/>
              <w:bottom w:val="nil"/>
              <w:right w:val="nil"/>
            </w:tcBorders>
            <w:shd w:val="clear" w:color="auto" w:fill="auto"/>
            <w:noWrap/>
            <w:tcMar>
              <w:top w:w="28" w:type="dxa"/>
              <w:bottom w:w="28" w:type="dxa"/>
            </w:tcMar>
          </w:tcPr>
          <w:p w14:paraId="0CF1DCED" w14:textId="04AB45EB" w:rsidR="00853BB7" w:rsidRPr="00F72633" w:rsidRDefault="00853BB7"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INIFAP</w:t>
            </w:r>
            <w:r w:rsidR="00A95750" w:rsidRPr="00F72633">
              <w:rPr>
                <w:rFonts w:ascii="Arial Narrow" w:hAnsi="Arial Narrow"/>
                <w:color w:val="000000"/>
                <w:sz w:val="18"/>
                <w:lang w:val="es-419"/>
              </w:rPr>
              <w:t xml:space="preserve"> (México)</w:t>
            </w:r>
          </w:p>
        </w:tc>
        <w:tc>
          <w:tcPr>
            <w:tcW w:w="7938" w:type="dxa"/>
            <w:tcBorders>
              <w:top w:val="nil"/>
              <w:left w:val="nil"/>
              <w:bottom w:val="nil"/>
              <w:right w:val="nil"/>
            </w:tcBorders>
            <w:shd w:val="clear" w:color="auto" w:fill="auto"/>
            <w:noWrap/>
            <w:tcMar>
              <w:top w:w="28" w:type="dxa"/>
              <w:bottom w:w="28" w:type="dxa"/>
            </w:tcMar>
          </w:tcPr>
          <w:p w14:paraId="35B51BEF" w14:textId="5526C2C4" w:rsidR="00853BB7" w:rsidRPr="00F72633" w:rsidRDefault="00853BB7"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Instituto Nacional de Investigaciones Forestales, Agrícolas y Pecuarias</w:t>
            </w:r>
          </w:p>
        </w:tc>
      </w:tr>
      <w:tr w:rsidR="00A95750" w:rsidRPr="00F72633" w14:paraId="15A13215" w14:textId="77777777" w:rsidTr="00DD1FF6">
        <w:tc>
          <w:tcPr>
            <w:tcW w:w="1985" w:type="dxa"/>
            <w:tcBorders>
              <w:top w:val="nil"/>
              <w:left w:val="nil"/>
              <w:bottom w:val="nil"/>
              <w:right w:val="nil"/>
            </w:tcBorders>
            <w:shd w:val="clear" w:color="auto" w:fill="auto"/>
            <w:noWrap/>
            <w:tcMar>
              <w:top w:w="28" w:type="dxa"/>
              <w:bottom w:w="28" w:type="dxa"/>
            </w:tcMar>
          </w:tcPr>
          <w:p w14:paraId="7EBF392D" w14:textId="3D0F2214" w:rsidR="00A95750" w:rsidRPr="00F72633" w:rsidRDefault="00A95750"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InnoVar</w:t>
            </w:r>
          </w:p>
        </w:tc>
        <w:tc>
          <w:tcPr>
            <w:tcW w:w="7938" w:type="dxa"/>
            <w:tcBorders>
              <w:top w:val="nil"/>
              <w:left w:val="nil"/>
              <w:bottom w:val="nil"/>
              <w:right w:val="nil"/>
            </w:tcBorders>
            <w:shd w:val="clear" w:color="auto" w:fill="auto"/>
            <w:noWrap/>
            <w:tcMar>
              <w:top w:w="28" w:type="dxa"/>
              <w:bottom w:w="28" w:type="dxa"/>
            </w:tcMar>
          </w:tcPr>
          <w:p w14:paraId="0901658B" w14:textId="5857396A" w:rsidR="00A95750" w:rsidRPr="00F72633" w:rsidRDefault="00A95750"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Proyecto “Próxima generación del examen de variedades para mejorar el cultivo en las explotaciones agrícolas europeas”, financiado por la Unión Europea</w:t>
            </w:r>
          </w:p>
        </w:tc>
      </w:tr>
      <w:tr w:rsidR="00AB3CDB" w:rsidRPr="00F72633" w14:paraId="3025FD45" w14:textId="77777777" w:rsidTr="00DD1FF6">
        <w:tc>
          <w:tcPr>
            <w:tcW w:w="1985" w:type="dxa"/>
            <w:tcBorders>
              <w:top w:val="nil"/>
              <w:left w:val="nil"/>
              <w:bottom w:val="nil"/>
              <w:right w:val="nil"/>
            </w:tcBorders>
            <w:shd w:val="clear" w:color="auto" w:fill="auto"/>
            <w:noWrap/>
            <w:tcMar>
              <w:top w:w="28" w:type="dxa"/>
              <w:bottom w:w="28" w:type="dxa"/>
            </w:tcMar>
          </w:tcPr>
          <w:p w14:paraId="2CA3D4A4" w14:textId="6EED02C6"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INPA</w:t>
            </w:r>
          </w:p>
        </w:tc>
        <w:tc>
          <w:tcPr>
            <w:tcW w:w="7938" w:type="dxa"/>
            <w:tcBorders>
              <w:top w:val="nil"/>
              <w:left w:val="nil"/>
              <w:bottom w:val="nil"/>
              <w:right w:val="nil"/>
            </w:tcBorders>
            <w:shd w:val="clear" w:color="auto" w:fill="auto"/>
            <w:noWrap/>
            <w:tcMar>
              <w:top w:w="28" w:type="dxa"/>
              <w:bottom w:w="28" w:type="dxa"/>
            </w:tcMar>
          </w:tcPr>
          <w:p w14:paraId="242164D5" w14:textId="305F60A6"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Institut National de Recherche Agricole (Instituto Nacional de Investigaciones Agrícolas)</w:t>
            </w:r>
          </w:p>
        </w:tc>
      </w:tr>
      <w:tr w:rsidR="00AB3CDB" w:rsidRPr="00F72633" w14:paraId="0A95FB37" w14:textId="77777777" w:rsidTr="00DD1FF6">
        <w:tc>
          <w:tcPr>
            <w:tcW w:w="1985" w:type="dxa"/>
            <w:tcBorders>
              <w:top w:val="nil"/>
              <w:left w:val="nil"/>
              <w:bottom w:val="nil"/>
              <w:right w:val="nil"/>
            </w:tcBorders>
            <w:shd w:val="clear" w:color="auto" w:fill="auto"/>
            <w:noWrap/>
            <w:tcMar>
              <w:top w:w="28" w:type="dxa"/>
              <w:bottom w:w="28" w:type="dxa"/>
            </w:tcMar>
          </w:tcPr>
          <w:p w14:paraId="2098C405" w14:textId="49CC9362"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INTA</w:t>
            </w:r>
          </w:p>
        </w:tc>
        <w:tc>
          <w:tcPr>
            <w:tcW w:w="7938" w:type="dxa"/>
            <w:tcBorders>
              <w:top w:val="nil"/>
              <w:left w:val="nil"/>
              <w:bottom w:val="nil"/>
              <w:right w:val="nil"/>
            </w:tcBorders>
            <w:shd w:val="clear" w:color="auto" w:fill="auto"/>
            <w:noWrap/>
            <w:tcMar>
              <w:top w:w="28" w:type="dxa"/>
              <w:bottom w:w="28" w:type="dxa"/>
            </w:tcMar>
          </w:tcPr>
          <w:p w14:paraId="1FA4A68C" w14:textId="08C375FA"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 xml:space="preserve">Instituto </w:t>
            </w:r>
            <w:r w:rsidR="00155D39" w:rsidRPr="00F72633">
              <w:rPr>
                <w:rFonts w:ascii="Arial Narrow" w:hAnsi="Arial Narrow"/>
                <w:color w:val="000000"/>
                <w:sz w:val="18"/>
                <w:lang w:val="es-419"/>
              </w:rPr>
              <w:t>Nicaragüense</w:t>
            </w:r>
            <w:r w:rsidRPr="00F72633">
              <w:rPr>
                <w:rFonts w:ascii="Arial Narrow" w:hAnsi="Arial Narrow"/>
                <w:color w:val="000000"/>
                <w:sz w:val="18"/>
                <w:lang w:val="es-419"/>
              </w:rPr>
              <w:t xml:space="preserve"> de Tecnología Agropecuaria</w:t>
            </w:r>
          </w:p>
        </w:tc>
      </w:tr>
      <w:tr w:rsidR="00AB3CDB" w:rsidRPr="00F72633" w14:paraId="031556B4" w14:textId="77777777" w:rsidTr="00DD1FF6">
        <w:tc>
          <w:tcPr>
            <w:tcW w:w="1985" w:type="dxa"/>
            <w:tcBorders>
              <w:top w:val="nil"/>
              <w:left w:val="nil"/>
              <w:bottom w:val="nil"/>
              <w:right w:val="nil"/>
            </w:tcBorders>
            <w:shd w:val="clear" w:color="auto" w:fill="auto"/>
            <w:noWrap/>
            <w:tcMar>
              <w:top w:w="28" w:type="dxa"/>
              <w:bottom w:w="28" w:type="dxa"/>
            </w:tcMar>
          </w:tcPr>
          <w:p w14:paraId="5E7FACF0" w14:textId="4AEB72E2" w:rsidR="00AB3CDB" w:rsidRPr="00F72633" w:rsidRDefault="00AB3CDB" w:rsidP="00AB3CDB">
            <w:pPr>
              <w:spacing w:after="20"/>
              <w:jc w:val="left"/>
              <w:rPr>
                <w:rFonts w:ascii="Arial Narrow" w:hAnsi="Arial Narrow"/>
                <w:color w:val="000000"/>
                <w:sz w:val="18"/>
                <w:lang w:val="es-419"/>
              </w:rPr>
            </w:pPr>
            <w:r w:rsidRPr="00F72633">
              <w:rPr>
                <w:rFonts w:ascii="Arial Narrow" w:hAnsi="Arial Narrow"/>
                <w:color w:val="000000"/>
                <w:sz w:val="18"/>
                <w:lang w:val="es-419"/>
              </w:rPr>
              <w:t>IP Key LA</w:t>
            </w:r>
          </w:p>
        </w:tc>
        <w:tc>
          <w:tcPr>
            <w:tcW w:w="7938" w:type="dxa"/>
            <w:tcBorders>
              <w:top w:val="nil"/>
              <w:left w:val="nil"/>
              <w:bottom w:val="nil"/>
              <w:right w:val="nil"/>
            </w:tcBorders>
            <w:shd w:val="clear" w:color="auto" w:fill="auto"/>
            <w:noWrap/>
            <w:tcMar>
              <w:top w:w="28" w:type="dxa"/>
              <w:bottom w:w="28" w:type="dxa"/>
            </w:tcMar>
          </w:tcPr>
          <w:p w14:paraId="631A4D53" w14:textId="0D814FE4"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IP Key de América Latina</w:t>
            </w:r>
          </w:p>
        </w:tc>
      </w:tr>
      <w:tr w:rsidR="00E43B18" w:rsidRPr="00F72633" w14:paraId="18593464" w14:textId="77777777" w:rsidTr="00DD1FF6">
        <w:tc>
          <w:tcPr>
            <w:tcW w:w="1985" w:type="dxa"/>
            <w:tcBorders>
              <w:top w:val="nil"/>
              <w:left w:val="nil"/>
              <w:bottom w:val="nil"/>
              <w:right w:val="nil"/>
            </w:tcBorders>
            <w:shd w:val="clear" w:color="auto" w:fill="auto"/>
            <w:noWrap/>
            <w:tcMar>
              <w:top w:w="28" w:type="dxa"/>
              <w:bottom w:w="28" w:type="dxa"/>
            </w:tcMar>
            <w:hideMark/>
          </w:tcPr>
          <w:p w14:paraId="2742B1F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IP Key SEA</w:t>
            </w:r>
          </w:p>
        </w:tc>
        <w:tc>
          <w:tcPr>
            <w:tcW w:w="7938" w:type="dxa"/>
            <w:tcBorders>
              <w:top w:val="nil"/>
              <w:left w:val="nil"/>
              <w:bottom w:val="nil"/>
              <w:right w:val="nil"/>
            </w:tcBorders>
            <w:shd w:val="clear" w:color="auto" w:fill="auto"/>
            <w:noWrap/>
            <w:tcMar>
              <w:top w:w="28" w:type="dxa"/>
              <w:bottom w:w="28" w:type="dxa"/>
            </w:tcMar>
            <w:hideMark/>
          </w:tcPr>
          <w:p w14:paraId="44B2BF14" w14:textId="0A448617" w:rsidR="00E43B18" w:rsidRPr="00F72633" w:rsidRDefault="00E43B18" w:rsidP="00AB3CDB">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IP Key de Asia Sudoriental</w:t>
            </w:r>
          </w:p>
        </w:tc>
      </w:tr>
      <w:tr w:rsidR="00E43B18" w:rsidRPr="00F72633" w14:paraId="44F65FEA" w14:textId="77777777" w:rsidTr="00DD1FF6">
        <w:tc>
          <w:tcPr>
            <w:tcW w:w="1985" w:type="dxa"/>
            <w:tcBorders>
              <w:top w:val="nil"/>
              <w:left w:val="nil"/>
              <w:bottom w:val="nil"/>
              <w:right w:val="nil"/>
            </w:tcBorders>
            <w:shd w:val="clear" w:color="auto" w:fill="auto"/>
            <w:noWrap/>
            <w:tcMar>
              <w:top w:w="28" w:type="dxa"/>
              <w:bottom w:w="28" w:type="dxa"/>
            </w:tcMar>
            <w:hideMark/>
          </w:tcPr>
          <w:p w14:paraId="11B7A9C2"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ISF</w:t>
            </w:r>
          </w:p>
        </w:tc>
        <w:tc>
          <w:tcPr>
            <w:tcW w:w="7938" w:type="dxa"/>
            <w:tcBorders>
              <w:top w:val="nil"/>
              <w:left w:val="nil"/>
              <w:bottom w:val="nil"/>
              <w:right w:val="nil"/>
            </w:tcBorders>
            <w:shd w:val="clear" w:color="auto" w:fill="auto"/>
            <w:noWrap/>
            <w:tcMar>
              <w:top w:w="28" w:type="dxa"/>
              <w:bottom w:w="28" w:type="dxa"/>
            </w:tcMar>
            <w:hideMark/>
          </w:tcPr>
          <w:p w14:paraId="4DF82D80"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International Seed Federation</w:t>
            </w:r>
          </w:p>
        </w:tc>
      </w:tr>
      <w:tr w:rsidR="00E43B18" w:rsidRPr="00F72633" w14:paraId="3B142673" w14:textId="77777777" w:rsidTr="00DD1FF6">
        <w:tc>
          <w:tcPr>
            <w:tcW w:w="1985" w:type="dxa"/>
            <w:tcBorders>
              <w:top w:val="nil"/>
              <w:left w:val="nil"/>
              <w:bottom w:val="nil"/>
              <w:right w:val="nil"/>
            </w:tcBorders>
            <w:shd w:val="clear" w:color="auto" w:fill="auto"/>
            <w:noWrap/>
            <w:tcMar>
              <w:top w:w="28" w:type="dxa"/>
              <w:bottom w:w="28" w:type="dxa"/>
            </w:tcMar>
          </w:tcPr>
          <w:p w14:paraId="3ACA7AB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ISRA</w:t>
            </w:r>
          </w:p>
        </w:tc>
        <w:tc>
          <w:tcPr>
            <w:tcW w:w="7938" w:type="dxa"/>
            <w:tcBorders>
              <w:top w:val="nil"/>
              <w:left w:val="nil"/>
              <w:bottom w:val="nil"/>
              <w:right w:val="nil"/>
            </w:tcBorders>
            <w:shd w:val="clear" w:color="auto" w:fill="auto"/>
            <w:noWrap/>
            <w:tcMar>
              <w:top w:w="28" w:type="dxa"/>
              <w:bottom w:w="28" w:type="dxa"/>
            </w:tcMar>
          </w:tcPr>
          <w:p w14:paraId="04D35944"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Institut Sénégalais de Recherches Agricoles (Instituto Senegalés de Investigación Agrícola)</w:t>
            </w:r>
          </w:p>
        </w:tc>
      </w:tr>
      <w:tr w:rsidR="00E43B18" w:rsidRPr="00F72633" w14:paraId="5AA1F6CE" w14:textId="77777777" w:rsidTr="00DD1FF6">
        <w:tc>
          <w:tcPr>
            <w:tcW w:w="1985" w:type="dxa"/>
            <w:tcBorders>
              <w:top w:val="nil"/>
              <w:left w:val="nil"/>
              <w:bottom w:val="nil"/>
              <w:right w:val="nil"/>
            </w:tcBorders>
            <w:shd w:val="clear" w:color="auto" w:fill="auto"/>
            <w:noWrap/>
            <w:tcMar>
              <w:top w:w="28" w:type="dxa"/>
              <w:bottom w:w="28" w:type="dxa"/>
            </w:tcMar>
            <w:hideMark/>
          </w:tcPr>
          <w:p w14:paraId="0F13CBB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ISTA</w:t>
            </w:r>
          </w:p>
        </w:tc>
        <w:tc>
          <w:tcPr>
            <w:tcW w:w="7938" w:type="dxa"/>
            <w:tcBorders>
              <w:top w:val="nil"/>
              <w:left w:val="nil"/>
              <w:bottom w:val="nil"/>
              <w:right w:val="nil"/>
            </w:tcBorders>
            <w:shd w:val="clear" w:color="auto" w:fill="auto"/>
            <w:noWrap/>
            <w:tcMar>
              <w:top w:w="28" w:type="dxa"/>
              <w:bottom w:w="28" w:type="dxa"/>
            </w:tcMar>
            <w:hideMark/>
          </w:tcPr>
          <w:p w14:paraId="057AFF54"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International Seed Testing Association (Asociación Internacional para el Ensayo de Semillas)</w:t>
            </w:r>
          </w:p>
        </w:tc>
      </w:tr>
      <w:tr w:rsidR="00E43B18" w:rsidRPr="00F72633" w14:paraId="19C5E149" w14:textId="77777777" w:rsidTr="00DD1FF6">
        <w:tc>
          <w:tcPr>
            <w:tcW w:w="1985" w:type="dxa"/>
            <w:tcBorders>
              <w:top w:val="nil"/>
              <w:left w:val="nil"/>
              <w:bottom w:val="nil"/>
              <w:right w:val="nil"/>
            </w:tcBorders>
            <w:shd w:val="clear" w:color="auto" w:fill="auto"/>
            <w:noWrap/>
            <w:tcMar>
              <w:top w:w="28" w:type="dxa"/>
              <w:bottom w:w="28" w:type="dxa"/>
            </w:tcMar>
            <w:hideMark/>
          </w:tcPr>
          <w:p w14:paraId="17EF316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ITPGRFA</w:t>
            </w:r>
          </w:p>
        </w:tc>
        <w:tc>
          <w:tcPr>
            <w:tcW w:w="7938" w:type="dxa"/>
            <w:tcBorders>
              <w:top w:val="nil"/>
              <w:left w:val="nil"/>
              <w:bottom w:val="nil"/>
              <w:right w:val="nil"/>
            </w:tcBorders>
            <w:shd w:val="clear" w:color="auto" w:fill="auto"/>
            <w:noWrap/>
            <w:tcMar>
              <w:top w:w="28" w:type="dxa"/>
              <w:bottom w:w="28" w:type="dxa"/>
            </w:tcMar>
            <w:hideMark/>
          </w:tcPr>
          <w:p w14:paraId="4E4720E5"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Tratado Internacional sobre los Recursos Fitogenéticos para la Alimentación y la Agricultura</w:t>
            </w:r>
          </w:p>
        </w:tc>
      </w:tr>
      <w:tr w:rsidR="00E43B18" w:rsidRPr="00F72633" w14:paraId="6A123F89" w14:textId="77777777" w:rsidTr="00DD1FF6">
        <w:tc>
          <w:tcPr>
            <w:tcW w:w="1985" w:type="dxa"/>
            <w:tcBorders>
              <w:top w:val="nil"/>
              <w:left w:val="nil"/>
              <w:bottom w:val="nil"/>
              <w:right w:val="nil"/>
            </w:tcBorders>
            <w:shd w:val="clear" w:color="auto" w:fill="auto"/>
            <w:noWrap/>
            <w:tcMar>
              <w:top w:w="28" w:type="dxa"/>
              <w:bottom w:w="28" w:type="dxa"/>
            </w:tcMar>
            <w:hideMark/>
          </w:tcPr>
          <w:p w14:paraId="0D057A3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JIPO</w:t>
            </w:r>
          </w:p>
        </w:tc>
        <w:tc>
          <w:tcPr>
            <w:tcW w:w="7938" w:type="dxa"/>
            <w:tcBorders>
              <w:top w:val="nil"/>
              <w:left w:val="nil"/>
              <w:bottom w:val="nil"/>
              <w:right w:val="nil"/>
            </w:tcBorders>
            <w:shd w:val="clear" w:color="auto" w:fill="auto"/>
            <w:noWrap/>
            <w:tcMar>
              <w:top w:w="28" w:type="dxa"/>
              <w:bottom w:w="28" w:type="dxa"/>
            </w:tcMar>
            <w:hideMark/>
          </w:tcPr>
          <w:p w14:paraId="262EBCE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de Propiedad Intelectual de Jamaica</w:t>
            </w:r>
          </w:p>
        </w:tc>
      </w:tr>
      <w:tr w:rsidR="00EB47F9" w:rsidRPr="00F72633" w14:paraId="02D12D5D" w14:textId="77777777" w:rsidTr="00DD1FF6">
        <w:tc>
          <w:tcPr>
            <w:tcW w:w="1985" w:type="dxa"/>
            <w:tcBorders>
              <w:top w:val="nil"/>
              <w:left w:val="nil"/>
              <w:bottom w:val="nil"/>
              <w:right w:val="nil"/>
            </w:tcBorders>
            <w:shd w:val="clear" w:color="auto" w:fill="auto"/>
            <w:noWrap/>
            <w:tcMar>
              <w:top w:w="28" w:type="dxa"/>
              <w:bottom w:w="28" w:type="dxa"/>
            </w:tcMar>
          </w:tcPr>
          <w:p w14:paraId="591C6580" w14:textId="1E9DE149" w:rsidR="00EB47F9" w:rsidRPr="00F72633" w:rsidRDefault="00EB47F9" w:rsidP="00EB47F9">
            <w:pPr>
              <w:spacing w:after="20"/>
              <w:jc w:val="left"/>
              <w:rPr>
                <w:rFonts w:ascii="Arial Narrow" w:hAnsi="Arial Narrow"/>
                <w:color w:val="000000"/>
                <w:sz w:val="18"/>
                <w:szCs w:val="18"/>
                <w:lang w:val="es-419"/>
              </w:rPr>
            </w:pPr>
            <w:r w:rsidRPr="00F72633">
              <w:rPr>
                <w:rFonts w:ascii="Arial Narrow" w:eastAsia="Times New Roman" w:hAnsi="Arial Narrow"/>
                <w:color w:val="000000"/>
                <w:sz w:val="18"/>
                <w:szCs w:val="18"/>
                <w:lang w:val="es-419" w:eastAsia="en-US"/>
              </w:rPr>
              <w:t>LESI-YMC</w:t>
            </w:r>
          </w:p>
        </w:tc>
        <w:tc>
          <w:tcPr>
            <w:tcW w:w="7938" w:type="dxa"/>
            <w:tcBorders>
              <w:top w:val="nil"/>
              <w:left w:val="nil"/>
              <w:bottom w:val="nil"/>
              <w:right w:val="nil"/>
            </w:tcBorders>
            <w:shd w:val="clear" w:color="auto" w:fill="auto"/>
            <w:noWrap/>
            <w:tcMar>
              <w:top w:w="28" w:type="dxa"/>
              <w:bottom w:w="28" w:type="dxa"/>
            </w:tcMar>
          </w:tcPr>
          <w:p w14:paraId="316ECD92" w14:textId="6C8D83A8" w:rsidR="00EB47F9" w:rsidRPr="00F72633" w:rsidRDefault="00EB47F9" w:rsidP="00DF5DCB">
            <w:pPr>
              <w:spacing w:after="20"/>
              <w:jc w:val="left"/>
              <w:rPr>
                <w:rFonts w:ascii="Arial Narrow" w:hAnsi="Arial Narrow"/>
                <w:color w:val="000000"/>
                <w:sz w:val="18"/>
                <w:szCs w:val="18"/>
                <w:lang w:val="es-419"/>
              </w:rPr>
            </w:pPr>
            <w:r w:rsidRPr="00F72633">
              <w:rPr>
                <w:rFonts w:ascii="Arial Narrow" w:eastAsia="Times New Roman" w:hAnsi="Arial Narrow"/>
                <w:color w:val="000000"/>
                <w:sz w:val="18"/>
                <w:szCs w:val="18"/>
                <w:lang w:val="es-419" w:eastAsia="en-US"/>
              </w:rPr>
              <w:t xml:space="preserve">Licensing Executives Society International-Young Members Congress (Congreso de </w:t>
            </w:r>
            <w:r w:rsidR="00DF5DCB" w:rsidRPr="00F72633">
              <w:rPr>
                <w:rFonts w:ascii="Arial Narrow" w:eastAsia="Times New Roman" w:hAnsi="Arial Narrow"/>
                <w:color w:val="000000"/>
                <w:sz w:val="18"/>
                <w:szCs w:val="18"/>
                <w:lang w:val="es-419" w:eastAsia="en-US"/>
              </w:rPr>
              <w:t>Miembros J</w:t>
            </w:r>
            <w:r w:rsidRPr="00F72633">
              <w:rPr>
                <w:rFonts w:ascii="Arial Narrow" w:eastAsia="Times New Roman" w:hAnsi="Arial Narrow"/>
                <w:color w:val="000000"/>
                <w:sz w:val="18"/>
                <w:szCs w:val="18"/>
                <w:lang w:val="es-419" w:eastAsia="en-US"/>
              </w:rPr>
              <w:t>óvenes de Licensing Executives Society International)</w:t>
            </w:r>
          </w:p>
        </w:tc>
      </w:tr>
      <w:tr w:rsidR="00E43B18" w:rsidRPr="00F72633" w14:paraId="05D00C8B" w14:textId="77777777" w:rsidTr="00DD1FF6">
        <w:tc>
          <w:tcPr>
            <w:tcW w:w="1985" w:type="dxa"/>
            <w:tcBorders>
              <w:top w:val="nil"/>
              <w:left w:val="nil"/>
              <w:bottom w:val="nil"/>
              <w:right w:val="nil"/>
            </w:tcBorders>
            <w:shd w:val="clear" w:color="auto" w:fill="auto"/>
            <w:noWrap/>
            <w:tcMar>
              <w:top w:w="28" w:type="dxa"/>
              <w:bottom w:w="28" w:type="dxa"/>
            </w:tcMar>
            <w:hideMark/>
          </w:tcPr>
          <w:p w14:paraId="7253AE3A"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MAPA (España)</w:t>
            </w:r>
          </w:p>
        </w:tc>
        <w:tc>
          <w:tcPr>
            <w:tcW w:w="7938" w:type="dxa"/>
            <w:tcBorders>
              <w:top w:val="nil"/>
              <w:left w:val="nil"/>
              <w:bottom w:val="nil"/>
              <w:right w:val="nil"/>
            </w:tcBorders>
            <w:shd w:val="clear" w:color="auto" w:fill="auto"/>
            <w:noWrap/>
            <w:tcMar>
              <w:top w:w="28" w:type="dxa"/>
              <w:bottom w:w="28" w:type="dxa"/>
            </w:tcMar>
            <w:hideMark/>
          </w:tcPr>
          <w:p w14:paraId="0F4FDCA3"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Ministerio de Agricultura, Pesca y Alimentación de España</w:t>
            </w:r>
          </w:p>
        </w:tc>
      </w:tr>
      <w:tr w:rsidR="00E43B18" w:rsidRPr="00F72633" w14:paraId="7267FB12" w14:textId="77777777" w:rsidTr="00DD1FF6">
        <w:tc>
          <w:tcPr>
            <w:tcW w:w="1985" w:type="dxa"/>
            <w:tcBorders>
              <w:top w:val="nil"/>
              <w:left w:val="nil"/>
              <w:bottom w:val="nil"/>
              <w:right w:val="nil"/>
            </w:tcBorders>
            <w:shd w:val="clear" w:color="auto" w:fill="auto"/>
            <w:noWrap/>
            <w:tcMar>
              <w:top w:w="28" w:type="dxa"/>
              <w:bottom w:w="28" w:type="dxa"/>
            </w:tcMar>
            <w:hideMark/>
          </w:tcPr>
          <w:p w14:paraId="7ED8BED2"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Naktuinbouw</w:t>
            </w:r>
          </w:p>
        </w:tc>
        <w:tc>
          <w:tcPr>
            <w:tcW w:w="7938" w:type="dxa"/>
            <w:tcBorders>
              <w:top w:val="nil"/>
              <w:left w:val="nil"/>
              <w:bottom w:val="nil"/>
              <w:right w:val="nil"/>
            </w:tcBorders>
            <w:shd w:val="clear" w:color="auto" w:fill="auto"/>
            <w:noWrap/>
            <w:tcMar>
              <w:top w:w="28" w:type="dxa"/>
              <w:bottom w:w="28" w:type="dxa"/>
            </w:tcMar>
            <w:hideMark/>
          </w:tcPr>
          <w:p w14:paraId="5C1D7D9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Servicio de Inspección de la Horticultura de los Países Bajos</w:t>
            </w:r>
          </w:p>
        </w:tc>
      </w:tr>
      <w:tr w:rsidR="00E43B18" w:rsidRPr="00F72633" w14:paraId="44D53D15" w14:textId="77777777" w:rsidTr="00DD1FF6">
        <w:tc>
          <w:tcPr>
            <w:tcW w:w="1985" w:type="dxa"/>
            <w:tcBorders>
              <w:top w:val="nil"/>
              <w:left w:val="nil"/>
              <w:bottom w:val="nil"/>
              <w:right w:val="nil"/>
            </w:tcBorders>
            <w:shd w:val="clear" w:color="auto" w:fill="auto"/>
            <w:noWrap/>
            <w:tcMar>
              <w:top w:w="28" w:type="dxa"/>
              <w:bottom w:w="28" w:type="dxa"/>
            </w:tcMar>
            <w:hideMark/>
          </w:tcPr>
          <w:p w14:paraId="1A17CCFD"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NASC (Nigeria)</w:t>
            </w:r>
          </w:p>
        </w:tc>
        <w:tc>
          <w:tcPr>
            <w:tcW w:w="7938" w:type="dxa"/>
            <w:tcBorders>
              <w:top w:val="nil"/>
              <w:left w:val="nil"/>
              <w:bottom w:val="nil"/>
              <w:right w:val="nil"/>
            </w:tcBorders>
            <w:shd w:val="clear" w:color="auto" w:fill="auto"/>
            <w:noWrap/>
            <w:tcMar>
              <w:top w:w="28" w:type="dxa"/>
              <w:bottom w:w="28" w:type="dxa"/>
            </w:tcMar>
            <w:hideMark/>
          </w:tcPr>
          <w:p w14:paraId="1E1FCBAC"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Consejo Nacional de Semillas Agrícolas de Nigeria</w:t>
            </w:r>
          </w:p>
        </w:tc>
      </w:tr>
      <w:tr w:rsidR="00E43B18" w:rsidRPr="00F72633" w14:paraId="20AE2244" w14:textId="77777777" w:rsidTr="00DD1FF6">
        <w:tc>
          <w:tcPr>
            <w:tcW w:w="1985" w:type="dxa"/>
            <w:tcBorders>
              <w:top w:val="nil"/>
              <w:left w:val="nil"/>
              <w:bottom w:val="nil"/>
              <w:right w:val="nil"/>
            </w:tcBorders>
            <w:shd w:val="clear" w:color="auto" w:fill="auto"/>
            <w:noWrap/>
            <w:tcMar>
              <w:top w:w="28" w:type="dxa"/>
              <w:bottom w:w="28" w:type="dxa"/>
            </w:tcMar>
            <w:hideMark/>
          </w:tcPr>
          <w:p w14:paraId="260DCEF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OAPI</w:t>
            </w:r>
          </w:p>
        </w:tc>
        <w:tc>
          <w:tcPr>
            <w:tcW w:w="7938" w:type="dxa"/>
            <w:tcBorders>
              <w:top w:val="nil"/>
              <w:left w:val="nil"/>
              <w:bottom w:val="nil"/>
              <w:right w:val="nil"/>
            </w:tcBorders>
            <w:shd w:val="clear" w:color="auto" w:fill="auto"/>
            <w:noWrap/>
            <w:tcMar>
              <w:top w:w="28" w:type="dxa"/>
              <w:bottom w:w="28" w:type="dxa"/>
            </w:tcMar>
            <w:hideMark/>
          </w:tcPr>
          <w:p w14:paraId="7AC9898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Africana de la Propiedad Intelectual</w:t>
            </w:r>
          </w:p>
        </w:tc>
      </w:tr>
      <w:tr w:rsidR="00E43B18" w:rsidRPr="00F72633" w14:paraId="594E1AC7" w14:textId="77777777" w:rsidTr="00DD1FF6">
        <w:tc>
          <w:tcPr>
            <w:tcW w:w="1985" w:type="dxa"/>
            <w:tcBorders>
              <w:top w:val="nil"/>
              <w:left w:val="nil"/>
              <w:bottom w:val="nil"/>
              <w:right w:val="nil"/>
            </w:tcBorders>
            <w:shd w:val="clear" w:color="auto" w:fill="auto"/>
            <w:noWrap/>
            <w:tcMar>
              <w:top w:w="28" w:type="dxa"/>
              <w:bottom w:w="28" w:type="dxa"/>
            </w:tcMar>
            <w:hideMark/>
          </w:tcPr>
          <w:p w14:paraId="536547E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OCDE</w:t>
            </w:r>
          </w:p>
        </w:tc>
        <w:tc>
          <w:tcPr>
            <w:tcW w:w="7938" w:type="dxa"/>
            <w:tcBorders>
              <w:top w:val="nil"/>
              <w:left w:val="nil"/>
              <w:bottom w:val="nil"/>
              <w:right w:val="nil"/>
            </w:tcBorders>
            <w:shd w:val="clear" w:color="auto" w:fill="auto"/>
            <w:noWrap/>
            <w:tcMar>
              <w:top w:w="28" w:type="dxa"/>
              <w:bottom w:w="28" w:type="dxa"/>
            </w:tcMar>
            <w:hideMark/>
          </w:tcPr>
          <w:p w14:paraId="6F84EB91"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de Cooperación y Desarrollo Económicos</w:t>
            </w:r>
          </w:p>
        </w:tc>
      </w:tr>
      <w:tr w:rsidR="00E43B18" w:rsidRPr="00F72633" w14:paraId="0F38B152" w14:textId="77777777" w:rsidTr="00DD1FF6">
        <w:tc>
          <w:tcPr>
            <w:tcW w:w="1985" w:type="dxa"/>
            <w:tcBorders>
              <w:top w:val="nil"/>
              <w:left w:val="nil"/>
              <w:bottom w:val="nil"/>
              <w:right w:val="nil"/>
            </w:tcBorders>
            <w:shd w:val="clear" w:color="auto" w:fill="auto"/>
            <w:noWrap/>
            <w:tcMar>
              <w:top w:w="28" w:type="dxa"/>
              <w:bottom w:w="28" w:type="dxa"/>
            </w:tcMar>
            <w:hideMark/>
          </w:tcPr>
          <w:p w14:paraId="24661CEF"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OCVV</w:t>
            </w:r>
          </w:p>
        </w:tc>
        <w:tc>
          <w:tcPr>
            <w:tcW w:w="7938" w:type="dxa"/>
            <w:tcBorders>
              <w:top w:val="nil"/>
              <w:left w:val="nil"/>
              <w:bottom w:val="nil"/>
              <w:right w:val="nil"/>
            </w:tcBorders>
            <w:shd w:val="clear" w:color="auto" w:fill="auto"/>
            <w:noWrap/>
            <w:tcMar>
              <w:top w:w="28" w:type="dxa"/>
              <w:bottom w:w="28" w:type="dxa"/>
            </w:tcMar>
            <w:hideMark/>
          </w:tcPr>
          <w:p w14:paraId="7C70D217" w14:textId="666DA383"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 xml:space="preserve">Oficina Comunitaria de Variedades </w:t>
            </w:r>
            <w:r w:rsidR="00AD7FEB" w:rsidRPr="00F72633">
              <w:rPr>
                <w:rFonts w:ascii="Arial Narrow" w:hAnsi="Arial Narrow"/>
                <w:color w:val="000000"/>
                <w:sz w:val="18"/>
                <w:lang w:val="es-419"/>
              </w:rPr>
              <w:t>Vegetales</w:t>
            </w:r>
          </w:p>
        </w:tc>
      </w:tr>
      <w:tr w:rsidR="005F6D7A" w:rsidRPr="00F72633" w14:paraId="13050DDF" w14:textId="77777777" w:rsidTr="00DD1FF6">
        <w:tc>
          <w:tcPr>
            <w:tcW w:w="1985" w:type="dxa"/>
            <w:tcBorders>
              <w:top w:val="nil"/>
              <w:left w:val="nil"/>
              <w:bottom w:val="nil"/>
              <w:right w:val="nil"/>
            </w:tcBorders>
            <w:shd w:val="clear" w:color="auto" w:fill="auto"/>
            <w:noWrap/>
            <w:tcMar>
              <w:top w:w="28" w:type="dxa"/>
              <w:bottom w:w="28" w:type="dxa"/>
            </w:tcMar>
          </w:tcPr>
          <w:p w14:paraId="0CF75F19" w14:textId="1F1DF6FD" w:rsidR="005F6D7A" w:rsidRPr="00F72633" w:rsidRDefault="005F6D7A" w:rsidP="005F6D7A">
            <w:pPr>
              <w:spacing w:after="20"/>
              <w:jc w:val="left"/>
              <w:rPr>
                <w:rFonts w:ascii="Arial Narrow" w:hAnsi="Arial Narrow"/>
                <w:color w:val="000000"/>
                <w:sz w:val="18"/>
                <w:szCs w:val="18"/>
                <w:lang w:val="es-419"/>
              </w:rPr>
            </w:pPr>
            <w:r w:rsidRPr="00F72633">
              <w:rPr>
                <w:rFonts w:ascii="Arial Narrow" w:eastAsia="Times New Roman" w:hAnsi="Arial Narrow"/>
                <w:color w:val="000000"/>
                <w:sz w:val="18"/>
                <w:szCs w:val="18"/>
                <w:lang w:val="es-419" w:eastAsia="en-US"/>
              </w:rPr>
              <w:t>OFINASE (Costa Rica)</w:t>
            </w:r>
          </w:p>
        </w:tc>
        <w:tc>
          <w:tcPr>
            <w:tcW w:w="7938" w:type="dxa"/>
            <w:tcBorders>
              <w:top w:val="nil"/>
              <w:left w:val="nil"/>
              <w:bottom w:val="nil"/>
              <w:right w:val="nil"/>
            </w:tcBorders>
            <w:shd w:val="clear" w:color="auto" w:fill="auto"/>
            <w:noWrap/>
            <w:tcMar>
              <w:top w:w="28" w:type="dxa"/>
              <w:bottom w:w="28" w:type="dxa"/>
            </w:tcMar>
          </w:tcPr>
          <w:p w14:paraId="0908006D" w14:textId="1AA35C18" w:rsidR="005F6D7A" w:rsidRPr="00F72633" w:rsidRDefault="005F6D7A" w:rsidP="005F6D7A">
            <w:pPr>
              <w:spacing w:after="20"/>
              <w:jc w:val="left"/>
              <w:rPr>
                <w:rFonts w:ascii="Arial Narrow" w:hAnsi="Arial Narrow"/>
                <w:color w:val="000000"/>
                <w:sz w:val="18"/>
                <w:szCs w:val="18"/>
                <w:lang w:val="es-419"/>
              </w:rPr>
            </w:pPr>
            <w:r w:rsidRPr="00F72633">
              <w:rPr>
                <w:rFonts w:ascii="Arial Narrow" w:eastAsia="Times New Roman" w:hAnsi="Arial Narrow"/>
                <w:color w:val="000000"/>
                <w:sz w:val="18"/>
                <w:szCs w:val="18"/>
                <w:lang w:val="es-419" w:eastAsia="en-US"/>
              </w:rPr>
              <w:t>Oficina Nacional de Semillas</w:t>
            </w:r>
          </w:p>
        </w:tc>
      </w:tr>
      <w:tr w:rsidR="00E43B18" w:rsidRPr="00F72633" w14:paraId="3EBF64FD" w14:textId="77777777" w:rsidTr="00DD1FF6">
        <w:tc>
          <w:tcPr>
            <w:tcW w:w="1985" w:type="dxa"/>
            <w:tcBorders>
              <w:top w:val="nil"/>
              <w:left w:val="nil"/>
              <w:bottom w:val="nil"/>
              <w:right w:val="nil"/>
            </w:tcBorders>
            <w:shd w:val="clear" w:color="auto" w:fill="auto"/>
            <w:noWrap/>
            <w:tcMar>
              <w:top w:w="28" w:type="dxa"/>
              <w:bottom w:w="28" w:type="dxa"/>
            </w:tcMar>
            <w:hideMark/>
          </w:tcPr>
          <w:p w14:paraId="4A2D33D3"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OMA</w:t>
            </w:r>
          </w:p>
        </w:tc>
        <w:tc>
          <w:tcPr>
            <w:tcW w:w="7938" w:type="dxa"/>
            <w:tcBorders>
              <w:top w:val="nil"/>
              <w:left w:val="nil"/>
              <w:bottom w:val="nil"/>
              <w:right w:val="nil"/>
            </w:tcBorders>
            <w:shd w:val="clear" w:color="auto" w:fill="auto"/>
            <w:noWrap/>
            <w:tcMar>
              <w:top w:w="28" w:type="dxa"/>
              <w:bottom w:w="28" w:type="dxa"/>
            </w:tcMar>
            <w:hideMark/>
          </w:tcPr>
          <w:p w14:paraId="432A099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Mundial de Agricultores</w:t>
            </w:r>
          </w:p>
        </w:tc>
      </w:tr>
      <w:tr w:rsidR="00E43B18" w:rsidRPr="00F72633" w14:paraId="58FB2961" w14:textId="77777777" w:rsidTr="00DD1FF6">
        <w:tc>
          <w:tcPr>
            <w:tcW w:w="1985" w:type="dxa"/>
            <w:tcBorders>
              <w:top w:val="nil"/>
              <w:left w:val="nil"/>
              <w:bottom w:val="nil"/>
              <w:right w:val="nil"/>
            </w:tcBorders>
            <w:shd w:val="clear" w:color="auto" w:fill="auto"/>
            <w:noWrap/>
            <w:tcMar>
              <w:top w:w="28" w:type="dxa"/>
              <w:bottom w:w="28" w:type="dxa"/>
            </w:tcMar>
            <w:hideMark/>
          </w:tcPr>
          <w:p w14:paraId="4F92040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OMC</w:t>
            </w:r>
          </w:p>
        </w:tc>
        <w:tc>
          <w:tcPr>
            <w:tcW w:w="7938" w:type="dxa"/>
            <w:tcBorders>
              <w:top w:val="nil"/>
              <w:left w:val="nil"/>
              <w:bottom w:val="nil"/>
              <w:right w:val="nil"/>
            </w:tcBorders>
            <w:shd w:val="clear" w:color="auto" w:fill="auto"/>
            <w:noWrap/>
            <w:tcMar>
              <w:top w:w="28" w:type="dxa"/>
              <w:bottom w:w="28" w:type="dxa"/>
            </w:tcMar>
            <w:hideMark/>
          </w:tcPr>
          <w:p w14:paraId="2FB1F470"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Mundial del Comercio</w:t>
            </w:r>
          </w:p>
        </w:tc>
      </w:tr>
      <w:tr w:rsidR="00E43B18" w:rsidRPr="00F72633" w14:paraId="547E355C" w14:textId="77777777" w:rsidTr="00DD1FF6">
        <w:tc>
          <w:tcPr>
            <w:tcW w:w="1985" w:type="dxa"/>
            <w:tcBorders>
              <w:top w:val="nil"/>
              <w:left w:val="nil"/>
              <w:bottom w:val="nil"/>
              <w:right w:val="nil"/>
            </w:tcBorders>
            <w:shd w:val="clear" w:color="auto" w:fill="auto"/>
            <w:noWrap/>
            <w:tcMar>
              <w:top w:w="28" w:type="dxa"/>
              <w:bottom w:w="28" w:type="dxa"/>
            </w:tcMar>
            <w:hideMark/>
          </w:tcPr>
          <w:p w14:paraId="366F4D0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OMPI</w:t>
            </w:r>
          </w:p>
        </w:tc>
        <w:tc>
          <w:tcPr>
            <w:tcW w:w="7938" w:type="dxa"/>
            <w:tcBorders>
              <w:top w:val="nil"/>
              <w:left w:val="nil"/>
              <w:bottom w:val="nil"/>
              <w:right w:val="nil"/>
            </w:tcBorders>
            <w:shd w:val="clear" w:color="auto" w:fill="auto"/>
            <w:noWrap/>
            <w:tcMar>
              <w:top w:w="28" w:type="dxa"/>
              <w:bottom w:w="28" w:type="dxa"/>
            </w:tcMar>
            <w:hideMark/>
          </w:tcPr>
          <w:p w14:paraId="66EAB06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Organización Mundial de la Propiedad Intelectual</w:t>
            </w:r>
          </w:p>
        </w:tc>
      </w:tr>
      <w:tr w:rsidR="00617243" w:rsidRPr="00F72633" w14:paraId="64E47B9F" w14:textId="77777777" w:rsidTr="00DD1FF6">
        <w:tc>
          <w:tcPr>
            <w:tcW w:w="1985" w:type="dxa"/>
            <w:tcBorders>
              <w:top w:val="nil"/>
              <w:left w:val="nil"/>
              <w:bottom w:val="nil"/>
              <w:right w:val="nil"/>
            </w:tcBorders>
            <w:shd w:val="clear" w:color="auto" w:fill="auto"/>
            <w:noWrap/>
            <w:tcMar>
              <w:top w:w="28" w:type="dxa"/>
              <w:bottom w:w="28" w:type="dxa"/>
            </w:tcMar>
          </w:tcPr>
          <w:p w14:paraId="2CDAC8B7" w14:textId="7C83746F" w:rsidR="00617243" w:rsidRPr="00F72633" w:rsidRDefault="00617243"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ONU</w:t>
            </w:r>
          </w:p>
        </w:tc>
        <w:tc>
          <w:tcPr>
            <w:tcW w:w="7938" w:type="dxa"/>
            <w:tcBorders>
              <w:top w:val="nil"/>
              <w:left w:val="nil"/>
              <w:bottom w:val="nil"/>
              <w:right w:val="nil"/>
            </w:tcBorders>
            <w:shd w:val="clear" w:color="auto" w:fill="auto"/>
            <w:noWrap/>
            <w:tcMar>
              <w:top w:w="28" w:type="dxa"/>
              <w:bottom w:w="28" w:type="dxa"/>
            </w:tcMar>
          </w:tcPr>
          <w:p w14:paraId="6052D5E4" w14:textId="5648B8E5" w:rsidR="00617243" w:rsidRPr="00F72633" w:rsidRDefault="00617243"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Naciones Unidas</w:t>
            </w:r>
          </w:p>
        </w:tc>
      </w:tr>
      <w:tr w:rsidR="00E43B18" w:rsidRPr="00F72633" w14:paraId="51BF37A9" w14:textId="77777777" w:rsidTr="00DD1FF6">
        <w:tc>
          <w:tcPr>
            <w:tcW w:w="1985" w:type="dxa"/>
            <w:tcBorders>
              <w:top w:val="nil"/>
              <w:left w:val="nil"/>
              <w:bottom w:val="nil"/>
              <w:right w:val="nil"/>
            </w:tcBorders>
            <w:shd w:val="clear" w:color="auto" w:fill="auto"/>
            <w:noWrap/>
            <w:tcMar>
              <w:top w:w="28" w:type="dxa"/>
              <w:bottom w:w="28" w:type="dxa"/>
            </w:tcMar>
            <w:hideMark/>
          </w:tcPr>
          <w:p w14:paraId="04FEDC6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OREVADO (República Dominicana)</w:t>
            </w:r>
          </w:p>
        </w:tc>
        <w:tc>
          <w:tcPr>
            <w:tcW w:w="7938" w:type="dxa"/>
            <w:tcBorders>
              <w:top w:val="nil"/>
              <w:left w:val="nil"/>
              <w:bottom w:val="nil"/>
              <w:right w:val="nil"/>
            </w:tcBorders>
            <w:shd w:val="clear" w:color="auto" w:fill="auto"/>
            <w:noWrap/>
            <w:tcMar>
              <w:top w:w="28" w:type="dxa"/>
              <w:bottom w:w="28" w:type="dxa"/>
            </w:tcMar>
            <w:hideMark/>
          </w:tcPr>
          <w:p w14:paraId="4059D7F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para el Registro de Variedades y Obtenciones Vegetales</w:t>
            </w:r>
          </w:p>
        </w:tc>
      </w:tr>
      <w:tr w:rsidR="009F2012" w:rsidRPr="00F72633" w14:paraId="17985E72" w14:textId="77777777" w:rsidTr="00DD1FF6">
        <w:tc>
          <w:tcPr>
            <w:tcW w:w="1985" w:type="dxa"/>
            <w:tcBorders>
              <w:top w:val="nil"/>
              <w:left w:val="nil"/>
              <w:bottom w:val="nil"/>
              <w:right w:val="nil"/>
            </w:tcBorders>
            <w:shd w:val="clear" w:color="auto" w:fill="auto"/>
            <w:noWrap/>
            <w:tcMar>
              <w:top w:w="28" w:type="dxa"/>
              <w:bottom w:w="28" w:type="dxa"/>
            </w:tcMar>
          </w:tcPr>
          <w:p w14:paraId="2431419B" w14:textId="0445B5BA" w:rsidR="009F2012" w:rsidRPr="00F72633" w:rsidRDefault="00281CA5"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 xml:space="preserve">Proyecto </w:t>
            </w:r>
            <w:r w:rsidR="00155D39" w:rsidRPr="00F72633">
              <w:rPr>
                <w:rFonts w:ascii="Arial Narrow" w:hAnsi="Arial Narrow"/>
                <w:color w:val="000000"/>
                <w:sz w:val="18"/>
                <w:lang w:val="es-419"/>
              </w:rPr>
              <w:t>piloto</w:t>
            </w:r>
            <w:r w:rsidRPr="00F72633">
              <w:rPr>
                <w:rFonts w:ascii="Arial Narrow" w:hAnsi="Arial Narrow"/>
                <w:color w:val="000000"/>
                <w:sz w:val="18"/>
                <w:lang w:val="es-419"/>
              </w:rPr>
              <w:t xml:space="preserve"> del Foro EAPVP</w:t>
            </w:r>
          </w:p>
        </w:tc>
        <w:tc>
          <w:tcPr>
            <w:tcW w:w="7938" w:type="dxa"/>
            <w:tcBorders>
              <w:top w:val="nil"/>
              <w:left w:val="nil"/>
              <w:bottom w:val="nil"/>
              <w:right w:val="nil"/>
            </w:tcBorders>
            <w:shd w:val="clear" w:color="auto" w:fill="auto"/>
            <w:noWrap/>
            <w:tcMar>
              <w:top w:w="28" w:type="dxa"/>
              <w:bottom w:w="28" w:type="dxa"/>
            </w:tcMar>
          </w:tcPr>
          <w:p w14:paraId="10AEA90F" w14:textId="60340151" w:rsidR="009F2012" w:rsidRPr="00F72633" w:rsidRDefault="009F2012"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Proyecto piloto de Asia Oriental para la protección de las variedades vegetales</w:t>
            </w:r>
          </w:p>
        </w:tc>
      </w:tr>
      <w:tr w:rsidR="00E43B18" w:rsidRPr="00F72633" w14:paraId="237EF09B" w14:textId="77777777" w:rsidTr="00DD1FF6">
        <w:tc>
          <w:tcPr>
            <w:tcW w:w="1985" w:type="dxa"/>
            <w:tcBorders>
              <w:top w:val="nil"/>
              <w:left w:val="nil"/>
              <w:bottom w:val="nil"/>
              <w:right w:val="nil"/>
            </w:tcBorders>
            <w:shd w:val="clear" w:color="auto" w:fill="auto"/>
            <w:noWrap/>
            <w:tcMar>
              <w:top w:w="28" w:type="dxa"/>
              <w:bottom w:w="28" w:type="dxa"/>
            </w:tcMar>
            <w:hideMark/>
          </w:tcPr>
          <w:p w14:paraId="02DBAB67" w14:textId="13B9FFB2" w:rsidR="00E43B18" w:rsidRPr="00F72633" w:rsidRDefault="005F6D7A"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PAIRED</w:t>
            </w:r>
          </w:p>
        </w:tc>
        <w:tc>
          <w:tcPr>
            <w:tcW w:w="7938" w:type="dxa"/>
            <w:tcBorders>
              <w:top w:val="nil"/>
              <w:left w:val="nil"/>
              <w:bottom w:val="nil"/>
              <w:right w:val="nil"/>
            </w:tcBorders>
            <w:shd w:val="clear" w:color="auto" w:fill="auto"/>
            <w:tcMar>
              <w:top w:w="28" w:type="dxa"/>
              <w:bottom w:w="28" w:type="dxa"/>
            </w:tcMar>
            <w:hideMark/>
          </w:tcPr>
          <w:p w14:paraId="404B4ABC" w14:textId="2921E341" w:rsidR="00E43B18" w:rsidRPr="00F72633" w:rsidRDefault="005F6D7A"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Partnership for Agricultural Research, Education and Development (Alianza para las Investigaciones Agrícolas, la Educación y el Desarrollo en el África Occidental)</w:t>
            </w:r>
          </w:p>
        </w:tc>
      </w:tr>
      <w:tr w:rsidR="00E43B18" w:rsidRPr="00F72633" w14:paraId="58FC7FA1" w14:textId="77777777" w:rsidTr="00DD1FF6">
        <w:tc>
          <w:tcPr>
            <w:tcW w:w="1985" w:type="dxa"/>
            <w:tcBorders>
              <w:top w:val="nil"/>
              <w:left w:val="nil"/>
              <w:bottom w:val="nil"/>
              <w:right w:val="nil"/>
            </w:tcBorders>
            <w:shd w:val="clear" w:color="auto" w:fill="auto"/>
            <w:noWrap/>
            <w:tcMar>
              <w:top w:w="28" w:type="dxa"/>
              <w:bottom w:w="28" w:type="dxa"/>
            </w:tcMar>
            <w:hideMark/>
          </w:tcPr>
          <w:p w14:paraId="57E140C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SAA</w:t>
            </w:r>
          </w:p>
        </w:tc>
        <w:tc>
          <w:tcPr>
            <w:tcW w:w="7938" w:type="dxa"/>
            <w:tcBorders>
              <w:top w:val="nil"/>
              <w:left w:val="nil"/>
              <w:bottom w:val="nil"/>
              <w:right w:val="nil"/>
            </w:tcBorders>
            <w:shd w:val="clear" w:color="auto" w:fill="auto"/>
            <w:noWrap/>
            <w:tcMar>
              <w:top w:w="28" w:type="dxa"/>
              <w:bottom w:w="28" w:type="dxa"/>
            </w:tcMar>
            <w:hideMark/>
          </w:tcPr>
          <w:p w14:paraId="777EDD4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Asociación de Semillas de las Américas</w:t>
            </w:r>
          </w:p>
        </w:tc>
      </w:tr>
      <w:tr w:rsidR="00DD1FF6" w:rsidRPr="00F72633" w14:paraId="2C80CC16" w14:textId="77777777" w:rsidTr="00DD1FF6">
        <w:tc>
          <w:tcPr>
            <w:tcW w:w="1985" w:type="dxa"/>
            <w:tcBorders>
              <w:top w:val="nil"/>
              <w:left w:val="nil"/>
              <w:bottom w:val="nil"/>
              <w:right w:val="nil"/>
            </w:tcBorders>
            <w:shd w:val="clear" w:color="auto" w:fill="auto"/>
            <w:noWrap/>
            <w:tcMar>
              <w:top w:w="28" w:type="dxa"/>
              <w:bottom w:w="28" w:type="dxa"/>
            </w:tcMar>
          </w:tcPr>
          <w:p w14:paraId="0D1E1013" w14:textId="18E9C3AD" w:rsidR="00DD1FF6" w:rsidRPr="00F72633" w:rsidRDefault="00DD1FF6"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SEAE</w:t>
            </w:r>
          </w:p>
        </w:tc>
        <w:tc>
          <w:tcPr>
            <w:tcW w:w="7938" w:type="dxa"/>
            <w:tcBorders>
              <w:top w:val="nil"/>
              <w:left w:val="nil"/>
              <w:bottom w:val="nil"/>
              <w:right w:val="nil"/>
            </w:tcBorders>
            <w:shd w:val="clear" w:color="auto" w:fill="auto"/>
            <w:tcMar>
              <w:top w:w="28" w:type="dxa"/>
              <w:bottom w:w="28" w:type="dxa"/>
            </w:tcMar>
          </w:tcPr>
          <w:p w14:paraId="555B5961" w14:textId="16B46857" w:rsidR="00DD1FF6" w:rsidRPr="00F72633" w:rsidRDefault="00DD1FF6"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Servicio Europeo de Acción Exterior</w:t>
            </w:r>
          </w:p>
        </w:tc>
      </w:tr>
      <w:tr w:rsidR="00E43B18" w:rsidRPr="00F72633" w14:paraId="65A1B2D5" w14:textId="77777777" w:rsidTr="00DD1FF6">
        <w:tc>
          <w:tcPr>
            <w:tcW w:w="1985" w:type="dxa"/>
            <w:tcBorders>
              <w:top w:val="nil"/>
              <w:left w:val="nil"/>
              <w:bottom w:val="nil"/>
              <w:right w:val="nil"/>
            </w:tcBorders>
            <w:shd w:val="clear" w:color="auto" w:fill="auto"/>
            <w:noWrap/>
            <w:tcMar>
              <w:top w:w="28" w:type="dxa"/>
              <w:bottom w:w="28" w:type="dxa"/>
            </w:tcMar>
            <w:hideMark/>
          </w:tcPr>
          <w:p w14:paraId="19F19DE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SEMAE (France)</w:t>
            </w:r>
          </w:p>
        </w:tc>
        <w:tc>
          <w:tcPr>
            <w:tcW w:w="7938" w:type="dxa"/>
            <w:tcBorders>
              <w:top w:val="nil"/>
              <w:left w:val="nil"/>
              <w:bottom w:val="nil"/>
              <w:right w:val="nil"/>
            </w:tcBorders>
            <w:shd w:val="clear" w:color="auto" w:fill="auto"/>
            <w:tcMar>
              <w:top w:w="28" w:type="dxa"/>
              <w:bottom w:w="28" w:type="dxa"/>
            </w:tcMar>
            <w:hideMark/>
          </w:tcPr>
          <w:p w14:paraId="654365B5"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L'interprofession des semences et plants (Grupo Nacional Interprofesional de Semillas y Plantas de Francia)</w:t>
            </w:r>
          </w:p>
        </w:tc>
      </w:tr>
      <w:tr w:rsidR="00E43B18" w:rsidRPr="00F72633" w14:paraId="45AEC6E0" w14:textId="77777777" w:rsidTr="00DD1FF6">
        <w:tc>
          <w:tcPr>
            <w:tcW w:w="1985" w:type="dxa"/>
            <w:tcBorders>
              <w:top w:val="nil"/>
              <w:left w:val="nil"/>
              <w:bottom w:val="nil"/>
              <w:right w:val="nil"/>
            </w:tcBorders>
            <w:shd w:val="clear" w:color="auto" w:fill="auto"/>
            <w:noWrap/>
            <w:tcMar>
              <w:top w:w="28" w:type="dxa"/>
              <w:bottom w:w="28" w:type="dxa"/>
            </w:tcMar>
            <w:hideMark/>
          </w:tcPr>
          <w:p w14:paraId="07568CAB"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SENADI (Ecuador)</w:t>
            </w:r>
          </w:p>
        </w:tc>
        <w:tc>
          <w:tcPr>
            <w:tcW w:w="7938" w:type="dxa"/>
            <w:tcBorders>
              <w:top w:val="nil"/>
              <w:left w:val="nil"/>
              <w:bottom w:val="nil"/>
              <w:right w:val="nil"/>
            </w:tcBorders>
            <w:shd w:val="clear" w:color="auto" w:fill="auto"/>
            <w:tcMar>
              <w:top w:w="28" w:type="dxa"/>
              <w:bottom w:w="28" w:type="dxa"/>
            </w:tcMar>
            <w:hideMark/>
          </w:tcPr>
          <w:p w14:paraId="1E5F3631"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Servicio Nacional de Derechos Intelectuales</w:t>
            </w:r>
          </w:p>
        </w:tc>
      </w:tr>
      <w:tr w:rsidR="00E43B18" w:rsidRPr="00F72633" w14:paraId="039F46DB" w14:textId="77777777" w:rsidTr="00DD1FF6">
        <w:tc>
          <w:tcPr>
            <w:tcW w:w="1985" w:type="dxa"/>
            <w:tcBorders>
              <w:top w:val="nil"/>
              <w:left w:val="nil"/>
              <w:bottom w:val="nil"/>
              <w:right w:val="nil"/>
            </w:tcBorders>
            <w:shd w:val="clear" w:color="auto" w:fill="auto"/>
            <w:noWrap/>
            <w:tcMar>
              <w:top w:w="28" w:type="dxa"/>
              <w:bottom w:w="28" w:type="dxa"/>
            </w:tcMar>
            <w:hideMark/>
          </w:tcPr>
          <w:p w14:paraId="05449AF6" w14:textId="0DEB26FC" w:rsidR="00E43B18" w:rsidRPr="00F72633" w:rsidRDefault="00E43B18" w:rsidP="00D836AF">
            <w:pPr>
              <w:spacing w:after="20"/>
              <w:jc w:val="left"/>
              <w:rPr>
                <w:rFonts w:ascii="Arial Narrow" w:hAnsi="Arial Narrow"/>
                <w:color w:val="000000"/>
                <w:sz w:val="18"/>
                <w:szCs w:val="18"/>
                <w:lang w:val="es-419"/>
              </w:rPr>
            </w:pPr>
            <w:r w:rsidRPr="00F72633">
              <w:rPr>
                <w:rFonts w:ascii="Arial Narrow" w:hAnsi="Arial Narrow"/>
                <w:color w:val="000000"/>
                <w:sz w:val="18"/>
                <w:lang w:val="es-419"/>
              </w:rPr>
              <w:t xml:space="preserve">SNICS </w:t>
            </w:r>
            <w:r w:rsidR="00D836AF" w:rsidRPr="00F72633">
              <w:rPr>
                <w:rFonts w:ascii="Arial Narrow" w:hAnsi="Arial Narrow"/>
                <w:color w:val="000000"/>
                <w:sz w:val="18"/>
                <w:lang w:val="es-419"/>
              </w:rPr>
              <w:t>(</w:t>
            </w:r>
            <w:r w:rsidRPr="00F72633">
              <w:rPr>
                <w:rFonts w:ascii="Arial Narrow" w:hAnsi="Arial Narrow"/>
                <w:color w:val="000000"/>
                <w:sz w:val="18"/>
                <w:lang w:val="es-419"/>
              </w:rPr>
              <w:t>México</w:t>
            </w:r>
            <w:r w:rsidR="00D836AF" w:rsidRPr="00F72633">
              <w:rPr>
                <w:rFonts w:ascii="Arial Narrow" w:hAnsi="Arial Narrow"/>
                <w:color w:val="000000"/>
                <w:sz w:val="18"/>
                <w:lang w:val="es-419"/>
              </w:rPr>
              <w:t>)</w:t>
            </w:r>
          </w:p>
        </w:tc>
        <w:tc>
          <w:tcPr>
            <w:tcW w:w="7938" w:type="dxa"/>
            <w:tcBorders>
              <w:top w:val="nil"/>
              <w:left w:val="nil"/>
              <w:bottom w:val="nil"/>
              <w:right w:val="nil"/>
            </w:tcBorders>
            <w:shd w:val="clear" w:color="auto" w:fill="auto"/>
            <w:tcMar>
              <w:top w:w="28" w:type="dxa"/>
              <w:bottom w:w="28" w:type="dxa"/>
            </w:tcMar>
            <w:hideMark/>
          </w:tcPr>
          <w:p w14:paraId="33F97236"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Servicio Nacional de Inspección y Certificación de Semillas</w:t>
            </w:r>
          </w:p>
        </w:tc>
      </w:tr>
      <w:tr w:rsidR="00617243" w:rsidRPr="00F72633" w14:paraId="1EF53E9B" w14:textId="77777777" w:rsidTr="00DD1FF6">
        <w:tc>
          <w:tcPr>
            <w:tcW w:w="1985" w:type="dxa"/>
            <w:tcBorders>
              <w:top w:val="nil"/>
              <w:left w:val="nil"/>
              <w:bottom w:val="nil"/>
              <w:right w:val="nil"/>
            </w:tcBorders>
            <w:shd w:val="clear" w:color="auto" w:fill="auto"/>
            <w:noWrap/>
            <w:tcMar>
              <w:top w:w="28" w:type="dxa"/>
              <w:bottom w:w="28" w:type="dxa"/>
            </w:tcMar>
          </w:tcPr>
          <w:p w14:paraId="2FA015F7" w14:textId="0BD18647" w:rsidR="00617243" w:rsidRPr="00F72633" w:rsidRDefault="00617243" w:rsidP="00FC06EA">
            <w:pPr>
              <w:spacing w:after="20"/>
              <w:jc w:val="left"/>
              <w:rPr>
                <w:rFonts w:ascii="Arial Narrow" w:hAnsi="Arial Narrow"/>
                <w:color w:val="000000"/>
                <w:sz w:val="18"/>
                <w:lang w:val="es-419"/>
              </w:rPr>
            </w:pPr>
            <w:r w:rsidRPr="00F72633">
              <w:rPr>
                <w:rFonts w:ascii="Arial Narrow" w:hAnsi="Arial Narrow"/>
                <w:color w:val="000000"/>
                <w:sz w:val="18"/>
                <w:lang w:val="es-419"/>
              </w:rPr>
              <w:lastRenderedPageBreak/>
              <w:t>SNL</w:t>
            </w:r>
          </w:p>
        </w:tc>
        <w:tc>
          <w:tcPr>
            <w:tcW w:w="7938" w:type="dxa"/>
            <w:tcBorders>
              <w:top w:val="nil"/>
              <w:left w:val="nil"/>
              <w:bottom w:val="nil"/>
              <w:right w:val="nil"/>
            </w:tcBorders>
            <w:shd w:val="clear" w:color="auto" w:fill="auto"/>
            <w:tcMar>
              <w:top w:w="28" w:type="dxa"/>
              <w:bottom w:w="28" w:type="dxa"/>
            </w:tcMar>
          </w:tcPr>
          <w:p w14:paraId="2B77689E" w14:textId="3F2D5F6F" w:rsidR="00617243" w:rsidRPr="00F72633" w:rsidRDefault="00617243"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Estructura Nacional de Enlace</w:t>
            </w:r>
          </w:p>
        </w:tc>
      </w:tr>
      <w:tr w:rsidR="00E43B18" w:rsidRPr="00F72633" w14:paraId="09309C33" w14:textId="77777777" w:rsidTr="00DD1FF6">
        <w:tc>
          <w:tcPr>
            <w:tcW w:w="1985" w:type="dxa"/>
            <w:tcBorders>
              <w:top w:val="nil"/>
              <w:left w:val="nil"/>
              <w:bottom w:val="nil"/>
              <w:right w:val="nil"/>
            </w:tcBorders>
            <w:shd w:val="clear" w:color="auto" w:fill="auto"/>
            <w:noWrap/>
            <w:tcMar>
              <w:top w:w="28" w:type="dxa"/>
              <w:bottom w:w="28" w:type="dxa"/>
            </w:tcMar>
          </w:tcPr>
          <w:p w14:paraId="3592B1BF" w14:textId="70C22A41" w:rsidR="00E43B18" w:rsidRPr="00F72633" w:rsidRDefault="00E43B18" w:rsidP="00FC06EA">
            <w:pPr>
              <w:spacing w:after="20"/>
              <w:jc w:val="left"/>
              <w:rPr>
                <w:rFonts w:ascii="Arial Narrow" w:hAnsi="Arial Narrow"/>
                <w:color w:val="000000"/>
                <w:sz w:val="18"/>
                <w:szCs w:val="18"/>
                <w:lang w:val="es-419"/>
              </w:rPr>
            </w:pPr>
            <w:r w:rsidRPr="00F72633">
              <w:rPr>
                <w:rFonts w:ascii="Arial Narrow" w:hAnsi="Arial Narrow"/>
                <w:color w:val="000000"/>
                <w:sz w:val="18"/>
                <w:lang w:val="es-419"/>
              </w:rPr>
              <w:t>T</w:t>
            </w:r>
            <w:r w:rsidR="00FC06EA" w:rsidRPr="00F72633">
              <w:rPr>
                <w:rFonts w:ascii="Arial Narrow" w:hAnsi="Arial Narrow"/>
                <w:color w:val="000000"/>
                <w:sz w:val="18"/>
                <w:lang w:val="es-419"/>
              </w:rPr>
              <w:t>HASTA</w:t>
            </w:r>
          </w:p>
        </w:tc>
        <w:tc>
          <w:tcPr>
            <w:tcW w:w="7938" w:type="dxa"/>
            <w:tcBorders>
              <w:top w:val="nil"/>
              <w:left w:val="nil"/>
              <w:bottom w:val="nil"/>
              <w:right w:val="nil"/>
            </w:tcBorders>
            <w:shd w:val="clear" w:color="auto" w:fill="auto"/>
            <w:tcMar>
              <w:top w:w="28" w:type="dxa"/>
              <w:bottom w:w="28" w:type="dxa"/>
            </w:tcMar>
          </w:tcPr>
          <w:p w14:paraId="57B9AD0C" w14:textId="31035C33" w:rsidR="00E43B18" w:rsidRPr="00F72633" w:rsidRDefault="00FC06EA"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Asociación Tailandesa de Comercio de Semillas</w:t>
            </w:r>
          </w:p>
        </w:tc>
      </w:tr>
      <w:tr w:rsidR="00AB3CDB" w:rsidRPr="00F72633" w14:paraId="544967BD" w14:textId="77777777" w:rsidTr="00DD1FF6">
        <w:tc>
          <w:tcPr>
            <w:tcW w:w="1985" w:type="dxa"/>
            <w:tcBorders>
              <w:top w:val="nil"/>
              <w:left w:val="nil"/>
              <w:bottom w:val="nil"/>
              <w:right w:val="nil"/>
            </w:tcBorders>
            <w:shd w:val="clear" w:color="auto" w:fill="auto"/>
            <w:noWrap/>
            <w:tcMar>
              <w:top w:w="28" w:type="dxa"/>
              <w:bottom w:w="28" w:type="dxa"/>
            </w:tcMar>
          </w:tcPr>
          <w:p w14:paraId="7370B346" w14:textId="42B6E519"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UIT</w:t>
            </w:r>
          </w:p>
        </w:tc>
        <w:tc>
          <w:tcPr>
            <w:tcW w:w="7938" w:type="dxa"/>
            <w:tcBorders>
              <w:top w:val="nil"/>
              <w:left w:val="nil"/>
              <w:bottom w:val="nil"/>
              <w:right w:val="nil"/>
            </w:tcBorders>
            <w:shd w:val="clear" w:color="auto" w:fill="auto"/>
            <w:tcMar>
              <w:top w:w="28" w:type="dxa"/>
              <w:bottom w:w="28" w:type="dxa"/>
            </w:tcMar>
          </w:tcPr>
          <w:p w14:paraId="459A8768" w14:textId="171463EA" w:rsidR="00AB3CDB" w:rsidRPr="00F72633" w:rsidRDefault="00AB3CDB" w:rsidP="00DD1FF6">
            <w:pPr>
              <w:spacing w:after="20"/>
              <w:jc w:val="left"/>
              <w:rPr>
                <w:rFonts w:ascii="Arial Narrow" w:hAnsi="Arial Narrow"/>
                <w:color w:val="000000"/>
                <w:sz w:val="18"/>
                <w:lang w:val="es-419"/>
              </w:rPr>
            </w:pPr>
            <w:r w:rsidRPr="00F72633">
              <w:rPr>
                <w:rFonts w:ascii="Arial Narrow" w:hAnsi="Arial Narrow"/>
                <w:color w:val="000000"/>
                <w:sz w:val="18"/>
                <w:lang w:val="es-419"/>
              </w:rPr>
              <w:t>Unión Internacional de Telecomunicaciones</w:t>
            </w:r>
          </w:p>
        </w:tc>
      </w:tr>
      <w:tr w:rsidR="00E43B18" w:rsidRPr="00F72633" w14:paraId="3959241A" w14:textId="77777777" w:rsidTr="00DD1FF6">
        <w:tc>
          <w:tcPr>
            <w:tcW w:w="1985" w:type="dxa"/>
            <w:tcBorders>
              <w:top w:val="nil"/>
              <w:left w:val="nil"/>
              <w:bottom w:val="nil"/>
              <w:right w:val="nil"/>
            </w:tcBorders>
            <w:shd w:val="clear" w:color="auto" w:fill="auto"/>
            <w:noWrap/>
            <w:tcMar>
              <w:top w:w="28" w:type="dxa"/>
              <w:bottom w:w="28" w:type="dxa"/>
            </w:tcMar>
            <w:hideMark/>
          </w:tcPr>
          <w:p w14:paraId="2CB11EB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UNIGE</w:t>
            </w:r>
          </w:p>
        </w:tc>
        <w:tc>
          <w:tcPr>
            <w:tcW w:w="7938" w:type="dxa"/>
            <w:tcBorders>
              <w:top w:val="nil"/>
              <w:left w:val="nil"/>
              <w:bottom w:val="nil"/>
              <w:right w:val="nil"/>
            </w:tcBorders>
            <w:shd w:val="clear" w:color="auto" w:fill="auto"/>
            <w:noWrap/>
            <w:tcMar>
              <w:top w:w="28" w:type="dxa"/>
              <w:bottom w:w="28" w:type="dxa"/>
            </w:tcMar>
            <w:hideMark/>
          </w:tcPr>
          <w:p w14:paraId="21F46F2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Universidad de Ginebra</w:t>
            </w:r>
          </w:p>
        </w:tc>
      </w:tr>
      <w:tr w:rsidR="00E43B18" w:rsidRPr="00F72633" w14:paraId="5243A58A" w14:textId="77777777" w:rsidTr="00DD1FF6">
        <w:tc>
          <w:tcPr>
            <w:tcW w:w="1985" w:type="dxa"/>
            <w:tcBorders>
              <w:top w:val="nil"/>
              <w:left w:val="nil"/>
              <w:bottom w:val="nil"/>
              <w:right w:val="nil"/>
            </w:tcBorders>
            <w:shd w:val="clear" w:color="auto" w:fill="auto"/>
            <w:noWrap/>
            <w:tcMar>
              <w:top w:w="28" w:type="dxa"/>
              <w:bottom w:w="28" w:type="dxa"/>
            </w:tcMar>
            <w:hideMark/>
          </w:tcPr>
          <w:p w14:paraId="53025577"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USDA</w:t>
            </w:r>
          </w:p>
        </w:tc>
        <w:tc>
          <w:tcPr>
            <w:tcW w:w="7938" w:type="dxa"/>
            <w:tcBorders>
              <w:top w:val="nil"/>
              <w:left w:val="nil"/>
              <w:bottom w:val="nil"/>
              <w:right w:val="nil"/>
            </w:tcBorders>
            <w:shd w:val="clear" w:color="auto" w:fill="auto"/>
            <w:noWrap/>
            <w:tcMar>
              <w:top w:w="28" w:type="dxa"/>
              <w:bottom w:w="28" w:type="dxa"/>
            </w:tcMar>
            <w:hideMark/>
          </w:tcPr>
          <w:p w14:paraId="1B958608"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Departamento de Agricultura de los Estados Unidos de América</w:t>
            </w:r>
          </w:p>
        </w:tc>
      </w:tr>
      <w:tr w:rsidR="00E43B18" w:rsidRPr="00F72633" w14:paraId="15756FF3" w14:textId="77777777" w:rsidTr="00DD1FF6">
        <w:tc>
          <w:tcPr>
            <w:tcW w:w="1985" w:type="dxa"/>
            <w:tcBorders>
              <w:top w:val="nil"/>
              <w:left w:val="nil"/>
              <w:bottom w:val="nil"/>
              <w:right w:val="nil"/>
            </w:tcBorders>
            <w:shd w:val="clear" w:color="auto" w:fill="auto"/>
            <w:noWrap/>
            <w:tcMar>
              <w:top w:w="28" w:type="dxa"/>
              <w:bottom w:w="28" w:type="dxa"/>
            </w:tcMar>
            <w:hideMark/>
          </w:tcPr>
          <w:p w14:paraId="083287A9" w14:textId="77777777"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USPTO</w:t>
            </w:r>
          </w:p>
        </w:tc>
        <w:tc>
          <w:tcPr>
            <w:tcW w:w="7938" w:type="dxa"/>
            <w:tcBorders>
              <w:top w:val="nil"/>
              <w:left w:val="nil"/>
              <w:bottom w:val="nil"/>
              <w:right w:val="nil"/>
            </w:tcBorders>
            <w:shd w:val="clear" w:color="auto" w:fill="auto"/>
            <w:noWrap/>
            <w:tcMar>
              <w:top w:w="28" w:type="dxa"/>
              <w:bottom w:w="28" w:type="dxa"/>
            </w:tcMar>
            <w:hideMark/>
          </w:tcPr>
          <w:p w14:paraId="158B20C9" w14:textId="153F6734" w:rsidR="00E43B18" w:rsidRPr="00F72633" w:rsidRDefault="00E43B18" w:rsidP="00DD1FF6">
            <w:pPr>
              <w:spacing w:after="20"/>
              <w:jc w:val="left"/>
              <w:rPr>
                <w:rFonts w:ascii="Arial Narrow" w:hAnsi="Arial Narrow"/>
                <w:color w:val="000000"/>
                <w:sz w:val="18"/>
                <w:szCs w:val="18"/>
                <w:lang w:val="es-419"/>
              </w:rPr>
            </w:pPr>
            <w:r w:rsidRPr="00F72633">
              <w:rPr>
                <w:rFonts w:ascii="Arial Narrow" w:hAnsi="Arial Narrow"/>
                <w:color w:val="000000"/>
                <w:sz w:val="18"/>
                <w:lang w:val="es-419"/>
              </w:rPr>
              <w:t>Oficina de Patentes y Marcas de los Estados Unidos</w:t>
            </w:r>
            <w:r w:rsidR="007F64FF" w:rsidRPr="00F72633">
              <w:rPr>
                <w:rFonts w:ascii="Arial Narrow" w:hAnsi="Arial Narrow"/>
                <w:color w:val="000000"/>
                <w:sz w:val="18"/>
                <w:lang w:val="es-419"/>
              </w:rPr>
              <w:t xml:space="preserve"> de América</w:t>
            </w:r>
          </w:p>
        </w:tc>
      </w:tr>
    </w:tbl>
    <w:p w14:paraId="1FBF07A3" w14:textId="77777777" w:rsidR="003E3C19" w:rsidRPr="00F72633" w:rsidRDefault="003E3C19" w:rsidP="003E3C19">
      <w:pPr>
        <w:rPr>
          <w:lang w:val="es-419"/>
        </w:rPr>
      </w:pPr>
    </w:p>
    <w:p w14:paraId="7E94ABFD" w14:textId="77777777" w:rsidR="00903264" w:rsidRPr="00F72633" w:rsidRDefault="00903264">
      <w:pPr>
        <w:jc w:val="left"/>
        <w:rPr>
          <w:lang w:val="es-419"/>
        </w:rPr>
      </w:pPr>
    </w:p>
    <w:p w14:paraId="2896F675" w14:textId="77777777" w:rsidR="00050E16" w:rsidRPr="00F72633" w:rsidRDefault="00050E16" w:rsidP="009B440E">
      <w:pPr>
        <w:jc w:val="left"/>
        <w:rPr>
          <w:lang w:val="es-419"/>
        </w:rPr>
      </w:pPr>
    </w:p>
    <w:sectPr w:rsidR="00050E16" w:rsidRPr="00F72633" w:rsidSect="007E06E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49F5C" w14:textId="77777777" w:rsidR="000D20D3" w:rsidRDefault="000D20D3" w:rsidP="0071419F">
      <w:pPr>
        <w:spacing w:after="120"/>
      </w:pPr>
      <w:r>
        <w:separator/>
      </w:r>
    </w:p>
  </w:endnote>
  <w:endnote w:type="continuationSeparator" w:id="0">
    <w:p w14:paraId="3F414672" w14:textId="77777777" w:rsidR="000D20D3" w:rsidRDefault="000D20D3" w:rsidP="006655D3">
      <w:r>
        <w:separator/>
      </w:r>
    </w:p>
    <w:p w14:paraId="4638675E" w14:textId="77777777" w:rsidR="000D20D3" w:rsidRPr="00294751" w:rsidRDefault="000D20D3">
      <w:pPr>
        <w:pStyle w:val="Footer"/>
        <w:spacing w:after="60"/>
        <w:rPr>
          <w:sz w:val="18"/>
          <w:lang w:val="fr-FR"/>
        </w:rPr>
      </w:pPr>
      <w:r w:rsidRPr="00294751">
        <w:rPr>
          <w:sz w:val="18"/>
          <w:lang w:val="fr-FR"/>
        </w:rPr>
        <w:t>[Suite de la note de la page précédente]</w:t>
      </w:r>
    </w:p>
    <w:p w14:paraId="7CE266D3" w14:textId="77777777" w:rsidR="000D20D3" w:rsidRPr="00294751" w:rsidRDefault="000D20D3" w:rsidP="006655D3">
      <w:pPr>
        <w:rPr>
          <w:lang w:val="fr-FR"/>
        </w:rPr>
      </w:pPr>
    </w:p>
    <w:p w14:paraId="148F9927" w14:textId="77777777" w:rsidR="000D20D3" w:rsidRPr="00294751" w:rsidRDefault="000D20D3" w:rsidP="006655D3">
      <w:pPr>
        <w:rPr>
          <w:lang w:val="fr-FR"/>
        </w:rPr>
      </w:pPr>
    </w:p>
  </w:endnote>
  <w:endnote w:type="continuationNotice" w:id="1">
    <w:p w14:paraId="014F2A95" w14:textId="77777777" w:rsidR="000D20D3" w:rsidRPr="00294751" w:rsidRDefault="000D20D3" w:rsidP="006655D3">
      <w:pPr>
        <w:rPr>
          <w:lang w:val="fr-FR"/>
        </w:rPr>
      </w:pPr>
      <w:r w:rsidRPr="00294751">
        <w:rPr>
          <w:lang w:val="fr-FR"/>
        </w:rPr>
        <w:t>[Suite de la note page suivante]</w:t>
      </w:r>
    </w:p>
    <w:p w14:paraId="55214E8D" w14:textId="77777777" w:rsidR="000D20D3" w:rsidRPr="00294751" w:rsidRDefault="000D20D3" w:rsidP="006655D3">
      <w:pPr>
        <w:rPr>
          <w:lang w:val="fr-FR"/>
        </w:rPr>
      </w:pPr>
    </w:p>
    <w:p w14:paraId="79CF4871" w14:textId="77777777" w:rsidR="000D20D3" w:rsidRPr="00294751" w:rsidRDefault="000D20D3" w:rsidP="006655D3">
      <w:pPr>
        <w:rPr>
          <w:lang w:val="fr-FR"/>
        </w:rPr>
      </w:pPr>
    </w:p>
  </w:endnote>
  <w:endnote w:id="2">
    <w:p w14:paraId="422B88A7" w14:textId="48AE81AF" w:rsidR="000D20D3" w:rsidRPr="00155D39" w:rsidRDefault="000D20D3" w:rsidP="00626178">
      <w:pPr>
        <w:tabs>
          <w:tab w:val="left" w:pos="284"/>
        </w:tabs>
        <w:spacing w:before="60"/>
        <w:rPr>
          <w:sz w:val="16"/>
          <w:lang w:val="es-ES_tradnl"/>
        </w:rPr>
      </w:pPr>
      <w:r w:rsidRPr="00155D39">
        <w:rPr>
          <w:rStyle w:val="EndnoteReference"/>
          <w:lang w:val="es-ES_tradnl"/>
        </w:rPr>
        <w:endnoteRef/>
      </w:r>
      <w:r w:rsidRPr="00155D39">
        <w:rPr>
          <w:lang w:val="es-ES_tradnl"/>
        </w:rPr>
        <w:tab/>
      </w:r>
      <w:r w:rsidRPr="00155D39">
        <w:rPr>
          <w:sz w:val="16"/>
          <w:lang w:val="es-ES_tradnl"/>
        </w:rPr>
        <w:t xml:space="preserve">Definiciones sobre estadísticas del sitio </w:t>
      </w:r>
      <w:r>
        <w:rPr>
          <w:sz w:val="16"/>
          <w:lang w:val="es-ES_tradnl"/>
        </w:rPr>
        <w:t>web utilizadas en este informe:</w:t>
      </w:r>
    </w:p>
    <w:p w14:paraId="1B2647FC" w14:textId="13643FD8" w:rsidR="000D20D3" w:rsidRPr="00155D39" w:rsidRDefault="000D20D3" w:rsidP="00626178">
      <w:pPr>
        <w:spacing w:before="60"/>
        <w:ind w:left="426" w:hanging="142"/>
        <w:rPr>
          <w:sz w:val="16"/>
          <w:lang w:val="es-ES_tradnl"/>
        </w:rPr>
      </w:pPr>
      <w:r w:rsidRPr="00155D39">
        <w:rPr>
          <w:sz w:val="16"/>
          <w:lang w:val="es-ES_tradnl"/>
        </w:rPr>
        <w:t>- “Usuarios” son los individuos que se han conectado al menos una vez en el intervalo de fechas señalado.</w:t>
      </w:r>
    </w:p>
    <w:p w14:paraId="26A455CE" w14:textId="77777777" w:rsidR="000D20D3" w:rsidRPr="00155D39" w:rsidRDefault="000D20D3" w:rsidP="00626178">
      <w:pPr>
        <w:spacing w:before="60"/>
        <w:ind w:left="426" w:hanging="142"/>
        <w:rPr>
          <w:sz w:val="16"/>
          <w:szCs w:val="16"/>
          <w:lang w:val="es-ES_tradnl"/>
        </w:rPr>
      </w:pPr>
      <w:r w:rsidRPr="00155D39">
        <w:rPr>
          <w:sz w:val="16"/>
          <w:lang w:val="es-ES_tradnl"/>
        </w:rPr>
        <w:t>- Una “sesión” es un conjunto de interacciones de los usuarios con un sitio web que se producen en un intervalo de tiempo determinado. Por ejemplo, una sola sesión puede incluir varias visualizaciones de páginas, eventos, interacciones sociales y transacciones de comercio electrónico. Un solo usuario puede iniciar numerosas sesiones. Esas sesiones pueden tener lugar un mismo día o a lo largo de varios días, semanas o meses. En cuanto finaliza una sesión, se puede iniciar otra. Una sesión puede finalizar por dos motivos:</w:t>
      </w:r>
    </w:p>
    <w:p w14:paraId="097C8FB7" w14:textId="0B78E9FA" w:rsidR="000D20D3" w:rsidRPr="00155D39" w:rsidRDefault="000D20D3" w:rsidP="00626178">
      <w:pPr>
        <w:tabs>
          <w:tab w:val="left" w:pos="270"/>
        </w:tabs>
        <w:spacing w:before="60"/>
        <w:ind w:left="696" w:hanging="270"/>
        <w:rPr>
          <w:sz w:val="16"/>
          <w:szCs w:val="16"/>
          <w:lang w:val="es-ES_tradnl"/>
        </w:rPr>
      </w:pPr>
      <w:r>
        <w:rPr>
          <w:sz w:val="16"/>
          <w:lang w:val="es-ES_tradnl"/>
        </w:rPr>
        <w:t>•</w:t>
      </w:r>
      <w:r>
        <w:rPr>
          <w:sz w:val="16"/>
          <w:lang w:val="es-ES_tradnl"/>
        </w:rPr>
        <w:tab/>
        <w:t>caducidad por tiempo:</w:t>
      </w:r>
    </w:p>
    <w:p w14:paraId="0AA204B9" w14:textId="77777777" w:rsidR="000D20D3" w:rsidRPr="00155D39" w:rsidRDefault="000D20D3" w:rsidP="00626178">
      <w:pPr>
        <w:pStyle w:val="ListParagraph"/>
        <w:numPr>
          <w:ilvl w:val="0"/>
          <w:numId w:val="2"/>
        </w:numPr>
        <w:spacing w:before="60"/>
        <w:ind w:left="865" w:hanging="142"/>
        <w:contextualSpacing/>
        <w:rPr>
          <w:sz w:val="16"/>
          <w:szCs w:val="16"/>
          <w:lang w:val="es-ES_tradnl"/>
        </w:rPr>
      </w:pPr>
      <w:r w:rsidRPr="00155D39">
        <w:rPr>
          <w:sz w:val="16"/>
          <w:lang w:val="es-ES_tradnl"/>
        </w:rPr>
        <w:t>después de 30 minutos de inactividad</w:t>
      </w:r>
    </w:p>
    <w:p w14:paraId="049BEB40" w14:textId="77777777" w:rsidR="000D20D3" w:rsidRPr="00155D39" w:rsidRDefault="000D20D3" w:rsidP="00626178">
      <w:pPr>
        <w:pStyle w:val="ListParagraph"/>
        <w:numPr>
          <w:ilvl w:val="0"/>
          <w:numId w:val="2"/>
        </w:numPr>
        <w:spacing w:before="60"/>
        <w:ind w:left="865" w:hanging="142"/>
        <w:contextualSpacing/>
        <w:rPr>
          <w:sz w:val="16"/>
          <w:szCs w:val="16"/>
          <w:lang w:val="es-ES_tradnl"/>
        </w:rPr>
      </w:pPr>
      <w:r w:rsidRPr="00155D39">
        <w:rPr>
          <w:sz w:val="16"/>
          <w:lang w:val="es-ES_tradnl"/>
        </w:rPr>
        <w:t>a medianoche</w:t>
      </w:r>
    </w:p>
    <w:p w14:paraId="6C9CB902" w14:textId="7D107F20" w:rsidR="000D20D3" w:rsidRPr="00155D39" w:rsidRDefault="000D20D3" w:rsidP="00626178">
      <w:pPr>
        <w:tabs>
          <w:tab w:val="left" w:pos="270"/>
        </w:tabs>
        <w:spacing w:before="60"/>
        <w:ind w:left="696" w:hanging="270"/>
        <w:rPr>
          <w:sz w:val="16"/>
          <w:szCs w:val="16"/>
          <w:lang w:val="es-ES_tradnl"/>
        </w:rPr>
      </w:pPr>
      <w:r w:rsidRPr="00155D39">
        <w:rPr>
          <w:sz w:val="16"/>
          <w:lang w:val="es-ES_tradnl"/>
        </w:rPr>
        <w:t>•</w:t>
      </w:r>
      <w:r w:rsidRPr="00155D39">
        <w:rPr>
          <w:sz w:val="16"/>
          <w:lang w:val="es-ES_tradnl"/>
        </w:rPr>
        <w:tab/>
        <w:t>cambio de campaña:</w:t>
      </w:r>
    </w:p>
    <w:p w14:paraId="53727BDC" w14:textId="77777777" w:rsidR="000D20D3" w:rsidRPr="00155D39" w:rsidRDefault="000D20D3" w:rsidP="00626178">
      <w:pPr>
        <w:pStyle w:val="ListParagraph"/>
        <w:numPr>
          <w:ilvl w:val="0"/>
          <w:numId w:val="2"/>
        </w:numPr>
        <w:spacing w:before="60"/>
        <w:ind w:left="865" w:hanging="142"/>
        <w:contextualSpacing/>
        <w:rPr>
          <w:sz w:val="16"/>
          <w:szCs w:val="16"/>
          <w:lang w:val="es-ES_tradnl"/>
        </w:rPr>
      </w:pPr>
      <w:r w:rsidRPr="00155D39">
        <w:rPr>
          <w:sz w:val="16"/>
          <w:lang w:val="es-ES_tradnl"/>
        </w:rPr>
        <w:t xml:space="preserve"> si un usuario accede a través de una campaña, sale y luego vuelve a acceder a través de una campaña distinta.</w:t>
      </w:r>
    </w:p>
    <w:p w14:paraId="6A0683C1" w14:textId="1A3520BA" w:rsidR="000D20D3" w:rsidRPr="00155D39" w:rsidRDefault="000D20D3" w:rsidP="00626178">
      <w:pPr>
        <w:spacing w:before="60"/>
        <w:ind w:left="426" w:hanging="142"/>
        <w:rPr>
          <w:sz w:val="16"/>
          <w:lang w:val="es-ES_tradnl"/>
        </w:rPr>
      </w:pPr>
      <w:r w:rsidRPr="00155D39">
        <w:rPr>
          <w:sz w:val="16"/>
          <w:lang w:val="es-ES_tradnl"/>
        </w:rPr>
        <w:t>- Las “páginas vistas únicas” son el número de visitas durante las cuales la página especificada se visualizó al menos en una ocasión.</w:t>
      </w:r>
    </w:p>
    <w:p w14:paraId="16F98557" w14:textId="15885227" w:rsidR="000D20D3" w:rsidRPr="00155D39" w:rsidRDefault="000D20D3" w:rsidP="00626178">
      <w:pPr>
        <w:spacing w:before="60"/>
        <w:ind w:left="426" w:hanging="142"/>
        <w:rPr>
          <w:sz w:val="16"/>
          <w:lang w:val="es-ES_tradnl"/>
        </w:rPr>
      </w:pPr>
      <w:r w:rsidRPr="00155D39">
        <w:rPr>
          <w:sz w:val="16"/>
          <w:lang w:val="es-ES_tradnl"/>
        </w:rPr>
        <w:t>- Las “páginas vistas” son el número total de veces que se visualizó una página. Se contabilizan las visitas repetidas que realiza un mismo usuario a una única página durante la misma sesión.</w:t>
      </w:r>
    </w:p>
    <w:p w14:paraId="60129EC0" w14:textId="7D7D289A" w:rsidR="000D20D3" w:rsidRPr="00155D39" w:rsidRDefault="000D20D3" w:rsidP="00B66435">
      <w:pPr>
        <w:spacing w:before="60"/>
        <w:ind w:left="426" w:hanging="142"/>
        <w:rPr>
          <w:sz w:val="16"/>
          <w:szCs w:val="16"/>
          <w:lang w:val="es-ES_tradnl"/>
        </w:rPr>
      </w:pPr>
      <w:r w:rsidRPr="00155D39">
        <w:rPr>
          <w:sz w:val="16"/>
          <w:lang w:val="es-ES_tradnl"/>
        </w:rPr>
        <w:t>- El “número de visitas” es el número de dispositivos empleados para consultar el sitio web en un mes (una persona puede emplear más de un dispositivo).</w:t>
      </w:r>
    </w:p>
    <w:p w14:paraId="4561072A" w14:textId="77777777" w:rsidR="000D20D3" w:rsidRPr="00155D39" w:rsidRDefault="000D20D3" w:rsidP="0071419F">
      <w:pPr>
        <w:rPr>
          <w:lang w:val="es-ES_tradnl"/>
        </w:rPr>
      </w:pPr>
    </w:p>
    <w:p w14:paraId="365CAC47" w14:textId="77777777" w:rsidR="000D20D3" w:rsidRPr="00155D39" w:rsidRDefault="000D20D3" w:rsidP="0071419F">
      <w:pPr>
        <w:rPr>
          <w:lang w:val="es-ES_tradnl"/>
        </w:rPr>
      </w:pPr>
    </w:p>
    <w:p w14:paraId="1C49E75A" w14:textId="77777777" w:rsidR="000D20D3" w:rsidRPr="00155D39" w:rsidRDefault="000D20D3" w:rsidP="0071419F">
      <w:pPr>
        <w:rPr>
          <w:lang w:val="es-ES_tradnl"/>
        </w:rPr>
      </w:pPr>
    </w:p>
    <w:p w14:paraId="5A3D2D14" w14:textId="6765E7A3" w:rsidR="000D20D3" w:rsidRPr="00155D39" w:rsidRDefault="000D20D3" w:rsidP="0071419F">
      <w:pPr>
        <w:jc w:val="right"/>
        <w:rPr>
          <w:lang w:val="es-ES_tradnl"/>
        </w:rPr>
      </w:pPr>
      <w:r w:rsidRPr="00155D39">
        <w:rPr>
          <w:lang w:val="es-ES_tradnl"/>
        </w:rPr>
        <w:t>[Fin del apéndice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273E" w14:textId="77777777" w:rsidR="000D20D3" w:rsidRDefault="000D20D3">
    <w:pPr>
      <w:pStyle w:val="Footer"/>
    </w:pPr>
    <w:r>
      <w:rPr>
        <w:noProof/>
        <w:lang w:eastAsia="en-US"/>
      </w:rPr>
      <mc:AlternateContent>
        <mc:Choice Requires="wps">
          <w:drawing>
            <wp:anchor distT="0" distB="0" distL="114300" distR="114300" simplePos="0" relativeHeight="252016653" behindDoc="0" locked="0" layoutInCell="0" allowOverlap="1" wp14:anchorId="4A42797E" wp14:editId="37A90D19">
              <wp:simplePos x="0" y="9403953"/>
              <wp:positionH relativeFrom="page">
                <wp:align>center</wp:align>
              </wp:positionH>
              <wp:positionV relativeFrom="page">
                <wp:align>bottom</wp:align>
              </wp:positionV>
              <wp:extent cx="7772400" cy="463550"/>
              <wp:effectExtent l="0" t="0" r="0" b="12700"/>
              <wp:wrapNone/>
              <wp:docPr id="4" name="MSIPCM6c884908ac9e53a4548b1f46" descr="{&quot;HashCode&quot;:-42432418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9D475" w14:textId="5AA95B2C" w:rsidR="000D20D3" w:rsidRPr="003330F6" w:rsidRDefault="000D20D3" w:rsidP="003330F6">
                          <w:pPr>
                            <w:jc w:val="center"/>
                            <w:rPr>
                              <w:rFonts w:ascii="Calibri" w:hAnsi="Calibri" w:cs="Calibri"/>
                              <w:color w:val="000000"/>
                            </w:rPr>
                          </w:pPr>
                          <w:r w:rsidRPr="003330F6">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4A42797E" id="_x0000_t202" coordsize="21600,21600" o:spt="202" path="m,l,21600r21600,l21600,xe">
              <v:stroke joinstyle="miter"/>
              <v:path gradientshapeok="t" o:connecttype="rect"/>
            </v:shapetype>
            <v:shape id="MSIPCM6c884908ac9e53a4548b1f46" o:spid="_x0000_s1027" type="#_x0000_t202" alt="{&quot;HashCode&quot;:-424324183,&quot;Height&quot;:9999999.0,&quot;Width&quot;:9999999.0,&quot;Placement&quot;:&quot;Footer&quot;,&quot;Index&quot;:&quot;Primary&quot;,&quot;Section&quot;:1,&quot;Top&quot;:0.0,&quot;Left&quot;:0.0}" style="position:absolute;left:0;text-align:left;margin-left:0;margin-top:0;width:612pt;height:36.5pt;z-index:2520166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" o:allowincell="f" filled="f" stroked="f" strokeweight=".5pt">
              <v:textbox inset=",0,,0">
                <w:txbxContent>
                  <w:p w14:paraId="3819D475" w14:textId="5AA95B2C" w:rsidR="000D20D3" w:rsidRPr="003330F6" w:rsidRDefault="000D20D3" w:rsidP="003330F6">
                    <w:pPr>
                      <w:jc w:val="center"/>
                      <w:rPr>
                        <w:rFonts w:ascii="Calibri" w:hAnsi="Calibri" w:cs="Calibri"/>
                        <w:color w:val="000000"/>
                      </w:rPr>
                    </w:pPr>
                    <w:r w:rsidRPr="003330F6">
                      <w:rPr>
                        <w:rFonts w:ascii="Calibri" w:hAnsi="Calibri" w:cs="Calibri"/>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5A6" w14:textId="10DEFCF9" w:rsidR="000D20D3" w:rsidRPr="000D20D3" w:rsidRDefault="000D20D3" w:rsidP="000D20D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EFAD" w14:textId="3BDB696E" w:rsidR="000D20D3" w:rsidRDefault="000D20D3" w:rsidP="00DD1FF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17BE" w14:textId="0815266F" w:rsidR="000D20D3" w:rsidRDefault="000D20D3">
    <w:pPr>
      <w:pStyle w:val="Footer"/>
    </w:pPr>
    <w:r>
      <w:rPr>
        <w:noProof/>
        <w:lang w:eastAsia="en-US"/>
      </w:rPr>
      <mc:AlternateContent>
        <mc:Choice Requires="wps">
          <w:drawing>
            <wp:anchor distT="0" distB="0" distL="114300" distR="114300" simplePos="0" relativeHeight="252015792" behindDoc="0" locked="0" layoutInCell="0" allowOverlap="1" wp14:anchorId="2E702F31" wp14:editId="5BD0D559">
              <wp:simplePos x="0" y="9403953"/>
              <wp:positionH relativeFrom="page">
                <wp:align>center</wp:align>
              </wp:positionH>
              <wp:positionV relativeFrom="page">
                <wp:align>bottom</wp:align>
              </wp:positionV>
              <wp:extent cx="7772400" cy="463550"/>
              <wp:effectExtent l="0" t="0" r="0" b="12700"/>
              <wp:wrapNone/>
              <wp:docPr id="22" name="MSIPCM9f3640a5b85653daf6e7c849" descr="{&quot;HashCode&quot;:-42432418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8ACC3" w14:textId="03285D9D" w:rsidR="000D20D3" w:rsidRPr="00F72633" w:rsidRDefault="000D20D3" w:rsidP="00F72633">
                          <w:pPr>
                            <w:jc w:val="center"/>
                            <w:rPr>
                              <w:rFonts w:ascii="Calibri" w:hAnsi="Calibri" w:cs="Calibri"/>
                              <w:color w:val="000000"/>
                            </w:rPr>
                          </w:pPr>
                          <w:r w:rsidRPr="00F72633">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2E702F31" id="_x0000_t202" coordsize="21600,21600" o:spt="202" path="m,l,21600r21600,l21600,xe">
              <v:stroke joinstyle="miter"/>
              <v:path gradientshapeok="t" o:connecttype="rect"/>
            </v:shapetype>
            <v:shape id="MSIPCM9f3640a5b85653daf6e7c849" o:spid="_x0000_s1028" type="#_x0000_t202" alt="{&quot;HashCode&quot;:-424324183,&quot;Height&quot;:9999999.0,&quot;Width&quot;:9999999.0,&quot;Placement&quot;:&quot;Footer&quot;,&quot;Index&quot;:&quot;Primary&quot;,&quot;Section&quot;:5,&quot;Top&quot;:0.0,&quot;Left&quot;:0.0}" style="position:absolute;left:0;text-align:left;margin-left:0;margin-top:0;width:612pt;height:36.5pt;z-index:2520157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Mx+wKHAMAAEgGAAAOAAAAAAAAAAAAAAAA&#10;AC4CAABkcnMvZTJvRG9jLnhtbFBLAQItABQABgAIAAAAIQC+Hwq32gAAAAUBAAAPAAAAAAAAAAAA&#10;AAAAAHYFAABkcnMvZG93bnJldi54bWxQSwUGAAAAAAQABADzAAAAfQYAAAAA&#10;" o:allowincell="f" filled="f" stroked="f" strokeweight=".5pt">
              <v:textbox inset=",0,,0">
                <w:txbxContent>
                  <w:p w14:paraId="3638ACC3" w14:textId="03285D9D" w:rsidR="000D20D3" w:rsidRPr="00F72633" w:rsidRDefault="000D20D3" w:rsidP="00F72633">
                    <w:pPr>
                      <w:jc w:val="center"/>
                      <w:rPr>
                        <w:rFonts w:ascii="Calibri" w:hAnsi="Calibri" w:cs="Calibri"/>
                        <w:color w:val="000000"/>
                      </w:rPr>
                    </w:pPr>
                    <w:r w:rsidRPr="00F72633">
                      <w:rPr>
                        <w:rFonts w:ascii="Calibri" w:hAnsi="Calibri" w:cs="Calibri"/>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5FBB6" w14:textId="02E8A618" w:rsidR="000D20D3" w:rsidRPr="000D20D3" w:rsidRDefault="000D20D3" w:rsidP="000D20D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5CEE" w14:textId="4EB0BAB0" w:rsidR="000D20D3" w:rsidRDefault="000D20D3" w:rsidP="00DD1FF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08DC6" w14:textId="639B2A13" w:rsidR="000D20D3" w:rsidRDefault="000D20D3">
    <w:pPr>
      <w:pStyle w:val="Footer"/>
    </w:pPr>
    <w:r>
      <w:rPr>
        <w:noProof/>
        <w:lang w:eastAsia="en-US"/>
      </w:rPr>
      <mc:AlternateContent>
        <mc:Choice Requires="wps">
          <w:drawing>
            <wp:anchor distT="0" distB="0" distL="114300" distR="114300" simplePos="0" relativeHeight="252015394" behindDoc="0" locked="0" layoutInCell="0" allowOverlap="1" wp14:anchorId="52AA127D" wp14:editId="2F7694F3">
              <wp:simplePos x="0" y="9403953"/>
              <wp:positionH relativeFrom="page">
                <wp:align>center</wp:align>
              </wp:positionH>
              <wp:positionV relativeFrom="page">
                <wp:align>bottom</wp:align>
              </wp:positionV>
              <wp:extent cx="7772400" cy="463550"/>
              <wp:effectExtent l="0" t="0" r="0" b="12700"/>
              <wp:wrapNone/>
              <wp:docPr id="26" name="MSIPCM764f46d8847b20440b1fb173" descr="{&quot;HashCode&quot;:2082126947,&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A0E35" w14:textId="1D79A151"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52AA127D" id="_x0000_t202" coordsize="21600,21600" o:spt="202" path="m,l,21600r21600,l21600,xe">
              <v:stroke joinstyle="miter"/>
              <v:path gradientshapeok="t" o:connecttype="rect"/>
            </v:shapetype>
            <v:shape id="MSIPCM764f46d8847b20440b1fb173" o:spid="_x0000_s1029" type="#_x0000_t202" alt="{&quot;HashCode&quot;:2082126947,&quot;Height&quot;:9999999.0,&quot;Width&quot;:9999999.0,&quot;Placement&quot;:&quot;Footer&quot;,&quot;Index&quot;:&quot;Primary&quot;,&quot;Section&quot;:6,&quot;Top&quot;:0.0,&quot;Left&quot;:0.0}" style="position:absolute;left:0;text-align:left;margin-left:0;margin-top:0;width:612pt;height:36.5pt;z-index:25201539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BbB/hkbAwAASQYAAA4AAAAAAAAAAAAAAAAA&#10;LgIAAGRycy9lMm9Eb2MueG1sUEsBAi0AFAAGAAgAAAAhAL4fCrfaAAAABQEAAA8AAAAAAAAAAAAA&#10;AAAAdQUAAGRycy9kb3ducmV2LnhtbFBLBQYAAAAABAAEAPMAAAB8BgAAAAA=&#10;" o:allowincell="f" filled="f" stroked="f" strokeweight=".5pt">
              <v:textbox inset=",0,,0">
                <w:txbxContent>
                  <w:p w14:paraId="051A0E35" w14:textId="1D79A151"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857AE" w14:textId="0F26EFD7" w:rsidR="000D20D3" w:rsidRDefault="000D20D3">
    <w:pPr>
      <w:pStyle w:val="Footer"/>
    </w:pPr>
    <w:r>
      <w:rPr>
        <w:noProof/>
        <w:lang w:eastAsia="en-US"/>
      </w:rPr>
      <mc:AlternateContent>
        <mc:Choice Requires="wps">
          <w:drawing>
            <wp:anchor distT="0" distB="0" distL="114300" distR="114300" simplePos="0" relativeHeight="252016765" behindDoc="0" locked="0" layoutInCell="0" allowOverlap="1" wp14:anchorId="63CBBECE" wp14:editId="46674A19">
              <wp:simplePos x="0" y="9403953"/>
              <wp:positionH relativeFrom="page">
                <wp:align>center</wp:align>
              </wp:positionH>
              <wp:positionV relativeFrom="page">
                <wp:align>bottom</wp:align>
              </wp:positionV>
              <wp:extent cx="7772400" cy="463550"/>
              <wp:effectExtent l="0" t="0" r="0" b="12700"/>
              <wp:wrapNone/>
              <wp:docPr id="33" name="MSIPCMc7ce413f959f76c34d4e13cc" descr="{&quot;HashCode&quot;:2082126947,&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F79CB" w14:textId="606EBA32"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63CBBECE" id="_x0000_t202" coordsize="21600,21600" o:spt="202" path="m,l,21600r21600,l21600,xe">
              <v:stroke joinstyle="miter"/>
              <v:path gradientshapeok="t" o:connecttype="rect"/>
            </v:shapetype>
            <v:shape id="MSIPCMc7ce413f959f76c34d4e13cc" o:spid="_x0000_s1030" type="#_x0000_t202" alt="{&quot;HashCode&quot;:2082126947,&quot;Height&quot;:9999999.0,&quot;Width&quot;:9999999.0,&quot;Placement&quot;:&quot;Footer&quot;,&quot;Index&quot;:&quot;FirstPage&quot;,&quot;Section&quot;:6,&quot;Top&quot;:0.0,&quot;Left&quot;:0.0}" style="position:absolute;left:0;text-align:left;margin-left:0;margin-top:0;width:612pt;height:36.5pt;z-index:25201676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" o:allowincell="f" filled="f" stroked="f" strokeweight=".5pt">
              <v:textbox inset=",0,,0">
                <w:txbxContent>
                  <w:p w14:paraId="3ECF79CB" w14:textId="606EBA32"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3D1D" w14:textId="77777777" w:rsidR="000D20D3" w:rsidRDefault="000D20D3" w:rsidP="00B904E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7773" w14:textId="77777777" w:rsidR="000D20D3" w:rsidRDefault="000D20D3">
    <w:pPr>
      <w:pStyle w:val="Footer"/>
    </w:pPr>
    <w:r>
      <w:rPr>
        <w:noProof/>
        <w:lang w:eastAsia="en-US"/>
      </w:rPr>
      <mc:AlternateContent>
        <mc:Choice Requires="wps">
          <w:drawing>
            <wp:anchor distT="0" distB="0" distL="114300" distR="114300" simplePos="0" relativeHeight="252005968" behindDoc="0" locked="0" layoutInCell="0" allowOverlap="1" wp14:anchorId="125AF145" wp14:editId="4F58B15E">
              <wp:simplePos x="0" y="9403953"/>
              <wp:positionH relativeFrom="page">
                <wp:align>center</wp:align>
              </wp:positionH>
              <wp:positionV relativeFrom="page">
                <wp:align>bottom</wp:align>
              </wp:positionV>
              <wp:extent cx="7772400" cy="463550"/>
              <wp:effectExtent l="0" t="0" r="0" b="12700"/>
              <wp:wrapNone/>
              <wp:docPr id="31" name="MSIPCM9e15492aa31408f9a4717404" descr="{&quot;HashCode&quot;:2082126947,&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B8EE5" w14:textId="0E3CCAC9"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125AF145" id="_x0000_t202" coordsize="21600,21600" o:spt="202" path="m,l,21600r21600,l21600,xe">
              <v:stroke joinstyle="miter"/>
              <v:path gradientshapeok="t" o:connecttype="rect"/>
            </v:shapetype>
            <v:shape id="MSIPCM9e15492aa31408f9a4717404" o:spid="_x0000_s1031" type="#_x0000_t202" alt="{&quot;HashCode&quot;:2082126947,&quot;Height&quot;:9999999.0,&quot;Width&quot;:9999999.0,&quot;Placement&quot;:&quot;Footer&quot;,&quot;Index&quot;:&quot;Primary&quot;,&quot;Section&quot;:7,&quot;Top&quot;:0.0,&quot;Left&quot;:0.0}" style="position:absolute;left:0;text-align:left;margin-left:0;margin-top:0;width:612pt;height:36.5pt;z-index:2520059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CUuHqgbAwAASQYAAA4AAAAAAAAAAAAAAAAA&#10;LgIAAGRycy9lMm9Eb2MueG1sUEsBAi0AFAAGAAgAAAAhAL4fCrfaAAAABQEAAA8AAAAAAAAAAAAA&#10;AAAAdQUAAGRycy9kb3ducmV2LnhtbFBLBQYAAAAABAAEAPMAAAB8BgAAAAA=&#10;" o:allowincell="f" filled="f" stroked="f" strokeweight=".5pt">
              <v:textbox inset=",0,,0">
                <w:txbxContent>
                  <w:p w14:paraId="47BB8EE5" w14:textId="0E3CCAC9"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0BD8" w14:textId="77777777" w:rsidR="000D20D3" w:rsidRDefault="000D20D3">
    <w:pPr>
      <w:pStyle w:val="Footer"/>
    </w:pPr>
    <w:r>
      <w:rPr>
        <w:noProof/>
        <w:lang w:eastAsia="en-US"/>
      </w:rPr>
      <mc:AlternateContent>
        <mc:Choice Requires="wps">
          <w:drawing>
            <wp:anchor distT="0" distB="0" distL="114300" distR="114300" simplePos="0" relativeHeight="252006158" behindDoc="0" locked="0" layoutInCell="0" allowOverlap="1" wp14:anchorId="393C8D95" wp14:editId="19FB0FF9">
              <wp:simplePos x="0" y="9403953"/>
              <wp:positionH relativeFrom="page">
                <wp:align>center</wp:align>
              </wp:positionH>
              <wp:positionV relativeFrom="page">
                <wp:align>bottom</wp:align>
              </wp:positionV>
              <wp:extent cx="7772400" cy="463550"/>
              <wp:effectExtent l="0" t="0" r="0" b="12700"/>
              <wp:wrapNone/>
              <wp:docPr id="34" name="MSIPCMf4ae45a9aeaf892b5e7302dd" descr="{&quot;HashCode&quot;:2082126947,&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061F3" w14:textId="73F153AF"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393C8D95" id="_x0000_t202" coordsize="21600,21600" o:spt="202" path="m,l,21600r21600,l21600,xe">
              <v:stroke joinstyle="miter"/>
              <v:path gradientshapeok="t" o:connecttype="rect"/>
            </v:shapetype>
            <v:shape id="MSIPCMf4ae45a9aeaf892b5e7302dd" o:spid="_x0000_s1032" type="#_x0000_t202" alt="{&quot;HashCode&quot;:2082126947,&quot;Height&quot;:9999999.0,&quot;Width&quot;:9999999.0,&quot;Placement&quot;:&quot;Footer&quot;,&quot;Index&quot;:&quot;FirstPage&quot;,&quot;Section&quot;:7,&quot;Top&quot;:0.0,&quot;Left&quot;:0.0}" style="position:absolute;left:0;text-align:left;margin-left:0;margin-top:0;width:612pt;height:36.5pt;z-index:2520061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IdZGb0bAwAASwYAAA4AAAAAAAAAAAAAAAAA&#10;LgIAAGRycy9lMm9Eb2MueG1sUEsBAi0AFAAGAAgAAAAhAL4fCrfaAAAABQEAAA8AAAAAAAAAAAAA&#10;AAAAdQUAAGRycy9kb3ducmV2LnhtbFBLBQYAAAAABAAEAPMAAAB8BgAAAAA=&#10;" o:allowincell="f" filled="f" stroked="f" strokeweight=".5pt">
              <v:textbox inset=",0,,0">
                <w:txbxContent>
                  <w:p w14:paraId="7D9061F3" w14:textId="73F153AF"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DDF2" w14:textId="77777777" w:rsidR="000D20D3" w:rsidRDefault="000D20D3" w:rsidP="00B904E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328F" w14:textId="77777777" w:rsidR="000D20D3" w:rsidRDefault="000D20D3" w:rsidP="00B904E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503" w14:textId="77777777" w:rsidR="000D20D3" w:rsidRDefault="000D20D3">
    <w:pPr>
      <w:pStyle w:val="Footer"/>
    </w:pPr>
    <w:r>
      <w:rPr>
        <w:noProof/>
        <w:lang w:eastAsia="en-US"/>
      </w:rPr>
      <mc:AlternateContent>
        <mc:Choice Requires="wps">
          <w:drawing>
            <wp:anchor distT="0" distB="0" distL="114300" distR="114300" simplePos="0" relativeHeight="252007889" behindDoc="0" locked="0" layoutInCell="0" allowOverlap="1" wp14:anchorId="0905B5DA" wp14:editId="04F160C0">
              <wp:simplePos x="0" y="9403953"/>
              <wp:positionH relativeFrom="page">
                <wp:align>center</wp:align>
              </wp:positionH>
              <wp:positionV relativeFrom="page">
                <wp:align>bottom</wp:align>
              </wp:positionV>
              <wp:extent cx="7772400" cy="463550"/>
              <wp:effectExtent l="0" t="0" r="0" b="12700"/>
              <wp:wrapNone/>
              <wp:docPr id="35" name="MSIPCM2dc64244b49587552c3229e9" descr="{&quot;HashCode&quot;:2082126947,&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15AF3" w14:textId="11F0C929"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0905B5DA" id="_x0000_t202" coordsize="21600,21600" o:spt="202" path="m,l,21600r21600,l21600,xe">
              <v:stroke joinstyle="miter"/>
              <v:path gradientshapeok="t" o:connecttype="rect"/>
            </v:shapetype>
            <v:shape id="MSIPCM2dc64244b49587552c3229e9" o:spid="_x0000_s1033" type="#_x0000_t202" alt="{&quot;HashCode&quot;:2082126947,&quot;Height&quot;:9999999.0,&quot;Width&quot;:9999999.0,&quot;Placement&quot;:&quot;Footer&quot;,&quot;Index&quot;:&quot;Primary&quot;,&quot;Section&quot;:8,&quot;Top&quot;:0.0,&quot;Left&quot;:0.0}" style="position:absolute;left:0;text-align:left;margin-left:0;margin-top:0;width:612pt;height:36.5pt;z-index:25200788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AKTkgwHAMAAEkGAAAOAAAAAAAAAAAAAAAA&#10;AC4CAABkcnMvZTJvRG9jLnhtbFBLAQItABQABgAIAAAAIQC+Hwq32gAAAAUBAAAPAAAAAAAAAAAA&#10;AAAAAHYFAABkcnMvZG93bnJldi54bWxQSwUGAAAAAAQABADzAAAAfQYAAAAA&#10;" o:allowincell="f" filled="f" stroked="f" strokeweight=".5pt">
              <v:textbox inset=",0,,0">
                <w:txbxContent>
                  <w:p w14:paraId="5E215AF3" w14:textId="11F0C929"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536B" w14:textId="77777777" w:rsidR="000D20D3" w:rsidRDefault="000D20D3">
    <w:pPr>
      <w:pStyle w:val="Footer"/>
    </w:pPr>
    <w:r>
      <w:rPr>
        <w:noProof/>
        <w:lang w:eastAsia="en-US"/>
      </w:rPr>
      <mc:AlternateContent>
        <mc:Choice Requires="wps">
          <w:drawing>
            <wp:anchor distT="0" distB="0" distL="114300" distR="114300" simplePos="0" relativeHeight="252008590" behindDoc="0" locked="0" layoutInCell="0" allowOverlap="1" wp14:anchorId="10413DAC" wp14:editId="4E13211A">
              <wp:simplePos x="0" y="9403953"/>
              <wp:positionH relativeFrom="page">
                <wp:align>center</wp:align>
              </wp:positionH>
              <wp:positionV relativeFrom="page">
                <wp:align>bottom</wp:align>
              </wp:positionV>
              <wp:extent cx="7772400" cy="463550"/>
              <wp:effectExtent l="0" t="0" r="0" b="12700"/>
              <wp:wrapNone/>
              <wp:docPr id="36" name="MSIPCM6d4546b8892343822aaaf057" descr="{&quot;HashCode&quot;:2082126947,&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B44F9" w14:textId="5A7F4978"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10413DAC" id="_x0000_t202" coordsize="21600,21600" o:spt="202" path="m,l,21600r21600,l21600,xe">
              <v:stroke joinstyle="miter"/>
              <v:path gradientshapeok="t" o:connecttype="rect"/>
            </v:shapetype>
            <v:shape id="MSIPCM6d4546b8892343822aaaf057" o:spid="_x0000_s1034" type="#_x0000_t202" alt="{&quot;HashCode&quot;:2082126947,&quot;Height&quot;:9999999.0,&quot;Width&quot;:9999999.0,&quot;Placement&quot;:&quot;Footer&quot;,&quot;Index&quot;:&quot;FirstPage&quot;,&quot;Section&quot;:8,&quot;Top&quot;:0.0,&quot;Left&quot;:0.0}" style="position:absolute;left:0;text-align:left;margin-left:0;margin-top:0;width:612pt;height:36.5pt;z-index:2520085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Cm2vJ0HAMAAEsGAAAOAAAAAAAAAAAAAAAA&#10;AC4CAABkcnMvZTJvRG9jLnhtbFBLAQItABQABgAIAAAAIQC+Hwq32gAAAAUBAAAPAAAAAAAAAAAA&#10;AAAAAHYFAABkcnMvZG93bnJldi54bWxQSwUGAAAAAAQABADzAAAAfQYAAAAA&#10;" o:allowincell="f" filled="f" stroked="f" strokeweight=".5pt">
              <v:textbox inset=",0,,0">
                <w:txbxContent>
                  <w:p w14:paraId="6C7B44F9" w14:textId="5A7F4978"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EDF4" w14:textId="77777777" w:rsidR="000D20D3" w:rsidRDefault="000D20D3" w:rsidP="00B904E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36C4" w14:textId="77777777" w:rsidR="000D20D3" w:rsidRDefault="000D20D3">
    <w:pPr>
      <w:pStyle w:val="Footer"/>
    </w:pPr>
    <w:r>
      <w:rPr>
        <w:noProof/>
        <w:lang w:eastAsia="en-US"/>
      </w:rPr>
      <mc:AlternateContent>
        <mc:Choice Requires="wps">
          <w:drawing>
            <wp:anchor distT="0" distB="0" distL="114300" distR="114300" simplePos="0" relativeHeight="252010931" behindDoc="0" locked="0" layoutInCell="0" allowOverlap="1" wp14:anchorId="213DA831" wp14:editId="6B34318E">
              <wp:simplePos x="0" y="9403953"/>
              <wp:positionH relativeFrom="page">
                <wp:align>center</wp:align>
              </wp:positionH>
              <wp:positionV relativeFrom="page">
                <wp:align>bottom</wp:align>
              </wp:positionV>
              <wp:extent cx="7772400" cy="463550"/>
              <wp:effectExtent l="0" t="0" r="0" b="12700"/>
              <wp:wrapNone/>
              <wp:docPr id="37" name="MSIPCMe0b44d609354665822ab0083" descr="{&quot;HashCode&quot;:2082126947,&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306DF" w14:textId="0D8D04C2"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213DA831" id="_x0000_t202" coordsize="21600,21600" o:spt="202" path="m,l,21600r21600,l21600,xe">
              <v:stroke joinstyle="miter"/>
              <v:path gradientshapeok="t" o:connecttype="rect"/>
            </v:shapetype>
            <v:shape id="MSIPCMe0b44d609354665822ab0083" o:spid="_x0000_s1035" type="#_x0000_t202" alt="{&quot;HashCode&quot;:2082126947,&quot;Height&quot;:9999999.0,&quot;Width&quot;:9999999.0,&quot;Placement&quot;:&quot;Footer&quot;,&quot;Index&quot;:&quot;Primary&quot;,&quot;Section&quot;:9,&quot;Top&quot;:0.0,&quot;Left&quot;:0.0}" style="position:absolute;left:0;text-align:left;margin-left:0;margin-top:0;width:612pt;height:36.5pt;z-index:2520109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B2S+1mHAMAAEkGAAAOAAAAAAAAAAAAAAAA&#10;AC4CAABkcnMvZTJvRG9jLnhtbFBLAQItABQABgAIAAAAIQC+Hwq32gAAAAUBAAAPAAAAAAAAAAAA&#10;AAAAAHYFAABkcnMvZG93bnJldi54bWxQSwUGAAAAAAQABADzAAAAfQYAAAAA&#10;" o:allowincell="f" filled="f" stroked="f" strokeweight=".5pt">
              <v:textbox inset=",0,,0">
                <w:txbxContent>
                  <w:p w14:paraId="0FA306DF" w14:textId="0D8D04C2"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B5357" w14:textId="2D30D523" w:rsidR="000D20D3" w:rsidRPr="000D20D3" w:rsidRDefault="000D20D3" w:rsidP="000D20D3">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2E496" w14:textId="77777777" w:rsidR="000D20D3" w:rsidRDefault="000D20D3" w:rsidP="00B904E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1FDD" w14:textId="43CB1DDE" w:rsidR="000D20D3" w:rsidRDefault="000D20D3">
    <w:pPr>
      <w:pStyle w:val="Footer"/>
    </w:pPr>
    <w:r>
      <w:rPr>
        <w:noProof/>
        <w:lang w:eastAsia="en-US"/>
      </w:rPr>
      <mc:AlternateContent>
        <mc:Choice Requires="wps">
          <w:drawing>
            <wp:anchor distT="0" distB="0" distL="114300" distR="114300" simplePos="0" relativeHeight="252010491" behindDoc="0" locked="0" layoutInCell="0" allowOverlap="1" wp14:anchorId="6245AB29" wp14:editId="5F0A9457">
              <wp:simplePos x="0" y="9403953"/>
              <wp:positionH relativeFrom="page">
                <wp:align>center</wp:align>
              </wp:positionH>
              <wp:positionV relativeFrom="page">
                <wp:align>bottom</wp:align>
              </wp:positionV>
              <wp:extent cx="7772400" cy="463550"/>
              <wp:effectExtent l="0" t="0" r="0" b="12700"/>
              <wp:wrapNone/>
              <wp:docPr id="40" name="MSIPCMc73142fb8ff7d2892145c0db" descr="{&quot;HashCode&quot;:2082126947,&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9E8477" w14:textId="4AA7BF40"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
          <w:pict>
            <v:shapetype w14:anchorId="6245AB29" id="_x0000_t202" coordsize="21600,21600" o:spt="202" path="m,l,21600r21600,l21600,xe">
              <v:stroke joinstyle="miter"/>
              <v:path gradientshapeok="t" o:connecttype="rect"/>
            </v:shapetype>
            <v:shape id="MSIPCMc73142fb8ff7d2892145c0db" o:spid="_x0000_s1036" type="#_x0000_t202" alt="{&quot;HashCode&quot;:2082126947,&quot;Height&quot;:9999999.0,&quot;Width&quot;:9999999.0,&quot;Placement&quot;:&quot;Footer&quot;,&quot;Index&quot;:&quot;Primary&quot;,&quot;Section&quot;:10,&quot;Top&quot;:0.0,&quot;Left&quot;:0.0}" style="position:absolute;left:0;text-align:left;margin-left:0;margin-top:0;width:612pt;height:36.5pt;z-index:25201049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AJ7MP5HAMAAEoGAAAOAAAAAAAAAAAAAAAA&#10;AC4CAABkcnMvZTJvRG9jLnhtbFBLAQItABQABgAIAAAAIQC+Hwq32gAAAAUBAAAPAAAAAAAAAAAA&#10;AAAAAHYFAABkcnMvZG93bnJldi54bWxQSwUGAAAAAAQABADzAAAAfQYAAAAA&#10;" o:allowincell="f" filled="f" stroked="f" strokeweight=".5pt">
              <v:textbox inset=",0,,0">
                <w:txbxContent>
                  <w:p w14:paraId="019E8477" w14:textId="4AA7BF40" w:rsidR="000D20D3" w:rsidRPr="009C6857" w:rsidRDefault="000D20D3" w:rsidP="009C6857">
                    <w:pPr>
                      <w:jc w:val="center"/>
                      <w:rPr>
                        <w:rFonts w:ascii="Calibri" w:hAnsi="Calibri" w:cs="Calibri"/>
                        <w:color w:val="000000"/>
                      </w:rPr>
                    </w:pPr>
                    <w:r w:rsidRPr="009C6857">
                      <w:rPr>
                        <w:rFonts w:ascii="Calibri" w:hAnsi="Calibri" w:cs="Calibri"/>
                        <w:color w:val="000000"/>
                      </w:rPr>
                      <w:t xml:space="preserve">WIPO FOR OFFICIAL USE ONLY </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88B7" w14:textId="607AE511" w:rsidR="000D20D3" w:rsidRPr="000D20D3" w:rsidRDefault="000D20D3" w:rsidP="000D20D3">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0D9F" w14:textId="77777777" w:rsidR="000D20D3" w:rsidRDefault="000D20D3" w:rsidP="00B90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E79B" w14:textId="5A00F309" w:rsidR="000D20D3" w:rsidRPr="006C7717" w:rsidRDefault="000D20D3" w:rsidP="006C771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E0D2" w14:textId="0EC31429" w:rsidR="000D20D3" w:rsidRPr="000D20D3" w:rsidRDefault="000D20D3" w:rsidP="000D20D3">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99D97" w14:textId="0AEF2E72" w:rsidR="000D20D3" w:rsidRPr="000D20D3" w:rsidRDefault="000D20D3" w:rsidP="000D20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421B" w14:textId="4F1685D4" w:rsidR="000D20D3" w:rsidRPr="006C7717" w:rsidRDefault="000D20D3" w:rsidP="006C77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DC0A" w14:textId="77777777" w:rsidR="000D20D3" w:rsidRDefault="000D20D3" w:rsidP="00B904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E4D1C" w14:textId="199DC88F" w:rsidR="000D20D3" w:rsidRPr="000D20D3" w:rsidRDefault="000D20D3" w:rsidP="000D20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C96E1" w14:textId="5E0BFBFF" w:rsidR="000D20D3" w:rsidRPr="000D20D3" w:rsidRDefault="000D20D3" w:rsidP="000D20D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84BF9" w14:textId="77777777" w:rsidR="000D20D3" w:rsidRDefault="000D20D3" w:rsidP="00B904E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95E7A" w14:textId="0BE082AD" w:rsidR="000D20D3" w:rsidRPr="000D20D3" w:rsidRDefault="000D20D3" w:rsidP="000D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4196" w14:textId="77777777" w:rsidR="000D20D3" w:rsidRDefault="000D20D3" w:rsidP="006655D3">
      <w:r>
        <w:separator/>
      </w:r>
    </w:p>
  </w:footnote>
  <w:footnote w:type="continuationSeparator" w:id="0">
    <w:p w14:paraId="20C85687" w14:textId="77777777" w:rsidR="000D20D3" w:rsidRDefault="000D20D3" w:rsidP="006655D3">
      <w:r>
        <w:separator/>
      </w:r>
    </w:p>
  </w:footnote>
  <w:footnote w:type="continuationNotice" w:id="1">
    <w:p w14:paraId="280C7DCD" w14:textId="77777777" w:rsidR="000D20D3" w:rsidRPr="00AB530F" w:rsidRDefault="000D20D3" w:rsidP="00AB530F">
      <w:pPr>
        <w:pStyle w:val="Footer"/>
      </w:pPr>
    </w:p>
  </w:footnote>
  <w:footnote w:id="2">
    <w:p w14:paraId="12BFC38F" w14:textId="5F8A7EC3" w:rsidR="000D20D3" w:rsidRPr="00071F28" w:rsidRDefault="000D20D3" w:rsidP="00197188">
      <w:pPr>
        <w:pStyle w:val="FootnoteText"/>
        <w:rPr>
          <w:lang w:val="es-ES_tradnl"/>
        </w:rPr>
      </w:pPr>
      <w:r w:rsidRPr="00071F28">
        <w:rPr>
          <w:rStyle w:val="FootnoteReference"/>
          <w:lang w:val="es-ES_tradnl"/>
        </w:rPr>
        <w:footnoteRef/>
      </w:r>
      <w:r w:rsidRPr="00071F28">
        <w:rPr>
          <w:lang w:val="es-ES_tradnl"/>
        </w:rPr>
        <w:t xml:space="preserve"> </w:t>
      </w:r>
      <w:r w:rsidRPr="00071F28">
        <w:rPr>
          <w:lang w:val="es-ES_tradnl"/>
        </w:rPr>
        <w:tab/>
        <w:t>Véase la figura 13.</w:t>
      </w:r>
    </w:p>
  </w:footnote>
  <w:footnote w:id="3">
    <w:p w14:paraId="103E7981" w14:textId="48AF4DCC" w:rsidR="000D20D3" w:rsidRPr="00071F28" w:rsidRDefault="000D20D3">
      <w:pPr>
        <w:pStyle w:val="FootnoteText"/>
        <w:rPr>
          <w:lang w:val="es-ES_tradnl"/>
        </w:rPr>
      </w:pPr>
      <w:r w:rsidRPr="00071F28">
        <w:rPr>
          <w:rStyle w:val="FootnoteReference"/>
          <w:lang w:val="es-ES_tradnl"/>
        </w:rPr>
        <w:footnoteRef/>
      </w:r>
      <w:r w:rsidRPr="00071F28">
        <w:rPr>
          <w:lang w:val="es-ES_tradnl"/>
        </w:rPr>
        <w:tab/>
        <w:t xml:space="preserve">Véase </w:t>
      </w:r>
      <w:hyperlink r:id="rId1" w:history="1">
        <w:r w:rsidRPr="00071F28">
          <w:rPr>
            <w:rStyle w:val="Hyperlink"/>
            <w:lang w:val="es-ES_tradnl"/>
          </w:rPr>
          <w:t>https://www.upov.int/meetings/es/details.jsp?meeting_id=71391</w:t>
        </w:r>
      </w:hyperlink>
      <w:r w:rsidRPr="00071F28">
        <w:rPr>
          <w:lang w:val="es-ES_tradnl"/>
        </w:rPr>
        <w:t>.</w:t>
      </w:r>
    </w:p>
  </w:footnote>
  <w:footnote w:id="4">
    <w:p w14:paraId="47C8080E" w14:textId="21368D4C" w:rsidR="000D20D3" w:rsidRPr="00071F28" w:rsidRDefault="000D20D3">
      <w:pPr>
        <w:pStyle w:val="FootnoteText"/>
        <w:rPr>
          <w:lang w:val="es-ES_tradnl"/>
        </w:rPr>
      </w:pPr>
      <w:r w:rsidRPr="00071F28">
        <w:rPr>
          <w:rStyle w:val="FootnoteReference"/>
          <w:lang w:val="es-ES_tradnl"/>
        </w:rPr>
        <w:footnoteRef/>
      </w:r>
      <w:r w:rsidRPr="00071F28">
        <w:rPr>
          <w:lang w:val="es-ES_tradnl"/>
        </w:rPr>
        <w:tab/>
      </w:r>
      <w:r>
        <w:rPr>
          <w:lang w:val="es-ES_tradnl"/>
        </w:rPr>
        <w:t>Véase</w:t>
      </w:r>
      <w:r w:rsidRPr="00071F28">
        <w:rPr>
          <w:lang w:val="es-ES_tradnl"/>
        </w:rPr>
        <w:t xml:space="preserve"> </w:t>
      </w:r>
      <w:hyperlink r:id="rId2" w:history="1">
        <w:r w:rsidRPr="00071F28">
          <w:rPr>
            <w:rStyle w:val="Hyperlink"/>
            <w:lang w:val="es-ES_tradnl"/>
          </w:rPr>
          <w:t>https://www.upov.int/about/es/benefits_upov_system.html</w:t>
        </w:r>
      </w:hyperlink>
      <w:r w:rsidRPr="00071F28">
        <w:rPr>
          <w:lang w:val="es-ES_tradnl"/>
        </w:rPr>
        <w:t>.</w:t>
      </w:r>
    </w:p>
  </w:footnote>
  <w:footnote w:id="5">
    <w:p w14:paraId="5FE9D1C8" w14:textId="15803B09" w:rsidR="000D20D3" w:rsidRPr="00071F28" w:rsidRDefault="000D20D3" w:rsidP="003E3C19">
      <w:pPr>
        <w:pStyle w:val="FootnoteText"/>
        <w:rPr>
          <w:lang w:val="es-ES_tradnl"/>
        </w:rPr>
      </w:pPr>
      <w:r w:rsidRPr="00071F28">
        <w:rPr>
          <w:rStyle w:val="FootnoteReference"/>
          <w:lang w:val="es-ES_tradnl"/>
        </w:rPr>
        <w:footnoteRef/>
      </w:r>
      <w:r w:rsidRPr="00071F28">
        <w:rPr>
          <w:lang w:val="es-ES_tradnl"/>
        </w:rPr>
        <w:tab/>
        <w:t>Cuando se proporcionan datos de varios años, corresponden al período 2012-2022, excepto cuando no se dispone de los datos de todos los años.</w:t>
      </w:r>
    </w:p>
  </w:footnote>
  <w:footnote w:id="6">
    <w:p w14:paraId="2821D78D" w14:textId="67A977C7" w:rsidR="000D20D3" w:rsidRPr="00071F28" w:rsidRDefault="000D20D3" w:rsidP="003C2911">
      <w:pPr>
        <w:pStyle w:val="FootnoteText"/>
        <w:rPr>
          <w:lang w:val="es-ES_tradnl"/>
        </w:rPr>
      </w:pPr>
      <w:r w:rsidRPr="00071F28">
        <w:rPr>
          <w:rStyle w:val="FootnoteReference"/>
          <w:lang w:val="es-ES_tradnl"/>
        </w:rPr>
        <w:footnoteRef/>
      </w:r>
      <w:r w:rsidRPr="00071F28">
        <w:rPr>
          <w:lang w:val="es-ES_tradnl"/>
        </w:rPr>
        <w:tab/>
      </w:r>
      <w:r w:rsidRPr="00071F28">
        <w:rPr>
          <w:iCs/>
          <w:lang w:val="es-ES_tradnl"/>
        </w:rPr>
        <w:t>Las cifras correspondientes a 2021 se han revisado.</w:t>
      </w:r>
    </w:p>
  </w:footnote>
  <w:footnote w:id="7">
    <w:p w14:paraId="3556F34C" w14:textId="1B917AA2" w:rsidR="000D20D3" w:rsidRPr="00071F28" w:rsidRDefault="000D20D3" w:rsidP="00B66E20">
      <w:pPr>
        <w:pStyle w:val="FootnoteText"/>
        <w:rPr>
          <w:lang w:val="es-ES_tradnl"/>
        </w:rPr>
      </w:pPr>
      <w:r w:rsidRPr="00071F28">
        <w:rPr>
          <w:rStyle w:val="FootnoteReference"/>
          <w:lang w:val="es-ES_tradnl"/>
        </w:rPr>
        <w:footnoteRef/>
      </w:r>
      <w:r w:rsidRPr="00071F28">
        <w:rPr>
          <w:lang w:val="es-ES_tradnl"/>
        </w:rPr>
        <w:tab/>
        <w:t>No se dispone de los datos de la cuenta de Peter Button (similares a los de la cuenta @vsgupov).</w:t>
      </w:r>
    </w:p>
  </w:footnote>
  <w:footnote w:id="8">
    <w:p w14:paraId="63C0717D" w14:textId="32B8EAE4" w:rsidR="000D20D3" w:rsidRPr="00071F28" w:rsidRDefault="000D20D3" w:rsidP="00B66E20">
      <w:pPr>
        <w:pStyle w:val="FootnoteText"/>
        <w:rPr>
          <w:lang w:val="es-ES_tradnl"/>
        </w:rPr>
      </w:pPr>
      <w:r w:rsidRPr="00071F28">
        <w:rPr>
          <w:rStyle w:val="FootnoteReference"/>
          <w:lang w:val="es-ES_tradnl"/>
        </w:rPr>
        <w:footnoteRef/>
      </w:r>
      <w:r w:rsidRPr="00071F28">
        <w:rPr>
          <w:lang w:val="es-ES_tradnl"/>
        </w:rPr>
        <w:tab/>
        <w:t>No se dispone de los datos correspondientes al 31 de diciembre de 2022.</w:t>
      </w:r>
    </w:p>
  </w:footnote>
  <w:footnote w:id="9">
    <w:p w14:paraId="68CEC22B" w14:textId="02918E20" w:rsidR="000D20D3" w:rsidRPr="00071F28" w:rsidRDefault="000D20D3">
      <w:pPr>
        <w:pStyle w:val="FootnoteText"/>
        <w:rPr>
          <w:lang w:val="es-ES_tradnl"/>
        </w:rPr>
      </w:pPr>
      <w:r w:rsidRPr="00071F28">
        <w:rPr>
          <w:rStyle w:val="FootnoteReference"/>
          <w:lang w:val="es-ES_tradnl"/>
        </w:rPr>
        <w:footnoteRef/>
      </w:r>
      <w:r w:rsidRPr="00071F28">
        <w:rPr>
          <w:lang w:val="es-ES_tradnl"/>
        </w:rPr>
        <w:tab/>
        <w:t xml:space="preserve">PLUTO, </w:t>
      </w:r>
      <w:r>
        <w:rPr>
          <w:lang w:val="es-ES_tradnl"/>
        </w:rPr>
        <w:t>UPOV PRISMA</w:t>
      </w:r>
      <w:r w:rsidRPr="00071F28">
        <w:rPr>
          <w:lang w:val="es-ES_tradnl"/>
        </w:rPr>
        <w:t>: los datos se refieren al acceso a estas bases de datos a través del sitio web (y no incluyen el acceso a las bases de datos mediante enlaces directos).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3C2A" w14:textId="77777777" w:rsidR="000D20D3" w:rsidRPr="00AA1ECA" w:rsidRDefault="000D20D3" w:rsidP="00EB048E">
    <w:pPr>
      <w:pStyle w:val="Header"/>
      <w:rPr>
        <w:rStyle w:val="PageNumber"/>
        <w:lang w:val="es-ES_tradnl"/>
      </w:rPr>
    </w:pPr>
    <w:r w:rsidRPr="00AA1ECA">
      <w:rPr>
        <w:rStyle w:val="PageNumber"/>
        <w:lang w:val="es-ES_tradnl"/>
      </w:rPr>
      <w:t>C/56/2</w:t>
    </w:r>
  </w:p>
  <w:p w14:paraId="4A7300D5" w14:textId="181417B2" w:rsidR="000D20D3" w:rsidRPr="00AA1ECA" w:rsidRDefault="000D20D3" w:rsidP="00EB048E">
    <w:pPr>
      <w:pStyle w:val="Header"/>
      <w:rPr>
        <w:lang w:val="es-ES_tradnl"/>
      </w:rPr>
    </w:pPr>
    <w:r w:rsidRPr="00AA1ECA">
      <w:rPr>
        <w:lang w:val="es-ES_tradnl"/>
      </w:rPr>
      <w:t xml:space="preserve">página </w:t>
    </w:r>
    <w:r w:rsidRPr="00AA1ECA">
      <w:rPr>
        <w:rStyle w:val="PageNumber"/>
        <w:lang w:val="es-ES_tradnl"/>
      </w:rPr>
      <w:fldChar w:fldCharType="begin"/>
    </w:r>
    <w:r w:rsidRPr="00AA1ECA">
      <w:rPr>
        <w:rStyle w:val="PageNumber"/>
        <w:lang w:val="es-ES_tradnl"/>
      </w:rPr>
      <w:instrText xml:space="preserve"> PAGE </w:instrText>
    </w:r>
    <w:r w:rsidRPr="00AA1ECA">
      <w:rPr>
        <w:rStyle w:val="PageNumber"/>
        <w:lang w:val="es-ES_tradnl"/>
      </w:rPr>
      <w:fldChar w:fldCharType="separate"/>
    </w:r>
    <w:r w:rsidRPr="00AA1ECA">
      <w:rPr>
        <w:rStyle w:val="PageNumber"/>
        <w:noProof/>
        <w:lang w:val="es-ES_tradnl"/>
      </w:rPr>
      <w:t>48</w:t>
    </w:r>
    <w:r w:rsidRPr="00AA1ECA">
      <w:rPr>
        <w:rStyle w:val="PageNumber"/>
        <w:lang w:val="es-ES_tradnl"/>
      </w:rPr>
      <w:fldChar w:fldCharType="end"/>
    </w:r>
  </w:p>
  <w:p w14:paraId="38F3C299" w14:textId="77777777" w:rsidR="000D20D3" w:rsidRPr="00AA1ECA" w:rsidRDefault="000D20D3" w:rsidP="006655D3">
    <w:pPr>
      <w:rPr>
        <w:lang w:val="es-ES_tradnl"/>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05AD" w14:textId="044C3B6E" w:rsidR="000D20D3" w:rsidRPr="001D4573" w:rsidRDefault="000D20D3" w:rsidP="00B904E7">
    <w:pPr>
      <w:pStyle w:val="Header"/>
      <w:tabs>
        <w:tab w:val="clear" w:pos="4536"/>
        <w:tab w:val="clear" w:pos="9072"/>
        <w:tab w:val="right" w:pos="9639"/>
      </w:tabs>
      <w:rPr>
        <w:rStyle w:val="PageNumber"/>
        <w:color w:val="155F1A"/>
        <w:lang w:val="es-ES"/>
      </w:rPr>
    </w:pPr>
    <w:r>
      <w:rPr>
        <w:rStyle w:val="PageNumber"/>
        <w:color w:val="155F1A"/>
      </w:rPr>
      <w:tab/>
    </w:r>
    <w:r w:rsidRPr="004D44A7">
      <w:rPr>
        <w:color w:val="155F1A"/>
        <w:lang w:val="es-ES"/>
      </w:rPr>
      <w:t>Informe sobre el rendimiento de la UPOV en 2022</w:t>
    </w:r>
  </w:p>
  <w:p w14:paraId="6DA3BA14" w14:textId="11D73E26" w:rsidR="000D20D3" w:rsidRPr="00D710EE" w:rsidRDefault="000D20D3" w:rsidP="00B904E7">
    <w:pPr>
      <w:pStyle w:val="Header"/>
      <w:tabs>
        <w:tab w:val="clear" w:pos="4536"/>
        <w:tab w:val="clear" w:pos="9072"/>
        <w:tab w:val="right" w:pos="9639"/>
      </w:tabs>
      <w:rPr>
        <w:color w:val="155F1A"/>
      </w:rPr>
    </w:pPr>
    <w:r w:rsidRPr="001D4573">
      <w:rPr>
        <w:color w:val="155F1A"/>
        <w:lang w:val="es-ES"/>
      </w:rPr>
      <w:tab/>
      <w:t>p</w:t>
    </w:r>
    <w:r>
      <w:rPr>
        <w:color w:val="155F1A"/>
        <w:lang w:val="es-ES"/>
      </w:rPr>
      <w:t>ágina</w:t>
    </w:r>
    <w:r w:rsidRPr="001D4573">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40</w:t>
    </w:r>
    <w:r w:rsidRPr="00D710EE">
      <w:rPr>
        <w:rStyle w:val="PageNumber"/>
        <w:color w:val="155F1A"/>
      </w:rPr>
      <w:fldChar w:fldCharType="end"/>
    </w:r>
  </w:p>
  <w:p w14:paraId="3D267140" w14:textId="77777777" w:rsidR="000D20D3" w:rsidRPr="0009001D" w:rsidRDefault="000D20D3" w:rsidP="00B904E7">
    <w:pPr>
      <w:pStyle w:val="Header"/>
      <w:tabs>
        <w:tab w:val="clear" w:pos="4536"/>
        <w:tab w:val="clear" w:pos="9072"/>
        <w:tab w:val="right" w:pos="9639"/>
      </w:tabs>
      <w:rPr>
        <w:sz w:val="12"/>
      </w:rPr>
    </w:pPr>
  </w:p>
  <w:p w14:paraId="06D371F4" w14:textId="77777777" w:rsidR="000D20D3" w:rsidRPr="0009001D" w:rsidRDefault="000D20D3" w:rsidP="00B904E7">
    <w:pPr>
      <w:pStyle w:val="Header"/>
      <w:tabs>
        <w:tab w:val="clear" w:pos="4536"/>
        <w:tab w:val="clear" w:pos="9072"/>
        <w:tab w:val="right" w:pos="9639"/>
      </w:tabs>
      <w:rPr>
        <w:sz w:val="1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ED68" w14:textId="77777777" w:rsidR="000D20D3" w:rsidRPr="00990489" w:rsidRDefault="000D20D3" w:rsidP="00DD1FF6">
    <w:pPr>
      <w:pStyle w:val="Header"/>
      <w:tabs>
        <w:tab w:val="clear" w:pos="4536"/>
        <w:tab w:val="clear" w:pos="9072"/>
        <w:tab w:val="right" w:pos="9639"/>
      </w:tabs>
      <w:rPr>
        <w:rStyle w:val="PageNumber"/>
        <w:color w:val="155F1A"/>
        <w:lang w:val="es-ES"/>
      </w:rPr>
    </w:pPr>
    <w:r>
      <w:rPr>
        <w:rStyle w:val="PageNumber"/>
        <w:color w:val="155F1A"/>
      </w:rPr>
      <w:tab/>
    </w:r>
    <w:r w:rsidRPr="00990489">
      <w:rPr>
        <w:rStyle w:val="PageNumber"/>
        <w:color w:val="155F1A"/>
        <w:lang w:val="es-ES"/>
      </w:rPr>
      <w:t>Informe sobre el rendimiento de la UPOV en 2020-2021</w:t>
    </w:r>
  </w:p>
  <w:p w14:paraId="7B8D8C10" w14:textId="7526DAB5" w:rsidR="000D20D3" w:rsidRPr="00D710EE" w:rsidRDefault="000D20D3" w:rsidP="00DD1FF6">
    <w:pPr>
      <w:pStyle w:val="Header"/>
      <w:tabs>
        <w:tab w:val="clear" w:pos="4536"/>
        <w:tab w:val="clear" w:pos="9072"/>
        <w:tab w:val="right" w:pos="9639"/>
      </w:tabs>
      <w:rPr>
        <w:color w:val="155F1A"/>
      </w:rPr>
    </w:pPr>
    <w:r w:rsidRPr="00990489">
      <w:rPr>
        <w:color w:val="155F1A"/>
        <w:lang w:val="es-ES"/>
      </w:rPr>
      <w:tab/>
    </w:r>
    <w:r>
      <w:rPr>
        <w:color w:val="155F1A"/>
      </w:rPr>
      <w:t xml:space="preserve">página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0043477D" w14:textId="77777777" w:rsidR="000D20D3" w:rsidRDefault="000D20D3" w:rsidP="00DD1FF6"/>
  <w:p w14:paraId="301A3BAF" w14:textId="77777777" w:rsidR="000D20D3" w:rsidRDefault="000D20D3" w:rsidP="00DD1FF6"/>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92DD" w14:textId="77777777" w:rsidR="000D20D3" w:rsidRPr="00990489" w:rsidRDefault="000D20D3" w:rsidP="00DD1FF6">
    <w:pPr>
      <w:pStyle w:val="Header"/>
      <w:tabs>
        <w:tab w:val="clear" w:pos="4536"/>
        <w:tab w:val="clear" w:pos="9072"/>
        <w:tab w:val="right" w:pos="9639"/>
      </w:tabs>
      <w:rPr>
        <w:rStyle w:val="PageNumber"/>
        <w:color w:val="155F1A"/>
        <w:lang w:val="es-ES"/>
      </w:rPr>
    </w:pPr>
    <w:r>
      <w:rPr>
        <w:rStyle w:val="PageNumber"/>
        <w:color w:val="155F1A"/>
      </w:rPr>
      <w:tab/>
    </w:r>
    <w:r w:rsidRPr="00990489">
      <w:rPr>
        <w:rStyle w:val="PageNumber"/>
        <w:color w:val="155F1A"/>
        <w:lang w:val="es-ES"/>
      </w:rPr>
      <w:t>Informe sobre el rendimiento de la UPOV en 2020-2021</w:t>
    </w:r>
  </w:p>
  <w:p w14:paraId="6F522124" w14:textId="473D76BF" w:rsidR="000D20D3" w:rsidRPr="00D710EE" w:rsidRDefault="000D20D3" w:rsidP="00DD1FF6">
    <w:pPr>
      <w:pStyle w:val="Header"/>
      <w:tabs>
        <w:tab w:val="clear" w:pos="4536"/>
        <w:tab w:val="clear" w:pos="9072"/>
        <w:tab w:val="right" w:pos="9639"/>
      </w:tabs>
      <w:rPr>
        <w:color w:val="155F1A"/>
      </w:rPr>
    </w:pPr>
    <w:r w:rsidRPr="00990489">
      <w:rPr>
        <w:color w:val="155F1A"/>
        <w:lang w:val="es-ES"/>
      </w:rPr>
      <w:tab/>
    </w:r>
    <w:r>
      <w:rPr>
        <w:color w:val="155F1A"/>
      </w:rPr>
      <w:t xml:space="preserve">página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CE61D5" w14:textId="77777777" w:rsidR="000D20D3" w:rsidRDefault="000D20D3"/>
  <w:p w14:paraId="548BF6AE" w14:textId="77777777" w:rsidR="000D20D3" w:rsidRDefault="000D20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EDB84" w14:textId="77777777" w:rsidR="000D20D3" w:rsidRPr="00990489" w:rsidRDefault="000D20D3" w:rsidP="00DD1FF6">
    <w:pPr>
      <w:pStyle w:val="Header"/>
      <w:tabs>
        <w:tab w:val="clear" w:pos="4536"/>
        <w:tab w:val="clear" w:pos="9072"/>
        <w:tab w:val="right" w:pos="9639"/>
      </w:tabs>
      <w:rPr>
        <w:rStyle w:val="PageNumber"/>
        <w:color w:val="155F1A"/>
        <w:lang w:val="es-ES"/>
      </w:rPr>
    </w:pPr>
    <w:r>
      <w:rPr>
        <w:rStyle w:val="PageNumber"/>
        <w:color w:val="155F1A"/>
      </w:rPr>
      <w:tab/>
    </w:r>
    <w:r w:rsidRPr="00990489">
      <w:rPr>
        <w:rStyle w:val="PageNumber"/>
        <w:color w:val="155F1A"/>
        <w:lang w:val="es-ES"/>
      </w:rPr>
      <w:t>Informe sobre el rendimiento de la UPOV en 2020-2021</w:t>
    </w:r>
  </w:p>
  <w:p w14:paraId="50C82EB2" w14:textId="6140323E" w:rsidR="000D20D3" w:rsidRPr="00D710EE" w:rsidRDefault="000D20D3" w:rsidP="00DD1FF6">
    <w:pPr>
      <w:pStyle w:val="Header"/>
      <w:tabs>
        <w:tab w:val="clear" w:pos="4536"/>
        <w:tab w:val="clear" w:pos="9072"/>
        <w:tab w:val="right" w:pos="9639"/>
      </w:tabs>
      <w:rPr>
        <w:color w:val="155F1A"/>
      </w:rPr>
    </w:pPr>
    <w:r w:rsidRPr="00990489">
      <w:rPr>
        <w:color w:val="155F1A"/>
        <w:lang w:val="es-ES"/>
      </w:rPr>
      <w:tab/>
    </w:r>
    <w:r>
      <w:rPr>
        <w:color w:val="155F1A"/>
      </w:rPr>
      <w:t xml:space="preserve">página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2AB4310A" w14:textId="77777777" w:rsidR="000D20D3" w:rsidRDefault="000D20D3" w:rsidP="00DD1FF6"/>
  <w:p w14:paraId="5DCA2652" w14:textId="77777777" w:rsidR="000D20D3" w:rsidRDefault="000D20D3" w:rsidP="00DD1FF6"/>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4318" w14:textId="77777777" w:rsidR="000D20D3" w:rsidRPr="00990489" w:rsidRDefault="000D20D3" w:rsidP="00DD1FF6">
    <w:pPr>
      <w:pStyle w:val="Header"/>
      <w:tabs>
        <w:tab w:val="clear" w:pos="4536"/>
        <w:tab w:val="clear" w:pos="9072"/>
        <w:tab w:val="right" w:pos="9639"/>
      </w:tabs>
      <w:rPr>
        <w:rStyle w:val="PageNumber"/>
        <w:color w:val="155F1A"/>
        <w:lang w:val="es-ES"/>
      </w:rPr>
    </w:pPr>
    <w:r>
      <w:rPr>
        <w:rStyle w:val="PageNumber"/>
        <w:color w:val="155F1A"/>
      </w:rPr>
      <w:tab/>
    </w:r>
    <w:r w:rsidRPr="00990489">
      <w:rPr>
        <w:rStyle w:val="PageNumber"/>
        <w:color w:val="155F1A"/>
        <w:lang w:val="es-ES"/>
      </w:rPr>
      <w:t>Informe sobre el rendimiento de la UPOV en 2020-2021</w:t>
    </w:r>
  </w:p>
  <w:p w14:paraId="7450E38E" w14:textId="77777777" w:rsidR="000D20D3" w:rsidRPr="00D710EE" w:rsidRDefault="000D20D3" w:rsidP="00DD1FF6">
    <w:pPr>
      <w:pStyle w:val="Header"/>
      <w:tabs>
        <w:tab w:val="clear" w:pos="4536"/>
        <w:tab w:val="clear" w:pos="9072"/>
        <w:tab w:val="right" w:pos="9639"/>
      </w:tabs>
      <w:rPr>
        <w:color w:val="155F1A"/>
      </w:rPr>
    </w:pPr>
    <w:r w:rsidRPr="00990489">
      <w:rPr>
        <w:color w:val="155F1A"/>
        <w:lang w:val="es-ES"/>
      </w:rPr>
      <w:tab/>
    </w:r>
    <w:r>
      <w:rPr>
        <w:color w:val="155F1A"/>
      </w:rPr>
      <w:t xml:space="preserve">página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color w:val="155F1A"/>
      </w:rPr>
      <w:t>2</w:t>
    </w:r>
    <w:r w:rsidRPr="00D710EE">
      <w:rPr>
        <w:rStyle w:val="PageNumber"/>
        <w:color w:val="155F1A"/>
      </w:rPr>
      <w:fldChar w:fldCharType="end"/>
    </w:r>
  </w:p>
  <w:p w14:paraId="5E36B7E5" w14:textId="77777777" w:rsidR="000D20D3" w:rsidRDefault="000D20D3"/>
  <w:p w14:paraId="7439A906" w14:textId="77777777" w:rsidR="000D20D3" w:rsidRDefault="000D20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3F1" w14:textId="77777777" w:rsidR="000D20D3" w:rsidRPr="003F7FC8" w:rsidRDefault="000D20D3" w:rsidP="00DD1FF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C807" w14:textId="77777777" w:rsidR="000D20D3" w:rsidRPr="00AA1ECA" w:rsidRDefault="000D20D3" w:rsidP="00AA1ECA">
    <w:pPr>
      <w:pStyle w:val="Header"/>
      <w:tabs>
        <w:tab w:val="clear" w:pos="4536"/>
        <w:tab w:val="clear" w:pos="9072"/>
        <w:tab w:val="right" w:pos="9639"/>
      </w:tabs>
      <w:rPr>
        <w:rStyle w:val="PageNumber"/>
        <w:color w:val="155F1A"/>
        <w:lang w:val="es-ES_tradnl"/>
      </w:rPr>
    </w:pPr>
    <w:r w:rsidRPr="00AA1ECA">
      <w:rPr>
        <w:rStyle w:val="PageNumber"/>
        <w:color w:val="155F1A"/>
        <w:lang w:val="es-ES_tradnl"/>
      </w:rPr>
      <w:tab/>
    </w:r>
    <w:r w:rsidRPr="00AA1ECA">
      <w:rPr>
        <w:color w:val="155F1A"/>
        <w:lang w:val="es-ES_tradnl"/>
      </w:rPr>
      <w:t>Informe sobre el rendimiento de la UPOV en 2022</w:t>
    </w:r>
  </w:p>
  <w:p w14:paraId="6B7E7C36" w14:textId="10B212BE" w:rsidR="000D20D3" w:rsidRPr="00AA1ECA" w:rsidRDefault="000D20D3" w:rsidP="00AA1ECA">
    <w:pPr>
      <w:pStyle w:val="Header"/>
      <w:tabs>
        <w:tab w:val="clear" w:pos="4536"/>
        <w:tab w:val="clear" w:pos="9072"/>
        <w:tab w:val="right" w:pos="9639"/>
      </w:tabs>
      <w:rPr>
        <w:color w:val="155F1A"/>
        <w:lang w:val="es-ES_tradnl"/>
      </w:rPr>
    </w:pPr>
    <w:r w:rsidRPr="00AA1ECA">
      <w:rPr>
        <w:color w:val="155F1A"/>
        <w:lang w:val="es-ES_tradnl"/>
      </w:rPr>
      <w:tab/>
      <w:t>página</w:t>
    </w:r>
    <w:r w:rsidRPr="00AA1ECA">
      <w:rPr>
        <w:rStyle w:val="PageNumber"/>
        <w:color w:val="155F1A"/>
        <w:lang w:val="es-ES_tradnl"/>
      </w:rPr>
      <w:t xml:space="preserve"> </w:t>
    </w:r>
    <w:r w:rsidRPr="00AA1ECA">
      <w:rPr>
        <w:rStyle w:val="PageNumber"/>
        <w:color w:val="155F1A"/>
        <w:lang w:val="es-ES_tradnl"/>
      </w:rPr>
      <w:fldChar w:fldCharType="begin"/>
    </w:r>
    <w:r w:rsidRPr="00AA1ECA">
      <w:rPr>
        <w:rStyle w:val="PageNumber"/>
        <w:color w:val="155F1A"/>
        <w:lang w:val="es-ES_tradnl"/>
      </w:rPr>
      <w:instrText xml:space="preserve"> PAGE </w:instrText>
    </w:r>
    <w:r w:rsidRPr="00AA1ECA">
      <w:rPr>
        <w:rStyle w:val="PageNumber"/>
        <w:color w:val="155F1A"/>
        <w:lang w:val="es-ES_tradnl"/>
      </w:rPr>
      <w:fldChar w:fldCharType="separate"/>
    </w:r>
    <w:r w:rsidRPr="00AA1ECA">
      <w:rPr>
        <w:rStyle w:val="PageNumber"/>
        <w:noProof/>
        <w:color w:val="155F1A"/>
        <w:lang w:val="es-ES_tradnl"/>
      </w:rPr>
      <w:t>48</w:t>
    </w:r>
    <w:r w:rsidRPr="00AA1ECA">
      <w:rPr>
        <w:rStyle w:val="PageNumber"/>
        <w:color w:val="155F1A"/>
        <w:lang w:val="es-ES_tradnl"/>
      </w:rPr>
      <w:fldChar w:fldCharType="end"/>
    </w:r>
  </w:p>
  <w:p w14:paraId="6E7013B5" w14:textId="77777777" w:rsidR="000D20D3" w:rsidRPr="00AA1ECA" w:rsidRDefault="000D20D3" w:rsidP="00B904E7">
    <w:pPr>
      <w:rPr>
        <w:lang w:val="es-ES_tradnl"/>
      </w:rPr>
    </w:pPr>
  </w:p>
  <w:p w14:paraId="5CB0FCC4" w14:textId="77777777" w:rsidR="000D20D3" w:rsidRPr="00AA1ECA" w:rsidRDefault="000D20D3" w:rsidP="00B904E7">
    <w:pPr>
      <w:rPr>
        <w:lang w:val="es-ES_tradnl"/>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A0E40" w14:textId="77777777" w:rsidR="000D20D3" w:rsidRPr="00AA1ECA" w:rsidRDefault="000D20D3" w:rsidP="00AA1ECA">
    <w:pPr>
      <w:pStyle w:val="Header"/>
      <w:tabs>
        <w:tab w:val="clear" w:pos="4536"/>
        <w:tab w:val="clear" w:pos="9072"/>
        <w:tab w:val="right" w:pos="9639"/>
      </w:tabs>
      <w:jc w:val="right"/>
      <w:rPr>
        <w:rStyle w:val="PageNumber"/>
        <w:color w:val="155F1A"/>
        <w:lang w:val="es-ES_tradnl"/>
      </w:rPr>
    </w:pPr>
    <w:r w:rsidRPr="00AA1ECA">
      <w:rPr>
        <w:color w:val="155F1A"/>
        <w:lang w:val="es-ES_tradnl"/>
      </w:rPr>
      <w:t>Informe sobre el rendimiento de la UPOV en 2022</w:t>
    </w:r>
  </w:p>
  <w:p w14:paraId="58BC94B3" w14:textId="332E55EE" w:rsidR="000D20D3" w:rsidRPr="00AA1ECA" w:rsidRDefault="000D20D3" w:rsidP="00AA1ECA">
    <w:pPr>
      <w:pStyle w:val="Header"/>
      <w:tabs>
        <w:tab w:val="clear" w:pos="4536"/>
        <w:tab w:val="clear" w:pos="9072"/>
        <w:tab w:val="right" w:pos="9639"/>
      </w:tabs>
      <w:jc w:val="right"/>
      <w:rPr>
        <w:color w:val="155F1A"/>
        <w:lang w:val="es-ES_tradnl"/>
      </w:rPr>
    </w:pPr>
    <w:r w:rsidRPr="00AA1ECA">
      <w:rPr>
        <w:color w:val="155F1A"/>
        <w:lang w:val="es-ES_tradnl"/>
      </w:rPr>
      <w:t xml:space="preserve">página </w:t>
    </w:r>
    <w:r w:rsidRPr="00AA1ECA">
      <w:rPr>
        <w:rStyle w:val="PageNumber"/>
        <w:color w:val="155F1A"/>
        <w:lang w:val="es-ES_tradnl"/>
      </w:rPr>
      <w:fldChar w:fldCharType="begin"/>
    </w:r>
    <w:r w:rsidRPr="00AA1ECA">
      <w:rPr>
        <w:rStyle w:val="PageNumber"/>
        <w:color w:val="155F1A"/>
        <w:lang w:val="es-ES_tradnl"/>
      </w:rPr>
      <w:instrText xml:space="preserve"> PAGE </w:instrText>
    </w:r>
    <w:r w:rsidRPr="00AA1ECA">
      <w:rPr>
        <w:rStyle w:val="PageNumber"/>
        <w:color w:val="155F1A"/>
        <w:lang w:val="es-ES_tradnl"/>
      </w:rPr>
      <w:fldChar w:fldCharType="separate"/>
    </w:r>
    <w:r w:rsidRPr="00AA1ECA">
      <w:rPr>
        <w:rStyle w:val="PageNumber"/>
        <w:noProof/>
        <w:color w:val="155F1A"/>
        <w:lang w:val="es-ES_tradnl"/>
      </w:rPr>
      <w:t>48</w:t>
    </w:r>
    <w:r w:rsidRPr="00AA1ECA">
      <w:rPr>
        <w:rStyle w:val="PageNumber"/>
        <w:color w:val="155F1A"/>
        <w:lang w:val="es-ES_tradnl"/>
      </w:rPr>
      <w:fldChar w:fldCharType="end"/>
    </w:r>
  </w:p>
  <w:p w14:paraId="55A175BC" w14:textId="77777777" w:rsidR="000D20D3" w:rsidRDefault="000D20D3"/>
  <w:p w14:paraId="2E2E9DEA" w14:textId="77777777" w:rsidR="000D20D3" w:rsidRDefault="000D20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D99E" w14:textId="77777777" w:rsidR="000D20D3" w:rsidRPr="003F7FC8" w:rsidRDefault="000D20D3" w:rsidP="00B904E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1767" w14:textId="77777777" w:rsidR="000D20D3" w:rsidRPr="00AA1ECA" w:rsidRDefault="000D20D3" w:rsidP="00AA1ECA">
    <w:pPr>
      <w:pStyle w:val="Header"/>
      <w:tabs>
        <w:tab w:val="clear" w:pos="4536"/>
        <w:tab w:val="clear" w:pos="9072"/>
        <w:tab w:val="right" w:pos="9639"/>
      </w:tabs>
      <w:rPr>
        <w:rStyle w:val="PageNumber"/>
        <w:color w:val="155F1A"/>
        <w:lang w:val="es-ES_tradnl"/>
      </w:rPr>
    </w:pPr>
    <w:r w:rsidRPr="00AA1ECA">
      <w:rPr>
        <w:rStyle w:val="PageNumber"/>
        <w:color w:val="155F1A"/>
        <w:lang w:val="es-ES_tradnl"/>
      </w:rPr>
      <w:tab/>
    </w:r>
    <w:r w:rsidRPr="00AA1ECA">
      <w:rPr>
        <w:color w:val="155F1A"/>
        <w:lang w:val="es-ES_tradnl"/>
      </w:rPr>
      <w:t>Informe sobre el rendimiento de la UPOV en 2022</w:t>
    </w:r>
  </w:p>
  <w:p w14:paraId="6DDD2C3A" w14:textId="5FB5EA93" w:rsidR="000D20D3" w:rsidRPr="00AA1ECA" w:rsidRDefault="000D20D3" w:rsidP="00AA1ECA">
    <w:pPr>
      <w:pStyle w:val="Header"/>
      <w:tabs>
        <w:tab w:val="clear" w:pos="4536"/>
        <w:tab w:val="clear" w:pos="9072"/>
        <w:tab w:val="right" w:pos="9639"/>
      </w:tabs>
      <w:rPr>
        <w:color w:val="155F1A"/>
        <w:lang w:val="es-ES_tradnl"/>
      </w:rPr>
    </w:pPr>
    <w:r w:rsidRPr="00AA1ECA">
      <w:rPr>
        <w:color w:val="155F1A"/>
        <w:lang w:val="es-ES_tradnl"/>
      </w:rPr>
      <w:tab/>
      <w:t xml:space="preserve">página </w:t>
    </w:r>
    <w:r w:rsidRPr="00AA1ECA">
      <w:rPr>
        <w:rStyle w:val="PageNumber"/>
        <w:color w:val="155F1A"/>
        <w:lang w:val="es-ES_tradnl"/>
      </w:rPr>
      <w:fldChar w:fldCharType="begin"/>
    </w:r>
    <w:r w:rsidRPr="00AA1ECA">
      <w:rPr>
        <w:rStyle w:val="PageNumber"/>
        <w:color w:val="155F1A"/>
        <w:lang w:val="es-ES_tradnl"/>
      </w:rPr>
      <w:instrText xml:space="preserve"> PAGE </w:instrText>
    </w:r>
    <w:r w:rsidRPr="00AA1ECA">
      <w:rPr>
        <w:rStyle w:val="PageNumber"/>
        <w:color w:val="155F1A"/>
        <w:lang w:val="es-ES_tradnl"/>
      </w:rPr>
      <w:fldChar w:fldCharType="separate"/>
    </w:r>
    <w:r w:rsidRPr="00AA1ECA">
      <w:rPr>
        <w:rStyle w:val="PageNumber"/>
        <w:noProof/>
        <w:color w:val="155F1A"/>
        <w:lang w:val="es-ES_tradnl"/>
      </w:rPr>
      <w:t>48</w:t>
    </w:r>
    <w:r w:rsidRPr="00AA1ECA">
      <w:rPr>
        <w:rStyle w:val="PageNumber"/>
        <w:color w:val="155F1A"/>
        <w:lang w:val="es-ES_tradnl"/>
      </w:rPr>
      <w:fldChar w:fldCharType="end"/>
    </w:r>
  </w:p>
  <w:p w14:paraId="58F69392" w14:textId="77777777" w:rsidR="000D20D3" w:rsidRPr="00AA1ECA" w:rsidRDefault="000D20D3" w:rsidP="00B904E7">
    <w:pPr>
      <w:rPr>
        <w:lang w:val="es-ES_tradnl"/>
      </w:rPr>
    </w:pPr>
  </w:p>
  <w:p w14:paraId="06883477" w14:textId="77777777" w:rsidR="000D20D3" w:rsidRPr="00AA1ECA" w:rsidRDefault="000D20D3" w:rsidP="00B904E7">
    <w:pP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570" w14:textId="77777777" w:rsidR="000D20D3" w:rsidRPr="00AA1ECA" w:rsidRDefault="000D20D3" w:rsidP="00B904E7">
    <w:pPr>
      <w:pStyle w:val="Header"/>
      <w:tabs>
        <w:tab w:val="clear" w:pos="4536"/>
        <w:tab w:val="clear" w:pos="9072"/>
        <w:tab w:val="right" w:pos="9639"/>
      </w:tabs>
      <w:rPr>
        <w:rStyle w:val="PageNumber"/>
        <w:color w:val="155F1A"/>
        <w:lang w:val="es-ES_tradnl"/>
      </w:rPr>
    </w:pPr>
    <w:r w:rsidRPr="00AA1ECA">
      <w:rPr>
        <w:rStyle w:val="PageNumber"/>
        <w:color w:val="155F1A"/>
        <w:lang w:val="es-ES_tradnl"/>
      </w:rPr>
      <w:tab/>
      <w:t>UPOV Performance Report 2022</w:t>
    </w:r>
  </w:p>
  <w:p w14:paraId="056500F1" w14:textId="4D9DC27F" w:rsidR="000D20D3" w:rsidRPr="00AA1ECA" w:rsidRDefault="000D20D3" w:rsidP="00B904E7">
    <w:pPr>
      <w:pStyle w:val="Header"/>
      <w:tabs>
        <w:tab w:val="clear" w:pos="4536"/>
        <w:tab w:val="clear" w:pos="9072"/>
        <w:tab w:val="right" w:pos="9639"/>
      </w:tabs>
      <w:rPr>
        <w:color w:val="155F1A"/>
        <w:lang w:val="es-ES_tradnl"/>
      </w:rPr>
    </w:pPr>
    <w:r w:rsidRPr="00AA1ECA">
      <w:rPr>
        <w:color w:val="155F1A"/>
        <w:lang w:val="es-ES_tradnl"/>
      </w:rPr>
      <w:tab/>
      <w:t xml:space="preserve">página </w:t>
    </w:r>
    <w:r w:rsidRPr="00AA1ECA">
      <w:rPr>
        <w:rStyle w:val="PageNumber"/>
        <w:color w:val="155F1A"/>
        <w:lang w:val="es-ES_tradnl"/>
      </w:rPr>
      <w:fldChar w:fldCharType="begin"/>
    </w:r>
    <w:r w:rsidRPr="00AA1ECA">
      <w:rPr>
        <w:rStyle w:val="PageNumber"/>
        <w:color w:val="155F1A"/>
        <w:lang w:val="es-ES_tradnl"/>
      </w:rPr>
      <w:instrText xml:space="preserve"> PAGE </w:instrText>
    </w:r>
    <w:r w:rsidRPr="00AA1ECA">
      <w:rPr>
        <w:rStyle w:val="PageNumber"/>
        <w:color w:val="155F1A"/>
        <w:lang w:val="es-ES_tradnl"/>
      </w:rPr>
      <w:fldChar w:fldCharType="separate"/>
    </w:r>
    <w:r w:rsidRPr="00AA1ECA">
      <w:rPr>
        <w:rStyle w:val="PageNumber"/>
        <w:noProof/>
        <w:color w:val="155F1A"/>
        <w:lang w:val="es-ES_tradnl"/>
      </w:rPr>
      <w:t>48</w:t>
    </w:r>
    <w:r w:rsidRPr="00AA1ECA">
      <w:rPr>
        <w:rStyle w:val="PageNumber"/>
        <w:color w:val="155F1A"/>
        <w:lang w:val="es-ES_tradnl"/>
      </w:rPr>
      <w:fldChar w:fldCharType="end"/>
    </w:r>
  </w:p>
  <w:p w14:paraId="0EE1DCB8" w14:textId="77777777" w:rsidR="000D20D3" w:rsidRPr="00AA1ECA" w:rsidRDefault="000D20D3" w:rsidP="00B904E7">
    <w:pPr>
      <w:rPr>
        <w:lang w:val="es-ES_tradnl"/>
      </w:rPr>
    </w:pPr>
  </w:p>
  <w:p w14:paraId="09DD370B" w14:textId="77777777" w:rsidR="000D20D3" w:rsidRPr="00AA1ECA" w:rsidRDefault="000D20D3" w:rsidP="00B904E7">
    <w:pPr>
      <w:rPr>
        <w:lang w:val="es-ES_tradnl"/>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3351" w14:textId="77777777" w:rsidR="000D20D3" w:rsidRPr="00AA1ECA" w:rsidRDefault="000D20D3" w:rsidP="00AA1ECA">
    <w:pPr>
      <w:pStyle w:val="Header"/>
      <w:tabs>
        <w:tab w:val="clear" w:pos="4536"/>
        <w:tab w:val="clear" w:pos="9072"/>
        <w:tab w:val="right" w:pos="9639"/>
      </w:tabs>
      <w:rPr>
        <w:rStyle w:val="PageNumber"/>
        <w:color w:val="155F1A"/>
        <w:lang w:val="es-ES_tradnl"/>
      </w:rPr>
    </w:pPr>
    <w:r w:rsidRPr="00AA1ECA">
      <w:rPr>
        <w:rStyle w:val="PageNumber"/>
        <w:color w:val="155F1A"/>
        <w:lang w:val="es-ES_tradnl"/>
      </w:rPr>
      <w:tab/>
    </w:r>
    <w:r w:rsidRPr="00AA1ECA">
      <w:rPr>
        <w:color w:val="155F1A"/>
        <w:lang w:val="es-ES_tradnl"/>
      </w:rPr>
      <w:t>Informe sobre el rendimiento de la UPOV en 2022</w:t>
    </w:r>
  </w:p>
  <w:p w14:paraId="7BAE5F47" w14:textId="35DF05B1" w:rsidR="000D20D3" w:rsidRPr="00AA1ECA" w:rsidRDefault="000D20D3" w:rsidP="00AA1ECA">
    <w:pPr>
      <w:pStyle w:val="Header"/>
      <w:tabs>
        <w:tab w:val="clear" w:pos="4536"/>
        <w:tab w:val="clear" w:pos="9072"/>
        <w:tab w:val="right" w:pos="9639"/>
      </w:tabs>
      <w:rPr>
        <w:color w:val="155F1A"/>
        <w:lang w:val="es-ES_tradnl"/>
      </w:rPr>
    </w:pPr>
    <w:r w:rsidRPr="00AA1ECA">
      <w:rPr>
        <w:color w:val="155F1A"/>
        <w:lang w:val="es-ES_tradnl"/>
      </w:rPr>
      <w:tab/>
      <w:t>página</w:t>
    </w:r>
    <w:r w:rsidRPr="00AA1ECA">
      <w:rPr>
        <w:rStyle w:val="PageNumber"/>
        <w:color w:val="155F1A"/>
        <w:lang w:val="es-ES_tradnl"/>
      </w:rPr>
      <w:t xml:space="preserve"> </w:t>
    </w:r>
    <w:r w:rsidRPr="00AA1ECA">
      <w:rPr>
        <w:rStyle w:val="PageNumber"/>
        <w:color w:val="155F1A"/>
        <w:lang w:val="es-ES_tradnl"/>
      </w:rPr>
      <w:fldChar w:fldCharType="begin"/>
    </w:r>
    <w:r w:rsidRPr="00AA1ECA">
      <w:rPr>
        <w:rStyle w:val="PageNumber"/>
        <w:color w:val="155F1A"/>
        <w:lang w:val="es-ES_tradnl"/>
      </w:rPr>
      <w:instrText xml:space="preserve"> PAGE </w:instrText>
    </w:r>
    <w:r w:rsidRPr="00AA1ECA">
      <w:rPr>
        <w:rStyle w:val="PageNumber"/>
        <w:color w:val="155F1A"/>
        <w:lang w:val="es-ES_tradnl"/>
      </w:rPr>
      <w:fldChar w:fldCharType="separate"/>
    </w:r>
    <w:r w:rsidRPr="00AA1ECA">
      <w:rPr>
        <w:rStyle w:val="PageNumber"/>
        <w:noProof/>
        <w:color w:val="155F1A"/>
        <w:lang w:val="es-ES_tradnl"/>
      </w:rPr>
      <w:t>48</w:t>
    </w:r>
    <w:r w:rsidRPr="00AA1ECA">
      <w:rPr>
        <w:rStyle w:val="PageNumber"/>
        <w:color w:val="155F1A"/>
        <w:lang w:val="es-ES_tradnl"/>
      </w:rPr>
      <w:fldChar w:fldCharType="end"/>
    </w:r>
  </w:p>
  <w:p w14:paraId="6B8A21E6" w14:textId="77777777" w:rsidR="000D20D3" w:rsidRPr="00AA1ECA" w:rsidRDefault="000D20D3">
    <w:pPr>
      <w:rPr>
        <w:lang w:val="es-ES_tradnl"/>
      </w:rPr>
    </w:pPr>
  </w:p>
  <w:p w14:paraId="2D435F2E" w14:textId="77777777" w:rsidR="000D20D3" w:rsidRPr="00AA1ECA" w:rsidRDefault="000D20D3">
    <w:pPr>
      <w:rPr>
        <w:lang w:val="es-ES_tradnl"/>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25AF" w14:textId="77777777" w:rsidR="000D20D3" w:rsidRPr="003F7FC8" w:rsidRDefault="000D20D3" w:rsidP="00B904E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A06D9" w14:textId="77777777" w:rsidR="000D20D3" w:rsidRPr="00ED798C" w:rsidRDefault="000D20D3" w:rsidP="00AA1ECA">
    <w:pPr>
      <w:pStyle w:val="Header"/>
      <w:tabs>
        <w:tab w:val="clear" w:pos="4536"/>
        <w:tab w:val="clear" w:pos="9072"/>
        <w:tab w:val="right" w:pos="9639"/>
      </w:tabs>
      <w:rPr>
        <w:rStyle w:val="PageNumber"/>
        <w:color w:val="155F1A"/>
        <w:lang w:val="es-ES_tradnl"/>
      </w:rPr>
    </w:pPr>
    <w:r w:rsidRPr="00ED798C">
      <w:rPr>
        <w:rStyle w:val="PageNumber"/>
        <w:color w:val="155F1A"/>
        <w:lang w:val="es-ES_tradnl"/>
      </w:rPr>
      <w:t>Anexo I</w:t>
    </w:r>
    <w:r w:rsidRPr="00ED798C">
      <w:rPr>
        <w:rStyle w:val="PageNumber"/>
        <w:color w:val="155F1A"/>
        <w:lang w:val="es-ES_tradnl"/>
      </w:rPr>
      <w:tab/>
    </w:r>
    <w:r w:rsidRPr="00ED798C">
      <w:rPr>
        <w:color w:val="155F1A"/>
        <w:lang w:val="es-ES_tradnl"/>
      </w:rPr>
      <w:t>Informe sobre el rendimiento de la UPOV en 2022</w:t>
    </w:r>
  </w:p>
  <w:p w14:paraId="4FC04180" w14:textId="6080CBD1" w:rsidR="000D20D3" w:rsidRPr="00ED798C" w:rsidRDefault="000D20D3" w:rsidP="00AA1ECA">
    <w:pPr>
      <w:pStyle w:val="Header"/>
      <w:tabs>
        <w:tab w:val="clear" w:pos="4536"/>
        <w:tab w:val="clear" w:pos="9072"/>
        <w:tab w:val="right" w:pos="9639"/>
      </w:tabs>
      <w:rPr>
        <w:color w:val="155F1A"/>
        <w:lang w:val="es-ES_tradnl"/>
      </w:rPr>
    </w:pPr>
    <w:r w:rsidRPr="00ED798C">
      <w:rPr>
        <w:color w:val="155F1A"/>
        <w:lang w:val="es-ES_tradnl"/>
      </w:rPr>
      <w:tab/>
      <w:t xml:space="preserve">página </w:t>
    </w:r>
    <w:r w:rsidRPr="00ED798C">
      <w:rPr>
        <w:rStyle w:val="PageNumber"/>
        <w:color w:val="155F1A"/>
        <w:lang w:val="es-ES_tradnl"/>
      </w:rPr>
      <w:fldChar w:fldCharType="begin"/>
    </w:r>
    <w:r w:rsidRPr="00ED798C">
      <w:rPr>
        <w:rStyle w:val="PageNumber"/>
        <w:color w:val="155F1A"/>
        <w:lang w:val="es-ES_tradnl"/>
      </w:rPr>
      <w:instrText xml:space="preserve"> PAGE </w:instrText>
    </w:r>
    <w:r w:rsidRPr="00ED798C">
      <w:rPr>
        <w:rStyle w:val="PageNumber"/>
        <w:color w:val="155F1A"/>
        <w:lang w:val="es-ES_tradnl"/>
      </w:rPr>
      <w:fldChar w:fldCharType="separate"/>
    </w:r>
    <w:r w:rsidRPr="00ED798C">
      <w:rPr>
        <w:rStyle w:val="PageNumber"/>
        <w:noProof/>
        <w:color w:val="155F1A"/>
        <w:lang w:val="es-ES_tradnl"/>
      </w:rPr>
      <w:t>48</w:t>
    </w:r>
    <w:r w:rsidRPr="00ED798C">
      <w:rPr>
        <w:rStyle w:val="PageNumber"/>
        <w:color w:val="155F1A"/>
        <w:lang w:val="es-ES_tradnl"/>
      </w:rPr>
      <w:fldChar w:fldCharType="end"/>
    </w:r>
  </w:p>
  <w:p w14:paraId="1D9DAD22" w14:textId="77777777" w:rsidR="000D20D3" w:rsidRPr="00C5280D" w:rsidRDefault="000D20D3" w:rsidP="00B904E7"/>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B849" w14:textId="77777777" w:rsidR="000D20D3" w:rsidRPr="001D4573" w:rsidRDefault="000D20D3" w:rsidP="00ED798C">
    <w:pPr>
      <w:pStyle w:val="Header"/>
      <w:tabs>
        <w:tab w:val="clear" w:pos="4536"/>
        <w:tab w:val="clear" w:pos="9072"/>
        <w:tab w:val="right" w:pos="9639"/>
      </w:tabs>
      <w:rPr>
        <w:rStyle w:val="PageNumber"/>
        <w:color w:val="155F1A"/>
        <w:lang w:val="es-ES"/>
      </w:rPr>
    </w:pPr>
    <w:r w:rsidRPr="00ED798C">
      <w:rPr>
        <w:rStyle w:val="PageNumber"/>
        <w:color w:val="155F1A"/>
        <w:lang w:val="es-ES"/>
      </w:rPr>
      <w:t>Anexo I</w:t>
    </w:r>
    <w:r w:rsidRPr="00ED798C">
      <w:rPr>
        <w:rStyle w:val="PageNumber"/>
        <w:color w:val="155F1A"/>
        <w:lang w:val="es-ES"/>
      </w:rPr>
      <w:tab/>
    </w:r>
    <w:r w:rsidRPr="004D44A7">
      <w:rPr>
        <w:color w:val="155F1A"/>
        <w:lang w:val="es-ES"/>
      </w:rPr>
      <w:t>Informe sobre el rendimiento de la UPOV en 2022</w:t>
    </w:r>
  </w:p>
  <w:p w14:paraId="45230363" w14:textId="6DDECF40" w:rsidR="000D20D3" w:rsidRPr="00D710EE" w:rsidRDefault="000D20D3" w:rsidP="00ED798C">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48</w:t>
    </w:r>
    <w:r w:rsidRPr="00D710EE">
      <w:rPr>
        <w:rStyle w:val="PageNumber"/>
        <w:color w:val="155F1A"/>
      </w:rPr>
      <w:fldChar w:fldCharType="end"/>
    </w:r>
  </w:p>
  <w:p w14:paraId="6B45CA19" w14:textId="77777777" w:rsidR="000D20D3" w:rsidRPr="00C5280D" w:rsidRDefault="000D20D3" w:rsidP="00B904E7"/>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D81B" w14:textId="079C68EB" w:rsidR="000D20D3" w:rsidRPr="001479C8" w:rsidRDefault="000D20D3" w:rsidP="00B904E7">
    <w:pPr>
      <w:pStyle w:val="Header"/>
      <w:tabs>
        <w:tab w:val="clear" w:pos="4536"/>
        <w:tab w:val="clear" w:pos="9072"/>
        <w:tab w:val="right" w:pos="9639"/>
      </w:tabs>
      <w:rPr>
        <w:rStyle w:val="PageNumber"/>
        <w:color w:val="155F1A"/>
        <w:lang w:val="es-ES"/>
      </w:rPr>
    </w:pPr>
    <w:r w:rsidRPr="001479C8">
      <w:rPr>
        <w:rStyle w:val="PageNumber"/>
        <w:color w:val="155F1A"/>
        <w:lang w:val="es-ES"/>
      </w:rPr>
      <w:t>Anexo III</w:t>
    </w:r>
    <w:r w:rsidRPr="001479C8">
      <w:rPr>
        <w:rStyle w:val="PageNumber"/>
        <w:color w:val="155F1A"/>
        <w:lang w:val="es-ES"/>
      </w:rPr>
      <w:tab/>
    </w:r>
    <w:r w:rsidRPr="004D44A7">
      <w:rPr>
        <w:color w:val="155F1A"/>
        <w:lang w:val="es-ES"/>
      </w:rPr>
      <w:t>Informe sobre el rendimiento de la UPOV en 2022</w:t>
    </w:r>
  </w:p>
  <w:p w14:paraId="1222241B" w14:textId="4F68F065" w:rsidR="000D20D3" w:rsidRPr="00D710EE" w:rsidRDefault="000D20D3" w:rsidP="00B904E7">
    <w:pPr>
      <w:pStyle w:val="Header"/>
      <w:tabs>
        <w:tab w:val="clear" w:pos="4536"/>
        <w:tab w:val="clear" w:pos="9072"/>
        <w:tab w:val="right" w:pos="9639"/>
      </w:tabs>
      <w:rPr>
        <w:color w:val="155F1A"/>
      </w:rPr>
    </w:pPr>
    <w:r w:rsidRPr="001479C8">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41</w:t>
    </w:r>
    <w:r w:rsidRPr="00D710EE">
      <w:rPr>
        <w:rStyle w:val="PageNumber"/>
        <w:color w:val="155F1A"/>
      </w:rPr>
      <w:fldChar w:fldCharType="end"/>
    </w:r>
  </w:p>
  <w:p w14:paraId="42CFDE4D" w14:textId="77777777" w:rsidR="000D20D3" w:rsidRDefault="000D20D3" w:rsidP="00B904E7">
    <w:pPr>
      <w:pStyle w:val="Header"/>
      <w:tabs>
        <w:tab w:val="clear" w:pos="4536"/>
        <w:tab w:val="clear" w:pos="9072"/>
        <w:tab w:val="right" w:pos="9639"/>
      </w:tabs>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A707" w14:textId="77777777" w:rsidR="000D20D3" w:rsidRPr="001D4573" w:rsidRDefault="000D20D3" w:rsidP="00ED798C">
    <w:pPr>
      <w:pStyle w:val="Header"/>
      <w:tabs>
        <w:tab w:val="clear" w:pos="4536"/>
        <w:tab w:val="clear" w:pos="9072"/>
        <w:tab w:val="right" w:pos="9639"/>
      </w:tabs>
      <w:rPr>
        <w:rStyle w:val="PageNumber"/>
        <w:color w:val="155F1A"/>
        <w:lang w:val="es-ES"/>
      </w:rPr>
    </w:pPr>
    <w:r w:rsidRPr="00ED798C">
      <w:rPr>
        <w:rStyle w:val="PageNumber"/>
        <w:color w:val="155F1A"/>
        <w:lang w:val="es-ES"/>
      </w:rPr>
      <w:t>Anexo II</w:t>
    </w:r>
    <w:r w:rsidRPr="00ED798C">
      <w:rPr>
        <w:rStyle w:val="PageNumber"/>
        <w:color w:val="155F1A"/>
        <w:lang w:val="es-ES"/>
      </w:rPr>
      <w:tab/>
    </w:r>
    <w:r w:rsidRPr="004D44A7">
      <w:rPr>
        <w:color w:val="155F1A"/>
        <w:lang w:val="es-ES"/>
      </w:rPr>
      <w:t>Informe sobre el rendimiento de la UPOV en 2022</w:t>
    </w:r>
  </w:p>
  <w:p w14:paraId="660EFBE3" w14:textId="04BEE546" w:rsidR="000D20D3" w:rsidRPr="00D710EE" w:rsidRDefault="000D20D3" w:rsidP="00ED798C">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48</w:t>
    </w:r>
    <w:r w:rsidRPr="00D710EE">
      <w:rPr>
        <w:rStyle w:val="PageNumber"/>
        <w:color w:val="155F1A"/>
      </w:rPr>
      <w:fldChar w:fldCharType="end"/>
    </w:r>
  </w:p>
  <w:p w14:paraId="67E22461" w14:textId="77777777" w:rsidR="000D20D3" w:rsidRPr="00C5280D" w:rsidRDefault="000D20D3" w:rsidP="00B904E7"/>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1DC0E" w14:textId="77777777" w:rsidR="000D20D3" w:rsidRPr="001D4573" w:rsidRDefault="000D20D3" w:rsidP="00ED798C">
    <w:pPr>
      <w:pStyle w:val="Header"/>
      <w:tabs>
        <w:tab w:val="clear" w:pos="4536"/>
        <w:tab w:val="clear" w:pos="9072"/>
        <w:tab w:val="right" w:pos="9639"/>
      </w:tabs>
      <w:rPr>
        <w:rStyle w:val="PageNumber"/>
        <w:color w:val="155F1A"/>
        <w:lang w:val="es-ES"/>
      </w:rPr>
    </w:pPr>
    <w:r w:rsidRPr="00ED798C">
      <w:rPr>
        <w:rStyle w:val="PageNumber"/>
        <w:color w:val="155F1A"/>
        <w:lang w:val="es-ES"/>
      </w:rPr>
      <w:t>Anexo IV</w:t>
    </w:r>
    <w:r w:rsidRPr="00ED798C">
      <w:rPr>
        <w:rStyle w:val="PageNumber"/>
        <w:color w:val="155F1A"/>
        <w:lang w:val="es-ES"/>
      </w:rPr>
      <w:tab/>
    </w:r>
    <w:r w:rsidRPr="004D44A7">
      <w:rPr>
        <w:color w:val="155F1A"/>
        <w:lang w:val="es-ES"/>
      </w:rPr>
      <w:t>Informe sobre el rendimiento de la UPOV en 2022</w:t>
    </w:r>
  </w:p>
  <w:p w14:paraId="0F16EC94" w14:textId="14B4D3E9" w:rsidR="000D20D3" w:rsidRPr="00D710EE" w:rsidRDefault="000D20D3" w:rsidP="00ED798C">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1678EE">
      <w:rPr>
        <w:rStyle w:val="PageNumber"/>
        <w:noProof/>
        <w:color w:val="155F1A"/>
      </w:rPr>
      <w:t>43</w:t>
    </w:r>
    <w:r w:rsidRPr="00D710EE">
      <w:rPr>
        <w:rStyle w:val="PageNumber"/>
        <w:color w:val="155F1A"/>
      </w:rPr>
      <w:fldChar w:fldCharType="end"/>
    </w:r>
  </w:p>
  <w:p w14:paraId="7D7EAB06" w14:textId="77777777" w:rsidR="000D20D3" w:rsidRPr="00C5280D" w:rsidRDefault="000D20D3" w:rsidP="00B904E7"/>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DEA9" w14:textId="678AE32A" w:rsidR="000D20D3" w:rsidRPr="001479C8" w:rsidRDefault="000D20D3" w:rsidP="00B904E7">
    <w:pPr>
      <w:pStyle w:val="Header"/>
      <w:tabs>
        <w:tab w:val="clear" w:pos="4536"/>
        <w:tab w:val="clear" w:pos="9072"/>
        <w:tab w:val="right" w:pos="9639"/>
      </w:tabs>
      <w:rPr>
        <w:rStyle w:val="PageNumber"/>
        <w:color w:val="155F1A"/>
        <w:lang w:val="es-ES"/>
      </w:rPr>
    </w:pPr>
    <w:r>
      <w:rPr>
        <w:rStyle w:val="PageNumber"/>
        <w:color w:val="155F1A"/>
      </w:rPr>
      <w:tab/>
    </w:r>
    <w:r w:rsidRPr="004D44A7">
      <w:rPr>
        <w:color w:val="155F1A"/>
        <w:lang w:val="es-ES"/>
      </w:rPr>
      <w:t>Informe sobre el rendimiento de la UPOV en 2022</w:t>
    </w:r>
  </w:p>
  <w:p w14:paraId="4F8ADC86" w14:textId="5AF4439F" w:rsidR="000D20D3" w:rsidRPr="00D710EE" w:rsidRDefault="000D20D3" w:rsidP="00B904E7">
    <w:pPr>
      <w:pStyle w:val="Header"/>
      <w:tabs>
        <w:tab w:val="clear" w:pos="4536"/>
        <w:tab w:val="clear" w:pos="9072"/>
        <w:tab w:val="right" w:pos="9639"/>
      </w:tabs>
      <w:rPr>
        <w:color w:val="155F1A"/>
      </w:rPr>
    </w:pPr>
    <w:r w:rsidRPr="001479C8">
      <w:rPr>
        <w:color w:val="155F1A"/>
        <w:lang w:val="es-ES"/>
      </w:rPr>
      <w:tab/>
      <w:t>p</w:t>
    </w:r>
    <w:r>
      <w:rPr>
        <w:color w:val="155F1A"/>
        <w:lang w:val="es-ES"/>
      </w:rPr>
      <w:t>ágina</w:t>
    </w:r>
    <w:r w:rsidRPr="001479C8">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42</w:t>
    </w:r>
    <w:r w:rsidRPr="00D710EE">
      <w:rPr>
        <w:rStyle w:val="PageNumber"/>
        <w:color w:val="155F1A"/>
      </w:rPr>
      <w:fldChar w:fldCharType="end"/>
    </w:r>
  </w:p>
  <w:p w14:paraId="1D3AE682" w14:textId="77777777" w:rsidR="000D20D3" w:rsidRDefault="000D20D3" w:rsidP="00B904E7">
    <w:pPr>
      <w:pStyle w:val="Header"/>
      <w:tabs>
        <w:tab w:val="clear" w:pos="4536"/>
        <w:tab w:val="clear" w:pos="9072"/>
        <w:tab w:val="right" w:pos="9639"/>
      </w:tabs>
    </w:pPr>
  </w:p>
  <w:p w14:paraId="77A9DD4B" w14:textId="77777777" w:rsidR="000D20D3" w:rsidRDefault="000D20D3" w:rsidP="00B904E7">
    <w:pPr>
      <w:pStyle w:val="Header"/>
      <w:tabs>
        <w:tab w:val="clear" w:pos="4536"/>
        <w:tab w:val="clear" w:pos="9072"/>
        <w:tab w:val="right" w:pos="9639"/>
      </w:tabs>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08FB6" w14:textId="77777777" w:rsidR="000D20D3" w:rsidRPr="001D4573" w:rsidRDefault="000D20D3" w:rsidP="00ED798C">
    <w:pPr>
      <w:pStyle w:val="Header"/>
      <w:tabs>
        <w:tab w:val="clear" w:pos="4536"/>
        <w:tab w:val="clear" w:pos="9072"/>
        <w:tab w:val="right" w:pos="9639"/>
      </w:tabs>
      <w:rPr>
        <w:rStyle w:val="PageNumber"/>
        <w:color w:val="155F1A"/>
        <w:lang w:val="es-ES"/>
      </w:rPr>
    </w:pPr>
    <w:r w:rsidRPr="00ED798C">
      <w:rPr>
        <w:rStyle w:val="PageNumber"/>
        <w:color w:val="155F1A"/>
        <w:lang w:val="es-ES"/>
      </w:rPr>
      <w:t>Anexo V</w:t>
    </w:r>
    <w:r w:rsidRPr="00ED798C">
      <w:rPr>
        <w:rStyle w:val="PageNumber"/>
        <w:color w:val="155F1A"/>
        <w:lang w:val="es-ES"/>
      </w:rPr>
      <w:tab/>
    </w:r>
    <w:r w:rsidRPr="004D44A7">
      <w:rPr>
        <w:color w:val="155F1A"/>
        <w:lang w:val="es-ES"/>
      </w:rPr>
      <w:t>Informe sobre el rendimiento de la UPOV en 2022</w:t>
    </w:r>
  </w:p>
  <w:p w14:paraId="4B7BD826" w14:textId="452261B9" w:rsidR="000D20D3" w:rsidRPr="00D710EE" w:rsidRDefault="000D20D3" w:rsidP="00ED798C">
    <w:pPr>
      <w:pStyle w:val="Header"/>
      <w:tabs>
        <w:tab w:val="clear" w:pos="4536"/>
        <w:tab w:val="clear" w:pos="9072"/>
        <w:tab w:val="right" w:pos="1530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48</w:t>
    </w:r>
    <w:r w:rsidRPr="00D710EE">
      <w:rPr>
        <w:rStyle w:val="PageNumber"/>
        <w:color w:val="155F1A"/>
      </w:rPr>
      <w:fldChar w:fldCharType="end"/>
    </w:r>
  </w:p>
  <w:p w14:paraId="69201061" w14:textId="77777777" w:rsidR="000D20D3" w:rsidRPr="00C5280D" w:rsidRDefault="000D20D3" w:rsidP="00B904E7">
    <w:pPr>
      <w:jc w:val="cent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8BD7" w14:textId="753DA2CF" w:rsidR="000D20D3" w:rsidRPr="001479C8" w:rsidRDefault="000D20D3" w:rsidP="00B904E7">
    <w:pPr>
      <w:pStyle w:val="Header"/>
      <w:tabs>
        <w:tab w:val="clear" w:pos="4536"/>
        <w:tab w:val="clear" w:pos="9072"/>
        <w:tab w:val="right" w:pos="15309"/>
      </w:tabs>
      <w:rPr>
        <w:rStyle w:val="PageNumber"/>
        <w:color w:val="155F1A"/>
        <w:lang w:val="es-ES"/>
      </w:rPr>
    </w:pPr>
    <w:r w:rsidRPr="001479C8">
      <w:rPr>
        <w:rStyle w:val="PageNumber"/>
        <w:color w:val="155F1A"/>
        <w:lang w:val="es-ES"/>
      </w:rPr>
      <w:t>Ap</w:t>
    </w:r>
    <w:r>
      <w:rPr>
        <w:rStyle w:val="PageNumber"/>
        <w:color w:val="155F1A"/>
        <w:lang w:val="es-ES"/>
      </w:rPr>
      <w:t>é</w:t>
    </w:r>
    <w:r w:rsidRPr="001479C8">
      <w:rPr>
        <w:rStyle w:val="PageNumber"/>
        <w:color w:val="155F1A"/>
        <w:lang w:val="es-ES"/>
      </w:rPr>
      <w:t>ndi</w:t>
    </w:r>
    <w:r>
      <w:rPr>
        <w:rStyle w:val="PageNumber"/>
        <w:color w:val="155F1A"/>
        <w:lang w:val="es-ES"/>
      </w:rPr>
      <w:t>ce</w:t>
    </w:r>
    <w:r w:rsidRPr="001479C8">
      <w:rPr>
        <w:rStyle w:val="PageNumber"/>
        <w:color w:val="155F1A"/>
        <w:lang w:val="es-ES"/>
      </w:rPr>
      <w:tab/>
    </w:r>
    <w:r w:rsidRPr="004D44A7">
      <w:rPr>
        <w:color w:val="155F1A"/>
        <w:lang w:val="es-ES"/>
      </w:rPr>
      <w:t>Informe sobre el rendimiento de la UPOV en 2022</w:t>
    </w:r>
  </w:p>
  <w:p w14:paraId="5452784B" w14:textId="78970FB6" w:rsidR="000D20D3" w:rsidRPr="00D710EE" w:rsidRDefault="000D20D3" w:rsidP="00B904E7">
    <w:pPr>
      <w:pStyle w:val="Header"/>
      <w:tabs>
        <w:tab w:val="clear" w:pos="4536"/>
        <w:tab w:val="clear" w:pos="9072"/>
        <w:tab w:val="right" w:pos="15309"/>
      </w:tabs>
      <w:rPr>
        <w:color w:val="155F1A"/>
      </w:rPr>
    </w:pPr>
    <w:r w:rsidRPr="001479C8">
      <w:rPr>
        <w:color w:val="155F1A"/>
        <w:lang w:val="es-ES"/>
      </w:rPr>
      <w:tab/>
      <w:t>p</w:t>
    </w:r>
    <w:r>
      <w:rPr>
        <w:color w:val="155F1A"/>
        <w:lang w:val="es-ES"/>
      </w:rPr>
      <w:t>ágina</w:t>
    </w:r>
    <w:r w:rsidRPr="001479C8">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46</w:t>
    </w:r>
    <w:r w:rsidRPr="00D710EE">
      <w:rPr>
        <w:rStyle w:val="PageNumber"/>
        <w:color w:val="155F1A"/>
      </w:rPr>
      <w:fldChar w:fldCharType="end"/>
    </w:r>
  </w:p>
  <w:p w14:paraId="7ADDB021" w14:textId="77777777" w:rsidR="000D20D3" w:rsidRPr="00C5280D" w:rsidRDefault="000D20D3" w:rsidP="00B904E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85F" w14:textId="1FE7DC30" w:rsidR="000D20D3" w:rsidRPr="004D44A7" w:rsidRDefault="000D20D3" w:rsidP="00AA1ECA">
    <w:pPr>
      <w:pStyle w:val="Header"/>
      <w:tabs>
        <w:tab w:val="clear" w:pos="4536"/>
        <w:tab w:val="clear" w:pos="9072"/>
        <w:tab w:val="right" w:pos="9639"/>
      </w:tabs>
      <w:jc w:val="right"/>
      <w:rPr>
        <w:rStyle w:val="PageNumber"/>
        <w:color w:val="155F1A"/>
        <w:lang w:val="es-ES"/>
      </w:rPr>
    </w:pPr>
    <w:r w:rsidRPr="004D44A7">
      <w:rPr>
        <w:color w:val="155F1A"/>
        <w:lang w:val="es-ES"/>
      </w:rPr>
      <w:t>Informe sobre el rendimiento de la UPOV en 2022</w:t>
    </w:r>
  </w:p>
  <w:p w14:paraId="782D03F9" w14:textId="5579ADB8" w:rsidR="000D20D3" w:rsidRPr="00D710EE" w:rsidRDefault="000D20D3" w:rsidP="00AA1ECA">
    <w:pPr>
      <w:pStyle w:val="Header"/>
      <w:tabs>
        <w:tab w:val="clear" w:pos="4536"/>
        <w:tab w:val="clear" w:pos="9072"/>
        <w:tab w:val="right" w:pos="9639"/>
      </w:tabs>
      <w:jc w:val="right"/>
      <w:rPr>
        <w:color w:val="155F1A"/>
      </w:rPr>
    </w:pPr>
    <w:r w:rsidRPr="004D44A7">
      <w:rPr>
        <w:color w:val="155F1A"/>
        <w:lang w:val="es-ES"/>
      </w:rPr>
      <w:t>p</w:t>
    </w:r>
    <w:r>
      <w:rPr>
        <w:color w:val="155F1A"/>
        <w:lang w:val="es-ES"/>
      </w:rPr>
      <w:t>ágina</w:t>
    </w:r>
    <w:r w:rsidRPr="004D44A7">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26</w:t>
    </w:r>
    <w:r w:rsidRPr="00D710EE">
      <w:rPr>
        <w:rStyle w:val="PageNumber"/>
        <w:color w:val="155F1A"/>
      </w:rPr>
      <w:fldChar w:fldCharType="end"/>
    </w:r>
  </w:p>
  <w:p w14:paraId="71FE61E3" w14:textId="77777777" w:rsidR="000D20D3" w:rsidRDefault="000D20D3" w:rsidP="00AA1ECA">
    <w:pPr>
      <w:jc w:val="right"/>
    </w:pPr>
  </w:p>
  <w:p w14:paraId="46FE3A2D" w14:textId="77777777" w:rsidR="000D20D3" w:rsidRDefault="000D20D3" w:rsidP="00AA1ECA">
    <w:pPr>
      <w:jc w:val="righ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E6382" w14:textId="03864AD7" w:rsidR="000D20D3" w:rsidRPr="001479C8" w:rsidRDefault="000D20D3" w:rsidP="00B904E7">
    <w:pPr>
      <w:pStyle w:val="Header"/>
      <w:tabs>
        <w:tab w:val="clear" w:pos="4536"/>
        <w:tab w:val="clear" w:pos="9072"/>
        <w:tab w:val="right" w:pos="15309"/>
      </w:tabs>
      <w:rPr>
        <w:rStyle w:val="PageNumber"/>
        <w:color w:val="155F1A"/>
        <w:lang w:val="es-ES"/>
      </w:rPr>
    </w:pPr>
    <w:r>
      <w:rPr>
        <w:rStyle w:val="PageNumber"/>
        <w:color w:val="155F1A"/>
      </w:rPr>
      <w:tab/>
    </w:r>
    <w:r w:rsidRPr="004D44A7">
      <w:rPr>
        <w:color w:val="155F1A"/>
        <w:lang w:val="es-ES"/>
      </w:rPr>
      <w:t>Informe sobre el rendimiento de la UPOV en 2022</w:t>
    </w:r>
  </w:p>
  <w:p w14:paraId="714C12F8" w14:textId="1CBADA32" w:rsidR="000D20D3" w:rsidRPr="00D710EE" w:rsidRDefault="000D20D3" w:rsidP="00B904E7">
    <w:pPr>
      <w:pStyle w:val="Header"/>
      <w:tabs>
        <w:tab w:val="clear" w:pos="4536"/>
        <w:tab w:val="clear" w:pos="9072"/>
        <w:tab w:val="right" w:pos="15309"/>
      </w:tabs>
      <w:rPr>
        <w:color w:val="155F1A"/>
      </w:rPr>
    </w:pPr>
    <w:r w:rsidRPr="001479C8">
      <w:rPr>
        <w:color w:val="155F1A"/>
        <w:lang w:val="es-ES"/>
      </w:rPr>
      <w:tab/>
      <w:t>p</w:t>
    </w:r>
    <w:r>
      <w:rPr>
        <w:color w:val="155F1A"/>
        <w:lang w:val="es-ES"/>
      </w:rPr>
      <w:t>ágina</w:t>
    </w:r>
    <w:r w:rsidRPr="001479C8">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44</w:t>
    </w:r>
    <w:r w:rsidRPr="00D710EE">
      <w:rPr>
        <w:rStyle w:val="PageNumber"/>
        <w:color w:val="155F1A"/>
      </w:rPr>
      <w:fldChar w:fldCharType="end"/>
    </w:r>
  </w:p>
  <w:p w14:paraId="0E809C66" w14:textId="77777777" w:rsidR="000D20D3" w:rsidRDefault="000D20D3" w:rsidP="00B904E7">
    <w:pPr>
      <w:pStyle w:val="Header"/>
      <w:tabs>
        <w:tab w:val="right" w:pos="15309"/>
      </w:tabs>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9568" w14:textId="77777777" w:rsidR="000D20D3" w:rsidRPr="003F7FC8" w:rsidRDefault="000D20D3" w:rsidP="00B904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92E8" w14:textId="07BE8B24" w:rsidR="000D20D3" w:rsidRPr="00D710EE" w:rsidRDefault="000D20D3" w:rsidP="00B904E7">
    <w:pPr>
      <w:pStyle w:val="Header"/>
      <w:tabs>
        <w:tab w:val="clear" w:pos="4536"/>
        <w:tab w:val="clear" w:pos="9072"/>
        <w:tab w:val="right" w:pos="9639"/>
      </w:tabs>
      <w:rPr>
        <w:rStyle w:val="PageNumber"/>
        <w:color w:val="155F1A"/>
      </w:rPr>
    </w:pPr>
    <w:r>
      <w:rPr>
        <w:rStyle w:val="PageNumber"/>
        <w:color w:val="155F1A"/>
      </w:rPr>
      <w:t>Anexo III</w:t>
    </w:r>
    <w:r>
      <w:rPr>
        <w:rStyle w:val="PageNumber"/>
        <w:color w:val="155F1A"/>
      </w:rPr>
      <w:tab/>
      <w:t>UPOV Performance Report 2022</w:t>
    </w:r>
  </w:p>
  <w:p w14:paraId="688EC737" w14:textId="6B445148" w:rsidR="000D20D3" w:rsidRPr="00D710EE" w:rsidRDefault="000D20D3" w:rsidP="00B904E7">
    <w:pPr>
      <w:pStyle w:val="Header"/>
      <w:tabs>
        <w:tab w:val="clear" w:pos="4536"/>
        <w:tab w:val="clear" w:pos="9072"/>
        <w:tab w:val="right" w:pos="963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48</w:t>
    </w:r>
    <w:r w:rsidRPr="00D710EE">
      <w:rPr>
        <w:rStyle w:val="PageNumber"/>
        <w:color w:val="155F1A"/>
      </w:rPr>
      <w:fldChar w:fldCharType="end"/>
    </w:r>
  </w:p>
  <w:p w14:paraId="487D6943" w14:textId="77777777" w:rsidR="000D20D3" w:rsidRPr="00C5280D" w:rsidRDefault="000D20D3" w:rsidP="00B904E7">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C05B" w14:textId="14E47E2A" w:rsidR="000D20D3" w:rsidRPr="001D4573" w:rsidRDefault="000D20D3" w:rsidP="00B904E7">
    <w:pPr>
      <w:pStyle w:val="Header"/>
      <w:tabs>
        <w:tab w:val="clear" w:pos="4536"/>
        <w:tab w:val="clear" w:pos="9072"/>
        <w:tab w:val="right" w:pos="9639"/>
      </w:tabs>
      <w:rPr>
        <w:rStyle w:val="PageNumber"/>
        <w:color w:val="155F1A"/>
        <w:lang w:val="es-ES"/>
      </w:rPr>
    </w:pPr>
    <w:r w:rsidRPr="001D4573">
      <w:rPr>
        <w:rStyle w:val="PageNumber"/>
        <w:color w:val="155F1A"/>
        <w:lang w:val="es-ES"/>
      </w:rPr>
      <w:t>Anexo I</w:t>
    </w:r>
    <w:r w:rsidRPr="001D4573">
      <w:rPr>
        <w:rStyle w:val="PageNumber"/>
        <w:color w:val="155F1A"/>
        <w:lang w:val="es-ES"/>
      </w:rPr>
      <w:tab/>
    </w:r>
    <w:r w:rsidRPr="004D44A7">
      <w:rPr>
        <w:color w:val="155F1A"/>
        <w:lang w:val="es-ES"/>
      </w:rPr>
      <w:t>Informe sobre el rendimiento de la UPOV en 2022</w:t>
    </w:r>
  </w:p>
  <w:p w14:paraId="1C8D2B24" w14:textId="29701720" w:rsidR="000D20D3" w:rsidRPr="00D710EE" w:rsidRDefault="000D20D3" w:rsidP="00B904E7">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35</w:t>
    </w:r>
    <w:r w:rsidRPr="00D710EE">
      <w:rPr>
        <w:rStyle w:val="PageNumber"/>
        <w:color w:val="155F1A"/>
      </w:rPr>
      <w:fldChar w:fldCharType="end"/>
    </w:r>
  </w:p>
  <w:p w14:paraId="6EBCD3E0" w14:textId="77777777" w:rsidR="000D20D3" w:rsidRPr="00C5280D" w:rsidRDefault="000D20D3" w:rsidP="00B904E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E0F80" w14:textId="3D3CE5B8" w:rsidR="000D20D3" w:rsidRPr="005C2501" w:rsidRDefault="000D20D3" w:rsidP="00B904E7">
    <w:pPr>
      <w:pStyle w:val="Header"/>
      <w:tabs>
        <w:tab w:val="clear" w:pos="4536"/>
        <w:tab w:val="clear" w:pos="9072"/>
        <w:tab w:val="right" w:pos="9639"/>
      </w:tabs>
      <w:rPr>
        <w:rStyle w:val="PageNumber"/>
        <w:color w:val="155F1A"/>
        <w:lang w:val="es-ES"/>
      </w:rPr>
    </w:pPr>
    <w:r>
      <w:rPr>
        <w:rStyle w:val="PageNumber"/>
        <w:color w:val="155F1A"/>
      </w:rPr>
      <w:tab/>
    </w:r>
    <w:r w:rsidRPr="004D44A7">
      <w:rPr>
        <w:color w:val="155F1A"/>
        <w:lang w:val="es-ES"/>
      </w:rPr>
      <w:t>Informe sobre el rendimiento de la UPOV en 2022</w:t>
    </w:r>
  </w:p>
  <w:p w14:paraId="063562FE" w14:textId="76C3D568" w:rsidR="000D20D3" w:rsidRPr="00D710EE" w:rsidRDefault="000D20D3" w:rsidP="00B904E7">
    <w:pPr>
      <w:pStyle w:val="Header"/>
      <w:tabs>
        <w:tab w:val="clear" w:pos="4536"/>
        <w:tab w:val="clear" w:pos="9072"/>
        <w:tab w:val="right" w:pos="9639"/>
      </w:tabs>
      <w:rPr>
        <w:color w:val="155F1A"/>
      </w:rPr>
    </w:pPr>
    <w:r w:rsidRPr="005C2501">
      <w:rPr>
        <w:color w:val="155F1A"/>
        <w:lang w:val="es-ES"/>
      </w:rPr>
      <w:tab/>
      <w:t>p</w:t>
    </w:r>
    <w:r>
      <w:rPr>
        <w:color w:val="155F1A"/>
        <w:lang w:val="es-ES"/>
      </w:rPr>
      <w:t>ágina</w:t>
    </w:r>
    <w:r w:rsidRPr="005C2501">
      <w:rPr>
        <w:color w:val="155F1A"/>
        <w:lang w:val="es-ES"/>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33</w:t>
    </w:r>
    <w:r w:rsidRPr="00D710EE">
      <w:rPr>
        <w:rStyle w:val="PageNumber"/>
        <w:color w:val="155F1A"/>
      </w:rPr>
      <w:fldChar w:fldCharType="end"/>
    </w:r>
  </w:p>
  <w:p w14:paraId="4923544F" w14:textId="77777777" w:rsidR="000D20D3" w:rsidRDefault="000D20D3" w:rsidP="00B904E7">
    <w:pPr>
      <w:pStyle w:val="Header"/>
      <w:tabs>
        <w:tab w:val="clear" w:pos="4536"/>
        <w:tab w:val="clear" w:pos="9072"/>
        <w:tab w:val="right" w:pos="9639"/>
      </w:tabs>
    </w:pPr>
  </w:p>
  <w:p w14:paraId="6B6630B7" w14:textId="77777777" w:rsidR="000D20D3" w:rsidRDefault="000D20D3" w:rsidP="00B904E7">
    <w:pPr>
      <w:pStyle w:val="Header"/>
      <w:tabs>
        <w:tab w:val="clear" w:pos="4536"/>
        <w:tab w:val="clear" w:pos="9072"/>
        <w:tab w:val="right" w:pos="9639"/>
      </w:tab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7AFD" w14:textId="77777777" w:rsidR="000D20D3" w:rsidRPr="001D4573" w:rsidRDefault="000D20D3" w:rsidP="00AA1ECA">
    <w:pPr>
      <w:pStyle w:val="Header"/>
      <w:tabs>
        <w:tab w:val="clear" w:pos="4536"/>
        <w:tab w:val="clear" w:pos="9072"/>
        <w:tab w:val="right" w:pos="9639"/>
      </w:tabs>
      <w:rPr>
        <w:rStyle w:val="PageNumber"/>
        <w:color w:val="155F1A"/>
        <w:lang w:val="es-ES"/>
      </w:rPr>
    </w:pPr>
    <w:r w:rsidRPr="00AA1ECA">
      <w:rPr>
        <w:rStyle w:val="PageNumber"/>
        <w:color w:val="155F1A"/>
        <w:lang w:val="es-ES"/>
      </w:rPr>
      <w:t>Anexo IV</w:t>
    </w:r>
    <w:r w:rsidRPr="00AA1ECA">
      <w:rPr>
        <w:rStyle w:val="PageNumber"/>
        <w:color w:val="155F1A"/>
        <w:lang w:val="es-ES"/>
      </w:rPr>
      <w:tab/>
    </w:r>
    <w:r w:rsidRPr="004D44A7">
      <w:rPr>
        <w:color w:val="155F1A"/>
        <w:lang w:val="es-ES"/>
      </w:rPr>
      <w:t>Informe sobre el rendimiento de la UPOV en 2022</w:t>
    </w:r>
  </w:p>
  <w:p w14:paraId="3048ECBD" w14:textId="7D70E6C1" w:rsidR="000D20D3" w:rsidRPr="00D710EE" w:rsidRDefault="000D20D3" w:rsidP="00AA1ECA">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48</w:t>
    </w:r>
    <w:r w:rsidRPr="00D710EE">
      <w:rPr>
        <w:rStyle w:val="PageNumber"/>
        <w:color w:val="155F1A"/>
      </w:rPr>
      <w:fldChar w:fldCharType="end"/>
    </w:r>
  </w:p>
  <w:p w14:paraId="78AED936" w14:textId="77777777" w:rsidR="000D20D3" w:rsidRPr="00C5280D" w:rsidRDefault="000D20D3" w:rsidP="00B904E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37D4" w14:textId="7130BE81" w:rsidR="000D20D3" w:rsidRPr="001D4573" w:rsidRDefault="000D20D3" w:rsidP="00B904E7">
    <w:pPr>
      <w:pStyle w:val="Header"/>
      <w:tabs>
        <w:tab w:val="clear" w:pos="4536"/>
        <w:tab w:val="clear" w:pos="9072"/>
        <w:tab w:val="right" w:pos="9639"/>
      </w:tabs>
      <w:rPr>
        <w:rStyle w:val="PageNumber"/>
        <w:color w:val="155F1A"/>
        <w:lang w:val="es-ES"/>
      </w:rPr>
    </w:pPr>
    <w:r w:rsidRPr="001D4573">
      <w:rPr>
        <w:rStyle w:val="PageNumber"/>
        <w:color w:val="155F1A"/>
        <w:lang w:val="es-ES"/>
      </w:rPr>
      <w:t>Anexo II</w:t>
    </w:r>
    <w:r w:rsidRPr="001D4573">
      <w:rPr>
        <w:rStyle w:val="PageNumber"/>
        <w:color w:val="155F1A"/>
        <w:lang w:val="es-ES"/>
      </w:rPr>
      <w:tab/>
    </w:r>
    <w:r w:rsidRPr="004D44A7">
      <w:rPr>
        <w:color w:val="155F1A"/>
        <w:lang w:val="es-ES"/>
      </w:rPr>
      <w:t>Informe sobre el rendimiento de la UPOV en 2022</w:t>
    </w:r>
  </w:p>
  <w:p w14:paraId="57F19C7A" w14:textId="3ACD0033" w:rsidR="000D20D3" w:rsidRPr="00D710EE" w:rsidRDefault="000D20D3" w:rsidP="00B904E7">
    <w:pPr>
      <w:pStyle w:val="Header"/>
      <w:tabs>
        <w:tab w:val="clear" w:pos="4536"/>
        <w:tab w:val="clear" w:pos="9072"/>
        <w:tab w:val="right" w:pos="9639"/>
      </w:tabs>
      <w:rPr>
        <w:color w:val="155F1A"/>
      </w:rPr>
    </w:pPr>
    <w:r w:rsidRPr="001D4573">
      <w:rPr>
        <w:color w:val="155F1A"/>
        <w:lang w:val="es-ES"/>
      </w:rPr>
      <w:tab/>
    </w:r>
    <w:r w:rsidRPr="00D710EE">
      <w:rPr>
        <w:color w:val="155F1A"/>
      </w:rPr>
      <w:t>p</w:t>
    </w:r>
    <w:r>
      <w:rPr>
        <w:color w:val="155F1A"/>
      </w:rPr>
      <w:t>ágina</w:t>
    </w:r>
    <w:r w:rsidRPr="00D710EE">
      <w:rPr>
        <w:color w:val="155F1A"/>
      </w:rPr>
      <w:t xml:space="preserv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sidR="004F22B9">
      <w:rPr>
        <w:rStyle w:val="PageNumber"/>
        <w:noProof/>
        <w:color w:val="155F1A"/>
      </w:rPr>
      <w:t>39</w:t>
    </w:r>
    <w:r w:rsidRPr="00D710EE">
      <w:rPr>
        <w:rStyle w:val="PageNumber"/>
        <w:color w:val="155F1A"/>
      </w:rPr>
      <w:fldChar w:fldCharType="end"/>
    </w:r>
  </w:p>
  <w:p w14:paraId="6B0CD3B4" w14:textId="77777777" w:rsidR="000D20D3" w:rsidRPr="00C5280D" w:rsidRDefault="000D20D3" w:rsidP="00B904E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7903"/>
    <w:multiLevelType w:val="hybridMultilevel"/>
    <w:tmpl w:val="759669E0"/>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E259E0"/>
    <w:multiLevelType w:val="hybridMultilevel"/>
    <w:tmpl w:val="D416D83E"/>
    <w:lvl w:ilvl="0" w:tplc="07E8B1B4">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DE338E"/>
    <w:multiLevelType w:val="multilevel"/>
    <w:tmpl w:val="1BBC3B4E"/>
    <w:lvl w:ilvl="0">
      <w:start w:val="1"/>
      <w:numFmt w:val="decimal"/>
      <w:lvlText w:val="%1)"/>
      <w:lvlJc w:val="left"/>
      <w:pPr>
        <w:ind w:left="360" w:hanging="360"/>
      </w:p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56BD4"/>
    <w:multiLevelType w:val="hybridMultilevel"/>
    <w:tmpl w:val="01DE22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0110197"/>
    <w:multiLevelType w:val="hybridMultilevel"/>
    <w:tmpl w:val="7B98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46309"/>
    <w:multiLevelType w:val="hybridMultilevel"/>
    <w:tmpl w:val="5872A5B6"/>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F40DA"/>
    <w:multiLevelType w:val="hybridMultilevel"/>
    <w:tmpl w:val="6FBC07B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A630DD"/>
    <w:multiLevelType w:val="multilevel"/>
    <w:tmpl w:val="B4D0FEE2"/>
    <w:lvl w:ilvl="0">
      <w:start w:val="1"/>
      <w:numFmt w:val="cardinalText"/>
      <w:suff w:val="nothing"/>
      <w:lvlText w:val="Part %1"/>
      <w:lvlJc w:val="left"/>
      <w:pPr>
        <w:ind w:left="3992" w:hanging="1440"/>
      </w:pPr>
      <w:rPr>
        <w:rFonts w:hint="default"/>
        <w:b w:val="0"/>
        <w:i w:val="0"/>
        <w:vanish w:val="0"/>
        <w:color w:val="auto"/>
      </w:rPr>
    </w:lvl>
    <w:lvl w:ilvl="1">
      <w:start w:val="1"/>
      <w:numFmt w:val="decimal"/>
      <w:lvlText w:val="%2"/>
      <w:lvlJc w:val="left"/>
      <w:pPr>
        <w:tabs>
          <w:tab w:val="num" w:pos="454"/>
        </w:tabs>
        <w:ind w:left="0" w:firstLine="0"/>
      </w:pPr>
      <w:rPr>
        <w:rFonts w:ascii="Arial" w:hAnsi="Arial" w:hint="default"/>
        <w:b/>
        <w:i w:val="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210568BA"/>
    <w:multiLevelType w:val="hybridMultilevel"/>
    <w:tmpl w:val="E5905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88060F"/>
    <w:multiLevelType w:val="hybridMultilevel"/>
    <w:tmpl w:val="52FE4230"/>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15F90"/>
    <w:multiLevelType w:val="hybridMultilevel"/>
    <w:tmpl w:val="E3024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C45D3"/>
    <w:multiLevelType w:val="hybridMultilevel"/>
    <w:tmpl w:val="C4523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4920FA"/>
    <w:multiLevelType w:val="hybridMultilevel"/>
    <w:tmpl w:val="BD0E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373786"/>
    <w:multiLevelType w:val="hybridMultilevel"/>
    <w:tmpl w:val="9B742C2E"/>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DC2AA6"/>
    <w:multiLevelType w:val="hybridMultilevel"/>
    <w:tmpl w:val="A134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046977"/>
    <w:multiLevelType w:val="hybridMultilevel"/>
    <w:tmpl w:val="4AB0B91A"/>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C960E1"/>
    <w:multiLevelType w:val="hybridMultilevel"/>
    <w:tmpl w:val="D0EA17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96F1C"/>
    <w:multiLevelType w:val="hybridMultilevel"/>
    <w:tmpl w:val="A5DA458C"/>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C004732"/>
    <w:multiLevelType w:val="hybridMultilevel"/>
    <w:tmpl w:val="F1A4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727E1"/>
    <w:multiLevelType w:val="hybridMultilevel"/>
    <w:tmpl w:val="25F6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660A2"/>
    <w:multiLevelType w:val="hybridMultilevel"/>
    <w:tmpl w:val="C362F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643D33"/>
    <w:multiLevelType w:val="hybridMultilevel"/>
    <w:tmpl w:val="DA90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F61FA8"/>
    <w:multiLevelType w:val="hybridMultilevel"/>
    <w:tmpl w:val="36E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5"/>
  </w:num>
  <w:num w:numId="3">
    <w:abstractNumId w:val="25"/>
  </w:num>
  <w:num w:numId="4">
    <w:abstractNumId w:val="38"/>
  </w:num>
  <w:num w:numId="5">
    <w:abstractNumId w:val="4"/>
  </w:num>
  <w:num w:numId="6">
    <w:abstractNumId w:val="18"/>
  </w:num>
  <w:num w:numId="7">
    <w:abstractNumId w:val="33"/>
  </w:num>
  <w:num w:numId="8">
    <w:abstractNumId w:val="19"/>
  </w:num>
  <w:num w:numId="9">
    <w:abstractNumId w:val="23"/>
  </w:num>
  <w:num w:numId="10">
    <w:abstractNumId w:val="8"/>
  </w:num>
  <w:num w:numId="11">
    <w:abstractNumId w:val="16"/>
  </w:num>
  <w:num w:numId="12">
    <w:abstractNumId w:val="29"/>
  </w:num>
  <w:num w:numId="13">
    <w:abstractNumId w:val="9"/>
  </w:num>
  <w:num w:numId="14">
    <w:abstractNumId w:val="27"/>
  </w:num>
  <w:num w:numId="15">
    <w:abstractNumId w:val="0"/>
  </w:num>
  <w:num w:numId="16">
    <w:abstractNumId w:val="26"/>
  </w:num>
  <w:num w:numId="17">
    <w:abstractNumId w:val="28"/>
  </w:num>
  <w:num w:numId="18">
    <w:abstractNumId w:val="31"/>
  </w:num>
  <w:num w:numId="19">
    <w:abstractNumId w:val="21"/>
  </w:num>
  <w:num w:numId="20">
    <w:abstractNumId w:val="20"/>
  </w:num>
  <w:num w:numId="21">
    <w:abstractNumId w:val="1"/>
  </w:num>
  <w:num w:numId="22">
    <w:abstractNumId w:val="39"/>
  </w:num>
  <w:num w:numId="23">
    <w:abstractNumId w:val="35"/>
  </w:num>
  <w:num w:numId="24">
    <w:abstractNumId w:val="3"/>
  </w:num>
  <w:num w:numId="25">
    <w:abstractNumId w:val="12"/>
  </w:num>
  <w:num w:numId="26">
    <w:abstractNumId w:val="10"/>
  </w:num>
  <w:num w:numId="27">
    <w:abstractNumId w:val="37"/>
  </w:num>
  <w:num w:numId="28">
    <w:abstractNumId w:val="11"/>
  </w:num>
  <w:num w:numId="29">
    <w:abstractNumId w:val="2"/>
  </w:num>
  <w:num w:numId="30">
    <w:abstractNumId w:val="40"/>
  </w:num>
  <w:num w:numId="31">
    <w:abstractNumId w:val="22"/>
  </w:num>
  <w:num w:numId="32">
    <w:abstractNumId w:val="15"/>
  </w:num>
  <w:num w:numId="33">
    <w:abstractNumId w:val="7"/>
  </w:num>
  <w:num w:numId="34">
    <w:abstractNumId w:val="14"/>
  </w:num>
  <w:num w:numId="35">
    <w:abstractNumId w:val="32"/>
  </w:num>
  <w:num w:numId="36">
    <w:abstractNumId w:val="34"/>
  </w:num>
  <w:num w:numId="37">
    <w:abstractNumId w:val="36"/>
  </w:num>
  <w:num w:numId="38">
    <w:abstractNumId w:val="6"/>
  </w:num>
  <w:num w:numId="39">
    <w:abstractNumId w:val="13"/>
  </w:num>
  <w:num w:numId="40">
    <w:abstractNumId w:val="4"/>
  </w:num>
  <w:num w:numId="41">
    <w:abstractNumId w:val="17"/>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419"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fr-CH" w:vendorID="64" w:dllVersion="6" w:nlCheck="1" w:checkStyle="0"/>
  <w:activeWritingStyle w:appName="MSWord" w:lang="en-GB" w:vendorID="64" w:dllVersion="6" w:nlCheck="1" w:checkStyle="1"/>
  <w:activeWritingStyle w:appName="MSWord" w:lang="en-US"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s-419"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0"/>
    <w:rsid w:val="00003C71"/>
    <w:rsid w:val="00003E83"/>
    <w:rsid w:val="00010CF3"/>
    <w:rsid w:val="00011E27"/>
    <w:rsid w:val="000121C0"/>
    <w:rsid w:val="000132A2"/>
    <w:rsid w:val="00013806"/>
    <w:rsid w:val="000148BC"/>
    <w:rsid w:val="000151D5"/>
    <w:rsid w:val="0001547A"/>
    <w:rsid w:val="00016672"/>
    <w:rsid w:val="00024AB8"/>
    <w:rsid w:val="00025236"/>
    <w:rsid w:val="00030854"/>
    <w:rsid w:val="0003138D"/>
    <w:rsid w:val="00035940"/>
    <w:rsid w:val="00035E9F"/>
    <w:rsid w:val="00036028"/>
    <w:rsid w:val="00037BAB"/>
    <w:rsid w:val="0004198B"/>
    <w:rsid w:val="000432D4"/>
    <w:rsid w:val="00044642"/>
    <w:rsid w:val="000446B9"/>
    <w:rsid w:val="000465F8"/>
    <w:rsid w:val="0004663A"/>
    <w:rsid w:val="00046767"/>
    <w:rsid w:val="00047E21"/>
    <w:rsid w:val="00050E16"/>
    <w:rsid w:val="0005365C"/>
    <w:rsid w:val="00061227"/>
    <w:rsid w:val="00063A00"/>
    <w:rsid w:val="00066C87"/>
    <w:rsid w:val="00066D8F"/>
    <w:rsid w:val="00071915"/>
    <w:rsid w:val="00071F28"/>
    <w:rsid w:val="0007648E"/>
    <w:rsid w:val="000765E8"/>
    <w:rsid w:val="00081CC5"/>
    <w:rsid w:val="00082E0B"/>
    <w:rsid w:val="00083D44"/>
    <w:rsid w:val="00085505"/>
    <w:rsid w:val="00087482"/>
    <w:rsid w:val="00093907"/>
    <w:rsid w:val="0009463F"/>
    <w:rsid w:val="000A05E5"/>
    <w:rsid w:val="000A0614"/>
    <w:rsid w:val="000A1C21"/>
    <w:rsid w:val="000A2FCD"/>
    <w:rsid w:val="000A3E35"/>
    <w:rsid w:val="000A581C"/>
    <w:rsid w:val="000B1759"/>
    <w:rsid w:val="000B79AD"/>
    <w:rsid w:val="000C3557"/>
    <w:rsid w:val="000C399F"/>
    <w:rsid w:val="000C4026"/>
    <w:rsid w:val="000C4E25"/>
    <w:rsid w:val="000C61F1"/>
    <w:rsid w:val="000C68F0"/>
    <w:rsid w:val="000C7021"/>
    <w:rsid w:val="000C7812"/>
    <w:rsid w:val="000D20D3"/>
    <w:rsid w:val="000D6BBC"/>
    <w:rsid w:val="000D6F86"/>
    <w:rsid w:val="000D7780"/>
    <w:rsid w:val="000E16EE"/>
    <w:rsid w:val="000E2F92"/>
    <w:rsid w:val="000E335D"/>
    <w:rsid w:val="000E33B2"/>
    <w:rsid w:val="000E636A"/>
    <w:rsid w:val="000F2182"/>
    <w:rsid w:val="000F2F11"/>
    <w:rsid w:val="000F4ECB"/>
    <w:rsid w:val="00100A5F"/>
    <w:rsid w:val="001017C4"/>
    <w:rsid w:val="00101A03"/>
    <w:rsid w:val="00105929"/>
    <w:rsid w:val="00110BED"/>
    <w:rsid w:val="00110C36"/>
    <w:rsid w:val="00110CD3"/>
    <w:rsid w:val="001112E4"/>
    <w:rsid w:val="001131D5"/>
    <w:rsid w:val="00114036"/>
    <w:rsid w:val="00114547"/>
    <w:rsid w:val="00115012"/>
    <w:rsid w:val="00115790"/>
    <w:rsid w:val="00122D1F"/>
    <w:rsid w:val="00123AC7"/>
    <w:rsid w:val="00123FDC"/>
    <w:rsid w:val="00124C1C"/>
    <w:rsid w:val="001277AC"/>
    <w:rsid w:val="001301D4"/>
    <w:rsid w:val="00131EC7"/>
    <w:rsid w:val="00136D49"/>
    <w:rsid w:val="00141DB8"/>
    <w:rsid w:val="001479C8"/>
    <w:rsid w:val="001510CE"/>
    <w:rsid w:val="00152114"/>
    <w:rsid w:val="00155D39"/>
    <w:rsid w:val="00156BAC"/>
    <w:rsid w:val="00156DD5"/>
    <w:rsid w:val="001645C8"/>
    <w:rsid w:val="00166423"/>
    <w:rsid w:val="001678EE"/>
    <w:rsid w:val="00172084"/>
    <w:rsid w:val="0017474A"/>
    <w:rsid w:val="001758C6"/>
    <w:rsid w:val="00177885"/>
    <w:rsid w:val="00177EFF"/>
    <w:rsid w:val="001812FC"/>
    <w:rsid w:val="00182B99"/>
    <w:rsid w:val="00186612"/>
    <w:rsid w:val="00187D80"/>
    <w:rsid w:val="0019061A"/>
    <w:rsid w:val="00197188"/>
    <w:rsid w:val="001976C5"/>
    <w:rsid w:val="001A098E"/>
    <w:rsid w:val="001A6E83"/>
    <w:rsid w:val="001B33FC"/>
    <w:rsid w:val="001B4DCF"/>
    <w:rsid w:val="001B7DBA"/>
    <w:rsid w:val="001C1525"/>
    <w:rsid w:val="001C42E4"/>
    <w:rsid w:val="001C491A"/>
    <w:rsid w:val="001C4A24"/>
    <w:rsid w:val="001C762B"/>
    <w:rsid w:val="001D23F9"/>
    <w:rsid w:val="001D3CF7"/>
    <w:rsid w:val="001D4573"/>
    <w:rsid w:val="001D5C8B"/>
    <w:rsid w:val="001D67B9"/>
    <w:rsid w:val="001D736D"/>
    <w:rsid w:val="001E3532"/>
    <w:rsid w:val="001E5864"/>
    <w:rsid w:val="001E6709"/>
    <w:rsid w:val="001F1EFB"/>
    <w:rsid w:val="001F62BD"/>
    <w:rsid w:val="001F7D4F"/>
    <w:rsid w:val="00201141"/>
    <w:rsid w:val="0020165A"/>
    <w:rsid w:val="00202311"/>
    <w:rsid w:val="00204829"/>
    <w:rsid w:val="00206E0A"/>
    <w:rsid w:val="00210D7C"/>
    <w:rsid w:val="00212CA2"/>
    <w:rsid w:val="0021332C"/>
    <w:rsid w:val="00213982"/>
    <w:rsid w:val="002145AE"/>
    <w:rsid w:val="00216AFA"/>
    <w:rsid w:val="00221BC7"/>
    <w:rsid w:val="00222189"/>
    <w:rsid w:val="00223E6C"/>
    <w:rsid w:val="00226D24"/>
    <w:rsid w:val="002278C4"/>
    <w:rsid w:val="00227B47"/>
    <w:rsid w:val="00232DD5"/>
    <w:rsid w:val="002371CF"/>
    <w:rsid w:val="0024416D"/>
    <w:rsid w:val="0024716D"/>
    <w:rsid w:val="002536D2"/>
    <w:rsid w:val="00256943"/>
    <w:rsid w:val="00262B74"/>
    <w:rsid w:val="00266A2E"/>
    <w:rsid w:val="0026769B"/>
    <w:rsid w:val="00271911"/>
    <w:rsid w:val="00271E20"/>
    <w:rsid w:val="00273187"/>
    <w:rsid w:val="00273274"/>
    <w:rsid w:val="00273418"/>
    <w:rsid w:val="00273BB7"/>
    <w:rsid w:val="00275719"/>
    <w:rsid w:val="00275D1C"/>
    <w:rsid w:val="002800A0"/>
    <w:rsid w:val="002801B3"/>
    <w:rsid w:val="00281060"/>
    <w:rsid w:val="00281CA5"/>
    <w:rsid w:val="002832D8"/>
    <w:rsid w:val="002841B0"/>
    <w:rsid w:val="00285BD0"/>
    <w:rsid w:val="00286329"/>
    <w:rsid w:val="00292B07"/>
    <w:rsid w:val="00293F40"/>
    <w:rsid w:val="002940E8"/>
    <w:rsid w:val="00294442"/>
    <w:rsid w:val="00294751"/>
    <w:rsid w:val="0029494D"/>
    <w:rsid w:val="00296562"/>
    <w:rsid w:val="002A6E50"/>
    <w:rsid w:val="002B1342"/>
    <w:rsid w:val="002B4298"/>
    <w:rsid w:val="002B4BB9"/>
    <w:rsid w:val="002B599E"/>
    <w:rsid w:val="002B6145"/>
    <w:rsid w:val="002B7A36"/>
    <w:rsid w:val="002B7DE9"/>
    <w:rsid w:val="002C256A"/>
    <w:rsid w:val="002C278B"/>
    <w:rsid w:val="002C67C9"/>
    <w:rsid w:val="002D1E0A"/>
    <w:rsid w:val="002D5226"/>
    <w:rsid w:val="002D5C82"/>
    <w:rsid w:val="002D7CDC"/>
    <w:rsid w:val="002F2909"/>
    <w:rsid w:val="002F7C19"/>
    <w:rsid w:val="003011EF"/>
    <w:rsid w:val="00301354"/>
    <w:rsid w:val="00303720"/>
    <w:rsid w:val="00304680"/>
    <w:rsid w:val="00305A7F"/>
    <w:rsid w:val="003113F3"/>
    <w:rsid w:val="003128EC"/>
    <w:rsid w:val="00314E31"/>
    <w:rsid w:val="003152FE"/>
    <w:rsid w:val="003162DA"/>
    <w:rsid w:val="003220C7"/>
    <w:rsid w:val="003260FD"/>
    <w:rsid w:val="00327436"/>
    <w:rsid w:val="003330F6"/>
    <w:rsid w:val="0033481F"/>
    <w:rsid w:val="0033491F"/>
    <w:rsid w:val="0033650A"/>
    <w:rsid w:val="003411E3"/>
    <w:rsid w:val="0034411E"/>
    <w:rsid w:val="00344BD6"/>
    <w:rsid w:val="00347E8F"/>
    <w:rsid w:val="00353138"/>
    <w:rsid w:val="00353F0C"/>
    <w:rsid w:val="0035528D"/>
    <w:rsid w:val="00357629"/>
    <w:rsid w:val="0036135E"/>
    <w:rsid w:val="00361821"/>
    <w:rsid w:val="00361E9E"/>
    <w:rsid w:val="00361EE2"/>
    <w:rsid w:val="00364B76"/>
    <w:rsid w:val="00374153"/>
    <w:rsid w:val="003753EE"/>
    <w:rsid w:val="00381772"/>
    <w:rsid w:val="00382BB1"/>
    <w:rsid w:val="00384C8A"/>
    <w:rsid w:val="00386075"/>
    <w:rsid w:val="003927FC"/>
    <w:rsid w:val="003A0835"/>
    <w:rsid w:val="003A20EA"/>
    <w:rsid w:val="003A4333"/>
    <w:rsid w:val="003A5AAF"/>
    <w:rsid w:val="003A7075"/>
    <w:rsid w:val="003B700A"/>
    <w:rsid w:val="003C2911"/>
    <w:rsid w:val="003C3D59"/>
    <w:rsid w:val="003C7FBE"/>
    <w:rsid w:val="003D227C"/>
    <w:rsid w:val="003D262B"/>
    <w:rsid w:val="003D2B4D"/>
    <w:rsid w:val="003D2C44"/>
    <w:rsid w:val="003D41F6"/>
    <w:rsid w:val="003D4F92"/>
    <w:rsid w:val="003D6B5E"/>
    <w:rsid w:val="003D748C"/>
    <w:rsid w:val="003E089A"/>
    <w:rsid w:val="003E3C19"/>
    <w:rsid w:val="003F073D"/>
    <w:rsid w:val="003F1634"/>
    <w:rsid w:val="003F37F5"/>
    <w:rsid w:val="0040542C"/>
    <w:rsid w:val="00405932"/>
    <w:rsid w:val="0040786B"/>
    <w:rsid w:val="00407BB4"/>
    <w:rsid w:val="00407E67"/>
    <w:rsid w:val="0041095D"/>
    <w:rsid w:val="004120AB"/>
    <w:rsid w:val="004207F1"/>
    <w:rsid w:val="00422B6C"/>
    <w:rsid w:val="00422C38"/>
    <w:rsid w:val="004241BE"/>
    <w:rsid w:val="00425B3A"/>
    <w:rsid w:val="00425B97"/>
    <w:rsid w:val="00426F4A"/>
    <w:rsid w:val="00426F59"/>
    <w:rsid w:val="004321C3"/>
    <w:rsid w:val="0044103E"/>
    <w:rsid w:val="00441426"/>
    <w:rsid w:val="00444A88"/>
    <w:rsid w:val="00447E80"/>
    <w:rsid w:val="004505CD"/>
    <w:rsid w:val="00453C53"/>
    <w:rsid w:val="00461790"/>
    <w:rsid w:val="00473CD1"/>
    <w:rsid w:val="00474DA4"/>
    <w:rsid w:val="0047576F"/>
    <w:rsid w:val="004769CE"/>
    <w:rsid w:val="00476B4D"/>
    <w:rsid w:val="004805FA"/>
    <w:rsid w:val="0048095B"/>
    <w:rsid w:val="00485280"/>
    <w:rsid w:val="004852F6"/>
    <w:rsid w:val="0048576C"/>
    <w:rsid w:val="004906E9"/>
    <w:rsid w:val="00491853"/>
    <w:rsid w:val="00492947"/>
    <w:rsid w:val="00492A30"/>
    <w:rsid w:val="004935D2"/>
    <w:rsid w:val="00493A02"/>
    <w:rsid w:val="00495262"/>
    <w:rsid w:val="00495686"/>
    <w:rsid w:val="0049598F"/>
    <w:rsid w:val="0049787A"/>
    <w:rsid w:val="004978E0"/>
    <w:rsid w:val="004A013B"/>
    <w:rsid w:val="004A1E2B"/>
    <w:rsid w:val="004A2637"/>
    <w:rsid w:val="004B0566"/>
    <w:rsid w:val="004B1215"/>
    <w:rsid w:val="004D047D"/>
    <w:rsid w:val="004D0C2A"/>
    <w:rsid w:val="004D44A7"/>
    <w:rsid w:val="004D6A34"/>
    <w:rsid w:val="004D740E"/>
    <w:rsid w:val="004E02E2"/>
    <w:rsid w:val="004E134A"/>
    <w:rsid w:val="004E26CE"/>
    <w:rsid w:val="004E2D59"/>
    <w:rsid w:val="004E549D"/>
    <w:rsid w:val="004E7A9B"/>
    <w:rsid w:val="004F1E9E"/>
    <w:rsid w:val="004F22B9"/>
    <w:rsid w:val="004F2EB1"/>
    <w:rsid w:val="004F305A"/>
    <w:rsid w:val="004F3B4D"/>
    <w:rsid w:val="004F63C9"/>
    <w:rsid w:val="004F6697"/>
    <w:rsid w:val="00512164"/>
    <w:rsid w:val="00513481"/>
    <w:rsid w:val="0051450B"/>
    <w:rsid w:val="0051534E"/>
    <w:rsid w:val="00516ADC"/>
    <w:rsid w:val="00517EEF"/>
    <w:rsid w:val="00520297"/>
    <w:rsid w:val="0052478C"/>
    <w:rsid w:val="00524AD3"/>
    <w:rsid w:val="00531511"/>
    <w:rsid w:val="005338F9"/>
    <w:rsid w:val="00534F35"/>
    <w:rsid w:val="00536105"/>
    <w:rsid w:val="00537188"/>
    <w:rsid w:val="0054281C"/>
    <w:rsid w:val="00544568"/>
    <w:rsid w:val="00544581"/>
    <w:rsid w:val="005506C5"/>
    <w:rsid w:val="005508CB"/>
    <w:rsid w:val="005510E0"/>
    <w:rsid w:val="0055268D"/>
    <w:rsid w:val="00553705"/>
    <w:rsid w:val="00556262"/>
    <w:rsid w:val="00561560"/>
    <w:rsid w:val="005627E5"/>
    <w:rsid w:val="00562F05"/>
    <w:rsid w:val="005656B7"/>
    <w:rsid w:val="0056694C"/>
    <w:rsid w:val="00566E07"/>
    <w:rsid w:val="00575DE2"/>
    <w:rsid w:val="00576A17"/>
    <w:rsid w:val="00576BE4"/>
    <w:rsid w:val="005779DB"/>
    <w:rsid w:val="00582AC7"/>
    <w:rsid w:val="005864C9"/>
    <w:rsid w:val="005931F0"/>
    <w:rsid w:val="00593F08"/>
    <w:rsid w:val="00594045"/>
    <w:rsid w:val="00595FD2"/>
    <w:rsid w:val="005A1B0C"/>
    <w:rsid w:val="005A3E97"/>
    <w:rsid w:val="005A400A"/>
    <w:rsid w:val="005A7DF4"/>
    <w:rsid w:val="005B1373"/>
    <w:rsid w:val="005B269D"/>
    <w:rsid w:val="005B7871"/>
    <w:rsid w:val="005C02E7"/>
    <w:rsid w:val="005C2501"/>
    <w:rsid w:val="005D016B"/>
    <w:rsid w:val="005D2411"/>
    <w:rsid w:val="005D25D5"/>
    <w:rsid w:val="005D2C7D"/>
    <w:rsid w:val="005D3C9B"/>
    <w:rsid w:val="005D4B85"/>
    <w:rsid w:val="005E27A8"/>
    <w:rsid w:val="005F1474"/>
    <w:rsid w:val="005F45B2"/>
    <w:rsid w:val="005F6D7A"/>
    <w:rsid w:val="005F6E36"/>
    <w:rsid w:val="005F7B92"/>
    <w:rsid w:val="00601AB3"/>
    <w:rsid w:val="00603DC8"/>
    <w:rsid w:val="00604574"/>
    <w:rsid w:val="00606610"/>
    <w:rsid w:val="00612379"/>
    <w:rsid w:val="00613FC7"/>
    <w:rsid w:val="006153B6"/>
    <w:rsid w:val="0061555F"/>
    <w:rsid w:val="00617243"/>
    <w:rsid w:val="006214F6"/>
    <w:rsid w:val="006245ED"/>
    <w:rsid w:val="006248CD"/>
    <w:rsid w:val="00626178"/>
    <w:rsid w:val="00626C39"/>
    <w:rsid w:val="00632634"/>
    <w:rsid w:val="00636CA6"/>
    <w:rsid w:val="00641200"/>
    <w:rsid w:val="006433D8"/>
    <w:rsid w:val="006449D7"/>
    <w:rsid w:val="00644F2B"/>
    <w:rsid w:val="00645504"/>
    <w:rsid w:val="00645CA8"/>
    <w:rsid w:val="00650ED9"/>
    <w:rsid w:val="006524DD"/>
    <w:rsid w:val="0065490A"/>
    <w:rsid w:val="00661935"/>
    <w:rsid w:val="006655D3"/>
    <w:rsid w:val="00665BC8"/>
    <w:rsid w:val="00667404"/>
    <w:rsid w:val="00671A10"/>
    <w:rsid w:val="00671ECD"/>
    <w:rsid w:val="00676313"/>
    <w:rsid w:val="00676EFE"/>
    <w:rsid w:val="00680C44"/>
    <w:rsid w:val="00683446"/>
    <w:rsid w:val="00683617"/>
    <w:rsid w:val="00683CCA"/>
    <w:rsid w:val="00684A0E"/>
    <w:rsid w:val="00685222"/>
    <w:rsid w:val="00685D19"/>
    <w:rsid w:val="00686884"/>
    <w:rsid w:val="006868F8"/>
    <w:rsid w:val="00687EB4"/>
    <w:rsid w:val="00690A68"/>
    <w:rsid w:val="00691C76"/>
    <w:rsid w:val="006935AB"/>
    <w:rsid w:val="00695C56"/>
    <w:rsid w:val="00697F90"/>
    <w:rsid w:val="006A0748"/>
    <w:rsid w:val="006A2BF0"/>
    <w:rsid w:val="006A5CDE"/>
    <w:rsid w:val="006A644A"/>
    <w:rsid w:val="006B17D2"/>
    <w:rsid w:val="006B51FE"/>
    <w:rsid w:val="006B6FBB"/>
    <w:rsid w:val="006C0BF1"/>
    <w:rsid w:val="006C224E"/>
    <w:rsid w:val="006C24D4"/>
    <w:rsid w:val="006C36AC"/>
    <w:rsid w:val="006C7717"/>
    <w:rsid w:val="006D3011"/>
    <w:rsid w:val="006D4B95"/>
    <w:rsid w:val="006D525E"/>
    <w:rsid w:val="006D780A"/>
    <w:rsid w:val="006E1E12"/>
    <w:rsid w:val="006E2386"/>
    <w:rsid w:val="006E3D1B"/>
    <w:rsid w:val="006F1087"/>
    <w:rsid w:val="006F4552"/>
    <w:rsid w:val="00703522"/>
    <w:rsid w:val="00703E60"/>
    <w:rsid w:val="00706BAD"/>
    <w:rsid w:val="0070748B"/>
    <w:rsid w:val="00711DD8"/>
    <w:rsid w:val="0071271E"/>
    <w:rsid w:val="0071419F"/>
    <w:rsid w:val="00721A2F"/>
    <w:rsid w:val="00732DEC"/>
    <w:rsid w:val="007349BB"/>
    <w:rsid w:val="007357A1"/>
    <w:rsid w:val="00735BD5"/>
    <w:rsid w:val="007402C0"/>
    <w:rsid w:val="007413ED"/>
    <w:rsid w:val="007440A8"/>
    <w:rsid w:val="007451EC"/>
    <w:rsid w:val="00745756"/>
    <w:rsid w:val="00750ABA"/>
    <w:rsid w:val="00750AFA"/>
    <w:rsid w:val="00751613"/>
    <w:rsid w:val="00751E8E"/>
    <w:rsid w:val="00753EE9"/>
    <w:rsid w:val="007546B2"/>
    <w:rsid w:val="00754ADB"/>
    <w:rsid w:val="007556F6"/>
    <w:rsid w:val="00757C6D"/>
    <w:rsid w:val="00760EEF"/>
    <w:rsid w:val="00763487"/>
    <w:rsid w:val="00764788"/>
    <w:rsid w:val="007657A2"/>
    <w:rsid w:val="00770FBE"/>
    <w:rsid w:val="00773B98"/>
    <w:rsid w:val="00775977"/>
    <w:rsid w:val="00776359"/>
    <w:rsid w:val="00777EE5"/>
    <w:rsid w:val="00784836"/>
    <w:rsid w:val="007871BB"/>
    <w:rsid w:val="0079023E"/>
    <w:rsid w:val="0079482E"/>
    <w:rsid w:val="007A2854"/>
    <w:rsid w:val="007A4D5D"/>
    <w:rsid w:val="007A748A"/>
    <w:rsid w:val="007A799E"/>
    <w:rsid w:val="007B1E76"/>
    <w:rsid w:val="007B60D6"/>
    <w:rsid w:val="007C1D92"/>
    <w:rsid w:val="007C279B"/>
    <w:rsid w:val="007C2966"/>
    <w:rsid w:val="007C4CB9"/>
    <w:rsid w:val="007C5346"/>
    <w:rsid w:val="007C68EE"/>
    <w:rsid w:val="007C7FBE"/>
    <w:rsid w:val="007D0B9D"/>
    <w:rsid w:val="007D19B0"/>
    <w:rsid w:val="007D41D4"/>
    <w:rsid w:val="007D52E1"/>
    <w:rsid w:val="007E0191"/>
    <w:rsid w:val="007E06EC"/>
    <w:rsid w:val="007E089C"/>
    <w:rsid w:val="007E21A0"/>
    <w:rsid w:val="007E3F09"/>
    <w:rsid w:val="007E5254"/>
    <w:rsid w:val="007E6AFE"/>
    <w:rsid w:val="007F0A4A"/>
    <w:rsid w:val="007F498F"/>
    <w:rsid w:val="007F581A"/>
    <w:rsid w:val="007F64FF"/>
    <w:rsid w:val="007F7226"/>
    <w:rsid w:val="007F7AB1"/>
    <w:rsid w:val="00803DFC"/>
    <w:rsid w:val="00804B40"/>
    <w:rsid w:val="0080679D"/>
    <w:rsid w:val="00810113"/>
    <w:rsid w:val="008108B0"/>
    <w:rsid w:val="008110FC"/>
    <w:rsid w:val="00811B20"/>
    <w:rsid w:val="00812609"/>
    <w:rsid w:val="008132AC"/>
    <w:rsid w:val="00816B4B"/>
    <w:rsid w:val="0081738A"/>
    <w:rsid w:val="008211B5"/>
    <w:rsid w:val="0082296E"/>
    <w:rsid w:val="00823C09"/>
    <w:rsid w:val="00824099"/>
    <w:rsid w:val="008327D3"/>
    <w:rsid w:val="008376DA"/>
    <w:rsid w:val="00837CC6"/>
    <w:rsid w:val="00843031"/>
    <w:rsid w:val="0084496B"/>
    <w:rsid w:val="00845619"/>
    <w:rsid w:val="00846D7C"/>
    <w:rsid w:val="00853BB7"/>
    <w:rsid w:val="00854A00"/>
    <w:rsid w:val="00855E41"/>
    <w:rsid w:val="0085603D"/>
    <w:rsid w:val="00856107"/>
    <w:rsid w:val="00857156"/>
    <w:rsid w:val="0085724C"/>
    <w:rsid w:val="00867ABB"/>
    <w:rsid w:val="00867AC1"/>
    <w:rsid w:val="00872495"/>
    <w:rsid w:val="008724A2"/>
    <w:rsid w:val="00874D41"/>
    <w:rsid w:val="008751DE"/>
    <w:rsid w:val="00886081"/>
    <w:rsid w:val="00890B27"/>
    <w:rsid w:val="00890DF8"/>
    <w:rsid w:val="008A0ADE"/>
    <w:rsid w:val="008A3E99"/>
    <w:rsid w:val="008A743F"/>
    <w:rsid w:val="008A7976"/>
    <w:rsid w:val="008B01AA"/>
    <w:rsid w:val="008B0D9B"/>
    <w:rsid w:val="008B3A81"/>
    <w:rsid w:val="008C0970"/>
    <w:rsid w:val="008C1E2F"/>
    <w:rsid w:val="008C2DC9"/>
    <w:rsid w:val="008C37A1"/>
    <w:rsid w:val="008C7F60"/>
    <w:rsid w:val="008D0BC5"/>
    <w:rsid w:val="008D163D"/>
    <w:rsid w:val="008D219C"/>
    <w:rsid w:val="008D23D2"/>
    <w:rsid w:val="008D2CF7"/>
    <w:rsid w:val="008D3B8C"/>
    <w:rsid w:val="008D5244"/>
    <w:rsid w:val="008D6E31"/>
    <w:rsid w:val="008E5BD7"/>
    <w:rsid w:val="008F42EB"/>
    <w:rsid w:val="008F7A81"/>
    <w:rsid w:val="00900C26"/>
    <w:rsid w:val="0090197F"/>
    <w:rsid w:val="00902159"/>
    <w:rsid w:val="00902BF7"/>
    <w:rsid w:val="00903264"/>
    <w:rsid w:val="00906DDC"/>
    <w:rsid w:val="0091036D"/>
    <w:rsid w:val="009108DF"/>
    <w:rsid w:val="009132C5"/>
    <w:rsid w:val="00921F02"/>
    <w:rsid w:val="00926DD6"/>
    <w:rsid w:val="009306C6"/>
    <w:rsid w:val="00933446"/>
    <w:rsid w:val="0093419C"/>
    <w:rsid w:val="00934E09"/>
    <w:rsid w:val="0093607B"/>
    <w:rsid w:val="00936253"/>
    <w:rsid w:val="00940D46"/>
    <w:rsid w:val="009413F1"/>
    <w:rsid w:val="00947AAF"/>
    <w:rsid w:val="00947CE8"/>
    <w:rsid w:val="00950913"/>
    <w:rsid w:val="00952DD4"/>
    <w:rsid w:val="009561F4"/>
    <w:rsid w:val="00956F06"/>
    <w:rsid w:val="00957753"/>
    <w:rsid w:val="00962011"/>
    <w:rsid w:val="00965647"/>
    <w:rsid w:val="00965AE7"/>
    <w:rsid w:val="00970783"/>
    <w:rsid w:val="00970FED"/>
    <w:rsid w:val="00972048"/>
    <w:rsid w:val="009724A8"/>
    <w:rsid w:val="009728B4"/>
    <w:rsid w:val="00972959"/>
    <w:rsid w:val="0097386F"/>
    <w:rsid w:val="00984F8C"/>
    <w:rsid w:val="00986241"/>
    <w:rsid w:val="00990489"/>
    <w:rsid w:val="009914D5"/>
    <w:rsid w:val="00992D82"/>
    <w:rsid w:val="009959A4"/>
    <w:rsid w:val="00997029"/>
    <w:rsid w:val="00997736"/>
    <w:rsid w:val="009A1203"/>
    <w:rsid w:val="009A1B7E"/>
    <w:rsid w:val="009A1FC9"/>
    <w:rsid w:val="009A478F"/>
    <w:rsid w:val="009A4B09"/>
    <w:rsid w:val="009A7339"/>
    <w:rsid w:val="009B440E"/>
    <w:rsid w:val="009B5D99"/>
    <w:rsid w:val="009C13BA"/>
    <w:rsid w:val="009C20C7"/>
    <w:rsid w:val="009C3CBF"/>
    <w:rsid w:val="009C6857"/>
    <w:rsid w:val="009D690D"/>
    <w:rsid w:val="009E232C"/>
    <w:rsid w:val="009E34FD"/>
    <w:rsid w:val="009E65B6"/>
    <w:rsid w:val="009F0A51"/>
    <w:rsid w:val="009F2012"/>
    <w:rsid w:val="009F491B"/>
    <w:rsid w:val="009F77CF"/>
    <w:rsid w:val="009F7E48"/>
    <w:rsid w:val="00A05CF3"/>
    <w:rsid w:val="00A16C52"/>
    <w:rsid w:val="00A24C10"/>
    <w:rsid w:val="00A27811"/>
    <w:rsid w:val="00A36319"/>
    <w:rsid w:val="00A4152B"/>
    <w:rsid w:val="00A42AC3"/>
    <w:rsid w:val="00A430CF"/>
    <w:rsid w:val="00A43D69"/>
    <w:rsid w:val="00A447F2"/>
    <w:rsid w:val="00A44941"/>
    <w:rsid w:val="00A50DAB"/>
    <w:rsid w:val="00A51096"/>
    <w:rsid w:val="00A53F27"/>
    <w:rsid w:val="00A54309"/>
    <w:rsid w:val="00A57E85"/>
    <w:rsid w:val="00A610A9"/>
    <w:rsid w:val="00A63E92"/>
    <w:rsid w:val="00A77EE2"/>
    <w:rsid w:val="00A80F2A"/>
    <w:rsid w:val="00A833A7"/>
    <w:rsid w:val="00A83C1F"/>
    <w:rsid w:val="00A83CCF"/>
    <w:rsid w:val="00A8435C"/>
    <w:rsid w:val="00A85A24"/>
    <w:rsid w:val="00A871AC"/>
    <w:rsid w:val="00A92A3B"/>
    <w:rsid w:val="00A95750"/>
    <w:rsid w:val="00A96C33"/>
    <w:rsid w:val="00AA086E"/>
    <w:rsid w:val="00AA100A"/>
    <w:rsid w:val="00AA13A2"/>
    <w:rsid w:val="00AA1ECA"/>
    <w:rsid w:val="00AA3791"/>
    <w:rsid w:val="00AA52D3"/>
    <w:rsid w:val="00AA7412"/>
    <w:rsid w:val="00AB1673"/>
    <w:rsid w:val="00AB2B93"/>
    <w:rsid w:val="00AB3C48"/>
    <w:rsid w:val="00AB3CDB"/>
    <w:rsid w:val="00AB530F"/>
    <w:rsid w:val="00AB66BC"/>
    <w:rsid w:val="00AB7A33"/>
    <w:rsid w:val="00AB7E5B"/>
    <w:rsid w:val="00AC00D4"/>
    <w:rsid w:val="00AC0F6F"/>
    <w:rsid w:val="00AC2883"/>
    <w:rsid w:val="00AC4B7F"/>
    <w:rsid w:val="00AC634D"/>
    <w:rsid w:val="00AD2802"/>
    <w:rsid w:val="00AD7FEB"/>
    <w:rsid w:val="00AE0EF1"/>
    <w:rsid w:val="00AE2937"/>
    <w:rsid w:val="00AE35C0"/>
    <w:rsid w:val="00AE61E9"/>
    <w:rsid w:val="00AF3F10"/>
    <w:rsid w:val="00AF3F69"/>
    <w:rsid w:val="00B03322"/>
    <w:rsid w:val="00B07301"/>
    <w:rsid w:val="00B11F3E"/>
    <w:rsid w:val="00B14422"/>
    <w:rsid w:val="00B21C90"/>
    <w:rsid w:val="00B224DE"/>
    <w:rsid w:val="00B22F3E"/>
    <w:rsid w:val="00B23AD3"/>
    <w:rsid w:val="00B23B49"/>
    <w:rsid w:val="00B23E16"/>
    <w:rsid w:val="00B308CE"/>
    <w:rsid w:val="00B3228C"/>
    <w:rsid w:val="00B324D4"/>
    <w:rsid w:val="00B34059"/>
    <w:rsid w:val="00B37A6E"/>
    <w:rsid w:val="00B4156A"/>
    <w:rsid w:val="00B41874"/>
    <w:rsid w:val="00B4476D"/>
    <w:rsid w:val="00B46575"/>
    <w:rsid w:val="00B500D8"/>
    <w:rsid w:val="00B51D49"/>
    <w:rsid w:val="00B525A5"/>
    <w:rsid w:val="00B52DBE"/>
    <w:rsid w:val="00B5553F"/>
    <w:rsid w:val="00B55D54"/>
    <w:rsid w:val="00B61777"/>
    <w:rsid w:val="00B622E6"/>
    <w:rsid w:val="00B62DD8"/>
    <w:rsid w:val="00B64144"/>
    <w:rsid w:val="00B66435"/>
    <w:rsid w:val="00B66E20"/>
    <w:rsid w:val="00B745EC"/>
    <w:rsid w:val="00B76C12"/>
    <w:rsid w:val="00B83E82"/>
    <w:rsid w:val="00B84BBD"/>
    <w:rsid w:val="00B85555"/>
    <w:rsid w:val="00B86450"/>
    <w:rsid w:val="00B86CCF"/>
    <w:rsid w:val="00B87448"/>
    <w:rsid w:val="00B904E7"/>
    <w:rsid w:val="00B91B22"/>
    <w:rsid w:val="00B91BD8"/>
    <w:rsid w:val="00B96F94"/>
    <w:rsid w:val="00BA12AA"/>
    <w:rsid w:val="00BA43FB"/>
    <w:rsid w:val="00BB2C71"/>
    <w:rsid w:val="00BB3ABE"/>
    <w:rsid w:val="00BC06E5"/>
    <w:rsid w:val="00BC127D"/>
    <w:rsid w:val="00BC1F0A"/>
    <w:rsid w:val="00BC1FE6"/>
    <w:rsid w:val="00BC2F8D"/>
    <w:rsid w:val="00BC5A02"/>
    <w:rsid w:val="00BC747C"/>
    <w:rsid w:val="00BD520B"/>
    <w:rsid w:val="00BE006A"/>
    <w:rsid w:val="00BE2A24"/>
    <w:rsid w:val="00BF26AD"/>
    <w:rsid w:val="00C00117"/>
    <w:rsid w:val="00C02A93"/>
    <w:rsid w:val="00C033F0"/>
    <w:rsid w:val="00C04F04"/>
    <w:rsid w:val="00C061B6"/>
    <w:rsid w:val="00C0629F"/>
    <w:rsid w:val="00C11CAE"/>
    <w:rsid w:val="00C12604"/>
    <w:rsid w:val="00C12B07"/>
    <w:rsid w:val="00C20BDE"/>
    <w:rsid w:val="00C2446C"/>
    <w:rsid w:val="00C262F1"/>
    <w:rsid w:val="00C313FC"/>
    <w:rsid w:val="00C34379"/>
    <w:rsid w:val="00C357E4"/>
    <w:rsid w:val="00C36155"/>
    <w:rsid w:val="00C36AE5"/>
    <w:rsid w:val="00C41477"/>
    <w:rsid w:val="00C41F17"/>
    <w:rsid w:val="00C42D4C"/>
    <w:rsid w:val="00C446CA"/>
    <w:rsid w:val="00C453FC"/>
    <w:rsid w:val="00C4768C"/>
    <w:rsid w:val="00C504DC"/>
    <w:rsid w:val="00C527FA"/>
    <w:rsid w:val="00C5280D"/>
    <w:rsid w:val="00C53EB3"/>
    <w:rsid w:val="00C5791C"/>
    <w:rsid w:val="00C61555"/>
    <w:rsid w:val="00C615A7"/>
    <w:rsid w:val="00C645AB"/>
    <w:rsid w:val="00C64BD1"/>
    <w:rsid w:val="00C6596B"/>
    <w:rsid w:val="00C66290"/>
    <w:rsid w:val="00C677C3"/>
    <w:rsid w:val="00C70DE2"/>
    <w:rsid w:val="00C71F7C"/>
    <w:rsid w:val="00C72B7A"/>
    <w:rsid w:val="00C72CEC"/>
    <w:rsid w:val="00C86A7D"/>
    <w:rsid w:val="00C8739B"/>
    <w:rsid w:val="00C87440"/>
    <w:rsid w:val="00C91169"/>
    <w:rsid w:val="00C91B9F"/>
    <w:rsid w:val="00C91BED"/>
    <w:rsid w:val="00C973F2"/>
    <w:rsid w:val="00CA0E00"/>
    <w:rsid w:val="00CA304C"/>
    <w:rsid w:val="00CA66E2"/>
    <w:rsid w:val="00CA6A39"/>
    <w:rsid w:val="00CA774A"/>
    <w:rsid w:val="00CB4921"/>
    <w:rsid w:val="00CB53BD"/>
    <w:rsid w:val="00CB6070"/>
    <w:rsid w:val="00CC0311"/>
    <w:rsid w:val="00CC11B0"/>
    <w:rsid w:val="00CC22C7"/>
    <w:rsid w:val="00CC2841"/>
    <w:rsid w:val="00CC3AAB"/>
    <w:rsid w:val="00CC6CD1"/>
    <w:rsid w:val="00CD2010"/>
    <w:rsid w:val="00CD46DC"/>
    <w:rsid w:val="00CE252F"/>
    <w:rsid w:val="00CE3151"/>
    <w:rsid w:val="00CF1330"/>
    <w:rsid w:val="00CF7592"/>
    <w:rsid w:val="00CF7E36"/>
    <w:rsid w:val="00D01CC6"/>
    <w:rsid w:val="00D01F2C"/>
    <w:rsid w:val="00D06D90"/>
    <w:rsid w:val="00D118B2"/>
    <w:rsid w:val="00D14FC1"/>
    <w:rsid w:val="00D16324"/>
    <w:rsid w:val="00D165C8"/>
    <w:rsid w:val="00D32C2F"/>
    <w:rsid w:val="00D3708D"/>
    <w:rsid w:val="00D37FD8"/>
    <w:rsid w:val="00D40426"/>
    <w:rsid w:val="00D408DB"/>
    <w:rsid w:val="00D44072"/>
    <w:rsid w:val="00D44853"/>
    <w:rsid w:val="00D44E1E"/>
    <w:rsid w:val="00D51CF0"/>
    <w:rsid w:val="00D52F5C"/>
    <w:rsid w:val="00D5490C"/>
    <w:rsid w:val="00D5599C"/>
    <w:rsid w:val="00D57C96"/>
    <w:rsid w:val="00D57D18"/>
    <w:rsid w:val="00D608F2"/>
    <w:rsid w:val="00D6232A"/>
    <w:rsid w:val="00D65778"/>
    <w:rsid w:val="00D70E65"/>
    <w:rsid w:val="00D81184"/>
    <w:rsid w:val="00D829EE"/>
    <w:rsid w:val="00D836AF"/>
    <w:rsid w:val="00D840C5"/>
    <w:rsid w:val="00D86EED"/>
    <w:rsid w:val="00D91203"/>
    <w:rsid w:val="00D92668"/>
    <w:rsid w:val="00D92C58"/>
    <w:rsid w:val="00D948CA"/>
    <w:rsid w:val="00D95174"/>
    <w:rsid w:val="00DA3D95"/>
    <w:rsid w:val="00DA4973"/>
    <w:rsid w:val="00DA6F36"/>
    <w:rsid w:val="00DB547B"/>
    <w:rsid w:val="00DB596E"/>
    <w:rsid w:val="00DB7773"/>
    <w:rsid w:val="00DC00EA"/>
    <w:rsid w:val="00DC3802"/>
    <w:rsid w:val="00DC599D"/>
    <w:rsid w:val="00DD1FF6"/>
    <w:rsid w:val="00DD3353"/>
    <w:rsid w:val="00DD6208"/>
    <w:rsid w:val="00DE0FB7"/>
    <w:rsid w:val="00DE3A81"/>
    <w:rsid w:val="00DE3CC5"/>
    <w:rsid w:val="00DE4F97"/>
    <w:rsid w:val="00DF0EB2"/>
    <w:rsid w:val="00DF2466"/>
    <w:rsid w:val="00DF59D5"/>
    <w:rsid w:val="00DF5DCB"/>
    <w:rsid w:val="00DF7E99"/>
    <w:rsid w:val="00E037B9"/>
    <w:rsid w:val="00E03EA4"/>
    <w:rsid w:val="00E044FA"/>
    <w:rsid w:val="00E07D87"/>
    <w:rsid w:val="00E11FB1"/>
    <w:rsid w:val="00E13495"/>
    <w:rsid w:val="00E249C8"/>
    <w:rsid w:val="00E32F7E"/>
    <w:rsid w:val="00E349DA"/>
    <w:rsid w:val="00E35EF8"/>
    <w:rsid w:val="00E410D3"/>
    <w:rsid w:val="00E42F29"/>
    <w:rsid w:val="00E43B18"/>
    <w:rsid w:val="00E4717B"/>
    <w:rsid w:val="00E4799C"/>
    <w:rsid w:val="00E51A8D"/>
    <w:rsid w:val="00E5267B"/>
    <w:rsid w:val="00E5328F"/>
    <w:rsid w:val="00E548C6"/>
    <w:rsid w:val="00E559F0"/>
    <w:rsid w:val="00E63C0E"/>
    <w:rsid w:val="00E67F51"/>
    <w:rsid w:val="00E717B2"/>
    <w:rsid w:val="00E72D49"/>
    <w:rsid w:val="00E7593C"/>
    <w:rsid w:val="00E762E6"/>
    <w:rsid w:val="00E76559"/>
    <w:rsid w:val="00E7678A"/>
    <w:rsid w:val="00E8065C"/>
    <w:rsid w:val="00E83B03"/>
    <w:rsid w:val="00E83E82"/>
    <w:rsid w:val="00E90AB4"/>
    <w:rsid w:val="00E935F1"/>
    <w:rsid w:val="00E93E95"/>
    <w:rsid w:val="00E94A81"/>
    <w:rsid w:val="00EA1FFB"/>
    <w:rsid w:val="00EA45EE"/>
    <w:rsid w:val="00EA72EE"/>
    <w:rsid w:val="00EA7BCE"/>
    <w:rsid w:val="00EB048E"/>
    <w:rsid w:val="00EB2DAF"/>
    <w:rsid w:val="00EB364F"/>
    <w:rsid w:val="00EB47F9"/>
    <w:rsid w:val="00EB4E9C"/>
    <w:rsid w:val="00EB6452"/>
    <w:rsid w:val="00EB73EF"/>
    <w:rsid w:val="00EC0D13"/>
    <w:rsid w:val="00EC346E"/>
    <w:rsid w:val="00ED1DEE"/>
    <w:rsid w:val="00ED4ADB"/>
    <w:rsid w:val="00ED6024"/>
    <w:rsid w:val="00ED67BD"/>
    <w:rsid w:val="00ED7179"/>
    <w:rsid w:val="00ED798C"/>
    <w:rsid w:val="00EE34DF"/>
    <w:rsid w:val="00EE432D"/>
    <w:rsid w:val="00EE5FA2"/>
    <w:rsid w:val="00EE6065"/>
    <w:rsid w:val="00EF0F69"/>
    <w:rsid w:val="00EF2F89"/>
    <w:rsid w:val="00EF433A"/>
    <w:rsid w:val="00EF5943"/>
    <w:rsid w:val="00EF599E"/>
    <w:rsid w:val="00EF6D30"/>
    <w:rsid w:val="00F03E98"/>
    <w:rsid w:val="00F10D24"/>
    <w:rsid w:val="00F11ECF"/>
    <w:rsid w:val="00F1237A"/>
    <w:rsid w:val="00F12668"/>
    <w:rsid w:val="00F2246C"/>
    <w:rsid w:val="00F22CBD"/>
    <w:rsid w:val="00F2535C"/>
    <w:rsid w:val="00F26124"/>
    <w:rsid w:val="00F272F1"/>
    <w:rsid w:val="00F31412"/>
    <w:rsid w:val="00F332F5"/>
    <w:rsid w:val="00F350FC"/>
    <w:rsid w:val="00F3794E"/>
    <w:rsid w:val="00F4247D"/>
    <w:rsid w:val="00F44E05"/>
    <w:rsid w:val="00F45372"/>
    <w:rsid w:val="00F5092C"/>
    <w:rsid w:val="00F52A4C"/>
    <w:rsid w:val="00F560F7"/>
    <w:rsid w:val="00F56392"/>
    <w:rsid w:val="00F563C6"/>
    <w:rsid w:val="00F57630"/>
    <w:rsid w:val="00F600D3"/>
    <w:rsid w:val="00F61B62"/>
    <w:rsid w:val="00F6334D"/>
    <w:rsid w:val="00F63599"/>
    <w:rsid w:val="00F71781"/>
    <w:rsid w:val="00F71AFF"/>
    <w:rsid w:val="00F72633"/>
    <w:rsid w:val="00F73F67"/>
    <w:rsid w:val="00F75488"/>
    <w:rsid w:val="00F76178"/>
    <w:rsid w:val="00F90155"/>
    <w:rsid w:val="00F90BBB"/>
    <w:rsid w:val="00F92E08"/>
    <w:rsid w:val="00F9364A"/>
    <w:rsid w:val="00FA1942"/>
    <w:rsid w:val="00FA1ED9"/>
    <w:rsid w:val="00FA37F8"/>
    <w:rsid w:val="00FA49AB"/>
    <w:rsid w:val="00FB2473"/>
    <w:rsid w:val="00FB757A"/>
    <w:rsid w:val="00FB7B46"/>
    <w:rsid w:val="00FC06EA"/>
    <w:rsid w:val="00FC3D21"/>
    <w:rsid w:val="00FC4923"/>
    <w:rsid w:val="00FC5FD0"/>
    <w:rsid w:val="00FD493E"/>
    <w:rsid w:val="00FD4A4E"/>
    <w:rsid w:val="00FE0B3B"/>
    <w:rsid w:val="00FE39C7"/>
    <w:rsid w:val="00FE3C97"/>
    <w:rsid w:val="00FF2C1A"/>
    <w:rsid w:val="00FF4D07"/>
    <w:rsid w:val="00FF5172"/>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2F4B6"/>
  <w15:docId w15:val="{F64F42E1-EB01-49C1-9ACA-9AD221A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3A"/>
    <w:pPr>
      <w:jc w:val="both"/>
    </w:pPr>
    <w:rPr>
      <w:rFonts w:ascii="Arial" w:eastAsia="SimSun" w:hAnsi="Arial" w:cs="Arial"/>
      <w:lang w:eastAsia="zh-CN"/>
    </w:rPr>
  </w:style>
  <w:style w:type="paragraph" w:styleId="Heading1">
    <w:name w:val="heading 1"/>
    <w:basedOn w:val="Normal"/>
    <w:next w:val="Normal"/>
    <w:link w:val="Heading1Char"/>
    <w:autoRedefine/>
    <w:qFormat/>
    <w:rsid w:val="007E06EC"/>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7E06EC"/>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autoRedefine/>
    <w:qFormat/>
    <w:rsid w:val="0004663A"/>
    <w:pPr>
      <w:keepNext/>
      <w:tabs>
        <w:tab w:val="left" w:pos="1985"/>
        <w:tab w:val="right" w:pos="9072"/>
      </w:tabs>
      <w:spacing w:after="24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autoRedefine/>
    <w:qFormat/>
    <w:rsid w:val="000F2182"/>
    <w:pPr>
      <w:outlineLvl w:val="3"/>
    </w:pPr>
    <w:rPr>
      <w:sz w:val="22"/>
      <w:szCs w:val="20"/>
    </w:rPr>
  </w:style>
  <w:style w:type="paragraph" w:styleId="Heading5">
    <w:name w:val="heading 5"/>
    <w:basedOn w:val="Normal"/>
    <w:next w:val="Normal"/>
    <w:link w:val="Heading5Char"/>
    <w:unhideWhenUsed/>
    <w:qFormat/>
    <w:rsid w:val="007E06EC"/>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7E06EC"/>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7E06EC"/>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7E06EC"/>
    <w:pPr>
      <w:tabs>
        <w:tab w:val="clear" w:pos="1296"/>
        <w:tab w:val="num" w:pos="1440"/>
      </w:tabs>
      <w:ind w:left="1440" w:hanging="1440"/>
      <w:outlineLvl w:val="7"/>
    </w:pPr>
  </w:style>
  <w:style w:type="paragraph" w:styleId="Heading9">
    <w:name w:val="heading 9"/>
    <w:basedOn w:val="Heading2"/>
    <w:next w:val="Normal"/>
    <w:link w:val="Heading9Char"/>
    <w:qFormat/>
    <w:rsid w:val="007E06EC"/>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06EC"/>
    <w:pPr>
      <w:tabs>
        <w:tab w:val="center" w:pos="4536"/>
        <w:tab w:val="right" w:pos="9072"/>
      </w:tabs>
    </w:pPr>
  </w:style>
  <w:style w:type="paragraph" w:styleId="Footer">
    <w:name w:val="footer"/>
    <w:aliases w:val="doc_path_name"/>
    <w:basedOn w:val="Normal"/>
    <w:link w:val="FooterChar"/>
    <w:rsid w:val="007E06EC"/>
    <w:pPr>
      <w:tabs>
        <w:tab w:val="center" w:pos="4320"/>
        <w:tab w:val="right" w:pos="8640"/>
      </w:tabs>
    </w:pPr>
  </w:style>
  <w:style w:type="character" w:styleId="PageNumber">
    <w:name w:val="page number"/>
    <w:basedOn w:val="DefaultParagraphFont"/>
    <w:rsid w:val="007E06EC"/>
  </w:style>
  <w:style w:type="paragraph" w:styleId="Title">
    <w:name w:val="Title"/>
    <w:basedOn w:val="Normal"/>
    <w:link w:val="TitleChar"/>
    <w:qFormat/>
    <w:rsid w:val="007E06EC"/>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7E06EC"/>
    <w:pPr>
      <w:spacing w:after="600"/>
      <w:jc w:val="center"/>
    </w:pPr>
    <w:rPr>
      <w:rFonts w:eastAsia="Times New Roman" w:cs="Times New Roman"/>
      <w:i/>
      <w:lang w:eastAsia="en-US"/>
    </w:rPr>
  </w:style>
  <w:style w:type="paragraph" w:customStyle="1" w:styleId="Docoriginal">
    <w:name w:val="Doc_original"/>
    <w:basedOn w:val="Code"/>
    <w:link w:val="DocoriginalChar"/>
    <w:rsid w:val="007E06EC"/>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7E06EC"/>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FF5172"/>
    <w:pPr>
      <w:spacing w:before="60"/>
      <w:ind w:left="284" w:hanging="284"/>
    </w:pPr>
    <w:rPr>
      <w:rFonts w:ascii="Arial Narrow" w:hAnsi="Arial Narrow"/>
      <w:sz w:val="16"/>
      <w:szCs w:val="16"/>
    </w:rPr>
  </w:style>
  <w:style w:type="character" w:styleId="FootnoteReference">
    <w:name w:val="footnote reference"/>
    <w:aliases w:val="Footnote,callout"/>
    <w:rsid w:val="007E06EC"/>
    <w:rPr>
      <w:vertAlign w:val="superscript"/>
    </w:rPr>
  </w:style>
  <w:style w:type="paragraph" w:styleId="Closing">
    <w:name w:val="Closing"/>
    <w:basedOn w:val="Normal"/>
    <w:link w:val="ClosingChar"/>
    <w:rsid w:val="007E06EC"/>
    <w:pPr>
      <w:ind w:left="4536"/>
      <w:jc w:val="center"/>
    </w:pPr>
    <w:rPr>
      <w:rFonts w:eastAsia="Times New Roman" w:cs="Times New Roman"/>
      <w:lang w:eastAsia="en-US"/>
    </w:rPr>
  </w:style>
  <w:style w:type="paragraph" w:styleId="Index1">
    <w:name w:val="index 1"/>
    <w:basedOn w:val="Normal"/>
    <w:next w:val="Normal"/>
    <w:semiHidden/>
    <w:rsid w:val="007E06EC"/>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7E06EC"/>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7E06EC"/>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7E06E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7E06EC"/>
    <w:pPr>
      <w:ind w:left="5250"/>
    </w:pPr>
  </w:style>
  <w:style w:type="character" w:customStyle="1" w:styleId="Doclang">
    <w:name w:val="Doc_lang"/>
    <w:basedOn w:val="DefaultParagraphFont"/>
    <w:rsid w:val="007E06EC"/>
    <w:rPr>
      <w:rFonts w:ascii="Arial" w:hAnsi="Arial"/>
      <w:sz w:val="20"/>
      <w:lang w:val="en-US"/>
    </w:rPr>
  </w:style>
  <w:style w:type="paragraph" w:customStyle="1" w:styleId="Session">
    <w:name w:val="Session"/>
    <w:basedOn w:val="Normal"/>
    <w:semiHidden/>
    <w:rsid w:val="007E06EC"/>
    <w:pPr>
      <w:spacing w:before="60"/>
      <w:jc w:val="center"/>
    </w:pPr>
    <w:rPr>
      <w:rFonts w:eastAsia="Times New Roman" w:cs="Times New Roman"/>
      <w:b/>
      <w:lang w:eastAsia="en-US"/>
    </w:rPr>
  </w:style>
  <w:style w:type="paragraph" w:customStyle="1" w:styleId="Organizer">
    <w:name w:val="Organizer"/>
    <w:basedOn w:val="Normal"/>
    <w:semiHidden/>
    <w:rsid w:val="007E06EC"/>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7E06EC"/>
    <w:pPr>
      <w:spacing w:after="220"/>
    </w:pPr>
  </w:style>
  <w:style w:type="paragraph" w:customStyle="1" w:styleId="Disclaimer">
    <w:name w:val="Disclaimer"/>
    <w:next w:val="Normal"/>
    <w:qFormat/>
    <w:rsid w:val="007E06EC"/>
    <w:pPr>
      <w:spacing w:after="600"/>
    </w:pPr>
    <w:rPr>
      <w:rFonts w:ascii="Arial" w:hAnsi="Arial"/>
      <w:i/>
      <w:iCs/>
      <w:color w:val="A6A6A6" w:themeColor="background1" w:themeShade="A6"/>
    </w:rPr>
  </w:style>
  <w:style w:type="paragraph" w:customStyle="1" w:styleId="upove">
    <w:name w:val="upov_e"/>
    <w:basedOn w:val="Normal"/>
    <w:rsid w:val="007E06EC"/>
    <w:pPr>
      <w:spacing w:before="120"/>
    </w:pPr>
    <w:rPr>
      <w:rFonts w:eastAsia="Times New Roman" w:cs="Times New Roman"/>
      <w:sz w:val="16"/>
      <w:lang w:eastAsia="en-US"/>
    </w:rPr>
  </w:style>
  <w:style w:type="paragraph" w:customStyle="1" w:styleId="TitleofDoc">
    <w:name w:val="Title of Doc"/>
    <w:basedOn w:val="Normal"/>
    <w:semiHidden/>
    <w:rsid w:val="007E06EC"/>
    <w:pPr>
      <w:spacing w:before="1200"/>
      <w:jc w:val="center"/>
    </w:pPr>
    <w:rPr>
      <w:rFonts w:eastAsia="Times New Roman" w:cs="Times New Roman"/>
      <w:caps/>
      <w:lang w:eastAsia="en-US"/>
    </w:rPr>
  </w:style>
  <w:style w:type="paragraph" w:customStyle="1" w:styleId="preparedby0">
    <w:name w:val="prepared by"/>
    <w:basedOn w:val="Normal"/>
    <w:next w:val="Normal"/>
    <w:rsid w:val="007E06EC"/>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7E06EC"/>
  </w:style>
  <w:style w:type="paragraph" w:styleId="EndnoteText">
    <w:name w:val="endnote text"/>
    <w:basedOn w:val="Normal"/>
    <w:link w:val="EndnoteTextChar"/>
    <w:semiHidden/>
    <w:rsid w:val="007E06EC"/>
    <w:rPr>
      <w:sz w:val="18"/>
    </w:rPr>
  </w:style>
  <w:style w:type="character" w:styleId="EndnoteReference">
    <w:name w:val="endnote reference"/>
    <w:basedOn w:val="DefaultParagraphFont"/>
    <w:rsid w:val="007E06EC"/>
    <w:rPr>
      <w:vertAlign w:val="superscript"/>
    </w:rPr>
  </w:style>
  <w:style w:type="paragraph" w:customStyle="1" w:styleId="SessionMeetingPlace">
    <w:name w:val="Session_MeetingPlace"/>
    <w:basedOn w:val="Normal"/>
    <w:semiHidden/>
    <w:rsid w:val="007E06EC"/>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7E06EC"/>
    <w:pPr>
      <w:spacing w:before="60"/>
      <w:ind w:left="1276"/>
    </w:pPr>
    <w:rPr>
      <w:rFonts w:eastAsia="Times New Roman" w:cs="Times New Roman"/>
      <w:b/>
      <w:lang w:eastAsia="en-US"/>
    </w:rPr>
  </w:style>
  <w:style w:type="paragraph" w:styleId="Date">
    <w:name w:val="Date"/>
    <w:basedOn w:val="Normal"/>
    <w:link w:val="DateChar"/>
    <w:rsid w:val="007E06EC"/>
    <w:pPr>
      <w:spacing w:line="340" w:lineRule="exact"/>
      <w:ind w:left="1276"/>
    </w:pPr>
    <w:rPr>
      <w:rFonts w:eastAsia="Times New Roman" w:cs="Times New Roman"/>
      <w:b/>
      <w:lang w:eastAsia="en-US"/>
    </w:rPr>
  </w:style>
  <w:style w:type="paragraph" w:customStyle="1" w:styleId="Code">
    <w:name w:val="Code"/>
    <w:basedOn w:val="Normal"/>
    <w:link w:val="CodeChar"/>
    <w:semiHidden/>
    <w:rsid w:val="007E06EC"/>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7E06EC"/>
    <w:pPr>
      <w:spacing w:before="60" w:after="480"/>
      <w:jc w:val="center"/>
    </w:pPr>
    <w:rPr>
      <w:rFonts w:eastAsia="Times New Roman" w:cs="Times New Roman"/>
      <w:lang w:eastAsia="en-US"/>
    </w:rPr>
  </w:style>
  <w:style w:type="paragraph" w:customStyle="1" w:styleId="Lettrine">
    <w:name w:val="Lettrine"/>
    <w:basedOn w:val="Normal"/>
    <w:rsid w:val="007E06EC"/>
    <w:pPr>
      <w:spacing w:line="340" w:lineRule="atLeast"/>
      <w:jc w:val="right"/>
    </w:pPr>
    <w:rPr>
      <w:rFonts w:eastAsia="Times New Roman" w:cs="Times New Roman"/>
      <w:b/>
      <w:bCs/>
      <w:sz w:val="36"/>
      <w:lang w:eastAsia="en-US"/>
    </w:rPr>
  </w:style>
  <w:style w:type="paragraph" w:customStyle="1" w:styleId="LogoUPOV">
    <w:name w:val="LogoUPOV"/>
    <w:basedOn w:val="Normal"/>
    <w:rsid w:val="007E06EC"/>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7E06EC"/>
    <w:pPr>
      <w:spacing w:before="0" w:line="280" w:lineRule="exact"/>
      <w:jc w:val="left"/>
    </w:pPr>
    <w:rPr>
      <w:caps w:val="0"/>
      <w:sz w:val="20"/>
    </w:rPr>
  </w:style>
  <w:style w:type="paragraph" w:customStyle="1" w:styleId="TitreUpov">
    <w:name w:val="TitreUpov"/>
    <w:basedOn w:val="Normal"/>
    <w:semiHidden/>
    <w:rsid w:val="007E06EC"/>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7E06EC"/>
    <w:pPr>
      <w:spacing w:before="480"/>
    </w:pPr>
    <w:rPr>
      <w:bCs/>
      <w:caps/>
      <w:kern w:val="28"/>
      <w:sz w:val="24"/>
    </w:rPr>
  </w:style>
  <w:style w:type="paragraph" w:customStyle="1" w:styleId="plcountry">
    <w:name w:val="plcountry"/>
    <w:basedOn w:val="Normal"/>
    <w:rsid w:val="007E06EC"/>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7E06EC"/>
    <w:pPr>
      <w:keepLines/>
      <w:spacing w:before="60" w:after="60"/>
    </w:pPr>
    <w:rPr>
      <w:rFonts w:eastAsia="Times New Roman" w:cs="Times New Roman"/>
      <w:noProof/>
      <w:snapToGrid w:val="0"/>
      <w:lang w:eastAsia="en-US"/>
    </w:rPr>
  </w:style>
  <w:style w:type="paragraph" w:customStyle="1" w:styleId="plheading">
    <w:name w:val="plheading"/>
    <w:basedOn w:val="Normal"/>
    <w:rsid w:val="007E06EC"/>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7E06EC"/>
    <w:pPr>
      <w:spacing w:before="240"/>
      <w:contextualSpacing/>
      <w:jc w:val="left"/>
    </w:pPr>
    <w:rPr>
      <w:sz w:val="20"/>
    </w:rPr>
  </w:style>
  <w:style w:type="paragraph" w:customStyle="1" w:styleId="Titleofdoc0">
    <w:name w:val="Title_of_doc"/>
    <w:basedOn w:val="TitleofDoc"/>
    <w:rsid w:val="007E06EC"/>
    <w:pPr>
      <w:spacing w:before="600" w:after="240"/>
      <w:jc w:val="left"/>
    </w:pPr>
    <w:rPr>
      <w:b/>
    </w:rPr>
  </w:style>
  <w:style w:type="paragraph" w:customStyle="1" w:styleId="preparedby1">
    <w:name w:val="prepared_by"/>
    <w:basedOn w:val="preparedby0"/>
    <w:rsid w:val="007E06EC"/>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7E06EC"/>
    <w:rPr>
      <w:rFonts w:ascii="Arial" w:hAnsi="Arial"/>
      <w:b/>
      <w:bCs/>
      <w:spacing w:val="10"/>
    </w:rPr>
  </w:style>
  <w:style w:type="paragraph" w:customStyle="1" w:styleId="endofdoc">
    <w:name w:val="end_of_doc"/>
    <w:next w:val="Header"/>
    <w:autoRedefine/>
    <w:rsid w:val="007E06EC"/>
    <w:pPr>
      <w:spacing w:before="480"/>
      <w:ind w:left="567" w:hanging="567"/>
      <w:jc w:val="right"/>
    </w:pPr>
    <w:rPr>
      <w:rFonts w:ascii="Arial" w:hAnsi="Arial"/>
    </w:rPr>
  </w:style>
  <w:style w:type="character" w:customStyle="1" w:styleId="DocoriginalChar">
    <w:name w:val="Doc_original Char"/>
    <w:basedOn w:val="CodeChar"/>
    <w:link w:val="Docoriginal"/>
    <w:rsid w:val="007E06EC"/>
    <w:rPr>
      <w:rFonts w:ascii="Arial" w:hAnsi="Arial"/>
      <w:b/>
      <w:bCs/>
      <w:spacing w:val="10"/>
      <w:sz w:val="18"/>
    </w:rPr>
  </w:style>
  <w:style w:type="paragraph" w:styleId="TOC2">
    <w:name w:val="toc 2"/>
    <w:basedOn w:val="Normal"/>
    <w:next w:val="Normal"/>
    <w:uiPriority w:val="39"/>
    <w:qFormat/>
    <w:rsid w:val="007E06EC"/>
    <w:pPr>
      <w:tabs>
        <w:tab w:val="left" w:pos="1701"/>
        <w:tab w:val="right" w:leader="dot" w:pos="9498"/>
      </w:tabs>
      <w:spacing w:before="180" w:after="90" w:line="220" w:lineRule="atLeast"/>
      <w:ind w:left="426" w:right="340"/>
    </w:pPr>
    <w:rPr>
      <w:rFonts w:eastAsia="Times New Roman" w:cs="Times New Roman"/>
      <w:b/>
      <w:bCs/>
      <w:iCs/>
      <w:noProof/>
      <w:sz w:val="18"/>
      <w:lang w:eastAsia="en-US"/>
    </w:rPr>
  </w:style>
  <w:style w:type="paragraph" w:styleId="TOC3">
    <w:name w:val="toc 3"/>
    <w:basedOn w:val="Normal"/>
    <w:next w:val="Normal"/>
    <w:autoRedefine/>
    <w:unhideWhenUsed/>
    <w:qFormat/>
    <w:rsid w:val="007E06EC"/>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7E06EC"/>
    <w:rPr>
      <w:color w:val="000099"/>
      <w:u w:val="single"/>
    </w:rPr>
  </w:style>
  <w:style w:type="paragraph" w:styleId="TOC4">
    <w:name w:val="toc 4"/>
    <w:basedOn w:val="TOC3"/>
    <w:next w:val="Normal"/>
    <w:rsid w:val="007E06EC"/>
    <w:pPr>
      <w:tabs>
        <w:tab w:val="right" w:pos="3969"/>
      </w:tabs>
      <w:spacing w:before="0"/>
      <w:ind w:left="2381" w:right="0"/>
    </w:pPr>
    <w:rPr>
      <w:i/>
    </w:rPr>
  </w:style>
  <w:style w:type="paragraph" w:styleId="TOC1">
    <w:name w:val="toc 1"/>
    <w:basedOn w:val="Normal"/>
    <w:next w:val="Normal"/>
    <w:autoRedefine/>
    <w:uiPriority w:val="39"/>
    <w:qFormat/>
    <w:rsid w:val="00AA52D3"/>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7E06EC"/>
    <w:pPr>
      <w:tabs>
        <w:tab w:val="left" w:pos="1985"/>
      </w:tabs>
      <w:ind w:left="1985" w:hanging="1418"/>
    </w:pPr>
  </w:style>
  <w:style w:type="paragraph" w:styleId="BalloonText">
    <w:name w:val="Balloon Text"/>
    <w:basedOn w:val="Normal"/>
    <w:link w:val="BalloonTextChar"/>
    <w:rsid w:val="007E06EC"/>
    <w:rPr>
      <w:rFonts w:ascii="Tahoma" w:hAnsi="Tahoma" w:cs="Tahoma"/>
      <w:sz w:val="16"/>
      <w:szCs w:val="16"/>
    </w:rPr>
  </w:style>
  <w:style w:type="character" w:customStyle="1" w:styleId="BalloonTextChar">
    <w:name w:val="Balloon Text Char"/>
    <w:basedOn w:val="DefaultParagraphFont"/>
    <w:link w:val="BalloonText"/>
    <w:rsid w:val="007E06EC"/>
    <w:rPr>
      <w:rFonts w:ascii="Tahoma" w:eastAsia="SimSun" w:hAnsi="Tahoma" w:cs="Tahoma"/>
      <w:sz w:val="16"/>
      <w:szCs w:val="16"/>
      <w:lang w:eastAsia="zh-CN"/>
    </w:rPr>
  </w:style>
  <w:style w:type="paragraph" w:customStyle="1" w:styleId="Doccode">
    <w:name w:val="Doc_code"/>
    <w:qFormat/>
    <w:rsid w:val="007E06EC"/>
    <w:rPr>
      <w:rFonts w:ascii="Arial" w:hAnsi="Arial"/>
      <w:b/>
      <w:bCs/>
      <w:spacing w:val="10"/>
      <w:sz w:val="18"/>
    </w:rPr>
  </w:style>
  <w:style w:type="character" w:customStyle="1" w:styleId="Heading6Char">
    <w:name w:val="Heading 6 Char"/>
    <w:basedOn w:val="DefaultParagraphFont"/>
    <w:link w:val="Heading6"/>
    <w:rsid w:val="007E06EC"/>
    <w:rPr>
      <w:rFonts w:ascii="Cambria" w:hAnsi="Cambria"/>
      <w:i/>
      <w:iCs/>
      <w:color w:val="243F60"/>
      <w:lang w:eastAsia="zh-CN"/>
    </w:rPr>
  </w:style>
  <w:style w:type="character" w:customStyle="1" w:styleId="Heading7Char">
    <w:name w:val="Heading 7 Char"/>
    <w:basedOn w:val="DefaultParagraphFont"/>
    <w:link w:val="Heading7"/>
    <w:rsid w:val="007E06EC"/>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7E06EC"/>
    <w:rPr>
      <w:rFonts w:ascii="Arial" w:hAnsi="Arial" w:cs="Arial"/>
      <w:b/>
      <w:bCs/>
      <w:caps/>
      <w:color w:val="3E484E"/>
      <w:szCs w:val="26"/>
      <w:lang w:val="en-GB" w:eastAsia="da-DK"/>
    </w:rPr>
  </w:style>
  <w:style w:type="character" w:customStyle="1" w:styleId="DecisionParagraphsChar">
    <w:name w:val="DecisionParagraphs Char"/>
    <w:basedOn w:val="DefaultParagraphFont"/>
    <w:link w:val="DecisionParagraphs"/>
    <w:rsid w:val="007E06EC"/>
    <w:rPr>
      <w:rFonts w:ascii="Arial" w:hAnsi="Arial"/>
      <w:i/>
    </w:rPr>
  </w:style>
  <w:style w:type="paragraph" w:customStyle="1" w:styleId="Endofdocument-Annex">
    <w:name w:val="[End of document - Annex]"/>
    <w:basedOn w:val="Normal"/>
    <w:rsid w:val="007E06EC"/>
    <w:pPr>
      <w:ind w:left="5534"/>
    </w:pPr>
  </w:style>
  <w:style w:type="paragraph" w:styleId="Caption">
    <w:name w:val="caption"/>
    <w:basedOn w:val="Normal"/>
    <w:next w:val="Normal"/>
    <w:qFormat/>
    <w:rsid w:val="00AF3F69"/>
    <w:pPr>
      <w:keepNext/>
      <w:spacing w:after="120"/>
      <w:jc w:val="center"/>
    </w:pPr>
    <w:rPr>
      <w:rFonts w:ascii="Arial Narrow" w:hAnsi="Arial Narrow"/>
      <w:bCs/>
      <w:color w:val="155F1A"/>
      <w:sz w:val="18"/>
    </w:rPr>
  </w:style>
  <w:style w:type="paragraph" w:styleId="CommentText">
    <w:name w:val="annotation text"/>
    <w:basedOn w:val="Normal"/>
    <w:link w:val="CommentTextChar"/>
    <w:rsid w:val="007E06EC"/>
    <w:rPr>
      <w:sz w:val="18"/>
    </w:rPr>
  </w:style>
  <w:style w:type="character" w:customStyle="1" w:styleId="CommentTextChar">
    <w:name w:val="Comment Text Char"/>
    <w:basedOn w:val="DefaultParagraphFont"/>
    <w:link w:val="CommentText"/>
    <w:rsid w:val="007E06EC"/>
    <w:rPr>
      <w:rFonts w:ascii="Arial" w:eastAsia="SimSun" w:hAnsi="Arial" w:cs="Arial"/>
      <w:sz w:val="18"/>
      <w:lang w:eastAsia="zh-CN"/>
    </w:rPr>
  </w:style>
  <w:style w:type="paragraph" w:styleId="ListNumber">
    <w:name w:val="List Number"/>
    <w:basedOn w:val="Normal"/>
    <w:rsid w:val="007E06EC"/>
    <w:pPr>
      <w:numPr>
        <w:numId w:val="17"/>
      </w:numPr>
    </w:pPr>
  </w:style>
  <w:style w:type="paragraph" w:customStyle="1" w:styleId="ONUME">
    <w:name w:val="ONUM E"/>
    <w:basedOn w:val="BodyText"/>
    <w:link w:val="ONUMEChar"/>
    <w:rsid w:val="007E06EC"/>
    <w:pPr>
      <w:numPr>
        <w:numId w:val="24"/>
      </w:numPr>
    </w:pPr>
  </w:style>
  <w:style w:type="paragraph" w:customStyle="1" w:styleId="ONUMFS">
    <w:name w:val="ONUM FS"/>
    <w:basedOn w:val="BodyText"/>
    <w:rsid w:val="007E06EC"/>
    <w:pPr>
      <w:numPr>
        <w:numId w:val="25"/>
      </w:numPr>
    </w:pPr>
  </w:style>
  <w:style w:type="paragraph" w:styleId="Salutation">
    <w:name w:val="Salutation"/>
    <w:basedOn w:val="Normal"/>
    <w:next w:val="Normal"/>
    <w:link w:val="SalutationChar"/>
    <w:rsid w:val="007E06EC"/>
  </w:style>
  <w:style w:type="character" w:customStyle="1" w:styleId="SalutationChar">
    <w:name w:val="Salutation Char"/>
    <w:link w:val="Salutation"/>
    <w:rsid w:val="007E06EC"/>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7E06EC"/>
    <w:pPr>
      <w:ind w:left="720"/>
    </w:pPr>
    <w:rPr>
      <w:rFonts w:eastAsia="Times New Roman" w:cs="Times New Roman"/>
      <w:lang w:eastAsia="en-US"/>
    </w:rPr>
  </w:style>
  <w:style w:type="character" w:customStyle="1" w:styleId="DecisionInvitingParaChar">
    <w:name w:val="Decision Inviting Para. Char"/>
    <w:link w:val="DecisionInvitingPara"/>
    <w:locked/>
    <w:rsid w:val="007E06EC"/>
    <w:rPr>
      <w:rFonts w:ascii="Arial" w:hAnsi="Arial" w:cs="Arial"/>
      <w:i/>
    </w:rPr>
  </w:style>
  <w:style w:type="paragraph" w:customStyle="1" w:styleId="DecisionInvitingPara">
    <w:name w:val="Decision Inviting Para."/>
    <w:basedOn w:val="Normal"/>
    <w:link w:val="DecisionInvitingParaChar"/>
    <w:rsid w:val="007E06EC"/>
    <w:pPr>
      <w:spacing w:after="120" w:line="260" w:lineRule="exact"/>
      <w:ind w:left="5534"/>
    </w:pPr>
    <w:rPr>
      <w:rFonts w:eastAsia="Times New Roman"/>
      <w:i/>
      <w:lang w:eastAsia="en-US"/>
    </w:rPr>
  </w:style>
  <w:style w:type="character" w:customStyle="1" w:styleId="ONUMEChar">
    <w:name w:val="ONUM E Char"/>
    <w:link w:val="ONUME"/>
    <w:locked/>
    <w:rsid w:val="007E06EC"/>
    <w:rPr>
      <w:rFonts w:ascii="Arial" w:eastAsia="SimSun" w:hAnsi="Arial" w:cs="Arial"/>
      <w:lang w:eastAsia="zh-CN"/>
    </w:rPr>
  </w:style>
  <w:style w:type="character" w:customStyle="1" w:styleId="HeaderChar">
    <w:name w:val="Header Char"/>
    <w:basedOn w:val="DefaultParagraphFont"/>
    <w:link w:val="Header"/>
    <w:rsid w:val="007E06EC"/>
    <w:rPr>
      <w:rFonts w:ascii="Arial" w:eastAsia="SimSun" w:hAnsi="Arial" w:cs="Arial"/>
      <w:lang w:eastAsia="zh-CN"/>
    </w:rPr>
  </w:style>
  <w:style w:type="character" w:customStyle="1" w:styleId="FooterChar">
    <w:name w:val="Footer Char"/>
    <w:aliases w:val="doc_path_name Char"/>
    <w:basedOn w:val="DefaultParagraphFont"/>
    <w:link w:val="Footer"/>
    <w:rsid w:val="007E06EC"/>
    <w:rPr>
      <w:rFonts w:ascii="Arial" w:eastAsia="SimSun" w:hAnsi="Arial" w:cs="Arial"/>
      <w:lang w:eastAsia="zh-CN"/>
    </w:rPr>
  </w:style>
  <w:style w:type="character" w:customStyle="1" w:styleId="BodyTextChar">
    <w:name w:val="Body Text Char"/>
    <w:link w:val="BodyText"/>
    <w:rsid w:val="007E06EC"/>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FF5172"/>
    <w:rPr>
      <w:rFonts w:ascii="Arial Narrow" w:eastAsia="SimSun" w:hAnsi="Arial Narrow" w:cs="Arial"/>
      <w:sz w:val="16"/>
      <w:szCs w:val="16"/>
      <w:lang w:eastAsia="zh-CN"/>
    </w:rPr>
  </w:style>
  <w:style w:type="table" w:styleId="TableGrid">
    <w:name w:val="Table Grid"/>
    <w:basedOn w:val="TableNormal"/>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E06EC"/>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7E06EC"/>
    <w:rPr>
      <w:rFonts w:ascii="Arial Bold" w:hAnsi="Arial Bold"/>
      <w:b w:val="0"/>
      <w:sz w:val="24"/>
      <w:lang w:val="en-GB" w:eastAsia="da-DK"/>
    </w:rPr>
  </w:style>
  <w:style w:type="paragraph" w:customStyle="1" w:styleId="StyleHeading3BoldNounderline">
    <w:name w:val="Style Heading 3 + Bold No underline"/>
    <w:basedOn w:val="Heading3"/>
    <w:rsid w:val="007E06EC"/>
  </w:style>
  <w:style w:type="paragraph" w:customStyle="1" w:styleId="Default">
    <w:name w:val="Default"/>
    <w:rsid w:val="007E06EC"/>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7E06EC"/>
    <w:rPr>
      <w:rFonts w:ascii="Arial" w:hAnsi="Arial" w:cs="Arial"/>
      <w:b/>
      <w:bCs/>
      <w:iCs/>
      <w:color w:val="155F1A"/>
      <w:sz w:val="28"/>
      <w:szCs w:val="28"/>
    </w:rPr>
  </w:style>
  <w:style w:type="paragraph" w:customStyle="1" w:styleId="Heading">
    <w:name w:val="Heading"/>
    <w:basedOn w:val="Heading1"/>
    <w:uiPriority w:val="99"/>
    <w:rsid w:val="007E06EC"/>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06EC"/>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7E06EC"/>
    <w:rPr>
      <w:rFonts w:ascii="Arial" w:hAnsi="Arial"/>
      <w:szCs w:val="24"/>
    </w:rPr>
  </w:style>
  <w:style w:type="paragraph" w:styleId="PlainText">
    <w:name w:val="Plain Text"/>
    <w:basedOn w:val="Normal"/>
    <w:link w:val="PlainTextChar"/>
    <w:uiPriority w:val="99"/>
    <w:rsid w:val="007E06EC"/>
    <w:rPr>
      <w:rFonts w:ascii="Courier New" w:hAnsi="Courier New" w:cs="Courier New"/>
      <w:color w:val="0000FF"/>
    </w:rPr>
  </w:style>
  <w:style w:type="character" w:customStyle="1" w:styleId="PlainTextChar">
    <w:name w:val="Plain Text Char"/>
    <w:basedOn w:val="DefaultParagraphFont"/>
    <w:link w:val="PlainText"/>
    <w:uiPriority w:val="99"/>
    <w:rsid w:val="007E06EC"/>
    <w:rPr>
      <w:rFonts w:ascii="Courier New" w:eastAsia="SimSun" w:hAnsi="Courier New" w:cs="Courier New"/>
      <w:color w:val="0000FF"/>
      <w:lang w:eastAsia="zh-CN"/>
    </w:rPr>
  </w:style>
  <w:style w:type="character" w:styleId="CommentReference">
    <w:name w:val="annotation reference"/>
    <w:basedOn w:val="DefaultParagraphFont"/>
    <w:rsid w:val="007E06EC"/>
    <w:rPr>
      <w:sz w:val="16"/>
      <w:szCs w:val="16"/>
    </w:rPr>
  </w:style>
  <w:style w:type="paragraph" w:styleId="CommentSubject">
    <w:name w:val="annotation subject"/>
    <w:basedOn w:val="CommentText"/>
    <w:next w:val="CommentText"/>
    <w:link w:val="CommentSubjectChar"/>
    <w:uiPriority w:val="99"/>
    <w:rsid w:val="007E06EC"/>
    <w:rPr>
      <w:b/>
      <w:bCs/>
    </w:rPr>
  </w:style>
  <w:style w:type="character" w:customStyle="1" w:styleId="CommentSubjectChar">
    <w:name w:val="Comment Subject Char"/>
    <w:basedOn w:val="CommentTextChar"/>
    <w:link w:val="CommentSubject"/>
    <w:uiPriority w:val="99"/>
    <w:rsid w:val="007E06EC"/>
    <w:rPr>
      <w:rFonts w:ascii="Arial" w:eastAsia="SimSun" w:hAnsi="Arial" w:cs="Arial"/>
      <w:b/>
      <w:bCs/>
      <w:sz w:val="18"/>
      <w:lang w:eastAsia="zh-CN"/>
    </w:rPr>
  </w:style>
  <w:style w:type="paragraph" w:styleId="Revision">
    <w:name w:val="Revision"/>
    <w:hidden/>
    <w:uiPriority w:val="99"/>
    <w:semiHidden/>
    <w:rsid w:val="003E3C19"/>
    <w:rPr>
      <w:rFonts w:ascii="Arial" w:hAnsi="Arial" w:cs="Arial"/>
      <w:sz w:val="22"/>
    </w:rPr>
  </w:style>
  <w:style w:type="paragraph" w:customStyle="1" w:styleId="null">
    <w:name w:val="null"/>
    <w:basedOn w:val="Normal"/>
    <w:rsid w:val="007E06EC"/>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7E06EC"/>
  </w:style>
  <w:style w:type="paragraph" w:customStyle="1" w:styleId="Endofdocument">
    <w:name w:val="End of document"/>
    <w:basedOn w:val="Normal"/>
    <w:rsid w:val="007E06EC"/>
    <w:pPr>
      <w:ind w:left="4536"/>
      <w:jc w:val="center"/>
    </w:pPr>
    <w:rPr>
      <w:rFonts w:ascii="Times New Roman" w:eastAsia="Times New Roman" w:hAnsi="Times New Roman" w:cs="Times New Roman"/>
      <w:sz w:val="24"/>
      <w:lang w:eastAsia="en-US"/>
    </w:rPr>
  </w:style>
  <w:style w:type="paragraph" w:styleId="BlockText">
    <w:name w:val="Block Text"/>
    <w:basedOn w:val="Normal"/>
    <w:rsid w:val="007E06EC"/>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7E06EC"/>
    <w:rPr>
      <w:i/>
      <w:iCs/>
    </w:rPr>
  </w:style>
  <w:style w:type="character" w:customStyle="1" w:styleId="st">
    <w:name w:val="st"/>
    <w:basedOn w:val="DefaultParagraphFont"/>
    <w:rsid w:val="007E06EC"/>
  </w:style>
  <w:style w:type="character" w:customStyle="1" w:styleId="Heading1Char">
    <w:name w:val="Heading 1 Char"/>
    <w:basedOn w:val="DefaultParagraphFont"/>
    <w:link w:val="Heading1"/>
    <w:rsid w:val="007E06EC"/>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7E06EC"/>
    <w:pPr>
      <w:keepNext/>
      <w:ind w:left="1843" w:hanging="1843"/>
      <w:outlineLvl w:val="2"/>
    </w:pPr>
    <w:rPr>
      <w:b/>
      <w:bCs/>
      <w:i/>
      <w:szCs w:val="26"/>
    </w:rPr>
  </w:style>
  <w:style w:type="character" w:customStyle="1" w:styleId="Heading5Char">
    <w:name w:val="Heading 5 Char"/>
    <w:basedOn w:val="DefaultParagraphFont"/>
    <w:link w:val="Heading5"/>
    <w:rsid w:val="007E06EC"/>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7E06EC"/>
    <w:rPr>
      <w:rFonts w:ascii="Arial" w:hAnsi="Arial" w:cs="Arial"/>
      <w:b/>
      <w:bCs/>
      <w:iCs/>
      <w:color w:val="155F1A"/>
      <w:szCs w:val="28"/>
    </w:rPr>
  </w:style>
  <w:style w:type="character" w:customStyle="1" w:styleId="Heading3Char">
    <w:name w:val="Heading 3 Char"/>
    <w:link w:val="Heading3"/>
    <w:rsid w:val="0004663A"/>
    <w:rPr>
      <w:rFonts w:ascii="Arial" w:hAnsi="Arial" w:cs="Arial"/>
      <w:bCs/>
      <w:iCs/>
      <w:color w:val="155F1A"/>
      <w:sz w:val="28"/>
      <w:szCs w:val="26"/>
    </w:rPr>
  </w:style>
  <w:style w:type="character" w:customStyle="1" w:styleId="Heading4Char">
    <w:name w:val="Heading 4 Char"/>
    <w:link w:val="Heading4"/>
    <w:rsid w:val="000F2182"/>
    <w:rPr>
      <w:rFonts w:ascii="Arial" w:hAnsi="Arial" w:cs="Arial"/>
      <w:bCs/>
      <w:iCs/>
      <w:color w:val="155F1A"/>
      <w:sz w:val="22"/>
    </w:rPr>
  </w:style>
  <w:style w:type="character" w:customStyle="1" w:styleId="EndnoteTextChar">
    <w:name w:val="Endnote Text Char"/>
    <w:link w:val="EndnoteText"/>
    <w:semiHidden/>
    <w:rsid w:val="007E06EC"/>
    <w:rPr>
      <w:rFonts w:ascii="Arial" w:eastAsia="SimSun" w:hAnsi="Arial" w:cs="Arial"/>
      <w:sz w:val="18"/>
      <w:lang w:eastAsia="zh-CN"/>
    </w:rPr>
  </w:style>
  <w:style w:type="character" w:customStyle="1" w:styleId="SignatureChar">
    <w:name w:val="Signature Char"/>
    <w:link w:val="Signature"/>
    <w:rsid w:val="007E06EC"/>
    <w:rPr>
      <w:rFonts w:ascii="Arial" w:eastAsia="SimSun" w:hAnsi="Arial" w:cs="Arial"/>
      <w:lang w:eastAsia="zh-CN"/>
    </w:rPr>
  </w:style>
  <w:style w:type="paragraph" w:styleId="TOCHeading">
    <w:name w:val="TOC Heading"/>
    <w:basedOn w:val="Heading1"/>
    <w:next w:val="Normal"/>
    <w:uiPriority w:val="39"/>
    <w:unhideWhenUsed/>
    <w:qFormat/>
    <w:rsid w:val="007E06EC"/>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7E06EC"/>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7E06EC"/>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7E06EC"/>
    <w:rPr>
      <w:rFonts w:eastAsia="Times New Roman"/>
      <w:bCs w:val="0"/>
    </w:rPr>
  </w:style>
  <w:style w:type="character" w:customStyle="1" w:styleId="StyleStyleHeading3ComplexItalicLatinChar">
    <w:name w:val="Style Style Heading 3 + (Complex) Italic + (Latin) Char"/>
    <w:link w:val="StyleStyleHeading3ComplexItalicLatin"/>
    <w:rsid w:val="007E06EC"/>
    <w:rPr>
      <w:rFonts w:ascii="Arial" w:hAnsi="Arial" w:cs="Arial"/>
      <w:b/>
      <w:color w:val="155F1A"/>
      <w:sz w:val="22"/>
      <w:szCs w:val="22"/>
    </w:rPr>
  </w:style>
  <w:style w:type="paragraph" w:customStyle="1" w:styleId="CharCharCharChar">
    <w:name w:val="Char Char Char Char"/>
    <w:basedOn w:val="Normal"/>
    <w:rsid w:val="007E06EC"/>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7E06EC"/>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7E06EC"/>
    <w:rPr>
      <w:sz w:val="24"/>
    </w:rPr>
  </w:style>
  <w:style w:type="character" w:customStyle="1" w:styleId="hps">
    <w:name w:val="hps"/>
    <w:basedOn w:val="DefaultParagraphFont"/>
    <w:rsid w:val="007E06EC"/>
  </w:style>
  <w:style w:type="paragraph" w:customStyle="1" w:styleId="1">
    <w:name w:val="1"/>
    <w:basedOn w:val="Normal"/>
    <w:rsid w:val="007E06EC"/>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7E06EC"/>
    <w:pPr>
      <w:ind w:left="-28"/>
    </w:pPr>
    <w:rPr>
      <w:rFonts w:eastAsia="MS Mincho" w:cs="Arial"/>
      <w:bCs/>
      <w:lang w:eastAsia="ja-JP"/>
    </w:rPr>
  </w:style>
  <w:style w:type="paragraph" w:customStyle="1" w:styleId="Normal6">
    <w:name w:val="Normal+6"/>
    <w:basedOn w:val="Normal"/>
    <w:next w:val="Normal"/>
    <w:rsid w:val="007E06EC"/>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7E06EC"/>
    <w:rPr>
      <w:b w:val="0"/>
      <w:bCs w:val="0"/>
      <w:i w:val="0"/>
      <w:iCs w:val="0"/>
      <w:color w:val="800000"/>
      <w:sz w:val="20"/>
      <w:szCs w:val="20"/>
    </w:rPr>
  </w:style>
  <w:style w:type="paragraph" w:customStyle="1" w:styleId="Body">
    <w:name w:val="Body"/>
    <w:rsid w:val="007E06EC"/>
    <w:rPr>
      <w:rFonts w:ascii="Helvetica" w:eastAsia="ヒラギノ角ゴ Pro W3" w:hAnsi="Helvetica" w:cs="Angsana New"/>
      <w:color w:val="000000"/>
      <w:sz w:val="24"/>
      <w:lang w:bidi="th-TH"/>
    </w:rPr>
  </w:style>
  <w:style w:type="paragraph" w:customStyle="1" w:styleId="tes1">
    <w:name w:val="tes1"/>
    <w:basedOn w:val="Normal"/>
    <w:rsid w:val="007E06EC"/>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7E06EC"/>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7E06EC"/>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7E06EC"/>
    <w:rPr>
      <w:b/>
      <w:sz w:val="24"/>
    </w:rPr>
  </w:style>
  <w:style w:type="paragraph" w:styleId="Subtitle">
    <w:name w:val="Subtitle"/>
    <w:basedOn w:val="Normal"/>
    <w:link w:val="SubtitleChar"/>
    <w:qFormat/>
    <w:rsid w:val="007E06EC"/>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7E06EC"/>
    <w:rPr>
      <w:b/>
      <w:caps/>
      <w:color w:val="0000FF"/>
      <w:sz w:val="28"/>
    </w:rPr>
  </w:style>
  <w:style w:type="paragraph" w:styleId="BodyTextIndent2">
    <w:name w:val="Body Text Indent 2"/>
    <w:basedOn w:val="Normal"/>
    <w:link w:val="BodyTextIndent2Char"/>
    <w:rsid w:val="007E06EC"/>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7E06EC"/>
    <w:rPr>
      <w:rFonts w:ascii="Arial" w:hAnsi="Arial"/>
      <w:snapToGrid w:val="0"/>
      <w:color w:val="000000"/>
    </w:rPr>
  </w:style>
  <w:style w:type="paragraph" w:customStyle="1" w:styleId="3029-Titrechapitre">
    <w:name w:val="3029-Titre chapitre"/>
    <w:basedOn w:val="Heading1"/>
    <w:rsid w:val="007E06EC"/>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7E06EC"/>
    <w:rPr>
      <w:u w:val="single"/>
    </w:rPr>
  </w:style>
  <w:style w:type="paragraph" w:customStyle="1" w:styleId="zanxhead">
    <w:name w:val="zanxhead"/>
    <w:basedOn w:val="Normal"/>
    <w:rsid w:val="007E06EC"/>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7E06EC"/>
    <w:pPr>
      <w:spacing w:before="120"/>
    </w:pPr>
    <w:rPr>
      <w:rFonts w:ascii="Times New Roman" w:eastAsia="Times New Roman" w:hAnsi="Times New Roman" w:cs="Times New Roman"/>
      <w:sz w:val="24"/>
      <w:lang w:eastAsia="en-US"/>
    </w:rPr>
  </w:style>
  <w:style w:type="character" w:styleId="Strong">
    <w:name w:val="Strong"/>
    <w:qFormat/>
    <w:rsid w:val="007E06EC"/>
    <w:rPr>
      <w:b/>
      <w:bCs/>
    </w:rPr>
  </w:style>
  <w:style w:type="paragraph" w:customStyle="1" w:styleId="Documenttitle">
    <w:name w:val="Document title"/>
    <w:basedOn w:val="Normal"/>
    <w:next w:val="preparedby0"/>
    <w:rsid w:val="007E06EC"/>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7E06EC"/>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7E06EC"/>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7E06EC"/>
    <w:pPr>
      <w:spacing w:before="480"/>
      <w:contextualSpacing/>
    </w:pPr>
    <w:rPr>
      <w:sz w:val="24"/>
    </w:rPr>
  </w:style>
  <w:style w:type="paragraph" w:customStyle="1" w:styleId="Meetingplacedate">
    <w:name w:val="Meeting place &amp; date"/>
    <w:basedOn w:val="Sessiontitle"/>
    <w:next w:val="Documenttitle"/>
    <w:rsid w:val="007E06EC"/>
    <w:pPr>
      <w:spacing w:before="0"/>
      <w:contextualSpacing w:val="0"/>
    </w:pPr>
  </w:style>
  <w:style w:type="paragraph" w:customStyle="1" w:styleId="Language">
    <w:name w:val="Language"/>
    <w:basedOn w:val="Normal"/>
    <w:next w:val="Normal"/>
    <w:rsid w:val="007E06EC"/>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7E06EC"/>
    <w:pPr>
      <w:spacing w:before="1800" w:after="0"/>
    </w:pPr>
  </w:style>
  <w:style w:type="paragraph" w:customStyle="1" w:styleId="CarCarCar">
    <w:name w:val="Car Car Car"/>
    <w:basedOn w:val="Normal"/>
    <w:rsid w:val="007E06EC"/>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7E06EC"/>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7E06EC"/>
    <w:rPr>
      <w:color w:val="606420"/>
      <w:u w:val="single"/>
    </w:rPr>
  </w:style>
  <w:style w:type="paragraph" w:customStyle="1" w:styleId="Body1">
    <w:name w:val="Body 1"/>
    <w:rsid w:val="007E06EC"/>
    <w:rPr>
      <w:rFonts w:ascii="Helvetica" w:eastAsia="Arial Unicode MS" w:hAnsi="Helvetica"/>
      <w:color w:val="000000"/>
      <w:sz w:val="24"/>
    </w:rPr>
  </w:style>
  <w:style w:type="character" w:customStyle="1" w:styleId="Bona">
    <w:name w:val="Bona"/>
    <w:semiHidden/>
    <w:rsid w:val="007E06EC"/>
    <w:rPr>
      <w:rFonts w:ascii="Arial" w:hAnsi="Arial" w:cs="Arial"/>
      <w:color w:val="000080"/>
      <w:sz w:val="20"/>
      <w:szCs w:val="20"/>
    </w:rPr>
  </w:style>
  <w:style w:type="paragraph" w:customStyle="1" w:styleId="Peromissi">
    <w:name w:val="Per omissió"/>
    <w:rsid w:val="007E06EC"/>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7E06EC"/>
  </w:style>
  <w:style w:type="paragraph" w:customStyle="1" w:styleId="StyleStyleHeading3ComplexItalicLatin12pt">
    <w:name w:val="Style Style Heading 3 + (Complex) Italic + (Latin) 12 pt"/>
    <w:basedOn w:val="StyleHeading3ComplexItalic"/>
    <w:link w:val="StyleStyleHeading3ComplexItalicLatin12ptChar"/>
    <w:rsid w:val="007E06EC"/>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7E06EC"/>
    <w:rPr>
      <w:rFonts w:ascii="Arial" w:hAnsi="Arial" w:cs="Arial"/>
      <w:b/>
      <w:bCs/>
      <w:iCs/>
      <w:caps/>
      <w:color w:val="155F1A"/>
      <w:sz w:val="22"/>
      <w:szCs w:val="22"/>
    </w:rPr>
  </w:style>
  <w:style w:type="table" w:styleId="TableClassic2">
    <w:name w:val="Table Classic 2"/>
    <w:basedOn w:val="TableNormal"/>
    <w:rsid w:val="007E06E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7E06E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7E06E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7E06EC"/>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7E06EC"/>
    <w:pPr>
      <w:numPr>
        <w:numId w:val="27"/>
      </w:numPr>
    </w:pPr>
    <w:rPr>
      <w:rFonts w:eastAsia="Times New Roman" w:cs="Times New Roman"/>
      <w:szCs w:val="24"/>
      <w:lang w:eastAsia="en-US"/>
    </w:rPr>
  </w:style>
  <w:style w:type="paragraph" w:customStyle="1" w:styleId="DocTitle">
    <w:name w:val="DocTitle"/>
    <w:basedOn w:val="Normal"/>
    <w:uiPriority w:val="6"/>
    <w:qFormat/>
    <w:rsid w:val="007E06EC"/>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7E06EC"/>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7E06EC"/>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7E06EC"/>
    <w:pPr>
      <w:numPr>
        <w:numId w:val="22"/>
      </w:numPr>
    </w:pPr>
  </w:style>
  <w:style w:type="paragraph" w:customStyle="1" w:styleId="SectionTitleNumb">
    <w:name w:val="SectionTitleNumb"/>
    <w:basedOn w:val="SectionTitle"/>
    <w:next w:val="Normal"/>
    <w:uiPriority w:val="1"/>
    <w:qFormat/>
    <w:rsid w:val="007E06EC"/>
    <w:pPr>
      <w:numPr>
        <w:numId w:val="26"/>
      </w:numPr>
    </w:pPr>
    <w:rPr>
      <w:color w:val="155F1A"/>
    </w:rPr>
  </w:style>
  <w:style w:type="paragraph" w:customStyle="1" w:styleId="StrategyTitle">
    <w:name w:val="StrategyTitle"/>
    <w:basedOn w:val="Normal"/>
    <w:uiPriority w:val="2"/>
    <w:qFormat/>
    <w:rsid w:val="007E06EC"/>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7E06EC"/>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7E06EC"/>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7E06EC"/>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7E06EC"/>
  </w:style>
  <w:style w:type="table" w:customStyle="1" w:styleId="TableGrid2">
    <w:name w:val="Table Grid2"/>
    <w:basedOn w:val="TableNormal"/>
    <w:next w:val="TableGrid"/>
    <w:uiPriority w:val="59"/>
    <w:rsid w:val="007E06EC"/>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7E06EC"/>
  </w:style>
  <w:style w:type="paragraph" w:customStyle="1" w:styleId="TableText">
    <w:name w:val="TableText"/>
    <w:basedOn w:val="Normal"/>
    <w:uiPriority w:val="17"/>
    <w:qFormat/>
    <w:rsid w:val="007E06EC"/>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7E06EC"/>
    <w:rPr>
      <w:b/>
    </w:rPr>
  </w:style>
  <w:style w:type="paragraph" w:customStyle="1" w:styleId="TableTextItalic">
    <w:name w:val="TableTextItalic"/>
    <w:basedOn w:val="TableText"/>
    <w:uiPriority w:val="17"/>
    <w:qFormat/>
    <w:rsid w:val="007E06EC"/>
    <w:pPr>
      <w:ind w:left="340"/>
    </w:pPr>
    <w:rPr>
      <w:i/>
    </w:rPr>
  </w:style>
  <w:style w:type="paragraph" w:customStyle="1" w:styleId="TableHeading">
    <w:name w:val="TableHeading"/>
    <w:basedOn w:val="TableText"/>
    <w:uiPriority w:val="17"/>
    <w:qFormat/>
    <w:rsid w:val="007E06EC"/>
    <w:pPr>
      <w:keepNext/>
      <w:spacing w:before="40" w:after="20"/>
    </w:pPr>
    <w:rPr>
      <w:b/>
    </w:rPr>
  </w:style>
  <w:style w:type="paragraph" w:customStyle="1" w:styleId="TableNumb">
    <w:name w:val="TableNumb"/>
    <w:basedOn w:val="TableText"/>
    <w:uiPriority w:val="19"/>
    <w:qFormat/>
    <w:rsid w:val="007E06EC"/>
    <w:pPr>
      <w:ind w:left="0" w:right="113"/>
      <w:jc w:val="right"/>
    </w:pPr>
  </w:style>
  <w:style w:type="paragraph" w:customStyle="1" w:styleId="TableHeadingRight">
    <w:name w:val="TableHeadingRight"/>
    <w:basedOn w:val="TableHeading"/>
    <w:uiPriority w:val="17"/>
    <w:qFormat/>
    <w:rsid w:val="007E06EC"/>
    <w:pPr>
      <w:ind w:left="0" w:right="113"/>
      <w:jc w:val="right"/>
    </w:pPr>
  </w:style>
  <w:style w:type="paragraph" w:customStyle="1" w:styleId="TableNumbBold">
    <w:name w:val="TableNumbBold"/>
    <w:basedOn w:val="TableNumb"/>
    <w:uiPriority w:val="19"/>
    <w:qFormat/>
    <w:rsid w:val="007E06EC"/>
    <w:rPr>
      <w:b/>
    </w:rPr>
  </w:style>
  <w:style w:type="numbering" w:customStyle="1" w:styleId="NumbListTable">
    <w:name w:val="NumbListTable"/>
    <w:uiPriority w:val="99"/>
    <w:rsid w:val="007E06EC"/>
    <w:pPr>
      <w:numPr>
        <w:numId w:val="23"/>
      </w:numPr>
    </w:pPr>
  </w:style>
  <w:style w:type="paragraph" w:customStyle="1" w:styleId="ChartTitle">
    <w:name w:val="ChartTitle"/>
    <w:basedOn w:val="Normal"/>
    <w:next w:val="Normal"/>
    <w:uiPriority w:val="49"/>
    <w:semiHidden/>
    <w:qFormat/>
    <w:rsid w:val="007E06EC"/>
    <w:pPr>
      <w:numPr>
        <w:numId w:val="21"/>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7E06EC"/>
    <w:pPr>
      <w:numPr>
        <w:numId w:val="21"/>
      </w:numPr>
    </w:pPr>
  </w:style>
  <w:style w:type="paragraph" w:customStyle="1" w:styleId="TableNotes">
    <w:name w:val="TableNotes"/>
    <w:basedOn w:val="Normal"/>
    <w:uiPriority w:val="8"/>
    <w:qFormat/>
    <w:rsid w:val="007E06EC"/>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7E06EC"/>
    <w:rPr>
      <w:color w:val="008080" w:themeColor="text2"/>
    </w:rPr>
  </w:style>
  <w:style w:type="paragraph" w:customStyle="1" w:styleId="Heading2NoNumb">
    <w:name w:val="Heading 2NoNumb"/>
    <w:basedOn w:val="Normal"/>
    <w:uiPriority w:val="6"/>
    <w:qFormat/>
    <w:rsid w:val="007E06EC"/>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7E06EC"/>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7E06EC"/>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7E06EC"/>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7E06EC"/>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7E06EC"/>
    <w:pPr>
      <w:ind w:left="1701" w:hanging="1701"/>
    </w:pPr>
  </w:style>
  <w:style w:type="numbering" w:customStyle="1" w:styleId="NumbListAnnex">
    <w:name w:val="NumbListAnnex"/>
    <w:uiPriority w:val="99"/>
    <w:rsid w:val="007E06EC"/>
    <w:pPr>
      <w:numPr>
        <w:numId w:val="18"/>
      </w:numPr>
    </w:pPr>
  </w:style>
  <w:style w:type="paragraph" w:customStyle="1" w:styleId="NumbList1">
    <w:name w:val="NumbList 1"/>
    <w:basedOn w:val="Normal"/>
    <w:uiPriority w:val="6"/>
    <w:qFormat/>
    <w:rsid w:val="007E06EC"/>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7E06EC"/>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7E06EC"/>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7E06EC"/>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7E06EC"/>
    <w:rPr>
      <w:color w:val="000099"/>
      <w:u w:val="single"/>
    </w:rPr>
  </w:style>
  <w:style w:type="character" w:customStyle="1" w:styleId="FootnoteAnchor">
    <w:name w:val="Footnote Anchor"/>
    <w:rsid w:val="007E06EC"/>
    <w:rPr>
      <w:vertAlign w:val="superscript"/>
    </w:rPr>
  </w:style>
  <w:style w:type="paragraph" w:styleId="TOC6">
    <w:name w:val="toc 6"/>
    <w:basedOn w:val="Normal"/>
    <w:next w:val="Normal"/>
    <w:autoRedefine/>
    <w:uiPriority w:val="39"/>
    <w:unhideWhenUsed/>
    <w:rsid w:val="007E06EC"/>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7E06EC"/>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7E06EC"/>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7E06EC"/>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7E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E06EC"/>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06EC"/>
    <w:rPr>
      <w:color w:val="808080"/>
    </w:rPr>
  </w:style>
  <w:style w:type="paragraph" w:customStyle="1" w:styleId="xl73">
    <w:name w:val="xl73"/>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7E06EC"/>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7E06EC"/>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7E06EC"/>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7E06EC"/>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7E06EC"/>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7E06EC"/>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7E06EC"/>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7E06EC"/>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7E06EC"/>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7E06EC"/>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7E06EC"/>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7E06EC"/>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7E06EC"/>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7E06EC"/>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7E06EC"/>
    <w:pPr>
      <w:numPr>
        <w:numId w:val="20"/>
      </w:numPr>
    </w:pPr>
  </w:style>
  <w:style w:type="paragraph" w:customStyle="1" w:styleId="AlphaList">
    <w:name w:val="AlphaList"/>
    <w:basedOn w:val="Normal"/>
    <w:uiPriority w:val="6"/>
    <w:qFormat/>
    <w:rsid w:val="007E06EC"/>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7E06EC"/>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7E06EC"/>
  </w:style>
  <w:style w:type="numbering" w:customStyle="1" w:styleId="NumbListAppendix">
    <w:name w:val="NumbListAppendix"/>
    <w:uiPriority w:val="99"/>
    <w:rsid w:val="007E06EC"/>
    <w:pPr>
      <w:numPr>
        <w:numId w:val="19"/>
      </w:numPr>
    </w:pPr>
  </w:style>
  <w:style w:type="character" w:customStyle="1" w:styleId="CommentTextChar1">
    <w:name w:val="Comment Text Char1"/>
    <w:basedOn w:val="DefaultParagraphFont"/>
    <w:uiPriority w:val="99"/>
    <w:rsid w:val="007E06EC"/>
    <w:rPr>
      <w:rFonts w:ascii="Arial" w:hAnsi="Arial" w:cs="Arial"/>
      <w:sz w:val="18"/>
    </w:rPr>
  </w:style>
  <w:style w:type="paragraph" w:styleId="BodyText3">
    <w:name w:val="Body Text 3"/>
    <w:basedOn w:val="Normal"/>
    <w:link w:val="BodyText3Char"/>
    <w:unhideWhenUsed/>
    <w:rsid w:val="007E06EC"/>
    <w:pPr>
      <w:spacing w:after="120"/>
    </w:pPr>
    <w:rPr>
      <w:sz w:val="16"/>
      <w:szCs w:val="16"/>
    </w:rPr>
  </w:style>
  <w:style w:type="character" w:customStyle="1" w:styleId="BodyText3Char">
    <w:name w:val="Body Text 3 Char"/>
    <w:basedOn w:val="DefaultParagraphFont"/>
    <w:link w:val="BodyText3"/>
    <w:rsid w:val="007E06EC"/>
    <w:rPr>
      <w:rFonts w:ascii="Arial" w:eastAsia="SimSun" w:hAnsi="Arial" w:cs="Arial"/>
      <w:sz w:val="16"/>
      <w:szCs w:val="16"/>
      <w:lang w:eastAsia="zh-CN"/>
    </w:rPr>
  </w:style>
  <w:style w:type="paragraph" w:customStyle="1" w:styleId="BodyTextKeep">
    <w:name w:val="Body Text Keep"/>
    <w:basedOn w:val="BodyText"/>
    <w:rsid w:val="007E06EC"/>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7E06EC"/>
    <w:rPr>
      <w:rFonts w:ascii="Arial" w:hAnsi="Arial"/>
    </w:rPr>
  </w:style>
  <w:style w:type="character" w:customStyle="1" w:styleId="MacroTextChar">
    <w:name w:val="Macro Text Char"/>
    <w:basedOn w:val="DefaultParagraphFont"/>
    <w:link w:val="MacroText"/>
    <w:semiHidden/>
    <w:rsid w:val="007E06EC"/>
    <w:rPr>
      <w:rFonts w:ascii="Courier New" w:hAnsi="Courier New"/>
      <w:sz w:val="16"/>
    </w:rPr>
  </w:style>
  <w:style w:type="character" w:customStyle="1" w:styleId="DateChar">
    <w:name w:val="Date Char"/>
    <w:basedOn w:val="DefaultParagraphFont"/>
    <w:link w:val="Date"/>
    <w:rsid w:val="007E06EC"/>
    <w:rPr>
      <w:rFonts w:ascii="Arial" w:hAnsi="Arial"/>
      <w:b/>
    </w:rPr>
  </w:style>
  <w:style w:type="paragraph" w:customStyle="1" w:styleId="StyleDocoriginalNotBold">
    <w:name w:val="Style Doc_original + Not Bold"/>
    <w:basedOn w:val="Docoriginal"/>
    <w:link w:val="StyleDocoriginalNotBoldChar"/>
    <w:autoRedefine/>
    <w:rsid w:val="007E06EC"/>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7E06EC"/>
    <w:rPr>
      <w:rFonts w:ascii="Arial" w:eastAsiaTheme="minorEastAsia" w:hAnsi="Arial"/>
      <w:b/>
      <w:bCs/>
      <w:spacing w:val="10"/>
      <w:sz w:val="18"/>
      <w:lang w:val="fr-FR"/>
    </w:rPr>
  </w:style>
  <w:style w:type="paragraph" w:customStyle="1" w:styleId="StyleDocnumber">
    <w:name w:val="Style Doc_number"/>
    <w:basedOn w:val="Docoriginal"/>
    <w:rsid w:val="007E06EC"/>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7E06EC"/>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7E06EC"/>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7E06E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E06EC"/>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7E06EC"/>
    <w:rPr>
      <w:rFonts w:ascii="Arial" w:hAnsi="Arial"/>
      <w:b/>
      <w:bCs/>
      <w:spacing w:val="10"/>
      <w:lang w:val="en-US" w:eastAsia="en-US" w:bidi="ar-SA"/>
    </w:rPr>
  </w:style>
  <w:style w:type="character" w:customStyle="1" w:styleId="StyleDoclangBold">
    <w:name w:val="Style Doc_lang + Bold"/>
    <w:basedOn w:val="Doclang"/>
    <w:rsid w:val="007E06EC"/>
    <w:rPr>
      <w:rFonts w:ascii="Arial" w:hAnsi="Arial"/>
      <w:b/>
      <w:bCs/>
      <w:sz w:val="20"/>
      <w:lang w:val="en-US"/>
    </w:rPr>
  </w:style>
  <w:style w:type="paragraph" w:customStyle="1" w:styleId="Draft">
    <w:name w:val="Draft"/>
    <w:basedOn w:val="Normal"/>
    <w:next w:val="preparedby"/>
    <w:rsid w:val="007E06EC"/>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7E06EC"/>
    <w:pPr>
      <w:spacing w:after="300"/>
    </w:pPr>
    <w:rPr>
      <w:rFonts w:ascii="Arial" w:eastAsiaTheme="minorEastAsia" w:hAnsi="Arial"/>
      <w:kern w:val="28"/>
      <w:sz w:val="30"/>
    </w:rPr>
  </w:style>
  <w:style w:type="paragraph" w:customStyle="1" w:styleId="result">
    <w:name w:val="result"/>
    <w:basedOn w:val="Normal"/>
    <w:qFormat/>
    <w:rsid w:val="007E06EC"/>
    <w:rPr>
      <w:rFonts w:eastAsia="Times New Roman" w:cs="Times New Roman"/>
      <w:sz w:val="18"/>
      <w:lang w:eastAsia="en-US"/>
    </w:rPr>
  </w:style>
  <w:style w:type="paragraph" w:styleId="NoSpacing">
    <w:name w:val="No Spacing"/>
    <w:link w:val="NoSpacingChar"/>
    <w:uiPriority w:val="1"/>
    <w:qFormat/>
    <w:rsid w:val="007E06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E06EC"/>
    <w:rPr>
      <w:rFonts w:asciiTheme="minorHAnsi" w:eastAsiaTheme="minorEastAsia" w:hAnsiTheme="minorHAnsi" w:cstheme="minorBidi"/>
      <w:sz w:val="22"/>
      <w:szCs w:val="22"/>
    </w:rPr>
  </w:style>
  <w:style w:type="paragraph" w:customStyle="1" w:styleId="msonormal0">
    <w:name w:val="msonormal"/>
    <w:basedOn w:val="Normal"/>
    <w:rsid w:val="007E06EC"/>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72">
    <w:name w:val="xl72"/>
    <w:basedOn w:val="Normal"/>
    <w:rsid w:val="007E06EC"/>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7E06E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7E06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7E06EC"/>
    <w:pPr>
      <w:numPr>
        <w:numId w:val="16"/>
      </w:numPr>
      <w:contextualSpacing/>
    </w:pPr>
  </w:style>
  <w:style w:type="character" w:customStyle="1" w:styleId="ListParagraphChar">
    <w:name w:val="List Paragraph Char"/>
    <w:aliases w:val="auto_list_(i) Char,List Paragraph1 Char"/>
    <w:basedOn w:val="DefaultParagraphFont"/>
    <w:link w:val="ListParagraph"/>
    <w:uiPriority w:val="34"/>
    <w:locked/>
    <w:rsid w:val="007E06EC"/>
    <w:rPr>
      <w:rFonts w:ascii="Arial" w:hAnsi="Arial"/>
    </w:rPr>
  </w:style>
  <w:style w:type="paragraph" w:customStyle="1" w:styleId="Bulletalphabet">
    <w:name w:val="Bullet alphabet"/>
    <w:uiPriority w:val="7"/>
    <w:qFormat/>
    <w:rsid w:val="005B7871"/>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Number1">
    <w:name w:val="Number 1"/>
    <w:link w:val="Number1Char"/>
    <w:uiPriority w:val="2"/>
    <w:qFormat/>
    <w:rsid w:val="005B7871"/>
    <w:pPr>
      <w:tabs>
        <w:tab w:val="num" w:pos="454"/>
      </w:tabs>
      <w:adjustRightInd w:val="0"/>
      <w:spacing w:before="120" w:after="170" w:line="280" w:lineRule="atLeast"/>
      <w:textAlignment w:val="baseline"/>
    </w:pPr>
    <w:rPr>
      <w:rFonts w:ascii="Arial" w:hAnsi="Arial" w:cs="Arial"/>
      <w:color w:val="000000"/>
      <w:szCs w:val="24"/>
      <w:lang w:val="en-GB"/>
    </w:rPr>
  </w:style>
  <w:style w:type="character" w:customStyle="1" w:styleId="Number1Char">
    <w:name w:val="Number 1 Char"/>
    <w:link w:val="Number1"/>
    <w:uiPriority w:val="2"/>
    <w:rsid w:val="005B7871"/>
    <w:rPr>
      <w:rFonts w:ascii="Arial" w:hAnsi="Arial" w:cs="Arial"/>
      <w:color w:val="000000"/>
      <w:szCs w:val="24"/>
      <w:lang w:val="en-GB"/>
    </w:rPr>
  </w:style>
  <w:style w:type="paragraph" w:customStyle="1" w:styleId="xxmsonormal">
    <w:name w:val="x_xmsonormal"/>
    <w:basedOn w:val="Normal"/>
    <w:rsid w:val="00226D24"/>
    <w:pPr>
      <w:jc w:val="left"/>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831">
      <w:bodyDiv w:val="1"/>
      <w:marLeft w:val="0"/>
      <w:marRight w:val="0"/>
      <w:marTop w:val="0"/>
      <w:marBottom w:val="0"/>
      <w:divBdr>
        <w:top w:val="none" w:sz="0" w:space="0" w:color="auto"/>
        <w:left w:val="none" w:sz="0" w:space="0" w:color="auto"/>
        <w:bottom w:val="none" w:sz="0" w:space="0" w:color="auto"/>
        <w:right w:val="none" w:sz="0" w:space="0" w:color="auto"/>
      </w:divBdr>
    </w:div>
    <w:div w:id="83502320">
      <w:bodyDiv w:val="1"/>
      <w:marLeft w:val="0"/>
      <w:marRight w:val="0"/>
      <w:marTop w:val="0"/>
      <w:marBottom w:val="0"/>
      <w:divBdr>
        <w:top w:val="none" w:sz="0" w:space="0" w:color="auto"/>
        <w:left w:val="none" w:sz="0" w:space="0" w:color="auto"/>
        <w:bottom w:val="none" w:sz="0" w:space="0" w:color="auto"/>
        <w:right w:val="none" w:sz="0" w:space="0" w:color="auto"/>
      </w:divBdr>
    </w:div>
    <w:div w:id="179852973">
      <w:bodyDiv w:val="1"/>
      <w:marLeft w:val="0"/>
      <w:marRight w:val="0"/>
      <w:marTop w:val="0"/>
      <w:marBottom w:val="0"/>
      <w:divBdr>
        <w:top w:val="none" w:sz="0" w:space="0" w:color="auto"/>
        <w:left w:val="none" w:sz="0" w:space="0" w:color="auto"/>
        <w:bottom w:val="none" w:sz="0" w:space="0" w:color="auto"/>
        <w:right w:val="none" w:sz="0" w:space="0" w:color="auto"/>
      </w:divBdr>
    </w:div>
    <w:div w:id="433063993">
      <w:bodyDiv w:val="1"/>
      <w:marLeft w:val="0"/>
      <w:marRight w:val="0"/>
      <w:marTop w:val="0"/>
      <w:marBottom w:val="0"/>
      <w:divBdr>
        <w:top w:val="none" w:sz="0" w:space="0" w:color="auto"/>
        <w:left w:val="none" w:sz="0" w:space="0" w:color="auto"/>
        <w:bottom w:val="none" w:sz="0" w:space="0" w:color="auto"/>
        <w:right w:val="none" w:sz="0" w:space="0" w:color="auto"/>
      </w:divBdr>
    </w:div>
    <w:div w:id="692269314">
      <w:bodyDiv w:val="1"/>
      <w:marLeft w:val="0"/>
      <w:marRight w:val="0"/>
      <w:marTop w:val="0"/>
      <w:marBottom w:val="0"/>
      <w:divBdr>
        <w:top w:val="none" w:sz="0" w:space="0" w:color="auto"/>
        <w:left w:val="none" w:sz="0" w:space="0" w:color="auto"/>
        <w:bottom w:val="none" w:sz="0" w:space="0" w:color="auto"/>
        <w:right w:val="none" w:sz="0" w:space="0" w:color="auto"/>
      </w:divBdr>
    </w:div>
    <w:div w:id="786393589">
      <w:bodyDiv w:val="1"/>
      <w:marLeft w:val="0"/>
      <w:marRight w:val="0"/>
      <w:marTop w:val="0"/>
      <w:marBottom w:val="0"/>
      <w:divBdr>
        <w:top w:val="none" w:sz="0" w:space="0" w:color="auto"/>
        <w:left w:val="none" w:sz="0" w:space="0" w:color="auto"/>
        <w:bottom w:val="none" w:sz="0" w:space="0" w:color="auto"/>
        <w:right w:val="none" w:sz="0" w:space="0" w:color="auto"/>
      </w:divBdr>
    </w:div>
    <w:div w:id="897712619">
      <w:bodyDiv w:val="1"/>
      <w:marLeft w:val="0"/>
      <w:marRight w:val="0"/>
      <w:marTop w:val="0"/>
      <w:marBottom w:val="0"/>
      <w:divBdr>
        <w:top w:val="none" w:sz="0" w:space="0" w:color="auto"/>
        <w:left w:val="none" w:sz="0" w:space="0" w:color="auto"/>
        <w:bottom w:val="none" w:sz="0" w:space="0" w:color="auto"/>
        <w:right w:val="none" w:sz="0" w:space="0" w:color="auto"/>
      </w:divBdr>
    </w:div>
    <w:div w:id="926815882">
      <w:bodyDiv w:val="1"/>
      <w:marLeft w:val="0"/>
      <w:marRight w:val="0"/>
      <w:marTop w:val="0"/>
      <w:marBottom w:val="0"/>
      <w:divBdr>
        <w:top w:val="none" w:sz="0" w:space="0" w:color="auto"/>
        <w:left w:val="none" w:sz="0" w:space="0" w:color="auto"/>
        <w:bottom w:val="none" w:sz="0" w:space="0" w:color="auto"/>
        <w:right w:val="none" w:sz="0" w:space="0" w:color="auto"/>
      </w:divBdr>
    </w:div>
    <w:div w:id="987048649">
      <w:bodyDiv w:val="1"/>
      <w:marLeft w:val="0"/>
      <w:marRight w:val="0"/>
      <w:marTop w:val="0"/>
      <w:marBottom w:val="0"/>
      <w:divBdr>
        <w:top w:val="none" w:sz="0" w:space="0" w:color="auto"/>
        <w:left w:val="none" w:sz="0" w:space="0" w:color="auto"/>
        <w:bottom w:val="none" w:sz="0" w:space="0" w:color="auto"/>
        <w:right w:val="none" w:sz="0" w:space="0" w:color="auto"/>
      </w:divBdr>
    </w:div>
    <w:div w:id="1164009624">
      <w:bodyDiv w:val="1"/>
      <w:marLeft w:val="0"/>
      <w:marRight w:val="0"/>
      <w:marTop w:val="0"/>
      <w:marBottom w:val="0"/>
      <w:divBdr>
        <w:top w:val="none" w:sz="0" w:space="0" w:color="auto"/>
        <w:left w:val="none" w:sz="0" w:space="0" w:color="auto"/>
        <w:bottom w:val="none" w:sz="0" w:space="0" w:color="auto"/>
        <w:right w:val="none" w:sz="0" w:space="0" w:color="auto"/>
      </w:divBdr>
    </w:div>
    <w:div w:id="1338531852">
      <w:bodyDiv w:val="1"/>
      <w:marLeft w:val="0"/>
      <w:marRight w:val="0"/>
      <w:marTop w:val="0"/>
      <w:marBottom w:val="0"/>
      <w:divBdr>
        <w:top w:val="none" w:sz="0" w:space="0" w:color="auto"/>
        <w:left w:val="none" w:sz="0" w:space="0" w:color="auto"/>
        <w:bottom w:val="none" w:sz="0" w:space="0" w:color="auto"/>
        <w:right w:val="none" w:sz="0" w:space="0" w:color="auto"/>
      </w:divBdr>
      <w:divsChild>
        <w:div w:id="1909654283">
          <w:marLeft w:val="0"/>
          <w:marRight w:val="0"/>
          <w:marTop w:val="0"/>
          <w:marBottom w:val="0"/>
          <w:divBdr>
            <w:top w:val="none" w:sz="0" w:space="0" w:color="auto"/>
            <w:left w:val="none" w:sz="0" w:space="0" w:color="auto"/>
            <w:bottom w:val="none" w:sz="0" w:space="0" w:color="auto"/>
            <w:right w:val="none" w:sz="0" w:space="0" w:color="auto"/>
          </w:divBdr>
          <w:divsChild>
            <w:div w:id="1042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2290">
      <w:bodyDiv w:val="1"/>
      <w:marLeft w:val="0"/>
      <w:marRight w:val="0"/>
      <w:marTop w:val="0"/>
      <w:marBottom w:val="0"/>
      <w:divBdr>
        <w:top w:val="none" w:sz="0" w:space="0" w:color="auto"/>
        <w:left w:val="none" w:sz="0" w:space="0" w:color="auto"/>
        <w:bottom w:val="none" w:sz="0" w:space="0" w:color="auto"/>
        <w:right w:val="none" w:sz="0" w:space="0" w:color="auto"/>
      </w:divBdr>
    </w:div>
    <w:div w:id="1769960701">
      <w:bodyDiv w:val="1"/>
      <w:marLeft w:val="0"/>
      <w:marRight w:val="0"/>
      <w:marTop w:val="0"/>
      <w:marBottom w:val="0"/>
      <w:divBdr>
        <w:top w:val="none" w:sz="0" w:space="0" w:color="auto"/>
        <w:left w:val="none" w:sz="0" w:space="0" w:color="auto"/>
        <w:bottom w:val="none" w:sz="0" w:space="0" w:color="auto"/>
        <w:right w:val="none" w:sz="0" w:space="0" w:color="auto"/>
      </w:divBdr>
    </w:div>
    <w:div w:id="1801147557">
      <w:bodyDiv w:val="1"/>
      <w:marLeft w:val="0"/>
      <w:marRight w:val="0"/>
      <w:marTop w:val="0"/>
      <w:marBottom w:val="0"/>
      <w:divBdr>
        <w:top w:val="none" w:sz="0" w:space="0" w:color="auto"/>
        <w:left w:val="none" w:sz="0" w:space="0" w:color="auto"/>
        <w:bottom w:val="none" w:sz="0" w:space="0" w:color="auto"/>
        <w:right w:val="none" w:sz="0" w:space="0" w:color="auto"/>
      </w:divBdr>
    </w:div>
    <w:div w:id="2028212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117" Type="http://schemas.openxmlformats.org/officeDocument/2006/relationships/hyperlink" Target="https://www.upov.int/edocs/mdocs/upov/es/c_57/c_57_2_annex_v.pdf" TargetMode="External"/><Relationship Id="rId21" Type="http://schemas.openxmlformats.org/officeDocument/2006/relationships/image" Target="media/image12.emf"/><Relationship Id="rId42" Type="http://schemas.openxmlformats.org/officeDocument/2006/relationships/image" Target="media/image33.png"/><Relationship Id="rId47" Type="http://schemas.openxmlformats.org/officeDocument/2006/relationships/image" Target="media/image38.emf"/><Relationship Id="rId63" Type="http://schemas.openxmlformats.org/officeDocument/2006/relationships/footer" Target="footer5.xml"/><Relationship Id="rId68" Type="http://schemas.openxmlformats.org/officeDocument/2006/relationships/image" Target="media/image47.emf"/><Relationship Id="rId84" Type="http://schemas.openxmlformats.org/officeDocument/2006/relationships/footer" Target="footer14.xml"/><Relationship Id="rId89" Type="http://schemas.openxmlformats.org/officeDocument/2006/relationships/header" Target="header17.xml"/><Relationship Id="rId112" Type="http://schemas.openxmlformats.org/officeDocument/2006/relationships/footer" Target="footer26.xml"/><Relationship Id="rId16" Type="http://schemas.openxmlformats.org/officeDocument/2006/relationships/image" Target="media/image7.emf"/><Relationship Id="rId107" Type="http://schemas.openxmlformats.org/officeDocument/2006/relationships/footer" Target="footer25.xml"/><Relationship Id="rId11" Type="http://schemas.openxmlformats.org/officeDocument/2006/relationships/image" Target="media/image2.emf"/><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header" Target="header4.xml"/><Relationship Id="rId58" Type="http://schemas.openxmlformats.org/officeDocument/2006/relationships/image" Target="media/image43.emf"/><Relationship Id="rId74" Type="http://schemas.openxmlformats.org/officeDocument/2006/relationships/footer" Target="footer9.xml"/><Relationship Id="rId79" Type="http://schemas.openxmlformats.org/officeDocument/2006/relationships/footer" Target="footer11.xml"/><Relationship Id="rId102" Type="http://schemas.openxmlformats.org/officeDocument/2006/relationships/header" Target="header22.xml"/><Relationship Id="rId123" Type="http://schemas.openxmlformats.org/officeDocument/2006/relationships/footer" Target="footer31.xml"/><Relationship Id="rId5" Type="http://schemas.openxmlformats.org/officeDocument/2006/relationships/webSettings" Target="webSettings.xml"/><Relationship Id="rId90" Type="http://schemas.openxmlformats.org/officeDocument/2006/relationships/footer" Target="footer17.xml"/><Relationship Id="rId95" Type="http://schemas.openxmlformats.org/officeDocument/2006/relationships/header" Target="header20.xml"/><Relationship Id="rId22" Type="http://schemas.openxmlformats.org/officeDocument/2006/relationships/image" Target="media/image13.emf"/><Relationship Id="rId27" Type="http://schemas.openxmlformats.org/officeDocument/2006/relationships/image" Target="media/image18.emf"/><Relationship Id="rId43" Type="http://schemas.openxmlformats.org/officeDocument/2006/relationships/image" Target="media/image34.png"/><Relationship Id="rId48" Type="http://schemas.openxmlformats.org/officeDocument/2006/relationships/image" Target="media/image39.emf"/><Relationship Id="rId64" Type="http://schemas.openxmlformats.org/officeDocument/2006/relationships/footer" Target="footer6.xml"/><Relationship Id="rId69" Type="http://schemas.openxmlformats.org/officeDocument/2006/relationships/image" Target="media/image48.emf"/><Relationship Id="rId113" Type="http://schemas.openxmlformats.org/officeDocument/2006/relationships/footer" Target="footer27.xml"/><Relationship Id="rId118" Type="http://schemas.openxmlformats.org/officeDocument/2006/relationships/header" Target="header28.xml"/><Relationship Id="rId80" Type="http://schemas.openxmlformats.org/officeDocument/2006/relationships/footer" Target="footer12.xml"/><Relationship Id="rId85" Type="http://schemas.openxmlformats.org/officeDocument/2006/relationships/footer" Target="footer15.xml"/><Relationship Id="rId12" Type="http://schemas.openxmlformats.org/officeDocument/2006/relationships/image" Target="media/image3.emf"/><Relationship Id="rId17" Type="http://schemas.openxmlformats.org/officeDocument/2006/relationships/image" Target="media/image8.emf"/><Relationship Id="rId33" Type="http://schemas.openxmlformats.org/officeDocument/2006/relationships/image" Target="media/image24.png"/><Relationship Id="rId38" Type="http://schemas.openxmlformats.org/officeDocument/2006/relationships/image" Target="media/image29.emf"/><Relationship Id="rId59" Type="http://schemas.openxmlformats.org/officeDocument/2006/relationships/image" Target="media/image44.emf"/><Relationship Id="rId103" Type="http://schemas.openxmlformats.org/officeDocument/2006/relationships/header" Target="header23.xml"/><Relationship Id="rId108" Type="http://schemas.openxmlformats.org/officeDocument/2006/relationships/image" Target="media/image52.png"/><Relationship Id="rId124" Type="http://schemas.openxmlformats.org/officeDocument/2006/relationships/fontTable" Target="fontTable.xml"/><Relationship Id="rId54" Type="http://schemas.openxmlformats.org/officeDocument/2006/relationships/footer" Target="footer4.xml"/><Relationship Id="rId70" Type="http://schemas.openxmlformats.org/officeDocument/2006/relationships/image" Target="media/image49.emf"/><Relationship Id="rId75" Type="http://schemas.openxmlformats.org/officeDocument/2006/relationships/header" Target="header10.xml"/><Relationship Id="rId91" Type="http://schemas.openxmlformats.org/officeDocument/2006/relationships/footer" Target="footer18.xml"/><Relationship Id="rId96"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4.emf"/><Relationship Id="rId28" Type="http://schemas.openxmlformats.org/officeDocument/2006/relationships/image" Target="media/image19.emf"/><Relationship Id="rId49" Type="http://schemas.openxmlformats.org/officeDocument/2006/relationships/header" Target="header2.xml"/><Relationship Id="rId114" Type="http://schemas.openxmlformats.org/officeDocument/2006/relationships/header" Target="header27.xml"/><Relationship Id="rId119" Type="http://schemas.openxmlformats.org/officeDocument/2006/relationships/header" Target="header29.xml"/><Relationship Id="rId44" Type="http://schemas.openxmlformats.org/officeDocument/2006/relationships/image" Target="media/image35.emf"/><Relationship Id="rId60" Type="http://schemas.openxmlformats.org/officeDocument/2006/relationships/image" Target="media/image45.emf"/><Relationship Id="rId65" Type="http://schemas.openxmlformats.org/officeDocument/2006/relationships/header" Target="header7.xml"/><Relationship Id="rId81" Type="http://schemas.openxmlformats.org/officeDocument/2006/relationships/footer" Target="footer13.xml"/><Relationship Id="rId86" Type="http://schemas.openxmlformats.org/officeDocument/2006/relationships/header" Target="header15.xml"/><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emf"/><Relationship Id="rId109" Type="http://schemas.openxmlformats.org/officeDocument/2006/relationships/hyperlink" Target="https://www.upov.int/edocs/mdocs/upov/es/c_57/c_57_2_annex_iv.pdf" TargetMode="External"/><Relationship Id="rId34" Type="http://schemas.openxmlformats.org/officeDocument/2006/relationships/image" Target="media/image25.png"/><Relationship Id="rId50" Type="http://schemas.openxmlformats.org/officeDocument/2006/relationships/header" Target="header3.xml"/><Relationship Id="rId55" Type="http://schemas.openxmlformats.org/officeDocument/2006/relationships/image" Target="media/image40.emf"/><Relationship Id="rId76" Type="http://schemas.openxmlformats.org/officeDocument/2006/relationships/footer" Target="footer10.xml"/><Relationship Id="rId97" Type="http://schemas.openxmlformats.org/officeDocument/2006/relationships/footer" Target="footer21.xml"/><Relationship Id="rId104" Type="http://schemas.openxmlformats.org/officeDocument/2006/relationships/footer" Target="footer23.xml"/><Relationship Id="rId120" Type="http://schemas.openxmlformats.org/officeDocument/2006/relationships/footer" Target="footer29.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8.xml"/><Relationship Id="rId92"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image" Target="media/image20.emf"/><Relationship Id="rId24" Type="http://schemas.openxmlformats.org/officeDocument/2006/relationships/image" Target="media/image15.emf"/><Relationship Id="rId40" Type="http://schemas.openxmlformats.org/officeDocument/2006/relationships/image" Target="media/image31.emf"/><Relationship Id="rId45" Type="http://schemas.openxmlformats.org/officeDocument/2006/relationships/image" Target="media/image36.emf"/><Relationship Id="rId66" Type="http://schemas.openxmlformats.org/officeDocument/2006/relationships/footer" Target="footer7.xml"/><Relationship Id="rId87" Type="http://schemas.openxmlformats.org/officeDocument/2006/relationships/footer" Target="footer16.xml"/><Relationship Id="rId110" Type="http://schemas.openxmlformats.org/officeDocument/2006/relationships/header" Target="header25.xml"/><Relationship Id="rId115" Type="http://schemas.openxmlformats.org/officeDocument/2006/relationships/footer" Target="footer28.xml"/><Relationship Id="rId61" Type="http://schemas.openxmlformats.org/officeDocument/2006/relationships/header" Target="header5.xml"/><Relationship Id="rId82" Type="http://schemas.openxmlformats.org/officeDocument/2006/relationships/header" Target="header13.xml"/><Relationship Id="rId19" Type="http://schemas.openxmlformats.org/officeDocument/2006/relationships/image" Target="media/image10.emf"/><Relationship Id="rId14" Type="http://schemas.openxmlformats.org/officeDocument/2006/relationships/image" Target="media/image5.emf"/><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1.emf"/><Relationship Id="rId77" Type="http://schemas.openxmlformats.org/officeDocument/2006/relationships/header" Target="header11.xml"/><Relationship Id="rId100" Type="http://schemas.openxmlformats.org/officeDocument/2006/relationships/image" Target="media/image50.png"/><Relationship Id="rId105" Type="http://schemas.openxmlformats.org/officeDocument/2006/relationships/footer" Target="footer24.xml"/><Relationship Id="rId8" Type="http://schemas.openxmlformats.org/officeDocument/2006/relationships/image" Target="media/image1.png"/><Relationship Id="rId51" Type="http://schemas.openxmlformats.org/officeDocument/2006/relationships/footer" Target="footer2.xml"/><Relationship Id="rId72" Type="http://schemas.openxmlformats.org/officeDocument/2006/relationships/header" Target="header9.xml"/><Relationship Id="rId93" Type="http://schemas.openxmlformats.org/officeDocument/2006/relationships/footer" Target="footer19.xml"/><Relationship Id="rId98" Type="http://schemas.openxmlformats.org/officeDocument/2006/relationships/header" Target="header21.xml"/><Relationship Id="rId121" Type="http://schemas.openxmlformats.org/officeDocument/2006/relationships/footer" Target="footer30.xml"/><Relationship Id="rId3" Type="http://schemas.openxmlformats.org/officeDocument/2006/relationships/styles" Target="styles.xml"/><Relationship Id="rId25" Type="http://schemas.openxmlformats.org/officeDocument/2006/relationships/image" Target="media/image16.emf"/><Relationship Id="rId46" Type="http://schemas.openxmlformats.org/officeDocument/2006/relationships/image" Target="media/image37.emf"/><Relationship Id="rId67" Type="http://schemas.openxmlformats.org/officeDocument/2006/relationships/image" Target="media/image46.emf"/><Relationship Id="rId116" Type="http://schemas.openxmlformats.org/officeDocument/2006/relationships/image" Target="media/image53.png"/><Relationship Id="rId20" Type="http://schemas.openxmlformats.org/officeDocument/2006/relationships/image" Target="media/image11.emf"/><Relationship Id="rId41" Type="http://schemas.openxmlformats.org/officeDocument/2006/relationships/image" Target="media/image32.emf"/><Relationship Id="rId62" Type="http://schemas.openxmlformats.org/officeDocument/2006/relationships/header" Target="header6.xml"/><Relationship Id="rId83" Type="http://schemas.openxmlformats.org/officeDocument/2006/relationships/header" Target="header14.xml"/><Relationship Id="rId88" Type="http://schemas.openxmlformats.org/officeDocument/2006/relationships/header" Target="header16.xml"/><Relationship Id="rId111" Type="http://schemas.openxmlformats.org/officeDocument/2006/relationships/header" Target="header26.xml"/><Relationship Id="rId15" Type="http://schemas.openxmlformats.org/officeDocument/2006/relationships/image" Target="media/image6.emf"/><Relationship Id="rId36" Type="http://schemas.openxmlformats.org/officeDocument/2006/relationships/image" Target="media/image27.png"/><Relationship Id="rId57" Type="http://schemas.openxmlformats.org/officeDocument/2006/relationships/image" Target="media/image42.emf"/><Relationship Id="rId106" Type="http://schemas.openxmlformats.org/officeDocument/2006/relationships/header" Target="header24.xml"/><Relationship Id="rId10" Type="http://schemas.openxmlformats.org/officeDocument/2006/relationships/footer" Target="footer1.xml"/><Relationship Id="rId31" Type="http://schemas.openxmlformats.org/officeDocument/2006/relationships/image" Target="media/image22.png"/><Relationship Id="rId52" Type="http://schemas.openxmlformats.org/officeDocument/2006/relationships/footer" Target="footer3.xml"/><Relationship Id="rId73" Type="http://schemas.openxmlformats.org/officeDocument/2006/relationships/footer" Target="footer8.xml"/><Relationship Id="rId78" Type="http://schemas.openxmlformats.org/officeDocument/2006/relationships/header" Target="header12.xml"/><Relationship Id="rId94" Type="http://schemas.openxmlformats.org/officeDocument/2006/relationships/header" Target="header19.xml"/><Relationship Id="rId99" Type="http://schemas.openxmlformats.org/officeDocument/2006/relationships/footer" Target="footer22.xml"/><Relationship Id="rId101" Type="http://schemas.openxmlformats.org/officeDocument/2006/relationships/image" Target="media/image51.png"/><Relationship Id="rId12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pov.int/about/es/benefits_upov_system.html" TargetMode="External"/><Relationship Id="rId1" Type="http://schemas.openxmlformats.org/officeDocument/2006/relationships/hyperlink" Target="https://www.upov.int/meetings/es/details.jsp?meeting_id=71391"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1E9D-0A31-437D-AC61-C7D045A7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47</Pages>
  <Words>10585</Words>
  <Characters>60335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C/57/2</vt:lpstr>
    </vt:vector>
  </TitlesOfParts>
  <Company>UPOV</Company>
  <LinksUpToDate>false</LinksUpToDate>
  <CharactersWithSpaces>70779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C/57/2</dc:title>
  <dc:creator>SANCHEZ VIZCAINO GOMEZ Rosa Maria</dc:creator>
  <cp:lastModifiedBy>SANCHEZ VIZCAINO GOMEZ Rosa Maria</cp:lastModifiedBy>
  <cp:revision>53</cp:revision>
  <cp:lastPrinted>2016-11-22T15:41:00Z</cp:lastPrinted>
  <dcterms:created xsi:type="dcterms:W3CDTF">2023-08-21T14:20:00Z</dcterms:created>
  <dcterms:modified xsi:type="dcterms:W3CDTF">2023-08-23T13:42:00Z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2023-08-21T10:10:07Z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6776884b-4d1b-4d62-88c2-0b96420985d7</vt:lpwstr>
  </property>
  <property fmtid="{D5CDD505-2E9C-101B-9397-08002B2CF9AE}" pid="8" name="MSIP_Label_bfc084f7-b690-4c43-8ee6-d475b6d3461d_ContentBits">
    <vt:lpwstr>2</vt:lpwstr>
  </property>
</Properties>
</file>