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9F74EC" w14:paraId="4F66D15E" w14:textId="77777777" w:rsidTr="00EB4E9C">
        <w:tc>
          <w:tcPr>
            <w:tcW w:w="6522" w:type="dxa"/>
          </w:tcPr>
          <w:p w14:paraId="16CAF84C" w14:textId="77777777" w:rsidR="00DC3802" w:rsidRPr="009F74EC" w:rsidRDefault="00DC3802" w:rsidP="00AC2883">
            <w:r w:rsidRPr="009F74EC">
              <w:drawing>
                <wp:inline distT="0" distB="0" distL="0" distR="0" wp14:anchorId="3CD3C0A4" wp14:editId="22921A5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3A44139" w14:textId="77777777" w:rsidR="00DC3802" w:rsidRPr="009F74EC" w:rsidRDefault="002E5944" w:rsidP="00AC2883">
            <w:pPr>
              <w:pStyle w:val="Lettrine"/>
            </w:pPr>
            <w:r w:rsidRPr="009F74EC">
              <w:t>S</w:t>
            </w:r>
          </w:p>
        </w:tc>
      </w:tr>
      <w:tr w:rsidR="00DC3802" w:rsidRPr="009F74EC" w14:paraId="6A1C30F4" w14:textId="77777777" w:rsidTr="00645CA8">
        <w:trPr>
          <w:trHeight w:val="219"/>
        </w:trPr>
        <w:tc>
          <w:tcPr>
            <w:tcW w:w="6522" w:type="dxa"/>
          </w:tcPr>
          <w:p w14:paraId="367ADCB0" w14:textId="77777777" w:rsidR="00DC3802" w:rsidRPr="009F74EC" w:rsidRDefault="002E5944" w:rsidP="00BC0BD4">
            <w:pPr>
              <w:pStyle w:val="upove"/>
            </w:pPr>
            <w:r w:rsidRPr="009F74EC">
              <w:t>Unión Internacional para la Protección de las Obtenciones Vegetales</w:t>
            </w:r>
          </w:p>
        </w:tc>
        <w:tc>
          <w:tcPr>
            <w:tcW w:w="3117" w:type="dxa"/>
          </w:tcPr>
          <w:p w14:paraId="2271281A" w14:textId="77777777" w:rsidR="00DC3802" w:rsidRPr="009F74EC" w:rsidRDefault="00DC3802" w:rsidP="00DA4973"/>
        </w:tc>
      </w:tr>
    </w:tbl>
    <w:p w14:paraId="568EF3BB" w14:textId="77777777" w:rsidR="00DC3802" w:rsidRPr="009F74EC" w:rsidRDefault="00DC3802" w:rsidP="00DC3802"/>
    <w:p w14:paraId="452926C6" w14:textId="77777777" w:rsidR="00DA4973" w:rsidRPr="009F74EC"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9F74EC" w14:paraId="524D3563" w14:textId="77777777" w:rsidTr="00EB4E9C">
        <w:tc>
          <w:tcPr>
            <w:tcW w:w="6512" w:type="dxa"/>
          </w:tcPr>
          <w:p w14:paraId="56C14B9A" w14:textId="77777777" w:rsidR="00EB4E9C" w:rsidRPr="009F74EC" w:rsidRDefault="00EA65D2" w:rsidP="00AC2883">
            <w:pPr>
              <w:pStyle w:val="Sessiontc"/>
              <w:spacing w:line="240" w:lineRule="auto"/>
            </w:pPr>
            <w:r w:rsidRPr="009F74EC">
              <w:t>Consejo</w:t>
            </w:r>
          </w:p>
          <w:p w14:paraId="507E2C56" w14:textId="77777777" w:rsidR="00CD004F" w:rsidRPr="009F74EC" w:rsidRDefault="00EA65D2" w:rsidP="00313F48">
            <w:pPr>
              <w:pStyle w:val="Sessiontcplacedate"/>
            </w:pPr>
            <w:r w:rsidRPr="009F74EC">
              <w:t xml:space="preserve">Quincuagésima </w:t>
            </w:r>
            <w:r w:rsidR="00313F48" w:rsidRPr="009F74EC">
              <w:t>s</w:t>
            </w:r>
            <w:r w:rsidR="007C190D" w:rsidRPr="009F74EC">
              <w:t>éptim</w:t>
            </w:r>
            <w:r w:rsidR="001A18EE" w:rsidRPr="009F74EC">
              <w:t xml:space="preserve">a </w:t>
            </w:r>
            <w:r w:rsidR="002E5944" w:rsidRPr="009F74EC">
              <w:t>sesión</w:t>
            </w:r>
            <w:r w:rsidRPr="009F74EC">
              <w:t xml:space="preserve"> ordinaria</w:t>
            </w:r>
          </w:p>
          <w:p w14:paraId="1377AD78" w14:textId="77777777" w:rsidR="00EB4E9C" w:rsidRPr="009F74EC" w:rsidRDefault="002E5944" w:rsidP="007C190D">
            <w:pPr>
              <w:pStyle w:val="Sessiontcplacedate"/>
              <w:rPr>
                <w:sz w:val="22"/>
              </w:rPr>
            </w:pPr>
            <w:r w:rsidRPr="009F74EC">
              <w:t>Ginebra</w:t>
            </w:r>
            <w:r w:rsidR="00EB4E9C" w:rsidRPr="009F74EC">
              <w:t xml:space="preserve">, </w:t>
            </w:r>
            <w:r w:rsidR="00313F48" w:rsidRPr="009F74EC">
              <w:t>2</w:t>
            </w:r>
            <w:r w:rsidR="007C190D" w:rsidRPr="009F74EC">
              <w:t>7</w:t>
            </w:r>
            <w:r w:rsidR="008364BE" w:rsidRPr="009F74EC">
              <w:t xml:space="preserve"> de octubre de </w:t>
            </w:r>
            <w:r w:rsidR="007C190D" w:rsidRPr="009F74EC">
              <w:t>2023</w:t>
            </w:r>
          </w:p>
        </w:tc>
        <w:tc>
          <w:tcPr>
            <w:tcW w:w="3127" w:type="dxa"/>
          </w:tcPr>
          <w:p w14:paraId="7146A058" w14:textId="024872FC" w:rsidR="00EB4E9C" w:rsidRPr="009F74EC" w:rsidRDefault="008326C8" w:rsidP="003C7FBE">
            <w:pPr>
              <w:pStyle w:val="Doccode"/>
              <w:rPr>
                <w:lang w:val="es-ES_tradnl"/>
              </w:rPr>
            </w:pPr>
            <w:r w:rsidRPr="009F74EC">
              <w:rPr>
                <w:lang w:val="es-ES_tradnl"/>
              </w:rPr>
              <w:t>C/57/13</w:t>
            </w:r>
          </w:p>
          <w:p w14:paraId="3D82424F" w14:textId="3C55DC5B" w:rsidR="00EB4E9C" w:rsidRPr="009F74EC" w:rsidRDefault="00EB4E9C" w:rsidP="003C7FBE">
            <w:pPr>
              <w:pStyle w:val="Docoriginal"/>
            </w:pPr>
            <w:r w:rsidRPr="009F74EC">
              <w:t>Original:</w:t>
            </w:r>
            <w:r w:rsidRPr="009F74EC">
              <w:rPr>
                <w:b w:val="0"/>
                <w:spacing w:val="0"/>
              </w:rPr>
              <w:t xml:space="preserve">  </w:t>
            </w:r>
            <w:proofErr w:type="gramStart"/>
            <w:r w:rsidR="002E5944" w:rsidRPr="009F74EC">
              <w:rPr>
                <w:b w:val="0"/>
                <w:spacing w:val="0"/>
              </w:rPr>
              <w:t>Inglés</w:t>
            </w:r>
            <w:proofErr w:type="gramEnd"/>
            <w:r w:rsidR="008326C8" w:rsidRPr="009F74EC">
              <w:rPr>
                <w:b w:val="0"/>
                <w:spacing w:val="0"/>
              </w:rPr>
              <w:t>/alemán/español</w:t>
            </w:r>
          </w:p>
          <w:p w14:paraId="4936B1BB" w14:textId="4EBB09DC" w:rsidR="00EB4E9C" w:rsidRPr="009F74EC" w:rsidRDefault="002E5944" w:rsidP="00313F48">
            <w:pPr>
              <w:pStyle w:val="Docoriginal"/>
            </w:pPr>
            <w:r w:rsidRPr="009F74EC">
              <w:t>Fecha</w:t>
            </w:r>
            <w:r w:rsidR="00EB4E9C" w:rsidRPr="009F74EC">
              <w:t>:</w:t>
            </w:r>
            <w:r w:rsidR="00EB4E9C" w:rsidRPr="009F74EC">
              <w:rPr>
                <w:b w:val="0"/>
                <w:spacing w:val="0"/>
              </w:rPr>
              <w:t xml:space="preserve">  </w:t>
            </w:r>
            <w:r w:rsidR="008326C8" w:rsidRPr="009F74EC">
              <w:rPr>
                <w:b w:val="0"/>
                <w:spacing w:val="0"/>
              </w:rPr>
              <w:t>4 de octubre de 2023</w:t>
            </w:r>
          </w:p>
        </w:tc>
      </w:tr>
    </w:tbl>
    <w:p w14:paraId="6E4A66D1" w14:textId="77777777" w:rsidR="008326C8" w:rsidRPr="009F74EC" w:rsidRDefault="008326C8" w:rsidP="008326C8">
      <w:pPr>
        <w:pStyle w:val="Titleofdoc0"/>
      </w:pPr>
      <w:r w:rsidRPr="009F74EC">
        <w:t>INFORMES DE REPRESENTANTES DE MIEMBROS Y OBSERVADORES SOBRE LOS ÁMBITOS LEGISLATIVO, ADMINISTRATIVO Y TÉCNICO</w:t>
      </w:r>
    </w:p>
    <w:p w14:paraId="37574574" w14:textId="77777777" w:rsidR="008326C8" w:rsidRPr="009F74EC" w:rsidRDefault="008326C8" w:rsidP="008326C8">
      <w:pPr>
        <w:pStyle w:val="preparedby1"/>
        <w:jc w:val="left"/>
      </w:pPr>
      <w:r w:rsidRPr="009F74EC">
        <w:t>Documento preparado por la Oficina de la Unión</w:t>
      </w:r>
    </w:p>
    <w:p w14:paraId="2A1051C7" w14:textId="77777777" w:rsidR="008326C8" w:rsidRPr="009F74EC" w:rsidRDefault="008326C8" w:rsidP="008326C8">
      <w:pPr>
        <w:pStyle w:val="Disclaimer"/>
      </w:pPr>
      <w:r w:rsidRPr="009F74EC">
        <w:t>Descargo de responsabilidad: el presente documento no constituye un documento de política u orientación de la UPOV</w:t>
      </w:r>
    </w:p>
    <w:p w14:paraId="4F1E0294" w14:textId="77777777" w:rsidR="008326C8" w:rsidRPr="009F74EC" w:rsidRDefault="008326C8" w:rsidP="008326C8">
      <w:r w:rsidRPr="009F74EC">
        <w:fldChar w:fldCharType="begin"/>
      </w:r>
      <w:r w:rsidRPr="009F74EC">
        <w:instrText xml:space="preserve"> AUTONUM  </w:instrText>
      </w:r>
      <w:r w:rsidRPr="009F74EC">
        <w:fldChar w:fldCharType="end"/>
      </w:r>
      <w:r w:rsidRPr="009F74EC">
        <w:tab/>
        <w:t>De conformidad con el procedimiento introducido con ocasión del vigésimo sexto período ordinario de sesiones del Consejo, se solicita que los informes de representantes de miembros y observadores sobre la situación en los ámbitos legislativo, administrativo y técnico de la protección de las obtenciones vegetales y sectores afines se presenten por escrito y con antelación a fin de permitir al Consejo desempeñar más eficazmente sus funciones.</w:t>
      </w:r>
    </w:p>
    <w:p w14:paraId="4D55C5F3" w14:textId="77777777" w:rsidR="008326C8" w:rsidRPr="009F74EC" w:rsidRDefault="008326C8" w:rsidP="008326C8">
      <w:pPr>
        <w:widowControl w:val="0"/>
      </w:pPr>
    </w:p>
    <w:p w14:paraId="6E97E17A" w14:textId="77777777" w:rsidR="008326C8" w:rsidRPr="009F74EC" w:rsidRDefault="008326C8" w:rsidP="008326C8">
      <w:pPr>
        <w:widowControl w:val="0"/>
      </w:pPr>
      <w:r w:rsidRPr="009F74EC">
        <w:fldChar w:fldCharType="begin"/>
      </w:r>
      <w:r w:rsidRPr="009F74EC">
        <w:instrText xml:space="preserve"> AUTONUM  </w:instrText>
      </w:r>
      <w:r w:rsidRPr="009F74EC">
        <w:fldChar w:fldCharType="end"/>
      </w:r>
      <w:r w:rsidRPr="009F74EC">
        <w:tab/>
        <w:t>En las circulares de invitación a la presente sesión, la Oficina de la Unión ha solicitado informes escritos y ha propuesto un modelo de formato a tal efecto.  Se han presentado los informes siguientes (por orden alfabético de los nombres de los miembros y observadores en francés):</w:t>
      </w:r>
    </w:p>
    <w:p w14:paraId="53B1FC3B" w14:textId="77777777" w:rsidR="008326C8" w:rsidRPr="009F74EC" w:rsidRDefault="008326C8" w:rsidP="008326C8">
      <w:pPr>
        <w:widowControl w:val="0"/>
      </w:pPr>
    </w:p>
    <w:p w14:paraId="6E264776" w14:textId="5DF29610" w:rsidR="008326C8" w:rsidRPr="009F74EC" w:rsidRDefault="008326C8" w:rsidP="008326C8">
      <w:pPr>
        <w:ind w:left="567"/>
        <w:rPr>
          <w:szCs w:val="24"/>
        </w:rPr>
      </w:pPr>
      <w:r w:rsidRPr="009F74EC">
        <w:rPr>
          <w:spacing w:val="-2"/>
          <w:szCs w:val="24"/>
          <w:u w:val="single"/>
        </w:rPr>
        <w:t>Miembros</w:t>
      </w:r>
      <w:r w:rsidRPr="009F74EC">
        <w:rPr>
          <w:spacing w:val="-2"/>
          <w:szCs w:val="24"/>
        </w:rPr>
        <w:t>:  Anexos I a X</w:t>
      </w:r>
      <w:r w:rsidR="00016719" w:rsidRPr="009F74EC">
        <w:rPr>
          <w:spacing w:val="-2"/>
          <w:szCs w:val="24"/>
        </w:rPr>
        <w:t>VIII</w:t>
      </w:r>
      <w:r w:rsidRPr="009F74EC">
        <w:rPr>
          <w:spacing w:val="-2"/>
          <w:szCs w:val="24"/>
        </w:rPr>
        <w:t xml:space="preserve">:  </w:t>
      </w:r>
      <w:r w:rsidR="00016719" w:rsidRPr="009F74EC">
        <w:rPr>
          <w:szCs w:val="24"/>
        </w:rPr>
        <w:t xml:space="preserve">Sudáfrica, Alemania, </w:t>
      </w:r>
      <w:proofErr w:type="spellStart"/>
      <w:r w:rsidR="00016719" w:rsidRPr="009F74EC">
        <w:rPr>
          <w:szCs w:val="24"/>
        </w:rPr>
        <w:t>Belarús</w:t>
      </w:r>
      <w:proofErr w:type="spellEnd"/>
      <w:r w:rsidR="00016719" w:rsidRPr="009F74EC">
        <w:rPr>
          <w:szCs w:val="24"/>
        </w:rPr>
        <w:t xml:space="preserve">, Bosnia y Herzegovina, Estonia, Hungría, Israel, Japón, </w:t>
      </w:r>
      <w:proofErr w:type="spellStart"/>
      <w:r w:rsidR="00016719" w:rsidRPr="009F74EC">
        <w:rPr>
          <w:szCs w:val="24"/>
        </w:rPr>
        <w:t>Kenya</w:t>
      </w:r>
      <w:proofErr w:type="spellEnd"/>
      <w:r w:rsidR="00016719" w:rsidRPr="009F74EC">
        <w:rPr>
          <w:szCs w:val="24"/>
        </w:rPr>
        <w:t>, Lituania, México, Nueva Zelandia, Polonia, República de Moldova, Reino Unido, Serbia, Ucrania, Unión Europea</w:t>
      </w:r>
    </w:p>
    <w:p w14:paraId="3E73B9D5" w14:textId="78ACE7EF" w:rsidR="00016719" w:rsidRPr="009F74EC" w:rsidRDefault="00016719" w:rsidP="008326C8">
      <w:pPr>
        <w:ind w:left="567"/>
        <w:rPr>
          <w:szCs w:val="24"/>
        </w:rPr>
      </w:pPr>
    </w:p>
    <w:p w14:paraId="1C4AA793" w14:textId="5C1C4DD5" w:rsidR="00016719" w:rsidRPr="009F74EC" w:rsidRDefault="00016719" w:rsidP="008326C8">
      <w:pPr>
        <w:ind w:left="567"/>
        <w:rPr>
          <w:szCs w:val="24"/>
        </w:rPr>
      </w:pPr>
      <w:r w:rsidRPr="009F74EC">
        <w:rPr>
          <w:szCs w:val="24"/>
          <w:u w:val="single"/>
        </w:rPr>
        <w:t>Observadores</w:t>
      </w:r>
      <w:r w:rsidRPr="009F74EC">
        <w:rPr>
          <w:szCs w:val="24"/>
        </w:rPr>
        <w:t xml:space="preserve">:  Anexos XIX y XX:  </w:t>
      </w:r>
      <w:r w:rsidRPr="009F74EC">
        <w:rPr>
          <w:szCs w:val="24"/>
        </w:rPr>
        <w:t xml:space="preserve">Myanmar, </w:t>
      </w:r>
      <w:proofErr w:type="spellStart"/>
      <w:r w:rsidRPr="009F74EC">
        <w:rPr>
          <w:szCs w:val="24"/>
        </w:rPr>
        <w:t>Zimbabwe</w:t>
      </w:r>
      <w:proofErr w:type="spellEnd"/>
    </w:p>
    <w:p w14:paraId="4D906683" w14:textId="77777777" w:rsidR="008326C8" w:rsidRPr="009F74EC" w:rsidRDefault="008326C8" w:rsidP="008326C8">
      <w:pPr>
        <w:widowControl w:val="0"/>
        <w:ind w:right="567"/>
      </w:pPr>
    </w:p>
    <w:p w14:paraId="37B9981E" w14:textId="6430F47C" w:rsidR="008326C8" w:rsidRPr="009F74EC" w:rsidRDefault="008326C8" w:rsidP="008326C8">
      <w:r w:rsidRPr="009F74EC">
        <w:fldChar w:fldCharType="begin"/>
      </w:r>
      <w:r w:rsidRPr="009F74EC">
        <w:instrText xml:space="preserve"> AUTONUM  </w:instrText>
      </w:r>
      <w:r w:rsidRPr="009F74EC">
        <w:fldChar w:fldCharType="end"/>
      </w:r>
      <w:r w:rsidRPr="009F74EC">
        <w:tab/>
        <w:t>Los informes recibidos después del 2</w:t>
      </w:r>
      <w:r w:rsidR="00016719" w:rsidRPr="009F74EC">
        <w:t>9</w:t>
      </w:r>
      <w:r w:rsidRPr="009F74EC">
        <w:t xml:space="preserve"> de septiembre de 202</w:t>
      </w:r>
      <w:r w:rsidR="00016719" w:rsidRPr="009F74EC">
        <w:t>3</w:t>
      </w:r>
      <w:r w:rsidRPr="009F74EC">
        <w:t xml:space="preserve"> se incluirán como adenda a este documento y se publicarán después de la sesión del Consejo.</w:t>
      </w:r>
    </w:p>
    <w:p w14:paraId="660D7948" w14:textId="77777777" w:rsidR="008326C8" w:rsidRPr="009F74EC" w:rsidRDefault="008326C8" w:rsidP="008326C8"/>
    <w:p w14:paraId="2DF2BCD0" w14:textId="77777777" w:rsidR="008326C8" w:rsidRPr="009F74EC" w:rsidRDefault="008326C8" w:rsidP="008326C8"/>
    <w:p w14:paraId="5442427D" w14:textId="77777777" w:rsidR="008326C8" w:rsidRPr="009F74EC" w:rsidRDefault="008326C8" w:rsidP="008326C8"/>
    <w:p w14:paraId="0CFDA7D4" w14:textId="77777777" w:rsidR="008326C8" w:rsidRPr="009F74EC" w:rsidRDefault="008326C8" w:rsidP="008326C8">
      <w:pPr>
        <w:jc w:val="right"/>
      </w:pPr>
      <w:r w:rsidRPr="009F74EC">
        <w:t>[Siguen los Anexos]</w:t>
      </w:r>
    </w:p>
    <w:p w14:paraId="1B6B95C2" w14:textId="77777777" w:rsidR="00202E38" w:rsidRPr="009F74EC" w:rsidRDefault="00202E38">
      <w:pPr>
        <w:jc w:val="left"/>
      </w:pPr>
    </w:p>
    <w:p w14:paraId="095CE575" w14:textId="77777777" w:rsidR="008B3D8D" w:rsidRPr="009F74EC" w:rsidRDefault="008B3D8D">
      <w:pPr>
        <w:jc w:val="left"/>
      </w:pPr>
    </w:p>
    <w:p w14:paraId="339BC8C7" w14:textId="77777777" w:rsidR="005A5957" w:rsidRPr="009F74EC" w:rsidRDefault="005A5957" w:rsidP="009B440E">
      <w:pPr>
        <w:jc w:val="left"/>
        <w:sectPr w:rsidR="005A5957" w:rsidRPr="009F74EC" w:rsidSect="00906DDC">
          <w:headerReference w:type="default" r:id="rId9"/>
          <w:pgSz w:w="11907" w:h="16840" w:code="9"/>
          <w:pgMar w:top="510" w:right="1134" w:bottom="1134" w:left="1134" w:header="510" w:footer="680" w:gutter="0"/>
          <w:cols w:space="720"/>
          <w:titlePg/>
        </w:sectPr>
      </w:pPr>
    </w:p>
    <w:p w14:paraId="06328CF2" w14:textId="77777777" w:rsidR="005A5957" w:rsidRPr="009F74EC" w:rsidRDefault="005A5957" w:rsidP="005A5957">
      <w:pPr>
        <w:jc w:val="center"/>
      </w:pPr>
      <w:r w:rsidRPr="009F74EC">
        <w:lastRenderedPageBreak/>
        <w:t>C/57/13</w:t>
      </w:r>
    </w:p>
    <w:p w14:paraId="5C55E66C" w14:textId="77777777" w:rsidR="005A5957" w:rsidRPr="009F74EC" w:rsidRDefault="005A5957" w:rsidP="005A5957">
      <w:pPr>
        <w:jc w:val="center"/>
      </w:pPr>
    </w:p>
    <w:p w14:paraId="66759426" w14:textId="77777777" w:rsidR="005A5957" w:rsidRPr="009F74EC" w:rsidRDefault="005A5957" w:rsidP="005A5957">
      <w:pPr>
        <w:jc w:val="center"/>
      </w:pPr>
      <w:r w:rsidRPr="009F74EC">
        <w:t>ANEXO I</w:t>
      </w:r>
    </w:p>
    <w:p w14:paraId="47C16A9E" w14:textId="77777777" w:rsidR="005A5957" w:rsidRPr="009F74EC" w:rsidRDefault="005A5957" w:rsidP="005A5957">
      <w:pPr>
        <w:jc w:val="center"/>
      </w:pPr>
    </w:p>
    <w:p w14:paraId="6224100E" w14:textId="77777777" w:rsidR="005A5957" w:rsidRPr="009F74EC" w:rsidRDefault="005A5957" w:rsidP="005A5957">
      <w:pPr>
        <w:jc w:val="center"/>
      </w:pPr>
    </w:p>
    <w:p w14:paraId="1C88CF11" w14:textId="32706E43" w:rsidR="005A5957" w:rsidRPr="009F74EC" w:rsidRDefault="005A5957" w:rsidP="005A5957">
      <w:pPr>
        <w:jc w:val="center"/>
      </w:pPr>
      <w:r w:rsidRPr="009F74EC">
        <w:t>SUDÁFRICA</w:t>
      </w:r>
    </w:p>
    <w:p w14:paraId="1E42DDC7" w14:textId="766B4148" w:rsidR="005A5957" w:rsidRPr="009F74EC" w:rsidRDefault="005A5957" w:rsidP="005A5957">
      <w:pPr>
        <w:jc w:val="center"/>
      </w:pPr>
      <w:r w:rsidRPr="009F74EC">
        <w:t>(Idioma original: inglés)</w:t>
      </w:r>
    </w:p>
    <w:p w14:paraId="477C7AD2" w14:textId="0BB46B8F" w:rsidR="005A5957" w:rsidRPr="009F74EC" w:rsidRDefault="005A5957" w:rsidP="005A5957"/>
    <w:p w14:paraId="3FD6A9DB" w14:textId="294D3450" w:rsidR="005A5957" w:rsidRPr="009F74EC" w:rsidRDefault="005A5957" w:rsidP="005A5957">
      <w:pPr>
        <w:pStyle w:val="Disclaimer"/>
        <w:spacing w:after="360"/>
        <w:jc w:val="center"/>
        <w:rPr>
          <w:sz w:val="18"/>
          <w:szCs w:val="18"/>
        </w:rPr>
      </w:pPr>
      <w:r w:rsidRPr="009F74EC">
        <w:rPr>
          <w:sz w:val="18"/>
          <w:szCs w:val="18"/>
        </w:rPr>
        <w:t>Est</w:t>
      </w:r>
      <w:r w:rsidRPr="009F74EC">
        <w:rPr>
          <w:sz w:val="18"/>
          <w:szCs w:val="18"/>
        </w:rPr>
        <w:t>a</w:t>
      </w:r>
      <w:r w:rsidRPr="009F74EC">
        <w:rPr>
          <w:sz w:val="18"/>
          <w:szCs w:val="18"/>
        </w:rPr>
        <w:t xml:space="preserve"> </w:t>
      </w:r>
      <w:r w:rsidRPr="009F74EC">
        <w:rPr>
          <w:sz w:val="18"/>
          <w:szCs w:val="18"/>
        </w:rPr>
        <w:t xml:space="preserve">traducción </w:t>
      </w:r>
      <w:r w:rsidRPr="009F74EC">
        <w:rPr>
          <w:sz w:val="18"/>
          <w:szCs w:val="18"/>
        </w:rPr>
        <w:t xml:space="preserve">se ha generado mediante traducción automática y no puede garantizarse su exactitud. </w:t>
      </w:r>
      <w:r w:rsidR="00F5571D" w:rsidRPr="009F74EC">
        <w:rPr>
          <w:sz w:val="18"/>
          <w:szCs w:val="18"/>
        </w:rPr>
        <w:br/>
      </w:r>
      <w:r w:rsidRPr="009F74EC">
        <w:rPr>
          <w:sz w:val="18"/>
          <w:szCs w:val="18"/>
        </w:rPr>
        <w:t>Por</w:t>
      </w:r>
      <w:r w:rsidRPr="009F74EC">
        <w:rPr>
          <w:sz w:val="18"/>
          <w:szCs w:val="18"/>
        </w:rPr>
        <w:t> </w:t>
      </w:r>
      <w:r w:rsidRPr="009F74EC">
        <w:rPr>
          <w:sz w:val="18"/>
          <w:szCs w:val="18"/>
        </w:rPr>
        <w:t>lo tanto, el texto en el idioma original es la única versión auténtica.</w:t>
      </w:r>
    </w:p>
    <w:p w14:paraId="18C3F314" w14:textId="77777777" w:rsidR="005A5957" w:rsidRPr="009F74EC" w:rsidRDefault="005A5957" w:rsidP="005A5957">
      <w:r w:rsidRPr="009F74EC">
        <w:t>I.</w:t>
      </w:r>
      <w:r w:rsidRPr="009F74EC">
        <w:tab/>
        <w:t>PROTECCIÓN DE LAS OBTENCIONES VEGETALES</w:t>
      </w:r>
    </w:p>
    <w:p w14:paraId="305116F7" w14:textId="77777777" w:rsidR="005A5957" w:rsidRPr="009F74EC" w:rsidRDefault="005A5957" w:rsidP="005A5957"/>
    <w:p w14:paraId="31EACD42" w14:textId="77777777" w:rsidR="005A5957" w:rsidRPr="009F74EC" w:rsidRDefault="005A5957" w:rsidP="005A5957">
      <w:r w:rsidRPr="009F74EC">
        <w:t xml:space="preserve">1. </w:t>
      </w:r>
      <w:r w:rsidRPr="009F74EC">
        <w:tab/>
      </w:r>
      <w:r w:rsidRPr="009F74EC">
        <w:rPr>
          <w:u w:val="single"/>
        </w:rPr>
        <w:t>Situación en el ámbito legislativo</w:t>
      </w:r>
    </w:p>
    <w:p w14:paraId="17D13A6A" w14:textId="77777777" w:rsidR="005A5957" w:rsidRPr="009F74EC" w:rsidRDefault="005A5957" w:rsidP="005A5957"/>
    <w:p w14:paraId="50BABB64" w14:textId="6A865EB4" w:rsidR="005A5957" w:rsidRPr="009F74EC" w:rsidRDefault="005A5957" w:rsidP="005A5957">
      <w:r w:rsidRPr="009F74EC">
        <w:t>1.1</w:t>
      </w:r>
      <w:r w:rsidR="009F74EC">
        <w:tab/>
      </w:r>
      <w:r w:rsidRPr="009F74EC">
        <w:t>Modificaciones de la ley y de los reglamentos de aplicación</w:t>
      </w:r>
    </w:p>
    <w:p w14:paraId="26B3BEBA" w14:textId="77777777" w:rsidR="005A5957" w:rsidRPr="009F74EC" w:rsidRDefault="005A5957" w:rsidP="005A5957">
      <w:pPr>
        <w:ind w:left="851" w:hanging="284"/>
      </w:pPr>
    </w:p>
    <w:p w14:paraId="58A89F6A" w14:textId="6F42A379" w:rsidR="005A5957" w:rsidRPr="009F74EC" w:rsidRDefault="005A5957" w:rsidP="005A5957">
      <w:pPr>
        <w:ind w:left="851" w:hanging="284"/>
      </w:pPr>
      <w:r w:rsidRPr="009F74EC">
        <w:t>-</w:t>
      </w:r>
      <w:r w:rsidR="009F74EC">
        <w:tab/>
      </w:r>
      <w:r w:rsidRPr="009F74EC">
        <w:t xml:space="preserve">adaptación al Acta de 1991 del Convenio:  </w:t>
      </w:r>
    </w:p>
    <w:p w14:paraId="57F8880A" w14:textId="77777777" w:rsidR="005A5957" w:rsidRPr="009F74EC" w:rsidRDefault="005A5957" w:rsidP="005A5957">
      <w:pPr>
        <w:ind w:left="851" w:hanging="284"/>
      </w:pPr>
    </w:p>
    <w:p w14:paraId="7487BC00" w14:textId="77777777" w:rsidR="005A5957" w:rsidRPr="009F74EC" w:rsidRDefault="005A5957" w:rsidP="005A5957">
      <w:pPr>
        <w:ind w:left="851" w:hanging="284"/>
        <w:rPr>
          <w:iCs/>
        </w:rPr>
      </w:pPr>
      <w:r w:rsidRPr="009F74EC">
        <w:rPr>
          <w:iCs/>
        </w:rPr>
        <w:t>No hay novedades.</w:t>
      </w:r>
    </w:p>
    <w:p w14:paraId="16443A13" w14:textId="77777777" w:rsidR="005A5957" w:rsidRPr="009F74EC" w:rsidRDefault="005A5957" w:rsidP="005A5957">
      <w:pPr>
        <w:rPr>
          <w:i/>
          <w:iCs/>
        </w:rPr>
      </w:pPr>
    </w:p>
    <w:p w14:paraId="527497EF" w14:textId="27578019" w:rsidR="005A5957" w:rsidRPr="009F74EC" w:rsidRDefault="005A5957" w:rsidP="005A5957">
      <w:pPr>
        <w:ind w:left="851" w:hanging="284"/>
      </w:pPr>
      <w:r w:rsidRPr="009F74EC">
        <w:t>-</w:t>
      </w:r>
      <w:r w:rsidR="00D97BF8">
        <w:tab/>
      </w:r>
      <w:r w:rsidRPr="009F74EC">
        <w:t>otras modificaciones, incluidas las relativas a las tasas:</w:t>
      </w:r>
    </w:p>
    <w:p w14:paraId="5DF58C08" w14:textId="77777777" w:rsidR="005A5957" w:rsidRPr="009F74EC" w:rsidRDefault="005A5957" w:rsidP="005A5957">
      <w:pPr>
        <w:ind w:left="851" w:hanging="284"/>
      </w:pPr>
    </w:p>
    <w:p w14:paraId="3009F170" w14:textId="77777777" w:rsidR="005A5957" w:rsidRPr="009F74EC" w:rsidRDefault="005A5957" w:rsidP="005A5957">
      <w:pPr>
        <w:ind w:left="567"/>
        <w:rPr>
          <w:iCs/>
        </w:rPr>
      </w:pPr>
      <w:r w:rsidRPr="009F74EC">
        <w:rPr>
          <w:iCs/>
        </w:rPr>
        <w:t xml:space="preserve">Las tasas sobre los derechos de obtentor se publicaron en el Boletín Oficial de SA, </w:t>
      </w:r>
      <w:proofErr w:type="spellStart"/>
      <w:r w:rsidRPr="009F74EC">
        <w:rPr>
          <w:iCs/>
        </w:rPr>
        <w:t>nº</w:t>
      </w:r>
      <w:proofErr w:type="spellEnd"/>
      <w:r w:rsidRPr="009F74EC">
        <w:rPr>
          <w:iCs/>
        </w:rPr>
        <w:t xml:space="preserve"> 46242, de 14 de abril de 2022, con respecto al ejercicio financiero 2022/23, que finaliza el 31 de marzo de 2023.</w:t>
      </w:r>
    </w:p>
    <w:p w14:paraId="08802A0F" w14:textId="77777777" w:rsidR="005A5957" w:rsidRPr="009F74EC" w:rsidRDefault="005A5957" w:rsidP="005A5957"/>
    <w:p w14:paraId="37DA4928" w14:textId="53EFC356" w:rsidR="005A5957" w:rsidRPr="009F74EC" w:rsidRDefault="005A5957" w:rsidP="005A5957">
      <w:r w:rsidRPr="009F74EC">
        <w:t>1.2</w:t>
      </w:r>
      <w:r w:rsidR="00D97BF8">
        <w:tab/>
      </w:r>
      <w:r w:rsidRPr="009F74EC">
        <w:t>Ampliación de la protección a otros géneros y especies (realizada o prevista)</w:t>
      </w:r>
    </w:p>
    <w:p w14:paraId="4C3556DA" w14:textId="77777777" w:rsidR="005A5957" w:rsidRPr="009F74EC" w:rsidRDefault="005A5957" w:rsidP="005A5957"/>
    <w:p w14:paraId="3551C270" w14:textId="77777777" w:rsidR="005A5957" w:rsidRPr="009F74EC" w:rsidRDefault="005A5957" w:rsidP="005A5957">
      <w:pPr>
        <w:rPr>
          <w:iCs/>
        </w:rPr>
      </w:pPr>
      <w:r w:rsidRPr="009F74EC">
        <w:rPr>
          <w:iCs/>
        </w:rPr>
        <w:t>No hay novedades.</w:t>
      </w:r>
    </w:p>
    <w:p w14:paraId="1C9D02FA" w14:textId="77777777" w:rsidR="005A5957" w:rsidRPr="009F74EC" w:rsidRDefault="005A5957" w:rsidP="005A5957"/>
    <w:p w14:paraId="4E8804D0" w14:textId="77777777" w:rsidR="005A5957" w:rsidRPr="009F74EC" w:rsidRDefault="005A5957" w:rsidP="005A5957"/>
    <w:p w14:paraId="532D9127" w14:textId="77777777" w:rsidR="005A5957" w:rsidRPr="009F74EC" w:rsidRDefault="005A5957" w:rsidP="005A5957">
      <w:r w:rsidRPr="009F74EC">
        <w:t>2.</w:t>
      </w:r>
      <w:r w:rsidRPr="009F74EC">
        <w:tab/>
      </w:r>
      <w:r w:rsidRPr="009F74EC">
        <w:rPr>
          <w:u w:val="single"/>
        </w:rPr>
        <w:t>Cooperación en el examen</w:t>
      </w:r>
    </w:p>
    <w:p w14:paraId="16266D19" w14:textId="77777777" w:rsidR="005A5957" w:rsidRPr="009F74EC" w:rsidRDefault="005A5957" w:rsidP="005A5957"/>
    <w:p w14:paraId="5B340915" w14:textId="77777777" w:rsidR="005A5957" w:rsidRPr="009F74EC" w:rsidRDefault="005A5957" w:rsidP="005A5957">
      <w:pPr>
        <w:rPr>
          <w:iCs/>
        </w:rPr>
      </w:pPr>
      <w:r w:rsidRPr="009F74EC">
        <w:rPr>
          <w:iCs/>
        </w:rPr>
        <w:t>No hay novedades.</w:t>
      </w:r>
    </w:p>
    <w:p w14:paraId="764D62E3" w14:textId="77777777" w:rsidR="005A5957" w:rsidRPr="009F74EC" w:rsidRDefault="005A5957" w:rsidP="005A5957"/>
    <w:p w14:paraId="11D78CC3" w14:textId="77777777" w:rsidR="005A5957" w:rsidRPr="009F74EC" w:rsidRDefault="005A5957" w:rsidP="005A5957"/>
    <w:p w14:paraId="153FD6B4" w14:textId="77777777" w:rsidR="005A5957" w:rsidRPr="009F74EC" w:rsidRDefault="005A5957" w:rsidP="005A5957">
      <w:pPr>
        <w:rPr>
          <w:u w:val="single"/>
        </w:rPr>
      </w:pPr>
      <w:r w:rsidRPr="009F74EC">
        <w:t>3.</w:t>
      </w:r>
      <w:r w:rsidRPr="009F74EC">
        <w:tab/>
      </w:r>
      <w:r w:rsidRPr="009F74EC">
        <w:rPr>
          <w:u w:val="single"/>
        </w:rPr>
        <w:t>Situación en el ámbito administrativo</w:t>
      </w:r>
    </w:p>
    <w:p w14:paraId="4D1C8444" w14:textId="77777777" w:rsidR="005A5957" w:rsidRPr="009F74EC" w:rsidRDefault="005A5957" w:rsidP="005A5957"/>
    <w:p w14:paraId="5A0B0C7A" w14:textId="77777777" w:rsidR="005A5957" w:rsidRPr="009F74EC" w:rsidRDefault="005A5957" w:rsidP="005A5957">
      <w:r w:rsidRPr="009F74EC">
        <w:t>Sin cambios.</w:t>
      </w:r>
    </w:p>
    <w:p w14:paraId="74EA941C" w14:textId="77777777" w:rsidR="005A5957" w:rsidRPr="009F74EC" w:rsidRDefault="005A5957" w:rsidP="005A5957"/>
    <w:p w14:paraId="6640F6AC" w14:textId="77777777" w:rsidR="005A5957" w:rsidRPr="009F74EC" w:rsidRDefault="005A5957" w:rsidP="005A5957"/>
    <w:p w14:paraId="6544121A" w14:textId="77777777" w:rsidR="005A5957" w:rsidRPr="009F74EC" w:rsidRDefault="005A5957" w:rsidP="005A5957">
      <w:r w:rsidRPr="009F74EC">
        <w:t>4.</w:t>
      </w:r>
      <w:r w:rsidRPr="009F74EC">
        <w:tab/>
      </w:r>
      <w:r w:rsidRPr="009F74EC">
        <w:rPr>
          <w:u w:val="single"/>
        </w:rPr>
        <w:t>Situación en el ámbito técnico para el periodo de enero a diciembre de 2021</w:t>
      </w:r>
    </w:p>
    <w:p w14:paraId="7F7765AE" w14:textId="77777777" w:rsidR="005A5957" w:rsidRPr="009F74EC" w:rsidRDefault="005A5957" w:rsidP="005A5957"/>
    <w:p w14:paraId="2284B62E" w14:textId="77777777" w:rsidR="005A5957" w:rsidRPr="009F74EC" w:rsidRDefault="005A5957" w:rsidP="005A5957">
      <w:pPr>
        <w:numPr>
          <w:ilvl w:val="0"/>
          <w:numId w:val="1"/>
        </w:numPr>
        <w:autoSpaceDE w:val="0"/>
        <w:autoSpaceDN w:val="0"/>
        <w:adjustRightInd w:val="0"/>
        <w:spacing w:line="276" w:lineRule="auto"/>
        <w:ind w:left="426" w:hanging="426"/>
        <w:rPr>
          <w:rFonts w:cs="Arial"/>
        </w:rPr>
      </w:pPr>
      <w:r w:rsidRPr="009F74EC">
        <w:rPr>
          <w:rFonts w:cs="Arial"/>
        </w:rPr>
        <w:t xml:space="preserve">Se recibieron 277 solicitudes de derechos de obtentor, de las cuales el 39% [106] correspondían a cultivos agrícolas, el 10% [29] a cultivos ornamentales, el 39% [109] a cultivos frutales y el 12% [33] a cultivos hortícolas. </w:t>
      </w:r>
    </w:p>
    <w:p w14:paraId="584DC0D3" w14:textId="77777777" w:rsidR="005A5957" w:rsidRPr="009F74EC" w:rsidRDefault="005A5957" w:rsidP="005A5957">
      <w:pPr>
        <w:rPr>
          <w:rFonts w:cs="Arial"/>
        </w:rPr>
      </w:pPr>
    </w:p>
    <w:p w14:paraId="39EB4EBF" w14:textId="77777777" w:rsidR="005A5957" w:rsidRPr="009F74EC" w:rsidRDefault="005A5957" w:rsidP="005A5957">
      <w:pPr>
        <w:ind w:firstLine="425"/>
        <w:rPr>
          <w:rFonts w:cs="Arial"/>
        </w:rPr>
      </w:pPr>
      <w:r w:rsidRPr="009F74EC">
        <w:rPr>
          <w:rFonts w:cs="Arial"/>
        </w:rPr>
        <w:t>De enero a diciembre de 2022 se concedieron un total de 289 derechos de obtentor:</w:t>
      </w:r>
    </w:p>
    <w:p w14:paraId="1338C50A" w14:textId="77777777" w:rsidR="005A5957" w:rsidRPr="009F74EC" w:rsidRDefault="005A5957" w:rsidP="005A5957">
      <w:pPr>
        <w:rPr>
          <w:rFonts w:cs="Arial"/>
        </w:rPr>
      </w:pPr>
    </w:p>
    <w:p w14:paraId="03EBC756" w14:textId="254D29AE" w:rsidR="005A5957" w:rsidRPr="009F74EC" w:rsidRDefault="005A5957" w:rsidP="005A5957">
      <w:pPr>
        <w:ind w:firstLine="425"/>
        <w:rPr>
          <w:rFonts w:cs="Arial"/>
        </w:rPr>
      </w:pPr>
      <w:r w:rsidRPr="009F74EC">
        <w:rPr>
          <w:rFonts w:cs="Arial"/>
        </w:rPr>
        <w:t>Cultivos agrícolas</w:t>
      </w:r>
      <w:r w:rsidR="009F74EC">
        <w:rPr>
          <w:rFonts w:cs="Arial"/>
        </w:rPr>
        <w:tab/>
      </w:r>
      <w:r w:rsidR="009F74EC">
        <w:rPr>
          <w:rFonts w:cs="Arial"/>
        </w:rPr>
        <w:tab/>
      </w:r>
      <w:r w:rsidRPr="009F74EC">
        <w:rPr>
          <w:rFonts w:cs="Arial"/>
        </w:rPr>
        <w:tab/>
        <w:t>126</w:t>
      </w:r>
    </w:p>
    <w:p w14:paraId="074AD249" w14:textId="1C44CA69" w:rsidR="005A5957" w:rsidRPr="009F74EC" w:rsidRDefault="005A5957" w:rsidP="005A5957">
      <w:pPr>
        <w:ind w:firstLine="425"/>
        <w:rPr>
          <w:rFonts w:cs="Arial"/>
        </w:rPr>
      </w:pPr>
      <w:r w:rsidRPr="009F74EC">
        <w:rPr>
          <w:rFonts w:cs="Arial"/>
        </w:rPr>
        <w:t>Cultivos hortícolas</w:t>
      </w:r>
      <w:r w:rsidRPr="009F74EC">
        <w:rPr>
          <w:rFonts w:cs="Arial"/>
        </w:rPr>
        <w:tab/>
      </w:r>
      <w:r w:rsidR="009F74EC">
        <w:rPr>
          <w:rFonts w:cs="Arial"/>
        </w:rPr>
        <w:tab/>
      </w:r>
      <w:proofErr w:type="gramStart"/>
      <w:r w:rsidRPr="009F74EC">
        <w:rPr>
          <w:rFonts w:cs="Arial"/>
        </w:rPr>
        <w:tab/>
        <w:t xml:space="preserve">  36</w:t>
      </w:r>
      <w:proofErr w:type="gramEnd"/>
    </w:p>
    <w:p w14:paraId="5C71FC28" w14:textId="1615DB97" w:rsidR="005A5957" w:rsidRPr="009F74EC" w:rsidRDefault="005A5957" w:rsidP="005A5957">
      <w:pPr>
        <w:ind w:firstLine="425"/>
        <w:rPr>
          <w:rFonts w:cs="Arial"/>
        </w:rPr>
      </w:pPr>
      <w:r w:rsidRPr="009F74EC">
        <w:rPr>
          <w:rFonts w:cs="Arial"/>
        </w:rPr>
        <w:t>Fruticultura</w:t>
      </w:r>
      <w:r w:rsidRPr="009F74EC">
        <w:rPr>
          <w:rFonts w:cs="Arial"/>
        </w:rPr>
        <w:tab/>
      </w:r>
      <w:r w:rsidRPr="009F74EC">
        <w:rPr>
          <w:rFonts w:cs="Arial"/>
        </w:rPr>
        <w:tab/>
      </w:r>
      <w:r w:rsidR="009F74EC">
        <w:rPr>
          <w:rFonts w:cs="Arial"/>
        </w:rPr>
        <w:tab/>
      </w:r>
      <w:proofErr w:type="gramStart"/>
      <w:r w:rsidRPr="009F74EC">
        <w:rPr>
          <w:rFonts w:cs="Arial"/>
        </w:rPr>
        <w:tab/>
        <w:t xml:space="preserve">  78</w:t>
      </w:r>
      <w:proofErr w:type="gramEnd"/>
    </w:p>
    <w:p w14:paraId="1BE368DE" w14:textId="77777777" w:rsidR="005A5957" w:rsidRPr="009F74EC" w:rsidRDefault="005A5957" w:rsidP="005A5957">
      <w:pPr>
        <w:ind w:firstLine="425"/>
        <w:rPr>
          <w:rFonts w:cs="Arial"/>
        </w:rPr>
      </w:pPr>
      <w:r w:rsidRPr="009F74EC">
        <w:rPr>
          <w:rFonts w:cs="Arial"/>
        </w:rPr>
        <w:t>Cultivos ornamentales</w:t>
      </w:r>
      <w:r w:rsidRPr="009F74EC">
        <w:rPr>
          <w:rFonts w:cs="Arial"/>
        </w:rPr>
        <w:tab/>
      </w:r>
      <w:proofErr w:type="gramStart"/>
      <w:r w:rsidRPr="009F74EC">
        <w:rPr>
          <w:rFonts w:cs="Arial"/>
        </w:rPr>
        <w:tab/>
        <w:t xml:space="preserve">  49</w:t>
      </w:r>
      <w:proofErr w:type="gramEnd"/>
    </w:p>
    <w:p w14:paraId="7E3ADA6C" w14:textId="77777777" w:rsidR="005A5957" w:rsidRPr="009F74EC" w:rsidRDefault="005A5957" w:rsidP="005A5957">
      <w:pPr>
        <w:rPr>
          <w:rFonts w:cs="Arial"/>
        </w:rPr>
      </w:pPr>
    </w:p>
    <w:p w14:paraId="32DA4FE8" w14:textId="77777777" w:rsidR="005A5957" w:rsidRPr="009F74EC" w:rsidRDefault="005A5957" w:rsidP="005A5957">
      <w:pPr>
        <w:numPr>
          <w:ilvl w:val="0"/>
          <w:numId w:val="1"/>
        </w:numPr>
        <w:autoSpaceDE w:val="0"/>
        <w:autoSpaceDN w:val="0"/>
        <w:adjustRightInd w:val="0"/>
        <w:spacing w:line="276" w:lineRule="auto"/>
        <w:ind w:left="426" w:hanging="426"/>
        <w:rPr>
          <w:rFonts w:cs="Arial"/>
        </w:rPr>
      </w:pPr>
      <w:r w:rsidRPr="009F74EC">
        <w:rPr>
          <w:rFonts w:cs="Arial"/>
        </w:rPr>
        <w:t xml:space="preserve">En diciembre de 2022, un TOTAL de 3.637 variedades contaban con derechos de obtentor válidos en Sudáfrica, de las cuales el 23% [830] correspondían a cultivos ornamentales, el 29% [1.420] a cultivos agrícolas, el 30% [1.111] a cultivos frutales y el 8% [276] a cultivos hortícolas. </w:t>
      </w:r>
    </w:p>
    <w:p w14:paraId="7C3835B1" w14:textId="77777777" w:rsidR="005A5957" w:rsidRPr="009F74EC" w:rsidRDefault="005A5957" w:rsidP="005A5957">
      <w:pPr>
        <w:rPr>
          <w:rFonts w:cs="Arial"/>
        </w:rPr>
      </w:pPr>
    </w:p>
    <w:p w14:paraId="1370D345" w14:textId="77777777" w:rsidR="005A5957" w:rsidRPr="009F74EC" w:rsidRDefault="005A5957" w:rsidP="005A5957">
      <w:pPr>
        <w:jc w:val="left"/>
      </w:pPr>
    </w:p>
    <w:p w14:paraId="6A65BD3B" w14:textId="77777777" w:rsidR="005A5957" w:rsidRPr="009F74EC" w:rsidRDefault="005A5957" w:rsidP="005A5957">
      <w:pPr>
        <w:jc w:val="left"/>
      </w:pPr>
      <w:r w:rsidRPr="009F74EC">
        <w:br w:type="page"/>
      </w:r>
    </w:p>
    <w:p w14:paraId="5C195EFE" w14:textId="77777777" w:rsidR="005A5957" w:rsidRPr="009F74EC" w:rsidRDefault="005A5957" w:rsidP="005A5957">
      <w:pPr>
        <w:rPr>
          <w:u w:val="single"/>
        </w:rPr>
      </w:pPr>
      <w:r w:rsidRPr="009F74EC">
        <w:lastRenderedPageBreak/>
        <w:t>5.</w:t>
      </w:r>
      <w:r w:rsidRPr="009F74EC">
        <w:tab/>
      </w:r>
      <w:r w:rsidRPr="009F74EC">
        <w:rPr>
          <w:u w:val="single"/>
        </w:rPr>
        <w:t>Actividades de fomento de la protección de las obtenciones vegetales</w:t>
      </w:r>
    </w:p>
    <w:p w14:paraId="545E18F4" w14:textId="77777777" w:rsidR="005A5957" w:rsidRPr="009F74EC" w:rsidRDefault="005A5957" w:rsidP="005A5957"/>
    <w:tbl>
      <w:tblPr>
        <w:tblStyle w:val="TableGrid"/>
        <w:tblW w:w="10060" w:type="dxa"/>
        <w:tblLayout w:type="fixed"/>
        <w:tblCellMar>
          <w:top w:w="28" w:type="dxa"/>
          <w:left w:w="28" w:type="dxa"/>
          <w:bottom w:w="28" w:type="dxa"/>
          <w:right w:w="28" w:type="dxa"/>
        </w:tblCellMar>
        <w:tblLook w:val="01E0" w:firstRow="1" w:lastRow="1" w:firstColumn="1" w:lastColumn="1" w:noHBand="0" w:noVBand="0"/>
      </w:tblPr>
      <w:tblGrid>
        <w:gridCol w:w="2122"/>
        <w:gridCol w:w="993"/>
        <w:gridCol w:w="992"/>
        <w:gridCol w:w="1275"/>
        <w:gridCol w:w="2694"/>
        <w:gridCol w:w="1984"/>
      </w:tblGrid>
      <w:tr w:rsidR="005A5957" w:rsidRPr="009F74EC" w14:paraId="1FF2C81E" w14:textId="77777777" w:rsidTr="00D97BF8">
        <w:tc>
          <w:tcPr>
            <w:tcW w:w="2122" w:type="dxa"/>
          </w:tcPr>
          <w:p w14:paraId="38F02AF3" w14:textId="77777777" w:rsidR="005A5957" w:rsidRPr="009F74EC" w:rsidRDefault="005A5957" w:rsidP="00C30F9D">
            <w:pPr>
              <w:jc w:val="left"/>
              <w:rPr>
                <w:sz w:val="16"/>
                <w:szCs w:val="16"/>
              </w:rPr>
            </w:pPr>
            <w:r w:rsidRPr="009F74EC">
              <w:rPr>
                <w:sz w:val="16"/>
                <w:szCs w:val="16"/>
              </w:rPr>
              <w:t>Título de la actividad</w:t>
            </w:r>
          </w:p>
        </w:tc>
        <w:tc>
          <w:tcPr>
            <w:tcW w:w="993" w:type="dxa"/>
          </w:tcPr>
          <w:p w14:paraId="70AC6BBD" w14:textId="77777777" w:rsidR="005A5957" w:rsidRPr="009F74EC" w:rsidRDefault="005A5957" w:rsidP="00C30F9D">
            <w:pPr>
              <w:keepNext/>
              <w:jc w:val="left"/>
              <w:rPr>
                <w:sz w:val="16"/>
              </w:rPr>
            </w:pPr>
            <w:r w:rsidRPr="009F74EC">
              <w:rPr>
                <w:sz w:val="16"/>
              </w:rPr>
              <w:t>Fecha</w:t>
            </w:r>
          </w:p>
        </w:tc>
        <w:tc>
          <w:tcPr>
            <w:tcW w:w="992" w:type="dxa"/>
          </w:tcPr>
          <w:p w14:paraId="21AE2C18" w14:textId="77777777" w:rsidR="005A5957" w:rsidRPr="009F74EC" w:rsidRDefault="005A5957" w:rsidP="00C30F9D">
            <w:pPr>
              <w:keepNext/>
              <w:jc w:val="left"/>
              <w:rPr>
                <w:sz w:val="16"/>
              </w:rPr>
            </w:pPr>
            <w:r w:rsidRPr="009F74EC">
              <w:rPr>
                <w:sz w:val="16"/>
              </w:rPr>
              <w:t>Ubicación</w:t>
            </w:r>
          </w:p>
        </w:tc>
        <w:tc>
          <w:tcPr>
            <w:tcW w:w="1275" w:type="dxa"/>
          </w:tcPr>
          <w:p w14:paraId="31DE6711" w14:textId="77777777" w:rsidR="005A5957" w:rsidRPr="009F74EC" w:rsidRDefault="005A5957" w:rsidP="00C30F9D">
            <w:pPr>
              <w:keepNext/>
              <w:jc w:val="left"/>
              <w:rPr>
                <w:sz w:val="16"/>
              </w:rPr>
            </w:pPr>
            <w:r w:rsidRPr="009F74EC">
              <w:rPr>
                <w:sz w:val="16"/>
              </w:rPr>
              <w:t>Organizador(es)</w:t>
            </w:r>
          </w:p>
        </w:tc>
        <w:tc>
          <w:tcPr>
            <w:tcW w:w="2694" w:type="dxa"/>
          </w:tcPr>
          <w:p w14:paraId="3C24C28E" w14:textId="77777777" w:rsidR="005A5957" w:rsidRPr="009F74EC" w:rsidRDefault="005A5957" w:rsidP="00C30F9D">
            <w:pPr>
              <w:keepNext/>
              <w:jc w:val="left"/>
              <w:rPr>
                <w:sz w:val="16"/>
              </w:rPr>
            </w:pPr>
            <w:r w:rsidRPr="009F74EC">
              <w:rPr>
                <w:sz w:val="16"/>
              </w:rPr>
              <w:t>Objetivo de la actividad</w:t>
            </w:r>
          </w:p>
        </w:tc>
        <w:tc>
          <w:tcPr>
            <w:tcW w:w="1984" w:type="dxa"/>
          </w:tcPr>
          <w:p w14:paraId="69489115" w14:textId="77777777" w:rsidR="005A5957" w:rsidRPr="009F74EC" w:rsidRDefault="005A5957" w:rsidP="00C30F9D">
            <w:pPr>
              <w:keepNext/>
              <w:jc w:val="left"/>
              <w:rPr>
                <w:sz w:val="16"/>
              </w:rPr>
            </w:pPr>
            <w:r w:rsidRPr="009F74EC">
              <w:rPr>
                <w:sz w:val="16"/>
              </w:rPr>
              <w:t>Países/organizaciones participantes (número de participantes de cada uno)</w:t>
            </w:r>
          </w:p>
        </w:tc>
      </w:tr>
      <w:tr w:rsidR="005A5957" w:rsidRPr="009F74EC" w14:paraId="0C49D6E8" w14:textId="77777777" w:rsidTr="00D97BF8">
        <w:tc>
          <w:tcPr>
            <w:tcW w:w="2122" w:type="dxa"/>
          </w:tcPr>
          <w:p w14:paraId="3FF3F98B" w14:textId="77777777" w:rsidR="005A5957" w:rsidRPr="009F74EC" w:rsidRDefault="005A5957" w:rsidP="00C30F9D">
            <w:pPr>
              <w:jc w:val="left"/>
              <w:rPr>
                <w:sz w:val="16"/>
                <w:szCs w:val="16"/>
              </w:rPr>
            </w:pPr>
            <w:r w:rsidRPr="009F74EC">
              <w:rPr>
                <w:sz w:val="16"/>
                <w:szCs w:val="16"/>
              </w:rPr>
              <w:t>1. Reunión NUMPRO</w:t>
            </w:r>
          </w:p>
          <w:p w14:paraId="0DB930C0" w14:textId="77777777" w:rsidR="005A5957" w:rsidRPr="009F74EC" w:rsidRDefault="005A5957" w:rsidP="00C30F9D">
            <w:pPr>
              <w:jc w:val="left"/>
              <w:rPr>
                <w:sz w:val="16"/>
                <w:szCs w:val="16"/>
              </w:rPr>
            </w:pPr>
            <w:r w:rsidRPr="009F74EC">
              <w:rPr>
                <w:sz w:val="16"/>
                <w:szCs w:val="16"/>
              </w:rPr>
              <w:t>[Productores de material nuclear]</w:t>
            </w:r>
          </w:p>
        </w:tc>
        <w:tc>
          <w:tcPr>
            <w:tcW w:w="993" w:type="dxa"/>
          </w:tcPr>
          <w:p w14:paraId="148FF4C5" w14:textId="77777777" w:rsidR="005A5957" w:rsidRPr="009F74EC" w:rsidRDefault="005A5957" w:rsidP="00C30F9D">
            <w:pPr>
              <w:keepNext/>
              <w:jc w:val="left"/>
              <w:rPr>
                <w:sz w:val="16"/>
              </w:rPr>
            </w:pPr>
            <w:r w:rsidRPr="009F74EC">
              <w:rPr>
                <w:sz w:val="16"/>
              </w:rPr>
              <w:t>17 de mayo de 2023</w:t>
            </w:r>
          </w:p>
        </w:tc>
        <w:tc>
          <w:tcPr>
            <w:tcW w:w="992" w:type="dxa"/>
          </w:tcPr>
          <w:p w14:paraId="71ADD3D3" w14:textId="77777777" w:rsidR="005A5957" w:rsidRPr="009F74EC" w:rsidRDefault="005A5957" w:rsidP="00C30F9D">
            <w:pPr>
              <w:keepNext/>
              <w:jc w:val="left"/>
              <w:rPr>
                <w:sz w:val="16"/>
              </w:rPr>
            </w:pPr>
            <w:r w:rsidRPr="009F74EC">
              <w:rPr>
                <w:sz w:val="16"/>
              </w:rPr>
              <w:t>Pretoria, Sudáfrica</w:t>
            </w:r>
          </w:p>
        </w:tc>
        <w:tc>
          <w:tcPr>
            <w:tcW w:w="1275" w:type="dxa"/>
          </w:tcPr>
          <w:p w14:paraId="34A43093" w14:textId="77777777" w:rsidR="005A5957" w:rsidRPr="009F74EC" w:rsidRDefault="005A5957" w:rsidP="00C30F9D">
            <w:pPr>
              <w:keepNext/>
              <w:jc w:val="left"/>
              <w:rPr>
                <w:sz w:val="16"/>
              </w:rPr>
            </w:pPr>
            <w:r w:rsidRPr="009F74EC">
              <w:rPr>
                <w:sz w:val="16"/>
              </w:rPr>
              <w:t>Servicio de certificación de patatas</w:t>
            </w:r>
          </w:p>
        </w:tc>
        <w:tc>
          <w:tcPr>
            <w:tcW w:w="2694" w:type="dxa"/>
          </w:tcPr>
          <w:p w14:paraId="19E85909" w14:textId="77777777" w:rsidR="005A5957" w:rsidRPr="009F74EC" w:rsidRDefault="005A5957" w:rsidP="00C30F9D">
            <w:pPr>
              <w:keepNext/>
              <w:jc w:val="left"/>
              <w:rPr>
                <w:sz w:val="16"/>
              </w:rPr>
            </w:pPr>
            <w:r w:rsidRPr="009F74EC">
              <w:rPr>
                <w:sz w:val="16"/>
              </w:rPr>
              <w:t>Informe sobre los derechos de obtentor de las variedades de patata</w:t>
            </w:r>
          </w:p>
        </w:tc>
        <w:tc>
          <w:tcPr>
            <w:tcW w:w="1984" w:type="dxa"/>
          </w:tcPr>
          <w:p w14:paraId="01AC7BC0" w14:textId="77777777" w:rsidR="005A5957" w:rsidRPr="009F74EC" w:rsidRDefault="005A5957" w:rsidP="00C30F9D">
            <w:pPr>
              <w:keepNext/>
              <w:jc w:val="left"/>
              <w:rPr>
                <w:sz w:val="16"/>
              </w:rPr>
            </w:pPr>
            <w:r w:rsidRPr="009F74EC">
              <w:rPr>
                <w:sz w:val="16"/>
              </w:rPr>
              <w:t>Industria sudafricana de la patata</w:t>
            </w:r>
          </w:p>
          <w:p w14:paraId="5114212F" w14:textId="77777777" w:rsidR="005A5957" w:rsidRPr="009F74EC" w:rsidRDefault="005A5957" w:rsidP="00C30F9D">
            <w:pPr>
              <w:keepNext/>
              <w:jc w:val="left"/>
              <w:rPr>
                <w:sz w:val="16"/>
              </w:rPr>
            </w:pPr>
            <w:r w:rsidRPr="009F74EC">
              <w:rPr>
                <w:rFonts w:cs="Arial"/>
                <w:sz w:val="16"/>
              </w:rPr>
              <w:t xml:space="preserve">± </w:t>
            </w:r>
            <w:r w:rsidRPr="009F74EC">
              <w:rPr>
                <w:sz w:val="16"/>
              </w:rPr>
              <w:t>60 participantes</w:t>
            </w:r>
          </w:p>
        </w:tc>
      </w:tr>
      <w:tr w:rsidR="005A5957" w:rsidRPr="009F74EC" w14:paraId="6F6C2BDC" w14:textId="77777777" w:rsidTr="00D97BF8">
        <w:tc>
          <w:tcPr>
            <w:tcW w:w="2122" w:type="dxa"/>
          </w:tcPr>
          <w:p w14:paraId="07C629B3" w14:textId="77777777" w:rsidR="005A5957" w:rsidRPr="009F74EC" w:rsidRDefault="005A5957" w:rsidP="00C30F9D">
            <w:pPr>
              <w:jc w:val="left"/>
              <w:rPr>
                <w:sz w:val="16"/>
                <w:szCs w:val="16"/>
              </w:rPr>
            </w:pPr>
            <w:r w:rsidRPr="009F74EC">
              <w:rPr>
                <w:sz w:val="16"/>
                <w:szCs w:val="16"/>
              </w:rPr>
              <w:t xml:space="preserve">2. Visita de estudiantes de fitomejoramiento de la Universidad de Limpopo a la Oficina Sudafricana de Derechos de Obtentor </w:t>
            </w:r>
          </w:p>
        </w:tc>
        <w:tc>
          <w:tcPr>
            <w:tcW w:w="993" w:type="dxa"/>
          </w:tcPr>
          <w:p w14:paraId="583A59F8" w14:textId="77777777" w:rsidR="005A5957" w:rsidRPr="009F74EC" w:rsidRDefault="005A5957" w:rsidP="00C30F9D">
            <w:pPr>
              <w:keepNext/>
              <w:jc w:val="left"/>
              <w:rPr>
                <w:sz w:val="16"/>
              </w:rPr>
            </w:pPr>
            <w:r w:rsidRPr="009F74EC">
              <w:rPr>
                <w:sz w:val="16"/>
              </w:rPr>
              <w:t>9 de septiembre de 2022</w:t>
            </w:r>
          </w:p>
        </w:tc>
        <w:tc>
          <w:tcPr>
            <w:tcW w:w="992" w:type="dxa"/>
          </w:tcPr>
          <w:p w14:paraId="519A63CC" w14:textId="77777777" w:rsidR="005A5957" w:rsidRPr="009F74EC" w:rsidRDefault="005A5957" w:rsidP="00C30F9D">
            <w:pPr>
              <w:keepNext/>
              <w:jc w:val="left"/>
              <w:rPr>
                <w:sz w:val="16"/>
              </w:rPr>
            </w:pPr>
            <w:r w:rsidRPr="009F74EC">
              <w:rPr>
                <w:sz w:val="16"/>
              </w:rPr>
              <w:t xml:space="preserve">Consejo de Investigación Agrícola, </w:t>
            </w:r>
            <w:proofErr w:type="spellStart"/>
            <w:r w:rsidRPr="009F74EC">
              <w:rPr>
                <w:sz w:val="16"/>
              </w:rPr>
              <w:t>Roodeplaat</w:t>
            </w:r>
            <w:proofErr w:type="spellEnd"/>
            <w:r w:rsidRPr="009F74EC">
              <w:rPr>
                <w:sz w:val="16"/>
              </w:rPr>
              <w:t>, Pretoria, Sudáfrica</w:t>
            </w:r>
          </w:p>
        </w:tc>
        <w:tc>
          <w:tcPr>
            <w:tcW w:w="1275" w:type="dxa"/>
          </w:tcPr>
          <w:p w14:paraId="2AF367BF" w14:textId="77777777" w:rsidR="005A5957" w:rsidRPr="009F74EC" w:rsidRDefault="005A5957" w:rsidP="00C30F9D">
            <w:pPr>
              <w:keepNext/>
              <w:jc w:val="left"/>
              <w:rPr>
                <w:sz w:val="16"/>
              </w:rPr>
            </w:pPr>
            <w:r w:rsidRPr="009F74EC">
              <w:rPr>
                <w:sz w:val="16"/>
              </w:rPr>
              <w:t>Oficina de derechos de obtentor de SA</w:t>
            </w:r>
          </w:p>
        </w:tc>
        <w:tc>
          <w:tcPr>
            <w:tcW w:w="2694" w:type="dxa"/>
          </w:tcPr>
          <w:p w14:paraId="56DFCDAC" w14:textId="77777777" w:rsidR="005A5957" w:rsidRPr="009F74EC" w:rsidRDefault="005A5957" w:rsidP="00C30F9D">
            <w:pPr>
              <w:keepNext/>
              <w:jc w:val="left"/>
              <w:rPr>
                <w:sz w:val="16"/>
              </w:rPr>
            </w:pPr>
            <w:r w:rsidRPr="009F74EC">
              <w:rPr>
                <w:sz w:val="16"/>
              </w:rPr>
              <w:t>Presentar a los estudiantes de fitomejoramiento las actividades y los procedimientos de los derechos de obtentor y del examen DHE.</w:t>
            </w:r>
          </w:p>
        </w:tc>
        <w:tc>
          <w:tcPr>
            <w:tcW w:w="1984" w:type="dxa"/>
          </w:tcPr>
          <w:p w14:paraId="62E21DAB" w14:textId="77777777" w:rsidR="005A5957" w:rsidRPr="009F74EC" w:rsidRDefault="005A5957" w:rsidP="00C30F9D">
            <w:pPr>
              <w:keepNext/>
              <w:jc w:val="left"/>
              <w:rPr>
                <w:sz w:val="16"/>
              </w:rPr>
            </w:pPr>
            <w:r w:rsidRPr="009F74EC">
              <w:rPr>
                <w:sz w:val="16"/>
              </w:rPr>
              <w:t xml:space="preserve">62 </w:t>
            </w:r>
            <w:proofErr w:type="gramStart"/>
            <w:r w:rsidRPr="009F74EC">
              <w:rPr>
                <w:sz w:val="16"/>
              </w:rPr>
              <w:t>Estudiantes</w:t>
            </w:r>
            <w:proofErr w:type="gramEnd"/>
          </w:p>
          <w:p w14:paraId="17990F53" w14:textId="77777777" w:rsidR="005A5957" w:rsidRPr="009F74EC" w:rsidRDefault="005A5957" w:rsidP="00C30F9D">
            <w:pPr>
              <w:keepNext/>
              <w:jc w:val="left"/>
              <w:rPr>
                <w:sz w:val="16"/>
              </w:rPr>
            </w:pPr>
            <w:r w:rsidRPr="009F74EC">
              <w:rPr>
                <w:sz w:val="16"/>
              </w:rPr>
              <w:t>1 conferenciante</w:t>
            </w:r>
          </w:p>
          <w:p w14:paraId="65EDB3B3" w14:textId="77777777" w:rsidR="005A5957" w:rsidRPr="009F74EC" w:rsidRDefault="005A5957" w:rsidP="00C30F9D">
            <w:pPr>
              <w:keepNext/>
              <w:jc w:val="left"/>
              <w:rPr>
                <w:sz w:val="16"/>
              </w:rPr>
            </w:pPr>
            <w:r w:rsidRPr="009F74EC">
              <w:rPr>
                <w:sz w:val="16"/>
              </w:rPr>
              <w:t>2 funcionarios de derechos de obtentor</w:t>
            </w:r>
          </w:p>
          <w:p w14:paraId="6B13BDFB" w14:textId="77777777" w:rsidR="005A5957" w:rsidRPr="009F74EC" w:rsidRDefault="005A5957" w:rsidP="00C30F9D">
            <w:pPr>
              <w:keepNext/>
              <w:jc w:val="left"/>
              <w:rPr>
                <w:sz w:val="16"/>
              </w:rPr>
            </w:pPr>
            <w:r w:rsidRPr="009F74EC">
              <w:rPr>
                <w:sz w:val="16"/>
              </w:rPr>
              <w:t xml:space="preserve">3 </w:t>
            </w:r>
            <w:proofErr w:type="gramStart"/>
            <w:r w:rsidRPr="009F74EC">
              <w:rPr>
                <w:sz w:val="16"/>
              </w:rPr>
              <w:t>Examinadores</w:t>
            </w:r>
            <w:proofErr w:type="gramEnd"/>
            <w:r w:rsidRPr="009F74EC">
              <w:rPr>
                <w:sz w:val="16"/>
              </w:rPr>
              <w:t xml:space="preserve"> DHE</w:t>
            </w:r>
          </w:p>
        </w:tc>
      </w:tr>
      <w:tr w:rsidR="005A5957" w:rsidRPr="009F74EC" w14:paraId="12ED3738" w14:textId="77777777" w:rsidTr="00D97BF8">
        <w:tc>
          <w:tcPr>
            <w:tcW w:w="2122" w:type="dxa"/>
          </w:tcPr>
          <w:p w14:paraId="23DB837F" w14:textId="77777777" w:rsidR="005A5957" w:rsidRPr="009F74EC" w:rsidRDefault="005A5957" w:rsidP="00C30F9D">
            <w:pPr>
              <w:jc w:val="left"/>
              <w:rPr>
                <w:sz w:val="16"/>
                <w:szCs w:val="16"/>
              </w:rPr>
            </w:pPr>
            <w:r w:rsidRPr="009F74EC">
              <w:rPr>
                <w:sz w:val="16"/>
                <w:szCs w:val="16"/>
              </w:rPr>
              <w:t>3. Taller sobre la protección de las obtenciones vegetales y la legislación sobre semillas en África meridional y oriental</w:t>
            </w:r>
          </w:p>
          <w:p w14:paraId="37505A42" w14:textId="77777777" w:rsidR="005A5957" w:rsidRPr="009F74EC" w:rsidRDefault="005A5957" w:rsidP="00C30F9D">
            <w:pPr>
              <w:jc w:val="left"/>
              <w:rPr>
                <w:sz w:val="16"/>
                <w:szCs w:val="16"/>
              </w:rPr>
            </w:pPr>
          </w:p>
        </w:tc>
        <w:tc>
          <w:tcPr>
            <w:tcW w:w="993" w:type="dxa"/>
          </w:tcPr>
          <w:p w14:paraId="20A35585" w14:textId="77777777" w:rsidR="005A5957" w:rsidRPr="009F74EC" w:rsidRDefault="005A5957" w:rsidP="00C30F9D">
            <w:pPr>
              <w:keepNext/>
              <w:jc w:val="left"/>
              <w:rPr>
                <w:sz w:val="16"/>
              </w:rPr>
            </w:pPr>
            <w:r w:rsidRPr="009F74EC">
              <w:rPr>
                <w:sz w:val="16"/>
              </w:rPr>
              <w:t>6-7 de junio de 2023</w:t>
            </w:r>
          </w:p>
        </w:tc>
        <w:tc>
          <w:tcPr>
            <w:tcW w:w="992" w:type="dxa"/>
          </w:tcPr>
          <w:p w14:paraId="351483FE" w14:textId="77777777" w:rsidR="005A5957" w:rsidRPr="009F74EC" w:rsidRDefault="005A5957" w:rsidP="00C30F9D">
            <w:pPr>
              <w:keepNext/>
              <w:jc w:val="left"/>
              <w:rPr>
                <w:sz w:val="16"/>
              </w:rPr>
            </w:pPr>
            <w:proofErr w:type="spellStart"/>
            <w:r w:rsidRPr="009F74EC">
              <w:rPr>
                <w:sz w:val="16"/>
              </w:rPr>
              <w:t>Kwazulu</w:t>
            </w:r>
            <w:proofErr w:type="spellEnd"/>
            <w:r w:rsidRPr="009F74EC">
              <w:rPr>
                <w:sz w:val="16"/>
              </w:rPr>
              <w:t xml:space="preserve"> Natal, Salt Rock, Sudáfrica</w:t>
            </w:r>
          </w:p>
        </w:tc>
        <w:tc>
          <w:tcPr>
            <w:tcW w:w="1275" w:type="dxa"/>
          </w:tcPr>
          <w:p w14:paraId="6F187559" w14:textId="77777777" w:rsidR="005A5957" w:rsidRPr="009F74EC" w:rsidRDefault="005A5957" w:rsidP="00C30F9D">
            <w:pPr>
              <w:keepNext/>
              <w:jc w:val="left"/>
              <w:rPr>
                <w:sz w:val="16"/>
              </w:rPr>
            </w:pPr>
            <w:r w:rsidRPr="009F74EC">
              <w:rPr>
                <w:sz w:val="16"/>
              </w:rPr>
              <w:t>Centro Africano para la Biodiversidad [ACB] - SA</w:t>
            </w:r>
          </w:p>
          <w:p w14:paraId="185ABB84" w14:textId="77777777" w:rsidR="005A5957" w:rsidRPr="009F74EC" w:rsidRDefault="005A5957" w:rsidP="00C30F9D">
            <w:pPr>
              <w:keepNext/>
              <w:jc w:val="left"/>
              <w:rPr>
                <w:sz w:val="16"/>
              </w:rPr>
            </w:pPr>
          </w:p>
          <w:p w14:paraId="6BD864E2" w14:textId="77777777" w:rsidR="005A5957" w:rsidRPr="009F74EC" w:rsidRDefault="005A5957" w:rsidP="00C30F9D">
            <w:pPr>
              <w:keepNext/>
              <w:jc w:val="left"/>
              <w:rPr>
                <w:sz w:val="16"/>
              </w:rPr>
            </w:pPr>
            <w:proofErr w:type="spellStart"/>
            <w:r w:rsidRPr="009F74EC">
              <w:rPr>
                <w:sz w:val="16"/>
              </w:rPr>
              <w:t>Association</w:t>
            </w:r>
            <w:proofErr w:type="spellEnd"/>
            <w:r w:rsidRPr="009F74EC">
              <w:rPr>
                <w:sz w:val="16"/>
              </w:rPr>
              <w:t xml:space="preserve"> </w:t>
            </w:r>
            <w:proofErr w:type="spellStart"/>
            <w:r w:rsidRPr="009F74EC">
              <w:rPr>
                <w:sz w:val="16"/>
              </w:rPr>
              <w:t>for</w:t>
            </w:r>
            <w:proofErr w:type="spellEnd"/>
            <w:r w:rsidRPr="009F74EC">
              <w:rPr>
                <w:sz w:val="16"/>
              </w:rPr>
              <w:t xml:space="preserve"> </w:t>
            </w:r>
            <w:proofErr w:type="spellStart"/>
            <w:r w:rsidRPr="009F74EC">
              <w:rPr>
                <w:sz w:val="16"/>
              </w:rPr>
              <w:t>Plant</w:t>
            </w:r>
            <w:proofErr w:type="spellEnd"/>
            <w:r w:rsidRPr="009F74EC">
              <w:rPr>
                <w:sz w:val="16"/>
              </w:rPr>
              <w:t xml:space="preserve"> </w:t>
            </w:r>
            <w:proofErr w:type="spellStart"/>
            <w:r w:rsidRPr="009F74EC">
              <w:rPr>
                <w:sz w:val="16"/>
              </w:rPr>
              <w:t>Breeding</w:t>
            </w:r>
            <w:proofErr w:type="spellEnd"/>
            <w:r w:rsidRPr="009F74EC">
              <w:rPr>
                <w:sz w:val="16"/>
              </w:rPr>
              <w:t xml:space="preserve"> </w:t>
            </w:r>
            <w:proofErr w:type="spellStart"/>
            <w:r w:rsidRPr="009F74EC">
              <w:rPr>
                <w:sz w:val="16"/>
              </w:rPr>
              <w:t>for</w:t>
            </w:r>
            <w:proofErr w:type="spellEnd"/>
            <w:r w:rsidRPr="009F74EC">
              <w:rPr>
                <w:sz w:val="16"/>
              </w:rPr>
              <w:t xml:space="preserve"> </w:t>
            </w:r>
            <w:proofErr w:type="spellStart"/>
            <w:r w:rsidRPr="009F74EC">
              <w:rPr>
                <w:sz w:val="16"/>
              </w:rPr>
              <w:t>the</w:t>
            </w:r>
            <w:proofErr w:type="spellEnd"/>
            <w:r w:rsidRPr="009F74EC">
              <w:rPr>
                <w:sz w:val="16"/>
              </w:rPr>
              <w:t xml:space="preserve"> Benefit of </w:t>
            </w:r>
            <w:proofErr w:type="spellStart"/>
            <w:r w:rsidRPr="009F74EC">
              <w:rPr>
                <w:sz w:val="16"/>
              </w:rPr>
              <w:t>Society</w:t>
            </w:r>
            <w:proofErr w:type="spellEnd"/>
            <w:r w:rsidRPr="009F74EC">
              <w:rPr>
                <w:sz w:val="16"/>
              </w:rPr>
              <w:t xml:space="preserve"> [APBREBES] - Suiza</w:t>
            </w:r>
          </w:p>
          <w:p w14:paraId="67A31933" w14:textId="77777777" w:rsidR="005A5957" w:rsidRPr="009F74EC" w:rsidRDefault="005A5957" w:rsidP="00C30F9D">
            <w:pPr>
              <w:keepNext/>
              <w:jc w:val="left"/>
              <w:rPr>
                <w:sz w:val="16"/>
              </w:rPr>
            </w:pPr>
          </w:p>
          <w:p w14:paraId="770AB754" w14:textId="079D7A87" w:rsidR="005A5957" w:rsidRPr="009F74EC" w:rsidRDefault="005A5957" w:rsidP="00C30F9D">
            <w:pPr>
              <w:keepNext/>
              <w:jc w:val="left"/>
              <w:rPr>
                <w:sz w:val="16"/>
              </w:rPr>
            </w:pPr>
            <w:r w:rsidRPr="009F74EC">
              <w:rPr>
                <w:sz w:val="16"/>
              </w:rPr>
              <w:t xml:space="preserve">Organización para el Desarrollo Tecnológico Comunitario [CTDO] - </w:t>
            </w:r>
            <w:proofErr w:type="spellStart"/>
            <w:r w:rsidR="00AD5CA2">
              <w:rPr>
                <w:sz w:val="16"/>
              </w:rPr>
              <w:t>Zimbabwe</w:t>
            </w:r>
            <w:proofErr w:type="spellEnd"/>
          </w:p>
          <w:p w14:paraId="712810BE" w14:textId="77777777" w:rsidR="005A5957" w:rsidRPr="009F74EC" w:rsidRDefault="005A5957" w:rsidP="00C30F9D">
            <w:pPr>
              <w:keepNext/>
              <w:jc w:val="left"/>
              <w:rPr>
                <w:sz w:val="16"/>
              </w:rPr>
            </w:pPr>
          </w:p>
        </w:tc>
        <w:tc>
          <w:tcPr>
            <w:tcW w:w="2694" w:type="dxa"/>
          </w:tcPr>
          <w:p w14:paraId="29173359" w14:textId="77777777" w:rsidR="005A5957" w:rsidRPr="009F74EC" w:rsidRDefault="005A5957" w:rsidP="00C30F9D">
            <w:pPr>
              <w:keepNext/>
              <w:jc w:val="left"/>
              <w:rPr>
                <w:sz w:val="16"/>
              </w:rPr>
            </w:pPr>
            <w:r w:rsidRPr="009F74EC">
              <w:rPr>
                <w:sz w:val="16"/>
              </w:rPr>
              <w:t>Presentaciones y debates sobre la salvaguarda de la soberanía alimentaria, los derechos de los agricultores y los sistemas de semillas gestionados por los agricultores en África meridional y oriental.</w:t>
            </w:r>
          </w:p>
        </w:tc>
        <w:tc>
          <w:tcPr>
            <w:tcW w:w="1984" w:type="dxa"/>
          </w:tcPr>
          <w:p w14:paraId="7A19AD94" w14:textId="77777777" w:rsidR="005A5957" w:rsidRPr="009F74EC" w:rsidRDefault="005A5957" w:rsidP="00C30F9D">
            <w:pPr>
              <w:keepNext/>
              <w:jc w:val="left"/>
              <w:rPr>
                <w:sz w:val="16"/>
              </w:rPr>
            </w:pPr>
            <w:r w:rsidRPr="009F74EC">
              <w:rPr>
                <w:sz w:val="16"/>
              </w:rPr>
              <w:t>Canadá - 1</w:t>
            </w:r>
          </w:p>
          <w:p w14:paraId="4624F536" w14:textId="77777777" w:rsidR="005A5957" w:rsidRPr="009F74EC" w:rsidRDefault="005A5957" w:rsidP="00C30F9D">
            <w:pPr>
              <w:keepNext/>
              <w:jc w:val="left"/>
              <w:rPr>
                <w:sz w:val="16"/>
              </w:rPr>
            </w:pPr>
            <w:proofErr w:type="spellStart"/>
            <w:r w:rsidRPr="009F74EC">
              <w:rPr>
                <w:sz w:val="16"/>
              </w:rPr>
              <w:t>Kenya</w:t>
            </w:r>
            <w:proofErr w:type="spellEnd"/>
            <w:r w:rsidRPr="009F74EC">
              <w:rPr>
                <w:sz w:val="16"/>
              </w:rPr>
              <w:t xml:space="preserve"> - 3</w:t>
            </w:r>
          </w:p>
          <w:p w14:paraId="12DFE892" w14:textId="742A0C8F" w:rsidR="005A5957" w:rsidRPr="009F74EC" w:rsidRDefault="005A5957" w:rsidP="00C30F9D">
            <w:pPr>
              <w:keepNext/>
              <w:jc w:val="left"/>
              <w:rPr>
                <w:sz w:val="16"/>
              </w:rPr>
            </w:pPr>
            <w:r w:rsidRPr="009F74EC">
              <w:rPr>
                <w:sz w:val="16"/>
              </w:rPr>
              <w:t>Mala</w:t>
            </w:r>
            <w:r w:rsidR="00D97BF8">
              <w:rPr>
                <w:sz w:val="16"/>
              </w:rPr>
              <w:t>w</w:t>
            </w:r>
            <w:r w:rsidRPr="009F74EC">
              <w:rPr>
                <w:sz w:val="16"/>
              </w:rPr>
              <w:t>i - 4</w:t>
            </w:r>
          </w:p>
          <w:p w14:paraId="32E9D53F" w14:textId="77777777" w:rsidR="005A5957" w:rsidRPr="009F74EC" w:rsidRDefault="005A5957" w:rsidP="00C30F9D">
            <w:pPr>
              <w:keepNext/>
              <w:jc w:val="left"/>
              <w:rPr>
                <w:sz w:val="16"/>
              </w:rPr>
            </w:pPr>
            <w:r w:rsidRPr="009F74EC">
              <w:rPr>
                <w:sz w:val="16"/>
              </w:rPr>
              <w:t>Mozambique - 3</w:t>
            </w:r>
          </w:p>
          <w:p w14:paraId="4FA6B22B" w14:textId="77777777" w:rsidR="005A5957" w:rsidRPr="009F74EC" w:rsidRDefault="005A5957" w:rsidP="00C30F9D">
            <w:pPr>
              <w:keepNext/>
              <w:jc w:val="left"/>
              <w:rPr>
                <w:sz w:val="16"/>
              </w:rPr>
            </w:pPr>
            <w:r w:rsidRPr="009F74EC">
              <w:rPr>
                <w:sz w:val="16"/>
              </w:rPr>
              <w:t>Namibia - 3</w:t>
            </w:r>
          </w:p>
          <w:p w14:paraId="490E051F" w14:textId="77777777" w:rsidR="005A5957" w:rsidRPr="009F74EC" w:rsidRDefault="005A5957" w:rsidP="00C30F9D">
            <w:pPr>
              <w:keepNext/>
              <w:jc w:val="left"/>
              <w:rPr>
                <w:sz w:val="16"/>
              </w:rPr>
            </w:pPr>
            <w:r w:rsidRPr="009F74EC">
              <w:rPr>
                <w:sz w:val="16"/>
              </w:rPr>
              <w:t>Senegal - 1</w:t>
            </w:r>
          </w:p>
          <w:p w14:paraId="39E74683" w14:textId="77777777" w:rsidR="005A5957" w:rsidRPr="009F74EC" w:rsidRDefault="005A5957" w:rsidP="00C30F9D">
            <w:pPr>
              <w:keepNext/>
              <w:jc w:val="left"/>
              <w:rPr>
                <w:sz w:val="16"/>
              </w:rPr>
            </w:pPr>
            <w:r w:rsidRPr="009F74EC">
              <w:rPr>
                <w:sz w:val="16"/>
              </w:rPr>
              <w:t>Sudáfrica - 5</w:t>
            </w:r>
          </w:p>
          <w:p w14:paraId="7888D7AB" w14:textId="77777777" w:rsidR="005A5957" w:rsidRPr="009F74EC" w:rsidRDefault="005A5957" w:rsidP="00C30F9D">
            <w:pPr>
              <w:keepNext/>
              <w:jc w:val="left"/>
              <w:rPr>
                <w:sz w:val="16"/>
              </w:rPr>
            </w:pPr>
            <w:r w:rsidRPr="009F74EC">
              <w:rPr>
                <w:sz w:val="16"/>
              </w:rPr>
              <w:t>Uganda - 3</w:t>
            </w:r>
          </w:p>
          <w:p w14:paraId="34C6B149" w14:textId="77777777" w:rsidR="005A5957" w:rsidRPr="009F74EC" w:rsidRDefault="005A5957" w:rsidP="00C30F9D">
            <w:pPr>
              <w:keepNext/>
              <w:jc w:val="left"/>
              <w:rPr>
                <w:sz w:val="16"/>
              </w:rPr>
            </w:pPr>
            <w:r w:rsidRPr="009F74EC">
              <w:rPr>
                <w:sz w:val="16"/>
              </w:rPr>
              <w:t>Reino Unido - 2</w:t>
            </w:r>
          </w:p>
          <w:p w14:paraId="458C023B" w14:textId="77777777" w:rsidR="005A5957" w:rsidRPr="009F74EC" w:rsidRDefault="005A5957" w:rsidP="00C30F9D">
            <w:pPr>
              <w:keepNext/>
              <w:jc w:val="left"/>
              <w:rPr>
                <w:sz w:val="16"/>
              </w:rPr>
            </w:pPr>
            <w:r w:rsidRPr="009F74EC">
              <w:rPr>
                <w:sz w:val="16"/>
              </w:rPr>
              <w:t xml:space="preserve">República Unida de </w:t>
            </w:r>
            <w:proofErr w:type="spellStart"/>
            <w:r w:rsidRPr="009F74EC">
              <w:rPr>
                <w:sz w:val="16"/>
              </w:rPr>
              <w:t>Tanzanía</w:t>
            </w:r>
            <w:proofErr w:type="spellEnd"/>
            <w:r w:rsidRPr="009F74EC">
              <w:rPr>
                <w:sz w:val="16"/>
              </w:rPr>
              <w:t xml:space="preserve"> - 3</w:t>
            </w:r>
          </w:p>
          <w:p w14:paraId="273E5A91" w14:textId="77777777" w:rsidR="005A5957" w:rsidRPr="009F74EC" w:rsidRDefault="005A5957" w:rsidP="00C30F9D">
            <w:pPr>
              <w:keepNext/>
              <w:jc w:val="left"/>
              <w:rPr>
                <w:sz w:val="16"/>
              </w:rPr>
            </w:pPr>
            <w:r w:rsidRPr="009F74EC">
              <w:rPr>
                <w:sz w:val="16"/>
              </w:rPr>
              <w:t>Zambia - 3</w:t>
            </w:r>
          </w:p>
          <w:p w14:paraId="1E252AF2" w14:textId="472127FB" w:rsidR="005A5957" w:rsidRPr="009F74EC" w:rsidRDefault="005A5957" w:rsidP="00C30F9D">
            <w:pPr>
              <w:keepNext/>
              <w:jc w:val="left"/>
              <w:rPr>
                <w:sz w:val="16"/>
              </w:rPr>
            </w:pPr>
            <w:proofErr w:type="spellStart"/>
            <w:r w:rsidRPr="009F74EC">
              <w:rPr>
                <w:sz w:val="16"/>
              </w:rPr>
              <w:t>Zimbab</w:t>
            </w:r>
            <w:r w:rsidR="00D97BF8">
              <w:rPr>
                <w:sz w:val="16"/>
              </w:rPr>
              <w:t>w</w:t>
            </w:r>
            <w:r w:rsidRPr="009F74EC">
              <w:rPr>
                <w:sz w:val="16"/>
              </w:rPr>
              <w:t>e</w:t>
            </w:r>
            <w:proofErr w:type="spellEnd"/>
            <w:r w:rsidRPr="009F74EC">
              <w:rPr>
                <w:sz w:val="16"/>
              </w:rPr>
              <w:t xml:space="preserve"> - 5</w:t>
            </w:r>
          </w:p>
        </w:tc>
      </w:tr>
      <w:tr w:rsidR="005A5957" w:rsidRPr="009F74EC" w14:paraId="6BF8ABAC" w14:textId="77777777" w:rsidTr="00D97BF8">
        <w:tc>
          <w:tcPr>
            <w:tcW w:w="2122" w:type="dxa"/>
          </w:tcPr>
          <w:p w14:paraId="316C26C0" w14:textId="77777777" w:rsidR="005A5957" w:rsidRPr="009F74EC" w:rsidRDefault="005A5957" w:rsidP="00C30F9D">
            <w:pPr>
              <w:jc w:val="left"/>
              <w:rPr>
                <w:sz w:val="16"/>
                <w:szCs w:val="16"/>
              </w:rPr>
            </w:pPr>
            <w:r w:rsidRPr="009F74EC">
              <w:rPr>
                <w:sz w:val="16"/>
                <w:szCs w:val="16"/>
              </w:rPr>
              <w:t>4. Congreso de la Federación Internacional de Semillas</w:t>
            </w:r>
          </w:p>
        </w:tc>
        <w:tc>
          <w:tcPr>
            <w:tcW w:w="993" w:type="dxa"/>
          </w:tcPr>
          <w:p w14:paraId="1D177190" w14:textId="77777777" w:rsidR="005A5957" w:rsidRPr="009F74EC" w:rsidRDefault="005A5957" w:rsidP="00C30F9D">
            <w:pPr>
              <w:keepNext/>
              <w:jc w:val="left"/>
              <w:rPr>
                <w:sz w:val="16"/>
              </w:rPr>
            </w:pPr>
            <w:r w:rsidRPr="009F74EC">
              <w:rPr>
                <w:sz w:val="16"/>
              </w:rPr>
              <w:t>5-8 de junio de 2023</w:t>
            </w:r>
          </w:p>
        </w:tc>
        <w:tc>
          <w:tcPr>
            <w:tcW w:w="992" w:type="dxa"/>
          </w:tcPr>
          <w:p w14:paraId="276C64AD" w14:textId="77777777" w:rsidR="005A5957" w:rsidRPr="009F74EC" w:rsidRDefault="005A5957" w:rsidP="00C30F9D">
            <w:pPr>
              <w:keepNext/>
              <w:jc w:val="left"/>
              <w:rPr>
                <w:sz w:val="16"/>
              </w:rPr>
            </w:pPr>
            <w:r w:rsidRPr="009F74EC">
              <w:rPr>
                <w:sz w:val="16"/>
              </w:rPr>
              <w:t>Ciudad del Cabo, Sudáfrica</w:t>
            </w:r>
          </w:p>
        </w:tc>
        <w:tc>
          <w:tcPr>
            <w:tcW w:w="1275" w:type="dxa"/>
          </w:tcPr>
          <w:p w14:paraId="045EFFA4" w14:textId="77777777" w:rsidR="005A5957" w:rsidRPr="009F74EC" w:rsidRDefault="005A5957" w:rsidP="00C30F9D">
            <w:pPr>
              <w:keepNext/>
              <w:jc w:val="left"/>
              <w:rPr>
                <w:sz w:val="16"/>
              </w:rPr>
            </w:pPr>
            <w:r w:rsidRPr="009F74EC">
              <w:rPr>
                <w:sz w:val="16"/>
              </w:rPr>
              <w:t xml:space="preserve">Federación Internacional de Semillas &amp; </w:t>
            </w:r>
          </w:p>
          <w:p w14:paraId="4B81F24C" w14:textId="77777777" w:rsidR="005A5957" w:rsidRPr="009F74EC" w:rsidRDefault="005A5957" w:rsidP="00C30F9D">
            <w:pPr>
              <w:keepNext/>
              <w:jc w:val="left"/>
              <w:rPr>
                <w:sz w:val="16"/>
              </w:rPr>
            </w:pPr>
            <w:r w:rsidRPr="009F74EC">
              <w:rPr>
                <w:sz w:val="16"/>
              </w:rPr>
              <w:t>SANSOR</w:t>
            </w:r>
          </w:p>
        </w:tc>
        <w:tc>
          <w:tcPr>
            <w:tcW w:w="2694" w:type="dxa"/>
          </w:tcPr>
          <w:p w14:paraId="53391E88" w14:textId="77777777" w:rsidR="005A5957" w:rsidRPr="009F74EC" w:rsidRDefault="005A5957" w:rsidP="00C30F9D">
            <w:pPr>
              <w:keepNext/>
              <w:jc w:val="left"/>
              <w:rPr>
                <w:sz w:val="16"/>
              </w:rPr>
            </w:pPr>
            <w:r w:rsidRPr="009F74EC">
              <w:rPr>
                <w:sz w:val="16"/>
              </w:rPr>
              <w:t>Bilateral con la Autoridad de Protección de las Obtenciones Vegetales de Japón sobre el Sistema de Protección de las Obtenciones Vegetales SA</w:t>
            </w:r>
          </w:p>
        </w:tc>
        <w:tc>
          <w:tcPr>
            <w:tcW w:w="1984" w:type="dxa"/>
          </w:tcPr>
          <w:p w14:paraId="515527D7" w14:textId="77777777" w:rsidR="005A5957" w:rsidRPr="009F74EC" w:rsidRDefault="005A5957" w:rsidP="00C30F9D">
            <w:pPr>
              <w:keepNext/>
              <w:jc w:val="left"/>
              <w:rPr>
                <w:sz w:val="16"/>
              </w:rPr>
            </w:pPr>
            <w:r w:rsidRPr="009F74EC">
              <w:rPr>
                <w:sz w:val="16"/>
              </w:rPr>
              <w:t>Japón - 1</w:t>
            </w:r>
          </w:p>
          <w:p w14:paraId="4AE6342D" w14:textId="77777777" w:rsidR="005A5957" w:rsidRPr="009F74EC" w:rsidRDefault="005A5957" w:rsidP="00C30F9D">
            <w:pPr>
              <w:keepNext/>
              <w:jc w:val="left"/>
              <w:rPr>
                <w:sz w:val="16"/>
              </w:rPr>
            </w:pPr>
            <w:r w:rsidRPr="009F74EC">
              <w:rPr>
                <w:sz w:val="16"/>
              </w:rPr>
              <w:t>Autoridad PVP de Sudáfrica - 6</w:t>
            </w:r>
          </w:p>
          <w:p w14:paraId="7C6C90B7" w14:textId="77777777" w:rsidR="005A5957" w:rsidRPr="009F74EC" w:rsidRDefault="005A5957" w:rsidP="00C30F9D">
            <w:pPr>
              <w:keepNext/>
              <w:jc w:val="left"/>
              <w:rPr>
                <w:sz w:val="16"/>
              </w:rPr>
            </w:pPr>
            <w:r w:rsidRPr="009F74EC">
              <w:rPr>
                <w:sz w:val="16"/>
              </w:rPr>
              <w:t>DALRRD Sección de Relaciones Internacionales - 2</w:t>
            </w:r>
          </w:p>
        </w:tc>
      </w:tr>
    </w:tbl>
    <w:p w14:paraId="3DDED49A" w14:textId="77777777" w:rsidR="005A5957" w:rsidRPr="009F74EC" w:rsidRDefault="005A5957" w:rsidP="005A5957"/>
    <w:p w14:paraId="288F002C" w14:textId="77777777" w:rsidR="005A5957" w:rsidRPr="009F74EC" w:rsidRDefault="005A5957" w:rsidP="005A5957"/>
    <w:p w14:paraId="110664DD" w14:textId="77777777" w:rsidR="005A5957" w:rsidRPr="009F74EC" w:rsidRDefault="005A5957" w:rsidP="005A5957">
      <w:r w:rsidRPr="009F74EC">
        <w:t>II.</w:t>
      </w:r>
      <w:r w:rsidRPr="009F74EC">
        <w:tab/>
        <w:t>OTROS ACONTECIMIENTOS DE INTERÉS PARA LA UPOV</w:t>
      </w:r>
    </w:p>
    <w:p w14:paraId="3D5833B3" w14:textId="77777777" w:rsidR="005A5957" w:rsidRPr="009F74EC" w:rsidRDefault="005A5957" w:rsidP="005A5957"/>
    <w:p w14:paraId="7BC42374" w14:textId="77777777" w:rsidR="005A5957" w:rsidRPr="009F74EC" w:rsidRDefault="005A5957" w:rsidP="005A5957">
      <w:r w:rsidRPr="009F74EC">
        <w:t>No hay novedades.</w:t>
      </w:r>
    </w:p>
    <w:p w14:paraId="2E9119A5" w14:textId="77777777" w:rsidR="005A5957" w:rsidRPr="009F74EC" w:rsidRDefault="005A5957" w:rsidP="005A5957">
      <w:pPr>
        <w:rPr>
          <w:iCs/>
        </w:rPr>
      </w:pPr>
    </w:p>
    <w:p w14:paraId="0F919634" w14:textId="77777777" w:rsidR="005A5957" w:rsidRPr="009F74EC" w:rsidRDefault="005A5957" w:rsidP="005A5957">
      <w:pPr>
        <w:rPr>
          <w:iCs/>
        </w:rPr>
      </w:pPr>
    </w:p>
    <w:p w14:paraId="5F3BF266" w14:textId="77777777" w:rsidR="005A5957" w:rsidRPr="009F74EC" w:rsidRDefault="005A5957" w:rsidP="005A5957">
      <w:pPr>
        <w:rPr>
          <w:iCs/>
        </w:rPr>
      </w:pPr>
    </w:p>
    <w:p w14:paraId="19CF2506" w14:textId="77777777" w:rsidR="005A5957" w:rsidRPr="009F74EC" w:rsidRDefault="005A5957" w:rsidP="005A5957">
      <w:pPr>
        <w:jc w:val="right"/>
      </w:pPr>
      <w:r w:rsidRPr="009F74EC">
        <w:t>[Sigue el Anexo II]</w:t>
      </w:r>
    </w:p>
    <w:p w14:paraId="3ACC1539" w14:textId="77777777" w:rsidR="005A5957" w:rsidRPr="009F74EC" w:rsidRDefault="005A5957" w:rsidP="005A5957">
      <w:pPr>
        <w:sectPr w:rsidR="005A5957" w:rsidRPr="009F74EC" w:rsidSect="000B2CE0">
          <w:headerReference w:type="default" r:id="rId10"/>
          <w:pgSz w:w="11907" w:h="16840" w:code="9"/>
          <w:pgMar w:top="510" w:right="1134" w:bottom="568" w:left="1134" w:header="510" w:footer="680" w:gutter="0"/>
          <w:pgNumType w:start="1"/>
          <w:cols w:space="720"/>
          <w:titlePg/>
        </w:sectPr>
      </w:pPr>
    </w:p>
    <w:p w14:paraId="4256EE78" w14:textId="77777777" w:rsidR="005A5957" w:rsidRPr="009F74EC" w:rsidRDefault="005A5957" w:rsidP="005A5957">
      <w:pPr>
        <w:jc w:val="center"/>
      </w:pPr>
      <w:r w:rsidRPr="009F74EC">
        <w:lastRenderedPageBreak/>
        <w:t>C/57/13</w:t>
      </w:r>
    </w:p>
    <w:p w14:paraId="1C07455E" w14:textId="77777777" w:rsidR="005A5957" w:rsidRPr="009F74EC" w:rsidRDefault="005A5957" w:rsidP="005A5957">
      <w:pPr>
        <w:jc w:val="center"/>
      </w:pPr>
    </w:p>
    <w:p w14:paraId="5DFCDD78" w14:textId="77777777" w:rsidR="005A5957" w:rsidRPr="009F74EC" w:rsidRDefault="005A5957" w:rsidP="005A5957">
      <w:pPr>
        <w:jc w:val="center"/>
      </w:pPr>
      <w:r w:rsidRPr="009F74EC">
        <w:t>ANEXO II</w:t>
      </w:r>
    </w:p>
    <w:p w14:paraId="48C938E2" w14:textId="77777777" w:rsidR="005A5957" w:rsidRPr="009F74EC" w:rsidRDefault="005A5957" w:rsidP="005A5957">
      <w:pPr>
        <w:jc w:val="center"/>
      </w:pPr>
    </w:p>
    <w:p w14:paraId="6A980C57" w14:textId="77777777" w:rsidR="005A5957" w:rsidRPr="009F74EC" w:rsidRDefault="005A5957" w:rsidP="005A5957">
      <w:pPr>
        <w:jc w:val="center"/>
      </w:pPr>
    </w:p>
    <w:p w14:paraId="661E686E" w14:textId="77777777" w:rsidR="005A5957" w:rsidRPr="009F74EC" w:rsidRDefault="005A5957" w:rsidP="005A5957">
      <w:pPr>
        <w:jc w:val="center"/>
      </w:pPr>
      <w:r w:rsidRPr="009F74EC">
        <w:t>ALEMANIA</w:t>
      </w:r>
    </w:p>
    <w:p w14:paraId="37992358" w14:textId="24BFF59B" w:rsidR="005A5957" w:rsidRPr="009F74EC" w:rsidRDefault="005A5957" w:rsidP="005A5957">
      <w:pPr>
        <w:jc w:val="center"/>
      </w:pPr>
      <w:r w:rsidRPr="009F74EC">
        <w:t>(</w:t>
      </w:r>
      <w:r w:rsidR="00F5571D" w:rsidRPr="009F74EC">
        <w:t>Idioma</w:t>
      </w:r>
      <w:r w:rsidRPr="009F74EC">
        <w:t xml:space="preserve"> original: alemán)</w:t>
      </w:r>
    </w:p>
    <w:p w14:paraId="08EDC994" w14:textId="77777777" w:rsidR="005A5957" w:rsidRPr="009F74EC" w:rsidRDefault="005A5957" w:rsidP="005A5957"/>
    <w:p w14:paraId="729B3376" w14:textId="77777777" w:rsidR="00F5571D" w:rsidRPr="009F74EC" w:rsidRDefault="00F5571D" w:rsidP="00F5571D">
      <w:pPr>
        <w:pStyle w:val="Disclaimer"/>
        <w:spacing w:after="360"/>
        <w:jc w:val="center"/>
        <w:rPr>
          <w:sz w:val="18"/>
          <w:szCs w:val="18"/>
        </w:rPr>
      </w:pPr>
      <w:r w:rsidRPr="009F74EC">
        <w:rPr>
          <w:sz w:val="18"/>
          <w:szCs w:val="18"/>
        </w:rPr>
        <w:t xml:space="preserve">Esta traducción se ha generado mediante traducción automática y no puede garantizarse su exactitud. </w:t>
      </w:r>
      <w:r w:rsidRPr="009F74EC">
        <w:rPr>
          <w:sz w:val="18"/>
          <w:szCs w:val="18"/>
        </w:rPr>
        <w:br/>
        <w:t>Por lo tanto, el texto en el idioma original es la única versión auténtica.</w:t>
      </w:r>
    </w:p>
    <w:p w14:paraId="2B99CB8F" w14:textId="77777777" w:rsidR="00F11A21" w:rsidRDefault="00F11A21" w:rsidP="00F11A21">
      <w:pPr>
        <w:spacing w:after="120"/>
        <w:rPr>
          <w:u w:val="single"/>
        </w:rPr>
      </w:pPr>
      <w:r w:rsidRPr="00B304E0">
        <w:rPr>
          <w:u w:val="single"/>
        </w:rPr>
        <w:t>Actividades de fomento de la protección de las obtenciones vegetales</w:t>
      </w:r>
    </w:p>
    <w:tbl>
      <w:tblPr>
        <w:tblStyle w:val="TableNormal1"/>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552"/>
        <w:gridCol w:w="724"/>
        <w:gridCol w:w="835"/>
        <w:gridCol w:w="1843"/>
        <w:gridCol w:w="3685"/>
        <w:gridCol w:w="2835"/>
        <w:gridCol w:w="2835"/>
      </w:tblGrid>
      <w:tr w:rsidR="00F11A21" w:rsidRPr="005173E1" w14:paraId="618D60FB" w14:textId="77777777" w:rsidTr="00F11A21">
        <w:trPr>
          <w:cantSplit/>
          <w:tblHeader/>
        </w:trPr>
        <w:tc>
          <w:tcPr>
            <w:tcW w:w="2552" w:type="dxa"/>
          </w:tcPr>
          <w:p w14:paraId="45476D68" w14:textId="77777777" w:rsidR="00F11A21" w:rsidRDefault="00F11A21" w:rsidP="00C30F9D">
            <w:pPr>
              <w:jc w:val="left"/>
              <w:rPr>
                <w:rFonts w:cs="Arial"/>
                <w:sz w:val="16"/>
                <w:szCs w:val="16"/>
              </w:rPr>
            </w:pPr>
            <w:r w:rsidRPr="005933F6">
              <w:rPr>
                <w:rFonts w:cs="Arial"/>
                <w:sz w:val="16"/>
                <w:szCs w:val="16"/>
              </w:rPr>
              <w:t>Tipo de actividad</w:t>
            </w:r>
          </w:p>
        </w:tc>
        <w:tc>
          <w:tcPr>
            <w:tcW w:w="724" w:type="dxa"/>
          </w:tcPr>
          <w:p w14:paraId="603CF596" w14:textId="77777777" w:rsidR="00F11A21" w:rsidRDefault="00F11A21" w:rsidP="00C30F9D">
            <w:pPr>
              <w:jc w:val="left"/>
              <w:rPr>
                <w:rFonts w:cs="Arial"/>
                <w:sz w:val="16"/>
                <w:szCs w:val="16"/>
              </w:rPr>
            </w:pPr>
            <w:r w:rsidRPr="005933F6">
              <w:rPr>
                <w:rFonts w:cs="Arial"/>
                <w:sz w:val="16"/>
                <w:szCs w:val="16"/>
              </w:rPr>
              <w:t>Fecha</w:t>
            </w:r>
          </w:p>
        </w:tc>
        <w:tc>
          <w:tcPr>
            <w:tcW w:w="835" w:type="dxa"/>
          </w:tcPr>
          <w:p w14:paraId="1DA66E49" w14:textId="77777777" w:rsidR="00F11A21" w:rsidRDefault="00F11A21" w:rsidP="00C30F9D">
            <w:pPr>
              <w:jc w:val="left"/>
              <w:rPr>
                <w:rFonts w:cs="Arial"/>
                <w:sz w:val="16"/>
                <w:szCs w:val="16"/>
              </w:rPr>
            </w:pPr>
            <w:r w:rsidRPr="005933F6">
              <w:rPr>
                <w:rFonts w:cs="Arial"/>
                <w:sz w:val="16"/>
                <w:szCs w:val="16"/>
              </w:rPr>
              <w:t>Ubicación</w:t>
            </w:r>
          </w:p>
        </w:tc>
        <w:tc>
          <w:tcPr>
            <w:tcW w:w="1843" w:type="dxa"/>
          </w:tcPr>
          <w:p w14:paraId="14E1A47D" w14:textId="77777777" w:rsidR="00F11A21" w:rsidRDefault="00F11A21" w:rsidP="00C30F9D">
            <w:pPr>
              <w:jc w:val="left"/>
              <w:rPr>
                <w:rFonts w:cs="Arial"/>
                <w:sz w:val="16"/>
                <w:szCs w:val="16"/>
              </w:rPr>
            </w:pPr>
            <w:r w:rsidRPr="005933F6">
              <w:rPr>
                <w:rFonts w:cs="Arial"/>
                <w:sz w:val="16"/>
                <w:szCs w:val="16"/>
              </w:rPr>
              <w:t>Organizador(es)</w:t>
            </w:r>
          </w:p>
        </w:tc>
        <w:tc>
          <w:tcPr>
            <w:tcW w:w="3685" w:type="dxa"/>
          </w:tcPr>
          <w:p w14:paraId="2F700B34" w14:textId="77777777" w:rsidR="00F11A21" w:rsidRDefault="00F11A21" w:rsidP="00C30F9D">
            <w:pPr>
              <w:jc w:val="left"/>
              <w:rPr>
                <w:rFonts w:cs="Arial"/>
                <w:sz w:val="16"/>
                <w:szCs w:val="16"/>
              </w:rPr>
            </w:pPr>
            <w:r w:rsidRPr="005933F6">
              <w:rPr>
                <w:rFonts w:cs="Arial"/>
                <w:sz w:val="16"/>
                <w:szCs w:val="16"/>
              </w:rPr>
              <w:t>Objetivo de la actividad</w:t>
            </w:r>
          </w:p>
        </w:tc>
        <w:tc>
          <w:tcPr>
            <w:tcW w:w="2835" w:type="dxa"/>
          </w:tcPr>
          <w:p w14:paraId="786AA1C7" w14:textId="77777777" w:rsidR="00F11A21" w:rsidRDefault="00F11A21" w:rsidP="00C30F9D">
            <w:pPr>
              <w:jc w:val="left"/>
              <w:rPr>
                <w:rFonts w:cs="Arial"/>
                <w:sz w:val="16"/>
                <w:szCs w:val="16"/>
              </w:rPr>
            </w:pPr>
            <w:r w:rsidRPr="005933F6">
              <w:rPr>
                <w:rFonts w:cs="Arial"/>
                <w:sz w:val="16"/>
                <w:szCs w:val="16"/>
              </w:rPr>
              <w:t>Estados/organizaciones participantes</w:t>
            </w:r>
          </w:p>
          <w:p w14:paraId="2DCD51F8" w14:textId="77777777" w:rsidR="00F11A21" w:rsidRDefault="00F11A21" w:rsidP="00C30F9D">
            <w:pPr>
              <w:jc w:val="left"/>
              <w:rPr>
                <w:rFonts w:cs="Arial"/>
                <w:sz w:val="16"/>
                <w:szCs w:val="16"/>
              </w:rPr>
            </w:pPr>
            <w:r w:rsidRPr="005933F6">
              <w:rPr>
                <w:rFonts w:cs="Arial"/>
                <w:sz w:val="16"/>
                <w:szCs w:val="16"/>
              </w:rPr>
              <w:t xml:space="preserve">(Número de participantes por </w:t>
            </w:r>
            <w:r>
              <w:rPr>
                <w:rFonts w:cs="Arial"/>
                <w:sz w:val="16"/>
                <w:szCs w:val="16"/>
              </w:rPr>
              <w:br/>
            </w:r>
            <w:r w:rsidRPr="005933F6">
              <w:rPr>
                <w:rFonts w:cs="Arial"/>
                <w:sz w:val="16"/>
                <w:szCs w:val="16"/>
              </w:rPr>
              <w:t>Estado/Organización)</w:t>
            </w:r>
          </w:p>
        </w:tc>
        <w:tc>
          <w:tcPr>
            <w:tcW w:w="2835" w:type="dxa"/>
          </w:tcPr>
          <w:p w14:paraId="38CE688B" w14:textId="77777777" w:rsidR="00F11A21" w:rsidRDefault="00F11A21" w:rsidP="00C30F9D">
            <w:pPr>
              <w:jc w:val="left"/>
              <w:rPr>
                <w:rFonts w:cs="Arial"/>
                <w:sz w:val="16"/>
                <w:szCs w:val="16"/>
              </w:rPr>
            </w:pPr>
            <w:r w:rsidRPr="005933F6">
              <w:rPr>
                <w:rFonts w:cs="Arial"/>
                <w:sz w:val="16"/>
                <w:szCs w:val="16"/>
              </w:rPr>
              <w:t>Comentarios</w:t>
            </w:r>
          </w:p>
        </w:tc>
      </w:tr>
      <w:tr w:rsidR="00F11A21" w:rsidRPr="007B51C1" w14:paraId="59D91896" w14:textId="77777777" w:rsidTr="00F11A21">
        <w:trPr>
          <w:cantSplit/>
        </w:trPr>
        <w:tc>
          <w:tcPr>
            <w:tcW w:w="2552" w:type="dxa"/>
          </w:tcPr>
          <w:p w14:paraId="07CE57C7" w14:textId="77777777" w:rsidR="00F11A21" w:rsidRDefault="00F11A21" w:rsidP="00C30F9D">
            <w:pPr>
              <w:jc w:val="left"/>
              <w:rPr>
                <w:rFonts w:cs="Arial"/>
                <w:sz w:val="16"/>
                <w:szCs w:val="16"/>
              </w:rPr>
            </w:pPr>
            <w:r w:rsidRPr="005933F6">
              <w:rPr>
                <w:rFonts w:cs="Arial"/>
                <w:sz w:val="16"/>
                <w:szCs w:val="16"/>
              </w:rPr>
              <w:t>Seminario sobre la realización de ensayos de variedades (DHE) en manzano y peral</w:t>
            </w:r>
          </w:p>
        </w:tc>
        <w:tc>
          <w:tcPr>
            <w:tcW w:w="724" w:type="dxa"/>
          </w:tcPr>
          <w:p w14:paraId="120A1190" w14:textId="77777777" w:rsidR="00F11A21" w:rsidRDefault="00F11A21" w:rsidP="00C30F9D">
            <w:pPr>
              <w:jc w:val="left"/>
              <w:rPr>
                <w:rFonts w:cs="Arial"/>
                <w:sz w:val="16"/>
                <w:szCs w:val="16"/>
              </w:rPr>
            </w:pPr>
            <w:r w:rsidRPr="005933F6">
              <w:rPr>
                <w:rFonts w:cs="Arial"/>
                <w:sz w:val="16"/>
                <w:szCs w:val="16"/>
              </w:rPr>
              <w:t>09/2022</w:t>
            </w:r>
          </w:p>
        </w:tc>
        <w:tc>
          <w:tcPr>
            <w:tcW w:w="835" w:type="dxa"/>
          </w:tcPr>
          <w:p w14:paraId="2750717E" w14:textId="77777777" w:rsidR="00F11A21" w:rsidRDefault="00F11A21" w:rsidP="00C30F9D">
            <w:pPr>
              <w:jc w:val="left"/>
              <w:rPr>
                <w:rFonts w:cs="Arial"/>
                <w:sz w:val="16"/>
                <w:szCs w:val="16"/>
              </w:rPr>
            </w:pPr>
            <w:r w:rsidRPr="005933F6">
              <w:rPr>
                <w:rFonts w:cs="Arial"/>
                <w:sz w:val="16"/>
                <w:szCs w:val="16"/>
              </w:rPr>
              <w:t>En línea</w:t>
            </w:r>
          </w:p>
        </w:tc>
        <w:tc>
          <w:tcPr>
            <w:tcW w:w="1843" w:type="dxa"/>
            <w:vMerge w:val="restart"/>
          </w:tcPr>
          <w:p w14:paraId="541EC0BE" w14:textId="77777777" w:rsidR="00F11A21" w:rsidRDefault="00F11A21" w:rsidP="00C30F9D">
            <w:pPr>
              <w:jc w:val="left"/>
              <w:rPr>
                <w:rFonts w:cs="Arial"/>
                <w:sz w:val="16"/>
                <w:szCs w:val="16"/>
              </w:rPr>
            </w:pPr>
            <w:r w:rsidRPr="005933F6">
              <w:rPr>
                <w:rFonts w:cs="Arial"/>
                <w:sz w:val="16"/>
                <w:szCs w:val="16"/>
              </w:rPr>
              <w:t>Ministerio Federal de Alimentación y Agricultura (BMEL)</w:t>
            </w:r>
          </w:p>
          <w:p w14:paraId="3AD52E49" w14:textId="77777777" w:rsidR="00F11A21" w:rsidRPr="005933F6" w:rsidRDefault="00F11A21" w:rsidP="00C30F9D">
            <w:pPr>
              <w:jc w:val="left"/>
              <w:rPr>
                <w:rFonts w:cs="Arial"/>
                <w:sz w:val="16"/>
                <w:szCs w:val="16"/>
              </w:rPr>
            </w:pPr>
          </w:p>
          <w:p w14:paraId="1F5D8AA0" w14:textId="77777777" w:rsidR="00F11A21" w:rsidRDefault="00F11A21" w:rsidP="00C30F9D">
            <w:pPr>
              <w:jc w:val="left"/>
              <w:rPr>
                <w:rFonts w:cs="Arial"/>
                <w:sz w:val="16"/>
                <w:szCs w:val="16"/>
              </w:rPr>
            </w:pPr>
            <w:r w:rsidRPr="005933F6">
              <w:rPr>
                <w:rFonts w:cs="Arial"/>
                <w:sz w:val="16"/>
                <w:szCs w:val="16"/>
              </w:rPr>
              <w:t>Consultoría ADT</w:t>
            </w:r>
          </w:p>
          <w:p w14:paraId="629BE960" w14:textId="77777777" w:rsidR="00F11A21" w:rsidRPr="005933F6" w:rsidRDefault="00F11A21" w:rsidP="00C30F9D">
            <w:pPr>
              <w:jc w:val="left"/>
              <w:rPr>
                <w:rFonts w:cs="Arial"/>
                <w:sz w:val="16"/>
                <w:szCs w:val="16"/>
              </w:rPr>
            </w:pPr>
          </w:p>
          <w:p w14:paraId="1254EC22" w14:textId="77777777" w:rsidR="00F11A21" w:rsidRDefault="00F11A21" w:rsidP="00C30F9D">
            <w:pPr>
              <w:jc w:val="left"/>
              <w:rPr>
                <w:rFonts w:cs="Arial"/>
                <w:sz w:val="16"/>
                <w:szCs w:val="16"/>
              </w:rPr>
            </w:pPr>
            <w:r w:rsidRPr="005933F6">
              <w:rPr>
                <w:rFonts w:cs="Arial"/>
                <w:sz w:val="16"/>
                <w:szCs w:val="16"/>
              </w:rPr>
              <w:t>Oficina Federal de Variedades Vegetales (BSA)</w:t>
            </w:r>
          </w:p>
          <w:p w14:paraId="5EF3892D" w14:textId="77777777" w:rsidR="00F11A21" w:rsidRPr="005933F6" w:rsidRDefault="00F11A21" w:rsidP="00C30F9D">
            <w:pPr>
              <w:jc w:val="left"/>
              <w:rPr>
                <w:rFonts w:cs="Arial"/>
                <w:sz w:val="16"/>
                <w:szCs w:val="16"/>
              </w:rPr>
            </w:pPr>
          </w:p>
        </w:tc>
        <w:tc>
          <w:tcPr>
            <w:tcW w:w="3685" w:type="dxa"/>
            <w:vMerge w:val="restart"/>
          </w:tcPr>
          <w:p w14:paraId="3FE25F5C" w14:textId="77777777" w:rsidR="00F11A21" w:rsidRDefault="00F11A21" w:rsidP="00C30F9D">
            <w:pPr>
              <w:jc w:val="left"/>
              <w:rPr>
                <w:rFonts w:cs="Arial"/>
                <w:sz w:val="16"/>
                <w:szCs w:val="16"/>
              </w:rPr>
            </w:pPr>
            <w:r w:rsidRPr="005933F6">
              <w:rPr>
                <w:rFonts w:cs="Arial"/>
                <w:sz w:val="16"/>
                <w:szCs w:val="16"/>
              </w:rPr>
              <w:t>Formación sobre la realización de ensayos de variedades, la aplicación de las directrices de ensayo y la evaluación de los ensayos.</w:t>
            </w:r>
          </w:p>
        </w:tc>
        <w:tc>
          <w:tcPr>
            <w:tcW w:w="2835" w:type="dxa"/>
          </w:tcPr>
          <w:p w14:paraId="6A71285B" w14:textId="77777777" w:rsidR="00F11A21" w:rsidRDefault="00F11A21" w:rsidP="00C30F9D">
            <w:pPr>
              <w:jc w:val="left"/>
              <w:rPr>
                <w:rFonts w:cs="Arial"/>
                <w:sz w:val="16"/>
                <w:szCs w:val="16"/>
              </w:rPr>
            </w:pPr>
            <w:r w:rsidRPr="005933F6">
              <w:rPr>
                <w:rFonts w:cs="Arial"/>
                <w:sz w:val="16"/>
                <w:szCs w:val="16"/>
              </w:rPr>
              <w:t>India (~ 100 participantes)</w:t>
            </w:r>
          </w:p>
        </w:tc>
        <w:tc>
          <w:tcPr>
            <w:tcW w:w="2835" w:type="dxa"/>
            <w:vMerge w:val="restart"/>
          </w:tcPr>
          <w:p w14:paraId="12262665" w14:textId="77777777" w:rsidR="00F11A21" w:rsidRDefault="00F11A21" w:rsidP="00C30F9D">
            <w:pPr>
              <w:jc w:val="left"/>
              <w:rPr>
                <w:rFonts w:cs="Arial"/>
                <w:sz w:val="16"/>
                <w:szCs w:val="16"/>
              </w:rPr>
            </w:pPr>
            <w:r w:rsidRPr="005933F6">
              <w:rPr>
                <w:rFonts w:cs="Arial"/>
                <w:sz w:val="16"/>
                <w:szCs w:val="16"/>
              </w:rPr>
              <w:t>Proyecto de cooperación germano-india</w:t>
            </w:r>
          </w:p>
          <w:p w14:paraId="5C9BA36B" w14:textId="77777777" w:rsidR="00F11A21" w:rsidRDefault="00F11A21" w:rsidP="00C30F9D">
            <w:pPr>
              <w:jc w:val="left"/>
              <w:rPr>
                <w:rFonts w:cs="Arial"/>
                <w:sz w:val="16"/>
                <w:szCs w:val="16"/>
              </w:rPr>
            </w:pPr>
            <w:r w:rsidRPr="005933F6">
              <w:rPr>
                <w:rFonts w:cs="Arial"/>
                <w:sz w:val="16"/>
                <w:szCs w:val="16"/>
              </w:rPr>
              <w:t>(07/2019 hasta 12/2023 (prorrogado))</w:t>
            </w:r>
          </w:p>
        </w:tc>
      </w:tr>
      <w:tr w:rsidR="00F11A21" w:rsidRPr="005173E1" w14:paraId="4187661A" w14:textId="77777777" w:rsidTr="00F11A21">
        <w:trPr>
          <w:cantSplit/>
        </w:trPr>
        <w:tc>
          <w:tcPr>
            <w:tcW w:w="2552" w:type="dxa"/>
          </w:tcPr>
          <w:p w14:paraId="78910EBA" w14:textId="77777777" w:rsidR="00F11A21" w:rsidRDefault="00F11A21" w:rsidP="00C30F9D">
            <w:pPr>
              <w:jc w:val="left"/>
              <w:rPr>
                <w:rFonts w:cs="Arial"/>
                <w:sz w:val="16"/>
                <w:szCs w:val="16"/>
              </w:rPr>
            </w:pPr>
            <w:r w:rsidRPr="005933F6">
              <w:rPr>
                <w:rFonts w:cs="Arial"/>
                <w:sz w:val="16"/>
                <w:szCs w:val="16"/>
              </w:rPr>
              <w:t>Seminario sobre la realización de ensayos de variedades (DHE) en manzano y peral</w:t>
            </w:r>
          </w:p>
        </w:tc>
        <w:tc>
          <w:tcPr>
            <w:tcW w:w="724" w:type="dxa"/>
          </w:tcPr>
          <w:p w14:paraId="6FEEE669" w14:textId="77777777" w:rsidR="00F11A21" w:rsidRDefault="00F11A21" w:rsidP="00C30F9D">
            <w:pPr>
              <w:jc w:val="left"/>
              <w:rPr>
                <w:rFonts w:cs="Arial"/>
                <w:sz w:val="16"/>
                <w:szCs w:val="16"/>
              </w:rPr>
            </w:pPr>
            <w:r w:rsidRPr="005933F6">
              <w:rPr>
                <w:rFonts w:cs="Arial"/>
                <w:sz w:val="16"/>
                <w:szCs w:val="16"/>
              </w:rPr>
              <w:t>09/2022</w:t>
            </w:r>
          </w:p>
        </w:tc>
        <w:tc>
          <w:tcPr>
            <w:tcW w:w="835" w:type="dxa"/>
          </w:tcPr>
          <w:p w14:paraId="3B0A3944" w14:textId="77777777" w:rsidR="00F11A21" w:rsidRDefault="00F11A21" w:rsidP="00C30F9D">
            <w:pPr>
              <w:jc w:val="left"/>
              <w:rPr>
                <w:rFonts w:cs="Arial"/>
                <w:sz w:val="16"/>
                <w:szCs w:val="16"/>
              </w:rPr>
            </w:pPr>
            <w:r w:rsidRPr="005933F6">
              <w:rPr>
                <w:rFonts w:cs="Arial"/>
                <w:sz w:val="16"/>
                <w:szCs w:val="16"/>
              </w:rPr>
              <w:t>Alemania</w:t>
            </w:r>
          </w:p>
        </w:tc>
        <w:tc>
          <w:tcPr>
            <w:tcW w:w="1843" w:type="dxa"/>
            <w:vMerge/>
          </w:tcPr>
          <w:p w14:paraId="1243A791" w14:textId="77777777" w:rsidR="00F11A21" w:rsidRPr="005933F6" w:rsidRDefault="00F11A21" w:rsidP="00C30F9D">
            <w:pPr>
              <w:jc w:val="left"/>
              <w:rPr>
                <w:rFonts w:cs="Arial"/>
                <w:sz w:val="16"/>
                <w:szCs w:val="16"/>
              </w:rPr>
            </w:pPr>
          </w:p>
        </w:tc>
        <w:tc>
          <w:tcPr>
            <w:tcW w:w="3685" w:type="dxa"/>
            <w:vMerge/>
          </w:tcPr>
          <w:p w14:paraId="4880328D" w14:textId="77777777" w:rsidR="00F11A21" w:rsidRPr="005933F6" w:rsidRDefault="00F11A21" w:rsidP="00C30F9D">
            <w:pPr>
              <w:jc w:val="left"/>
              <w:rPr>
                <w:rFonts w:cs="Arial"/>
                <w:sz w:val="16"/>
                <w:szCs w:val="16"/>
              </w:rPr>
            </w:pPr>
          </w:p>
        </w:tc>
        <w:tc>
          <w:tcPr>
            <w:tcW w:w="2835" w:type="dxa"/>
          </w:tcPr>
          <w:p w14:paraId="792032FF" w14:textId="77777777" w:rsidR="00F11A21" w:rsidRDefault="00F11A21" w:rsidP="00C30F9D">
            <w:pPr>
              <w:jc w:val="left"/>
              <w:rPr>
                <w:rFonts w:cs="Arial"/>
                <w:sz w:val="16"/>
                <w:szCs w:val="16"/>
              </w:rPr>
            </w:pPr>
            <w:r w:rsidRPr="005933F6">
              <w:rPr>
                <w:rFonts w:cs="Arial"/>
                <w:sz w:val="16"/>
                <w:szCs w:val="16"/>
              </w:rPr>
              <w:t>India (3 participantes)</w:t>
            </w:r>
          </w:p>
        </w:tc>
        <w:tc>
          <w:tcPr>
            <w:tcW w:w="2835" w:type="dxa"/>
            <w:vMerge/>
          </w:tcPr>
          <w:p w14:paraId="6351506E" w14:textId="77777777" w:rsidR="00F11A21" w:rsidRPr="005933F6" w:rsidRDefault="00F11A21" w:rsidP="00C30F9D">
            <w:pPr>
              <w:jc w:val="left"/>
              <w:rPr>
                <w:rFonts w:cs="Arial"/>
                <w:sz w:val="16"/>
                <w:szCs w:val="16"/>
              </w:rPr>
            </w:pPr>
          </w:p>
        </w:tc>
      </w:tr>
      <w:tr w:rsidR="00F11A21" w:rsidRPr="008E03B7" w14:paraId="779EC777" w14:textId="77777777" w:rsidTr="00F11A21">
        <w:trPr>
          <w:cantSplit/>
        </w:trPr>
        <w:tc>
          <w:tcPr>
            <w:tcW w:w="2552" w:type="dxa"/>
          </w:tcPr>
          <w:p w14:paraId="0264BAA2" w14:textId="77777777" w:rsidR="00F11A21" w:rsidRDefault="00F11A21" w:rsidP="00C30F9D">
            <w:pPr>
              <w:jc w:val="left"/>
              <w:rPr>
                <w:rFonts w:cs="Arial"/>
                <w:sz w:val="16"/>
                <w:szCs w:val="16"/>
              </w:rPr>
            </w:pPr>
            <w:r w:rsidRPr="005933F6">
              <w:rPr>
                <w:rFonts w:cs="Arial"/>
                <w:sz w:val="16"/>
                <w:szCs w:val="16"/>
              </w:rPr>
              <w:t>Seminario final</w:t>
            </w:r>
          </w:p>
        </w:tc>
        <w:tc>
          <w:tcPr>
            <w:tcW w:w="724" w:type="dxa"/>
          </w:tcPr>
          <w:p w14:paraId="6D587B64" w14:textId="77777777" w:rsidR="00F11A21" w:rsidRDefault="00F11A21" w:rsidP="00C30F9D">
            <w:pPr>
              <w:jc w:val="left"/>
              <w:rPr>
                <w:rFonts w:cs="Arial"/>
                <w:sz w:val="16"/>
                <w:szCs w:val="16"/>
              </w:rPr>
            </w:pPr>
            <w:r w:rsidRPr="005933F6">
              <w:rPr>
                <w:rFonts w:cs="Arial"/>
                <w:sz w:val="16"/>
                <w:szCs w:val="16"/>
              </w:rPr>
              <w:t>11/2022</w:t>
            </w:r>
          </w:p>
        </w:tc>
        <w:tc>
          <w:tcPr>
            <w:tcW w:w="835" w:type="dxa"/>
          </w:tcPr>
          <w:p w14:paraId="7682A16A" w14:textId="77777777" w:rsidR="00F11A21" w:rsidRDefault="00F11A21" w:rsidP="00C30F9D">
            <w:pPr>
              <w:jc w:val="left"/>
              <w:rPr>
                <w:rFonts w:cs="Arial"/>
                <w:sz w:val="16"/>
                <w:szCs w:val="16"/>
              </w:rPr>
            </w:pPr>
            <w:r w:rsidRPr="005933F6">
              <w:rPr>
                <w:rFonts w:cs="Arial"/>
                <w:sz w:val="16"/>
                <w:szCs w:val="16"/>
              </w:rPr>
              <w:t>En línea</w:t>
            </w:r>
          </w:p>
        </w:tc>
        <w:tc>
          <w:tcPr>
            <w:tcW w:w="1843" w:type="dxa"/>
            <w:vMerge/>
          </w:tcPr>
          <w:p w14:paraId="0C775A9E" w14:textId="77777777" w:rsidR="00F11A21" w:rsidRPr="005933F6" w:rsidRDefault="00F11A21" w:rsidP="00C30F9D">
            <w:pPr>
              <w:jc w:val="left"/>
              <w:rPr>
                <w:rFonts w:cs="Arial"/>
                <w:sz w:val="16"/>
                <w:szCs w:val="16"/>
              </w:rPr>
            </w:pPr>
          </w:p>
        </w:tc>
        <w:tc>
          <w:tcPr>
            <w:tcW w:w="3685" w:type="dxa"/>
          </w:tcPr>
          <w:p w14:paraId="59DC23A8" w14:textId="77777777" w:rsidR="00F11A21" w:rsidRDefault="00F11A21" w:rsidP="00C30F9D">
            <w:pPr>
              <w:jc w:val="left"/>
              <w:rPr>
                <w:rFonts w:cs="Arial"/>
                <w:sz w:val="16"/>
                <w:szCs w:val="16"/>
              </w:rPr>
            </w:pPr>
            <w:r w:rsidRPr="005933F6">
              <w:rPr>
                <w:rFonts w:cs="Arial"/>
                <w:sz w:val="16"/>
                <w:szCs w:val="16"/>
              </w:rPr>
              <w:t xml:space="preserve">Revisión de los logros alcanzados durante el periodo del proyecto, aclaración de las cuestiones pendientes </w:t>
            </w:r>
          </w:p>
        </w:tc>
        <w:tc>
          <w:tcPr>
            <w:tcW w:w="2835" w:type="dxa"/>
          </w:tcPr>
          <w:p w14:paraId="6D50D013" w14:textId="77777777" w:rsidR="00F11A21" w:rsidRPr="005933F6" w:rsidRDefault="00F11A21" w:rsidP="00C30F9D">
            <w:pPr>
              <w:jc w:val="left"/>
              <w:rPr>
                <w:rFonts w:cs="Arial"/>
                <w:sz w:val="16"/>
                <w:szCs w:val="16"/>
              </w:rPr>
            </w:pPr>
          </w:p>
        </w:tc>
        <w:tc>
          <w:tcPr>
            <w:tcW w:w="2835" w:type="dxa"/>
            <w:vMerge/>
          </w:tcPr>
          <w:p w14:paraId="504B6642" w14:textId="77777777" w:rsidR="00F11A21" w:rsidRPr="005933F6" w:rsidRDefault="00F11A21" w:rsidP="00C30F9D">
            <w:pPr>
              <w:jc w:val="left"/>
              <w:rPr>
                <w:rFonts w:cs="Arial"/>
                <w:sz w:val="16"/>
                <w:szCs w:val="16"/>
              </w:rPr>
            </w:pPr>
          </w:p>
        </w:tc>
      </w:tr>
      <w:tr w:rsidR="00F11A21" w:rsidRPr="005173E1" w14:paraId="4A811A89" w14:textId="77777777" w:rsidTr="00F11A21">
        <w:trPr>
          <w:cantSplit/>
        </w:trPr>
        <w:tc>
          <w:tcPr>
            <w:tcW w:w="2552" w:type="dxa"/>
          </w:tcPr>
          <w:p w14:paraId="21572A1A" w14:textId="77777777" w:rsidR="00F11A21" w:rsidRDefault="00F11A21" w:rsidP="00C30F9D">
            <w:pPr>
              <w:jc w:val="left"/>
              <w:rPr>
                <w:rFonts w:cs="Arial"/>
                <w:sz w:val="16"/>
                <w:szCs w:val="16"/>
              </w:rPr>
            </w:pPr>
            <w:r w:rsidRPr="005933F6">
              <w:rPr>
                <w:rFonts w:cs="Arial"/>
                <w:sz w:val="16"/>
                <w:szCs w:val="16"/>
              </w:rPr>
              <w:t>Seminario sobre tratamiento electrónico y gestión de datos de examen DHE en el examen de variedades - el ejemplo de Rape/</w:t>
            </w:r>
            <w:proofErr w:type="spellStart"/>
            <w:r w:rsidRPr="005933F6">
              <w:rPr>
                <w:rFonts w:cs="Arial"/>
                <w:sz w:val="16"/>
                <w:szCs w:val="16"/>
              </w:rPr>
              <w:t>Mustard</w:t>
            </w:r>
            <w:proofErr w:type="spellEnd"/>
            <w:r w:rsidRPr="005933F6">
              <w:rPr>
                <w:rFonts w:cs="Arial"/>
                <w:sz w:val="16"/>
                <w:szCs w:val="16"/>
              </w:rPr>
              <w:t xml:space="preserve"> </w:t>
            </w:r>
          </w:p>
        </w:tc>
        <w:tc>
          <w:tcPr>
            <w:tcW w:w="724" w:type="dxa"/>
          </w:tcPr>
          <w:p w14:paraId="27F6E351" w14:textId="77777777" w:rsidR="00F11A21" w:rsidRDefault="00F11A21" w:rsidP="00C30F9D">
            <w:pPr>
              <w:jc w:val="left"/>
              <w:rPr>
                <w:rFonts w:cs="Arial"/>
                <w:sz w:val="16"/>
                <w:szCs w:val="16"/>
              </w:rPr>
            </w:pPr>
            <w:r w:rsidRPr="005933F6">
              <w:rPr>
                <w:rFonts w:cs="Arial"/>
                <w:sz w:val="16"/>
                <w:szCs w:val="16"/>
              </w:rPr>
              <w:t>05/2023</w:t>
            </w:r>
          </w:p>
        </w:tc>
        <w:tc>
          <w:tcPr>
            <w:tcW w:w="835" w:type="dxa"/>
          </w:tcPr>
          <w:p w14:paraId="457B52EC" w14:textId="77777777" w:rsidR="00F11A21" w:rsidRDefault="00F11A21" w:rsidP="00C30F9D">
            <w:pPr>
              <w:jc w:val="left"/>
              <w:rPr>
                <w:rFonts w:cs="Arial"/>
                <w:sz w:val="16"/>
                <w:szCs w:val="16"/>
              </w:rPr>
            </w:pPr>
            <w:r w:rsidRPr="005933F6">
              <w:rPr>
                <w:rFonts w:cs="Arial"/>
                <w:sz w:val="16"/>
                <w:szCs w:val="16"/>
              </w:rPr>
              <w:t>En línea</w:t>
            </w:r>
          </w:p>
        </w:tc>
        <w:tc>
          <w:tcPr>
            <w:tcW w:w="1843" w:type="dxa"/>
            <w:vMerge/>
          </w:tcPr>
          <w:p w14:paraId="2728FFED" w14:textId="77777777" w:rsidR="00F11A21" w:rsidRPr="005933F6" w:rsidRDefault="00F11A21" w:rsidP="00C30F9D">
            <w:pPr>
              <w:jc w:val="left"/>
              <w:rPr>
                <w:rFonts w:cs="Arial"/>
                <w:sz w:val="16"/>
                <w:szCs w:val="16"/>
              </w:rPr>
            </w:pPr>
          </w:p>
        </w:tc>
        <w:tc>
          <w:tcPr>
            <w:tcW w:w="3685" w:type="dxa"/>
          </w:tcPr>
          <w:p w14:paraId="6AEEF8EB" w14:textId="77777777" w:rsidR="00F11A21" w:rsidRDefault="00F11A21" w:rsidP="00C30F9D">
            <w:pPr>
              <w:jc w:val="left"/>
              <w:rPr>
                <w:rFonts w:cs="Arial"/>
                <w:sz w:val="16"/>
                <w:szCs w:val="16"/>
              </w:rPr>
            </w:pPr>
            <w:r w:rsidRPr="005933F6">
              <w:rPr>
                <w:rFonts w:cs="Arial"/>
                <w:sz w:val="16"/>
                <w:szCs w:val="16"/>
              </w:rPr>
              <w:t>Intercambio técnico para el tratamiento electrónico y la gestión de datos de examen DHE</w:t>
            </w:r>
          </w:p>
        </w:tc>
        <w:tc>
          <w:tcPr>
            <w:tcW w:w="2835" w:type="dxa"/>
          </w:tcPr>
          <w:p w14:paraId="6CD036B2" w14:textId="77777777" w:rsidR="00F11A21" w:rsidRDefault="00F11A21" w:rsidP="00C30F9D">
            <w:pPr>
              <w:jc w:val="left"/>
              <w:rPr>
                <w:rFonts w:cs="Arial"/>
                <w:sz w:val="16"/>
                <w:szCs w:val="16"/>
              </w:rPr>
            </w:pPr>
            <w:r w:rsidRPr="005933F6">
              <w:rPr>
                <w:rFonts w:cs="Arial"/>
                <w:sz w:val="16"/>
                <w:szCs w:val="16"/>
              </w:rPr>
              <w:t>India (~ 100participantes)</w:t>
            </w:r>
          </w:p>
        </w:tc>
        <w:tc>
          <w:tcPr>
            <w:tcW w:w="2835" w:type="dxa"/>
            <w:vMerge/>
          </w:tcPr>
          <w:p w14:paraId="0ACF3717" w14:textId="77777777" w:rsidR="00F11A21" w:rsidRPr="005933F6" w:rsidRDefault="00F11A21" w:rsidP="00C30F9D">
            <w:pPr>
              <w:jc w:val="left"/>
              <w:rPr>
                <w:rFonts w:cs="Arial"/>
                <w:sz w:val="16"/>
                <w:szCs w:val="16"/>
              </w:rPr>
            </w:pPr>
          </w:p>
        </w:tc>
      </w:tr>
      <w:tr w:rsidR="00F11A21" w:rsidRPr="005173E1" w14:paraId="7385BB5C" w14:textId="77777777" w:rsidTr="00F11A21">
        <w:trPr>
          <w:cantSplit/>
        </w:trPr>
        <w:tc>
          <w:tcPr>
            <w:tcW w:w="2552" w:type="dxa"/>
          </w:tcPr>
          <w:p w14:paraId="55E3E7EA" w14:textId="77777777" w:rsidR="00F11A21" w:rsidRDefault="00F11A21" w:rsidP="00C30F9D">
            <w:pPr>
              <w:jc w:val="left"/>
              <w:rPr>
                <w:rFonts w:cs="Arial"/>
                <w:sz w:val="16"/>
                <w:szCs w:val="16"/>
              </w:rPr>
            </w:pPr>
            <w:r w:rsidRPr="005933F6">
              <w:rPr>
                <w:rFonts w:cs="Arial"/>
                <w:sz w:val="16"/>
                <w:szCs w:val="16"/>
              </w:rPr>
              <w:t>Seminario</w:t>
            </w:r>
          </w:p>
        </w:tc>
        <w:tc>
          <w:tcPr>
            <w:tcW w:w="724" w:type="dxa"/>
          </w:tcPr>
          <w:p w14:paraId="2344D64C" w14:textId="77777777" w:rsidR="00F11A21" w:rsidRDefault="00F11A21" w:rsidP="00C30F9D">
            <w:pPr>
              <w:jc w:val="left"/>
              <w:rPr>
                <w:rFonts w:cs="Arial"/>
                <w:sz w:val="16"/>
                <w:szCs w:val="16"/>
              </w:rPr>
            </w:pPr>
            <w:r w:rsidRPr="005933F6">
              <w:rPr>
                <w:rFonts w:cs="Arial"/>
                <w:sz w:val="16"/>
                <w:szCs w:val="16"/>
              </w:rPr>
              <w:t>09/2022</w:t>
            </w:r>
          </w:p>
        </w:tc>
        <w:tc>
          <w:tcPr>
            <w:tcW w:w="835" w:type="dxa"/>
          </w:tcPr>
          <w:p w14:paraId="22DDF6BB" w14:textId="77777777" w:rsidR="00F11A21" w:rsidRDefault="00F11A21" w:rsidP="00C30F9D">
            <w:pPr>
              <w:jc w:val="left"/>
              <w:rPr>
                <w:rFonts w:cs="Arial"/>
                <w:sz w:val="16"/>
                <w:szCs w:val="16"/>
              </w:rPr>
            </w:pPr>
            <w:r w:rsidRPr="005933F6">
              <w:rPr>
                <w:rFonts w:cs="Arial"/>
                <w:sz w:val="16"/>
                <w:szCs w:val="16"/>
              </w:rPr>
              <w:t>Polonia</w:t>
            </w:r>
          </w:p>
        </w:tc>
        <w:tc>
          <w:tcPr>
            <w:tcW w:w="1843" w:type="dxa"/>
          </w:tcPr>
          <w:p w14:paraId="384F2499" w14:textId="77777777" w:rsidR="00F11A21" w:rsidRDefault="00F11A21" w:rsidP="00C30F9D">
            <w:pPr>
              <w:jc w:val="left"/>
              <w:rPr>
                <w:rFonts w:cs="Arial"/>
                <w:sz w:val="16"/>
                <w:szCs w:val="16"/>
              </w:rPr>
            </w:pPr>
            <w:r w:rsidRPr="005933F6">
              <w:rPr>
                <w:rFonts w:cs="Arial"/>
                <w:sz w:val="16"/>
                <w:szCs w:val="16"/>
              </w:rPr>
              <w:t>OCVV (Estados miembros de la UE), BSA</w:t>
            </w:r>
          </w:p>
        </w:tc>
        <w:tc>
          <w:tcPr>
            <w:tcW w:w="3685" w:type="dxa"/>
          </w:tcPr>
          <w:p w14:paraId="4F3BD20E" w14:textId="77777777" w:rsidR="00F11A21" w:rsidRDefault="00F11A21" w:rsidP="00C30F9D">
            <w:pPr>
              <w:jc w:val="left"/>
              <w:rPr>
                <w:rFonts w:cs="Arial"/>
                <w:sz w:val="16"/>
                <w:szCs w:val="16"/>
              </w:rPr>
            </w:pPr>
            <w:r w:rsidRPr="005933F6">
              <w:rPr>
                <w:rFonts w:cs="Arial"/>
                <w:sz w:val="16"/>
                <w:szCs w:val="16"/>
              </w:rPr>
              <w:t>Taller sobre el maíz de la OCVV</w:t>
            </w:r>
          </w:p>
        </w:tc>
        <w:tc>
          <w:tcPr>
            <w:tcW w:w="2835" w:type="dxa"/>
          </w:tcPr>
          <w:p w14:paraId="44F64012" w14:textId="77777777" w:rsidR="00F11A21" w:rsidRDefault="00F11A21" w:rsidP="00C30F9D">
            <w:pPr>
              <w:jc w:val="left"/>
              <w:rPr>
                <w:rFonts w:cs="Arial"/>
                <w:sz w:val="16"/>
                <w:szCs w:val="16"/>
              </w:rPr>
            </w:pPr>
            <w:r w:rsidRPr="005933F6">
              <w:rPr>
                <w:rFonts w:cs="Arial"/>
                <w:sz w:val="16"/>
                <w:szCs w:val="16"/>
              </w:rPr>
              <w:t>Polonia</w:t>
            </w:r>
          </w:p>
        </w:tc>
        <w:tc>
          <w:tcPr>
            <w:tcW w:w="2835" w:type="dxa"/>
          </w:tcPr>
          <w:p w14:paraId="3604DC57" w14:textId="77777777" w:rsidR="00F11A21" w:rsidRPr="005933F6" w:rsidRDefault="00F11A21" w:rsidP="00C30F9D">
            <w:pPr>
              <w:jc w:val="left"/>
              <w:rPr>
                <w:rFonts w:cs="Arial"/>
                <w:sz w:val="16"/>
                <w:szCs w:val="16"/>
              </w:rPr>
            </w:pPr>
          </w:p>
        </w:tc>
      </w:tr>
      <w:tr w:rsidR="00F11A21" w:rsidRPr="005173E1" w14:paraId="45641ABC" w14:textId="77777777" w:rsidTr="00F11A21">
        <w:trPr>
          <w:cantSplit/>
        </w:trPr>
        <w:tc>
          <w:tcPr>
            <w:tcW w:w="2552" w:type="dxa"/>
          </w:tcPr>
          <w:p w14:paraId="6C71BCBE" w14:textId="77777777" w:rsidR="00F11A21" w:rsidRDefault="00F11A21" w:rsidP="00C30F9D">
            <w:pPr>
              <w:jc w:val="left"/>
              <w:rPr>
                <w:rFonts w:cs="Arial"/>
                <w:sz w:val="16"/>
                <w:szCs w:val="16"/>
              </w:rPr>
            </w:pPr>
            <w:r w:rsidRPr="005933F6">
              <w:rPr>
                <w:rFonts w:cs="Arial"/>
                <w:sz w:val="16"/>
                <w:szCs w:val="16"/>
              </w:rPr>
              <w:t>Intercambio profesional</w:t>
            </w:r>
          </w:p>
        </w:tc>
        <w:tc>
          <w:tcPr>
            <w:tcW w:w="724" w:type="dxa"/>
          </w:tcPr>
          <w:p w14:paraId="6262BCD5" w14:textId="77777777" w:rsidR="00F11A21" w:rsidRDefault="00F11A21" w:rsidP="00C30F9D">
            <w:pPr>
              <w:jc w:val="left"/>
              <w:rPr>
                <w:rFonts w:cs="Arial"/>
                <w:sz w:val="16"/>
                <w:szCs w:val="16"/>
              </w:rPr>
            </w:pPr>
            <w:r w:rsidRPr="005933F6">
              <w:rPr>
                <w:rFonts w:cs="Arial"/>
                <w:sz w:val="16"/>
                <w:szCs w:val="16"/>
              </w:rPr>
              <w:t>10/2022</w:t>
            </w:r>
          </w:p>
        </w:tc>
        <w:tc>
          <w:tcPr>
            <w:tcW w:w="835" w:type="dxa"/>
          </w:tcPr>
          <w:p w14:paraId="00F3224E" w14:textId="77777777" w:rsidR="00F11A21" w:rsidRDefault="00F11A21" w:rsidP="00C30F9D">
            <w:pPr>
              <w:jc w:val="left"/>
              <w:rPr>
                <w:rFonts w:cs="Arial"/>
                <w:sz w:val="16"/>
                <w:szCs w:val="16"/>
              </w:rPr>
            </w:pPr>
            <w:r w:rsidRPr="005933F6">
              <w:rPr>
                <w:rFonts w:cs="Arial"/>
                <w:sz w:val="16"/>
                <w:szCs w:val="16"/>
              </w:rPr>
              <w:t>Alemania</w:t>
            </w:r>
          </w:p>
        </w:tc>
        <w:tc>
          <w:tcPr>
            <w:tcW w:w="1843" w:type="dxa"/>
          </w:tcPr>
          <w:p w14:paraId="0A77C588" w14:textId="77777777" w:rsidR="00F11A21" w:rsidRDefault="00F11A21" w:rsidP="00C30F9D">
            <w:pPr>
              <w:jc w:val="left"/>
              <w:rPr>
                <w:rFonts w:cs="Arial"/>
                <w:sz w:val="16"/>
                <w:szCs w:val="16"/>
              </w:rPr>
            </w:pPr>
            <w:r w:rsidRPr="005933F6">
              <w:rPr>
                <w:rFonts w:cs="Arial"/>
                <w:sz w:val="16"/>
                <w:szCs w:val="16"/>
              </w:rPr>
              <w:t>GIZ, BSA</w:t>
            </w:r>
          </w:p>
        </w:tc>
        <w:tc>
          <w:tcPr>
            <w:tcW w:w="3685" w:type="dxa"/>
          </w:tcPr>
          <w:p w14:paraId="2FE1B8EB" w14:textId="77777777" w:rsidR="00F11A21" w:rsidRDefault="00F11A21" w:rsidP="00C30F9D">
            <w:pPr>
              <w:jc w:val="left"/>
              <w:rPr>
                <w:rFonts w:cs="Arial"/>
                <w:sz w:val="16"/>
                <w:szCs w:val="16"/>
              </w:rPr>
            </w:pPr>
            <w:r w:rsidRPr="005933F6">
              <w:rPr>
                <w:rFonts w:cs="Arial"/>
                <w:sz w:val="16"/>
                <w:szCs w:val="16"/>
              </w:rPr>
              <w:t>Intercambio técnico sobre variedades y semillas en DE y ETH</w:t>
            </w:r>
          </w:p>
        </w:tc>
        <w:tc>
          <w:tcPr>
            <w:tcW w:w="2835" w:type="dxa"/>
          </w:tcPr>
          <w:p w14:paraId="017FCB6E" w14:textId="77777777" w:rsidR="00F11A21" w:rsidRDefault="00F11A21" w:rsidP="00C30F9D">
            <w:pPr>
              <w:jc w:val="left"/>
              <w:rPr>
                <w:rFonts w:cs="Arial"/>
                <w:sz w:val="16"/>
                <w:szCs w:val="16"/>
              </w:rPr>
            </w:pPr>
            <w:r w:rsidRPr="005933F6">
              <w:rPr>
                <w:rFonts w:cs="Arial"/>
                <w:sz w:val="16"/>
                <w:szCs w:val="16"/>
              </w:rPr>
              <w:t>Etiopía</w:t>
            </w:r>
          </w:p>
        </w:tc>
        <w:tc>
          <w:tcPr>
            <w:tcW w:w="2835" w:type="dxa"/>
          </w:tcPr>
          <w:p w14:paraId="1EABF1B3" w14:textId="77777777" w:rsidR="00F11A21" w:rsidRPr="005933F6" w:rsidRDefault="00F11A21" w:rsidP="00C30F9D">
            <w:pPr>
              <w:jc w:val="left"/>
              <w:rPr>
                <w:rFonts w:cs="Arial"/>
                <w:sz w:val="16"/>
                <w:szCs w:val="16"/>
              </w:rPr>
            </w:pPr>
          </w:p>
        </w:tc>
      </w:tr>
      <w:tr w:rsidR="00F11A21" w:rsidRPr="005173E1" w14:paraId="5A33AFBD" w14:textId="77777777" w:rsidTr="00F11A21">
        <w:trPr>
          <w:cantSplit/>
        </w:trPr>
        <w:tc>
          <w:tcPr>
            <w:tcW w:w="2552" w:type="dxa"/>
          </w:tcPr>
          <w:p w14:paraId="2C627C8F" w14:textId="77777777" w:rsidR="00F11A21" w:rsidRDefault="00F11A21" w:rsidP="00C30F9D">
            <w:pPr>
              <w:jc w:val="left"/>
              <w:rPr>
                <w:rFonts w:cs="Arial"/>
                <w:sz w:val="16"/>
                <w:szCs w:val="16"/>
              </w:rPr>
            </w:pPr>
            <w:r w:rsidRPr="005933F6">
              <w:rPr>
                <w:rFonts w:cs="Arial"/>
                <w:sz w:val="16"/>
                <w:szCs w:val="16"/>
              </w:rPr>
              <w:t>Conferencia</w:t>
            </w:r>
          </w:p>
        </w:tc>
        <w:tc>
          <w:tcPr>
            <w:tcW w:w="724" w:type="dxa"/>
          </w:tcPr>
          <w:p w14:paraId="595140C1" w14:textId="77777777" w:rsidR="00F11A21" w:rsidRDefault="00F11A21" w:rsidP="00C30F9D">
            <w:pPr>
              <w:jc w:val="left"/>
              <w:rPr>
                <w:rFonts w:cs="Arial"/>
                <w:sz w:val="16"/>
                <w:szCs w:val="16"/>
              </w:rPr>
            </w:pPr>
            <w:r w:rsidRPr="005933F6">
              <w:rPr>
                <w:rFonts w:cs="Arial"/>
                <w:sz w:val="16"/>
                <w:szCs w:val="16"/>
              </w:rPr>
              <w:t>11/2022</w:t>
            </w:r>
          </w:p>
        </w:tc>
        <w:tc>
          <w:tcPr>
            <w:tcW w:w="835" w:type="dxa"/>
          </w:tcPr>
          <w:p w14:paraId="1D2E1EE8" w14:textId="77777777" w:rsidR="00F11A21" w:rsidRDefault="00F11A21" w:rsidP="00C30F9D">
            <w:pPr>
              <w:jc w:val="left"/>
              <w:rPr>
                <w:rFonts w:cs="Arial"/>
                <w:sz w:val="16"/>
                <w:szCs w:val="16"/>
              </w:rPr>
            </w:pPr>
            <w:r w:rsidRPr="005933F6">
              <w:rPr>
                <w:rFonts w:cs="Arial"/>
                <w:sz w:val="16"/>
                <w:szCs w:val="16"/>
              </w:rPr>
              <w:t>Alemania</w:t>
            </w:r>
          </w:p>
        </w:tc>
        <w:tc>
          <w:tcPr>
            <w:tcW w:w="1843" w:type="dxa"/>
          </w:tcPr>
          <w:p w14:paraId="0D646840" w14:textId="77777777" w:rsidR="00F11A21" w:rsidRDefault="00F11A21" w:rsidP="00C30F9D">
            <w:pPr>
              <w:jc w:val="left"/>
              <w:rPr>
                <w:rFonts w:cs="Arial"/>
                <w:sz w:val="16"/>
                <w:szCs w:val="16"/>
              </w:rPr>
            </w:pPr>
            <w:r w:rsidRPr="005933F6">
              <w:rPr>
                <w:rFonts w:cs="Arial"/>
                <w:sz w:val="16"/>
                <w:szCs w:val="16"/>
              </w:rPr>
              <w:t>GIZ, BSA</w:t>
            </w:r>
          </w:p>
        </w:tc>
        <w:tc>
          <w:tcPr>
            <w:tcW w:w="3685" w:type="dxa"/>
          </w:tcPr>
          <w:p w14:paraId="60001B0B" w14:textId="77777777" w:rsidR="00F11A21" w:rsidRDefault="00F11A21" w:rsidP="00C30F9D">
            <w:pPr>
              <w:jc w:val="left"/>
              <w:rPr>
                <w:rFonts w:cs="Arial"/>
                <w:sz w:val="16"/>
                <w:szCs w:val="16"/>
              </w:rPr>
            </w:pPr>
            <w:r w:rsidRPr="005933F6">
              <w:rPr>
                <w:rFonts w:cs="Arial"/>
                <w:sz w:val="16"/>
                <w:szCs w:val="16"/>
              </w:rPr>
              <w:t>Intercambio técnico sobre variedades y semillas en DE, con especial atención a la vid</w:t>
            </w:r>
          </w:p>
        </w:tc>
        <w:tc>
          <w:tcPr>
            <w:tcW w:w="2835" w:type="dxa"/>
          </w:tcPr>
          <w:p w14:paraId="7F1A4CE2" w14:textId="77777777" w:rsidR="00F11A21" w:rsidRDefault="00F11A21" w:rsidP="00C30F9D">
            <w:pPr>
              <w:jc w:val="left"/>
              <w:rPr>
                <w:rFonts w:cs="Arial"/>
                <w:sz w:val="16"/>
                <w:szCs w:val="16"/>
              </w:rPr>
            </w:pPr>
            <w:r w:rsidRPr="005933F6">
              <w:rPr>
                <w:rFonts w:cs="Arial"/>
                <w:sz w:val="16"/>
                <w:szCs w:val="16"/>
              </w:rPr>
              <w:t>Armenia</w:t>
            </w:r>
          </w:p>
        </w:tc>
        <w:tc>
          <w:tcPr>
            <w:tcW w:w="2835" w:type="dxa"/>
          </w:tcPr>
          <w:p w14:paraId="2F047CC7" w14:textId="77777777" w:rsidR="00F11A21" w:rsidRPr="005933F6" w:rsidRDefault="00F11A21" w:rsidP="00C30F9D">
            <w:pPr>
              <w:jc w:val="left"/>
              <w:rPr>
                <w:rFonts w:cs="Arial"/>
                <w:sz w:val="16"/>
                <w:szCs w:val="16"/>
              </w:rPr>
            </w:pPr>
          </w:p>
        </w:tc>
      </w:tr>
      <w:tr w:rsidR="00F11A21" w:rsidRPr="005173E1" w14:paraId="4BB3897E" w14:textId="77777777" w:rsidTr="00F11A21">
        <w:trPr>
          <w:cantSplit/>
        </w:trPr>
        <w:tc>
          <w:tcPr>
            <w:tcW w:w="2552" w:type="dxa"/>
          </w:tcPr>
          <w:p w14:paraId="0BE9D083" w14:textId="77777777" w:rsidR="00F11A21" w:rsidRDefault="00F11A21" w:rsidP="00C30F9D">
            <w:pPr>
              <w:jc w:val="left"/>
              <w:rPr>
                <w:rFonts w:cs="Arial"/>
                <w:sz w:val="16"/>
                <w:szCs w:val="16"/>
              </w:rPr>
            </w:pPr>
            <w:r w:rsidRPr="005933F6">
              <w:rPr>
                <w:rFonts w:cs="Arial"/>
                <w:sz w:val="16"/>
                <w:szCs w:val="16"/>
              </w:rPr>
              <w:t xml:space="preserve">Conferencia </w:t>
            </w:r>
          </w:p>
        </w:tc>
        <w:tc>
          <w:tcPr>
            <w:tcW w:w="724" w:type="dxa"/>
          </w:tcPr>
          <w:p w14:paraId="23F0E5D1" w14:textId="77777777" w:rsidR="00F11A21" w:rsidRDefault="00F11A21" w:rsidP="00C30F9D">
            <w:pPr>
              <w:jc w:val="left"/>
              <w:rPr>
                <w:rFonts w:cs="Arial"/>
                <w:sz w:val="16"/>
                <w:szCs w:val="16"/>
              </w:rPr>
            </w:pPr>
            <w:r w:rsidRPr="005933F6">
              <w:rPr>
                <w:rFonts w:cs="Arial"/>
                <w:sz w:val="16"/>
                <w:szCs w:val="16"/>
              </w:rPr>
              <w:t>12/2022</w:t>
            </w:r>
          </w:p>
        </w:tc>
        <w:tc>
          <w:tcPr>
            <w:tcW w:w="835" w:type="dxa"/>
          </w:tcPr>
          <w:p w14:paraId="6BAD4D8D" w14:textId="77777777" w:rsidR="00F11A21" w:rsidRDefault="00F11A21" w:rsidP="00C30F9D">
            <w:pPr>
              <w:jc w:val="left"/>
              <w:rPr>
                <w:rFonts w:cs="Arial"/>
                <w:sz w:val="16"/>
                <w:szCs w:val="16"/>
              </w:rPr>
            </w:pPr>
            <w:r w:rsidRPr="005933F6">
              <w:rPr>
                <w:rFonts w:cs="Arial"/>
                <w:sz w:val="16"/>
                <w:szCs w:val="16"/>
              </w:rPr>
              <w:t>Alemania</w:t>
            </w:r>
          </w:p>
        </w:tc>
        <w:tc>
          <w:tcPr>
            <w:tcW w:w="1843" w:type="dxa"/>
          </w:tcPr>
          <w:p w14:paraId="72851720" w14:textId="77777777" w:rsidR="00F11A21" w:rsidRDefault="00F11A21" w:rsidP="00C30F9D">
            <w:pPr>
              <w:jc w:val="left"/>
              <w:rPr>
                <w:rFonts w:cs="Arial"/>
                <w:sz w:val="16"/>
                <w:szCs w:val="16"/>
              </w:rPr>
            </w:pPr>
            <w:r w:rsidRPr="005933F6">
              <w:rPr>
                <w:rFonts w:cs="Arial"/>
                <w:sz w:val="16"/>
                <w:szCs w:val="16"/>
              </w:rPr>
              <w:t>GIZ, BSA</w:t>
            </w:r>
          </w:p>
        </w:tc>
        <w:tc>
          <w:tcPr>
            <w:tcW w:w="3685" w:type="dxa"/>
          </w:tcPr>
          <w:p w14:paraId="76D51F08" w14:textId="77777777" w:rsidR="00F11A21" w:rsidRDefault="00F11A21" w:rsidP="00C30F9D">
            <w:pPr>
              <w:jc w:val="left"/>
              <w:rPr>
                <w:rFonts w:cs="Arial"/>
                <w:sz w:val="16"/>
                <w:szCs w:val="16"/>
              </w:rPr>
            </w:pPr>
            <w:r w:rsidRPr="005933F6">
              <w:rPr>
                <w:rFonts w:cs="Arial"/>
                <w:sz w:val="16"/>
                <w:szCs w:val="16"/>
              </w:rPr>
              <w:t>Intercambio técnico sobre variedades vegetales y semillas en DE</w:t>
            </w:r>
          </w:p>
        </w:tc>
        <w:tc>
          <w:tcPr>
            <w:tcW w:w="2835" w:type="dxa"/>
          </w:tcPr>
          <w:p w14:paraId="69147236" w14:textId="77777777" w:rsidR="00F11A21" w:rsidRDefault="00F11A21" w:rsidP="00C30F9D">
            <w:pPr>
              <w:jc w:val="left"/>
              <w:rPr>
                <w:rFonts w:cs="Arial"/>
                <w:sz w:val="16"/>
                <w:szCs w:val="16"/>
              </w:rPr>
            </w:pPr>
            <w:r w:rsidRPr="005933F6">
              <w:rPr>
                <w:rFonts w:cs="Arial"/>
                <w:sz w:val="16"/>
                <w:szCs w:val="16"/>
              </w:rPr>
              <w:t>Kazajstán</w:t>
            </w:r>
          </w:p>
          <w:p w14:paraId="506E68A5" w14:textId="77777777" w:rsidR="00F11A21" w:rsidRDefault="00F11A21" w:rsidP="00C30F9D">
            <w:pPr>
              <w:jc w:val="left"/>
              <w:rPr>
                <w:rFonts w:cs="Arial"/>
                <w:sz w:val="16"/>
                <w:szCs w:val="16"/>
              </w:rPr>
            </w:pPr>
            <w:r w:rsidRPr="005933F6">
              <w:rPr>
                <w:rFonts w:cs="Arial"/>
                <w:sz w:val="16"/>
                <w:szCs w:val="16"/>
              </w:rPr>
              <w:t>(15 participantes)</w:t>
            </w:r>
          </w:p>
        </w:tc>
        <w:tc>
          <w:tcPr>
            <w:tcW w:w="2835" w:type="dxa"/>
          </w:tcPr>
          <w:p w14:paraId="36B1526A" w14:textId="77777777" w:rsidR="00F11A21" w:rsidRPr="005933F6" w:rsidRDefault="00F11A21" w:rsidP="00C30F9D">
            <w:pPr>
              <w:jc w:val="left"/>
              <w:rPr>
                <w:rFonts w:cs="Arial"/>
                <w:sz w:val="16"/>
                <w:szCs w:val="16"/>
              </w:rPr>
            </w:pPr>
          </w:p>
        </w:tc>
      </w:tr>
      <w:tr w:rsidR="00F11A21" w:rsidRPr="005173E1" w14:paraId="782E5219" w14:textId="77777777" w:rsidTr="00F11A21">
        <w:trPr>
          <w:cantSplit/>
        </w:trPr>
        <w:tc>
          <w:tcPr>
            <w:tcW w:w="2552" w:type="dxa"/>
          </w:tcPr>
          <w:p w14:paraId="41AE9093" w14:textId="77777777" w:rsidR="00F11A21" w:rsidRDefault="00F11A21" w:rsidP="00C30F9D">
            <w:pPr>
              <w:jc w:val="left"/>
              <w:rPr>
                <w:rFonts w:cs="Arial"/>
                <w:sz w:val="16"/>
                <w:szCs w:val="16"/>
              </w:rPr>
            </w:pPr>
            <w:r w:rsidRPr="005933F6">
              <w:rPr>
                <w:rFonts w:cs="Arial"/>
                <w:sz w:val="16"/>
                <w:szCs w:val="16"/>
              </w:rPr>
              <w:t xml:space="preserve">Conferencia </w:t>
            </w:r>
          </w:p>
        </w:tc>
        <w:tc>
          <w:tcPr>
            <w:tcW w:w="724" w:type="dxa"/>
          </w:tcPr>
          <w:p w14:paraId="60ED1D29" w14:textId="77777777" w:rsidR="00F11A21" w:rsidRDefault="00F11A21" w:rsidP="00C30F9D">
            <w:pPr>
              <w:jc w:val="left"/>
              <w:rPr>
                <w:rFonts w:cs="Arial"/>
                <w:sz w:val="16"/>
                <w:szCs w:val="16"/>
              </w:rPr>
            </w:pPr>
            <w:r w:rsidRPr="005933F6">
              <w:rPr>
                <w:rFonts w:cs="Arial"/>
                <w:sz w:val="16"/>
                <w:szCs w:val="16"/>
              </w:rPr>
              <w:t>12/2022</w:t>
            </w:r>
          </w:p>
        </w:tc>
        <w:tc>
          <w:tcPr>
            <w:tcW w:w="835" w:type="dxa"/>
          </w:tcPr>
          <w:p w14:paraId="03848BDC" w14:textId="77777777" w:rsidR="00F11A21" w:rsidRDefault="00F11A21" w:rsidP="00C30F9D">
            <w:pPr>
              <w:jc w:val="left"/>
              <w:rPr>
                <w:rFonts w:cs="Arial"/>
                <w:sz w:val="16"/>
                <w:szCs w:val="16"/>
              </w:rPr>
            </w:pPr>
            <w:r w:rsidRPr="005933F6">
              <w:rPr>
                <w:rFonts w:cs="Arial"/>
                <w:sz w:val="16"/>
                <w:szCs w:val="16"/>
              </w:rPr>
              <w:t>en línea</w:t>
            </w:r>
          </w:p>
        </w:tc>
        <w:tc>
          <w:tcPr>
            <w:tcW w:w="1843" w:type="dxa"/>
          </w:tcPr>
          <w:p w14:paraId="0EF621DC" w14:textId="77777777" w:rsidR="00F11A21" w:rsidRDefault="00F11A21" w:rsidP="00C30F9D">
            <w:pPr>
              <w:jc w:val="left"/>
              <w:rPr>
                <w:rFonts w:cs="Arial"/>
                <w:sz w:val="16"/>
                <w:szCs w:val="16"/>
              </w:rPr>
            </w:pPr>
            <w:r w:rsidRPr="005933F6">
              <w:rPr>
                <w:rFonts w:cs="Arial"/>
                <w:sz w:val="16"/>
                <w:szCs w:val="16"/>
              </w:rPr>
              <w:t>GIZ, BSA</w:t>
            </w:r>
          </w:p>
        </w:tc>
        <w:tc>
          <w:tcPr>
            <w:tcW w:w="3685" w:type="dxa"/>
          </w:tcPr>
          <w:p w14:paraId="137DAB79" w14:textId="77777777" w:rsidR="00F11A21" w:rsidRDefault="00F11A21" w:rsidP="00C30F9D">
            <w:pPr>
              <w:jc w:val="left"/>
              <w:rPr>
                <w:rFonts w:cs="Arial"/>
                <w:sz w:val="16"/>
                <w:szCs w:val="16"/>
              </w:rPr>
            </w:pPr>
            <w:r w:rsidRPr="005933F6">
              <w:rPr>
                <w:rFonts w:cs="Arial"/>
                <w:sz w:val="16"/>
                <w:szCs w:val="16"/>
              </w:rPr>
              <w:t>Intercambio técnico sobre variedades vegetales y semillas en DE</w:t>
            </w:r>
          </w:p>
        </w:tc>
        <w:tc>
          <w:tcPr>
            <w:tcW w:w="2835" w:type="dxa"/>
          </w:tcPr>
          <w:p w14:paraId="5727FD6C" w14:textId="77777777" w:rsidR="00F11A21" w:rsidRDefault="00F11A21" w:rsidP="00C30F9D">
            <w:pPr>
              <w:jc w:val="left"/>
              <w:rPr>
                <w:rFonts w:cs="Arial"/>
                <w:sz w:val="16"/>
                <w:szCs w:val="16"/>
              </w:rPr>
            </w:pPr>
            <w:r w:rsidRPr="005933F6">
              <w:rPr>
                <w:rFonts w:cs="Arial"/>
                <w:sz w:val="16"/>
                <w:szCs w:val="16"/>
              </w:rPr>
              <w:t>Kazajstán</w:t>
            </w:r>
          </w:p>
          <w:p w14:paraId="3432087A" w14:textId="77777777" w:rsidR="00F11A21" w:rsidRDefault="00F11A21" w:rsidP="00C30F9D">
            <w:pPr>
              <w:jc w:val="left"/>
              <w:rPr>
                <w:rFonts w:cs="Arial"/>
                <w:sz w:val="16"/>
                <w:szCs w:val="16"/>
              </w:rPr>
            </w:pPr>
            <w:r w:rsidRPr="005933F6">
              <w:rPr>
                <w:rFonts w:cs="Arial"/>
                <w:sz w:val="16"/>
                <w:szCs w:val="16"/>
              </w:rPr>
              <w:t>(30 participantes)</w:t>
            </w:r>
          </w:p>
        </w:tc>
        <w:tc>
          <w:tcPr>
            <w:tcW w:w="2835" w:type="dxa"/>
          </w:tcPr>
          <w:p w14:paraId="7E7C0DE7" w14:textId="77777777" w:rsidR="00F11A21" w:rsidRPr="005933F6" w:rsidRDefault="00F11A21" w:rsidP="00C30F9D">
            <w:pPr>
              <w:jc w:val="left"/>
              <w:rPr>
                <w:rFonts w:cs="Arial"/>
                <w:sz w:val="16"/>
                <w:szCs w:val="16"/>
              </w:rPr>
            </w:pPr>
          </w:p>
        </w:tc>
      </w:tr>
      <w:tr w:rsidR="00F11A21" w:rsidRPr="005173E1" w14:paraId="45976FE2" w14:textId="77777777" w:rsidTr="00F11A21">
        <w:trPr>
          <w:cantSplit/>
        </w:trPr>
        <w:tc>
          <w:tcPr>
            <w:tcW w:w="2552" w:type="dxa"/>
          </w:tcPr>
          <w:p w14:paraId="24107A9A" w14:textId="77777777" w:rsidR="00F11A21" w:rsidRDefault="00F11A21" w:rsidP="00C30F9D">
            <w:pPr>
              <w:jc w:val="left"/>
              <w:rPr>
                <w:rFonts w:cs="Arial"/>
                <w:sz w:val="16"/>
                <w:szCs w:val="16"/>
              </w:rPr>
            </w:pPr>
            <w:r w:rsidRPr="005933F6">
              <w:rPr>
                <w:rFonts w:cs="Arial"/>
                <w:sz w:val="16"/>
                <w:szCs w:val="16"/>
              </w:rPr>
              <w:t>Intercambio profesional</w:t>
            </w:r>
          </w:p>
        </w:tc>
        <w:tc>
          <w:tcPr>
            <w:tcW w:w="724" w:type="dxa"/>
          </w:tcPr>
          <w:p w14:paraId="273C209E" w14:textId="77777777" w:rsidR="00F11A21" w:rsidRDefault="00F11A21" w:rsidP="00C30F9D">
            <w:pPr>
              <w:jc w:val="left"/>
              <w:rPr>
                <w:rFonts w:cs="Arial"/>
                <w:sz w:val="16"/>
                <w:szCs w:val="16"/>
              </w:rPr>
            </w:pPr>
            <w:r w:rsidRPr="005933F6">
              <w:rPr>
                <w:rFonts w:cs="Arial"/>
                <w:sz w:val="16"/>
                <w:szCs w:val="16"/>
              </w:rPr>
              <w:t>01/2023</w:t>
            </w:r>
          </w:p>
        </w:tc>
        <w:tc>
          <w:tcPr>
            <w:tcW w:w="835" w:type="dxa"/>
          </w:tcPr>
          <w:p w14:paraId="48BC097E" w14:textId="77777777" w:rsidR="00F11A21" w:rsidRDefault="00F11A21" w:rsidP="00C30F9D">
            <w:pPr>
              <w:jc w:val="left"/>
              <w:rPr>
                <w:rFonts w:cs="Arial"/>
                <w:sz w:val="16"/>
                <w:szCs w:val="16"/>
              </w:rPr>
            </w:pPr>
            <w:r w:rsidRPr="005933F6">
              <w:rPr>
                <w:rFonts w:cs="Arial"/>
                <w:sz w:val="16"/>
                <w:szCs w:val="16"/>
              </w:rPr>
              <w:t>Alemania</w:t>
            </w:r>
          </w:p>
        </w:tc>
        <w:tc>
          <w:tcPr>
            <w:tcW w:w="1843" w:type="dxa"/>
          </w:tcPr>
          <w:p w14:paraId="70C4F42C" w14:textId="77777777" w:rsidR="00F11A21" w:rsidRDefault="00F11A21" w:rsidP="00C30F9D">
            <w:pPr>
              <w:jc w:val="left"/>
              <w:rPr>
                <w:rFonts w:cs="Arial"/>
                <w:sz w:val="16"/>
                <w:szCs w:val="16"/>
              </w:rPr>
            </w:pPr>
            <w:r w:rsidRPr="005933F6">
              <w:rPr>
                <w:rFonts w:cs="Arial"/>
                <w:sz w:val="16"/>
                <w:szCs w:val="16"/>
              </w:rPr>
              <w:t xml:space="preserve">BMEL, GFA </w:t>
            </w:r>
            <w:proofErr w:type="spellStart"/>
            <w:r w:rsidRPr="005933F6">
              <w:rPr>
                <w:rFonts w:cs="Arial"/>
                <w:sz w:val="16"/>
                <w:szCs w:val="16"/>
              </w:rPr>
              <w:t>Consulting</w:t>
            </w:r>
            <w:proofErr w:type="spellEnd"/>
            <w:r w:rsidRPr="005933F6">
              <w:rPr>
                <w:rFonts w:cs="Arial"/>
                <w:sz w:val="16"/>
                <w:szCs w:val="16"/>
              </w:rPr>
              <w:t>,</w:t>
            </w:r>
          </w:p>
          <w:p w14:paraId="4ED82E2D" w14:textId="77777777" w:rsidR="00F11A21" w:rsidRDefault="00F11A21" w:rsidP="00C30F9D">
            <w:pPr>
              <w:jc w:val="left"/>
              <w:rPr>
                <w:rFonts w:cs="Arial"/>
                <w:sz w:val="16"/>
                <w:szCs w:val="16"/>
              </w:rPr>
            </w:pPr>
            <w:r w:rsidRPr="005933F6">
              <w:rPr>
                <w:rFonts w:cs="Arial"/>
                <w:sz w:val="16"/>
                <w:szCs w:val="16"/>
              </w:rPr>
              <w:t>BSA</w:t>
            </w:r>
          </w:p>
        </w:tc>
        <w:tc>
          <w:tcPr>
            <w:tcW w:w="3685" w:type="dxa"/>
          </w:tcPr>
          <w:p w14:paraId="5670474B" w14:textId="77777777" w:rsidR="00F11A21" w:rsidRDefault="00F11A21" w:rsidP="00C30F9D">
            <w:pPr>
              <w:jc w:val="left"/>
              <w:rPr>
                <w:rFonts w:cs="Arial"/>
                <w:sz w:val="16"/>
                <w:szCs w:val="16"/>
              </w:rPr>
            </w:pPr>
            <w:r w:rsidRPr="005933F6">
              <w:rPr>
                <w:rFonts w:cs="Arial"/>
                <w:sz w:val="16"/>
                <w:szCs w:val="16"/>
              </w:rPr>
              <w:t>Intercambio profesional en proyectos internacionales</w:t>
            </w:r>
          </w:p>
        </w:tc>
        <w:tc>
          <w:tcPr>
            <w:tcW w:w="2835" w:type="dxa"/>
          </w:tcPr>
          <w:p w14:paraId="2C6BE502" w14:textId="77777777" w:rsidR="00F11A21" w:rsidRDefault="00F11A21" w:rsidP="00C30F9D">
            <w:pPr>
              <w:jc w:val="left"/>
              <w:rPr>
                <w:rFonts w:cs="Arial"/>
                <w:sz w:val="16"/>
                <w:szCs w:val="16"/>
              </w:rPr>
            </w:pPr>
            <w:r w:rsidRPr="005933F6">
              <w:rPr>
                <w:rFonts w:cs="Arial"/>
                <w:sz w:val="16"/>
                <w:szCs w:val="16"/>
              </w:rPr>
              <w:t>Kazajstán + Uzbekistán</w:t>
            </w:r>
          </w:p>
        </w:tc>
        <w:tc>
          <w:tcPr>
            <w:tcW w:w="2835" w:type="dxa"/>
          </w:tcPr>
          <w:p w14:paraId="423D529F" w14:textId="77777777" w:rsidR="00F11A21" w:rsidRDefault="00F11A21" w:rsidP="00C30F9D">
            <w:pPr>
              <w:jc w:val="left"/>
              <w:rPr>
                <w:rFonts w:cs="Arial"/>
                <w:sz w:val="16"/>
                <w:szCs w:val="16"/>
              </w:rPr>
            </w:pPr>
            <w:r w:rsidRPr="005933F6">
              <w:rPr>
                <w:rFonts w:cs="Arial"/>
                <w:sz w:val="16"/>
                <w:szCs w:val="16"/>
              </w:rPr>
              <w:t>GFFA (Feria) y Semana Verde Internacional (Feria)</w:t>
            </w:r>
          </w:p>
        </w:tc>
      </w:tr>
      <w:tr w:rsidR="00F11A21" w:rsidRPr="005173E1" w14:paraId="6C607719" w14:textId="77777777" w:rsidTr="00F11A21">
        <w:tblPrEx>
          <w:tblLook w:val="04A0" w:firstRow="1" w:lastRow="0" w:firstColumn="1" w:lastColumn="0" w:noHBand="0" w:noVBand="1"/>
        </w:tblPrEx>
        <w:trPr>
          <w:cantSplit/>
        </w:trPr>
        <w:tc>
          <w:tcPr>
            <w:tcW w:w="2552" w:type="dxa"/>
          </w:tcPr>
          <w:p w14:paraId="5DAC0DF0" w14:textId="77777777" w:rsidR="00F11A21" w:rsidRDefault="00F11A21" w:rsidP="00C30F9D">
            <w:pPr>
              <w:jc w:val="left"/>
              <w:rPr>
                <w:rFonts w:cs="Arial"/>
                <w:sz w:val="16"/>
                <w:szCs w:val="16"/>
              </w:rPr>
            </w:pPr>
            <w:r w:rsidRPr="005933F6">
              <w:rPr>
                <w:rFonts w:cs="Arial"/>
                <w:sz w:val="16"/>
                <w:szCs w:val="16"/>
              </w:rPr>
              <w:t>Intercambio profesional</w:t>
            </w:r>
          </w:p>
        </w:tc>
        <w:tc>
          <w:tcPr>
            <w:tcW w:w="724" w:type="dxa"/>
          </w:tcPr>
          <w:p w14:paraId="2C9F8C0D" w14:textId="77777777" w:rsidR="00F11A21" w:rsidRDefault="00F11A21" w:rsidP="00C30F9D">
            <w:pPr>
              <w:jc w:val="left"/>
              <w:rPr>
                <w:rFonts w:cs="Arial"/>
                <w:sz w:val="16"/>
                <w:szCs w:val="16"/>
              </w:rPr>
            </w:pPr>
            <w:r w:rsidRPr="005933F6">
              <w:rPr>
                <w:rFonts w:cs="Arial"/>
                <w:sz w:val="16"/>
                <w:szCs w:val="16"/>
              </w:rPr>
              <w:t>01/2023</w:t>
            </w:r>
          </w:p>
        </w:tc>
        <w:tc>
          <w:tcPr>
            <w:tcW w:w="835" w:type="dxa"/>
          </w:tcPr>
          <w:p w14:paraId="7FCC9CB8" w14:textId="77777777" w:rsidR="00F11A21" w:rsidRDefault="00F11A21" w:rsidP="00C30F9D">
            <w:pPr>
              <w:jc w:val="left"/>
              <w:rPr>
                <w:rFonts w:cs="Arial"/>
                <w:sz w:val="16"/>
                <w:szCs w:val="16"/>
              </w:rPr>
            </w:pPr>
            <w:r w:rsidRPr="005933F6">
              <w:rPr>
                <w:rFonts w:cs="Arial"/>
                <w:sz w:val="16"/>
                <w:szCs w:val="16"/>
              </w:rPr>
              <w:t>Alemania</w:t>
            </w:r>
          </w:p>
        </w:tc>
        <w:tc>
          <w:tcPr>
            <w:tcW w:w="1843" w:type="dxa"/>
          </w:tcPr>
          <w:p w14:paraId="67A5426A" w14:textId="77777777" w:rsidR="00F11A21" w:rsidRDefault="00F11A21" w:rsidP="00C30F9D">
            <w:pPr>
              <w:jc w:val="left"/>
              <w:rPr>
                <w:rFonts w:cs="Arial"/>
                <w:sz w:val="16"/>
                <w:szCs w:val="16"/>
              </w:rPr>
            </w:pPr>
            <w:r w:rsidRPr="005933F6">
              <w:rPr>
                <w:rFonts w:cs="Arial"/>
                <w:sz w:val="16"/>
                <w:szCs w:val="16"/>
              </w:rPr>
              <w:t>BMEL, BSA</w:t>
            </w:r>
          </w:p>
        </w:tc>
        <w:tc>
          <w:tcPr>
            <w:tcW w:w="3685" w:type="dxa"/>
          </w:tcPr>
          <w:p w14:paraId="49F1DB36" w14:textId="77777777" w:rsidR="00F11A21" w:rsidRDefault="00F11A21" w:rsidP="00C30F9D">
            <w:pPr>
              <w:jc w:val="left"/>
              <w:rPr>
                <w:rFonts w:cs="Arial"/>
                <w:sz w:val="16"/>
                <w:szCs w:val="16"/>
              </w:rPr>
            </w:pPr>
            <w:r w:rsidRPr="005933F6">
              <w:rPr>
                <w:rFonts w:cs="Arial"/>
                <w:sz w:val="16"/>
                <w:szCs w:val="16"/>
              </w:rPr>
              <w:t>Intercambio profesional en proyectos internacionales</w:t>
            </w:r>
          </w:p>
        </w:tc>
        <w:tc>
          <w:tcPr>
            <w:tcW w:w="2835" w:type="dxa"/>
          </w:tcPr>
          <w:p w14:paraId="5E738660" w14:textId="77777777" w:rsidR="00F11A21" w:rsidRDefault="00F11A21" w:rsidP="00C30F9D">
            <w:pPr>
              <w:jc w:val="left"/>
              <w:rPr>
                <w:rFonts w:cs="Arial"/>
                <w:sz w:val="16"/>
                <w:szCs w:val="16"/>
              </w:rPr>
            </w:pPr>
            <w:r w:rsidRPr="005933F6">
              <w:rPr>
                <w:rFonts w:cs="Arial"/>
                <w:sz w:val="16"/>
                <w:szCs w:val="16"/>
              </w:rPr>
              <w:t>Varios</w:t>
            </w:r>
          </w:p>
        </w:tc>
        <w:tc>
          <w:tcPr>
            <w:tcW w:w="2835" w:type="dxa"/>
          </w:tcPr>
          <w:p w14:paraId="10F6EFF6" w14:textId="77777777" w:rsidR="00F11A21" w:rsidRDefault="00F11A21" w:rsidP="00C30F9D">
            <w:pPr>
              <w:jc w:val="left"/>
              <w:rPr>
                <w:rFonts w:cs="Arial"/>
                <w:sz w:val="16"/>
                <w:szCs w:val="16"/>
              </w:rPr>
            </w:pPr>
            <w:r w:rsidRPr="005933F6">
              <w:rPr>
                <w:rFonts w:cs="Arial"/>
                <w:sz w:val="16"/>
                <w:szCs w:val="16"/>
              </w:rPr>
              <w:t>IPM (Feria de muestras)</w:t>
            </w:r>
          </w:p>
        </w:tc>
      </w:tr>
      <w:tr w:rsidR="00F11A21" w:rsidRPr="005173E1" w14:paraId="56598E87" w14:textId="77777777" w:rsidTr="00F11A21">
        <w:trPr>
          <w:cantSplit/>
        </w:trPr>
        <w:tc>
          <w:tcPr>
            <w:tcW w:w="2552" w:type="dxa"/>
          </w:tcPr>
          <w:p w14:paraId="4BC5E5E7" w14:textId="77777777" w:rsidR="00F11A21" w:rsidRDefault="00F11A21" w:rsidP="00C30F9D">
            <w:pPr>
              <w:jc w:val="left"/>
              <w:rPr>
                <w:rFonts w:cs="Arial"/>
                <w:sz w:val="16"/>
                <w:szCs w:val="16"/>
              </w:rPr>
            </w:pPr>
            <w:r w:rsidRPr="005933F6">
              <w:rPr>
                <w:rFonts w:cs="Arial"/>
                <w:sz w:val="16"/>
                <w:szCs w:val="16"/>
              </w:rPr>
              <w:t>Formación/conferencia/inspección</w:t>
            </w:r>
          </w:p>
        </w:tc>
        <w:tc>
          <w:tcPr>
            <w:tcW w:w="724" w:type="dxa"/>
          </w:tcPr>
          <w:p w14:paraId="0211B772" w14:textId="77777777" w:rsidR="00F11A21" w:rsidRDefault="00F11A21" w:rsidP="00C30F9D">
            <w:pPr>
              <w:jc w:val="left"/>
              <w:rPr>
                <w:rFonts w:cs="Arial"/>
                <w:sz w:val="16"/>
                <w:szCs w:val="16"/>
              </w:rPr>
            </w:pPr>
            <w:r w:rsidRPr="005933F6">
              <w:rPr>
                <w:rFonts w:cs="Arial"/>
                <w:sz w:val="16"/>
                <w:szCs w:val="16"/>
              </w:rPr>
              <w:t>06/2023</w:t>
            </w:r>
          </w:p>
        </w:tc>
        <w:tc>
          <w:tcPr>
            <w:tcW w:w="835" w:type="dxa"/>
          </w:tcPr>
          <w:p w14:paraId="7CB752CC" w14:textId="77777777" w:rsidR="00F11A21" w:rsidRDefault="00F11A21" w:rsidP="00C30F9D">
            <w:pPr>
              <w:jc w:val="left"/>
              <w:rPr>
                <w:rFonts w:cs="Arial"/>
                <w:sz w:val="16"/>
                <w:szCs w:val="16"/>
              </w:rPr>
            </w:pPr>
            <w:r w:rsidRPr="005933F6">
              <w:rPr>
                <w:rFonts w:cs="Arial"/>
                <w:sz w:val="16"/>
                <w:szCs w:val="16"/>
              </w:rPr>
              <w:t>Alemania</w:t>
            </w:r>
          </w:p>
        </w:tc>
        <w:tc>
          <w:tcPr>
            <w:tcW w:w="1843" w:type="dxa"/>
          </w:tcPr>
          <w:p w14:paraId="1FF059C5" w14:textId="77777777" w:rsidR="00F11A21" w:rsidRDefault="00F11A21" w:rsidP="00C30F9D">
            <w:pPr>
              <w:jc w:val="left"/>
              <w:rPr>
                <w:rFonts w:cs="Arial"/>
                <w:sz w:val="16"/>
                <w:szCs w:val="16"/>
              </w:rPr>
            </w:pPr>
            <w:r w:rsidRPr="005933F6">
              <w:rPr>
                <w:rFonts w:cs="Arial"/>
                <w:sz w:val="16"/>
                <w:szCs w:val="16"/>
              </w:rPr>
              <w:t>BSA</w:t>
            </w:r>
          </w:p>
        </w:tc>
        <w:tc>
          <w:tcPr>
            <w:tcW w:w="3685" w:type="dxa"/>
          </w:tcPr>
          <w:p w14:paraId="62B09622" w14:textId="77777777" w:rsidR="00F11A21" w:rsidRDefault="00F11A21" w:rsidP="00C30F9D">
            <w:pPr>
              <w:jc w:val="left"/>
              <w:rPr>
                <w:rFonts w:cs="Arial"/>
                <w:sz w:val="16"/>
                <w:szCs w:val="16"/>
              </w:rPr>
            </w:pPr>
            <w:r w:rsidRPr="005933F6">
              <w:rPr>
                <w:rFonts w:cs="Arial"/>
                <w:sz w:val="16"/>
                <w:szCs w:val="16"/>
              </w:rPr>
              <w:t>Fundamentos de la protección de las obtenciones vegetales en la práctica del examen</w:t>
            </w:r>
          </w:p>
        </w:tc>
        <w:tc>
          <w:tcPr>
            <w:tcW w:w="2835" w:type="dxa"/>
          </w:tcPr>
          <w:p w14:paraId="2B7C7FB4" w14:textId="77777777" w:rsidR="00F11A21" w:rsidRDefault="00F11A21" w:rsidP="00C30F9D">
            <w:pPr>
              <w:jc w:val="left"/>
              <w:rPr>
                <w:rFonts w:cs="Arial"/>
                <w:sz w:val="16"/>
                <w:szCs w:val="16"/>
              </w:rPr>
            </w:pPr>
            <w:r w:rsidRPr="005933F6">
              <w:rPr>
                <w:rFonts w:cs="Arial"/>
                <w:sz w:val="16"/>
                <w:szCs w:val="16"/>
              </w:rPr>
              <w:t>Asistente jurídico de patentes</w:t>
            </w:r>
          </w:p>
          <w:p w14:paraId="623BDEB3" w14:textId="77777777" w:rsidR="00F11A21" w:rsidRDefault="00F11A21" w:rsidP="00C30F9D">
            <w:pPr>
              <w:jc w:val="left"/>
              <w:rPr>
                <w:rFonts w:cs="Arial"/>
                <w:sz w:val="16"/>
                <w:szCs w:val="16"/>
              </w:rPr>
            </w:pPr>
            <w:r w:rsidRPr="005933F6">
              <w:rPr>
                <w:rFonts w:cs="Arial"/>
                <w:sz w:val="16"/>
                <w:szCs w:val="16"/>
              </w:rPr>
              <w:t>(10 participantes)</w:t>
            </w:r>
          </w:p>
        </w:tc>
        <w:tc>
          <w:tcPr>
            <w:tcW w:w="2835" w:type="dxa"/>
          </w:tcPr>
          <w:p w14:paraId="2DDB6FB7" w14:textId="77777777" w:rsidR="00F11A21" w:rsidRDefault="00F11A21" w:rsidP="00C30F9D">
            <w:pPr>
              <w:jc w:val="left"/>
              <w:rPr>
                <w:rFonts w:cs="Arial"/>
                <w:sz w:val="16"/>
                <w:szCs w:val="16"/>
              </w:rPr>
            </w:pPr>
            <w:r w:rsidRPr="005933F6">
              <w:rPr>
                <w:rFonts w:cs="Arial"/>
                <w:sz w:val="16"/>
                <w:szCs w:val="16"/>
              </w:rPr>
              <w:t>Formación regular</w:t>
            </w:r>
          </w:p>
        </w:tc>
      </w:tr>
      <w:tr w:rsidR="00F11A21" w:rsidRPr="005173E1" w14:paraId="398EF1E4" w14:textId="77777777" w:rsidTr="00F11A21">
        <w:trPr>
          <w:cantSplit/>
        </w:trPr>
        <w:tc>
          <w:tcPr>
            <w:tcW w:w="2552" w:type="dxa"/>
          </w:tcPr>
          <w:p w14:paraId="44BDC315" w14:textId="77777777" w:rsidR="00F11A21" w:rsidRDefault="00F11A21" w:rsidP="00C30F9D">
            <w:pPr>
              <w:jc w:val="left"/>
              <w:rPr>
                <w:rFonts w:cs="Arial"/>
                <w:sz w:val="16"/>
                <w:szCs w:val="16"/>
              </w:rPr>
            </w:pPr>
            <w:r w:rsidRPr="005933F6">
              <w:rPr>
                <w:rFonts w:cs="Arial"/>
                <w:sz w:val="16"/>
                <w:szCs w:val="16"/>
              </w:rPr>
              <w:t>Formación/conferencia/inspección</w:t>
            </w:r>
          </w:p>
        </w:tc>
        <w:tc>
          <w:tcPr>
            <w:tcW w:w="724" w:type="dxa"/>
          </w:tcPr>
          <w:p w14:paraId="3EF1E800" w14:textId="77777777" w:rsidR="00F11A21" w:rsidRDefault="00F11A21" w:rsidP="00C30F9D">
            <w:pPr>
              <w:jc w:val="left"/>
              <w:rPr>
                <w:rFonts w:cs="Arial"/>
                <w:sz w:val="16"/>
                <w:szCs w:val="16"/>
              </w:rPr>
            </w:pPr>
            <w:r w:rsidRPr="005933F6">
              <w:rPr>
                <w:rFonts w:cs="Arial"/>
                <w:sz w:val="16"/>
                <w:szCs w:val="16"/>
              </w:rPr>
              <w:t>06/2023</w:t>
            </w:r>
          </w:p>
        </w:tc>
        <w:tc>
          <w:tcPr>
            <w:tcW w:w="835" w:type="dxa"/>
          </w:tcPr>
          <w:p w14:paraId="615E2D00" w14:textId="77777777" w:rsidR="00F11A21" w:rsidRDefault="00F11A21" w:rsidP="00C30F9D">
            <w:pPr>
              <w:jc w:val="left"/>
              <w:rPr>
                <w:rFonts w:cs="Arial"/>
                <w:sz w:val="16"/>
                <w:szCs w:val="16"/>
              </w:rPr>
            </w:pPr>
            <w:r w:rsidRPr="005933F6">
              <w:rPr>
                <w:rFonts w:cs="Arial"/>
                <w:sz w:val="16"/>
                <w:szCs w:val="16"/>
              </w:rPr>
              <w:t>Alemania</w:t>
            </w:r>
          </w:p>
        </w:tc>
        <w:tc>
          <w:tcPr>
            <w:tcW w:w="1843" w:type="dxa"/>
          </w:tcPr>
          <w:p w14:paraId="74F15381" w14:textId="77777777" w:rsidR="00F11A21" w:rsidRDefault="00F11A21" w:rsidP="00C30F9D">
            <w:pPr>
              <w:jc w:val="left"/>
              <w:rPr>
                <w:rFonts w:cs="Arial"/>
                <w:sz w:val="16"/>
                <w:szCs w:val="16"/>
              </w:rPr>
            </w:pPr>
            <w:r w:rsidRPr="005933F6">
              <w:rPr>
                <w:rFonts w:cs="Arial"/>
                <w:sz w:val="16"/>
                <w:szCs w:val="16"/>
              </w:rPr>
              <w:t>BMBF, BSA</w:t>
            </w:r>
          </w:p>
        </w:tc>
        <w:tc>
          <w:tcPr>
            <w:tcW w:w="3685" w:type="dxa"/>
          </w:tcPr>
          <w:p w14:paraId="691D7B64" w14:textId="77777777" w:rsidR="00F11A21" w:rsidRDefault="00F11A21" w:rsidP="00C30F9D">
            <w:pPr>
              <w:jc w:val="left"/>
              <w:rPr>
                <w:rFonts w:cs="Arial"/>
                <w:sz w:val="16"/>
                <w:szCs w:val="16"/>
              </w:rPr>
            </w:pPr>
            <w:r w:rsidRPr="005933F6">
              <w:rPr>
                <w:rFonts w:cs="Arial"/>
                <w:sz w:val="16"/>
                <w:szCs w:val="16"/>
              </w:rPr>
              <w:t>Promoción por el BMBF de jóvenes investigadores en fitomejoramiento</w:t>
            </w:r>
          </w:p>
        </w:tc>
        <w:tc>
          <w:tcPr>
            <w:tcW w:w="2835" w:type="dxa"/>
          </w:tcPr>
          <w:p w14:paraId="2B138B2A" w14:textId="77777777" w:rsidR="00F11A21" w:rsidRDefault="00F11A21" w:rsidP="00C30F9D">
            <w:pPr>
              <w:jc w:val="left"/>
              <w:rPr>
                <w:rFonts w:cs="Arial"/>
                <w:sz w:val="16"/>
                <w:szCs w:val="16"/>
              </w:rPr>
            </w:pPr>
            <w:r w:rsidRPr="005933F6">
              <w:rPr>
                <w:rFonts w:cs="Arial"/>
                <w:sz w:val="16"/>
                <w:szCs w:val="16"/>
              </w:rPr>
              <w:t>Alemania (30 participantes)</w:t>
            </w:r>
          </w:p>
        </w:tc>
        <w:tc>
          <w:tcPr>
            <w:tcW w:w="2835" w:type="dxa"/>
          </w:tcPr>
          <w:p w14:paraId="27CE89F3" w14:textId="77777777" w:rsidR="00F11A21" w:rsidRDefault="00F11A21" w:rsidP="00C30F9D">
            <w:pPr>
              <w:jc w:val="left"/>
              <w:rPr>
                <w:rFonts w:cs="Arial"/>
                <w:sz w:val="16"/>
                <w:szCs w:val="16"/>
              </w:rPr>
            </w:pPr>
            <w:r w:rsidRPr="005933F6">
              <w:rPr>
                <w:rFonts w:cs="Arial"/>
                <w:sz w:val="16"/>
                <w:szCs w:val="16"/>
              </w:rPr>
              <w:t>Promoción por el BMBF de jóvenes investigadores en fitomejoramiento</w:t>
            </w:r>
          </w:p>
        </w:tc>
      </w:tr>
    </w:tbl>
    <w:p w14:paraId="3BE27DA9" w14:textId="77777777" w:rsidR="00F11A21" w:rsidRDefault="00F11A21" w:rsidP="00F11A21">
      <w:pPr>
        <w:jc w:val="left"/>
      </w:pPr>
    </w:p>
    <w:p w14:paraId="61B174B2" w14:textId="285B9DC2" w:rsidR="005A5957" w:rsidRPr="009F74EC" w:rsidRDefault="005A5957" w:rsidP="00F11A21">
      <w:pPr>
        <w:jc w:val="right"/>
      </w:pPr>
      <w:r w:rsidRPr="009F74EC">
        <w:t>[Sigue el Anexo III]</w:t>
      </w:r>
    </w:p>
    <w:p w14:paraId="6FD6A927" w14:textId="77777777" w:rsidR="005A5957" w:rsidRPr="009F74EC" w:rsidRDefault="005A5957" w:rsidP="005A5957">
      <w:pPr>
        <w:jc w:val="center"/>
        <w:sectPr w:rsidR="005A5957" w:rsidRPr="009F74EC" w:rsidSect="00F11A21">
          <w:headerReference w:type="default" r:id="rId11"/>
          <w:pgSz w:w="16840" w:h="11907" w:orient="landscape" w:code="9"/>
          <w:pgMar w:top="510" w:right="851" w:bottom="284" w:left="851" w:header="510" w:footer="680" w:gutter="0"/>
          <w:pgNumType w:start="1"/>
          <w:cols w:space="720"/>
          <w:titlePg/>
          <w:docGrid w:linePitch="272"/>
        </w:sectPr>
      </w:pPr>
    </w:p>
    <w:p w14:paraId="19242ADE" w14:textId="77777777" w:rsidR="005A5957" w:rsidRPr="009F74EC" w:rsidRDefault="005A5957" w:rsidP="005A5957">
      <w:pPr>
        <w:jc w:val="center"/>
      </w:pPr>
      <w:r w:rsidRPr="009F74EC">
        <w:lastRenderedPageBreak/>
        <w:t>C/57/13</w:t>
      </w:r>
    </w:p>
    <w:p w14:paraId="1B8D3721" w14:textId="77777777" w:rsidR="005A5957" w:rsidRPr="009F74EC" w:rsidRDefault="005A5957" w:rsidP="005A5957">
      <w:pPr>
        <w:jc w:val="center"/>
      </w:pPr>
    </w:p>
    <w:p w14:paraId="1388B479" w14:textId="77777777" w:rsidR="005A5957" w:rsidRPr="009F74EC" w:rsidRDefault="005A5957" w:rsidP="005A5957">
      <w:pPr>
        <w:jc w:val="center"/>
      </w:pPr>
      <w:r w:rsidRPr="009F74EC">
        <w:t>ANEXO III</w:t>
      </w:r>
    </w:p>
    <w:p w14:paraId="7E80445E" w14:textId="77777777" w:rsidR="005A5957" w:rsidRPr="009F74EC" w:rsidRDefault="005A5957" w:rsidP="005A5957">
      <w:pPr>
        <w:jc w:val="center"/>
      </w:pPr>
    </w:p>
    <w:p w14:paraId="19CBD61E" w14:textId="77777777" w:rsidR="005A5957" w:rsidRPr="009F74EC" w:rsidRDefault="005A5957" w:rsidP="005A5957">
      <w:pPr>
        <w:jc w:val="center"/>
      </w:pPr>
    </w:p>
    <w:p w14:paraId="3BE1FC10" w14:textId="77777777" w:rsidR="005A5957" w:rsidRPr="009F74EC" w:rsidRDefault="005A5957" w:rsidP="005A5957">
      <w:pPr>
        <w:jc w:val="center"/>
      </w:pPr>
      <w:r w:rsidRPr="009F74EC">
        <w:t>BELARÚS</w:t>
      </w:r>
    </w:p>
    <w:p w14:paraId="5DFCA41E" w14:textId="77777777" w:rsidR="00633DB1" w:rsidRPr="009F74EC" w:rsidRDefault="00633DB1" w:rsidP="00633DB1">
      <w:pPr>
        <w:jc w:val="center"/>
      </w:pPr>
      <w:r w:rsidRPr="009F74EC">
        <w:t>(Idioma original: inglés)</w:t>
      </w:r>
    </w:p>
    <w:p w14:paraId="4031076A" w14:textId="77777777" w:rsidR="00633DB1" w:rsidRPr="009F74EC" w:rsidRDefault="00633DB1" w:rsidP="00633DB1"/>
    <w:p w14:paraId="33F6324B" w14:textId="77777777" w:rsidR="00633DB1" w:rsidRPr="009F74EC" w:rsidRDefault="00633DB1" w:rsidP="00633DB1">
      <w:pPr>
        <w:pStyle w:val="Disclaimer"/>
        <w:spacing w:after="360"/>
        <w:jc w:val="center"/>
        <w:rPr>
          <w:sz w:val="18"/>
          <w:szCs w:val="18"/>
        </w:rPr>
      </w:pPr>
      <w:r w:rsidRPr="009F74EC">
        <w:rPr>
          <w:sz w:val="18"/>
          <w:szCs w:val="18"/>
        </w:rPr>
        <w:t xml:space="preserve">Esta traducción se ha generado mediante traducción automática y no puede garantizarse su exactitud. </w:t>
      </w:r>
      <w:r w:rsidRPr="009F74EC">
        <w:rPr>
          <w:sz w:val="18"/>
          <w:szCs w:val="18"/>
        </w:rPr>
        <w:br/>
        <w:t>Por lo tanto, el texto en el idioma original es la única versión auténtica.</w:t>
      </w:r>
    </w:p>
    <w:p w14:paraId="2702CD1C" w14:textId="77777777" w:rsidR="005A5957" w:rsidRPr="009F74EC" w:rsidRDefault="005A5957" w:rsidP="005A5957">
      <w:r w:rsidRPr="009F74EC">
        <w:t>I.</w:t>
      </w:r>
      <w:r w:rsidRPr="009F74EC">
        <w:tab/>
        <w:t>PROTECCIÓN DE LAS OBTENCIONES VEGETALES</w:t>
      </w:r>
    </w:p>
    <w:p w14:paraId="31836AA3" w14:textId="77777777" w:rsidR="005A5957" w:rsidRPr="009F74EC" w:rsidRDefault="005A5957" w:rsidP="005A5957"/>
    <w:p w14:paraId="199EC349" w14:textId="77777777" w:rsidR="005A5957" w:rsidRPr="009F74EC" w:rsidRDefault="005A5957" w:rsidP="005A5957">
      <w:r w:rsidRPr="009F74EC">
        <w:t xml:space="preserve">1. </w:t>
      </w:r>
      <w:r w:rsidRPr="009F74EC">
        <w:tab/>
        <w:t>Situación en el ámbito legislativo</w:t>
      </w:r>
    </w:p>
    <w:p w14:paraId="7AB699B6" w14:textId="77777777" w:rsidR="005A5957" w:rsidRPr="009F74EC" w:rsidRDefault="005A5957" w:rsidP="005A5957"/>
    <w:p w14:paraId="4A33E549" w14:textId="77777777" w:rsidR="005A5957" w:rsidRPr="009F74EC" w:rsidRDefault="005A5957" w:rsidP="005A5957">
      <w:pPr>
        <w:rPr>
          <w:i/>
          <w:iCs/>
        </w:rPr>
      </w:pPr>
      <w:r w:rsidRPr="009F74EC">
        <w:rPr>
          <w:i/>
          <w:iCs/>
        </w:rPr>
        <w:t xml:space="preserve">Cambios en la legislación de la República de </w:t>
      </w:r>
      <w:proofErr w:type="spellStart"/>
      <w:r w:rsidRPr="009F74EC">
        <w:rPr>
          <w:i/>
          <w:iCs/>
        </w:rPr>
        <w:t>Belarús</w:t>
      </w:r>
      <w:proofErr w:type="spellEnd"/>
    </w:p>
    <w:p w14:paraId="43EFF943" w14:textId="77777777" w:rsidR="005A5957" w:rsidRPr="009F74EC" w:rsidRDefault="005A5957" w:rsidP="005A5957"/>
    <w:p w14:paraId="683A4DB6" w14:textId="77777777" w:rsidR="005A5957" w:rsidRPr="009F74EC" w:rsidRDefault="005A5957" w:rsidP="005A5957">
      <w:pPr>
        <w:spacing w:after="120"/>
      </w:pPr>
      <w:r w:rsidRPr="009F74EC">
        <w:t>"Sobre la mejora genética y la multiplicación de semillas de plantas agrícolas"</w:t>
      </w:r>
    </w:p>
    <w:p w14:paraId="1FC43F2C" w14:textId="77777777" w:rsidR="005A5957" w:rsidRPr="009F74EC" w:rsidRDefault="005A5957" w:rsidP="005A5957">
      <w:pPr>
        <w:spacing w:after="120"/>
      </w:pPr>
      <w:r w:rsidRPr="009F74EC">
        <w:t>en el artículo 22:</w:t>
      </w:r>
    </w:p>
    <w:p w14:paraId="46B83EB8" w14:textId="77777777" w:rsidR="005A5957" w:rsidRPr="009F74EC" w:rsidRDefault="005A5957" w:rsidP="005A5957">
      <w:r w:rsidRPr="009F74EC">
        <w:t xml:space="preserve">"La aprobación de parcelas de multiplicación de semillas de plantas agrícolas pertenecientes a variedades inscritas en el Registro Estatal de Variedades Vegetales Protegidas de la República de </w:t>
      </w:r>
      <w:proofErr w:type="spellStart"/>
      <w:r w:rsidRPr="009F74EC">
        <w:t>Belarús</w:t>
      </w:r>
      <w:proofErr w:type="spellEnd"/>
      <w:r w:rsidRPr="009F74EC">
        <w:t>, cuyas semillas están destinadas a la venta, se lleva a cabo si la persona interesada está autorizada a utilizar la variedad de planta agrícola de conformidad con la legislación sobre patentes de variedades vegetales."</w:t>
      </w:r>
    </w:p>
    <w:p w14:paraId="254AFA7A" w14:textId="77777777" w:rsidR="005A5957" w:rsidRPr="009F74EC" w:rsidRDefault="005A5957" w:rsidP="005A5957"/>
    <w:p w14:paraId="4877E7CC" w14:textId="203090B0" w:rsidR="005A5957" w:rsidRPr="009F74EC" w:rsidRDefault="005A5957" w:rsidP="005A5957">
      <w:r w:rsidRPr="009F74EC">
        <w:t>1.1</w:t>
      </w:r>
      <w:r w:rsidR="00A02C96">
        <w:tab/>
      </w:r>
      <w:r w:rsidRPr="009F74EC">
        <w:t xml:space="preserve">Modificaciones de la ley y de los reglamentos de aplicación:  Ninguna modificación </w:t>
      </w:r>
    </w:p>
    <w:p w14:paraId="3B044FE8" w14:textId="77777777" w:rsidR="005A5957" w:rsidRPr="009F74EC" w:rsidRDefault="005A5957" w:rsidP="005A5957"/>
    <w:p w14:paraId="2F7A461B" w14:textId="022B818A" w:rsidR="005A5957" w:rsidRPr="009F74EC" w:rsidRDefault="005A5957" w:rsidP="005A5957">
      <w:pPr>
        <w:ind w:left="567" w:hanging="567"/>
      </w:pPr>
      <w:r w:rsidRPr="009F74EC">
        <w:t>1.2</w:t>
      </w:r>
      <w:r w:rsidR="00A02C96">
        <w:tab/>
      </w:r>
      <w:r w:rsidRPr="009F74EC">
        <w:t xml:space="preserve">Ampliación de la protección a otros géneros y especies:  En </w:t>
      </w:r>
      <w:proofErr w:type="spellStart"/>
      <w:r w:rsidRPr="009F74EC">
        <w:t>Belarús</w:t>
      </w:r>
      <w:proofErr w:type="spellEnd"/>
      <w:r w:rsidRPr="009F74EC">
        <w:t xml:space="preserve"> todos los géneros y especies están protegidos.</w:t>
      </w:r>
    </w:p>
    <w:p w14:paraId="00E056F3" w14:textId="77777777" w:rsidR="005A5957" w:rsidRPr="009F74EC" w:rsidRDefault="005A5957" w:rsidP="005A5957"/>
    <w:p w14:paraId="39745349" w14:textId="5A153730" w:rsidR="005A5957" w:rsidRPr="009F74EC" w:rsidRDefault="005A5957" w:rsidP="005A5957">
      <w:r w:rsidRPr="009F74EC">
        <w:t>1.3</w:t>
      </w:r>
      <w:r w:rsidR="00A02C96">
        <w:tab/>
      </w:r>
      <w:r w:rsidRPr="009F74EC">
        <w:t>Jurisprudencia - Sin cambios</w:t>
      </w:r>
    </w:p>
    <w:p w14:paraId="3EABFB67" w14:textId="77777777" w:rsidR="005A5957" w:rsidRPr="009F74EC" w:rsidRDefault="005A5957" w:rsidP="005A5957"/>
    <w:p w14:paraId="66D8623A" w14:textId="77777777" w:rsidR="005A5957" w:rsidRPr="009F74EC" w:rsidRDefault="005A5957" w:rsidP="005A5957"/>
    <w:p w14:paraId="163D33AC" w14:textId="77777777" w:rsidR="005A5957" w:rsidRPr="009F74EC" w:rsidRDefault="005A5957" w:rsidP="005A5957">
      <w:r w:rsidRPr="009F74EC">
        <w:t>2.</w:t>
      </w:r>
      <w:r w:rsidRPr="009F74EC">
        <w:tab/>
      </w:r>
      <w:r w:rsidRPr="009F74EC">
        <w:rPr>
          <w:u w:val="single"/>
        </w:rPr>
        <w:t>Cooperación en el examen</w:t>
      </w:r>
    </w:p>
    <w:p w14:paraId="44F416D7" w14:textId="77777777" w:rsidR="005A5957" w:rsidRPr="009F74EC" w:rsidRDefault="005A5957" w:rsidP="005A5957">
      <w:pPr>
        <w:tabs>
          <w:tab w:val="left" w:pos="426"/>
          <w:tab w:val="left" w:pos="851"/>
        </w:tabs>
      </w:pPr>
    </w:p>
    <w:p w14:paraId="631D0946" w14:textId="7AF32525" w:rsidR="005A5957" w:rsidRPr="009F74EC" w:rsidRDefault="005A5957" w:rsidP="005A5957">
      <w:pPr>
        <w:tabs>
          <w:tab w:val="left" w:pos="426"/>
          <w:tab w:val="left" w:pos="851"/>
        </w:tabs>
      </w:pPr>
      <w:r w:rsidRPr="009F74EC">
        <w:t>-</w:t>
      </w:r>
      <w:r w:rsidR="00A02C96">
        <w:tab/>
      </w:r>
      <w:r w:rsidRPr="009F74EC">
        <w:t xml:space="preserve">Conclusión de nuevos acuerdos (finalizados, en curso o previstos) </w:t>
      </w:r>
    </w:p>
    <w:p w14:paraId="6BF9B418" w14:textId="77777777" w:rsidR="005A5957" w:rsidRPr="009F74EC" w:rsidRDefault="005A5957" w:rsidP="005A5957">
      <w:pPr>
        <w:tabs>
          <w:tab w:val="left" w:pos="426"/>
          <w:tab w:val="left" w:pos="851"/>
        </w:tabs>
      </w:pPr>
    </w:p>
    <w:p w14:paraId="657EEB9C" w14:textId="77777777" w:rsidR="005A5957" w:rsidRPr="009F74EC" w:rsidRDefault="005A5957" w:rsidP="005A5957">
      <w:pPr>
        <w:tabs>
          <w:tab w:val="left" w:pos="426"/>
          <w:tab w:val="left" w:pos="851"/>
        </w:tabs>
      </w:pPr>
      <w:r w:rsidRPr="009F74EC">
        <w:t xml:space="preserve">En 2023, </w:t>
      </w:r>
      <w:proofErr w:type="spellStart"/>
      <w:r w:rsidRPr="009F74EC">
        <w:t>Belarús</w:t>
      </w:r>
      <w:proofErr w:type="spellEnd"/>
      <w:r w:rsidRPr="009F74EC">
        <w:t xml:space="preserve"> siguió cooperando con Kazajstán y Uzbekistán en el ámbito de los ensayos VCU y DHE en virtud de un acuerdo bilateral, y con la Federación de Rusia, Armenia, Kazajstán y Kirguistán en el marco de la Unión Euroasiática.</w:t>
      </w:r>
    </w:p>
    <w:p w14:paraId="5121B948" w14:textId="77777777" w:rsidR="005A5957" w:rsidRPr="009F74EC" w:rsidRDefault="005A5957" w:rsidP="005A5957">
      <w:pPr>
        <w:tabs>
          <w:tab w:val="left" w:pos="426"/>
          <w:tab w:val="left" w:pos="851"/>
        </w:tabs>
      </w:pPr>
    </w:p>
    <w:p w14:paraId="15CDD16E" w14:textId="5CE5052F" w:rsidR="005A5957" w:rsidRPr="009F74EC" w:rsidRDefault="005A5957" w:rsidP="005A5957">
      <w:pPr>
        <w:tabs>
          <w:tab w:val="left" w:pos="426"/>
          <w:tab w:val="left" w:pos="851"/>
        </w:tabs>
      </w:pPr>
      <w:r w:rsidRPr="009F74EC">
        <w:t>-</w:t>
      </w:r>
      <w:r w:rsidR="00A02C96">
        <w:tab/>
      </w:r>
      <w:r w:rsidRPr="009F74EC">
        <w:t>Modificación de acuerdos existentes (finalizados, en curso o previstos) - No</w:t>
      </w:r>
    </w:p>
    <w:p w14:paraId="13E82D60" w14:textId="77777777" w:rsidR="005A5957" w:rsidRPr="009F74EC" w:rsidRDefault="005A5957" w:rsidP="005A5957">
      <w:pPr>
        <w:tabs>
          <w:tab w:val="left" w:pos="426"/>
          <w:tab w:val="left" w:pos="851"/>
        </w:tabs>
      </w:pPr>
    </w:p>
    <w:p w14:paraId="4D216922" w14:textId="77777777" w:rsidR="005A5957" w:rsidRPr="009F74EC" w:rsidRDefault="005A5957" w:rsidP="005A5957">
      <w:pPr>
        <w:tabs>
          <w:tab w:val="left" w:pos="426"/>
          <w:tab w:val="left" w:pos="851"/>
        </w:tabs>
      </w:pPr>
    </w:p>
    <w:p w14:paraId="15CB0C1B" w14:textId="77777777" w:rsidR="005A5957" w:rsidRPr="009F74EC" w:rsidRDefault="005A5957" w:rsidP="005A5957">
      <w:pPr>
        <w:rPr>
          <w:u w:val="single"/>
        </w:rPr>
      </w:pPr>
      <w:r w:rsidRPr="009F74EC">
        <w:t>3.</w:t>
      </w:r>
      <w:r w:rsidRPr="009F74EC">
        <w:tab/>
      </w:r>
      <w:r w:rsidRPr="009F74EC">
        <w:rPr>
          <w:u w:val="single"/>
        </w:rPr>
        <w:t>Situación en el ámbito administrativo</w:t>
      </w:r>
      <w:r w:rsidRPr="009F74EC">
        <w:t>:  Sin cambios</w:t>
      </w:r>
    </w:p>
    <w:p w14:paraId="299C179D" w14:textId="77777777" w:rsidR="005A5957" w:rsidRPr="009F74EC" w:rsidRDefault="005A5957" w:rsidP="005A5957"/>
    <w:p w14:paraId="6442B787" w14:textId="77777777" w:rsidR="005A5957" w:rsidRPr="009F74EC" w:rsidRDefault="005A5957" w:rsidP="005A5957"/>
    <w:p w14:paraId="6E87998C" w14:textId="77777777" w:rsidR="005A5957" w:rsidRPr="009F74EC" w:rsidRDefault="005A5957" w:rsidP="005A5957">
      <w:r w:rsidRPr="009F74EC">
        <w:t>4.</w:t>
      </w:r>
      <w:r w:rsidRPr="009F74EC">
        <w:tab/>
      </w:r>
      <w:r w:rsidRPr="009F74EC">
        <w:rPr>
          <w:u w:val="single"/>
        </w:rPr>
        <w:t>Situación en el ámbito técnico</w:t>
      </w:r>
    </w:p>
    <w:p w14:paraId="631A7217" w14:textId="77777777" w:rsidR="005A5957" w:rsidRPr="009F74EC" w:rsidRDefault="005A5957" w:rsidP="005A5957"/>
    <w:p w14:paraId="0897BB4B" w14:textId="77777777" w:rsidR="005A5957" w:rsidRPr="009F74EC" w:rsidRDefault="005A5957" w:rsidP="005A5957">
      <w:r w:rsidRPr="009F74EC">
        <w:t>Revisión parcial de 10 directrices de ensayo, número total de directrices de ensayo existentes:  293.</w:t>
      </w:r>
    </w:p>
    <w:p w14:paraId="3FF8E50B" w14:textId="77777777" w:rsidR="005A5957" w:rsidRPr="009F74EC" w:rsidRDefault="005A5957" w:rsidP="005A5957"/>
    <w:p w14:paraId="4A77A4B2" w14:textId="77777777" w:rsidR="005A5957" w:rsidRPr="009F74EC" w:rsidRDefault="005A5957" w:rsidP="005A5957">
      <w:r w:rsidRPr="009F74EC">
        <w:t>Se preparó un catálogo fotográfico de las características morfológicas esenciales de la fresa (Fragaria L.).</w:t>
      </w:r>
    </w:p>
    <w:p w14:paraId="6AF6285D" w14:textId="77777777" w:rsidR="005A5957" w:rsidRPr="009F74EC" w:rsidRDefault="005A5957" w:rsidP="005A5957"/>
    <w:p w14:paraId="0077609D" w14:textId="77777777" w:rsidR="005A5957" w:rsidRPr="009F74EC" w:rsidRDefault="005A5957" w:rsidP="005A5957">
      <w:r w:rsidRPr="009F74EC">
        <w:t>En 2023 se celebró un seminario de formación para todos los expertos del DUS en la Universidad Agrícola de Grodno.</w:t>
      </w:r>
    </w:p>
    <w:p w14:paraId="7EC21F01" w14:textId="77777777" w:rsidR="005A5957" w:rsidRPr="009F74EC" w:rsidRDefault="005A5957" w:rsidP="005A5957"/>
    <w:p w14:paraId="782C5D80" w14:textId="77777777" w:rsidR="005A5957" w:rsidRPr="009F74EC" w:rsidRDefault="005A5957" w:rsidP="005A5957"/>
    <w:p w14:paraId="590BF1B5" w14:textId="77777777" w:rsidR="005A5957" w:rsidRPr="009F74EC" w:rsidRDefault="005A5957" w:rsidP="005A5957">
      <w:pPr>
        <w:jc w:val="left"/>
      </w:pPr>
      <w:r w:rsidRPr="009F74EC">
        <w:br w:type="page"/>
      </w:r>
    </w:p>
    <w:p w14:paraId="3A44907C" w14:textId="77777777" w:rsidR="005A5957" w:rsidRPr="009F74EC" w:rsidRDefault="005A5957" w:rsidP="005A5957">
      <w:pPr>
        <w:rPr>
          <w:u w:val="single"/>
        </w:rPr>
      </w:pPr>
      <w:r w:rsidRPr="009F74EC">
        <w:lastRenderedPageBreak/>
        <w:t>5.</w:t>
      </w:r>
      <w:r w:rsidRPr="009F74EC">
        <w:tab/>
      </w:r>
      <w:r w:rsidRPr="009F74EC">
        <w:rPr>
          <w:u w:val="single"/>
        </w:rPr>
        <w:t>Actividades de fomento de la protección de las obtenciones vegetales</w:t>
      </w:r>
    </w:p>
    <w:p w14:paraId="7367B5D1" w14:textId="77777777" w:rsidR="005A5957" w:rsidRPr="009F74EC" w:rsidRDefault="005A5957" w:rsidP="005A5957"/>
    <w:tbl>
      <w:tblPr>
        <w:tblStyle w:val="TableGrid"/>
        <w:tblW w:w="10093" w:type="dxa"/>
        <w:tblInd w:w="-147" w:type="dxa"/>
        <w:tblLayout w:type="fixed"/>
        <w:tblCellMar>
          <w:top w:w="28" w:type="dxa"/>
          <w:left w:w="28" w:type="dxa"/>
          <w:bottom w:w="28" w:type="dxa"/>
          <w:right w:w="28" w:type="dxa"/>
        </w:tblCellMar>
        <w:tblLook w:val="01E0" w:firstRow="1" w:lastRow="1" w:firstColumn="1" w:lastColumn="1" w:noHBand="0" w:noVBand="0"/>
      </w:tblPr>
      <w:tblGrid>
        <w:gridCol w:w="1276"/>
        <w:gridCol w:w="821"/>
        <w:gridCol w:w="1022"/>
        <w:gridCol w:w="1304"/>
        <w:gridCol w:w="2126"/>
        <w:gridCol w:w="1985"/>
        <w:gridCol w:w="1559"/>
      </w:tblGrid>
      <w:tr w:rsidR="005A5957" w:rsidRPr="009F74EC" w14:paraId="13200879" w14:textId="77777777" w:rsidTr="00A02C96">
        <w:tc>
          <w:tcPr>
            <w:tcW w:w="1276" w:type="dxa"/>
          </w:tcPr>
          <w:p w14:paraId="6CB70BC8" w14:textId="77777777" w:rsidR="005A5957" w:rsidRPr="009F74EC" w:rsidRDefault="005A5957" w:rsidP="00C30F9D">
            <w:pPr>
              <w:keepNext/>
              <w:jc w:val="left"/>
              <w:rPr>
                <w:sz w:val="16"/>
              </w:rPr>
            </w:pPr>
            <w:r w:rsidRPr="009F74EC">
              <w:rPr>
                <w:sz w:val="16"/>
              </w:rPr>
              <w:t>Título de la actividad</w:t>
            </w:r>
          </w:p>
        </w:tc>
        <w:tc>
          <w:tcPr>
            <w:tcW w:w="821" w:type="dxa"/>
          </w:tcPr>
          <w:p w14:paraId="454BF769" w14:textId="77777777" w:rsidR="005A5957" w:rsidRPr="009F74EC" w:rsidRDefault="005A5957" w:rsidP="00C30F9D">
            <w:pPr>
              <w:keepNext/>
              <w:jc w:val="left"/>
              <w:rPr>
                <w:sz w:val="16"/>
              </w:rPr>
            </w:pPr>
            <w:r w:rsidRPr="009F74EC">
              <w:rPr>
                <w:sz w:val="16"/>
              </w:rPr>
              <w:t>Fecha</w:t>
            </w:r>
          </w:p>
        </w:tc>
        <w:tc>
          <w:tcPr>
            <w:tcW w:w="1022" w:type="dxa"/>
          </w:tcPr>
          <w:p w14:paraId="0E5F4573" w14:textId="77777777" w:rsidR="005A5957" w:rsidRPr="009F74EC" w:rsidRDefault="005A5957" w:rsidP="00C30F9D">
            <w:pPr>
              <w:keepNext/>
              <w:jc w:val="left"/>
              <w:rPr>
                <w:sz w:val="16"/>
              </w:rPr>
            </w:pPr>
            <w:r w:rsidRPr="009F74EC">
              <w:rPr>
                <w:sz w:val="16"/>
              </w:rPr>
              <w:t>Ubicación</w:t>
            </w:r>
          </w:p>
        </w:tc>
        <w:tc>
          <w:tcPr>
            <w:tcW w:w="1304" w:type="dxa"/>
          </w:tcPr>
          <w:p w14:paraId="77F7F922" w14:textId="77777777" w:rsidR="005A5957" w:rsidRPr="009F74EC" w:rsidRDefault="005A5957" w:rsidP="00C30F9D">
            <w:pPr>
              <w:keepNext/>
              <w:jc w:val="left"/>
              <w:rPr>
                <w:sz w:val="16"/>
              </w:rPr>
            </w:pPr>
            <w:r w:rsidRPr="009F74EC">
              <w:rPr>
                <w:sz w:val="16"/>
              </w:rPr>
              <w:t>Organizador(es)</w:t>
            </w:r>
          </w:p>
        </w:tc>
        <w:tc>
          <w:tcPr>
            <w:tcW w:w="2126" w:type="dxa"/>
          </w:tcPr>
          <w:p w14:paraId="7F1D7B91" w14:textId="77777777" w:rsidR="005A5957" w:rsidRPr="009F74EC" w:rsidRDefault="005A5957" w:rsidP="00C30F9D">
            <w:pPr>
              <w:keepNext/>
              <w:jc w:val="left"/>
              <w:rPr>
                <w:sz w:val="16"/>
              </w:rPr>
            </w:pPr>
            <w:r w:rsidRPr="009F74EC">
              <w:rPr>
                <w:sz w:val="16"/>
              </w:rPr>
              <w:t>Objetivo de la actividad</w:t>
            </w:r>
          </w:p>
        </w:tc>
        <w:tc>
          <w:tcPr>
            <w:tcW w:w="1985" w:type="dxa"/>
          </w:tcPr>
          <w:p w14:paraId="291A715F" w14:textId="77777777" w:rsidR="005A5957" w:rsidRPr="009F74EC" w:rsidRDefault="005A5957" w:rsidP="00C30F9D">
            <w:pPr>
              <w:keepNext/>
              <w:jc w:val="left"/>
              <w:rPr>
                <w:sz w:val="16"/>
              </w:rPr>
            </w:pPr>
            <w:r w:rsidRPr="009F74EC">
              <w:rPr>
                <w:sz w:val="16"/>
              </w:rPr>
              <w:t>Países/organizaciones participantes (número de participantes de cada uno)</w:t>
            </w:r>
          </w:p>
        </w:tc>
        <w:tc>
          <w:tcPr>
            <w:tcW w:w="1559" w:type="dxa"/>
          </w:tcPr>
          <w:p w14:paraId="767C218D" w14:textId="77777777" w:rsidR="005A5957" w:rsidRPr="009F74EC" w:rsidRDefault="005A5957" w:rsidP="00C30F9D">
            <w:pPr>
              <w:keepNext/>
              <w:jc w:val="left"/>
              <w:rPr>
                <w:sz w:val="16"/>
              </w:rPr>
            </w:pPr>
            <w:r w:rsidRPr="009F74EC">
              <w:rPr>
                <w:sz w:val="16"/>
              </w:rPr>
              <w:t>Comentarios</w:t>
            </w:r>
          </w:p>
        </w:tc>
      </w:tr>
      <w:tr w:rsidR="005A5957" w:rsidRPr="009F74EC" w14:paraId="22788C12" w14:textId="77777777" w:rsidTr="00A02C96">
        <w:tc>
          <w:tcPr>
            <w:tcW w:w="1276" w:type="dxa"/>
          </w:tcPr>
          <w:p w14:paraId="4EF1D350" w14:textId="77777777" w:rsidR="005A5957" w:rsidRPr="009F74EC" w:rsidRDefault="005A5957" w:rsidP="00C30F9D">
            <w:pPr>
              <w:keepNext/>
              <w:jc w:val="left"/>
              <w:rPr>
                <w:sz w:val="16"/>
              </w:rPr>
            </w:pPr>
            <w:r w:rsidRPr="009F74EC">
              <w:rPr>
                <w:sz w:val="16"/>
              </w:rPr>
              <w:t>1. Intercambio de experiencias</w:t>
            </w:r>
          </w:p>
        </w:tc>
        <w:tc>
          <w:tcPr>
            <w:tcW w:w="821" w:type="dxa"/>
          </w:tcPr>
          <w:p w14:paraId="2E44773C" w14:textId="77777777" w:rsidR="005A5957" w:rsidRPr="009F74EC" w:rsidRDefault="005A5957" w:rsidP="00C30F9D">
            <w:pPr>
              <w:keepNext/>
              <w:jc w:val="left"/>
              <w:rPr>
                <w:sz w:val="16"/>
              </w:rPr>
            </w:pPr>
            <w:r w:rsidRPr="009F74EC">
              <w:rPr>
                <w:sz w:val="16"/>
              </w:rPr>
              <w:t>14-19 de mayo de 2023</w:t>
            </w:r>
          </w:p>
        </w:tc>
        <w:tc>
          <w:tcPr>
            <w:tcW w:w="1022" w:type="dxa"/>
          </w:tcPr>
          <w:p w14:paraId="139F041A" w14:textId="77777777" w:rsidR="005A5957" w:rsidRPr="009F74EC" w:rsidRDefault="005A5957" w:rsidP="00C30F9D">
            <w:pPr>
              <w:keepNext/>
              <w:jc w:val="left"/>
              <w:rPr>
                <w:sz w:val="16"/>
              </w:rPr>
            </w:pPr>
            <w:r w:rsidRPr="009F74EC">
              <w:rPr>
                <w:sz w:val="16"/>
              </w:rPr>
              <w:t>Alemania</w:t>
            </w:r>
          </w:p>
        </w:tc>
        <w:tc>
          <w:tcPr>
            <w:tcW w:w="1304" w:type="dxa"/>
          </w:tcPr>
          <w:p w14:paraId="566D21FA" w14:textId="77777777" w:rsidR="005A5957" w:rsidRPr="009F74EC" w:rsidRDefault="005A5957" w:rsidP="00C30F9D">
            <w:pPr>
              <w:keepNext/>
              <w:jc w:val="left"/>
              <w:rPr>
                <w:sz w:val="16"/>
              </w:rPr>
            </w:pPr>
            <w:r w:rsidRPr="009F74EC">
              <w:rPr>
                <w:sz w:val="16"/>
              </w:rPr>
              <w:t>Empresa DSV</w:t>
            </w:r>
          </w:p>
        </w:tc>
        <w:tc>
          <w:tcPr>
            <w:tcW w:w="2126" w:type="dxa"/>
          </w:tcPr>
          <w:p w14:paraId="33BD4711" w14:textId="77777777" w:rsidR="005A5957" w:rsidRPr="009F74EC" w:rsidRDefault="005A5957" w:rsidP="00C30F9D">
            <w:pPr>
              <w:keepNext/>
              <w:jc w:val="left"/>
              <w:rPr>
                <w:sz w:val="16"/>
              </w:rPr>
            </w:pPr>
            <w:r w:rsidRPr="009F74EC">
              <w:rPr>
                <w:sz w:val="16"/>
              </w:rPr>
              <w:t xml:space="preserve">Intercambio de experiencia en el examen VCU y DHE de </w:t>
            </w:r>
            <w:proofErr w:type="spellStart"/>
            <w:r w:rsidRPr="009F74EC">
              <w:rPr>
                <w:sz w:val="16"/>
              </w:rPr>
              <w:t>céspedes</w:t>
            </w:r>
            <w:proofErr w:type="spellEnd"/>
          </w:p>
        </w:tc>
        <w:tc>
          <w:tcPr>
            <w:tcW w:w="1985" w:type="dxa"/>
          </w:tcPr>
          <w:p w14:paraId="7F5C2972" w14:textId="77777777" w:rsidR="005A5957" w:rsidRPr="009F74EC" w:rsidRDefault="005A5957" w:rsidP="00C30F9D">
            <w:pPr>
              <w:keepNext/>
              <w:jc w:val="left"/>
              <w:rPr>
                <w:sz w:val="16"/>
              </w:rPr>
            </w:pPr>
            <w:proofErr w:type="spellStart"/>
            <w:r w:rsidRPr="009F74EC">
              <w:rPr>
                <w:sz w:val="16"/>
              </w:rPr>
              <w:t>Belarús</w:t>
            </w:r>
            <w:proofErr w:type="spellEnd"/>
          </w:p>
          <w:p w14:paraId="0DAEE531" w14:textId="77777777" w:rsidR="005A5957" w:rsidRPr="009F74EC" w:rsidRDefault="005A5957" w:rsidP="00C30F9D">
            <w:pPr>
              <w:keepNext/>
              <w:jc w:val="left"/>
              <w:rPr>
                <w:sz w:val="16"/>
              </w:rPr>
            </w:pPr>
            <w:r w:rsidRPr="009F74EC">
              <w:rPr>
                <w:sz w:val="16"/>
              </w:rPr>
              <w:t>Alemania</w:t>
            </w:r>
          </w:p>
        </w:tc>
        <w:tc>
          <w:tcPr>
            <w:tcW w:w="1559" w:type="dxa"/>
          </w:tcPr>
          <w:p w14:paraId="099B3623" w14:textId="77777777" w:rsidR="005A5957" w:rsidRPr="009F74EC" w:rsidRDefault="005A5957" w:rsidP="00C30F9D">
            <w:pPr>
              <w:keepNext/>
              <w:jc w:val="left"/>
              <w:rPr>
                <w:sz w:val="16"/>
              </w:rPr>
            </w:pPr>
            <w:r w:rsidRPr="009F74EC">
              <w:rPr>
                <w:sz w:val="16"/>
              </w:rPr>
              <w:t>Cooperación fructífera</w:t>
            </w:r>
          </w:p>
        </w:tc>
      </w:tr>
      <w:tr w:rsidR="005A5957" w:rsidRPr="009F74EC" w14:paraId="243BFD76" w14:textId="77777777" w:rsidTr="00A02C96">
        <w:tc>
          <w:tcPr>
            <w:tcW w:w="1276" w:type="dxa"/>
          </w:tcPr>
          <w:p w14:paraId="05A26097" w14:textId="77777777" w:rsidR="005A5957" w:rsidRPr="009F74EC" w:rsidRDefault="005A5957" w:rsidP="00C30F9D">
            <w:pPr>
              <w:keepNext/>
              <w:jc w:val="left"/>
              <w:rPr>
                <w:sz w:val="16"/>
              </w:rPr>
            </w:pPr>
            <w:r w:rsidRPr="009F74EC">
              <w:rPr>
                <w:sz w:val="16"/>
              </w:rPr>
              <w:t>2. Curso de formación DHE</w:t>
            </w:r>
          </w:p>
        </w:tc>
        <w:tc>
          <w:tcPr>
            <w:tcW w:w="821" w:type="dxa"/>
          </w:tcPr>
          <w:p w14:paraId="4160305C" w14:textId="77777777" w:rsidR="005A5957" w:rsidRPr="009F74EC" w:rsidRDefault="005A5957" w:rsidP="00C30F9D">
            <w:pPr>
              <w:keepNext/>
              <w:jc w:val="left"/>
              <w:rPr>
                <w:sz w:val="16"/>
              </w:rPr>
            </w:pPr>
            <w:r w:rsidRPr="009F74EC">
              <w:rPr>
                <w:sz w:val="16"/>
              </w:rPr>
              <w:t>Del 24 al 29 de julio de 2023</w:t>
            </w:r>
          </w:p>
        </w:tc>
        <w:tc>
          <w:tcPr>
            <w:tcW w:w="1022" w:type="dxa"/>
          </w:tcPr>
          <w:p w14:paraId="222C1968" w14:textId="77777777" w:rsidR="005A5957" w:rsidRPr="009F74EC" w:rsidRDefault="005A5957" w:rsidP="00C30F9D">
            <w:pPr>
              <w:keepNext/>
              <w:jc w:val="left"/>
              <w:rPr>
                <w:sz w:val="16"/>
                <w:szCs w:val="16"/>
              </w:rPr>
            </w:pPr>
            <w:r w:rsidRPr="009F74EC">
              <w:rPr>
                <w:sz w:val="16"/>
                <w:szCs w:val="16"/>
              </w:rPr>
              <w:t xml:space="preserve">Kazajstán, </w:t>
            </w:r>
            <w:proofErr w:type="spellStart"/>
            <w:r w:rsidRPr="009F74EC">
              <w:rPr>
                <w:sz w:val="16"/>
                <w:szCs w:val="16"/>
              </w:rPr>
              <w:t>Altaj</w:t>
            </w:r>
            <w:proofErr w:type="spellEnd"/>
          </w:p>
        </w:tc>
        <w:tc>
          <w:tcPr>
            <w:tcW w:w="1304" w:type="dxa"/>
          </w:tcPr>
          <w:p w14:paraId="10D77869" w14:textId="77777777" w:rsidR="005A5957" w:rsidRPr="009F74EC" w:rsidRDefault="005A5957" w:rsidP="00C30F9D">
            <w:pPr>
              <w:keepNext/>
              <w:jc w:val="left"/>
              <w:rPr>
                <w:sz w:val="16"/>
              </w:rPr>
            </w:pPr>
            <w:r w:rsidRPr="009F74EC">
              <w:rPr>
                <w:sz w:val="16"/>
              </w:rPr>
              <w:t>Comisión Estatal para el Examen de Variedades de Cultivos Agrícolas de Kazajstán</w:t>
            </w:r>
          </w:p>
        </w:tc>
        <w:tc>
          <w:tcPr>
            <w:tcW w:w="2126" w:type="dxa"/>
          </w:tcPr>
          <w:p w14:paraId="35330E84" w14:textId="77777777" w:rsidR="005A5957" w:rsidRPr="009F74EC" w:rsidRDefault="005A5957" w:rsidP="00C30F9D">
            <w:pPr>
              <w:keepNext/>
              <w:jc w:val="left"/>
              <w:rPr>
                <w:sz w:val="16"/>
              </w:rPr>
            </w:pPr>
            <w:r w:rsidRPr="009F74EC">
              <w:rPr>
                <w:sz w:val="16"/>
              </w:rPr>
              <w:t>Curso de formación DHE</w:t>
            </w:r>
          </w:p>
        </w:tc>
        <w:tc>
          <w:tcPr>
            <w:tcW w:w="1985" w:type="dxa"/>
          </w:tcPr>
          <w:p w14:paraId="02C0A48A" w14:textId="77777777" w:rsidR="005A5957" w:rsidRPr="009F74EC" w:rsidRDefault="005A5957" w:rsidP="00C30F9D">
            <w:pPr>
              <w:keepNext/>
              <w:jc w:val="left"/>
              <w:rPr>
                <w:sz w:val="16"/>
              </w:rPr>
            </w:pPr>
            <w:proofErr w:type="spellStart"/>
            <w:r w:rsidRPr="009F74EC">
              <w:rPr>
                <w:sz w:val="16"/>
              </w:rPr>
              <w:t>Belarús</w:t>
            </w:r>
            <w:proofErr w:type="spellEnd"/>
          </w:p>
          <w:p w14:paraId="3374F9A8" w14:textId="77777777" w:rsidR="005A5957" w:rsidRPr="009F74EC" w:rsidRDefault="005A5957" w:rsidP="00C30F9D">
            <w:pPr>
              <w:keepNext/>
              <w:jc w:val="left"/>
              <w:rPr>
                <w:sz w:val="16"/>
              </w:rPr>
            </w:pPr>
            <w:r w:rsidRPr="009F74EC">
              <w:rPr>
                <w:sz w:val="16"/>
              </w:rPr>
              <w:t>Kazajstán</w:t>
            </w:r>
          </w:p>
        </w:tc>
        <w:tc>
          <w:tcPr>
            <w:tcW w:w="1559" w:type="dxa"/>
          </w:tcPr>
          <w:p w14:paraId="299A6C5D" w14:textId="77777777" w:rsidR="005A5957" w:rsidRPr="009F74EC" w:rsidRDefault="005A5957" w:rsidP="00C30F9D">
            <w:pPr>
              <w:keepNext/>
              <w:jc w:val="left"/>
              <w:rPr>
                <w:sz w:val="16"/>
              </w:rPr>
            </w:pPr>
            <w:r w:rsidRPr="009F74EC">
              <w:rPr>
                <w:sz w:val="16"/>
              </w:rPr>
              <w:t>Cooperación útil, especialmente formación práctica en parcelas DUS</w:t>
            </w:r>
          </w:p>
        </w:tc>
      </w:tr>
      <w:tr w:rsidR="005A5957" w:rsidRPr="009F74EC" w14:paraId="33D053F3" w14:textId="77777777" w:rsidTr="00A02C96">
        <w:tc>
          <w:tcPr>
            <w:tcW w:w="1276" w:type="dxa"/>
          </w:tcPr>
          <w:p w14:paraId="2C774AE5" w14:textId="77777777" w:rsidR="005A5957" w:rsidRPr="009F74EC" w:rsidRDefault="005A5957" w:rsidP="00C30F9D">
            <w:pPr>
              <w:keepNext/>
              <w:jc w:val="left"/>
              <w:rPr>
                <w:sz w:val="16"/>
              </w:rPr>
            </w:pPr>
            <w:r w:rsidRPr="009F74EC">
              <w:rPr>
                <w:sz w:val="16"/>
              </w:rPr>
              <w:t>3. Curso de formación DHE</w:t>
            </w:r>
          </w:p>
        </w:tc>
        <w:tc>
          <w:tcPr>
            <w:tcW w:w="821" w:type="dxa"/>
          </w:tcPr>
          <w:p w14:paraId="7781016A" w14:textId="77777777" w:rsidR="005A5957" w:rsidRPr="009F74EC" w:rsidRDefault="005A5957" w:rsidP="00C30F9D">
            <w:pPr>
              <w:keepNext/>
              <w:jc w:val="left"/>
              <w:rPr>
                <w:sz w:val="16"/>
              </w:rPr>
            </w:pPr>
            <w:r w:rsidRPr="009F74EC">
              <w:rPr>
                <w:sz w:val="16"/>
              </w:rPr>
              <w:t>10-13 de agosto de 2023</w:t>
            </w:r>
          </w:p>
        </w:tc>
        <w:tc>
          <w:tcPr>
            <w:tcW w:w="1022" w:type="dxa"/>
          </w:tcPr>
          <w:p w14:paraId="2B2031A0" w14:textId="77777777" w:rsidR="005A5957" w:rsidRPr="009F74EC" w:rsidRDefault="005A5957" w:rsidP="00C30F9D">
            <w:pPr>
              <w:keepNext/>
              <w:jc w:val="left"/>
              <w:rPr>
                <w:sz w:val="16"/>
              </w:rPr>
            </w:pPr>
            <w:proofErr w:type="spellStart"/>
            <w:r w:rsidRPr="009F74EC">
              <w:rPr>
                <w:sz w:val="16"/>
              </w:rPr>
              <w:t>Belarús</w:t>
            </w:r>
            <w:proofErr w:type="spellEnd"/>
            <w:r w:rsidRPr="009F74EC">
              <w:rPr>
                <w:sz w:val="16"/>
              </w:rPr>
              <w:t>, Minsk.</w:t>
            </w:r>
          </w:p>
          <w:p w14:paraId="0D1C932E" w14:textId="77777777" w:rsidR="005A5957" w:rsidRPr="009F74EC" w:rsidRDefault="005A5957" w:rsidP="00C30F9D">
            <w:pPr>
              <w:keepNext/>
              <w:jc w:val="left"/>
              <w:rPr>
                <w:sz w:val="16"/>
              </w:rPr>
            </w:pPr>
            <w:proofErr w:type="spellStart"/>
            <w:r w:rsidRPr="009F74EC">
              <w:rPr>
                <w:sz w:val="16"/>
              </w:rPr>
              <w:t>Nesvizh</w:t>
            </w:r>
            <w:proofErr w:type="spellEnd"/>
            <w:r w:rsidRPr="009F74EC">
              <w:rPr>
                <w:sz w:val="16"/>
              </w:rPr>
              <w:t>.</w:t>
            </w:r>
          </w:p>
        </w:tc>
        <w:tc>
          <w:tcPr>
            <w:tcW w:w="1304" w:type="dxa"/>
          </w:tcPr>
          <w:p w14:paraId="1C470D33" w14:textId="77777777" w:rsidR="005A5957" w:rsidRPr="009F74EC" w:rsidRDefault="005A5957" w:rsidP="00C30F9D">
            <w:pPr>
              <w:keepNext/>
              <w:jc w:val="left"/>
              <w:rPr>
                <w:sz w:val="16"/>
              </w:rPr>
            </w:pPr>
            <w:r w:rsidRPr="009F74EC">
              <w:rPr>
                <w:sz w:val="16"/>
              </w:rPr>
              <w:t>SE "Inspección estatal para el examen y la protección de las obtenciones vegetales"</w:t>
            </w:r>
          </w:p>
        </w:tc>
        <w:tc>
          <w:tcPr>
            <w:tcW w:w="2126" w:type="dxa"/>
          </w:tcPr>
          <w:p w14:paraId="6CD22DEC" w14:textId="77777777" w:rsidR="005A5957" w:rsidRPr="009F74EC" w:rsidRDefault="005A5957" w:rsidP="00C30F9D">
            <w:pPr>
              <w:keepNext/>
              <w:jc w:val="left"/>
              <w:rPr>
                <w:sz w:val="16"/>
              </w:rPr>
            </w:pPr>
            <w:r w:rsidRPr="009F74EC">
              <w:rPr>
                <w:sz w:val="16"/>
              </w:rPr>
              <w:t>Curso de formación DHE</w:t>
            </w:r>
          </w:p>
        </w:tc>
        <w:tc>
          <w:tcPr>
            <w:tcW w:w="1985" w:type="dxa"/>
          </w:tcPr>
          <w:p w14:paraId="5638B31D" w14:textId="77777777" w:rsidR="005A5957" w:rsidRPr="009F74EC" w:rsidRDefault="005A5957" w:rsidP="00C30F9D">
            <w:pPr>
              <w:keepNext/>
              <w:jc w:val="left"/>
              <w:rPr>
                <w:sz w:val="16"/>
              </w:rPr>
            </w:pPr>
            <w:proofErr w:type="spellStart"/>
            <w:r w:rsidRPr="009F74EC">
              <w:rPr>
                <w:sz w:val="16"/>
              </w:rPr>
              <w:t>Belarús</w:t>
            </w:r>
            <w:proofErr w:type="spellEnd"/>
          </w:p>
          <w:p w14:paraId="583C4D74" w14:textId="77777777" w:rsidR="005A5957" w:rsidRPr="009F74EC" w:rsidRDefault="005A5957" w:rsidP="00C30F9D">
            <w:pPr>
              <w:keepNext/>
              <w:jc w:val="left"/>
              <w:rPr>
                <w:sz w:val="16"/>
              </w:rPr>
            </w:pPr>
            <w:r w:rsidRPr="009F74EC">
              <w:rPr>
                <w:sz w:val="16"/>
              </w:rPr>
              <w:t>Uzbekistán</w:t>
            </w:r>
          </w:p>
        </w:tc>
        <w:tc>
          <w:tcPr>
            <w:tcW w:w="1559" w:type="dxa"/>
          </w:tcPr>
          <w:p w14:paraId="1C7446E4" w14:textId="77777777" w:rsidR="005A5957" w:rsidRPr="009F74EC" w:rsidRDefault="005A5957" w:rsidP="00C30F9D">
            <w:pPr>
              <w:keepNext/>
              <w:jc w:val="left"/>
              <w:rPr>
                <w:sz w:val="16"/>
              </w:rPr>
            </w:pPr>
            <w:r w:rsidRPr="009F74EC">
              <w:rPr>
                <w:sz w:val="16"/>
              </w:rPr>
              <w:t>Cooperación útil, especialmente formación práctica en parcelas DUS</w:t>
            </w:r>
          </w:p>
        </w:tc>
      </w:tr>
    </w:tbl>
    <w:p w14:paraId="5A3150D1" w14:textId="77777777" w:rsidR="005A5957" w:rsidRPr="009F74EC" w:rsidRDefault="005A5957" w:rsidP="005A5957"/>
    <w:p w14:paraId="30F63CF7" w14:textId="77777777" w:rsidR="005A5957" w:rsidRPr="009F74EC" w:rsidRDefault="005A5957" w:rsidP="005A5957"/>
    <w:p w14:paraId="718D9DCE" w14:textId="77777777" w:rsidR="005A5957" w:rsidRPr="009F74EC" w:rsidRDefault="005A5957" w:rsidP="005A5957"/>
    <w:p w14:paraId="60EBCC03" w14:textId="77777777" w:rsidR="005A5957" w:rsidRPr="009F74EC" w:rsidRDefault="005A5957" w:rsidP="005A5957">
      <w:pPr>
        <w:jc w:val="right"/>
      </w:pPr>
      <w:r w:rsidRPr="009F74EC">
        <w:t>[Sigue el Anexo IV]</w:t>
      </w:r>
    </w:p>
    <w:p w14:paraId="50FE89BF" w14:textId="77777777" w:rsidR="005A5957" w:rsidRPr="009F74EC" w:rsidRDefault="005A5957" w:rsidP="005A5957"/>
    <w:p w14:paraId="4FF74B7D" w14:textId="77777777" w:rsidR="005A5957" w:rsidRPr="009F74EC" w:rsidRDefault="005A5957" w:rsidP="005A5957"/>
    <w:p w14:paraId="5D17D1DA" w14:textId="77777777" w:rsidR="005A5957" w:rsidRPr="009F74EC" w:rsidRDefault="005A5957" w:rsidP="005A5957">
      <w:pPr>
        <w:jc w:val="center"/>
        <w:sectPr w:rsidR="005A5957" w:rsidRPr="009F74EC" w:rsidSect="000B2CE0">
          <w:headerReference w:type="default" r:id="rId12"/>
          <w:pgSz w:w="11907" w:h="16840" w:code="9"/>
          <w:pgMar w:top="510" w:right="1134" w:bottom="568" w:left="1134" w:header="510" w:footer="680" w:gutter="0"/>
          <w:pgNumType w:start="1"/>
          <w:cols w:space="720"/>
          <w:titlePg/>
        </w:sectPr>
      </w:pPr>
    </w:p>
    <w:p w14:paraId="75DA710F" w14:textId="77777777" w:rsidR="005A5957" w:rsidRPr="009F74EC" w:rsidRDefault="005A5957" w:rsidP="005A5957">
      <w:pPr>
        <w:jc w:val="center"/>
      </w:pPr>
      <w:r w:rsidRPr="009F74EC">
        <w:lastRenderedPageBreak/>
        <w:t>C/57/13</w:t>
      </w:r>
    </w:p>
    <w:p w14:paraId="5830369F" w14:textId="77777777" w:rsidR="005A5957" w:rsidRPr="009F74EC" w:rsidRDefault="005A5957" w:rsidP="005A5957">
      <w:pPr>
        <w:jc w:val="center"/>
      </w:pPr>
    </w:p>
    <w:p w14:paraId="4CAC5A70" w14:textId="77777777" w:rsidR="005A5957" w:rsidRPr="009F74EC" w:rsidRDefault="005A5957" w:rsidP="005A5957">
      <w:pPr>
        <w:jc w:val="center"/>
      </w:pPr>
      <w:r w:rsidRPr="009F74EC">
        <w:t>ANEXO IV</w:t>
      </w:r>
    </w:p>
    <w:p w14:paraId="0B164B04" w14:textId="77777777" w:rsidR="005A5957" w:rsidRPr="009F74EC" w:rsidRDefault="005A5957" w:rsidP="005A5957">
      <w:pPr>
        <w:jc w:val="center"/>
      </w:pPr>
    </w:p>
    <w:p w14:paraId="71488123" w14:textId="77777777" w:rsidR="005A5957" w:rsidRPr="009F74EC" w:rsidRDefault="005A5957" w:rsidP="005A5957">
      <w:pPr>
        <w:jc w:val="center"/>
      </w:pPr>
    </w:p>
    <w:p w14:paraId="058F0DC2" w14:textId="77777777" w:rsidR="005A5957" w:rsidRPr="009F74EC" w:rsidRDefault="005A5957" w:rsidP="005A5957">
      <w:pPr>
        <w:jc w:val="center"/>
      </w:pPr>
      <w:r w:rsidRPr="009F74EC">
        <w:t>BOSNIA Y HERZEGOVINA</w:t>
      </w:r>
    </w:p>
    <w:p w14:paraId="06F43759" w14:textId="77777777" w:rsidR="00633DB1" w:rsidRPr="009F74EC" w:rsidRDefault="00633DB1" w:rsidP="00633DB1">
      <w:pPr>
        <w:jc w:val="center"/>
      </w:pPr>
      <w:r w:rsidRPr="009F74EC">
        <w:t>(Idioma original: inglés)</w:t>
      </w:r>
    </w:p>
    <w:p w14:paraId="61FC0B7A" w14:textId="77777777" w:rsidR="00633DB1" w:rsidRPr="009F74EC" w:rsidRDefault="00633DB1" w:rsidP="00633DB1"/>
    <w:p w14:paraId="1D511F5D" w14:textId="77777777" w:rsidR="00633DB1" w:rsidRPr="009F74EC" w:rsidRDefault="00633DB1" w:rsidP="00633DB1">
      <w:pPr>
        <w:pStyle w:val="Disclaimer"/>
        <w:spacing w:after="360"/>
        <w:jc w:val="center"/>
        <w:rPr>
          <w:sz w:val="18"/>
          <w:szCs w:val="18"/>
        </w:rPr>
      </w:pPr>
      <w:r w:rsidRPr="009F74EC">
        <w:rPr>
          <w:sz w:val="18"/>
          <w:szCs w:val="18"/>
        </w:rPr>
        <w:t xml:space="preserve">Esta traducción se ha generado mediante traducción automática y no puede garantizarse su exactitud. </w:t>
      </w:r>
      <w:r w:rsidRPr="009F74EC">
        <w:rPr>
          <w:sz w:val="18"/>
          <w:szCs w:val="18"/>
        </w:rPr>
        <w:br/>
        <w:t>Por lo tanto, el texto en el idioma original es la única versión auténtica.</w:t>
      </w:r>
    </w:p>
    <w:p w14:paraId="33AEFCA6" w14:textId="77777777" w:rsidR="005A5957" w:rsidRPr="009F74EC" w:rsidRDefault="005A5957" w:rsidP="005A5957">
      <w:pPr>
        <w:rPr>
          <w:u w:val="single"/>
        </w:rPr>
      </w:pPr>
      <w:r w:rsidRPr="009F74EC">
        <w:rPr>
          <w:u w:val="single"/>
        </w:rPr>
        <w:t>Actividades de fomento de la protección de las obtenciones vegetales</w:t>
      </w:r>
    </w:p>
    <w:p w14:paraId="5B1F4638" w14:textId="77777777" w:rsidR="005A5957" w:rsidRPr="009F74EC" w:rsidRDefault="005A5957" w:rsidP="005A5957"/>
    <w:tbl>
      <w:tblPr>
        <w:tblStyle w:val="TableGrid"/>
        <w:tblW w:w="9893" w:type="dxa"/>
        <w:tblLayout w:type="fixed"/>
        <w:tblCellMar>
          <w:top w:w="28" w:type="dxa"/>
          <w:left w:w="57" w:type="dxa"/>
          <w:bottom w:w="28" w:type="dxa"/>
          <w:right w:w="57" w:type="dxa"/>
        </w:tblCellMar>
        <w:tblLook w:val="01E0" w:firstRow="1" w:lastRow="1" w:firstColumn="1" w:lastColumn="1" w:noHBand="0" w:noVBand="0"/>
      </w:tblPr>
      <w:tblGrid>
        <w:gridCol w:w="1413"/>
        <w:gridCol w:w="826"/>
        <w:gridCol w:w="850"/>
        <w:gridCol w:w="1301"/>
        <w:gridCol w:w="2693"/>
        <w:gridCol w:w="2810"/>
      </w:tblGrid>
      <w:tr w:rsidR="005A5957" w:rsidRPr="009F74EC" w14:paraId="48025691" w14:textId="77777777" w:rsidTr="00417249">
        <w:tc>
          <w:tcPr>
            <w:tcW w:w="1413" w:type="dxa"/>
          </w:tcPr>
          <w:p w14:paraId="59D5AAFC" w14:textId="77777777" w:rsidR="005A5957" w:rsidRPr="009F74EC" w:rsidRDefault="005A5957" w:rsidP="00C30F9D">
            <w:pPr>
              <w:keepNext/>
              <w:jc w:val="left"/>
              <w:rPr>
                <w:sz w:val="16"/>
              </w:rPr>
            </w:pPr>
            <w:r w:rsidRPr="009F74EC">
              <w:rPr>
                <w:sz w:val="16"/>
              </w:rPr>
              <w:t>Título de la actividad</w:t>
            </w:r>
          </w:p>
        </w:tc>
        <w:tc>
          <w:tcPr>
            <w:tcW w:w="826" w:type="dxa"/>
          </w:tcPr>
          <w:p w14:paraId="750D5AD0" w14:textId="77777777" w:rsidR="005A5957" w:rsidRPr="009F74EC" w:rsidRDefault="005A5957" w:rsidP="00C30F9D">
            <w:pPr>
              <w:keepNext/>
              <w:jc w:val="left"/>
              <w:rPr>
                <w:sz w:val="16"/>
              </w:rPr>
            </w:pPr>
            <w:r w:rsidRPr="009F74EC">
              <w:rPr>
                <w:sz w:val="16"/>
              </w:rPr>
              <w:t>Fecha</w:t>
            </w:r>
          </w:p>
        </w:tc>
        <w:tc>
          <w:tcPr>
            <w:tcW w:w="850" w:type="dxa"/>
          </w:tcPr>
          <w:p w14:paraId="1C61D287" w14:textId="77777777" w:rsidR="005A5957" w:rsidRPr="009F74EC" w:rsidRDefault="005A5957" w:rsidP="00C30F9D">
            <w:pPr>
              <w:keepNext/>
              <w:jc w:val="left"/>
              <w:rPr>
                <w:sz w:val="16"/>
              </w:rPr>
            </w:pPr>
            <w:r w:rsidRPr="009F74EC">
              <w:rPr>
                <w:sz w:val="16"/>
              </w:rPr>
              <w:t>Ubicación</w:t>
            </w:r>
          </w:p>
        </w:tc>
        <w:tc>
          <w:tcPr>
            <w:tcW w:w="1301" w:type="dxa"/>
          </w:tcPr>
          <w:p w14:paraId="6FD64D59" w14:textId="77777777" w:rsidR="005A5957" w:rsidRPr="009F74EC" w:rsidRDefault="005A5957" w:rsidP="00C30F9D">
            <w:pPr>
              <w:keepNext/>
              <w:jc w:val="left"/>
              <w:rPr>
                <w:sz w:val="16"/>
              </w:rPr>
            </w:pPr>
            <w:r w:rsidRPr="009F74EC">
              <w:rPr>
                <w:sz w:val="16"/>
              </w:rPr>
              <w:t>Organizador(es)</w:t>
            </w:r>
          </w:p>
        </w:tc>
        <w:tc>
          <w:tcPr>
            <w:tcW w:w="2693" w:type="dxa"/>
          </w:tcPr>
          <w:p w14:paraId="0B62340A" w14:textId="77777777" w:rsidR="005A5957" w:rsidRPr="009F74EC" w:rsidRDefault="005A5957" w:rsidP="00C30F9D">
            <w:pPr>
              <w:keepNext/>
              <w:jc w:val="left"/>
              <w:rPr>
                <w:sz w:val="16"/>
              </w:rPr>
            </w:pPr>
            <w:r w:rsidRPr="009F74EC">
              <w:rPr>
                <w:sz w:val="16"/>
              </w:rPr>
              <w:t>Objetivo de la actividad</w:t>
            </w:r>
          </w:p>
        </w:tc>
        <w:tc>
          <w:tcPr>
            <w:tcW w:w="2810" w:type="dxa"/>
          </w:tcPr>
          <w:p w14:paraId="51731BE7" w14:textId="77777777" w:rsidR="005A5957" w:rsidRPr="009F74EC" w:rsidRDefault="005A5957" w:rsidP="00C30F9D">
            <w:pPr>
              <w:keepNext/>
              <w:jc w:val="left"/>
              <w:rPr>
                <w:sz w:val="16"/>
              </w:rPr>
            </w:pPr>
            <w:r w:rsidRPr="009F74EC">
              <w:rPr>
                <w:sz w:val="16"/>
              </w:rPr>
              <w:t>Países/organizaciones participantes (número de participantes de cada uno)</w:t>
            </w:r>
          </w:p>
        </w:tc>
      </w:tr>
      <w:tr w:rsidR="005A5957" w:rsidRPr="009F74EC" w14:paraId="34F3B6D4" w14:textId="77777777" w:rsidTr="00417249">
        <w:tc>
          <w:tcPr>
            <w:tcW w:w="1413" w:type="dxa"/>
          </w:tcPr>
          <w:p w14:paraId="1CBFD6DD" w14:textId="77777777" w:rsidR="005A5957" w:rsidRPr="009F74EC" w:rsidRDefault="005A5957" w:rsidP="00C30F9D">
            <w:pPr>
              <w:jc w:val="left"/>
              <w:rPr>
                <w:sz w:val="16"/>
              </w:rPr>
            </w:pPr>
            <w:r w:rsidRPr="009F74EC">
              <w:rPr>
                <w:sz w:val="16"/>
              </w:rPr>
              <w:t>TAIEX Taller de formación sobre la concesión de derechos de obtentor y la solicitud conforme a la OCVV</w:t>
            </w:r>
          </w:p>
          <w:p w14:paraId="06A29C21" w14:textId="77777777" w:rsidR="005A5957" w:rsidRPr="009F74EC" w:rsidRDefault="005A5957" w:rsidP="00C30F9D">
            <w:pPr>
              <w:keepNext/>
              <w:jc w:val="left"/>
              <w:rPr>
                <w:sz w:val="16"/>
              </w:rPr>
            </w:pPr>
          </w:p>
        </w:tc>
        <w:tc>
          <w:tcPr>
            <w:tcW w:w="826" w:type="dxa"/>
          </w:tcPr>
          <w:p w14:paraId="274C482D" w14:textId="77777777" w:rsidR="005A5957" w:rsidRPr="009F74EC" w:rsidRDefault="005A5957" w:rsidP="00C30F9D">
            <w:pPr>
              <w:keepNext/>
              <w:jc w:val="left"/>
              <w:rPr>
                <w:sz w:val="16"/>
              </w:rPr>
            </w:pPr>
            <w:r w:rsidRPr="009F74EC">
              <w:rPr>
                <w:sz w:val="16"/>
              </w:rPr>
              <w:t>19/09/23</w:t>
            </w:r>
          </w:p>
        </w:tc>
        <w:tc>
          <w:tcPr>
            <w:tcW w:w="850" w:type="dxa"/>
          </w:tcPr>
          <w:p w14:paraId="3479A3F1" w14:textId="77777777" w:rsidR="005A5957" w:rsidRPr="009F74EC" w:rsidRDefault="005A5957" w:rsidP="00C30F9D">
            <w:pPr>
              <w:keepNext/>
              <w:jc w:val="left"/>
              <w:rPr>
                <w:sz w:val="16"/>
              </w:rPr>
            </w:pPr>
            <w:r w:rsidRPr="009F74EC">
              <w:rPr>
                <w:sz w:val="16"/>
              </w:rPr>
              <w:t>Sarajevo</w:t>
            </w:r>
          </w:p>
        </w:tc>
        <w:tc>
          <w:tcPr>
            <w:tcW w:w="1301" w:type="dxa"/>
          </w:tcPr>
          <w:p w14:paraId="399313DE" w14:textId="77777777" w:rsidR="005A5957" w:rsidRPr="009F74EC" w:rsidRDefault="005A5957" w:rsidP="00C30F9D">
            <w:pPr>
              <w:keepNext/>
              <w:jc w:val="left"/>
              <w:rPr>
                <w:sz w:val="16"/>
              </w:rPr>
            </w:pPr>
            <w:r w:rsidRPr="009F74EC">
              <w:rPr>
                <w:sz w:val="16"/>
              </w:rPr>
              <w:t>TAIEX</w:t>
            </w:r>
          </w:p>
          <w:p w14:paraId="5A6DF1C8" w14:textId="77777777" w:rsidR="005A5957" w:rsidRPr="009F74EC" w:rsidRDefault="005A5957" w:rsidP="00C30F9D">
            <w:pPr>
              <w:jc w:val="left"/>
              <w:rPr>
                <w:sz w:val="16"/>
              </w:rPr>
            </w:pPr>
            <w:r w:rsidRPr="009F74EC">
              <w:rPr>
                <w:sz w:val="16"/>
              </w:rPr>
              <w:t>en cooperación con la Administración de Protección Fitosanitaria de Bosnia y Herzegovina</w:t>
            </w:r>
          </w:p>
        </w:tc>
        <w:tc>
          <w:tcPr>
            <w:tcW w:w="2693" w:type="dxa"/>
          </w:tcPr>
          <w:p w14:paraId="46E16018" w14:textId="77777777" w:rsidR="005A5957" w:rsidRPr="009F74EC" w:rsidRDefault="005A5957" w:rsidP="00C30F9D">
            <w:pPr>
              <w:keepNext/>
              <w:jc w:val="left"/>
              <w:rPr>
                <w:sz w:val="16"/>
              </w:rPr>
            </w:pPr>
            <w:r w:rsidRPr="009F74EC">
              <w:rPr>
                <w:sz w:val="16"/>
              </w:rPr>
              <w:t>Marco jurídico internacional (OCVV, UPOV, UE)</w:t>
            </w:r>
          </w:p>
          <w:p w14:paraId="4F305BC6" w14:textId="77777777" w:rsidR="005A5957" w:rsidRPr="009F74EC" w:rsidRDefault="005A5957" w:rsidP="00C30F9D">
            <w:pPr>
              <w:keepNext/>
              <w:jc w:val="left"/>
              <w:rPr>
                <w:sz w:val="16"/>
              </w:rPr>
            </w:pPr>
            <w:r w:rsidRPr="009F74EC">
              <w:rPr>
                <w:sz w:val="16"/>
              </w:rPr>
              <w:t>Marco jurídico de Bosnia y Herzegovina,</w:t>
            </w:r>
          </w:p>
          <w:p w14:paraId="0D3D99B8" w14:textId="77777777" w:rsidR="005A5957" w:rsidRPr="009F74EC" w:rsidRDefault="005A5957" w:rsidP="00C30F9D">
            <w:pPr>
              <w:keepNext/>
              <w:jc w:val="left"/>
              <w:rPr>
                <w:sz w:val="16"/>
              </w:rPr>
            </w:pPr>
            <w:r w:rsidRPr="009F74EC">
              <w:rPr>
                <w:sz w:val="16"/>
              </w:rPr>
              <w:t>Herramientas para un sistema informático utilizado para la RVG,</w:t>
            </w:r>
          </w:p>
          <w:p w14:paraId="0F3ED2B5" w14:textId="77777777" w:rsidR="005A5957" w:rsidRPr="009F74EC" w:rsidRDefault="005A5957" w:rsidP="00C30F9D">
            <w:pPr>
              <w:keepNext/>
              <w:jc w:val="left"/>
              <w:rPr>
                <w:sz w:val="16"/>
              </w:rPr>
            </w:pPr>
            <w:r w:rsidRPr="009F74EC">
              <w:rPr>
                <w:sz w:val="16"/>
              </w:rPr>
              <w:t>Repercusiones agroeconómicas de la RVG en la práctica, los distintos puntos de vista de las partes implicadas,</w:t>
            </w:r>
          </w:p>
          <w:p w14:paraId="78261955" w14:textId="2C503603" w:rsidR="005A5957" w:rsidRPr="009F74EC" w:rsidRDefault="00417249" w:rsidP="00C30F9D">
            <w:pPr>
              <w:keepNext/>
              <w:jc w:val="left"/>
              <w:rPr>
                <w:sz w:val="16"/>
              </w:rPr>
            </w:pPr>
            <w:r w:rsidRPr="009F74EC">
              <w:rPr>
                <w:sz w:val="16"/>
              </w:rPr>
              <w:t xml:space="preserve">Antecedentes técnicos y procedimientos en </w:t>
            </w:r>
            <w:r w:rsidR="005A5957" w:rsidRPr="009F74EC">
              <w:rPr>
                <w:sz w:val="16"/>
              </w:rPr>
              <w:t>PVR</w:t>
            </w:r>
          </w:p>
          <w:p w14:paraId="68A6B8D4" w14:textId="77777777" w:rsidR="005A5957" w:rsidRPr="009F74EC" w:rsidRDefault="005A5957" w:rsidP="00C30F9D">
            <w:pPr>
              <w:keepNext/>
              <w:jc w:val="left"/>
              <w:rPr>
                <w:sz w:val="16"/>
              </w:rPr>
            </w:pPr>
            <w:r w:rsidRPr="009F74EC">
              <w:rPr>
                <w:sz w:val="16"/>
              </w:rPr>
              <w:t>(enfoque de la OCVV; base de datos de la OCVV/UPOV, directrices técnicas, procedimientos de ensayo, etc.)</w:t>
            </w:r>
          </w:p>
          <w:p w14:paraId="5F0D8D08" w14:textId="77777777" w:rsidR="005A5957" w:rsidRPr="009F74EC" w:rsidRDefault="005A5957" w:rsidP="00C30F9D">
            <w:pPr>
              <w:jc w:val="left"/>
              <w:rPr>
                <w:sz w:val="16"/>
              </w:rPr>
            </w:pPr>
          </w:p>
          <w:p w14:paraId="25E85AF4" w14:textId="77777777" w:rsidR="005A5957" w:rsidRPr="009F74EC" w:rsidRDefault="005A5957" w:rsidP="00C30F9D">
            <w:pPr>
              <w:jc w:val="left"/>
              <w:rPr>
                <w:sz w:val="16"/>
              </w:rPr>
            </w:pPr>
            <w:r w:rsidRPr="009F74EC">
              <w:rPr>
                <w:sz w:val="16"/>
              </w:rPr>
              <w:t>Informar a los participantes/mejoradores de Bosnia y Herzegovina sobre la importancia de crear nuevas variedades y la posibilidad de protección de variedades a nivel de la Unión Europea.</w:t>
            </w:r>
          </w:p>
          <w:p w14:paraId="5DF5FD75" w14:textId="77777777" w:rsidR="005A5957" w:rsidRPr="009F74EC" w:rsidRDefault="005A5957" w:rsidP="00C30F9D">
            <w:pPr>
              <w:jc w:val="left"/>
              <w:rPr>
                <w:sz w:val="16"/>
              </w:rPr>
            </w:pPr>
            <w:r w:rsidRPr="009F74EC">
              <w:rPr>
                <w:sz w:val="16"/>
              </w:rPr>
              <w:t>Como nuevo capítulo relacionado con la protección de nuevas variedades, es necesario familiarizar a los participantes con el método de solicitud, el proceso de obtención de la protección de variedades, el alcance de la protección de variedades y cómo se aplica en la Unión Europea.</w:t>
            </w:r>
          </w:p>
          <w:p w14:paraId="410961E6" w14:textId="77777777" w:rsidR="005A5957" w:rsidRPr="009F74EC" w:rsidRDefault="005A5957" w:rsidP="00C30F9D">
            <w:pPr>
              <w:jc w:val="left"/>
              <w:rPr>
                <w:sz w:val="16"/>
              </w:rPr>
            </w:pPr>
          </w:p>
        </w:tc>
        <w:tc>
          <w:tcPr>
            <w:tcW w:w="2810" w:type="dxa"/>
          </w:tcPr>
          <w:p w14:paraId="1FFD79B7" w14:textId="77777777" w:rsidR="005A5957" w:rsidRPr="009F74EC" w:rsidRDefault="005A5957" w:rsidP="00C30F9D">
            <w:pPr>
              <w:keepNext/>
              <w:jc w:val="left"/>
              <w:rPr>
                <w:sz w:val="16"/>
              </w:rPr>
            </w:pPr>
            <w:r w:rsidRPr="009F74EC">
              <w:rPr>
                <w:sz w:val="16"/>
              </w:rPr>
              <w:t>Participantes de Bosnia y Herzegovina</w:t>
            </w:r>
          </w:p>
          <w:p w14:paraId="5A332E0E" w14:textId="77777777" w:rsidR="005A5957" w:rsidRPr="009F74EC" w:rsidRDefault="005A5957" w:rsidP="00C30F9D">
            <w:pPr>
              <w:keepNext/>
              <w:jc w:val="left"/>
              <w:rPr>
                <w:sz w:val="16"/>
              </w:rPr>
            </w:pPr>
          </w:p>
          <w:p w14:paraId="787AC159" w14:textId="77777777" w:rsidR="005A5957" w:rsidRPr="009F74EC" w:rsidRDefault="005A5957" w:rsidP="00C30F9D">
            <w:pPr>
              <w:keepNext/>
              <w:jc w:val="left"/>
              <w:rPr>
                <w:sz w:val="16"/>
              </w:rPr>
            </w:pPr>
            <w:r w:rsidRPr="009F74EC">
              <w:rPr>
                <w:sz w:val="16"/>
              </w:rPr>
              <w:t>18 participantes de:</w:t>
            </w:r>
          </w:p>
          <w:p w14:paraId="1858739D" w14:textId="77777777" w:rsidR="005A5957" w:rsidRPr="009F74EC" w:rsidRDefault="005A5957" w:rsidP="00C30F9D">
            <w:pPr>
              <w:jc w:val="left"/>
              <w:rPr>
                <w:sz w:val="16"/>
              </w:rPr>
            </w:pPr>
          </w:p>
          <w:p w14:paraId="14580051" w14:textId="77777777" w:rsidR="005A5957" w:rsidRPr="009F74EC" w:rsidRDefault="005A5957" w:rsidP="00C30F9D">
            <w:pPr>
              <w:pStyle w:val="ListParagraph"/>
              <w:numPr>
                <w:ilvl w:val="0"/>
                <w:numId w:val="17"/>
              </w:numPr>
              <w:ind w:left="106" w:hanging="106"/>
              <w:jc w:val="left"/>
              <w:rPr>
                <w:sz w:val="16"/>
                <w:lang w:val="es-ES_tradnl"/>
              </w:rPr>
            </w:pPr>
            <w:r w:rsidRPr="009F74EC">
              <w:rPr>
                <w:sz w:val="16"/>
                <w:lang w:val="es-ES_tradnl"/>
              </w:rPr>
              <w:t xml:space="preserve">Ministerio de Agricultura, Silvicultura y Gestión del Agua de la República de Srpska, </w:t>
            </w:r>
            <w:proofErr w:type="spellStart"/>
            <w:r w:rsidRPr="009F74EC">
              <w:rPr>
                <w:sz w:val="16"/>
                <w:lang w:val="es-ES_tradnl"/>
              </w:rPr>
              <w:t>Banja</w:t>
            </w:r>
            <w:proofErr w:type="spellEnd"/>
            <w:r w:rsidRPr="009F74EC">
              <w:rPr>
                <w:sz w:val="16"/>
                <w:lang w:val="es-ES_tradnl"/>
              </w:rPr>
              <w:t xml:space="preserve"> Luka</w:t>
            </w:r>
          </w:p>
          <w:p w14:paraId="0F10D256" w14:textId="77777777" w:rsidR="005A5957" w:rsidRPr="009F74EC" w:rsidRDefault="005A5957" w:rsidP="00C30F9D">
            <w:pPr>
              <w:pStyle w:val="ListParagraph"/>
              <w:numPr>
                <w:ilvl w:val="0"/>
                <w:numId w:val="17"/>
              </w:numPr>
              <w:ind w:left="106" w:hanging="106"/>
              <w:jc w:val="left"/>
              <w:rPr>
                <w:sz w:val="16"/>
                <w:lang w:val="es-ES_tradnl"/>
              </w:rPr>
            </w:pPr>
            <w:r w:rsidRPr="009F74EC">
              <w:rPr>
                <w:sz w:val="16"/>
                <w:lang w:val="es-ES_tradnl"/>
              </w:rPr>
              <w:t>Administración federal de obras de inspección, Sarajevo</w:t>
            </w:r>
          </w:p>
          <w:p w14:paraId="1361D57B" w14:textId="77777777" w:rsidR="005A5957" w:rsidRPr="009F74EC" w:rsidRDefault="005A5957" w:rsidP="00C30F9D">
            <w:pPr>
              <w:pStyle w:val="ListParagraph"/>
              <w:numPr>
                <w:ilvl w:val="0"/>
                <w:numId w:val="17"/>
              </w:numPr>
              <w:ind w:left="106" w:hanging="106"/>
              <w:jc w:val="left"/>
              <w:rPr>
                <w:sz w:val="16"/>
                <w:lang w:val="es-ES_tradnl"/>
              </w:rPr>
            </w:pPr>
            <w:r w:rsidRPr="009F74EC">
              <w:rPr>
                <w:sz w:val="16"/>
                <w:lang w:val="es-ES_tradnl"/>
              </w:rPr>
              <w:t xml:space="preserve">Universidad de </w:t>
            </w:r>
            <w:proofErr w:type="spellStart"/>
            <w:r w:rsidRPr="009F74EC">
              <w:rPr>
                <w:sz w:val="16"/>
                <w:lang w:val="es-ES_tradnl"/>
              </w:rPr>
              <w:t>Banja</w:t>
            </w:r>
            <w:proofErr w:type="spellEnd"/>
            <w:r w:rsidRPr="009F74EC">
              <w:rPr>
                <w:sz w:val="16"/>
                <w:lang w:val="es-ES_tradnl"/>
              </w:rPr>
              <w:t xml:space="preserve"> Luka</w:t>
            </w:r>
          </w:p>
          <w:p w14:paraId="2B4797EB" w14:textId="77777777" w:rsidR="005A5957" w:rsidRPr="009F74EC" w:rsidRDefault="005A5957" w:rsidP="00C30F9D">
            <w:pPr>
              <w:pStyle w:val="ListParagraph"/>
              <w:numPr>
                <w:ilvl w:val="0"/>
                <w:numId w:val="17"/>
              </w:numPr>
              <w:ind w:left="106" w:hanging="106"/>
              <w:jc w:val="left"/>
              <w:rPr>
                <w:sz w:val="16"/>
                <w:lang w:val="es-ES_tradnl"/>
              </w:rPr>
            </w:pPr>
            <w:r w:rsidRPr="009F74EC">
              <w:rPr>
                <w:sz w:val="16"/>
                <w:lang w:val="es-ES_tradnl"/>
              </w:rPr>
              <w:t xml:space="preserve">Alcaldía, Inspección, </w:t>
            </w:r>
            <w:proofErr w:type="spellStart"/>
            <w:r w:rsidRPr="009F74EC">
              <w:rPr>
                <w:sz w:val="16"/>
                <w:lang w:val="es-ES_tradnl"/>
              </w:rPr>
              <w:t>Brčko</w:t>
            </w:r>
            <w:proofErr w:type="spellEnd"/>
            <w:r w:rsidRPr="009F74EC">
              <w:rPr>
                <w:sz w:val="16"/>
                <w:lang w:val="es-ES_tradnl"/>
              </w:rPr>
              <w:t xml:space="preserve"> </w:t>
            </w:r>
          </w:p>
          <w:p w14:paraId="749BC9BD" w14:textId="77777777" w:rsidR="005A5957" w:rsidRPr="009F74EC" w:rsidRDefault="005A5957" w:rsidP="00C30F9D">
            <w:pPr>
              <w:pStyle w:val="ListParagraph"/>
              <w:numPr>
                <w:ilvl w:val="0"/>
                <w:numId w:val="17"/>
              </w:numPr>
              <w:ind w:left="106" w:hanging="106"/>
              <w:jc w:val="left"/>
              <w:rPr>
                <w:sz w:val="16"/>
                <w:lang w:val="es-ES_tradnl"/>
              </w:rPr>
            </w:pPr>
            <w:r w:rsidRPr="009F74EC">
              <w:rPr>
                <w:sz w:val="16"/>
                <w:lang w:val="es-ES_tradnl"/>
              </w:rPr>
              <w:t>Facultad de Agricultura y Ciencias de la Alimentación - Universidad de Sarajevo</w:t>
            </w:r>
          </w:p>
          <w:p w14:paraId="179760C8" w14:textId="77777777" w:rsidR="005A5957" w:rsidRPr="009F74EC" w:rsidRDefault="005A5957" w:rsidP="00C30F9D">
            <w:pPr>
              <w:pStyle w:val="ListParagraph"/>
              <w:numPr>
                <w:ilvl w:val="0"/>
                <w:numId w:val="17"/>
              </w:numPr>
              <w:ind w:left="106" w:hanging="106"/>
              <w:jc w:val="left"/>
              <w:rPr>
                <w:sz w:val="16"/>
                <w:lang w:val="es-ES_tradnl"/>
              </w:rPr>
            </w:pPr>
            <w:r w:rsidRPr="009F74EC">
              <w:rPr>
                <w:sz w:val="16"/>
                <w:lang w:val="es-ES_tradnl"/>
              </w:rPr>
              <w:t>Fundación ALICA</w:t>
            </w:r>
          </w:p>
          <w:p w14:paraId="25689BB8" w14:textId="77777777" w:rsidR="005A5957" w:rsidRPr="009F74EC" w:rsidRDefault="005A5957" w:rsidP="00C30F9D">
            <w:pPr>
              <w:pStyle w:val="ListParagraph"/>
              <w:numPr>
                <w:ilvl w:val="0"/>
                <w:numId w:val="17"/>
              </w:numPr>
              <w:ind w:left="106" w:hanging="106"/>
              <w:jc w:val="left"/>
              <w:rPr>
                <w:sz w:val="16"/>
                <w:lang w:val="es-ES_tradnl"/>
              </w:rPr>
            </w:pPr>
            <w:r w:rsidRPr="009F74EC">
              <w:rPr>
                <w:sz w:val="16"/>
                <w:lang w:val="es-ES_tradnl"/>
              </w:rPr>
              <w:t>Instituto Federal de Agricultura, Sarajevo</w:t>
            </w:r>
          </w:p>
          <w:p w14:paraId="392AAB20" w14:textId="77777777" w:rsidR="005A5957" w:rsidRPr="009F74EC" w:rsidRDefault="005A5957" w:rsidP="00C30F9D">
            <w:pPr>
              <w:pStyle w:val="ListParagraph"/>
              <w:numPr>
                <w:ilvl w:val="0"/>
                <w:numId w:val="17"/>
              </w:numPr>
              <w:ind w:left="106" w:hanging="106"/>
              <w:jc w:val="left"/>
              <w:rPr>
                <w:sz w:val="16"/>
                <w:lang w:val="es-ES_tradnl"/>
              </w:rPr>
            </w:pPr>
            <w:r w:rsidRPr="009F74EC">
              <w:rPr>
                <w:sz w:val="16"/>
                <w:lang w:val="es-ES_tradnl"/>
              </w:rPr>
              <w:t>Administración de Protección Fitosanitaria de Bosnia y Herzegovina</w:t>
            </w:r>
          </w:p>
        </w:tc>
      </w:tr>
    </w:tbl>
    <w:p w14:paraId="04B9B272" w14:textId="77777777" w:rsidR="005A5957" w:rsidRPr="009F74EC" w:rsidRDefault="005A5957" w:rsidP="005A5957"/>
    <w:p w14:paraId="62FF6134" w14:textId="77777777" w:rsidR="005A5957" w:rsidRPr="009F74EC" w:rsidRDefault="005A5957" w:rsidP="005A5957"/>
    <w:p w14:paraId="7A410505" w14:textId="77777777" w:rsidR="005A5957" w:rsidRPr="009F74EC" w:rsidRDefault="005A5957" w:rsidP="005A5957">
      <w:pPr>
        <w:rPr>
          <w:bCs/>
          <w:u w:val="single"/>
        </w:rPr>
      </w:pPr>
      <w:r w:rsidRPr="009F74EC">
        <w:rPr>
          <w:bCs/>
          <w:u w:val="single"/>
        </w:rPr>
        <w:t>Otras novedades de interés para la UPOV</w:t>
      </w:r>
    </w:p>
    <w:p w14:paraId="2B6A77B2" w14:textId="77777777" w:rsidR="005A5957" w:rsidRPr="009F74EC" w:rsidRDefault="005A5957" w:rsidP="005A5957"/>
    <w:p w14:paraId="2E7EAA47" w14:textId="77777777" w:rsidR="005A5957" w:rsidRPr="009F74EC" w:rsidRDefault="005A5957" w:rsidP="005A5957">
      <w:r w:rsidRPr="009F74EC">
        <w:t>El experto llevó a cabo y debatió el análisis de carencias con colegas bosnios y revisó y debatió el proyecto de reglamento sobre pequeños agricultores.</w:t>
      </w:r>
    </w:p>
    <w:p w14:paraId="4C572BA0" w14:textId="77777777" w:rsidR="005A5957" w:rsidRPr="009F74EC" w:rsidRDefault="005A5957" w:rsidP="005A5957"/>
    <w:p w14:paraId="47317E0E" w14:textId="77777777" w:rsidR="005A5957" w:rsidRPr="009F74EC" w:rsidRDefault="005A5957" w:rsidP="005A5957">
      <w:r w:rsidRPr="009F74EC">
        <w:t>En cuanto al análisis de carencias, se ha prestado especial atención a:</w:t>
      </w:r>
    </w:p>
    <w:p w14:paraId="50BDAC43" w14:textId="77777777" w:rsidR="005A5957" w:rsidRPr="009F74EC" w:rsidRDefault="005A5957" w:rsidP="005A5957"/>
    <w:p w14:paraId="178663A1" w14:textId="77777777" w:rsidR="005A5957" w:rsidRPr="009F74EC" w:rsidRDefault="005A5957" w:rsidP="005A5957">
      <w:r w:rsidRPr="009F74EC">
        <w:rPr>
          <w:rFonts w:ascii="Segoe UI Symbol" w:hAnsi="Segoe UI Symbol" w:cs="Segoe UI Symbol"/>
        </w:rPr>
        <w:t xml:space="preserve">➢ </w:t>
      </w:r>
      <w:r w:rsidRPr="009F74EC">
        <w:t>Las medidas de aplicación sobre las tasas de concesión y mantenimiento de los derechos de obtentor por elaborar</w:t>
      </w:r>
    </w:p>
    <w:p w14:paraId="19A8D070" w14:textId="77777777" w:rsidR="005A5957" w:rsidRPr="009F74EC" w:rsidRDefault="005A5957" w:rsidP="005A5957">
      <w:r w:rsidRPr="009F74EC">
        <w:rPr>
          <w:rFonts w:ascii="Segoe UI Symbol" w:hAnsi="Segoe UI Symbol" w:cs="Segoe UI Symbol"/>
        </w:rPr>
        <w:t>➢ S</w:t>
      </w:r>
      <w:r w:rsidRPr="009F74EC">
        <w:t>e crea la Comisión para la protección de las obtenciones vegetales</w:t>
      </w:r>
    </w:p>
    <w:p w14:paraId="7C510DF5" w14:textId="77777777" w:rsidR="005A5957" w:rsidRPr="009F74EC" w:rsidRDefault="005A5957" w:rsidP="005A5957">
      <w:r w:rsidRPr="009F74EC">
        <w:rPr>
          <w:rFonts w:ascii="Segoe UI Symbol" w:hAnsi="Segoe UI Symbol" w:cs="Segoe UI Symbol"/>
        </w:rPr>
        <w:t xml:space="preserve">➢ Se creará </w:t>
      </w:r>
      <w:r w:rsidRPr="009F74EC">
        <w:t>un comité de apelación</w:t>
      </w:r>
    </w:p>
    <w:p w14:paraId="4C9175D3" w14:textId="77777777" w:rsidR="005A5957" w:rsidRPr="009F74EC" w:rsidRDefault="005A5957" w:rsidP="005A5957">
      <w:r w:rsidRPr="009F74EC">
        <w:rPr>
          <w:rFonts w:ascii="Segoe UI Symbol" w:hAnsi="Segoe UI Symbol" w:cs="Segoe UI Symbol"/>
        </w:rPr>
        <w:t xml:space="preserve">➢ </w:t>
      </w:r>
      <w:r w:rsidRPr="009F74EC">
        <w:t>Proyecto de reglamento sobre el registro de derechos de obtentor</w:t>
      </w:r>
    </w:p>
    <w:p w14:paraId="03620961" w14:textId="77777777" w:rsidR="005A5957" w:rsidRPr="009F74EC" w:rsidRDefault="005A5957" w:rsidP="005A5957">
      <w:r w:rsidRPr="009F74EC">
        <w:rPr>
          <w:rFonts w:ascii="Segoe UI Symbol" w:hAnsi="Segoe UI Symbol" w:cs="Segoe UI Symbol"/>
        </w:rPr>
        <w:t xml:space="preserve">➢ </w:t>
      </w:r>
      <w:r w:rsidRPr="009F74EC">
        <w:t>Proyecto de reglamento sobre la definición de pequeño agricultor</w:t>
      </w:r>
    </w:p>
    <w:p w14:paraId="630E8D07" w14:textId="77777777" w:rsidR="005A5957" w:rsidRPr="009F74EC" w:rsidRDefault="005A5957" w:rsidP="005A5957"/>
    <w:p w14:paraId="404527A0" w14:textId="77777777" w:rsidR="005A5957" w:rsidRPr="009F74EC" w:rsidRDefault="005A5957" w:rsidP="005A5957">
      <w:r w:rsidRPr="009F74EC">
        <w:t>En cuanto a la normativa sobre pequeños agricultores, el comentario más importante se refería a los criterios en virtud de los cuales se estableció el límite de 3 hectáreas. Este es el límite del tamaño de las explotaciones por debajo del cual los agricultores estarían exentos del pago de regalías sobre las variedades protegidas, de acuerdo con la exención facultativa del Convenio de la UPOV.</w:t>
      </w:r>
    </w:p>
    <w:p w14:paraId="380DF60C" w14:textId="77777777" w:rsidR="005A5957" w:rsidRPr="009F74EC" w:rsidRDefault="005A5957" w:rsidP="005A5957"/>
    <w:p w14:paraId="0AA50ACC" w14:textId="77777777" w:rsidR="005A5957" w:rsidRPr="009F74EC" w:rsidRDefault="005A5957" w:rsidP="005A5957">
      <w:r w:rsidRPr="009F74EC">
        <w:t xml:space="preserve">Este límite debe establecerse teniendo en cuenta las características generales de la agricultura en </w:t>
      </w:r>
      <w:proofErr w:type="spellStart"/>
      <w:r w:rsidRPr="009F74EC">
        <w:t>BiH</w:t>
      </w:r>
      <w:proofErr w:type="spellEnd"/>
      <w:r w:rsidRPr="009F74EC">
        <w:t xml:space="preserve">, el tamaño medio de las explotaciones, los principales cultivos, con el objetivo de encontrar un equilibrio justo </w:t>
      </w:r>
      <w:r w:rsidRPr="009F74EC">
        <w:lastRenderedPageBreak/>
        <w:t>entre los intereses legítimos del obtentor y el análisis coste-beneficio para recaudar los cánones de los pequeños agricultores definidos.</w:t>
      </w:r>
    </w:p>
    <w:p w14:paraId="789BDED1" w14:textId="77777777" w:rsidR="005A5957" w:rsidRPr="009F74EC" w:rsidRDefault="005A5957" w:rsidP="005A5957"/>
    <w:p w14:paraId="0EBFE64C" w14:textId="77777777" w:rsidR="005A5957" w:rsidRPr="009F74EC" w:rsidRDefault="005A5957" w:rsidP="005A5957">
      <w:r w:rsidRPr="009F74EC">
        <w:t>En las ponencias se presentaron ejemplos de la situación en Polonia, República Checa, Países Bajos, Italia y, en general, en el contexto de la UE.</w:t>
      </w:r>
    </w:p>
    <w:p w14:paraId="72F2BA83" w14:textId="77777777" w:rsidR="005A5957" w:rsidRPr="009F74EC" w:rsidRDefault="005A5957" w:rsidP="005A5957"/>
    <w:p w14:paraId="64EA29AD" w14:textId="77777777" w:rsidR="005A5957" w:rsidRPr="009F74EC" w:rsidRDefault="005A5957" w:rsidP="005A5957">
      <w:r w:rsidRPr="009F74EC">
        <w:t>Según el Reglamento CE 1768/95 (por el que se aplica el artículo 14 del Reglamento de base 2100/94 sobre derechos de obtentor), el agricultor que produzca menos de 92 toneladas de cereales y/o 185 toneladas de patatas se considera "pequeño agricultor" y, como tal, no está obligado a pagar ningún canon al obtentor.</w:t>
      </w:r>
    </w:p>
    <w:p w14:paraId="064DB5E1" w14:textId="77777777" w:rsidR="005A5957" w:rsidRPr="009F74EC" w:rsidRDefault="005A5957" w:rsidP="005A5957"/>
    <w:p w14:paraId="6E473F05" w14:textId="77777777" w:rsidR="005A5957" w:rsidRPr="009F74EC" w:rsidRDefault="005A5957" w:rsidP="005A5957">
      <w:r w:rsidRPr="009F74EC">
        <w:t>También se señaló la necesidad de una revisión editorial y lingüística menor de la versión inglesa del proyecto de reglamento.</w:t>
      </w:r>
    </w:p>
    <w:p w14:paraId="3E498B31" w14:textId="77777777" w:rsidR="005A5957" w:rsidRPr="009F74EC" w:rsidRDefault="005A5957" w:rsidP="005A5957"/>
    <w:p w14:paraId="266DB1B1" w14:textId="77777777" w:rsidR="005A5957" w:rsidRPr="009F74EC" w:rsidRDefault="005A5957" w:rsidP="005A5957">
      <w:r w:rsidRPr="009F74EC">
        <w:t>La misión se ha visto enormemente facilitada por la colaboración de los colegas de PHPA. Teniendo en cuenta las condiciones de trabajo por videoconferencia, no se han encontrado dificultades.</w:t>
      </w:r>
    </w:p>
    <w:p w14:paraId="59469370" w14:textId="77777777" w:rsidR="005A5957" w:rsidRPr="009F74EC" w:rsidRDefault="005A5957" w:rsidP="005A5957"/>
    <w:p w14:paraId="03931C1D" w14:textId="77777777" w:rsidR="005A5957" w:rsidRPr="009F74EC" w:rsidRDefault="005A5957" w:rsidP="005A5957">
      <w:r w:rsidRPr="009F74EC">
        <w:t>Se recomienda:</w:t>
      </w:r>
    </w:p>
    <w:p w14:paraId="3DAA31A4" w14:textId="77777777" w:rsidR="005A5957" w:rsidRPr="009F74EC" w:rsidRDefault="005A5957" w:rsidP="005A5957"/>
    <w:p w14:paraId="453F47C1" w14:textId="77777777" w:rsidR="005A5957" w:rsidRPr="009F74EC" w:rsidRDefault="005A5957" w:rsidP="005A5957">
      <w:r w:rsidRPr="009F74EC">
        <w:t>➢ Iniciar el proceso para la aprobación de la modificación del artículo 19 de la Ley.</w:t>
      </w:r>
    </w:p>
    <w:p w14:paraId="27B09586" w14:textId="77777777" w:rsidR="005A5957" w:rsidRPr="009F74EC" w:rsidRDefault="005A5957" w:rsidP="005A5957">
      <w:r w:rsidRPr="009F74EC">
        <w:t xml:space="preserve">➢ Iniciar el proceso para la adopción de la Decisión relativa a la creación de una comisión mixta para la concesión de derechos y protección </w:t>
      </w:r>
      <w:r w:rsidRPr="009F74EC">
        <w:rPr>
          <w:rFonts w:cs="Arial"/>
        </w:rPr>
        <w:t xml:space="preserve">a </w:t>
      </w:r>
      <w:r w:rsidRPr="009F74EC">
        <w:t>los obtentores, incluida la identificación del representante de las instituciones pertinentes.</w:t>
      </w:r>
    </w:p>
    <w:p w14:paraId="3C650A6D" w14:textId="77777777" w:rsidR="005A5957" w:rsidRPr="009F74EC" w:rsidRDefault="005A5957" w:rsidP="005A5957">
      <w:r w:rsidRPr="009F74EC">
        <w:rPr>
          <w:rFonts w:ascii="Segoe UI Symbol" w:hAnsi="Segoe UI Symbol" w:cs="Segoe UI Symbol"/>
        </w:rPr>
        <w:t xml:space="preserve">➢ </w:t>
      </w:r>
      <w:r w:rsidRPr="009F74EC">
        <w:t>Comprobar la coherencia entre los artículos y los anexos del reglamento sobre registros e iniciar el proceso para la aprobación, incluido el borrador del Certificado.</w:t>
      </w:r>
    </w:p>
    <w:p w14:paraId="0B4DBBC9" w14:textId="77777777" w:rsidR="005A5957" w:rsidRPr="009F74EC" w:rsidRDefault="005A5957" w:rsidP="005A5957">
      <w:r w:rsidRPr="009F74EC">
        <w:t>➢ Iniciar el proceso para la aprobación de la normativa sobre pequeños agricultores.</w:t>
      </w:r>
    </w:p>
    <w:p w14:paraId="4029CCBC" w14:textId="77777777" w:rsidR="005A5957" w:rsidRPr="009F74EC" w:rsidRDefault="005A5957" w:rsidP="005A5957">
      <w:r w:rsidRPr="009F74EC">
        <w:rPr>
          <w:rFonts w:ascii="Segoe UI Symbol" w:hAnsi="Segoe UI Symbol" w:cs="Segoe UI Symbol"/>
        </w:rPr>
        <w:t xml:space="preserve">➢ </w:t>
      </w:r>
      <w:r w:rsidRPr="009F74EC">
        <w:t>Reflexionar sobre las modificaciones necesarias en los reglamentos de la Comisión y sobre las tasas por inclusión en la lista que se utilizarán también a efectos de derechos de obtentor.</w:t>
      </w:r>
    </w:p>
    <w:p w14:paraId="1EA02369" w14:textId="77777777" w:rsidR="005A5957" w:rsidRPr="009F74EC" w:rsidRDefault="005A5957" w:rsidP="005A5957"/>
    <w:p w14:paraId="007B4831" w14:textId="77777777" w:rsidR="005A5957" w:rsidRPr="009F74EC" w:rsidRDefault="005A5957" w:rsidP="005A5957">
      <w:r w:rsidRPr="009F74EC">
        <w:t>RESULTADOS</w:t>
      </w:r>
    </w:p>
    <w:p w14:paraId="148D3980" w14:textId="77777777" w:rsidR="005A5957" w:rsidRPr="009F74EC" w:rsidRDefault="005A5957" w:rsidP="005A5957"/>
    <w:p w14:paraId="08E391BC" w14:textId="77777777" w:rsidR="005A5957" w:rsidRPr="009F74EC" w:rsidRDefault="005A5957" w:rsidP="005A5957">
      <w:r w:rsidRPr="009F74EC">
        <w:t>a. Texto de modificación del artículo 19 de la Ley</w:t>
      </w:r>
    </w:p>
    <w:p w14:paraId="1D5A9B0D" w14:textId="77777777" w:rsidR="005A5957" w:rsidRPr="009F74EC" w:rsidRDefault="005A5957" w:rsidP="005A5957">
      <w:r w:rsidRPr="009F74EC">
        <w:t>b. Texto definitivo de la Decisión sobre la Comisión Mixta para la concesión de derechos de obtentor y de protección</w:t>
      </w:r>
    </w:p>
    <w:p w14:paraId="37FAF0F7" w14:textId="77777777" w:rsidR="005A5957" w:rsidRPr="009F74EC" w:rsidRDefault="005A5957" w:rsidP="005A5957">
      <w:r w:rsidRPr="009F74EC">
        <w:t>c. Certificado de concesión del derecho de obtentor</w:t>
      </w:r>
    </w:p>
    <w:p w14:paraId="30FB0E82" w14:textId="77777777" w:rsidR="005A5957" w:rsidRPr="009F74EC" w:rsidRDefault="005A5957" w:rsidP="005A5957">
      <w:r w:rsidRPr="009F74EC">
        <w:t>d. Texto definitivo del reglamento sobre registros</w:t>
      </w:r>
    </w:p>
    <w:p w14:paraId="2A685A0F" w14:textId="77777777" w:rsidR="005A5957" w:rsidRPr="009F74EC" w:rsidRDefault="005A5957" w:rsidP="005A5957">
      <w:r w:rsidRPr="009F74EC">
        <w:t>e. Texto final del reglamento sobre pequeños agricultores</w:t>
      </w:r>
    </w:p>
    <w:p w14:paraId="0053BA35" w14:textId="77777777" w:rsidR="005A5957" w:rsidRPr="009F74EC" w:rsidRDefault="005A5957" w:rsidP="005A5957"/>
    <w:p w14:paraId="271B450B" w14:textId="77777777" w:rsidR="005A5957" w:rsidRPr="009F74EC" w:rsidRDefault="005A5957" w:rsidP="005A5957"/>
    <w:p w14:paraId="5C347CE7" w14:textId="77777777" w:rsidR="005A5957" w:rsidRPr="009F74EC" w:rsidRDefault="005A5957" w:rsidP="005A5957"/>
    <w:p w14:paraId="64A8A433" w14:textId="77777777" w:rsidR="005A5957" w:rsidRPr="009F74EC" w:rsidRDefault="005A5957" w:rsidP="005A5957">
      <w:pPr>
        <w:jc w:val="right"/>
      </w:pPr>
      <w:r w:rsidRPr="009F74EC">
        <w:t>[Sigue el Anexo V]</w:t>
      </w:r>
    </w:p>
    <w:p w14:paraId="34B02327" w14:textId="77777777" w:rsidR="005A5957" w:rsidRPr="009F74EC" w:rsidRDefault="005A5957" w:rsidP="005A5957"/>
    <w:p w14:paraId="644154D9" w14:textId="77777777" w:rsidR="005A5957" w:rsidRPr="009F74EC" w:rsidRDefault="005A5957" w:rsidP="005A5957"/>
    <w:p w14:paraId="39610630" w14:textId="77777777" w:rsidR="005A5957" w:rsidRPr="009F74EC" w:rsidRDefault="005A5957" w:rsidP="005A5957">
      <w:pPr>
        <w:jc w:val="center"/>
        <w:sectPr w:rsidR="005A5957" w:rsidRPr="009F74EC" w:rsidSect="000B2CE0">
          <w:headerReference w:type="default" r:id="rId13"/>
          <w:pgSz w:w="11907" w:h="16840" w:code="9"/>
          <w:pgMar w:top="510" w:right="1134" w:bottom="568" w:left="1134" w:header="510" w:footer="680" w:gutter="0"/>
          <w:pgNumType w:start="1"/>
          <w:cols w:space="720"/>
          <w:titlePg/>
        </w:sectPr>
      </w:pPr>
    </w:p>
    <w:p w14:paraId="5A3734DB" w14:textId="77777777" w:rsidR="005A5957" w:rsidRPr="009F74EC" w:rsidRDefault="005A5957" w:rsidP="005A5957">
      <w:pPr>
        <w:jc w:val="center"/>
      </w:pPr>
      <w:bookmarkStart w:id="0" w:name="_Hlk146894687"/>
      <w:r w:rsidRPr="009F74EC">
        <w:lastRenderedPageBreak/>
        <w:t>C/57/13</w:t>
      </w:r>
    </w:p>
    <w:p w14:paraId="12F39219" w14:textId="77777777" w:rsidR="005A5957" w:rsidRPr="009F74EC" w:rsidRDefault="005A5957" w:rsidP="005A5957">
      <w:pPr>
        <w:jc w:val="center"/>
      </w:pPr>
    </w:p>
    <w:p w14:paraId="25388913" w14:textId="77777777" w:rsidR="005A5957" w:rsidRPr="009F74EC" w:rsidRDefault="005A5957" w:rsidP="005A5957">
      <w:pPr>
        <w:jc w:val="center"/>
      </w:pPr>
      <w:r w:rsidRPr="009F74EC">
        <w:t>ANEXO V</w:t>
      </w:r>
    </w:p>
    <w:p w14:paraId="04EF5607" w14:textId="77777777" w:rsidR="005A5957" w:rsidRPr="009F74EC" w:rsidRDefault="005A5957" w:rsidP="005A5957">
      <w:pPr>
        <w:jc w:val="center"/>
      </w:pPr>
    </w:p>
    <w:p w14:paraId="6CC3FFE4" w14:textId="77777777" w:rsidR="005A5957" w:rsidRPr="009F74EC" w:rsidRDefault="005A5957" w:rsidP="005A5957">
      <w:pPr>
        <w:jc w:val="center"/>
      </w:pPr>
    </w:p>
    <w:p w14:paraId="363CB442" w14:textId="77777777" w:rsidR="005A5957" w:rsidRPr="009F74EC" w:rsidRDefault="005A5957" w:rsidP="005A5957">
      <w:pPr>
        <w:jc w:val="center"/>
      </w:pPr>
      <w:r w:rsidRPr="009F74EC">
        <w:t>ESTONIA</w:t>
      </w:r>
    </w:p>
    <w:p w14:paraId="4C2CF6AB" w14:textId="77777777" w:rsidR="00633DB1" w:rsidRPr="009F74EC" w:rsidRDefault="00633DB1" w:rsidP="00633DB1">
      <w:pPr>
        <w:jc w:val="center"/>
      </w:pPr>
      <w:r w:rsidRPr="009F74EC">
        <w:t>(Idioma original: inglés)</w:t>
      </w:r>
    </w:p>
    <w:p w14:paraId="73FFEDB0" w14:textId="77777777" w:rsidR="00633DB1" w:rsidRPr="009F74EC" w:rsidRDefault="00633DB1" w:rsidP="00633DB1"/>
    <w:p w14:paraId="3C4E6489" w14:textId="77777777" w:rsidR="00633DB1" w:rsidRPr="009F74EC" w:rsidRDefault="00633DB1" w:rsidP="00633DB1">
      <w:pPr>
        <w:pStyle w:val="Disclaimer"/>
        <w:spacing w:after="360"/>
        <w:jc w:val="center"/>
        <w:rPr>
          <w:sz w:val="18"/>
          <w:szCs w:val="18"/>
        </w:rPr>
      </w:pPr>
      <w:r w:rsidRPr="009F74EC">
        <w:rPr>
          <w:sz w:val="18"/>
          <w:szCs w:val="18"/>
        </w:rPr>
        <w:t xml:space="preserve">Esta traducción se ha generado mediante traducción automática y no puede garantizarse su exactitud. </w:t>
      </w:r>
      <w:r w:rsidRPr="009F74EC">
        <w:rPr>
          <w:sz w:val="18"/>
          <w:szCs w:val="18"/>
        </w:rPr>
        <w:br/>
        <w:t>Por lo tanto, el texto en el idioma original es la única versión auténtica.</w:t>
      </w:r>
    </w:p>
    <w:p w14:paraId="16A625E6" w14:textId="77777777" w:rsidR="005A5957" w:rsidRPr="009F74EC" w:rsidRDefault="005A5957" w:rsidP="005A5957">
      <w:r w:rsidRPr="009F74EC">
        <w:t>I.</w:t>
      </w:r>
      <w:r w:rsidRPr="009F74EC">
        <w:tab/>
        <w:t>PROTECCIÓN DE LAS OBTENCIONES VEGETALES</w:t>
      </w:r>
    </w:p>
    <w:p w14:paraId="7F08A47F" w14:textId="77777777" w:rsidR="005A5957" w:rsidRPr="009F74EC" w:rsidRDefault="005A5957" w:rsidP="005A5957"/>
    <w:p w14:paraId="099B8D78" w14:textId="77777777" w:rsidR="005A5957" w:rsidRPr="009F74EC" w:rsidRDefault="005A5957" w:rsidP="005A5957">
      <w:r w:rsidRPr="009F74EC">
        <w:t xml:space="preserve">1. </w:t>
      </w:r>
      <w:r w:rsidRPr="009F74EC">
        <w:tab/>
      </w:r>
      <w:r w:rsidRPr="009F74EC">
        <w:rPr>
          <w:u w:val="single"/>
        </w:rPr>
        <w:t>Situación en el ámbito legislativo</w:t>
      </w:r>
    </w:p>
    <w:p w14:paraId="2F8EF110" w14:textId="77777777" w:rsidR="005A5957" w:rsidRPr="009F74EC" w:rsidRDefault="005A5957" w:rsidP="005A5957"/>
    <w:p w14:paraId="19C2BCB2" w14:textId="10EAA76C" w:rsidR="005A5957" w:rsidRPr="009F74EC" w:rsidRDefault="005A5957" w:rsidP="005A5957">
      <w:r w:rsidRPr="009F74EC">
        <w:t>1.1</w:t>
      </w:r>
      <w:r w:rsidR="00070514">
        <w:tab/>
      </w:r>
      <w:r w:rsidRPr="009F74EC">
        <w:t xml:space="preserve">Modificaciones de la ley y de los reglamentos de aplicación </w:t>
      </w:r>
    </w:p>
    <w:p w14:paraId="5ECDAFE2" w14:textId="77777777" w:rsidR="005A5957" w:rsidRPr="009F74EC" w:rsidRDefault="005A5957" w:rsidP="005A5957"/>
    <w:p w14:paraId="13E16C49" w14:textId="77777777" w:rsidR="005A5957" w:rsidRPr="009F74EC" w:rsidRDefault="005A5957" w:rsidP="005A5957">
      <w:pPr>
        <w:ind w:left="567"/>
      </w:pPr>
      <w:r w:rsidRPr="009F74EC">
        <w:t>Ley de derechos de propagación de plantas y obtenciones vegetales en vigor a partir del 01.01.2022.</w:t>
      </w:r>
    </w:p>
    <w:p w14:paraId="4A03F7AC" w14:textId="77777777" w:rsidR="005A5957" w:rsidRPr="009F74EC" w:rsidRDefault="005A5957" w:rsidP="005A5957">
      <w:pPr>
        <w:ind w:left="567"/>
      </w:pPr>
      <w:hyperlink r:id="rId14" w:history="1">
        <w:r w:rsidRPr="009F74EC">
          <w:rPr>
            <w:rStyle w:val="Hyperlink"/>
          </w:rPr>
          <w:t>https://www.riigiteataja.ee/en/eli/530122021003/consolide</w:t>
        </w:r>
      </w:hyperlink>
    </w:p>
    <w:p w14:paraId="15416272" w14:textId="77777777" w:rsidR="005A5957" w:rsidRPr="009F74EC" w:rsidRDefault="005A5957" w:rsidP="005A5957"/>
    <w:p w14:paraId="086A648B" w14:textId="1525877E" w:rsidR="005A5957" w:rsidRPr="009F74EC" w:rsidRDefault="005A5957" w:rsidP="005A5957">
      <w:pPr>
        <w:pStyle w:val="BodyTextIndent2"/>
        <w:ind w:left="0" w:firstLine="0"/>
        <w:rPr>
          <w:sz w:val="20"/>
          <w:szCs w:val="20"/>
          <w:lang w:val="es-ES_tradnl"/>
        </w:rPr>
      </w:pPr>
      <w:r w:rsidRPr="009F74EC">
        <w:rPr>
          <w:sz w:val="20"/>
          <w:szCs w:val="20"/>
          <w:lang w:val="es-ES_tradnl"/>
        </w:rPr>
        <w:t>1.2</w:t>
      </w:r>
      <w:r w:rsidR="00070514">
        <w:rPr>
          <w:sz w:val="20"/>
          <w:szCs w:val="20"/>
          <w:lang w:val="es-ES_tradnl"/>
        </w:rPr>
        <w:tab/>
      </w:r>
      <w:r w:rsidRPr="009F74EC">
        <w:rPr>
          <w:sz w:val="20"/>
          <w:szCs w:val="20"/>
          <w:lang w:val="es-ES_tradnl"/>
        </w:rPr>
        <w:t xml:space="preserve">Ampliación de la protección a otros géneros y especies (realizada o prevista) </w:t>
      </w:r>
    </w:p>
    <w:p w14:paraId="749FD3A7" w14:textId="77777777" w:rsidR="005A5957" w:rsidRPr="009F74EC" w:rsidRDefault="005A5957" w:rsidP="005A5957">
      <w:pPr>
        <w:pStyle w:val="BodyTextIndent2"/>
        <w:ind w:left="0" w:firstLine="0"/>
        <w:rPr>
          <w:i/>
          <w:sz w:val="20"/>
          <w:szCs w:val="20"/>
          <w:lang w:val="es-ES_tradnl"/>
        </w:rPr>
      </w:pPr>
    </w:p>
    <w:p w14:paraId="32879F7C" w14:textId="77777777" w:rsidR="005A5957" w:rsidRPr="009F74EC" w:rsidRDefault="005A5957" w:rsidP="005A5957">
      <w:pPr>
        <w:ind w:left="567"/>
      </w:pPr>
      <w:r w:rsidRPr="009F74EC">
        <w:t>Sin cambios.</w:t>
      </w:r>
    </w:p>
    <w:p w14:paraId="17FE2E98" w14:textId="77777777" w:rsidR="005A5957" w:rsidRPr="009F74EC" w:rsidRDefault="005A5957" w:rsidP="005A5957">
      <w:pPr>
        <w:pStyle w:val="BodyTextIndent2"/>
        <w:ind w:left="0" w:firstLine="0"/>
        <w:rPr>
          <w:sz w:val="20"/>
          <w:szCs w:val="20"/>
          <w:lang w:val="es-ES_tradnl"/>
        </w:rPr>
      </w:pPr>
    </w:p>
    <w:p w14:paraId="0D4E28D5" w14:textId="5BCBBB86" w:rsidR="005A5957" w:rsidRPr="009F74EC" w:rsidRDefault="005A5957" w:rsidP="005A5957">
      <w:pPr>
        <w:pStyle w:val="BodyTextIndent2"/>
        <w:ind w:left="0" w:firstLine="0"/>
        <w:rPr>
          <w:sz w:val="20"/>
          <w:szCs w:val="20"/>
          <w:lang w:val="es-ES_tradnl"/>
        </w:rPr>
      </w:pPr>
      <w:r w:rsidRPr="009F74EC">
        <w:rPr>
          <w:sz w:val="20"/>
          <w:szCs w:val="20"/>
          <w:lang w:val="es-ES_tradnl"/>
        </w:rPr>
        <w:t>1.3</w:t>
      </w:r>
      <w:r w:rsidR="00070514">
        <w:rPr>
          <w:sz w:val="20"/>
          <w:szCs w:val="20"/>
          <w:lang w:val="es-ES_tradnl"/>
        </w:rPr>
        <w:tab/>
      </w:r>
      <w:r w:rsidRPr="009F74EC">
        <w:rPr>
          <w:sz w:val="20"/>
          <w:szCs w:val="20"/>
          <w:lang w:val="es-ES_tradnl"/>
        </w:rPr>
        <w:t>La jurisprudencia</w:t>
      </w:r>
    </w:p>
    <w:p w14:paraId="0A811BEB" w14:textId="77777777" w:rsidR="005A5957" w:rsidRPr="009F74EC" w:rsidRDefault="005A5957" w:rsidP="005A5957"/>
    <w:p w14:paraId="1618C41D" w14:textId="77777777" w:rsidR="005A5957" w:rsidRPr="009F74EC" w:rsidRDefault="005A5957" w:rsidP="005A5957">
      <w:pPr>
        <w:ind w:left="567"/>
      </w:pPr>
      <w:r w:rsidRPr="009F74EC">
        <w:t>No hay jurisprudencia.</w:t>
      </w:r>
    </w:p>
    <w:p w14:paraId="4F2859C9" w14:textId="77777777" w:rsidR="005A5957" w:rsidRPr="009F74EC" w:rsidRDefault="005A5957" w:rsidP="005A5957"/>
    <w:p w14:paraId="5A095846" w14:textId="77777777" w:rsidR="005A5957" w:rsidRPr="009F74EC" w:rsidRDefault="005A5957" w:rsidP="005A5957"/>
    <w:p w14:paraId="338C509E" w14:textId="77777777" w:rsidR="005A5957" w:rsidRPr="009F74EC" w:rsidRDefault="005A5957" w:rsidP="005A5957">
      <w:r w:rsidRPr="009F74EC">
        <w:t>2.</w:t>
      </w:r>
      <w:r w:rsidRPr="009F74EC">
        <w:tab/>
      </w:r>
      <w:r w:rsidRPr="009F74EC">
        <w:rPr>
          <w:u w:val="single"/>
        </w:rPr>
        <w:t>Cooperación en el examen</w:t>
      </w:r>
    </w:p>
    <w:p w14:paraId="28FD996A" w14:textId="77777777" w:rsidR="005A5957" w:rsidRPr="009F74EC" w:rsidRDefault="005A5957" w:rsidP="005A5957"/>
    <w:p w14:paraId="23F32D15" w14:textId="77777777" w:rsidR="005A5957" w:rsidRPr="009F74EC" w:rsidRDefault="005A5957" w:rsidP="005A5957">
      <w:pPr>
        <w:ind w:left="567"/>
      </w:pPr>
      <w:r w:rsidRPr="009F74EC">
        <w:t>Actualización del acuerdo existente con COBORU en curso.</w:t>
      </w:r>
    </w:p>
    <w:p w14:paraId="43155399" w14:textId="77777777" w:rsidR="005A5957" w:rsidRPr="009F74EC" w:rsidRDefault="005A5957" w:rsidP="005A5957"/>
    <w:p w14:paraId="2434EDAC" w14:textId="77777777" w:rsidR="005A5957" w:rsidRPr="009F74EC" w:rsidRDefault="005A5957" w:rsidP="005A5957"/>
    <w:p w14:paraId="1D8EB834" w14:textId="77777777" w:rsidR="005A5957" w:rsidRPr="009F74EC" w:rsidRDefault="005A5957" w:rsidP="005A5957">
      <w:pPr>
        <w:rPr>
          <w:u w:val="single"/>
        </w:rPr>
      </w:pPr>
      <w:r w:rsidRPr="009F74EC">
        <w:t>3.</w:t>
      </w:r>
      <w:r w:rsidRPr="009F74EC">
        <w:tab/>
      </w:r>
      <w:r w:rsidRPr="009F74EC">
        <w:rPr>
          <w:u w:val="single"/>
        </w:rPr>
        <w:t>Situación en el ámbito administrativo</w:t>
      </w:r>
    </w:p>
    <w:p w14:paraId="073D58C5" w14:textId="77777777" w:rsidR="005A5957" w:rsidRPr="009F74EC" w:rsidRDefault="005A5957" w:rsidP="005A5957"/>
    <w:p w14:paraId="578321AE" w14:textId="31E5D9D9" w:rsidR="005A5957" w:rsidRPr="009F74EC" w:rsidRDefault="005A5957" w:rsidP="005A5957">
      <w:r w:rsidRPr="009F74EC">
        <w:t>-</w:t>
      </w:r>
      <w:r w:rsidR="00070514">
        <w:tab/>
      </w:r>
      <w:r w:rsidRPr="009F74EC">
        <w:t xml:space="preserve">Cambios en la estructura administrativa </w:t>
      </w:r>
    </w:p>
    <w:p w14:paraId="5CAFFF2E" w14:textId="77777777" w:rsidR="005A5957" w:rsidRPr="009F74EC" w:rsidRDefault="005A5957" w:rsidP="005A5957"/>
    <w:p w14:paraId="66DD61EC" w14:textId="77777777" w:rsidR="005A5957" w:rsidRPr="009F74EC" w:rsidRDefault="005A5957" w:rsidP="005A5957">
      <w:pPr>
        <w:ind w:left="567"/>
      </w:pPr>
      <w:r w:rsidRPr="009F74EC">
        <w:t>El área de Variedades Vegetales se ha trasladado a otro departamento: Departamento de Sanidad Vegetal y Material de Propagación.</w:t>
      </w:r>
    </w:p>
    <w:p w14:paraId="56028F3F" w14:textId="77777777" w:rsidR="005A5957" w:rsidRPr="009F74EC" w:rsidRDefault="005A5957" w:rsidP="005A5957"/>
    <w:p w14:paraId="3B3E4F09" w14:textId="59E32F53" w:rsidR="005A5957" w:rsidRPr="009F74EC" w:rsidRDefault="005A5957" w:rsidP="005A5957">
      <w:r w:rsidRPr="009F74EC">
        <w:t>-</w:t>
      </w:r>
      <w:r w:rsidR="00070514">
        <w:tab/>
      </w:r>
      <w:r w:rsidRPr="009F74EC">
        <w:t>Cambios en los procedimientos y sistemas de oficina.</w:t>
      </w:r>
    </w:p>
    <w:p w14:paraId="606ADC5E" w14:textId="77777777" w:rsidR="005A5957" w:rsidRPr="009F74EC" w:rsidRDefault="005A5957" w:rsidP="005A5957"/>
    <w:p w14:paraId="7E94E2A7" w14:textId="77777777" w:rsidR="005A5957" w:rsidRPr="009F74EC" w:rsidRDefault="005A5957" w:rsidP="005A5957">
      <w:pPr>
        <w:ind w:left="567"/>
      </w:pPr>
      <w:r w:rsidRPr="009F74EC">
        <w:t>Sin cambios.</w:t>
      </w:r>
    </w:p>
    <w:p w14:paraId="30C81F13" w14:textId="77777777" w:rsidR="005A5957" w:rsidRPr="009F74EC" w:rsidRDefault="005A5957" w:rsidP="005A5957"/>
    <w:p w14:paraId="085CDFDE" w14:textId="77777777" w:rsidR="005A5957" w:rsidRPr="009F74EC" w:rsidRDefault="005A5957" w:rsidP="005A5957"/>
    <w:p w14:paraId="6E04F175" w14:textId="77777777" w:rsidR="005A5957" w:rsidRPr="009F74EC" w:rsidRDefault="005A5957" w:rsidP="005A5957">
      <w:r w:rsidRPr="009F74EC">
        <w:t>4.</w:t>
      </w:r>
      <w:r w:rsidRPr="009F74EC">
        <w:tab/>
      </w:r>
      <w:r w:rsidRPr="009F74EC">
        <w:rPr>
          <w:u w:val="single"/>
        </w:rPr>
        <w:t>Situación en el ámbito técnico</w:t>
      </w:r>
    </w:p>
    <w:p w14:paraId="4EAFFCFB" w14:textId="77777777" w:rsidR="005A5957" w:rsidRPr="009F74EC" w:rsidRDefault="005A5957" w:rsidP="005A5957"/>
    <w:p w14:paraId="5088FD2D" w14:textId="77777777" w:rsidR="005A5957" w:rsidRPr="009F74EC" w:rsidRDefault="005A5957" w:rsidP="005A5957">
      <w:pPr>
        <w:ind w:left="567"/>
      </w:pPr>
      <w:r w:rsidRPr="009F74EC">
        <w:t>Sin cambios.</w:t>
      </w:r>
    </w:p>
    <w:p w14:paraId="326598F1" w14:textId="77777777" w:rsidR="005A5957" w:rsidRPr="009F74EC" w:rsidRDefault="005A5957" w:rsidP="005A5957"/>
    <w:p w14:paraId="7EA9171C" w14:textId="77777777" w:rsidR="005A5957" w:rsidRPr="009F74EC" w:rsidRDefault="005A5957" w:rsidP="005A5957"/>
    <w:p w14:paraId="37E88AE7" w14:textId="77777777" w:rsidR="005A5957" w:rsidRPr="009F74EC" w:rsidRDefault="005A5957" w:rsidP="005A5957">
      <w:pPr>
        <w:keepNext/>
        <w:rPr>
          <w:bCs/>
        </w:rPr>
      </w:pPr>
      <w:r w:rsidRPr="009F74EC">
        <w:rPr>
          <w:bCs/>
        </w:rPr>
        <w:lastRenderedPageBreak/>
        <w:t>II.</w:t>
      </w:r>
      <w:r w:rsidRPr="009F74EC">
        <w:rPr>
          <w:bCs/>
        </w:rPr>
        <w:tab/>
        <w:t>OTROS ACONTECIMIENTOS DE INTERÉS PARA LA UPOV</w:t>
      </w:r>
    </w:p>
    <w:p w14:paraId="6F2591F6" w14:textId="77777777" w:rsidR="005A5957" w:rsidRPr="009F74EC" w:rsidRDefault="005A5957" w:rsidP="005A5957">
      <w:pPr>
        <w:keepNext/>
      </w:pPr>
    </w:p>
    <w:p w14:paraId="0F5D869A" w14:textId="77777777" w:rsidR="005A5957" w:rsidRPr="009F74EC" w:rsidRDefault="005A5957" w:rsidP="005A5957">
      <w:pPr>
        <w:keepNext/>
      </w:pPr>
      <w:r w:rsidRPr="009F74EC">
        <w:t>Cartel sobre la protección de las obtenciones vegetales de uso nacional.</w:t>
      </w:r>
    </w:p>
    <w:p w14:paraId="12017BB8" w14:textId="77777777" w:rsidR="005A5957" w:rsidRPr="009F74EC" w:rsidRDefault="005A5957" w:rsidP="005A5957">
      <w:pPr>
        <w:keepNext/>
      </w:pPr>
    </w:p>
    <w:tbl>
      <w:tblPr>
        <w:tblStyle w:val="TableGrid"/>
        <w:tblW w:w="0" w:type="auto"/>
        <w:tblLook w:val="04A0" w:firstRow="1" w:lastRow="0" w:firstColumn="1" w:lastColumn="0" w:noHBand="0" w:noVBand="1"/>
      </w:tblPr>
      <w:tblGrid>
        <w:gridCol w:w="4814"/>
        <w:gridCol w:w="4815"/>
      </w:tblGrid>
      <w:tr w:rsidR="005A5957" w:rsidRPr="009F74EC" w14:paraId="40FF37BE" w14:textId="77777777" w:rsidTr="00C30F9D">
        <w:tc>
          <w:tcPr>
            <w:tcW w:w="4814" w:type="dxa"/>
          </w:tcPr>
          <w:p w14:paraId="5DF3F70B" w14:textId="77777777" w:rsidR="005A5957" w:rsidRPr="009F74EC" w:rsidRDefault="005A5957" w:rsidP="00C30F9D">
            <w:r w:rsidRPr="009F74EC">
              <w:drawing>
                <wp:inline distT="0" distB="0" distL="0" distR="0" wp14:anchorId="0C2C1A96" wp14:editId="1304B015">
                  <wp:extent cx="2831497" cy="4376057"/>
                  <wp:effectExtent l="0" t="0" r="6985" b="5715"/>
                  <wp:docPr id="2" name="Picture 2" descr="A diagram of a f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far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45682" cy="4397980"/>
                          </a:xfrm>
                          <a:prstGeom prst="rect">
                            <a:avLst/>
                          </a:prstGeom>
                        </pic:spPr>
                      </pic:pic>
                    </a:graphicData>
                  </a:graphic>
                </wp:inline>
              </w:drawing>
            </w:r>
          </w:p>
        </w:tc>
        <w:tc>
          <w:tcPr>
            <w:tcW w:w="4815" w:type="dxa"/>
          </w:tcPr>
          <w:p w14:paraId="7359397C" w14:textId="77777777" w:rsidR="005A5957" w:rsidRPr="009F74EC" w:rsidRDefault="005A5957" w:rsidP="00C30F9D">
            <w:r w:rsidRPr="009F74EC">
              <w:drawing>
                <wp:inline distT="0" distB="0" distL="0" distR="0" wp14:anchorId="35E3C2F6" wp14:editId="7DBB2D15">
                  <wp:extent cx="2830110" cy="4375785"/>
                  <wp:effectExtent l="0" t="0" r="8890" b="5715"/>
                  <wp:docPr id="4" name="Picture 4"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char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30728" cy="4376741"/>
                          </a:xfrm>
                          <a:prstGeom prst="rect">
                            <a:avLst/>
                          </a:prstGeom>
                        </pic:spPr>
                      </pic:pic>
                    </a:graphicData>
                  </a:graphic>
                </wp:inline>
              </w:drawing>
            </w:r>
          </w:p>
        </w:tc>
      </w:tr>
    </w:tbl>
    <w:p w14:paraId="1A0A4ADE" w14:textId="77777777" w:rsidR="005A5957" w:rsidRPr="009F74EC" w:rsidRDefault="005A5957" w:rsidP="005A5957"/>
    <w:p w14:paraId="17E6EE22" w14:textId="77777777" w:rsidR="005A5957" w:rsidRPr="009F74EC" w:rsidRDefault="005A5957" w:rsidP="005A5957"/>
    <w:p w14:paraId="114A4CC5" w14:textId="77777777" w:rsidR="005A5957" w:rsidRPr="009F74EC" w:rsidRDefault="005A5957" w:rsidP="005A5957">
      <w:pPr>
        <w:jc w:val="left"/>
      </w:pPr>
    </w:p>
    <w:p w14:paraId="6A6FE0CE" w14:textId="77777777" w:rsidR="005A5957" w:rsidRPr="009F74EC" w:rsidRDefault="005A5957" w:rsidP="005A5957">
      <w:pPr>
        <w:jc w:val="right"/>
      </w:pPr>
      <w:r w:rsidRPr="009F74EC">
        <w:t>[Sigue el Anexo VI]</w:t>
      </w:r>
    </w:p>
    <w:bookmarkEnd w:id="0"/>
    <w:p w14:paraId="6110245D" w14:textId="77777777" w:rsidR="005A5957" w:rsidRPr="009F74EC" w:rsidRDefault="005A5957" w:rsidP="005A5957">
      <w:pPr>
        <w:jc w:val="center"/>
      </w:pPr>
    </w:p>
    <w:p w14:paraId="434FE258" w14:textId="77777777" w:rsidR="005A5957" w:rsidRPr="009F74EC" w:rsidRDefault="005A5957" w:rsidP="005A5957">
      <w:pPr>
        <w:jc w:val="center"/>
        <w:sectPr w:rsidR="005A5957" w:rsidRPr="009F74EC" w:rsidSect="000B2CE0">
          <w:headerReference w:type="default" r:id="rId17"/>
          <w:pgSz w:w="11907" w:h="16840" w:code="9"/>
          <w:pgMar w:top="510" w:right="1134" w:bottom="568" w:left="1134" w:header="510" w:footer="680" w:gutter="0"/>
          <w:pgNumType w:start="1"/>
          <w:cols w:space="720"/>
          <w:titlePg/>
        </w:sectPr>
      </w:pPr>
    </w:p>
    <w:p w14:paraId="6AAB2CA6" w14:textId="77777777" w:rsidR="005A5957" w:rsidRPr="009F74EC" w:rsidRDefault="005A5957" w:rsidP="005A5957">
      <w:pPr>
        <w:jc w:val="center"/>
      </w:pPr>
      <w:r w:rsidRPr="009F74EC">
        <w:lastRenderedPageBreak/>
        <w:t>C/57/13</w:t>
      </w:r>
    </w:p>
    <w:p w14:paraId="43DCBE9C" w14:textId="77777777" w:rsidR="005A5957" w:rsidRPr="009F74EC" w:rsidRDefault="005A5957" w:rsidP="005A5957">
      <w:pPr>
        <w:jc w:val="center"/>
      </w:pPr>
    </w:p>
    <w:p w14:paraId="06894C81" w14:textId="77777777" w:rsidR="005A5957" w:rsidRPr="009F74EC" w:rsidRDefault="005A5957" w:rsidP="005A5957">
      <w:pPr>
        <w:jc w:val="center"/>
      </w:pPr>
      <w:r w:rsidRPr="009F74EC">
        <w:t>ANEXO VI</w:t>
      </w:r>
    </w:p>
    <w:p w14:paraId="5C489E91" w14:textId="77777777" w:rsidR="005A5957" w:rsidRPr="009F74EC" w:rsidRDefault="005A5957" w:rsidP="005A5957">
      <w:pPr>
        <w:jc w:val="center"/>
      </w:pPr>
    </w:p>
    <w:p w14:paraId="68F8193C" w14:textId="77777777" w:rsidR="005A5957" w:rsidRPr="009F74EC" w:rsidRDefault="005A5957" w:rsidP="005A5957">
      <w:pPr>
        <w:jc w:val="center"/>
      </w:pPr>
    </w:p>
    <w:p w14:paraId="10ECF69B" w14:textId="77777777" w:rsidR="005A5957" w:rsidRPr="009F74EC" w:rsidRDefault="005A5957" w:rsidP="005A5957">
      <w:pPr>
        <w:jc w:val="center"/>
      </w:pPr>
      <w:r w:rsidRPr="009F74EC">
        <w:t>HUNGRÍA</w:t>
      </w:r>
    </w:p>
    <w:p w14:paraId="2673AF51" w14:textId="77777777" w:rsidR="00633DB1" w:rsidRPr="009F74EC" w:rsidRDefault="00633DB1" w:rsidP="00633DB1">
      <w:pPr>
        <w:jc w:val="center"/>
      </w:pPr>
      <w:r w:rsidRPr="009F74EC">
        <w:t>(Idioma original: inglés)</w:t>
      </w:r>
    </w:p>
    <w:p w14:paraId="3F197E35" w14:textId="77777777" w:rsidR="00633DB1" w:rsidRPr="009F74EC" w:rsidRDefault="00633DB1" w:rsidP="00633DB1"/>
    <w:p w14:paraId="500B918B" w14:textId="77777777" w:rsidR="00633DB1" w:rsidRPr="009F74EC" w:rsidRDefault="00633DB1" w:rsidP="00633DB1">
      <w:pPr>
        <w:pStyle w:val="Disclaimer"/>
        <w:spacing w:after="360"/>
        <w:jc w:val="center"/>
        <w:rPr>
          <w:sz w:val="18"/>
          <w:szCs w:val="18"/>
        </w:rPr>
      </w:pPr>
      <w:r w:rsidRPr="009F74EC">
        <w:rPr>
          <w:sz w:val="18"/>
          <w:szCs w:val="18"/>
        </w:rPr>
        <w:t xml:space="preserve">Esta traducción se ha generado mediante traducción automática y no puede garantizarse su exactitud. </w:t>
      </w:r>
      <w:r w:rsidRPr="009F74EC">
        <w:rPr>
          <w:sz w:val="18"/>
          <w:szCs w:val="18"/>
        </w:rPr>
        <w:br/>
        <w:t>Por lo tanto, el texto en el idioma original es la única versión auténtica.</w:t>
      </w:r>
    </w:p>
    <w:p w14:paraId="28ABDDE7" w14:textId="77777777" w:rsidR="005A5957" w:rsidRPr="009F74EC" w:rsidRDefault="005A5957" w:rsidP="005A5957">
      <w:r w:rsidRPr="009F74EC">
        <w:t>I.</w:t>
      </w:r>
      <w:r w:rsidRPr="009F74EC">
        <w:tab/>
        <w:t>PROTECCIÓN DE LAS OBTENCIONES VEGETALES</w:t>
      </w:r>
    </w:p>
    <w:p w14:paraId="646CB897" w14:textId="77777777" w:rsidR="005A5957" w:rsidRPr="009F74EC" w:rsidRDefault="005A5957" w:rsidP="005A5957"/>
    <w:p w14:paraId="39F2523F" w14:textId="77777777" w:rsidR="005A5957" w:rsidRPr="009F74EC" w:rsidRDefault="005A5957" w:rsidP="005A5957">
      <w:r w:rsidRPr="009F74EC">
        <w:t xml:space="preserve">1. </w:t>
      </w:r>
      <w:r w:rsidRPr="009F74EC">
        <w:tab/>
      </w:r>
      <w:r w:rsidRPr="009F74EC">
        <w:rPr>
          <w:u w:val="single"/>
        </w:rPr>
        <w:t>Situación en el ámbito legislativo</w:t>
      </w:r>
    </w:p>
    <w:p w14:paraId="204A091D" w14:textId="77777777" w:rsidR="005A5957" w:rsidRPr="009F74EC" w:rsidRDefault="005A5957" w:rsidP="005A5957"/>
    <w:p w14:paraId="534C6949" w14:textId="40A85CB5" w:rsidR="005A5957" w:rsidRPr="009F74EC" w:rsidRDefault="005A5957" w:rsidP="005A5957">
      <w:r w:rsidRPr="009F74EC">
        <w:t>1.1</w:t>
      </w:r>
      <w:r w:rsidR="007457AD">
        <w:tab/>
      </w:r>
      <w:r w:rsidRPr="009F74EC">
        <w:t>Modificaciones de la ley y de los reglamentos de aplicación</w:t>
      </w:r>
    </w:p>
    <w:p w14:paraId="357007DC" w14:textId="77777777" w:rsidR="005A5957" w:rsidRPr="009F74EC" w:rsidRDefault="005A5957" w:rsidP="005A5957"/>
    <w:p w14:paraId="25EA63CE" w14:textId="77777777" w:rsidR="005A5957" w:rsidRPr="009F74EC" w:rsidRDefault="005A5957" w:rsidP="005A5957">
      <w:pPr>
        <w:ind w:left="567"/>
      </w:pPr>
      <w:r w:rsidRPr="009F74EC">
        <w:t>Sin cambios.</w:t>
      </w:r>
    </w:p>
    <w:p w14:paraId="2C03AA5B" w14:textId="77777777" w:rsidR="005A5957" w:rsidRPr="009F74EC" w:rsidRDefault="005A5957" w:rsidP="005A5957">
      <w:pPr>
        <w:pStyle w:val="BodyTextIndent2"/>
        <w:ind w:left="425"/>
        <w:rPr>
          <w:sz w:val="20"/>
          <w:szCs w:val="20"/>
          <w:lang w:val="es-ES_tradnl"/>
        </w:rPr>
      </w:pPr>
    </w:p>
    <w:p w14:paraId="23AB3AB4" w14:textId="15F95B08" w:rsidR="005A5957" w:rsidRPr="009F74EC" w:rsidRDefault="005A5957" w:rsidP="005A5957">
      <w:pPr>
        <w:pStyle w:val="BodyTextIndent2"/>
        <w:ind w:left="567" w:hanging="567"/>
        <w:rPr>
          <w:sz w:val="20"/>
          <w:szCs w:val="20"/>
          <w:lang w:val="es-ES_tradnl"/>
        </w:rPr>
      </w:pPr>
      <w:r w:rsidRPr="009F74EC">
        <w:rPr>
          <w:sz w:val="20"/>
          <w:szCs w:val="20"/>
          <w:lang w:val="es-ES_tradnl"/>
        </w:rPr>
        <w:t>1.2</w:t>
      </w:r>
      <w:r w:rsidR="007457AD">
        <w:rPr>
          <w:sz w:val="20"/>
          <w:szCs w:val="20"/>
          <w:lang w:val="es-ES_tradnl"/>
        </w:rPr>
        <w:tab/>
      </w:r>
      <w:r w:rsidRPr="009F74EC">
        <w:rPr>
          <w:sz w:val="20"/>
          <w:szCs w:val="20"/>
          <w:lang w:val="es-ES_tradnl"/>
        </w:rPr>
        <w:t>Ampliación de la protección a otros géneros y especies (realizada o prevista)</w:t>
      </w:r>
    </w:p>
    <w:p w14:paraId="7AF7D677" w14:textId="77777777" w:rsidR="005A5957" w:rsidRPr="009F74EC" w:rsidRDefault="005A5957" w:rsidP="005A5957">
      <w:pPr>
        <w:pStyle w:val="BodyTextIndent2"/>
        <w:ind w:left="425"/>
        <w:rPr>
          <w:sz w:val="20"/>
          <w:szCs w:val="20"/>
          <w:lang w:val="es-ES_tradnl"/>
        </w:rPr>
      </w:pPr>
    </w:p>
    <w:p w14:paraId="10EB9396" w14:textId="77777777" w:rsidR="005A5957" w:rsidRPr="009F74EC" w:rsidRDefault="005A5957" w:rsidP="005A5957">
      <w:pPr>
        <w:ind w:left="567"/>
      </w:pPr>
      <w:r w:rsidRPr="009F74EC">
        <w:t>Sin cambios.  De conformidad con la normativa vigente, la protección de las obtenciones vegetales se extiende a todos los géneros y especies vegetales.</w:t>
      </w:r>
    </w:p>
    <w:p w14:paraId="38899AD0" w14:textId="77777777" w:rsidR="005A5957" w:rsidRPr="009F74EC" w:rsidRDefault="005A5957" w:rsidP="005A5957">
      <w:pPr>
        <w:pStyle w:val="BodyTextIndent2"/>
        <w:ind w:left="425"/>
        <w:rPr>
          <w:sz w:val="20"/>
          <w:szCs w:val="20"/>
          <w:lang w:val="es-ES_tradnl"/>
        </w:rPr>
      </w:pPr>
    </w:p>
    <w:p w14:paraId="1204F5AE" w14:textId="1A25FC21" w:rsidR="005A5957" w:rsidRPr="009F74EC" w:rsidRDefault="005A5957" w:rsidP="005A5957">
      <w:pPr>
        <w:pStyle w:val="BodyTextIndent2"/>
        <w:ind w:left="567" w:hanging="567"/>
        <w:rPr>
          <w:sz w:val="20"/>
          <w:szCs w:val="20"/>
          <w:lang w:val="es-ES_tradnl"/>
        </w:rPr>
      </w:pPr>
      <w:r w:rsidRPr="009F74EC">
        <w:rPr>
          <w:sz w:val="20"/>
          <w:szCs w:val="20"/>
          <w:lang w:val="es-ES_tradnl"/>
        </w:rPr>
        <w:t>1.3</w:t>
      </w:r>
      <w:r w:rsidR="007457AD">
        <w:rPr>
          <w:sz w:val="20"/>
          <w:szCs w:val="20"/>
          <w:lang w:val="es-ES_tradnl"/>
        </w:rPr>
        <w:tab/>
      </w:r>
      <w:r w:rsidRPr="009F74EC">
        <w:rPr>
          <w:sz w:val="20"/>
          <w:szCs w:val="20"/>
          <w:lang w:val="es-ES_tradnl"/>
        </w:rPr>
        <w:t>La jurisprudencia</w:t>
      </w:r>
    </w:p>
    <w:p w14:paraId="6351DF10" w14:textId="77777777" w:rsidR="005A5957" w:rsidRPr="009F74EC" w:rsidRDefault="005A5957" w:rsidP="005A5957"/>
    <w:p w14:paraId="56E75442" w14:textId="77777777" w:rsidR="005A5957" w:rsidRPr="009F74EC" w:rsidRDefault="005A5957" w:rsidP="005A5957">
      <w:pPr>
        <w:ind w:left="567"/>
      </w:pPr>
      <w:r w:rsidRPr="009F74EC">
        <w:t>Sin datos.</w:t>
      </w:r>
    </w:p>
    <w:p w14:paraId="039853F4" w14:textId="77777777" w:rsidR="005A5957" w:rsidRPr="009F74EC" w:rsidRDefault="005A5957" w:rsidP="005A5957"/>
    <w:p w14:paraId="05D9614E" w14:textId="77777777" w:rsidR="005A5957" w:rsidRPr="009F74EC" w:rsidRDefault="005A5957" w:rsidP="005A5957"/>
    <w:p w14:paraId="7F76A082" w14:textId="77777777" w:rsidR="005A5957" w:rsidRPr="009F74EC" w:rsidRDefault="005A5957" w:rsidP="005A5957">
      <w:r w:rsidRPr="009F74EC">
        <w:t>2.</w:t>
      </w:r>
      <w:r w:rsidRPr="009F74EC">
        <w:tab/>
      </w:r>
      <w:r w:rsidRPr="009F74EC">
        <w:rPr>
          <w:u w:val="single"/>
        </w:rPr>
        <w:t>Cooperación en el examen</w:t>
      </w:r>
    </w:p>
    <w:p w14:paraId="04F89DC1" w14:textId="77777777" w:rsidR="005A5957" w:rsidRPr="009F74EC" w:rsidRDefault="005A5957" w:rsidP="005A5957"/>
    <w:p w14:paraId="50C8B8C6" w14:textId="77777777" w:rsidR="005A5957" w:rsidRPr="009F74EC" w:rsidRDefault="005A5957" w:rsidP="005A5957">
      <w:pPr>
        <w:tabs>
          <w:tab w:val="left" w:pos="426"/>
          <w:tab w:val="left" w:pos="851"/>
        </w:tabs>
      </w:pPr>
      <w:r w:rsidRPr="009F74EC">
        <w:t>Sin cambios.  De conformidad con los párrafos (3) y (4) del Artículo 114/R de la Ley de Patentes, los resultados de los ensayos experimentales (informe de examen DHE) realizados por una autoridad extranjera competente podrán tomarse en consideración con el consentimiento de dicha autoridad.  Los costes de los ensayos experimentales correrán a cargo del solicitante.  Por consiguiente, la Oficina Húngara de la Propiedad Intelectual (HIPO) tomó medidas para concertar acuerdos con las oficinas nacionales y regionales sobre el envío de informes de examen técnico DHE de la oficina correspondiente a la HIPO.</w:t>
      </w:r>
    </w:p>
    <w:p w14:paraId="3F655E98" w14:textId="77777777" w:rsidR="005A5957" w:rsidRPr="009F74EC" w:rsidRDefault="005A5957" w:rsidP="005A5957">
      <w:pPr>
        <w:tabs>
          <w:tab w:val="left" w:pos="426"/>
          <w:tab w:val="left" w:pos="851"/>
        </w:tabs>
      </w:pPr>
    </w:p>
    <w:p w14:paraId="2EEABED1" w14:textId="77777777" w:rsidR="005A5957" w:rsidRPr="009F74EC" w:rsidRDefault="005A5957" w:rsidP="005A5957">
      <w:pPr>
        <w:tabs>
          <w:tab w:val="left" w:pos="426"/>
          <w:tab w:val="left" w:pos="851"/>
        </w:tabs>
      </w:pPr>
      <w:r w:rsidRPr="009F74EC">
        <w:t>La Oficina Húngara de Propiedad Intelectual celebró acuerdos sobre el envío de informes relativos al examen técnico DHE con la Oficina Comunitaria de Variedades Vegetales (OCVV), con el Bundessortenamt (Alemania), así como con la Junta de Derechos de Obtentor del Ministerio de Agricultura, Naturaleza y Calidad Alimentaria (Países Bajos).</w:t>
      </w:r>
    </w:p>
    <w:p w14:paraId="7EA72A58" w14:textId="77777777" w:rsidR="005A5957" w:rsidRPr="009F74EC" w:rsidRDefault="005A5957" w:rsidP="005A5957"/>
    <w:p w14:paraId="6E106AAD" w14:textId="77777777" w:rsidR="005A5957" w:rsidRPr="009F74EC" w:rsidRDefault="005A5957" w:rsidP="005A5957"/>
    <w:p w14:paraId="06D960AB" w14:textId="77777777" w:rsidR="005A5957" w:rsidRPr="009F74EC" w:rsidRDefault="005A5957" w:rsidP="005A5957">
      <w:pPr>
        <w:rPr>
          <w:u w:val="single"/>
        </w:rPr>
      </w:pPr>
      <w:r w:rsidRPr="009F74EC">
        <w:t>3.</w:t>
      </w:r>
      <w:r w:rsidRPr="009F74EC">
        <w:tab/>
      </w:r>
      <w:r w:rsidRPr="009F74EC">
        <w:rPr>
          <w:u w:val="single"/>
        </w:rPr>
        <w:t>Situación en el ámbito administrativo</w:t>
      </w:r>
    </w:p>
    <w:p w14:paraId="5C5E304C" w14:textId="77777777" w:rsidR="005A5957" w:rsidRPr="009F74EC" w:rsidRDefault="005A5957" w:rsidP="005A5957"/>
    <w:p w14:paraId="246FCBF2" w14:textId="77777777" w:rsidR="005A5957" w:rsidRPr="009F74EC" w:rsidRDefault="005A5957" w:rsidP="005A5957">
      <w:r w:rsidRPr="009F74EC">
        <w:t>Sin cambios.  La HIPO está autorizada a conceder protección a las obtenciones vegetales.  En el sistema nacional, la HIPO es responsable del examen de la novedad, la denominación y la unidad, así como del registro de las obtenciones vegetales.  La Oficina Nacional de Seguridad de la Cadena Alimentaria es responsable del examen biológico (examen DHE).</w:t>
      </w:r>
    </w:p>
    <w:p w14:paraId="6FEFD1D0" w14:textId="77777777" w:rsidR="005A5957" w:rsidRPr="009F74EC" w:rsidRDefault="005A5957" w:rsidP="005A5957"/>
    <w:p w14:paraId="5E50FCAA" w14:textId="77777777" w:rsidR="005A5957" w:rsidRPr="009F74EC" w:rsidRDefault="005A5957" w:rsidP="005A5957"/>
    <w:p w14:paraId="63F9F95F" w14:textId="77777777" w:rsidR="005A5957" w:rsidRPr="009F74EC" w:rsidRDefault="005A5957" w:rsidP="005A5957">
      <w:r w:rsidRPr="009F74EC">
        <w:t>4.</w:t>
      </w:r>
      <w:r w:rsidRPr="009F74EC">
        <w:tab/>
      </w:r>
      <w:r w:rsidRPr="009F74EC">
        <w:rPr>
          <w:u w:val="single"/>
        </w:rPr>
        <w:t>Situación en el ámbito técnico para el periodo de enero a diciembre de 2021</w:t>
      </w:r>
    </w:p>
    <w:p w14:paraId="07E095C5" w14:textId="77777777" w:rsidR="005A5957" w:rsidRPr="009F74EC" w:rsidRDefault="005A5957" w:rsidP="005A5957"/>
    <w:p w14:paraId="4DDE5B64" w14:textId="77777777" w:rsidR="005A5957" w:rsidRPr="009F74EC" w:rsidRDefault="005A5957" w:rsidP="005A5957">
      <w:r w:rsidRPr="009F74EC">
        <w:t>El examen técnico corre a cargo de la Oficina Nacional de Seguridad de la Cadena Alimentaria.</w:t>
      </w:r>
    </w:p>
    <w:p w14:paraId="6664E757" w14:textId="77777777" w:rsidR="005A5957" w:rsidRPr="009F74EC" w:rsidRDefault="005A5957" w:rsidP="005A5957">
      <w:pPr>
        <w:rPr>
          <w:rFonts w:cs="Arial"/>
        </w:rPr>
      </w:pPr>
    </w:p>
    <w:p w14:paraId="480BD08B" w14:textId="77777777" w:rsidR="005A5957" w:rsidRPr="009F74EC" w:rsidRDefault="005A5957" w:rsidP="005A5957"/>
    <w:p w14:paraId="084C3978" w14:textId="77777777" w:rsidR="005A5957" w:rsidRPr="009F74EC" w:rsidRDefault="005A5957" w:rsidP="005A5957"/>
    <w:p w14:paraId="6F456351" w14:textId="77777777" w:rsidR="005A5957" w:rsidRPr="009F74EC" w:rsidRDefault="005A5957" w:rsidP="005A5957">
      <w:pPr>
        <w:jc w:val="right"/>
      </w:pPr>
      <w:r w:rsidRPr="009F74EC">
        <w:t>[Sigue el Anexo VII]</w:t>
      </w:r>
    </w:p>
    <w:p w14:paraId="54001981" w14:textId="77777777" w:rsidR="005A5957" w:rsidRPr="009F74EC" w:rsidRDefault="005A5957" w:rsidP="005A5957"/>
    <w:p w14:paraId="22DF461A" w14:textId="77777777" w:rsidR="005A5957" w:rsidRPr="009F74EC" w:rsidRDefault="005A5957" w:rsidP="005A5957"/>
    <w:p w14:paraId="6A911DEC" w14:textId="77777777" w:rsidR="005A5957" w:rsidRPr="009F74EC" w:rsidRDefault="005A5957" w:rsidP="005A5957">
      <w:pPr>
        <w:jc w:val="center"/>
        <w:sectPr w:rsidR="005A5957" w:rsidRPr="009F74EC" w:rsidSect="000B2CE0">
          <w:pgSz w:w="11907" w:h="16840" w:code="9"/>
          <w:pgMar w:top="510" w:right="1134" w:bottom="568" w:left="1134" w:header="510" w:footer="680" w:gutter="0"/>
          <w:pgNumType w:start="1"/>
          <w:cols w:space="720"/>
          <w:titlePg/>
        </w:sectPr>
      </w:pPr>
    </w:p>
    <w:p w14:paraId="5C35D5B4" w14:textId="77777777" w:rsidR="005A5957" w:rsidRPr="009F74EC" w:rsidRDefault="005A5957" w:rsidP="005A5957">
      <w:pPr>
        <w:jc w:val="center"/>
      </w:pPr>
      <w:r w:rsidRPr="009F74EC">
        <w:lastRenderedPageBreak/>
        <w:t>C/57/13</w:t>
      </w:r>
    </w:p>
    <w:p w14:paraId="1854349B" w14:textId="77777777" w:rsidR="005A5957" w:rsidRPr="009F74EC" w:rsidRDefault="005A5957" w:rsidP="005A5957">
      <w:pPr>
        <w:jc w:val="center"/>
      </w:pPr>
    </w:p>
    <w:p w14:paraId="7172EC75" w14:textId="77777777" w:rsidR="005A5957" w:rsidRPr="009F74EC" w:rsidRDefault="005A5957" w:rsidP="005A5957">
      <w:pPr>
        <w:jc w:val="center"/>
      </w:pPr>
      <w:r w:rsidRPr="009F74EC">
        <w:t>ANEXO VII</w:t>
      </w:r>
    </w:p>
    <w:p w14:paraId="60E62FA6" w14:textId="77777777" w:rsidR="005A5957" w:rsidRPr="009F74EC" w:rsidRDefault="005A5957" w:rsidP="005A5957">
      <w:pPr>
        <w:jc w:val="center"/>
      </w:pPr>
    </w:p>
    <w:p w14:paraId="79BEE9EA" w14:textId="77777777" w:rsidR="005A5957" w:rsidRPr="009F74EC" w:rsidRDefault="005A5957" w:rsidP="005A5957">
      <w:pPr>
        <w:jc w:val="center"/>
      </w:pPr>
    </w:p>
    <w:p w14:paraId="2C20A474" w14:textId="77777777" w:rsidR="005A5957" w:rsidRPr="009F74EC" w:rsidRDefault="005A5957" w:rsidP="005A5957">
      <w:pPr>
        <w:jc w:val="center"/>
      </w:pPr>
      <w:r w:rsidRPr="009F74EC">
        <w:t>ISRAEL</w:t>
      </w:r>
    </w:p>
    <w:p w14:paraId="66DB569D" w14:textId="77777777" w:rsidR="00633DB1" w:rsidRPr="009F74EC" w:rsidRDefault="00633DB1" w:rsidP="00633DB1">
      <w:pPr>
        <w:jc w:val="center"/>
      </w:pPr>
      <w:r w:rsidRPr="009F74EC">
        <w:t>(Idioma original: inglés)</w:t>
      </w:r>
    </w:p>
    <w:p w14:paraId="0796AC11" w14:textId="77777777" w:rsidR="00633DB1" w:rsidRPr="009F74EC" w:rsidRDefault="00633DB1" w:rsidP="00633DB1"/>
    <w:p w14:paraId="3A53B249" w14:textId="77777777" w:rsidR="00633DB1" w:rsidRPr="009F74EC" w:rsidRDefault="00633DB1" w:rsidP="00633DB1">
      <w:pPr>
        <w:pStyle w:val="Disclaimer"/>
        <w:spacing w:after="360"/>
        <w:jc w:val="center"/>
        <w:rPr>
          <w:sz w:val="18"/>
          <w:szCs w:val="18"/>
        </w:rPr>
      </w:pPr>
      <w:r w:rsidRPr="009F74EC">
        <w:rPr>
          <w:sz w:val="18"/>
          <w:szCs w:val="18"/>
        </w:rPr>
        <w:t xml:space="preserve">Esta traducción se ha generado mediante traducción automática y no puede garantizarse su exactitud. </w:t>
      </w:r>
      <w:r w:rsidRPr="009F74EC">
        <w:rPr>
          <w:sz w:val="18"/>
          <w:szCs w:val="18"/>
        </w:rPr>
        <w:br/>
        <w:t>Por lo tanto, el texto en el idioma original es la única versión auténtica.</w:t>
      </w:r>
    </w:p>
    <w:p w14:paraId="46938E88" w14:textId="77777777" w:rsidR="005A5957" w:rsidRPr="009F74EC" w:rsidRDefault="005A5957" w:rsidP="005A5957">
      <w:r w:rsidRPr="009F74EC">
        <w:t>I.</w:t>
      </w:r>
      <w:r w:rsidRPr="009F74EC">
        <w:tab/>
        <w:t>PROTECCIÓN DE LAS OBTENCIONES VEGETALES</w:t>
      </w:r>
    </w:p>
    <w:p w14:paraId="25CFC87B" w14:textId="77777777" w:rsidR="005A5957" w:rsidRPr="009F74EC" w:rsidRDefault="005A5957" w:rsidP="005A5957"/>
    <w:p w14:paraId="2F4ADEB1" w14:textId="77777777" w:rsidR="005A5957" w:rsidRPr="009F74EC" w:rsidRDefault="005A5957" w:rsidP="005A5957">
      <w:r w:rsidRPr="009F74EC">
        <w:t xml:space="preserve">1. </w:t>
      </w:r>
      <w:r w:rsidRPr="009F74EC">
        <w:tab/>
      </w:r>
      <w:r w:rsidRPr="009F74EC">
        <w:rPr>
          <w:u w:val="single"/>
        </w:rPr>
        <w:t>Situación en el ámbito legislativo</w:t>
      </w:r>
    </w:p>
    <w:p w14:paraId="664DF521" w14:textId="77777777" w:rsidR="005A5957" w:rsidRPr="009F74EC" w:rsidRDefault="005A5957" w:rsidP="005A5957"/>
    <w:p w14:paraId="57C1E21B" w14:textId="3E4636A2" w:rsidR="005A5957" w:rsidRPr="009F74EC" w:rsidRDefault="005A5957" w:rsidP="005A5957">
      <w:r w:rsidRPr="009F74EC">
        <w:t>1.1</w:t>
      </w:r>
      <w:r w:rsidR="007457AD">
        <w:tab/>
      </w:r>
      <w:r w:rsidRPr="009F74EC">
        <w:t>Modificaciones de la ley y de los reglamentos de aplicación - Previsto</w:t>
      </w:r>
    </w:p>
    <w:p w14:paraId="440C0DF6" w14:textId="77777777" w:rsidR="005A5957" w:rsidRPr="009F74EC" w:rsidRDefault="005A5957" w:rsidP="005A5957">
      <w:pPr>
        <w:pStyle w:val="BodyTextIndent2"/>
        <w:ind w:left="425"/>
        <w:rPr>
          <w:sz w:val="20"/>
          <w:szCs w:val="20"/>
          <w:lang w:val="es-ES_tradnl"/>
        </w:rPr>
      </w:pPr>
    </w:p>
    <w:p w14:paraId="1D805C47" w14:textId="26AACAFB" w:rsidR="005A5957" w:rsidRPr="009F74EC" w:rsidRDefault="005A5957" w:rsidP="005A5957">
      <w:r w:rsidRPr="009F74EC">
        <w:t>1.2</w:t>
      </w:r>
      <w:r w:rsidR="007457AD">
        <w:tab/>
      </w:r>
      <w:r w:rsidRPr="009F74EC">
        <w:t>Ampliación de la protección a otros géneros y especies - Ninguna</w:t>
      </w:r>
    </w:p>
    <w:p w14:paraId="6060D553" w14:textId="77777777" w:rsidR="005A5957" w:rsidRPr="009F74EC" w:rsidRDefault="005A5957" w:rsidP="005A5957">
      <w:pPr>
        <w:pStyle w:val="BodyTextIndent2"/>
        <w:ind w:left="425"/>
        <w:rPr>
          <w:sz w:val="20"/>
          <w:szCs w:val="20"/>
          <w:lang w:val="es-ES_tradnl"/>
        </w:rPr>
      </w:pPr>
    </w:p>
    <w:p w14:paraId="7DE4C091" w14:textId="77777777" w:rsidR="005A5957" w:rsidRPr="009F74EC" w:rsidRDefault="005A5957" w:rsidP="005A5957">
      <w:r w:rsidRPr="009F74EC">
        <w:t xml:space="preserve">1.3 </w:t>
      </w:r>
      <w:r w:rsidRPr="009F74EC">
        <w:tab/>
        <w:t xml:space="preserve">Jurisprudencia - En el asunto de la solicitud de declaración de nulidad del registro de obtentor respecto de una variedad de papaya denominada "Aurora", asunto </w:t>
      </w:r>
      <w:proofErr w:type="spellStart"/>
      <w:r w:rsidRPr="009F74EC">
        <w:t>nº</w:t>
      </w:r>
      <w:proofErr w:type="spellEnd"/>
      <w:r w:rsidRPr="009F74EC">
        <w:t xml:space="preserve"> 66103-09-19, Tribunal de Distrito de Jerusalén, 2 de diciembre de 2021, el Tribunal ordenó al Consejo de Obtentores Vegetales (en adelante, el Consejo) que volviera a examinar la solicitud de declaración de nulidad presentada por el recurrente. A continuación, el Consejo inició el procedimiento de reexamen. Mientras el Consejo llevaba a cabo el reexamen, el titular del registro "Aurora" interpuso una demanda contra el Consejo alegando desacato al Tribunal por incumplimiento de la orden de reexamen dictada por el Tribunal. La demanda por desacato fue desestimada y se ordenó al propietario del registro "Aurora" que entregara recortes al Consejo. El Consejo está deliberando ahora sobre la revocación del derecho de obtención vegetal debido a la falta de entrega de los esquejes solicitados.</w:t>
      </w:r>
    </w:p>
    <w:p w14:paraId="4BBC7EB3" w14:textId="77777777" w:rsidR="005A5957" w:rsidRPr="009F74EC" w:rsidRDefault="005A5957" w:rsidP="005A5957"/>
    <w:p w14:paraId="195574F8" w14:textId="77777777" w:rsidR="005A5957" w:rsidRPr="009F74EC" w:rsidRDefault="005A5957" w:rsidP="005A5957">
      <w:r w:rsidRPr="009F74EC">
        <w:t>2.</w:t>
      </w:r>
      <w:r w:rsidRPr="009F74EC">
        <w:tab/>
      </w:r>
      <w:r w:rsidRPr="009F74EC">
        <w:rPr>
          <w:u w:val="single"/>
        </w:rPr>
        <w:t>Cooperación en el examen</w:t>
      </w:r>
    </w:p>
    <w:p w14:paraId="7E74FCB2" w14:textId="77777777" w:rsidR="005A5957" w:rsidRPr="009F74EC" w:rsidRDefault="005A5957" w:rsidP="005A5957">
      <w:pPr>
        <w:tabs>
          <w:tab w:val="left" w:pos="426"/>
          <w:tab w:val="left" w:pos="851"/>
        </w:tabs>
      </w:pPr>
    </w:p>
    <w:p w14:paraId="690F381D" w14:textId="77777777" w:rsidR="005A5957" w:rsidRPr="009F74EC" w:rsidRDefault="005A5957" w:rsidP="005A5957">
      <w:pPr>
        <w:tabs>
          <w:tab w:val="left" w:pos="426"/>
          <w:tab w:val="left" w:pos="851"/>
        </w:tabs>
      </w:pPr>
      <w:r w:rsidRPr="009F74EC">
        <w:t>Sin cambios.</w:t>
      </w:r>
    </w:p>
    <w:p w14:paraId="07E8AFB1" w14:textId="77777777" w:rsidR="005A5957" w:rsidRPr="009F74EC" w:rsidRDefault="005A5957" w:rsidP="005A5957"/>
    <w:p w14:paraId="04A8D626" w14:textId="77777777" w:rsidR="005A5957" w:rsidRPr="009F74EC" w:rsidRDefault="005A5957" w:rsidP="005A5957">
      <w:pPr>
        <w:rPr>
          <w:u w:val="single"/>
        </w:rPr>
      </w:pPr>
      <w:r w:rsidRPr="009F74EC">
        <w:t>3.</w:t>
      </w:r>
      <w:r w:rsidRPr="009F74EC">
        <w:tab/>
      </w:r>
      <w:r w:rsidRPr="009F74EC">
        <w:rPr>
          <w:u w:val="single"/>
        </w:rPr>
        <w:t>Situación en el ámbito administrativo</w:t>
      </w:r>
    </w:p>
    <w:p w14:paraId="5C2C0FCC" w14:textId="77777777" w:rsidR="005A5957" w:rsidRPr="009F74EC" w:rsidRDefault="005A5957" w:rsidP="005A5957"/>
    <w:p w14:paraId="2166F474" w14:textId="77777777" w:rsidR="005A5957" w:rsidRPr="009F74EC" w:rsidRDefault="005A5957" w:rsidP="007457AD">
      <w:r w:rsidRPr="009F74EC">
        <w:t xml:space="preserve">La Sra. </w:t>
      </w:r>
      <w:proofErr w:type="spellStart"/>
      <w:r w:rsidRPr="009F74EC">
        <w:t>Rasaby</w:t>
      </w:r>
      <w:proofErr w:type="spellEnd"/>
      <w:r w:rsidRPr="009F74EC">
        <w:t xml:space="preserve"> se jubiló el 31 de diciembre de 2022. Nuestra nueva responsable administrativa de derechos de obtentor es la Sra. </w:t>
      </w:r>
      <w:proofErr w:type="spellStart"/>
      <w:r w:rsidRPr="009F74EC">
        <w:t>Inbal</w:t>
      </w:r>
      <w:proofErr w:type="spellEnd"/>
      <w:r w:rsidRPr="009F74EC">
        <w:t xml:space="preserve"> </w:t>
      </w:r>
      <w:proofErr w:type="spellStart"/>
      <w:r w:rsidRPr="009F74EC">
        <w:t>Moshe</w:t>
      </w:r>
      <w:proofErr w:type="spellEnd"/>
      <w:r w:rsidRPr="009F74EC">
        <w:t>.</w:t>
      </w:r>
    </w:p>
    <w:p w14:paraId="05BCDCD6" w14:textId="77777777" w:rsidR="005A5957" w:rsidRPr="009F74EC" w:rsidRDefault="005A5957" w:rsidP="005A5957">
      <w:pPr>
        <w:ind w:left="425" w:hanging="425"/>
      </w:pPr>
    </w:p>
    <w:p w14:paraId="3970B74A" w14:textId="77777777" w:rsidR="005A5957" w:rsidRPr="009F74EC" w:rsidRDefault="005A5957" w:rsidP="005A5957">
      <w:pPr>
        <w:spacing w:line="360" w:lineRule="auto"/>
      </w:pPr>
      <w:r w:rsidRPr="009F74EC">
        <w:t>4.</w:t>
      </w:r>
      <w:r w:rsidRPr="009F74EC">
        <w:tab/>
      </w:r>
      <w:r w:rsidRPr="009F74EC">
        <w:rPr>
          <w:u w:val="single"/>
        </w:rPr>
        <w:t>Situación en el ámbito técnico</w:t>
      </w:r>
    </w:p>
    <w:p w14:paraId="3434588B" w14:textId="77777777" w:rsidR="005A5957" w:rsidRPr="009F74EC" w:rsidRDefault="005A5957" w:rsidP="005A5957">
      <w:r w:rsidRPr="009F74EC">
        <w:t>Sin cambios.</w:t>
      </w:r>
    </w:p>
    <w:p w14:paraId="57358AFC" w14:textId="77777777" w:rsidR="005A5957" w:rsidRPr="009F74EC" w:rsidRDefault="005A5957" w:rsidP="005A5957"/>
    <w:p w14:paraId="3C21D21E" w14:textId="77777777" w:rsidR="005A5957" w:rsidRPr="009F74EC" w:rsidRDefault="005A5957" w:rsidP="005A5957">
      <w:pPr>
        <w:rPr>
          <w:u w:val="single"/>
        </w:rPr>
      </w:pPr>
      <w:r w:rsidRPr="009F74EC">
        <w:t>5.</w:t>
      </w:r>
      <w:r w:rsidRPr="009F74EC">
        <w:tab/>
      </w:r>
      <w:r w:rsidRPr="009F74EC">
        <w:rPr>
          <w:u w:val="single"/>
        </w:rPr>
        <w:t>Actividades de fomento de la protección de las obtenciones vegetales</w:t>
      </w:r>
    </w:p>
    <w:p w14:paraId="7886AA4D" w14:textId="77777777" w:rsidR="005A5957" w:rsidRPr="009F74EC" w:rsidRDefault="005A5957" w:rsidP="005A5957"/>
    <w:tbl>
      <w:tblPr>
        <w:tblStyle w:val="TableGrid"/>
        <w:tblpPr w:leftFromText="180" w:rightFromText="180" w:vertAnchor="text" w:tblpY="1"/>
        <w:tblOverlap w:val="never"/>
        <w:tblW w:w="10201" w:type="dxa"/>
        <w:tblLayout w:type="fixed"/>
        <w:tblCellMar>
          <w:top w:w="28" w:type="dxa"/>
          <w:left w:w="28" w:type="dxa"/>
          <w:bottom w:w="28" w:type="dxa"/>
          <w:right w:w="28" w:type="dxa"/>
        </w:tblCellMar>
        <w:tblLook w:val="01E0" w:firstRow="1" w:lastRow="1" w:firstColumn="1" w:lastColumn="1" w:noHBand="0" w:noVBand="0"/>
      </w:tblPr>
      <w:tblGrid>
        <w:gridCol w:w="1696"/>
        <w:gridCol w:w="969"/>
        <w:gridCol w:w="1016"/>
        <w:gridCol w:w="1276"/>
        <w:gridCol w:w="2126"/>
        <w:gridCol w:w="1955"/>
        <w:gridCol w:w="1163"/>
      </w:tblGrid>
      <w:tr w:rsidR="005A5957" w:rsidRPr="009F74EC" w14:paraId="6FBB8DB4" w14:textId="77777777" w:rsidTr="00436A1C">
        <w:trPr>
          <w:cantSplit/>
          <w:tblHeader/>
        </w:trPr>
        <w:tc>
          <w:tcPr>
            <w:tcW w:w="1696" w:type="dxa"/>
          </w:tcPr>
          <w:p w14:paraId="61405145" w14:textId="77777777" w:rsidR="005A5957" w:rsidRPr="009F74EC" w:rsidRDefault="005A5957" w:rsidP="00C30F9D">
            <w:pPr>
              <w:keepNext/>
              <w:jc w:val="left"/>
              <w:rPr>
                <w:sz w:val="16"/>
              </w:rPr>
            </w:pPr>
            <w:r w:rsidRPr="009F74EC">
              <w:rPr>
                <w:sz w:val="16"/>
              </w:rPr>
              <w:t>Título de la actividad</w:t>
            </w:r>
          </w:p>
        </w:tc>
        <w:tc>
          <w:tcPr>
            <w:tcW w:w="969" w:type="dxa"/>
          </w:tcPr>
          <w:p w14:paraId="7B7AA34C" w14:textId="77777777" w:rsidR="005A5957" w:rsidRPr="009F74EC" w:rsidRDefault="005A5957" w:rsidP="00C30F9D">
            <w:pPr>
              <w:keepNext/>
              <w:jc w:val="left"/>
              <w:rPr>
                <w:sz w:val="16"/>
              </w:rPr>
            </w:pPr>
            <w:r w:rsidRPr="009F74EC">
              <w:rPr>
                <w:sz w:val="16"/>
              </w:rPr>
              <w:t>Fecha</w:t>
            </w:r>
          </w:p>
        </w:tc>
        <w:tc>
          <w:tcPr>
            <w:tcW w:w="1016" w:type="dxa"/>
          </w:tcPr>
          <w:p w14:paraId="2AD795A5" w14:textId="77777777" w:rsidR="005A5957" w:rsidRPr="009F74EC" w:rsidRDefault="005A5957" w:rsidP="00C30F9D">
            <w:pPr>
              <w:keepNext/>
              <w:jc w:val="left"/>
              <w:rPr>
                <w:sz w:val="16"/>
              </w:rPr>
            </w:pPr>
            <w:r w:rsidRPr="009F74EC">
              <w:rPr>
                <w:sz w:val="16"/>
              </w:rPr>
              <w:t>Ubicación</w:t>
            </w:r>
          </w:p>
        </w:tc>
        <w:tc>
          <w:tcPr>
            <w:tcW w:w="1276" w:type="dxa"/>
          </w:tcPr>
          <w:p w14:paraId="2B94984F" w14:textId="77777777" w:rsidR="005A5957" w:rsidRPr="009F74EC" w:rsidRDefault="005A5957" w:rsidP="00C30F9D">
            <w:pPr>
              <w:keepNext/>
              <w:jc w:val="left"/>
              <w:rPr>
                <w:sz w:val="16"/>
              </w:rPr>
            </w:pPr>
            <w:r w:rsidRPr="009F74EC">
              <w:rPr>
                <w:sz w:val="16"/>
              </w:rPr>
              <w:t>Organizador(es)</w:t>
            </w:r>
          </w:p>
        </w:tc>
        <w:tc>
          <w:tcPr>
            <w:tcW w:w="2126" w:type="dxa"/>
          </w:tcPr>
          <w:p w14:paraId="7EA3DF78" w14:textId="77777777" w:rsidR="005A5957" w:rsidRPr="009F74EC" w:rsidRDefault="005A5957" w:rsidP="00C30F9D">
            <w:pPr>
              <w:keepNext/>
              <w:jc w:val="left"/>
              <w:rPr>
                <w:sz w:val="16"/>
              </w:rPr>
            </w:pPr>
            <w:r w:rsidRPr="009F74EC">
              <w:rPr>
                <w:sz w:val="16"/>
              </w:rPr>
              <w:t>Objetivo de la actividad</w:t>
            </w:r>
          </w:p>
        </w:tc>
        <w:tc>
          <w:tcPr>
            <w:tcW w:w="1955" w:type="dxa"/>
          </w:tcPr>
          <w:p w14:paraId="6FC0F773" w14:textId="77777777" w:rsidR="005A5957" w:rsidRPr="009F74EC" w:rsidRDefault="005A5957" w:rsidP="00C30F9D">
            <w:pPr>
              <w:keepNext/>
              <w:jc w:val="left"/>
              <w:rPr>
                <w:sz w:val="16"/>
              </w:rPr>
            </w:pPr>
            <w:r w:rsidRPr="009F74EC">
              <w:rPr>
                <w:sz w:val="16"/>
              </w:rPr>
              <w:t>Países/organizaciones participantes (número de participantes de cada uno)</w:t>
            </w:r>
          </w:p>
        </w:tc>
        <w:tc>
          <w:tcPr>
            <w:tcW w:w="1163" w:type="dxa"/>
          </w:tcPr>
          <w:p w14:paraId="58E1F687" w14:textId="77777777" w:rsidR="005A5957" w:rsidRPr="009F74EC" w:rsidRDefault="005A5957" w:rsidP="00C30F9D">
            <w:pPr>
              <w:keepNext/>
              <w:jc w:val="left"/>
              <w:rPr>
                <w:sz w:val="16"/>
              </w:rPr>
            </w:pPr>
            <w:r w:rsidRPr="009F74EC">
              <w:rPr>
                <w:sz w:val="16"/>
              </w:rPr>
              <w:t>Comentarios</w:t>
            </w:r>
          </w:p>
        </w:tc>
      </w:tr>
      <w:tr w:rsidR="005A5957" w:rsidRPr="009F74EC" w14:paraId="3C58102E" w14:textId="77777777" w:rsidTr="00436A1C">
        <w:trPr>
          <w:cantSplit/>
        </w:trPr>
        <w:tc>
          <w:tcPr>
            <w:tcW w:w="1696" w:type="dxa"/>
          </w:tcPr>
          <w:p w14:paraId="09382B7A" w14:textId="77777777" w:rsidR="005A5957" w:rsidRPr="009F74EC" w:rsidRDefault="005A5957" w:rsidP="00C30F9D">
            <w:pPr>
              <w:keepNext/>
              <w:jc w:val="left"/>
              <w:rPr>
                <w:sz w:val="16"/>
              </w:rPr>
            </w:pPr>
            <w:r w:rsidRPr="009F74EC">
              <w:rPr>
                <w:sz w:val="16"/>
              </w:rPr>
              <w:t>1. "¿Quién está detrás de la máscara?"</w:t>
            </w:r>
          </w:p>
        </w:tc>
        <w:tc>
          <w:tcPr>
            <w:tcW w:w="969" w:type="dxa"/>
          </w:tcPr>
          <w:p w14:paraId="4AE8AF2D" w14:textId="77777777" w:rsidR="005A5957" w:rsidRPr="009F74EC" w:rsidRDefault="005A5957" w:rsidP="00C30F9D">
            <w:pPr>
              <w:keepNext/>
              <w:jc w:val="left"/>
              <w:rPr>
                <w:sz w:val="16"/>
              </w:rPr>
            </w:pPr>
            <w:r w:rsidRPr="009F74EC">
              <w:rPr>
                <w:sz w:val="16"/>
              </w:rPr>
              <w:t>3.2023</w:t>
            </w:r>
          </w:p>
        </w:tc>
        <w:tc>
          <w:tcPr>
            <w:tcW w:w="1016" w:type="dxa"/>
          </w:tcPr>
          <w:p w14:paraId="5B95329A" w14:textId="77777777" w:rsidR="005A5957" w:rsidRPr="009F74EC" w:rsidRDefault="005A5957" w:rsidP="00C30F9D">
            <w:pPr>
              <w:keepNext/>
              <w:jc w:val="left"/>
              <w:rPr>
                <w:sz w:val="16"/>
              </w:rPr>
            </w:pPr>
            <w:r w:rsidRPr="009F74EC">
              <w:rPr>
                <w:sz w:val="16"/>
              </w:rPr>
              <w:t>Instagram del Ministerio</w:t>
            </w:r>
          </w:p>
        </w:tc>
        <w:tc>
          <w:tcPr>
            <w:tcW w:w="1276" w:type="dxa"/>
          </w:tcPr>
          <w:p w14:paraId="05C3354F" w14:textId="77777777" w:rsidR="005A5957" w:rsidRPr="009F74EC" w:rsidRDefault="005A5957" w:rsidP="00C30F9D">
            <w:pPr>
              <w:keepNext/>
              <w:jc w:val="left"/>
              <w:rPr>
                <w:sz w:val="16"/>
                <w:szCs w:val="16"/>
              </w:rPr>
            </w:pPr>
            <w:r w:rsidRPr="009F74EC">
              <w:rPr>
                <w:sz w:val="16"/>
                <w:szCs w:val="16"/>
              </w:rPr>
              <w:t>División de Comunicación, Medios de Comunicación y Relaciones Públicas del Ministerio</w:t>
            </w:r>
          </w:p>
        </w:tc>
        <w:tc>
          <w:tcPr>
            <w:tcW w:w="2126" w:type="dxa"/>
          </w:tcPr>
          <w:p w14:paraId="2CE0D8BD" w14:textId="77777777" w:rsidR="005A5957" w:rsidRPr="009F74EC" w:rsidRDefault="005A5957" w:rsidP="00C30F9D">
            <w:pPr>
              <w:keepNext/>
              <w:jc w:val="left"/>
              <w:rPr>
                <w:sz w:val="16"/>
              </w:rPr>
            </w:pPr>
            <w:r w:rsidRPr="009F74EC">
              <w:rPr>
                <w:sz w:val="16"/>
              </w:rPr>
              <w:t>Presentación y promoción de las unidades del Ministerio durante la temporada de carnaval</w:t>
            </w:r>
          </w:p>
        </w:tc>
        <w:tc>
          <w:tcPr>
            <w:tcW w:w="1955" w:type="dxa"/>
          </w:tcPr>
          <w:p w14:paraId="48E7979C" w14:textId="77777777" w:rsidR="005A5957" w:rsidRPr="009F74EC" w:rsidRDefault="005A5957" w:rsidP="00C30F9D">
            <w:pPr>
              <w:keepNext/>
              <w:jc w:val="left"/>
              <w:rPr>
                <w:sz w:val="16"/>
              </w:rPr>
            </w:pPr>
            <w:r w:rsidRPr="009F74EC">
              <w:rPr>
                <w:sz w:val="16"/>
              </w:rPr>
              <w:t>Público israelí</w:t>
            </w:r>
          </w:p>
        </w:tc>
        <w:tc>
          <w:tcPr>
            <w:tcW w:w="1163" w:type="dxa"/>
          </w:tcPr>
          <w:p w14:paraId="77B02A6A" w14:textId="77777777" w:rsidR="005A5957" w:rsidRPr="009F74EC" w:rsidRDefault="005A5957" w:rsidP="00C30F9D">
            <w:pPr>
              <w:keepNext/>
              <w:jc w:val="left"/>
              <w:rPr>
                <w:sz w:val="16"/>
              </w:rPr>
            </w:pPr>
          </w:p>
        </w:tc>
      </w:tr>
      <w:tr w:rsidR="005A5957" w:rsidRPr="009F74EC" w14:paraId="455B2334" w14:textId="77777777" w:rsidTr="00436A1C">
        <w:trPr>
          <w:cantSplit/>
        </w:trPr>
        <w:tc>
          <w:tcPr>
            <w:tcW w:w="1696" w:type="dxa"/>
          </w:tcPr>
          <w:p w14:paraId="19718F4D" w14:textId="77777777" w:rsidR="005A5957" w:rsidRPr="009F74EC" w:rsidRDefault="005A5957" w:rsidP="00C30F9D">
            <w:pPr>
              <w:keepNext/>
              <w:jc w:val="left"/>
              <w:rPr>
                <w:sz w:val="16"/>
              </w:rPr>
            </w:pPr>
            <w:r w:rsidRPr="009F74EC">
              <w:rPr>
                <w:sz w:val="16"/>
              </w:rPr>
              <w:t>2. Día Mundial de la Propiedad Intelectual</w:t>
            </w:r>
          </w:p>
        </w:tc>
        <w:tc>
          <w:tcPr>
            <w:tcW w:w="969" w:type="dxa"/>
          </w:tcPr>
          <w:p w14:paraId="3493479A" w14:textId="77777777" w:rsidR="005A5957" w:rsidRPr="009F74EC" w:rsidRDefault="005A5957" w:rsidP="00C30F9D">
            <w:pPr>
              <w:keepNext/>
              <w:jc w:val="left"/>
              <w:rPr>
                <w:sz w:val="16"/>
              </w:rPr>
            </w:pPr>
            <w:r w:rsidRPr="009F74EC">
              <w:rPr>
                <w:sz w:val="16"/>
              </w:rPr>
              <w:t>27.4.2023</w:t>
            </w:r>
          </w:p>
        </w:tc>
        <w:tc>
          <w:tcPr>
            <w:tcW w:w="1016" w:type="dxa"/>
          </w:tcPr>
          <w:p w14:paraId="112EB57E" w14:textId="77777777" w:rsidR="005A5957" w:rsidRPr="009F74EC" w:rsidRDefault="005A5957" w:rsidP="00C30F9D">
            <w:pPr>
              <w:keepNext/>
              <w:jc w:val="left"/>
              <w:rPr>
                <w:sz w:val="16"/>
              </w:rPr>
            </w:pPr>
            <w:r w:rsidRPr="009F74EC">
              <w:rPr>
                <w:sz w:val="16"/>
              </w:rPr>
              <w:t>Lista de distribución del Ministerio</w:t>
            </w:r>
          </w:p>
        </w:tc>
        <w:tc>
          <w:tcPr>
            <w:tcW w:w="1276" w:type="dxa"/>
          </w:tcPr>
          <w:p w14:paraId="47F54E62" w14:textId="77777777" w:rsidR="005A5957" w:rsidRPr="009F74EC" w:rsidRDefault="005A5957" w:rsidP="00C30F9D">
            <w:pPr>
              <w:keepNext/>
              <w:jc w:val="left"/>
              <w:rPr>
                <w:sz w:val="16"/>
                <w:szCs w:val="16"/>
              </w:rPr>
            </w:pPr>
            <w:r w:rsidRPr="009F74EC">
              <w:rPr>
                <w:sz w:val="16"/>
                <w:szCs w:val="16"/>
              </w:rPr>
              <w:t>Oficina de derechos de obtentor</w:t>
            </w:r>
          </w:p>
        </w:tc>
        <w:tc>
          <w:tcPr>
            <w:tcW w:w="2126" w:type="dxa"/>
          </w:tcPr>
          <w:p w14:paraId="28CCD481" w14:textId="77777777" w:rsidR="005A5957" w:rsidRPr="009F74EC" w:rsidRDefault="005A5957" w:rsidP="00C30F9D">
            <w:pPr>
              <w:keepNext/>
              <w:jc w:val="left"/>
              <w:rPr>
                <w:sz w:val="16"/>
              </w:rPr>
            </w:pPr>
            <w:r w:rsidRPr="009F74EC">
              <w:rPr>
                <w:sz w:val="16"/>
                <w:szCs w:val="16"/>
              </w:rPr>
              <w:t>Promoción PBR</w:t>
            </w:r>
          </w:p>
        </w:tc>
        <w:tc>
          <w:tcPr>
            <w:tcW w:w="1955" w:type="dxa"/>
          </w:tcPr>
          <w:p w14:paraId="5501169A" w14:textId="77777777" w:rsidR="005A5957" w:rsidRPr="009F74EC" w:rsidRDefault="005A5957" w:rsidP="00C30F9D">
            <w:pPr>
              <w:keepNext/>
              <w:jc w:val="left"/>
              <w:rPr>
                <w:sz w:val="16"/>
              </w:rPr>
            </w:pPr>
          </w:p>
        </w:tc>
        <w:tc>
          <w:tcPr>
            <w:tcW w:w="1163" w:type="dxa"/>
          </w:tcPr>
          <w:p w14:paraId="25CD0590" w14:textId="77777777" w:rsidR="005A5957" w:rsidRPr="009F74EC" w:rsidRDefault="005A5957" w:rsidP="00C30F9D">
            <w:pPr>
              <w:keepNext/>
              <w:jc w:val="left"/>
              <w:rPr>
                <w:sz w:val="16"/>
              </w:rPr>
            </w:pPr>
          </w:p>
        </w:tc>
      </w:tr>
      <w:tr w:rsidR="005A5957" w:rsidRPr="009F74EC" w14:paraId="2633DB20" w14:textId="77777777" w:rsidTr="00436A1C">
        <w:trPr>
          <w:cantSplit/>
        </w:trPr>
        <w:tc>
          <w:tcPr>
            <w:tcW w:w="1696" w:type="dxa"/>
          </w:tcPr>
          <w:p w14:paraId="54625D14" w14:textId="77777777" w:rsidR="005A5957" w:rsidRPr="009F74EC" w:rsidRDefault="005A5957" w:rsidP="00C30F9D">
            <w:pPr>
              <w:keepNext/>
              <w:jc w:val="left"/>
              <w:rPr>
                <w:sz w:val="16"/>
                <w:szCs w:val="16"/>
              </w:rPr>
            </w:pPr>
            <w:r w:rsidRPr="009F74EC">
              <w:rPr>
                <w:sz w:val="16"/>
                <w:szCs w:val="16"/>
              </w:rPr>
              <w:t xml:space="preserve">3. Exposición Agro </w:t>
            </w:r>
            <w:proofErr w:type="spellStart"/>
            <w:r w:rsidRPr="009F74EC">
              <w:rPr>
                <w:sz w:val="16"/>
                <w:szCs w:val="16"/>
              </w:rPr>
              <w:t>Mashov</w:t>
            </w:r>
            <w:proofErr w:type="spellEnd"/>
          </w:p>
        </w:tc>
        <w:tc>
          <w:tcPr>
            <w:tcW w:w="969" w:type="dxa"/>
          </w:tcPr>
          <w:p w14:paraId="5C99A447" w14:textId="77777777" w:rsidR="005A5957" w:rsidRPr="009F74EC" w:rsidRDefault="005A5957" w:rsidP="00C30F9D">
            <w:pPr>
              <w:keepNext/>
              <w:jc w:val="left"/>
              <w:rPr>
                <w:sz w:val="16"/>
                <w:szCs w:val="16"/>
              </w:rPr>
            </w:pPr>
            <w:r w:rsidRPr="009F74EC">
              <w:rPr>
                <w:sz w:val="16"/>
                <w:szCs w:val="16"/>
              </w:rPr>
              <w:t>5-6.9.2023</w:t>
            </w:r>
          </w:p>
        </w:tc>
        <w:tc>
          <w:tcPr>
            <w:tcW w:w="1016" w:type="dxa"/>
          </w:tcPr>
          <w:p w14:paraId="0D4013BC" w14:textId="77777777" w:rsidR="005A5957" w:rsidRPr="009F74EC" w:rsidRDefault="005A5957" w:rsidP="00C30F9D">
            <w:pPr>
              <w:keepNext/>
              <w:jc w:val="left"/>
              <w:rPr>
                <w:sz w:val="16"/>
                <w:szCs w:val="16"/>
              </w:rPr>
            </w:pPr>
            <w:r w:rsidRPr="009F74EC">
              <w:rPr>
                <w:sz w:val="16"/>
                <w:szCs w:val="16"/>
              </w:rPr>
              <w:t>TLV EXPO, Tel Aviv, Israel</w:t>
            </w:r>
          </w:p>
        </w:tc>
        <w:tc>
          <w:tcPr>
            <w:tcW w:w="1276" w:type="dxa"/>
          </w:tcPr>
          <w:p w14:paraId="6E41C1E6" w14:textId="77777777" w:rsidR="005A5957" w:rsidRPr="009F74EC" w:rsidRDefault="005A5957" w:rsidP="00C30F9D">
            <w:pPr>
              <w:keepNext/>
              <w:jc w:val="left"/>
              <w:rPr>
                <w:sz w:val="16"/>
                <w:szCs w:val="16"/>
              </w:rPr>
            </w:pPr>
            <w:r w:rsidRPr="009F74EC">
              <w:rPr>
                <w:sz w:val="16"/>
                <w:szCs w:val="16"/>
              </w:rPr>
              <w:t xml:space="preserve">Grupo </w:t>
            </w:r>
            <w:proofErr w:type="spellStart"/>
            <w:r w:rsidRPr="009F74EC">
              <w:rPr>
                <w:sz w:val="16"/>
                <w:szCs w:val="16"/>
              </w:rPr>
              <w:t>Mashov</w:t>
            </w:r>
            <w:proofErr w:type="spellEnd"/>
          </w:p>
        </w:tc>
        <w:tc>
          <w:tcPr>
            <w:tcW w:w="2126" w:type="dxa"/>
          </w:tcPr>
          <w:p w14:paraId="6BB89401" w14:textId="77777777" w:rsidR="005A5957" w:rsidRPr="009F74EC" w:rsidRDefault="005A5957" w:rsidP="00C30F9D">
            <w:pPr>
              <w:keepNext/>
              <w:jc w:val="left"/>
              <w:rPr>
                <w:sz w:val="16"/>
                <w:szCs w:val="16"/>
              </w:rPr>
            </w:pPr>
            <w:r w:rsidRPr="009F74EC">
              <w:rPr>
                <w:sz w:val="16"/>
                <w:szCs w:val="16"/>
              </w:rPr>
              <w:t>Derechos de obtentor Promoción y participación</w:t>
            </w:r>
          </w:p>
        </w:tc>
        <w:tc>
          <w:tcPr>
            <w:tcW w:w="1955" w:type="dxa"/>
          </w:tcPr>
          <w:p w14:paraId="2312E985" w14:textId="77777777" w:rsidR="005A5957" w:rsidRPr="009F74EC" w:rsidRDefault="005A5957" w:rsidP="00C30F9D">
            <w:pPr>
              <w:keepNext/>
              <w:jc w:val="left"/>
              <w:rPr>
                <w:sz w:val="16"/>
                <w:szCs w:val="16"/>
              </w:rPr>
            </w:pPr>
            <w:r w:rsidRPr="009F74EC">
              <w:rPr>
                <w:sz w:val="16"/>
                <w:szCs w:val="16"/>
              </w:rPr>
              <w:t>Empresas agrícolas locales, cultivadores, etc.</w:t>
            </w:r>
          </w:p>
        </w:tc>
        <w:tc>
          <w:tcPr>
            <w:tcW w:w="1163" w:type="dxa"/>
          </w:tcPr>
          <w:p w14:paraId="2795503C" w14:textId="77777777" w:rsidR="005A5957" w:rsidRPr="009F74EC" w:rsidRDefault="005A5957" w:rsidP="00C30F9D">
            <w:pPr>
              <w:keepNext/>
              <w:jc w:val="left"/>
              <w:rPr>
                <w:sz w:val="16"/>
                <w:szCs w:val="16"/>
              </w:rPr>
            </w:pPr>
            <w:r w:rsidRPr="009F74EC">
              <w:rPr>
                <w:sz w:val="16"/>
                <w:szCs w:val="16"/>
              </w:rPr>
              <w:t>Stand y representación en el pabellón del Ministerio</w:t>
            </w:r>
          </w:p>
        </w:tc>
      </w:tr>
      <w:tr w:rsidR="005A5957" w:rsidRPr="009F74EC" w14:paraId="2D708E1E" w14:textId="77777777" w:rsidTr="00436A1C">
        <w:trPr>
          <w:cantSplit/>
        </w:trPr>
        <w:tc>
          <w:tcPr>
            <w:tcW w:w="1696" w:type="dxa"/>
          </w:tcPr>
          <w:p w14:paraId="2E6A1F7C" w14:textId="77777777" w:rsidR="005A5957" w:rsidRPr="009F74EC" w:rsidRDefault="005A5957" w:rsidP="00C30F9D">
            <w:pPr>
              <w:keepNext/>
              <w:jc w:val="left"/>
              <w:rPr>
                <w:sz w:val="16"/>
              </w:rPr>
            </w:pPr>
            <w:r w:rsidRPr="009F74EC">
              <w:rPr>
                <w:sz w:val="16"/>
              </w:rPr>
              <w:t>4. Reunión de la IPAA</w:t>
            </w:r>
          </w:p>
          <w:p w14:paraId="3846AF1D" w14:textId="77777777" w:rsidR="005A5957" w:rsidRPr="009F74EC" w:rsidRDefault="005A5957" w:rsidP="00C30F9D">
            <w:pPr>
              <w:keepNext/>
              <w:jc w:val="left"/>
              <w:rPr>
                <w:sz w:val="16"/>
              </w:rPr>
            </w:pPr>
          </w:p>
        </w:tc>
        <w:tc>
          <w:tcPr>
            <w:tcW w:w="969" w:type="dxa"/>
          </w:tcPr>
          <w:p w14:paraId="0AB8C7ED" w14:textId="77777777" w:rsidR="005A5957" w:rsidRPr="009F74EC" w:rsidRDefault="005A5957" w:rsidP="00C30F9D">
            <w:pPr>
              <w:keepNext/>
              <w:jc w:val="left"/>
              <w:rPr>
                <w:sz w:val="16"/>
              </w:rPr>
            </w:pPr>
            <w:r w:rsidRPr="009F74EC">
              <w:rPr>
                <w:sz w:val="16"/>
              </w:rPr>
              <w:t>12.9.2023</w:t>
            </w:r>
          </w:p>
        </w:tc>
        <w:tc>
          <w:tcPr>
            <w:tcW w:w="1016" w:type="dxa"/>
          </w:tcPr>
          <w:p w14:paraId="6DDA8126" w14:textId="77777777" w:rsidR="005A5957" w:rsidRPr="009F74EC" w:rsidRDefault="005A5957" w:rsidP="00C30F9D">
            <w:pPr>
              <w:keepNext/>
              <w:jc w:val="left"/>
              <w:rPr>
                <w:sz w:val="16"/>
              </w:rPr>
            </w:pPr>
            <w:proofErr w:type="spellStart"/>
            <w:r w:rsidRPr="009F74EC">
              <w:rPr>
                <w:sz w:val="16"/>
              </w:rPr>
              <w:t>Webinar</w:t>
            </w:r>
            <w:proofErr w:type="spellEnd"/>
          </w:p>
        </w:tc>
        <w:tc>
          <w:tcPr>
            <w:tcW w:w="1276" w:type="dxa"/>
          </w:tcPr>
          <w:p w14:paraId="72997587" w14:textId="77777777" w:rsidR="005A5957" w:rsidRPr="009F74EC" w:rsidRDefault="005A5957" w:rsidP="00C30F9D">
            <w:pPr>
              <w:keepNext/>
              <w:jc w:val="left"/>
              <w:rPr>
                <w:rFonts w:ascii="Helvetica" w:hAnsi="Helvetica"/>
                <w:sz w:val="22"/>
              </w:rPr>
            </w:pPr>
            <w:r w:rsidRPr="009F74EC">
              <w:rPr>
                <w:sz w:val="16"/>
              </w:rPr>
              <w:t>Asociación de Abogados de Patentes de Israel (IPAA)</w:t>
            </w:r>
          </w:p>
        </w:tc>
        <w:tc>
          <w:tcPr>
            <w:tcW w:w="2126" w:type="dxa"/>
          </w:tcPr>
          <w:p w14:paraId="043EBD73" w14:textId="77777777" w:rsidR="005A5957" w:rsidRPr="009F74EC" w:rsidRDefault="005A5957" w:rsidP="00C30F9D">
            <w:pPr>
              <w:keepNext/>
              <w:jc w:val="left"/>
              <w:rPr>
                <w:sz w:val="16"/>
                <w:szCs w:val="16"/>
              </w:rPr>
            </w:pPr>
            <w:r w:rsidRPr="009F74EC">
              <w:rPr>
                <w:rFonts w:cs="Arial"/>
                <w:color w:val="3E3E3E"/>
                <w:sz w:val="16"/>
                <w:szCs w:val="16"/>
                <w:lang w:bidi="he-IL"/>
              </w:rPr>
              <w:t xml:space="preserve">Presentación del Consejo de Derechos </w:t>
            </w:r>
            <w:r w:rsidRPr="009F74EC">
              <w:rPr>
                <w:sz w:val="16"/>
                <w:szCs w:val="16"/>
              </w:rPr>
              <w:t xml:space="preserve">de </w:t>
            </w:r>
            <w:r w:rsidRPr="009F74EC">
              <w:rPr>
                <w:rFonts w:cs="Arial"/>
                <w:color w:val="3E3E3E"/>
                <w:sz w:val="16"/>
                <w:szCs w:val="16"/>
                <w:lang w:bidi="he-IL"/>
              </w:rPr>
              <w:t xml:space="preserve">Obtentor, </w:t>
            </w:r>
            <w:r w:rsidRPr="009F74EC">
              <w:rPr>
                <w:sz w:val="16"/>
                <w:szCs w:val="16"/>
              </w:rPr>
              <w:t>cooperación y comprensión de las dificultades en la aplicación de los derechos de obtentor</w:t>
            </w:r>
          </w:p>
        </w:tc>
        <w:tc>
          <w:tcPr>
            <w:tcW w:w="1955" w:type="dxa"/>
          </w:tcPr>
          <w:p w14:paraId="75F68C90" w14:textId="77777777" w:rsidR="005A5957" w:rsidRPr="009F74EC" w:rsidRDefault="005A5957" w:rsidP="00C30F9D">
            <w:pPr>
              <w:keepNext/>
              <w:jc w:val="left"/>
              <w:rPr>
                <w:sz w:val="16"/>
              </w:rPr>
            </w:pPr>
            <w:r w:rsidRPr="009F74EC">
              <w:rPr>
                <w:sz w:val="16"/>
              </w:rPr>
              <w:t>Abogados de patentes locales</w:t>
            </w:r>
          </w:p>
        </w:tc>
        <w:tc>
          <w:tcPr>
            <w:tcW w:w="1163" w:type="dxa"/>
          </w:tcPr>
          <w:p w14:paraId="0E7B5B77" w14:textId="77777777" w:rsidR="005A5957" w:rsidRPr="009F74EC" w:rsidRDefault="005A5957" w:rsidP="00C30F9D">
            <w:pPr>
              <w:keepNext/>
              <w:jc w:val="left"/>
              <w:rPr>
                <w:sz w:val="16"/>
              </w:rPr>
            </w:pPr>
          </w:p>
        </w:tc>
      </w:tr>
      <w:tr w:rsidR="005A5957" w:rsidRPr="009F74EC" w14:paraId="58E4B2C9" w14:textId="77777777" w:rsidTr="00436A1C">
        <w:trPr>
          <w:cantSplit/>
        </w:trPr>
        <w:tc>
          <w:tcPr>
            <w:tcW w:w="1696" w:type="dxa"/>
          </w:tcPr>
          <w:p w14:paraId="5208DCFB" w14:textId="77777777" w:rsidR="005A5957" w:rsidRPr="009F74EC" w:rsidRDefault="005A5957" w:rsidP="007457AD">
            <w:pPr>
              <w:jc w:val="left"/>
              <w:rPr>
                <w:sz w:val="16"/>
                <w:szCs w:val="16"/>
              </w:rPr>
            </w:pPr>
            <w:r w:rsidRPr="009F74EC">
              <w:rPr>
                <w:sz w:val="16"/>
                <w:szCs w:val="16"/>
              </w:rPr>
              <w:t xml:space="preserve">5. Reuniones con cultivadores y </w:t>
            </w:r>
            <w:proofErr w:type="spellStart"/>
            <w:r w:rsidRPr="009F74EC">
              <w:rPr>
                <w:sz w:val="16"/>
                <w:szCs w:val="16"/>
              </w:rPr>
              <w:t>fitomejoradores</w:t>
            </w:r>
            <w:proofErr w:type="spellEnd"/>
          </w:p>
        </w:tc>
        <w:tc>
          <w:tcPr>
            <w:tcW w:w="969" w:type="dxa"/>
          </w:tcPr>
          <w:p w14:paraId="391258FC" w14:textId="77777777" w:rsidR="005A5957" w:rsidRPr="009F74EC" w:rsidRDefault="005A5957" w:rsidP="007457AD">
            <w:pPr>
              <w:jc w:val="left"/>
              <w:rPr>
                <w:rFonts w:cs="Arial Unicode MS"/>
                <w:sz w:val="16"/>
                <w:szCs w:val="16"/>
                <w:cs/>
              </w:rPr>
            </w:pPr>
            <w:r w:rsidRPr="009F74EC">
              <w:rPr>
                <w:rFonts w:cs="Arial Unicode MS"/>
                <w:sz w:val="16"/>
                <w:szCs w:val="16"/>
              </w:rPr>
              <w:t>2023</w:t>
            </w:r>
          </w:p>
        </w:tc>
        <w:tc>
          <w:tcPr>
            <w:tcW w:w="1016" w:type="dxa"/>
          </w:tcPr>
          <w:p w14:paraId="0FEC802F" w14:textId="77777777" w:rsidR="005A5957" w:rsidRPr="009F74EC" w:rsidRDefault="005A5957" w:rsidP="007457AD">
            <w:pPr>
              <w:jc w:val="left"/>
              <w:rPr>
                <w:sz w:val="16"/>
                <w:szCs w:val="16"/>
              </w:rPr>
            </w:pPr>
            <w:r w:rsidRPr="009F74EC">
              <w:rPr>
                <w:sz w:val="16"/>
                <w:szCs w:val="16"/>
              </w:rPr>
              <w:t>En todo Israel</w:t>
            </w:r>
          </w:p>
        </w:tc>
        <w:tc>
          <w:tcPr>
            <w:tcW w:w="1276" w:type="dxa"/>
          </w:tcPr>
          <w:p w14:paraId="7EFE4D3B" w14:textId="77777777" w:rsidR="005A5957" w:rsidRPr="009F74EC" w:rsidRDefault="005A5957" w:rsidP="007457AD">
            <w:pPr>
              <w:jc w:val="left"/>
              <w:rPr>
                <w:sz w:val="16"/>
                <w:szCs w:val="16"/>
              </w:rPr>
            </w:pPr>
            <w:r w:rsidRPr="009F74EC">
              <w:rPr>
                <w:sz w:val="16"/>
                <w:szCs w:val="16"/>
              </w:rPr>
              <w:t>Oficina de derechos de obtentor</w:t>
            </w:r>
          </w:p>
        </w:tc>
        <w:tc>
          <w:tcPr>
            <w:tcW w:w="2126" w:type="dxa"/>
          </w:tcPr>
          <w:p w14:paraId="7CE5DF8B" w14:textId="77777777" w:rsidR="005A5957" w:rsidRPr="009F74EC" w:rsidRDefault="005A5957" w:rsidP="007457AD">
            <w:pPr>
              <w:jc w:val="left"/>
              <w:rPr>
                <w:rFonts w:cstheme="minorBidi"/>
                <w:sz w:val="16"/>
                <w:szCs w:val="16"/>
                <w:lang w:bidi="he-IL"/>
              </w:rPr>
            </w:pPr>
            <w:r w:rsidRPr="009F74EC">
              <w:rPr>
                <w:sz w:val="16"/>
                <w:szCs w:val="16"/>
              </w:rPr>
              <w:t xml:space="preserve">Mejora de la cooperación entre cultivadores, titulares de derechos de obtentor y obtentores, y comprensión </w:t>
            </w:r>
            <w:r w:rsidRPr="009F74EC">
              <w:rPr>
                <w:sz w:val="16"/>
                <w:szCs w:val="16"/>
              </w:rPr>
              <w:lastRenderedPageBreak/>
              <w:t xml:space="preserve">de las dificultades que plantea la </w:t>
            </w:r>
            <w:r w:rsidRPr="009F74EC">
              <w:rPr>
                <w:rFonts w:cstheme="minorBidi"/>
                <w:sz w:val="16"/>
                <w:szCs w:val="16"/>
                <w:lang w:bidi="he-IL"/>
              </w:rPr>
              <w:t xml:space="preserve">observancia de </w:t>
            </w:r>
            <w:r w:rsidRPr="009F74EC">
              <w:rPr>
                <w:sz w:val="16"/>
                <w:szCs w:val="16"/>
              </w:rPr>
              <w:t>los derechos de obtentor.</w:t>
            </w:r>
          </w:p>
        </w:tc>
        <w:tc>
          <w:tcPr>
            <w:tcW w:w="1955" w:type="dxa"/>
          </w:tcPr>
          <w:p w14:paraId="19BDD54E" w14:textId="77777777" w:rsidR="005A5957" w:rsidRPr="009F74EC" w:rsidRDefault="005A5957" w:rsidP="007457AD">
            <w:pPr>
              <w:jc w:val="left"/>
              <w:rPr>
                <w:sz w:val="16"/>
                <w:szCs w:val="16"/>
              </w:rPr>
            </w:pPr>
            <w:r w:rsidRPr="009F74EC">
              <w:rPr>
                <w:sz w:val="16"/>
                <w:szCs w:val="16"/>
              </w:rPr>
              <w:lastRenderedPageBreak/>
              <w:t>Obtentores y cultivadores de empresas privadas y públicas en Israel</w:t>
            </w:r>
          </w:p>
        </w:tc>
        <w:tc>
          <w:tcPr>
            <w:tcW w:w="1163" w:type="dxa"/>
          </w:tcPr>
          <w:p w14:paraId="22ACC3EA" w14:textId="77777777" w:rsidR="005A5957" w:rsidRPr="009F74EC" w:rsidRDefault="005A5957" w:rsidP="007457AD">
            <w:pPr>
              <w:jc w:val="left"/>
              <w:rPr>
                <w:sz w:val="16"/>
                <w:szCs w:val="16"/>
              </w:rPr>
            </w:pPr>
          </w:p>
        </w:tc>
      </w:tr>
    </w:tbl>
    <w:p w14:paraId="58ABAD7F" w14:textId="77777777" w:rsidR="005A5957" w:rsidRPr="009F74EC" w:rsidRDefault="005A5957" w:rsidP="005A5957"/>
    <w:p w14:paraId="4D2BD13B" w14:textId="77777777" w:rsidR="005A5957" w:rsidRPr="009F74EC" w:rsidRDefault="005A5957" w:rsidP="005A5957"/>
    <w:p w14:paraId="25069416" w14:textId="77777777" w:rsidR="005A5957" w:rsidRPr="009F74EC" w:rsidRDefault="005A5957" w:rsidP="005A5957">
      <w:pPr>
        <w:rPr>
          <w:bCs/>
        </w:rPr>
      </w:pPr>
      <w:r w:rsidRPr="009F74EC">
        <w:rPr>
          <w:bCs/>
        </w:rPr>
        <w:t>II.</w:t>
      </w:r>
      <w:r w:rsidRPr="009F74EC">
        <w:rPr>
          <w:bCs/>
        </w:rPr>
        <w:tab/>
        <w:t>OTROS ACONTECIMIENTOS DE INTERÉS PARA LA UPOV</w:t>
      </w:r>
    </w:p>
    <w:p w14:paraId="086BC6B2" w14:textId="77777777" w:rsidR="005A5957" w:rsidRPr="009F74EC" w:rsidRDefault="005A5957" w:rsidP="005A5957">
      <w:pPr>
        <w:rPr>
          <w:bCs/>
        </w:rPr>
      </w:pPr>
    </w:p>
    <w:p w14:paraId="29B23EB5" w14:textId="77777777" w:rsidR="005A5957" w:rsidRPr="009F74EC" w:rsidRDefault="005A5957" w:rsidP="005A5957">
      <w:pPr>
        <w:rPr>
          <w:bCs/>
        </w:rPr>
      </w:pPr>
      <w:r w:rsidRPr="009F74EC">
        <w:rPr>
          <w:bCs/>
        </w:rPr>
        <w:t>Ninguna.</w:t>
      </w:r>
    </w:p>
    <w:p w14:paraId="361C6764" w14:textId="77777777" w:rsidR="005A5957" w:rsidRPr="009F74EC" w:rsidRDefault="005A5957" w:rsidP="005A5957"/>
    <w:p w14:paraId="7AB745A9" w14:textId="77777777" w:rsidR="005A5957" w:rsidRPr="009F74EC" w:rsidRDefault="005A5957" w:rsidP="005A5957">
      <w:pPr>
        <w:jc w:val="right"/>
      </w:pPr>
      <w:r w:rsidRPr="009F74EC">
        <w:t>[Sigue el anexo VIII].</w:t>
      </w:r>
    </w:p>
    <w:p w14:paraId="63F85888" w14:textId="77777777" w:rsidR="005A5957" w:rsidRPr="009F74EC" w:rsidRDefault="005A5957" w:rsidP="005A5957">
      <w:pPr>
        <w:jc w:val="center"/>
        <w:sectPr w:rsidR="005A5957" w:rsidRPr="009F74EC" w:rsidSect="00934879">
          <w:headerReference w:type="default" r:id="rId18"/>
          <w:pgSz w:w="11907" w:h="16840" w:code="9"/>
          <w:pgMar w:top="510" w:right="1134" w:bottom="709" w:left="1134" w:header="510" w:footer="680" w:gutter="0"/>
          <w:pgNumType w:start="1"/>
          <w:cols w:space="720"/>
          <w:titlePg/>
        </w:sectPr>
      </w:pPr>
    </w:p>
    <w:p w14:paraId="4969483A" w14:textId="77777777" w:rsidR="005A5957" w:rsidRPr="009F74EC" w:rsidRDefault="005A5957" w:rsidP="005A5957">
      <w:pPr>
        <w:jc w:val="center"/>
      </w:pPr>
      <w:r w:rsidRPr="009F74EC">
        <w:lastRenderedPageBreak/>
        <w:t>C/57/13</w:t>
      </w:r>
    </w:p>
    <w:p w14:paraId="6704A558" w14:textId="77777777" w:rsidR="005A5957" w:rsidRPr="009F74EC" w:rsidRDefault="005A5957" w:rsidP="005A5957">
      <w:pPr>
        <w:jc w:val="center"/>
      </w:pPr>
    </w:p>
    <w:p w14:paraId="38481DBA" w14:textId="77777777" w:rsidR="005A5957" w:rsidRPr="009F74EC" w:rsidRDefault="005A5957" w:rsidP="005A5957">
      <w:pPr>
        <w:jc w:val="center"/>
      </w:pPr>
      <w:r w:rsidRPr="009F74EC">
        <w:t>ANEXO VIII</w:t>
      </w:r>
    </w:p>
    <w:p w14:paraId="41A92C9B" w14:textId="77777777" w:rsidR="005A5957" w:rsidRPr="009F74EC" w:rsidRDefault="005A5957" w:rsidP="005A5957">
      <w:pPr>
        <w:jc w:val="center"/>
      </w:pPr>
    </w:p>
    <w:p w14:paraId="12210D74" w14:textId="77777777" w:rsidR="005A5957" w:rsidRPr="009F74EC" w:rsidRDefault="005A5957" w:rsidP="005A5957">
      <w:pPr>
        <w:jc w:val="center"/>
      </w:pPr>
    </w:p>
    <w:p w14:paraId="190DD823" w14:textId="77777777" w:rsidR="005A5957" w:rsidRPr="009F74EC" w:rsidRDefault="005A5957" w:rsidP="005A5957">
      <w:pPr>
        <w:jc w:val="center"/>
      </w:pPr>
      <w:r w:rsidRPr="009F74EC">
        <w:t>JAPÓN</w:t>
      </w:r>
    </w:p>
    <w:p w14:paraId="37EB7782" w14:textId="77777777" w:rsidR="00633DB1" w:rsidRPr="009F74EC" w:rsidRDefault="00633DB1" w:rsidP="00633DB1">
      <w:pPr>
        <w:jc w:val="center"/>
      </w:pPr>
      <w:r w:rsidRPr="009F74EC">
        <w:t>(Idioma original: inglés)</w:t>
      </w:r>
    </w:p>
    <w:p w14:paraId="5F5479A9" w14:textId="77777777" w:rsidR="00633DB1" w:rsidRPr="009F74EC" w:rsidRDefault="00633DB1" w:rsidP="00633DB1"/>
    <w:p w14:paraId="46CC3484" w14:textId="77777777" w:rsidR="00633DB1" w:rsidRPr="009F74EC" w:rsidRDefault="00633DB1" w:rsidP="00633DB1">
      <w:pPr>
        <w:pStyle w:val="Disclaimer"/>
        <w:spacing w:after="360"/>
        <w:jc w:val="center"/>
        <w:rPr>
          <w:sz w:val="18"/>
          <w:szCs w:val="18"/>
        </w:rPr>
      </w:pPr>
      <w:r w:rsidRPr="009F74EC">
        <w:rPr>
          <w:sz w:val="18"/>
          <w:szCs w:val="18"/>
        </w:rPr>
        <w:t xml:space="preserve">Esta traducción se ha generado mediante traducción automática y no puede garantizarse su exactitud. </w:t>
      </w:r>
      <w:r w:rsidRPr="009F74EC">
        <w:rPr>
          <w:sz w:val="18"/>
          <w:szCs w:val="18"/>
        </w:rPr>
        <w:br/>
        <w:t>Por lo tanto, el texto en el idioma original es la única versión auténtica.</w:t>
      </w:r>
    </w:p>
    <w:p w14:paraId="73F37E6F" w14:textId="77777777" w:rsidR="005A5957" w:rsidRPr="009F74EC" w:rsidRDefault="005A5957" w:rsidP="005A5957">
      <w:pPr>
        <w:rPr>
          <w:rFonts w:cs="Arial"/>
        </w:rPr>
      </w:pPr>
      <w:r w:rsidRPr="009F74EC">
        <w:rPr>
          <w:rFonts w:cs="Arial"/>
        </w:rPr>
        <w:t>I.</w:t>
      </w:r>
      <w:r w:rsidRPr="009F74EC">
        <w:rPr>
          <w:rFonts w:cs="Arial"/>
        </w:rPr>
        <w:tab/>
        <w:t>PROTECCIÓN DE LAS OBTENCIONES VEGETALES</w:t>
      </w:r>
    </w:p>
    <w:p w14:paraId="5F46678D" w14:textId="77777777" w:rsidR="005A5957" w:rsidRPr="009F74EC" w:rsidRDefault="005A5957" w:rsidP="005A5957">
      <w:pPr>
        <w:rPr>
          <w:rFonts w:cs="Arial"/>
        </w:rPr>
      </w:pPr>
    </w:p>
    <w:p w14:paraId="2AFF768C" w14:textId="77777777" w:rsidR="005A5957" w:rsidRPr="009F74EC" w:rsidRDefault="005A5957" w:rsidP="005A5957">
      <w:pPr>
        <w:tabs>
          <w:tab w:val="left" w:pos="426"/>
          <w:tab w:val="left" w:pos="1276"/>
        </w:tabs>
        <w:rPr>
          <w:rFonts w:cs="Arial"/>
        </w:rPr>
      </w:pPr>
      <w:r w:rsidRPr="009F74EC">
        <w:rPr>
          <w:rFonts w:cs="Arial"/>
        </w:rPr>
        <w:t xml:space="preserve">1. </w:t>
      </w:r>
      <w:r w:rsidRPr="009F74EC">
        <w:rPr>
          <w:rFonts w:cs="Arial"/>
        </w:rPr>
        <w:tab/>
      </w:r>
      <w:r w:rsidRPr="009F74EC">
        <w:rPr>
          <w:rFonts w:cs="Arial"/>
          <w:u w:val="single"/>
        </w:rPr>
        <w:t>Situación en el ámbito legislativo</w:t>
      </w:r>
    </w:p>
    <w:p w14:paraId="2573A909" w14:textId="77777777" w:rsidR="005A5957" w:rsidRPr="009F74EC" w:rsidRDefault="005A5957" w:rsidP="005A5957">
      <w:pPr>
        <w:rPr>
          <w:rFonts w:cs="Arial"/>
        </w:rPr>
      </w:pPr>
    </w:p>
    <w:p w14:paraId="61287F61" w14:textId="77777777" w:rsidR="005A5957" w:rsidRPr="009F74EC" w:rsidRDefault="005A5957" w:rsidP="005A5957">
      <w:pPr>
        <w:pStyle w:val="BodyTextIndent2"/>
        <w:ind w:left="425"/>
        <w:rPr>
          <w:rFonts w:cs="Arial"/>
          <w:sz w:val="20"/>
          <w:szCs w:val="20"/>
          <w:lang w:val="es-ES_tradnl"/>
        </w:rPr>
      </w:pPr>
      <w:r w:rsidRPr="009F74EC">
        <w:rPr>
          <w:rFonts w:cs="Arial"/>
          <w:sz w:val="20"/>
          <w:szCs w:val="20"/>
          <w:lang w:val="es-ES_tradnl"/>
        </w:rPr>
        <w:tab/>
        <w:t>Sin comentarios.</w:t>
      </w:r>
    </w:p>
    <w:p w14:paraId="69ABA685" w14:textId="77777777" w:rsidR="005A5957" w:rsidRPr="009F74EC" w:rsidRDefault="005A5957" w:rsidP="005A5957">
      <w:pPr>
        <w:rPr>
          <w:rFonts w:cs="Arial"/>
        </w:rPr>
      </w:pPr>
    </w:p>
    <w:p w14:paraId="792026F0" w14:textId="77777777" w:rsidR="005A5957" w:rsidRPr="009F74EC" w:rsidRDefault="005A5957" w:rsidP="005A5957">
      <w:pPr>
        <w:rPr>
          <w:rFonts w:cs="Arial"/>
        </w:rPr>
      </w:pPr>
    </w:p>
    <w:p w14:paraId="6182B13B" w14:textId="77777777" w:rsidR="005A5957" w:rsidRPr="009F74EC" w:rsidRDefault="005A5957" w:rsidP="005A5957">
      <w:pPr>
        <w:rPr>
          <w:rFonts w:cs="Arial"/>
        </w:rPr>
      </w:pPr>
      <w:r w:rsidRPr="009F74EC">
        <w:rPr>
          <w:rFonts w:cs="Arial"/>
        </w:rPr>
        <w:t>2.</w:t>
      </w:r>
      <w:r w:rsidRPr="009F74EC">
        <w:rPr>
          <w:rFonts w:cs="Arial"/>
        </w:rPr>
        <w:tab/>
      </w:r>
      <w:r w:rsidRPr="009F74EC">
        <w:rPr>
          <w:rFonts w:cs="Arial"/>
          <w:u w:val="single"/>
        </w:rPr>
        <w:t>Cooperación en el examen</w:t>
      </w:r>
    </w:p>
    <w:p w14:paraId="6DD621F0" w14:textId="77777777" w:rsidR="005A5957" w:rsidRPr="009F74EC" w:rsidRDefault="005A5957" w:rsidP="005A5957">
      <w:pPr>
        <w:tabs>
          <w:tab w:val="left" w:pos="426"/>
          <w:tab w:val="left" w:pos="851"/>
        </w:tabs>
        <w:rPr>
          <w:rFonts w:cs="Arial"/>
        </w:rPr>
      </w:pPr>
    </w:p>
    <w:p w14:paraId="4AE0D78B" w14:textId="0D1850E4" w:rsidR="005A5957" w:rsidRPr="009F74EC" w:rsidRDefault="005A5957" w:rsidP="005A5957">
      <w:pPr>
        <w:rPr>
          <w:rFonts w:cs="Arial"/>
        </w:rPr>
      </w:pPr>
      <w:r w:rsidRPr="009F74EC">
        <w:rPr>
          <w:rFonts w:cs="Arial"/>
        </w:rPr>
        <w:t>-</w:t>
      </w:r>
      <w:r w:rsidR="009568B1">
        <w:rPr>
          <w:rFonts w:cs="Arial"/>
        </w:rPr>
        <w:tab/>
      </w:r>
      <w:r w:rsidRPr="009F74EC">
        <w:rPr>
          <w:rFonts w:cs="Arial"/>
        </w:rPr>
        <w:t>Conclusión de nuevos acuerdos (previstos)</w:t>
      </w:r>
    </w:p>
    <w:p w14:paraId="2EB9C3F1" w14:textId="77777777" w:rsidR="005A5957" w:rsidRPr="009F74EC" w:rsidRDefault="005A5957" w:rsidP="005A5957">
      <w:pPr>
        <w:tabs>
          <w:tab w:val="left" w:pos="426"/>
          <w:tab w:val="left" w:pos="851"/>
        </w:tabs>
        <w:rPr>
          <w:rFonts w:cs="Arial"/>
        </w:rPr>
      </w:pPr>
      <w:bookmarkStart w:id="1" w:name="_Hlk144387720"/>
    </w:p>
    <w:p w14:paraId="279EC33A" w14:textId="77777777" w:rsidR="005A5957" w:rsidRPr="009F74EC" w:rsidRDefault="005A5957" w:rsidP="005A5957">
      <w:pPr>
        <w:tabs>
          <w:tab w:val="left" w:pos="851"/>
        </w:tabs>
      </w:pPr>
      <w:r w:rsidRPr="009F74EC">
        <w:t xml:space="preserve">El Ministerio de Agricultura, Silvicultura y Pesca (MAFF) de Japón y la PVPO estadounidense </w:t>
      </w:r>
      <w:r w:rsidRPr="009F74EC">
        <w:rPr>
          <w:lang w:eastAsia="ja-JP"/>
        </w:rPr>
        <w:t xml:space="preserve">tienen previsto </w:t>
      </w:r>
      <w:r w:rsidRPr="009F74EC">
        <w:t>celebrar un acuerdo general de cooperación en materia de exámenes en 2023.</w:t>
      </w:r>
    </w:p>
    <w:p w14:paraId="10B45746" w14:textId="77777777" w:rsidR="005A5957" w:rsidRPr="009F74EC" w:rsidRDefault="005A5957" w:rsidP="005A5957">
      <w:pPr>
        <w:tabs>
          <w:tab w:val="left" w:pos="851"/>
        </w:tabs>
      </w:pPr>
    </w:p>
    <w:p w14:paraId="7184CBAE" w14:textId="77777777" w:rsidR="005A5957" w:rsidRPr="009F74EC" w:rsidRDefault="005A5957" w:rsidP="005A5957">
      <w:pPr>
        <w:rPr>
          <w:rFonts w:cs="Arial"/>
        </w:rPr>
      </w:pPr>
      <w:r w:rsidRPr="009F74EC">
        <w:rPr>
          <w:rFonts w:cs="Arial"/>
        </w:rPr>
        <w:t xml:space="preserve">El MAFF de Japón, la Organización Nacional de Investigación Agrícola y Alimentaria (NARO) de Japón y la Oficina Comunitaria de Variedades Vegetales (OCVV) han iniciado consultas para contratar un acuerdo de examen técnico en virtud del cual la Oficina de Protección de las Obtenciones Vegetales de Japón realice el examen DHE de </w:t>
      </w:r>
      <w:proofErr w:type="spellStart"/>
      <w:r w:rsidRPr="009F74EC">
        <w:rPr>
          <w:rFonts w:cs="Arial"/>
          <w:i/>
          <w:iCs/>
        </w:rPr>
        <w:t>Camellia</w:t>
      </w:r>
      <w:proofErr w:type="spellEnd"/>
      <w:r w:rsidRPr="009F74EC">
        <w:rPr>
          <w:rFonts w:cs="Arial"/>
          <w:i/>
          <w:iCs/>
        </w:rPr>
        <w:t xml:space="preserve"> </w:t>
      </w:r>
      <w:proofErr w:type="spellStart"/>
      <w:r w:rsidRPr="009F74EC">
        <w:rPr>
          <w:rFonts w:cs="Arial"/>
          <w:i/>
          <w:iCs/>
        </w:rPr>
        <w:t>sinensis</w:t>
      </w:r>
      <w:proofErr w:type="spellEnd"/>
      <w:r w:rsidRPr="009F74EC">
        <w:rPr>
          <w:rFonts w:cs="Arial"/>
          <w:i/>
          <w:iCs/>
        </w:rPr>
        <w:t xml:space="preserve"> </w:t>
      </w:r>
      <w:r w:rsidRPr="009F74EC">
        <w:rPr>
          <w:rFonts w:cs="Arial"/>
        </w:rPr>
        <w:t xml:space="preserve">(L.) </w:t>
      </w:r>
      <w:proofErr w:type="spellStart"/>
      <w:r w:rsidRPr="009F74EC">
        <w:rPr>
          <w:rFonts w:cs="Arial"/>
        </w:rPr>
        <w:t>Kuntze</w:t>
      </w:r>
      <w:proofErr w:type="spellEnd"/>
      <w:r w:rsidRPr="009F74EC">
        <w:rPr>
          <w:rFonts w:cs="Arial"/>
        </w:rPr>
        <w:t xml:space="preserve"> en nombre de la OCVV.</w:t>
      </w:r>
    </w:p>
    <w:p w14:paraId="0E86B558" w14:textId="77777777" w:rsidR="005A5957" w:rsidRPr="009F74EC" w:rsidRDefault="005A5957" w:rsidP="005A5957"/>
    <w:p w14:paraId="60E7B06E" w14:textId="77777777" w:rsidR="005A5957" w:rsidRPr="009F74EC" w:rsidRDefault="005A5957" w:rsidP="005A5957">
      <w:pPr>
        <w:rPr>
          <w:rFonts w:cs="Arial"/>
        </w:rPr>
      </w:pPr>
      <w:r w:rsidRPr="009F74EC">
        <w:rPr>
          <w:rFonts w:cs="Arial"/>
        </w:rPr>
        <w:t xml:space="preserve">El MAFF y la OCVV también han iniciado consultas para transferir a la OCVV el informe DHE existente para </w:t>
      </w:r>
      <w:proofErr w:type="spellStart"/>
      <w:r w:rsidRPr="009F74EC">
        <w:rPr>
          <w:rFonts w:cs="Arial"/>
          <w:i/>
          <w:iCs/>
        </w:rPr>
        <w:t>Camellia</w:t>
      </w:r>
      <w:proofErr w:type="spellEnd"/>
      <w:r w:rsidRPr="009F74EC">
        <w:rPr>
          <w:rFonts w:cs="Arial"/>
          <w:i/>
          <w:iCs/>
        </w:rPr>
        <w:t xml:space="preserve"> </w:t>
      </w:r>
      <w:proofErr w:type="spellStart"/>
      <w:r w:rsidRPr="009F74EC">
        <w:rPr>
          <w:rFonts w:cs="Arial"/>
          <w:i/>
          <w:iCs/>
        </w:rPr>
        <w:t>sinensis</w:t>
      </w:r>
      <w:proofErr w:type="spellEnd"/>
      <w:r w:rsidRPr="009F74EC">
        <w:rPr>
          <w:rFonts w:cs="Arial"/>
          <w:i/>
          <w:iCs/>
        </w:rPr>
        <w:t xml:space="preserve"> </w:t>
      </w:r>
      <w:r w:rsidRPr="009F74EC">
        <w:rPr>
          <w:rFonts w:cs="Arial"/>
        </w:rPr>
        <w:t xml:space="preserve">(L.) </w:t>
      </w:r>
      <w:proofErr w:type="spellStart"/>
      <w:r w:rsidRPr="009F74EC">
        <w:rPr>
          <w:rFonts w:cs="Arial"/>
        </w:rPr>
        <w:t>Kuntze</w:t>
      </w:r>
      <w:proofErr w:type="spellEnd"/>
      <w:r w:rsidRPr="009F74EC">
        <w:rPr>
          <w:rFonts w:cs="Arial"/>
        </w:rPr>
        <w:t xml:space="preserve">, </w:t>
      </w:r>
      <w:proofErr w:type="spellStart"/>
      <w:r w:rsidRPr="009F74EC">
        <w:rPr>
          <w:rFonts w:cs="Arial"/>
          <w:i/>
          <w:iCs/>
        </w:rPr>
        <w:t>Podocarpus</w:t>
      </w:r>
      <w:proofErr w:type="spellEnd"/>
      <w:r w:rsidRPr="009F74EC">
        <w:rPr>
          <w:rFonts w:cs="Arial"/>
          <w:i/>
          <w:iCs/>
        </w:rPr>
        <w:t xml:space="preserve"> </w:t>
      </w:r>
      <w:proofErr w:type="spellStart"/>
      <w:r w:rsidRPr="009F74EC">
        <w:rPr>
          <w:rFonts w:cs="Arial"/>
          <w:i/>
          <w:iCs/>
        </w:rPr>
        <w:t>macrophyllus</w:t>
      </w:r>
      <w:proofErr w:type="spellEnd"/>
      <w:r w:rsidRPr="009F74EC">
        <w:rPr>
          <w:rFonts w:cs="Arial"/>
          <w:i/>
          <w:iCs/>
        </w:rPr>
        <w:t xml:space="preserve"> </w:t>
      </w:r>
      <w:r w:rsidRPr="009F74EC">
        <w:rPr>
          <w:rFonts w:cs="Arial"/>
        </w:rPr>
        <w:t>(</w:t>
      </w:r>
      <w:proofErr w:type="spellStart"/>
      <w:r w:rsidRPr="009F74EC">
        <w:rPr>
          <w:rFonts w:cs="Arial"/>
        </w:rPr>
        <w:t>Thunb</w:t>
      </w:r>
      <w:proofErr w:type="spellEnd"/>
      <w:r w:rsidRPr="009F74EC">
        <w:rPr>
          <w:rFonts w:cs="Arial"/>
        </w:rPr>
        <w:t>.) D. Don y seis (6) especies de hongos.</w:t>
      </w:r>
    </w:p>
    <w:bookmarkEnd w:id="1"/>
    <w:p w14:paraId="33686665" w14:textId="77777777" w:rsidR="005A5957" w:rsidRPr="009F74EC" w:rsidRDefault="005A5957" w:rsidP="005A5957">
      <w:pPr>
        <w:rPr>
          <w:rFonts w:cs="Arial"/>
        </w:rPr>
      </w:pPr>
    </w:p>
    <w:p w14:paraId="472D02E3" w14:textId="77777777" w:rsidR="005A5957" w:rsidRPr="009F74EC" w:rsidRDefault="005A5957" w:rsidP="005A5957">
      <w:pPr>
        <w:rPr>
          <w:rFonts w:cs="Arial"/>
        </w:rPr>
      </w:pPr>
    </w:p>
    <w:p w14:paraId="24D4A245" w14:textId="77777777" w:rsidR="005A5957" w:rsidRPr="009F74EC" w:rsidRDefault="005A5957" w:rsidP="005A5957">
      <w:pPr>
        <w:rPr>
          <w:rFonts w:cs="Arial"/>
          <w:u w:val="single"/>
        </w:rPr>
      </w:pPr>
      <w:r w:rsidRPr="009F74EC">
        <w:rPr>
          <w:rFonts w:cs="Arial"/>
        </w:rPr>
        <w:t>3.</w:t>
      </w:r>
      <w:r w:rsidRPr="009F74EC">
        <w:rPr>
          <w:rFonts w:cs="Arial"/>
        </w:rPr>
        <w:tab/>
      </w:r>
      <w:r w:rsidRPr="009F74EC">
        <w:rPr>
          <w:rFonts w:cs="Arial"/>
          <w:u w:val="single"/>
        </w:rPr>
        <w:t>Situación en el ámbito administrativo</w:t>
      </w:r>
    </w:p>
    <w:p w14:paraId="0C6208D0" w14:textId="77777777" w:rsidR="005A5957" w:rsidRPr="009F74EC" w:rsidRDefault="005A5957" w:rsidP="005A5957">
      <w:pPr>
        <w:rPr>
          <w:rFonts w:cs="Arial"/>
        </w:rPr>
      </w:pPr>
    </w:p>
    <w:p w14:paraId="27F8BB93" w14:textId="77777777" w:rsidR="005A5957" w:rsidRPr="009F74EC" w:rsidRDefault="005A5957" w:rsidP="005A5957">
      <w:pPr>
        <w:rPr>
          <w:rFonts w:eastAsia="Yu Mincho" w:cs="Arial"/>
          <w:bCs/>
          <w:lang w:eastAsia="ja-JP"/>
        </w:rPr>
      </w:pPr>
      <w:r w:rsidRPr="009F74EC">
        <w:rPr>
          <w:rFonts w:cs="Arial"/>
        </w:rPr>
        <w:t>-</w:t>
      </w:r>
      <w:r w:rsidRPr="009F74EC">
        <w:rPr>
          <w:rFonts w:cs="Arial"/>
        </w:rPr>
        <w:tab/>
      </w:r>
      <w:r w:rsidRPr="009F74EC">
        <w:rPr>
          <w:rFonts w:eastAsia="Yu Mincho" w:cs="Arial"/>
          <w:bCs/>
          <w:lang w:eastAsia="ja-JP"/>
        </w:rPr>
        <w:t>Sistema de solicitud electrónica</w:t>
      </w:r>
    </w:p>
    <w:p w14:paraId="0C40D018" w14:textId="77777777" w:rsidR="005A5957" w:rsidRPr="009F74EC" w:rsidRDefault="005A5957" w:rsidP="005A5957">
      <w:pPr>
        <w:rPr>
          <w:rFonts w:eastAsia="Yu Mincho"/>
        </w:rPr>
      </w:pPr>
    </w:p>
    <w:p w14:paraId="2D7BEC75" w14:textId="77777777" w:rsidR="005A5957" w:rsidRPr="009F74EC" w:rsidRDefault="005A5957" w:rsidP="005A5957">
      <w:pPr>
        <w:rPr>
          <w:rFonts w:cs="Arial"/>
        </w:rPr>
      </w:pPr>
      <w:bookmarkStart w:id="2" w:name="_Hlk144389091"/>
      <w:r w:rsidRPr="009F74EC">
        <w:rPr>
          <w:rFonts w:eastAsia="Yu Mincho" w:cs="Arial"/>
          <w:lang w:eastAsia="ja-JP"/>
        </w:rPr>
        <w:t>El MAFF opera un sistema nacional de solicitud electrónica (Sistema de Portal Integrado de Datos de Registro de Variedades (VIPS)) para una herramienta en línea para ayudar a hacer solicitudes de protección de variedades vegetales (PVV) a la Oficina de PVV desde 2018 para mejorar la comodidad de los solicitantes.</w:t>
      </w:r>
      <w:bookmarkEnd w:id="2"/>
      <w:r w:rsidRPr="009F74EC">
        <w:rPr>
          <w:rFonts w:eastAsia="Yu Mincho" w:cs="Arial"/>
          <w:lang w:eastAsia="ja-JP"/>
        </w:rPr>
        <w:t xml:space="preserve"> Los solicitantes pueden presentar sus datos de solicitud y el pago de las tasas de solicitud y registro electrónicamente a través del sistema en línea. Se presentaron 1.664 solicitudes a través de VIPS hasta el 31 de marzo de 2023. Se está actualizando el VIPS para vincularlo a UPOV PRISMA.</w:t>
      </w:r>
    </w:p>
    <w:p w14:paraId="062AFFC7" w14:textId="77777777" w:rsidR="005A5957" w:rsidRPr="009F74EC" w:rsidRDefault="005A5957" w:rsidP="005A5957">
      <w:pPr>
        <w:rPr>
          <w:rFonts w:cs="Arial"/>
        </w:rPr>
      </w:pPr>
    </w:p>
    <w:p w14:paraId="3AA31C68" w14:textId="77777777" w:rsidR="005A5957" w:rsidRPr="009F74EC" w:rsidRDefault="005A5957" w:rsidP="005A5957">
      <w:pPr>
        <w:rPr>
          <w:rFonts w:cs="Arial"/>
        </w:rPr>
      </w:pPr>
    </w:p>
    <w:p w14:paraId="1E859494" w14:textId="77777777" w:rsidR="005A5957" w:rsidRPr="009F74EC" w:rsidRDefault="005A5957" w:rsidP="005A5957">
      <w:pPr>
        <w:spacing w:line="360" w:lineRule="auto"/>
        <w:rPr>
          <w:rFonts w:cs="Arial"/>
        </w:rPr>
      </w:pPr>
      <w:r w:rsidRPr="009F74EC">
        <w:rPr>
          <w:rFonts w:cs="Arial"/>
        </w:rPr>
        <w:t>4.</w:t>
      </w:r>
      <w:r w:rsidRPr="009F74EC">
        <w:rPr>
          <w:rFonts w:cs="Arial"/>
        </w:rPr>
        <w:tab/>
      </w:r>
      <w:r w:rsidRPr="009F74EC">
        <w:rPr>
          <w:rFonts w:cs="Arial"/>
          <w:u w:val="single"/>
        </w:rPr>
        <w:t>Situación en el ámbito técnico</w:t>
      </w:r>
    </w:p>
    <w:p w14:paraId="05A1C098" w14:textId="77777777" w:rsidR="005A5957" w:rsidRPr="009F74EC" w:rsidRDefault="005A5957" w:rsidP="005A5957">
      <w:pPr>
        <w:rPr>
          <w:rFonts w:eastAsia="Yu Mincho" w:cs="Arial"/>
          <w:lang w:eastAsia="ja-JP"/>
        </w:rPr>
      </w:pPr>
      <w:bookmarkStart w:id="3" w:name="_Hlk144393510"/>
      <w:r w:rsidRPr="009F74EC">
        <w:rPr>
          <w:rFonts w:eastAsia="Yu Mincho" w:cs="Arial"/>
          <w:bCs/>
          <w:lang w:eastAsia="ja-JP"/>
        </w:rPr>
        <w:t xml:space="preserve">Después de haber escuchado las opiniones del Consejo de Materiales Agrícolas, el </w:t>
      </w:r>
      <w:proofErr w:type="gramStart"/>
      <w:r w:rsidRPr="009F74EC">
        <w:rPr>
          <w:rFonts w:eastAsia="Yu Mincho" w:cs="Arial"/>
          <w:bCs/>
          <w:lang w:eastAsia="ja-JP"/>
        </w:rPr>
        <w:t>Ministro</w:t>
      </w:r>
      <w:proofErr w:type="gramEnd"/>
      <w:r w:rsidRPr="009F74EC">
        <w:rPr>
          <w:rFonts w:eastAsia="Yu Mincho" w:cs="Arial"/>
          <w:bCs/>
          <w:lang w:eastAsia="ja-JP"/>
        </w:rPr>
        <w:t xml:space="preserve"> del MAFF había determinado y emitido un aviso público de las características importantes para las </w:t>
      </w:r>
      <w:r w:rsidRPr="009F74EC">
        <w:rPr>
          <w:rFonts w:eastAsia="Yu Mincho" w:cs="Arial"/>
          <w:lang w:eastAsia="ja-JP"/>
        </w:rPr>
        <w:t>Directrices de Examen Nacionales (</w:t>
      </w:r>
      <w:proofErr w:type="spellStart"/>
      <w:r w:rsidRPr="009F74EC">
        <w:rPr>
          <w:rFonts w:eastAsia="Yu Mincho" w:cs="Arial"/>
          <w:lang w:eastAsia="ja-JP"/>
        </w:rPr>
        <w:t>TGs</w:t>
      </w:r>
      <w:proofErr w:type="spellEnd"/>
      <w:r w:rsidRPr="009F74EC">
        <w:rPr>
          <w:rFonts w:eastAsia="Yu Mincho" w:cs="Arial"/>
          <w:lang w:eastAsia="ja-JP"/>
        </w:rPr>
        <w:t xml:space="preserve">) para 30 géneros y especies fueron desarrolladas o revisadas en 2022. </w:t>
      </w:r>
      <w:bookmarkStart w:id="4" w:name="_Hlk144394239"/>
      <w:bookmarkEnd w:id="3"/>
    </w:p>
    <w:p w14:paraId="29663DFE" w14:textId="77777777" w:rsidR="005A5957" w:rsidRPr="009F74EC" w:rsidRDefault="005A5957" w:rsidP="005A5957">
      <w:pPr>
        <w:rPr>
          <w:rFonts w:eastAsia="Yu Mincho"/>
        </w:rPr>
      </w:pPr>
    </w:p>
    <w:p w14:paraId="52650AA5" w14:textId="77777777" w:rsidR="005A5957" w:rsidRPr="009F74EC" w:rsidRDefault="005A5957" w:rsidP="005A5957">
      <w:pPr>
        <w:rPr>
          <w:rFonts w:eastAsia="Yu Mincho" w:cs="Arial"/>
          <w:lang w:eastAsia="ja-JP"/>
        </w:rPr>
      </w:pPr>
      <w:r w:rsidRPr="009F74EC">
        <w:rPr>
          <w:rFonts w:eastAsia="Yu Mincho" w:cs="Arial"/>
          <w:lang w:eastAsia="ja-JP"/>
        </w:rPr>
        <w:t>El Servicio de Inspección de los Países Bajos para la Horticultura (Naktuinbouw) y el Centro de Semillas y Plántulas, NARO (NCSS) realizaron una actividad conjunta para elaborar un manual de calibración para el examen DHE. El manual para la lechuga se actualizó como versión 2 y se ha publicado en su sitio Web. El manual para 10 géneros o especies está disponible en su sitio web y puede utilizarse como herramienta de apoyo para los exámenes DHE en otros países.</w:t>
      </w:r>
    </w:p>
    <w:bookmarkEnd w:id="4"/>
    <w:p w14:paraId="09563FD3" w14:textId="77777777" w:rsidR="005A5957" w:rsidRPr="009F74EC" w:rsidRDefault="005A5957" w:rsidP="005A5957">
      <w:pPr>
        <w:rPr>
          <w:rFonts w:eastAsia="Yu Mincho"/>
        </w:rPr>
      </w:pPr>
    </w:p>
    <w:p w14:paraId="4CDB39FF" w14:textId="77777777" w:rsidR="005A5957" w:rsidRPr="009F74EC" w:rsidRDefault="005A5957" w:rsidP="005A5957">
      <w:pPr>
        <w:ind w:firstLineChars="200" w:firstLine="400"/>
        <w:rPr>
          <w:rFonts w:eastAsia="Yu Mincho" w:cs="Arial"/>
          <w:lang w:eastAsia="ja-JP"/>
        </w:rPr>
      </w:pPr>
      <w:hyperlink r:id="rId19" w:history="1">
        <w:r w:rsidRPr="009F74EC">
          <w:rPr>
            <w:rStyle w:val="Hyperlink"/>
            <w:rFonts w:eastAsia="Yu Mincho" w:cs="Arial"/>
            <w:lang w:eastAsia="ja-JP"/>
          </w:rPr>
          <w:t>https://www.naro.go.jp/english/laboratory/ncss/dus_growing_test/index.html</w:t>
        </w:r>
      </w:hyperlink>
    </w:p>
    <w:p w14:paraId="114CDC42" w14:textId="77777777" w:rsidR="005A5957" w:rsidRPr="009F74EC" w:rsidRDefault="005A5957" w:rsidP="005A5957">
      <w:pPr>
        <w:rPr>
          <w:rFonts w:cs="Arial"/>
        </w:rPr>
      </w:pPr>
    </w:p>
    <w:p w14:paraId="4CAA83AD" w14:textId="77777777" w:rsidR="005A5957" w:rsidRPr="009F74EC" w:rsidRDefault="005A5957" w:rsidP="005A5957">
      <w:pPr>
        <w:jc w:val="left"/>
        <w:rPr>
          <w:rFonts w:cs="Arial"/>
        </w:rPr>
      </w:pPr>
      <w:r w:rsidRPr="009F74EC">
        <w:rPr>
          <w:rFonts w:cs="Arial"/>
        </w:rPr>
        <w:br w:type="page"/>
      </w:r>
    </w:p>
    <w:p w14:paraId="448A6A6D" w14:textId="77777777" w:rsidR="005A5957" w:rsidRPr="009F74EC" w:rsidRDefault="005A5957" w:rsidP="005A5957">
      <w:pPr>
        <w:rPr>
          <w:rFonts w:cs="Arial"/>
          <w:u w:val="single"/>
        </w:rPr>
      </w:pPr>
      <w:r w:rsidRPr="009F74EC">
        <w:rPr>
          <w:rFonts w:cs="Arial"/>
        </w:rPr>
        <w:lastRenderedPageBreak/>
        <w:t>5.</w:t>
      </w:r>
      <w:r w:rsidRPr="009F74EC">
        <w:rPr>
          <w:rFonts w:cs="Arial"/>
        </w:rPr>
        <w:tab/>
      </w:r>
      <w:r w:rsidRPr="009F74EC">
        <w:rPr>
          <w:rFonts w:cs="Arial"/>
          <w:u w:val="single"/>
        </w:rPr>
        <w:t>Actividades de fomento de la protección de las obtenciones vegetales</w:t>
      </w:r>
    </w:p>
    <w:p w14:paraId="0D21A4A1" w14:textId="77777777" w:rsidR="005A5957" w:rsidRPr="009F74EC" w:rsidRDefault="005A5957" w:rsidP="005A5957">
      <w:pPr>
        <w:rPr>
          <w:rFonts w:cs="Arial"/>
        </w:rPr>
      </w:pPr>
    </w:p>
    <w:tbl>
      <w:tblPr>
        <w:tblStyle w:val="TableGrid"/>
        <w:tblW w:w="10343" w:type="dxa"/>
        <w:tblInd w:w="-289" w:type="dxa"/>
        <w:tblLayout w:type="fixed"/>
        <w:tblCellMar>
          <w:top w:w="28" w:type="dxa"/>
          <w:left w:w="28" w:type="dxa"/>
          <w:bottom w:w="28" w:type="dxa"/>
          <w:right w:w="28" w:type="dxa"/>
        </w:tblCellMar>
        <w:tblLook w:val="01E0" w:firstRow="1" w:lastRow="1" w:firstColumn="1" w:lastColumn="1" w:noHBand="0" w:noVBand="0"/>
      </w:tblPr>
      <w:tblGrid>
        <w:gridCol w:w="1271"/>
        <w:gridCol w:w="1020"/>
        <w:gridCol w:w="965"/>
        <w:gridCol w:w="1276"/>
        <w:gridCol w:w="1842"/>
        <w:gridCol w:w="2268"/>
        <w:gridCol w:w="1701"/>
      </w:tblGrid>
      <w:tr w:rsidR="005A5957" w:rsidRPr="009F74EC" w14:paraId="1E7813C0" w14:textId="77777777" w:rsidTr="00C30F9D">
        <w:tc>
          <w:tcPr>
            <w:tcW w:w="1271" w:type="dxa"/>
          </w:tcPr>
          <w:p w14:paraId="5EB55D79" w14:textId="77777777" w:rsidR="005A5957" w:rsidRPr="009F74EC" w:rsidRDefault="005A5957" w:rsidP="00C30F9D">
            <w:pPr>
              <w:keepNext/>
              <w:jc w:val="left"/>
              <w:rPr>
                <w:rFonts w:cs="Arial"/>
                <w:sz w:val="16"/>
                <w:szCs w:val="16"/>
              </w:rPr>
            </w:pPr>
            <w:r w:rsidRPr="009F74EC">
              <w:rPr>
                <w:rFonts w:cs="Arial"/>
                <w:sz w:val="16"/>
                <w:szCs w:val="16"/>
              </w:rPr>
              <w:t>Título de la actividad</w:t>
            </w:r>
          </w:p>
        </w:tc>
        <w:tc>
          <w:tcPr>
            <w:tcW w:w="1020" w:type="dxa"/>
          </w:tcPr>
          <w:p w14:paraId="6ECFD281" w14:textId="77777777" w:rsidR="005A5957" w:rsidRPr="009F74EC" w:rsidRDefault="005A5957" w:rsidP="00C30F9D">
            <w:pPr>
              <w:keepNext/>
              <w:jc w:val="left"/>
              <w:rPr>
                <w:rFonts w:cs="Arial"/>
                <w:sz w:val="16"/>
                <w:szCs w:val="16"/>
              </w:rPr>
            </w:pPr>
            <w:r w:rsidRPr="009F74EC">
              <w:rPr>
                <w:rFonts w:cs="Arial"/>
                <w:sz w:val="16"/>
                <w:szCs w:val="16"/>
              </w:rPr>
              <w:t>Fecha</w:t>
            </w:r>
          </w:p>
        </w:tc>
        <w:tc>
          <w:tcPr>
            <w:tcW w:w="965" w:type="dxa"/>
          </w:tcPr>
          <w:p w14:paraId="35CBA01E" w14:textId="77777777" w:rsidR="005A5957" w:rsidRPr="009F74EC" w:rsidRDefault="005A5957" w:rsidP="00C30F9D">
            <w:pPr>
              <w:keepNext/>
              <w:jc w:val="left"/>
              <w:rPr>
                <w:rFonts w:cs="Arial"/>
                <w:sz w:val="16"/>
                <w:szCs w:val="16"/>
              </w:rPr>
            </w:pPr>
            <w:r w:rsidRPr="009F74EC">
              <w:rPr>
                <w:rFonts w:cs="Arial"/>
                <w:sz w:val="16"/>
                <w:szCs w:val="16"/>
              </w:rPr>
              <w:t>Ubicación</w:t>
            </w:r>
          </w:p>
        </w:tc>
        <w:tc>
          <w:tcPr>
            <w:tcW w:w="1276" w:type="dxa"/>
          </w:tcPr>
          <w:p w14:paraId="5FCA5F1C" w14:textId="77777777" w:rsidR="005A5957" w:rsidRPr="009F74EC" w:rsidRDefault="005A5957" w:rsidP="00C30F9D">
            <w:pPr>
              <w:keepNext/>
              <w:jc w:val="left"/>
              <w:rPr>
                <w:rFonts w:cs="Arial"/>
                <w:sz w:val="16"/>
                <w:szCs w:val="16"/>
              </w:rPr>
            </w:pPr>
            <w:r w:rsidRPr="009F74EC">
              <w:rPr>
                <w:rFonts w:cs="Arial"/>
                <w:sz w:val="16"/>
                <w:szCs w:val="16"/>
              </w:rPr>
              <w:t>Organizador(es)</w:t>
            </w:r>
          </w:p>
        </w:tc>
        <w:tc>
          <w:tcPr>
            <w:tcW w:w="1842" w:type="dxa"/>
          </w:tcPr>
          <w:p w14:paraId="71AFA88F" w14:textId="77777777" w:rsidR="005A5957" w:rsidRPr="009F74EC" w:rsidRDefault="005A5957" w:rsidP="00C30F9D">
            <w:pPr>
              <w:keepNext/>
              <w:jc w:val="left"/>
              <w:rPr>
                <w:rFonts w:cs="Arial"/>
                <w:sz w:val="16"/>
                <w:szCs w:val="16"/>
              </w:rPr>
            </w:pPr>
            <w:r w:rsidRPr="009F74EC">
              <w:rPr>
                <w:rFonts w:cs="Arial"/>
                <w:sz w:val="16"/>
                <w:szCs w:val="16"/>
              </w:rPr>
              <w:t>Objetivo de la actividad</w:t>
            </w:r>
          </w:p>
        </w:tc>
        <w:tc>
          <w:tcPr>
            <w:tcW w:w="2268" w:type="dxa"/>
          </w:tcPr>
          <w:p w14:paraId="7AE26BA9" w14:textId="77777777" w:rsidR="005A5957" w:rsidRPr="009F74EC" w:rsidRDefault="005A5957" w:rsidP="00C30F9D">
            <w:pPr>
              <w:keepNext/>
              <w:jc w:val="left"/>
              <w:rPr>
                <w:rFonts w:cs="Arial"/>
                <w:sz w:val="16"/>
                <w:szCs w:val="16"/>
              </w:rPr>
            </w:pPr>
            <w:r w:rsidRPr="009F74EC">
              <w:rPr>
                <w:rFonts w:cs="Arial"/>
                <w:sz w:val="16"/>
                <w:szCs w:val="16"/>
              </w:rPr>
              <w:t>Países/organizaciones participantes (número de participantes de cada uno)</w:t>
            </w:r>
          </w:p>
        </w:tc>
        <w:tc>
          <w:tcPr>
            <w:tcW w:w="1701" w:type="dxa"/>
          </w:tcPr>
          <w:p w14:paraId="5B491A05" w14:textId="77777777" w:rsidR="005A5957" w:rsidRPr="009F74EC" w:rsidRDefault="005A5957" w:rsidP="00C30F9D">
            <w:pPr>
              <w:keepNext/>
              <w:jc w:val="left"/>
              <w:rPr>
                <w:rFonts w:cs="Arial"/>
                <w:sz w:val="16"/>
                <w:szCs w:val="16"/>
              </w:rPr>
            </w:pPr>
            <w:r w:rsidRPr="009F74EC">
              <w:rPr>
                <w:rFonts w:cs="Arial"/>
                <w:sz w:val="16"/>
                <w:szCs w:val="16"/>
              </w:rPr>
              <w:t>Comentarios</w:t>
            </w:r>
          </w:p>
        </w:tc>
      </w:tr>
      <w:tr w:rsidR="005A5957" w:rsidRPr="009F74EC" w14:paraId="17AEC935" w14:textId="77777777" w:rsidTr="00C30F9D">
        <w:trPr>
          <w:trHeight w:val="1051"/>
        </w:trPr>
        <w:tc>
          <w:tcPr>
            <w:tcW w:w="1271" w:type="dxa"/>
          </w:tcPr>
          <w:p w14:paraId="7F9A6FBB" w14:textId="77777777" w:rsidR="005A5957" w:rsidRPr="009F74EC" w:rsidRDefault="005A5957" w:rsidP="00C30F9D">
            <w:pPr>
              <w:keepNext/>
              <w:jc w:val="left"/>
              <w:rPr>
                <w:rFonts w:cs="Arial"/>
                <w:sz w:val="16"/>
                <w:szCs w:val="16"/>
              </w:rPr>
            </w:pPr>
            <w:r w:rsidRPr="009F74EC">
              <w:rPr>
                <w:rFonts w:cs="Arial"/>
                <w:sz w:val="16"/>
                <w:szCs w:val="16"/>
              </w:rPr>
              <w:t>1. Seminario internacional sobre el sistema de protección de las obtenciones vegetales</w:t>
            </w:r>
          </w:p>
        </w:tc>
        <w:tc>
          <w:tcPr>
            <w:tcW w:w="1020" w:type="dxa"/>
          </w:tcPr>
          <w:p w14:paraId="62BD67F8" w14:textId="77777777" w:rsidR="005A5957" w:rsidRPr="009F74EC" w:rsidRDefault="005A5957" w:rsidP="00C30F9D">
            <w:pPr>
              <w:keepNext/>
              <w:jc w:val="left"/>
              <w:rPr>
                <w:rFonts w:cs="Arial"/>
                <w:sz w:val="16"/>
                <w:szCs w:val="16"/>
              </w:rPr>
            </w:pPr>
            <w:r w:rsidRPr="009F74EC">
              <w:rPr>
                <w:rFonts w:cs="Arial"/>
                <w:sz w:val="16"/>
                <w:szCs w:val="16"/>
              </w:rPr>
              <w:t>14 de julio de 2022</w:t>
            </w:r>
          </w:p>
        </w:tc>
        <w:tc>
          <w:tcPr>
            <w:tcW w:w="965" w:type="dxa"/>
          </w:tcPr>
          <w:p w14:paraId="174A8BDC" w14:textId="77777777" w:rsidR="005A5957" w:rsidRPr="009F74EC" w:rsidRDefault="005A5957" w:rsidP="00C30F9D">
            <w:pPr>
              <w:keepNext/>
              <w:jc w:val="left"/>
              <w:rPr>
                <w:rFonts w:cs="Arial"/>
                <w:sz w:val="16"/>
                <w:szCs w:val="16"/>
              </w:rPr>
            </w:pPr>
            <w:r w:rsidRPr="009F74EC">
              <w:rPr>
                <w:rFonts w:cs="Arial"/>
                <w:sz w:val="16"/>
                <w:szCs w:val="16"/>
              </w:rPr>
              <w:t>Indonesia</w:t>
            </w:r>
          </w:p>
          <w:p w14:paraId="21E42694" w14:textId="77777777" w:rsidR="005A5957" w:rsidRPr="009F74EC" w:rsidRDefault="005A5957" w:rsidP="00C30F9D">
            <w:pPr>
              <w:keepNext/>
              <w:jc w:val="left"/>
              <w:rPr>
                <w:rFonts w:cs="Arial"/>
                <w:sz w:val="16"/>
                <w:szCs w:val="16"/>
              </w:rPr>
            </w:pPr>
            <w:r w:rsidRPr="009F74EC">
              <w:rPr>
                <w:rFonts w:cs="Arial"/>
                <w:sz w:val="16"/>
                <w:szCs w:val="16"/>
              </w:rPr>
              <w:t>(medios virtuales)</w:t>
            </w:r>
          </w:p>
        </w:tc>
        <w:tc>
          <w:tcPr>
            <w:tcW w:w="1276" w:type="dxa"/>
          </w:tcPr>
          <w:p w14:paraId="48A8C352" w14:textId="77777777" w:rsidR="005A5957" w:rsidRPr="009F74EC" w:rsidRDefault="005A5957" w:rsidP="00C30F9D">
            <w:pPr>
              <w:keepNext/>
              <w:jc w:val="left"/>
              <w:rPr>
                <w:rFonts w:cs="Arial"/>
                <w:sz w:val="16"/>
                <w:szCs w:val="16"/>
              </w:rPr>
            </w:pPr>
            <w:r w:rsidRPr="009F74EC">
              <w:rPr>
                <w:rFonts w:cs="Arial"/>
                <w:sz w:val="16"/>
                <w:szCs w:val="16"/>
              </w:rPr>
              <w:t>Ministerio de Agricultura de Indonesia</w:t>
            </w:r>
          </w:p>
        </w:tc>
        <w:tc>
          <w:tcPr>
            <w:tcW w:w="1842" w:type="dxa"/>
          </w:tcPr>
          <w:p w14:paraId="0D5A0C8A" w14:textId="77777777" w:rsidR="005A5957" w:rsidRPr="009F74EC" w:rsidRDefault="005A5957" w:rsidP="00C30F9D">
            <w:pPr>
              <w:keepNext/>
              <w:jc w:val="left"/>
              <w:rPr>
                <w:rFonts w:cs="Arial"/>
                <w:sz w:val="16"/>
                <w:szCs w:val="16"/>
              </w:rPr>
            </w:pPr>
            <w:r w:rsidRPr="009F74EC">
              <w:rPr>
                <w:rFonts w:cs="Arial"/>
                <w:sz w:val="16"/>
                <w:szCs w:val="16"/>
              </w:rPr>
              <w:t>Aumentar la concienciación sobre el sistema de protección de las obtenciones vegetales con arreglo al Convenio de la UPOV.</w:t>
            </w:r>
          </w:p>
        </w:tc>
        <w:tc>
          <w:tcPr>
            <w:tcW w:w="2268" w:type="dxa"/>
          </w:tcPr>
          <w:p w14:paraId="529FC540" w14:textId="77777777" w:rsidR="005A5957" w:rsidRPr="009F74EC" w:rsidRDefault="005A5957" w:rsidP="00C30F9D">
            <w:pPr>
              <w:keepNext/>
              <w:jc w:val="left"/>
              <w:rPr>
                <w:rFonts w:cs="Arial"/>
                <w:sz w:val="16"/>
                <w:szCs w:val="16"/>
              </w:rPr>
            </w:pPr>
            <w:r w:rsidRPr="009F74EC">
              <w:rPr>
                <w:rFonts w:cs="Arial"/>
                <w:sz w:val="16"/>
                <w:szCs w:val="16"/>
              </w:rPr>
              <w:t xml:space="preserve">Países ASEAN Plus </w:t>
            </w:r>
            <w:proofErr w:type="spellStart"/>
            <w:r w:rsidRPr="009F74EC">
              <w:rPr>
                <w:rFonts w:cs="Arial"/>
                <w:sz w:val="16"/>
                <w:szCs w:val="16"/>
              </w:rPr>
              <w:t>Three</w:t>
            </w:r>
            <w:proofErr w:type="spellEnd"/>
            <w:r w:rsidRPr="009F74EC">
              <w:rPr>
                <w:rFonts w:cs="Arial"/>
                <w:sz w:val="16"/>
                <w:szCs w:val="16"/>
              </w:rPr>
              <w:t>, UPOV, SAMAE. Naktuinbouw, CIOPORA, APSA</w:t>
            </w:r>
          </w:p>
        </w:tc>
        <w:tc>
          <w:tcPr>
            <w:tcW w:w="1701" w:type="dxa"/>
          </w:tcPr>
          <w:p w14:paraId="565F0E27" w14:textId="77777777" w:rsidR="005A5957" w:rsidRPr="009F74EC" w:rsidRDefault="005A5957" w:rsidP="00C30F9D">
            <w:pPr>
              <w:keepNext/>
              <w:jc w:val="left"/>
              <w:rPr>
                <w:rFonts w:cs="Arial"/>
                <w:sz w:val="16"/>
                <w:szCs w:val="16"/>
              </w:rPr>
            </w:pPr>
            <w:hyperlink r:id="rId20" w:history="1">
              <w:r w:rsidRPr="009F74EC">
                <w:rPr>
                  <w:rStyle w:val="Hyperlink"/>
                  <w:rFonts w:cs="Arial"/>
                  <w:sz w:val="16"/>
                  <w:szCs w:val="16"/>
                </w:rPr>
                <w:t xml:space="preserve">http://eapvp.org/report-data/indonesia/ministry-of-agriculture-of-indonesia-held-eapvpf-international-seminar-on-pvp-system/ </w:t>
              </w:r>
            </w:hyperlink>
          </w:p>
        </w:tc>
      </w:tr>
      <w:tr w:rsidR="005A5957" w:rsidRPr="009F74EC" w14:paraId="552ACCA1" w14:textId="77777777" w:rsidTr="00C30F9D">
        <w:tc>
          <w:tcPr>
            <w:tcW w:w="1271" w:type="dxa"/>
          </w:tcPr>
          <w:p w14:paraId="2769C455" w14:textId="77777777" w:rsidR="005A5957" w:rsidRPr="009F74EC" w:rsidRDefault="005A5957" w:rsidP="00C30F9D">
            <w:pPr>
              <w:keepNext/>
              <w:jc w:val="left"/>
              <w:rPr>
                <w:rFonts w:cs="Arial"/>
                <w:sz w:val="16"/>
                <w:szCs w:val="16"/>
                <w:lang w:eastAsia="ja-JP"/>
              </w:rPr>
            </w:pPr>
            <w:r w:rsidRPr="009F74EC">
              <w:rPr>
                <w:rFonts w:cs="Arial"/>
                <w:sz w:val="16"/>
                <w:szCs w:val="16"/>
                <w:lang w:eastAsia="ja-JP"/>
              </w:rPr>
              <w:t>2. Curso de formación JICA 2022</w:t>
            </w:r>
          </w:p>
        </w:tc>
        <w:tc>
          <w:tcPr>
            <w:tcW w:w="1020" w:type="dxa"/>
          </w:tcPr>
          <w:p w14:paraId="1F9DAEB2" w14:textId="77777777" w:rsidR="005A5957" w:rsidRPr="009F74EC" w:rsidRDefault="005A5957" w:rsidP="00C30F9D">
            <w:pPr>
              <w:keepNext/>
              <w:jc w:val="left"/>
              <w:rPr>
                <w:rFonts w:cs="Arial"/>
                <w:sz w:val="16"/>
                <w:szCs w:val="16"/>
                <w:lang w:eastAsia="ja-JP"/>
              </w:rPr>
            </w:pPr>
            <w:r w:rsidRPr="009F74EC">
              <w:rPr>
                <w:rFonts w:cs="Arial"/>
                <w:sz w:val="16"/>
                <w:szCs w:val="16"/>
                <w:lang w:eastAsia="ja-JP"/>
              </w:rPr>
              <w:t>Del 22 de agosto al 5 de octubre de 2022</w:t>
            </w:r>
          </w:p>
        </w:tc>
        <w:tc>
          <w:tcPr>
            <w:tcW w:w="965" w:type="dxa"/>
          </w:tcPr>
          <w:p w14:paraId="7F43B6E1" w14:textId="77777777" w:rsidR="005A5957" w:rsidRPr="009F74EC" w:rsidRDefault="005A5957" w:rsidP="00C30F9D">
            <w:pPr>
              <w:keepNext/>
              <w:jc w:val="left"/>
              <w:rPr>
                <w:rFonts w:cs="Arial"/>
                <w:sz w:val="16"/>
                <w:szCs w:val="16"/>
                <w:lang w:eastAsia="ja-JP"/>
              </w:rPr>
            </w:pPr>
            <w:r w:rsidRPr="009F74EC">
              <w:rPr>
                <w:rFonts w:cs="Arial"/>
                <w:sz w:val="16"/>
                <w:szCs w:val="16"/>
                <w:lang w:eastAsia="ja-JP"/>
              </w:rPr>
              <w:t xml:space="preserve">Japón </w:t>
            </w:r>
          </w:p>
          <w:p w14:paraId="63CBDC3C" w14:textId="77777777" w:rsidR="005A5957" w:rsidRPr="009F74EC" w:rsidRDefault="005A5957" w:rsidP="00C30F9D">
            <w:pPr>
              <w:keepNext/>
              <w:jc w:val="left"/>
              <w:rPr>
                <w:rFonts w:cs="Arial"/>
                <w:sz w:val="16"/>
                <w:szCs w:val="16"/>
                <w:lang w:eastAsia="ja-JP"/>
              </w:rPr>
            </w:pPr>
            <w:r w:rsidRPr="009F74EC">
              <w:rPr>
                <w:rFonts w:cs="Arial"/>
                <w:sz w:val="16"/>
                <w:szCs w:val="16"/>
                <w:lang w:eastAsia="ja-JP"/>
              </w:rPr>
              <w:t>(medios virtuales)</w:t>
            </w:r>
          </w:p>
        </w:tc>
        <w:tc>
          <w:tcPr>
            <w:tcW w:w="1276" w:type="dxa"/>
          </w:tcPr>
          <w:p w14:paraId="1ECCC570" w14:textId="77777777" w:rsidR="005A5957" w:rsidRPr="009F74EC" w:rsidRDefault="005A5957" w:rsidP="00C30F9D">
            <w:pPr>
              <w:keepNext/>
              <w:jc w:val="left"/>
              <w:rPr>
                <w:rFonts w:cs="Arial"/>
                <w:sz w:val="16"/>
                <w:szCs w:val="16"/>
                <w:lang w:eastAsia="ja-JP"/>
              </w:rPr>
            </w:pPr>
            <w:r w:rsidRPr="009F74EC">
              <w:rPr>
                <w:rFonts w:cs="Arial"/>
                <w:sz w:val="16"/>
                <w:szCs w:val="16"/>
                <w:lang w:eastAsia="ja-JP"/>
              </w:rPr>
              <w:t>JICA</w:t>
            </w:r>
          </w:p>
        </w:tc>
        <w:tc>
          <w:tcPr>
            <w:tcW w:w="1842" w:type="dxa"/>
          </w:tcPr>
          <w:p w14:paraId="30BF12C9" w14:textId="77777777" w:rsidR="005A5957" w:rsidRPr="009F74EC" w:rsidRDefault="005A5957" w:rsidP="00C30F9D">
            <w:pPr>
              <w:keepNext/>
              <w:jc w:val="left"/>
              <w:rPr>
                <w:rFonts w:cs="Arial"/>
                <w:sz w:val="16"/>
                <w:szCs w:val="16"/>
                <w:lang w:eastAsia="ja-JP"/>
              </w:rPr>
            </w:pPr>
            <w:r w:rsidRPr="009F74EC">
              <w:rPr>
                <w:rFonts w:cs="Arial"/>
                <w:sz w:val="16"/>
                <w:szCs w:val="16"/>
                <w:lang w:eastAsia="ja-JP"/>
              </w:rPr>
              <w:t>Aumentar la concienciación sobre el sistema de protección de las obtenciones vegetales con arreglo al Convenio de la UPOV.</w:t>
            </w:r>
          </w:p>
        </w:tc>
        <w:tc>
          <w:tcPr>
            <w:tcW w:w="2268" w:type="dxa"/>
          </w:tcPr>
          <w:p w14:paraId="2D406C3B" w14:textId="77777777" w:rsidR="005A5957" w:rsidRPr="009F74EC" w:rsidRDefault="005A5957" w:rsidP="00C30F9D">
            <w:pPr>
              <w:keepNext/>
              <w:jc w:val="left"/>
              <w:rPr>
                <w:rFonts w:cs="Arial"/>
                <w:spacing w:val="-2"/>
                <w:sz w:val="16"/>
                <w:szCs w:val="16"/>
                <w:lang w:eastAsia="ja-JP"/>
              </w:rPr>
            </w:pPr>
            <w:r w:rsidRPr="009F74EC">
              <w:rPr>
                <w:rFonts w:cs="Arial"/>
                <w:spacing w:val="-2"/>
                <w:sz w:val="16"/>
                <w:szCs w:val="16"/>
                <w:lang w:eastAsia="ja-JP"/>
              </w:rPr>
              <w:t xml:space="preserve">Bangladesh (2), Indonesia (2), Nepal (2), Filipinas (1), Tailandia (1), Uzbekistán (3), Viet </w:t>
            </w:r>
            <w:proofErr w:type="spellStart"/>
            <w:r w:rsidRPr="009F74EC">
              <w:rPr>
                <w:rFonts w:cs="Arial"/>
                <w:spacing w:val="-2"/>
                <w:sz w:val="16"/>
                <w:szCs w:val="16"/>
                <w:lang w:eastAsia="ja-JP"/>
              </w:rPr>
              <w:t>Nam</w:t>
            </w:r>
            <w:proofErr w:type="spellEnd"/>
            <w:r w:rsidRPr="009F74EC">
              <w:rPr>
                <w:rFonts w:cs="Arial"/>
                <w:spacing w:val="-2"/>
                <w:sz w:val="16"/>
                <w:szCs w:val="16"/>
                <w:lang w:eastAsia="ja-JP"/>
              </w:rPr>
              <w:t xml:space="preserve"> (1), Zambia (1)</w:t>
            </w:r>
          </w:p>
        </w:tc>
        <w:tc>
          <w:tcPr>
            <w:tcW w:w="1701" w:type="dxa"/>
          </w:tcPr>
          <w:p w14:paraId="1B84EAA7" w14:textId="77777777" w:rsidR="005A5957" w:rsidRPr="009F74EC" w:rsidRDefault="005A5957" w:rsidP="00C30F9D">
            <w:pPr>
              <w:keepNext/>
              <w:jc w:val="left"/>
              <w:rPr>
                <w:rFonts w:cs="Arial"/>
                <w:sz w:val="16"/>
                <w:szCs w:val="16"/>
              </w:rPr>
            </w:pPr>
          </w:p>
        </w:tc>
      </w:tr>
      <w:tr w:rsidR="005A5957" w:rsidRPr="009F74EC" w14:paraId="62ECE355" w14:textId="77777777" w:rsidTr="00C30F9D">
        <w:tc>
          <w:tcPr>
            <w:tcW w:w="1271" w:type="dxa"/>
          </w:tcPr>
          <w:p w14:paraId="65F90CA9" w14:textId="77777777" w:rsidR="005A5957" w:rsidRPr="009F74EC" w:rsidRDefault="005A5957" w:rsidP="00C30F9D">
            <w:pPr>
              <w:keepNext/>
              <w:jc w:val="left"/>
              <w:rPr>
                <w:rFonts w:cs="Arial"/>
                <w:sz w:val="16"/>
                <w:szCs w:val="16"/>
                <w:lang w:eastAsia="ja-JP"/>
              </w:rPr>
            </w:pPr>
            <w:r w:rsidRPr="009F74EC">
              <w:rPr>
                <w:rFonts w:cs="Arial"/>
                <w:sz w:val="16"/>
                <w:szCs w:val="16"/>
                <w:lang w:eastAsia="ja-JP"/>
              </w:rPr>
              <w:t>3. Presentación en el Congreso Asiático de Semillas 2022</w:t>
            </w:r>
          </w:p>
        </w:tc>
        <w:tc>
          <w:tcPr>
            <w:tcW w:w="1020" w:type="dxa"/>
          </w:tcPr>
          <w:p w14:paraId="1E6796DF" w14:textId="77777777" w:rsidR="005A5957" w:rsidRPr="009F74EC" w:rsidRDefault="005A5957" w:rsidP="00C30F9D">
            <w:pPr>
              <w:keepNext/>
              <w:jc w:val="left"/>
              <w:rPr>
                <w:rFonts w:cs="Arial"/>
                <w:sz w:val="16"/>
                <w:szCs w:val="16"/>
                <w:lang w:eastAsia="ja-JP"/>
              </w:rPr>
            </w:pPr>
            <w:r w:rsidRPr="009F74EC">
              <w:rPr>
                <w:rFonts w:cs="Arial"/>
                <w:sz w:val="16"/>
                <w:szCs w:val="16"/>
                <w:lang w:eastAsia="ja-JP"/>
              </w:rPr>
              <w:t>16 de noviembre de 2022</w:t>
            </w:r>
          </w:p>
        </w:tc>
        <w:tc>
          <w:tcPr>
            <w:tcW w:w="965" w:type="dxa"/>
          </w:tcPr>
          <w:p w14:paraId="0713BCEF" w14:textId="77777777" w:rsidR="005A5957" w:rsidRPr="009F74EC" w:rsidRDefault="005A5957" w:rsidP="00C30F9D">
            <w:pPr>
              <w:keepNext/>
              <w:jc w:val="left"/>
              <w:rPr>
                <w:rFonts w:cs="Arial"/>
                <w:sz w:val="16"/>
                <w:szCs w:val="16"/>
                <w:lang w:eastAsia="ja-JP"/>
              </w:rPr>
            </w:pPr>
            <w:r w:rsidRPr="009F74EC">
              <w:rPr>
                <w:rFonts w:cs="Arial"/>
                <w:sz w:val="16"/>
                <w:szCs w:val="16"/>
                <w:lang w:eastAsia="ja-JP"/>
              </w:rPr>
              <w:t>Tailandia</w:t>
            </w:r>
          </w:p>
          <w:p w14:paraId="1B43E116" w14:textId="77777777" w:rsidR="005A5957" w:rsidRPr="009F74EC" w:rsidRDefault="005A5957" w:rsidP="00C30F9D">
            <w:pPr>
              <w:keepNext/>
              <w:jc w:val="left"/>
              <w:rPr>
                <w:rFonts w:cs="Arial"/>
                <w:sz w:val="16"/>
                <w:szCs w:val="16"/>
                <w:lang w:eastAsia="ja-JP"/>
              </w:rPr>
            </w:pPr>
            <w:r w:rsidRPr="009F74EC">
              <w:rPr>
                <w:rFonts w:cs="Arial"/>
                <w:sz w:val="16"/>
                <w:szCs w:val="16"/>
                <w:lang w:eastAsia="ja-JP"/>
              </w:rPr>
              <w:t>(medios virtuales)</w:t>
            </w:r>
          </w:p>
        </w:tc>
        <w:tc>
          <w:tcPr>
            <w:tcW w:w="1276" w:type="dxa"/>
          </w:tcPr>
          <w:p w14:paraId="161ECEAE" w14:textId="77777777" w:rsidR="005A5957" w:rsidRPr="009F74EC" w:rsidRDefault="005A5957" w:rsidP="00C30F9D">
            <w:pPr>
              <w:keepNext/>
              <w:jc w:val="left"/>
              <w:rPr>
                <w:rFonts w:cs="Arial"/>
                <w:sz w:val="16"/>
                <w:szCs w:val="16"/>
                <w:lang w:eastAsia="ja-JP"/>
              </w:rPr>
            </w:pPr>
            <w:r w:rsidRPr="009F74EC">
              <w:rPr>
                <w:rFonts w:cs="Arial"/>
                <w:sz w:val="16"/>
                <w:szCs w:val="16"/>
                <w:lang w:eastAsia="ja-JP"/>
              </w:rPr>
              <w:t>APSA, Tailandia</w:t>
            </w:r>
          </w:p>
        </w:tc>
        <w:tc>
          <w:tcPr>
            <w:tcW w:w="1842" w:type="dxa"/>
          </w:tcPr>
          <w:p w14:paraId="36EB99D7" w14:textId="77777777" w:rsidR="005A5957" w:rsidRPr="009F74EC" w:rsidRDefault="005A5957" w:rsidP="00C30F9D">
            <w:pPr>
              <w:keepNext/>
              <w:jc w:val="left"/>
              <w:rPr>
                <w:rFonts w:cs="Arial"/>
                <w:sz w:val="16"/>
                <w:szCs w:val="16"/>
                <w:lang w:eastAsia="ja-JP"/>
              </w:rPr>
            </w:pPr>
            <w:r w:rsidRPr="009F74EC">
              <w:rPr>
                <w:rFonts w:cs="Arial"/>
                <w:sz w:val="16"/>
                <w:szCs w:val="16"/>
                <w:lang w:eastAsia="ja-JP"/>
              </w:rPr>
              <w:t>Proporcionar beneficios a los agricultores mediante la UPOV</w:t>
            </w:r>
          </w:p>
        </w:tc>
        <w:tc>
          <w:tcPr>
            <w:tcW w:w="2268" w:type="dxa"/>
          </w:tcPr>
          <w:p w14:paraId="0779A287" w14:textId="77777777" w:rsidR="005A5957" w:rsidRPr="009F74EC" w:rsidRDefault="005A5957" w:rsidP="00C30F9D">
            <w:pPr>
              <w:keepNext/>
              <w:jc w:val="left"/>
              <w:rPr>
                <w:rFonts w:cs="Arial"/>
                <w:sz w:val="16"/>
                <w:szCs w:val="16"/>
                <w:lang w:eastAsia="ja-JP"/>
              </w:rPr>
            </w:pPr>
            <w:r w:rsidRPr="009F74EC">
              <w:rPr>
                <w:rFonts w:cs="Arial"/>
                <w:sz w:val="16"/>
                <w:szCs w:val="16"/>
                <w:lang w:eastAsia="ja-JP"/>
              </w:rPr>
              <w:t xml:space="preserve">Miembros de APSA </w:t>
            </w:r>
          </w:p>
        </w:tc>
        <w:tc>
          <w:tcPr>
            <w:tcW w:w="1701" w:type="dxa"/>
          </w:tcPr>
          <w:p w14:paraId="605CCB37" w14:textId="77777777" w:rsidR="005A5957" w:rsidRPr="009F74EC" w:rsidRDefault="005A5957" w:rsidP="00C30F9D">
            <w:pPr>
              <w:keepNext/>
              <w:jc w:val="left"/>
              <w:rPr>
                <w:rFonts w:cs="Arial"/>
                <w:sz w:val="16"/>
                <w:szCs w:val="16"/>
              </w:rPr>
            </w:pPr>
          </w:p>
        </w:tc>
      </w:tr>
      <w:tr w:rsidR="005A5957" w:rsidRPr="009F74EC" w14:paraId="6A24407E" w14:textId="77777777" w:rsidTr="00C30F9D">
        <w:tc>
          <w:tcPr>
            <w:tcW w:w="1271" w:type="dxa"/>
          </w:tcPr>
          <w:p w14:paraId="34DA125D" w14:textId="77777777" w:rsidR="005A5957" w:rsidRPr="009F74EC" w:rsidRDefault="005A5957" w:rsidP="00C30F9D">
            <w:pPr>
              <w:keepNext/>
              <w:jc w:val="left"/>
              <w:rPr>
                <w:rFonts w:cs="Arial"/>
                <w:sz w:val="16"/>
                <w:szCs w:val="16"/>
                <w:lang w:eastAsia="ja-JP"/>
              </w:rPr>
            </w:pPr>
            <w:r w:rsidRPr="009F74EC">
              <w:rPr>
                <w:rFonts w:cs="Arial"/>
                <w:sz w:val="16"/>
                <w:szCs w:val="16"/>
                <w:lang w:eastAsia="ja-JP"/>
              </w:rPr>
              <w:t>4. Reunión de presentación de la información actual sobre el sistema de la UPOV</w:t>
            </w:r>
          </w:p>
        </w:tc>
        <w:tc>
          <w:tcPr>
            <w:tcW w:w="1020" w:type="dxa"/>
          </w:tcPr>
          <w:p w14:paraId="2CFF5580" w14:textId="77777777" w:rsidR="005A5957" w:rsidRPr="009F74EC" w:rsidRDefault="005A5957" w:rsidP="00C30F9D">
            <w:pPr>
              <w:keepNext/>
              <w:jc w:val="left"/>
              <w:rPr>
                <w:rFonts w:cs="Arial"/>
                <w:sz w:val="16"/>
                <w:szCs w:val="16"/>
                <w:lang w:eastAsia="ja-JP"/>
              </w:rPr>
            </w:pPr>
            <w:r w:rsidRPr="009F74EC">
              <w:rPr>
                <w:rFonts w:cs="Arial"/>
                <w:sz w:val="16"/>
                <w:szCs w:val="16"/>
              </w:rPr>
              <w:t>28 de febrero de 2023</w:t>
            </w:r>
          </w:p>
        </w:tc>
        <w:tc>
          <w:tcPr>
            <w:tcW w:w="965" w:type="dxa"/>
          </w:tcPr>
          <w:p w14:paraId="5A7FCF90" w14:textId="77777777" w:rsidR="005A5957" w:rsidRPr="009F74EC" w:rsidRDefault="005A5957" w:rsidP="00C30F9D">
            <w:pPr>
              <w:keepNext/>
              <w:jc w:val="left"/>
              <w:rPr>
                <w:rFonts w:cs="Arial"/>
                <w:sz w:val="16"/>
                <w:szCs w:val="16"/>
                <w:lang w:eastAsia="ja-JP"/>
              </w:rPr>
            </w:pPr>
            <w:r w:rsidRPr="009F74EC">
              <w:rPr>
                <w:rFonts w:cs="Arial"/>
                <w:sz w:val="16"/>
                <w:szCs w:val="16"/>
                <w:lang w:eastAsia="ja-JP"/>
              </w:rPr>
              <w:t>Tailandia (medios virtuales)</w:t>
            </w:r>
          </w:p>
        </w:tc>
        <w:tc>
          <w:tcPr>
            <w:tcW w:w="1276" w:type="dxa"/>
          </w:tcPr>
          <w:p w14:paraId="744AACC3" w14:textId="77777777" w:rsidR="005A5957" w:rsidRPr="009F74EC" w:rsidRDefault="005A5957" w:rsidP="00C30F9D">
            <w:pPr>
              <w:keepNext/>
              <w:jc w:val="left"/>
              <w:rPr>
                <w:rFonts w:cs="Arial"/>
                <w:sz w:val="16"/>
                <w:szCs w:val="16"/>
                <w:lang w:eastAsia="ja-JP"/>
              </w:rPr>
            </w:pPr>
            <w:r w:rsidRPr="009F74EC">
              <w:rPr>
                <w:rFonts w:cs="Arial"/>
                <w:sz w:val="16"/>
                <w:szCs w:val="16"/>
              </w:rPr>
              <w:t>Oficina PVP de Tailandia</w:t>
            </w:r>
          </w:p>
        </w:tc>
        <w:tc>
          <w:tcPr>
            <w:tcW w:w="1842" w:type="dxa"/>
          </w:tcPr>
          <w:p w14:paraId="6FD2B2CB" w14:textId="77777777" w:rsidR="005A5957" w:rsidRPr="009F74EC" w:rsidRDefault="005A5957" w:rsidP="00C30F9D">
            <w:pPr>
              <w:keepNext/>
              <w:jc w:val="left"/>
              <w:rPr>
                <w:rFonts w:cs="Arial"/>
                <w:sz w:val="16"/>
                <w:szCs w:val="16"/>
                <w:lang w:eastAsia="ja-JP"/>
              </w:rPr>
            </w:pPr>
            <w:r w:rsidRPr="009F74EC">
              <w:rPr>
                <w:rFonts w:cs="Arial"/>
                <w:sz w:val="16"/>
                <w:szCs w:val="16"/>
                <w:lang w:eastAsia="ja-JP"/>
              </w:rPr>
              <w:t>Dar a conocer el sistema de la UPOV entre los obtentores, las empresas de semillas y los institutos de investigación, etc.</w:t>
            </w:r>
          </w:p>
        </w:tc>
        <w:tc>
          <w:tcPr>
            <w:tcW w:w="2268" w:type="dxa"/>
          </w:tcPr>
          <w:p w14:paraId="0121FCA0" w14:textId="77777777" w:rsidR="005A5957" w:rsidRPr="009F74EC" w:rsidRDefault="005A5957" w:rsidP="00C30F9D">
            <w:pPr>
              <w:keepNext/>
              <w:jc w:val="left"/>
              <w:rPr>
                <w:rFonts w:cs="Arial"/>
                <w:sz w:val="16"/>
                <w:szCs w:val="16"/>
                <w:lang w:eastAsia="ja-JP"/>
              </w:rPr>
            </w:pPr>
            <w:r w:rsidRPr="009F74EC">
              <w:rPr>
                <w:rFonts w:cs="Arial"/>
                <w:sz w:val="16"/>
                <w:szCs w:val="16"/>
                <w:lang w:eastAsia="ja-JP"/>
              </w:rPr>
              <w:t>Obtentores, empresas de semillas, institutos de investigación y periodistas en Tailandia</w:t>
            </w:r>
          </w:p>
        </w:tc>
        <w:tc>
          <w:tcPr>
            <w:tcW w:w="1701" w:type="dxa"/>
          </w:tcPr>
          <w:p w14:paraId="0FE548BD" w14:textId="77777777" w:rsidR="005A5957" w:rsidRPr="009F74EC" w:rsidRDefault="005A5957" w:rsidP="00C30F9D">
            <w:pPr>
              <w:keepNext/>
              <w:jc w:val="left"/>
              <w:rPr>
                <w:rFonts w:cs="Arial"/>
                <w:sz w:val="16"/>
                <w:szCs w:val="16"/>
              </w:rPr>
            </w:pPr>
            <w:hyperlink r:id="rId21" w:history="1">
              <w:r w:rsidRPr="009F74EC">
                <w:rPr>
                  <w:rStyle w:val="Hyperlink"/>
                  <w:rFonts w:cs="Arial"/>
                  <w:sz w:val="16"/>
                  <w:szCs w:val="16"/>
                </w:rPr>
                <w:t xml:space="preserve">http://eapvp.org/report-data/thailand/meeting-to-intro-actual-info-about-the-upov-system/ </w:t>
              </w:r>
            </w:hyperlink>
          </w:p>
        </w:tc>
      </w:tr>
      <w:tr w:rsidR="005A5957" w:rsidRPr="009F74EC" w14:paraId="0D11DF75" w14:textId="77777777" w:rsidTr="00C30F9D">
        <w:tc>
          <w:tcPr>
            <w:tcW w:w="1271" w:type="dxa"/>
          </w:tcPr>
          <w:p w14:paraId="0BCB1235" w14:textId="77777777" w:rsidR="005A5957" w:rsidRPr="009F74EC" w:rsidRDefault="005A5957" w:rsidP="00C30F9D">
            <w:pPr>
              <w:keepNext/>
              <w:jc w:val="left"/>
              <w:rPr>
                <w:rFonts w:cs="Arial"/>
                <w:sz w:val="16"/>
                <w:szCs w:val="16"/>
                <w:lang w:eastAsia="ja-JP"/>
              </w:rPr>
            </w:pPr>
            <w:r w:rsidRPr="009F74EC">
              <w:rPr>
                <w:rFonts w:cs="Arial"/>
                <w:sz w:val="16"/>
                <w:szCs w:val="16"/>
                <w:lang w:eastAsia="ja-JP"/>
              </w:rPr>
              <w:t>5. Seminario sobre las ventajas del sistema de la UPOV de protección de las obtenciones vegetales para los agricultores y los cultivadores</w:t>
            </w:r>
          </w:p>
        </w:tc>
        <w:tc>
          <w:tcPr>
            <w:tcW w:w="1020" w:type="dxa"/>
          </w:tcPr>
          <w:p w14:paraId="088630C2" w14:textId="77777777" w:rsidR="005A5957" w:rsidRPr="009F74EC" w:rsidRDefault="005A5957" w:rsidP="00C30F9D">
            <w:pPr>
              <w:keepNext/>
              <w:jc w:val="left"/>
              <w:rPr>
                <w:rFonts w:cs="Arial"/>
                <w:sz w:val="16"/>
                <w:szCs w:val="16"/>
              </w:rPr>
            </w:pPr>
            <w:r w:rsidRPr="009F74EC">
              <w:rPr>
                <w:rFonts w:cs="Arial"/>
                <w:sz w:val="16"/>
                <w:szCs w:val="16"/>
                <w:lang w:eastAsia="ja-JP"/>
              </w:rPr>
              <w:t>28 de marzo de 2023</w:t>
            </w:r>
          </w:p>
        </w:tc>
        <w:tc>
          <w:tcPr>
            <w:tcW w:w="965" w:type="dxa"/>
          </w:tcPr>
          <w:p w14:paraId="1F092A1E" w14:textId="77777777" w:rsidR="005A5957" w:rsidRPr="009F74EC" w:rsidRDefault="005A5957" w:rsidP="00C30F9D">
            <w:pPr>
              <w:keepNext/>
              <w:jc w:val="left"/>
              <w:rPr>
                <w:rFonts w:cs="Arial"/>
                <w:sz w:val="16"/>
                <w:szCs w:val="16"/>
                <w:lang w:eastAsia="ja-JP"/>
              </w:rPr>
            </w:pPr>
            <w:r w:rsidRPr="009F74EC">
              <w:rPr>
                <w:rFonts w:cs="Arial"/>
                <w:sz w:val="16"/>
                <w:szCs w:val="16"/>
                <w:lang w:eastAsia="ja-JP"/>
              </w:rPr>
              <w:t xml:space="preserve">República Democrática Popular Lao </w:t>
            </w:r>
          </w:p>
        </w:tc>
        <w:tc>
          <w:tcPr>
            <w:tcW w:w="1276" w:type="dxa"/>
          </w:tcPr>
          <w:p w14:paraId="3DA177BF" w14:textId="77777777" w:rsidR="005A5957" w:rsidRPr="009F74EC" w:rsidRDefault="005A5957" w:rsidP="00C30F9D">
            <w:pPr>
              <w:keepNext/>
              <w:jc w:val="left"/>
              <w:rPr>
                <w:rFonts w:cs="Arial"/>
                <w:sz w:val="16"/>
                <w:szCs w:val="16"/>
              </w:rPr>
            </w:pPr>
            <w:r w:rsidRPr="009F74EC">
              <w:rPr>
                <w:rFonts w:cs="Arial"/>
                <w:sz w:val="16"/>
                <w:szCs w:val="16"/>
                <w:lang w:eastAsia="ja-JP"/>
              </w:rPr>
              <w:t>Departamento de Propiedad Intelectual (DIP) de la República Democrática Popular Lao</w:t>
            </w:r>
          </w:p>
        </w:tc>
        <w:tc>
          <w:tcPr>
            <w:tcW w:w="1842" w:type="dxa"/>
          </w:tcPr>
          <w:p w14:paraId="767BB2B9" w14:textId="77777777" w:rsidR="005A5957" w:rsidRPr="009F74EC" w:rsidRDefault="005A5957" w:rsidP="00C30F9D">
            <w:pPr>
              <w:keepNext/>
              <w:jc w:val="left"/>
              <w:rPr>
                <w:rFonts w:cs="Arial"/>
                <w:sz w:val="16"/>
                <w:szCs w:val="16"/>
                <w:lang w:eastAsia="ja-JP"/>
              </w:rPr>
            </w:pPr>
            <w:r w:rsidRPr="009F74EC">
              <w:rPr>
                <w:rFonts w:cs="Arial"/>
                <w:sz w:val="16"/>
                <w:szCs w:val="16"/>
                <w:lang w:eastAsia="ja-JP"/>
              </w:rPr>
              <w:t>Aumentar la concienciación sobre el sistema de protección de las obtenciones vegetales con arreglo al Convenio de la UPOV.</w:t>
            </w:r>
          </w:p>
        </w:tc>
        <w:tc>
          <w:tcPr>
            <w:tcW w:w="2268" w:type="dxa"/>
          </w:tcPr>
          <w:p w14:paraId="02846955" w14:textId="77777777" w:rsidR="005A5957" w:rsidRPr="009F74EC" w:rsidRDefault="005A5957" w:rsidP="00C30F9D">
            <w:pPr>
              <w:keepNext/>
              <w:jc w:val="left"/>
              <w:rPr>
                <w:rFonts w:cs="Arial"/>
                <w:sz w:val="16"/>
                <w:szCs w:val="16"/>
                <w:lang w:eastAsia="ja-JP"/>
              </w:rPr>
            </w:pPr>
            <w:r w:rsidRPr="009F74EC">
              <w:rPr>
                <w:rFonts w:cs="Arial"/>
                <w:sz w:val="16"/>
                <w:szCs w:val="16"/>
                <w:lang w:eastAsia="ja-JP"/>
              </w:rPr>
              <w:t>DIP, MOIC, Ministerio de Silvicultura y Agricultura y Ministerio de Recursos Naturales y Medio Ambiente</w:t>
            </w:r>
          </w:p>
          <w:p w14:paraId="2CC99AC0" w14:textId="77777777" w:rsidR="005A5957" w:rsidRPr="009F74EC" w:rsidRDefault="005A5957" w:rsidP="00C30F9D">
            <w:pPr>
              <w:keepNext/>
              <w:jc w:val="left"/>
              <w:rPr>
                <w:rFonts w:cs="Arial"/>
                <w:sz w:val="16"/>
                <w:szCs w:val="16"/>
                <w:lang w:eastAsia="ja-JP"/>
              </w:rPr>
            </w:pPr>
            <w:r w:rsidRPr="009F74EC">
              <w:rPr>
                <w:rFonts w:cs="Arial"/>
                <w:sz w:val="16"/>
                <w:szCs w:val="16"/>
                <w:lang w:eastAsia="ja-JP"/>
              </w:rPr>
              <w:t>UPOV, OCVV</w:t>
            </w:r>
          </w:p>
        </w:tc>
        <w:tc>
          <w:tcPr>
            <w:tcW w:w="1701" w:type="dxa"/>
          </w:tcPr>
          <w:p w14:paraId="4D428C6C" w14:textId="77777777" w:rsidR="005A5957" w:rsidRPr="009F74EC" w:rsidRDefault="005A5957" w:rsidP="00C30F9D">
            <w:pPr>
              <w:keepNext/>
              <w:jc w:val="left"/>
              <w:rPr>
                <w:rFonts w:cs="Arial"/>
                <w:sz w:val="16"/>
                <w:szCs w:val="16"/>
              </w:rPr>
            </w:pPr>
            <w:hyperlink r:id="rId22" w:history="1">
              <w:r w:rsidRPr="009F74EC">
                <w:rPr>
                  <w:rStyle w:val="Hyperlink"/>
                  <w:rFonts w:cs="Arial"/>
                  <w:sz w:val="16"/>
                  <w:szCs w:val="16"/>
                </w:rPr>
                <w:t xml:space="preserve">http://eapvp.org/report-data/lao/lao-seminar/ </w:t>
              </w:r>
            </w:hyperlink>
          </w:p>
        </w:tc>
      </w:tr>
      <w:tr w:rsidR="005A5957" w:rsidRPr="009F74EC" w14:paraId="209DC829" w14:textId="77777777" w:rsidTr="00C30F9D">
        <w:tc>
          <w:tcPr>
            <w:tcW w:w="1271" w:type="dxa"/>
          </w:tcPr>
          <w:p w14:paraId="01B64547" w14:textId="77777777" w:rsidR="005A5957" w:rsidRPr="009F74EC" w:rsidRDefault="005A5957" w:rsidP="00C30F9D">
            <w:pPr>
              <w:keepNext/>
              <w:jc w:val="left"/>
              <w:rPr>
                <w:rFonts w:cs="Arial"/>
                <w:sz w:val="16"/>
                <w:szCs w:val="16"/>
                <w:lang w:eastAsia="ja-JP"/>
              </w:rPr>
            </w:pPr>
            <w:r w:rsidRPr="009F74EC">
              <w:rPr>
                <w:rFonts w:cs="Arial"/>
                <w:sz w:val="16"/>
                <w:szCs w:val="16"/>
                <w:lang w:eastAsia="ja-JP"/>
              </w:rPr>
              <w:t>6. Curso de formación JICA 2023</w:t>
            </w:r>
          </w:p>
        </w:tc>
        <w:tc>
          <w:tcPr>
            <w:tcW w:w="1020" w:type="dxa"/>
          </w:tcPr>
          <w:p w14:paraId="488C69FE" w14:textId="77777777" w:rsidR="005A5957" w:rsidRPr="009F74EC" w:rsidRDefault="005A5957" w:rsidP="00C30F9D">
            <w:pPr>
              <w:keepNext/>
              <w:jc w:val="left"/>
              <w:rPr>
                <w:rFonts w:cs="Arial"/>
                <w:sz w:val="16"/>
                <w:szCs w:val="16"/>
                <w:lang w:eastAsia="ja-JP"/>
              </w:rPr>
            </w:pPr>
            <w:r w:rsidRPr="009F74EC">
              <w:rPr>
                <w:rFonts w:cs="Arial"/>
                <w:sz w:val="16"/>
                <w:szCs w:val="16"/>
                <w:lang w:eastAsia="ja-JP"/>
              </w:rPr>
              <w:t>Del 12 de junio al 1 de septiembre de 2023</w:t>
            </w:r>
          </w:p>
        </w:tc>
        <w:tc>
          <w:tcPr>
            <w:tcW w:w="965" w:type="dxa"/>
          </w:tcPr>
          <w:p w14:paraId="4DCB0DC4" w14:textId="77777777" w:rsidR="005A5957" w:rsidRPr="009F74EC" w:rsidRDefault="005A5957" w:rsidP="00C30F9D">
            <w:pPr>
              <w:keepNext/>
              <w:jc w:val="left"/>
              <w:rPr>
                <w:rFonts w:cs="Arial"/>
                <w:sz w:val="16"/>
                <w:szCs w:val="16"/>
                <w:lang w:eastAsia="ja-JP"/>
              </w:rPr>
            </w:pPr>
            <w:r w:rsidRPr="009F74EC">
              <w:rPr>
                <w:rFonts w:cs="Arial"/>
                <w:sz w:val="16"/>
                <w:szCs w:val="16"/>
                <w:lang w:eastAsia="ja-JP"/>
              </w:rPr>
              <w:t>Japón</w:t>
            </w:r>
          </w:p>
        </w:tc>
        <w:tc>
          <w:tcPr>
            <w:tcW w:w="1276" w:type="dxa"/>
          </w:tcPr>
          <w:p w14:paraId="01DBF68B" w14:textId="77777777" w:rsidR="005A5957" w:rsidRPr="009F74EC" w:rsidRDefault="005A5957" w:rsidP="00C30F9D">
            <w:pPr>
              <w:keepNext/>
              <w:jc w:val="left"/>
              <w:rPr>
                <w:rFonts w:cs="Arial"/>
                <w:sz w:val="16"/>
                <w:szCs w:val="16"/>
                <w:lang w:eastAsia="ja-JP"/>
              </w:rPr>
            </w:pPr>
            <w:r w:rsidRPr="009F74EC">
              <w:rPr>
                <w:rFonts w:cs="Arial"/>
                <w:sz w:val="16"/>
                <w:szCs w:val="16"/>
                <w:lang w:eastAsia="ja-JP"/>
              </w:rPr>
              <w:t>JICA</w:t>
            </w:r>
          </w:p>
        </w:tc>
        <w:tc>
          <w:tcPr>
            <w:tcW w:w="1842" w:type="dxa"/>
          </w:tcPr>
          <w:p w14:paraId="6E8DD9E8" w14:textId="77777777" w:rsidR="005A5957" w:rsidRPr="009F74EC" w:rsidRDefault="005A5957" w:rsidP="00C30F9D">
            <w:pPr>
              <w:keepNext/>
              <w:jc w:val="left"/>
              <w:rPr>
                <w:rFonts w:cs="Arial"/>
                <w:sz w:val="16"/>
                <w:szCs w:val="16"/>
                <w:lang w:eastAsia="ja-JP"/>
              </w:rPr>
            </w:pPr>
            <w:r w:rsidRPr="009F74EC">
              <w:rPr>
                <w:rFonts w:cs="Arial"/>
                <w:sz w:val="16"/>
                <w:szCs w:val="16"/>
                <w:lang w:eastAsia="ja-JP"/>
              </w:rPr>
              <w:t>Aumentar la concienciación sobre el sistema de protección de las obtenciones vegetales con arreglo al Convenio de la UPOV.</w:t>
            </w:r>
          </w:p>
        </w:tc>
        <w:tc>
          <w:tcPr>
            <w:tcW w:w="2268" w:type="dxa"/>
          </w:tcPr>
          <w:p w14:paraId="52ED87F4" w14:textId="77777777" w:rsidR="005A5957" w:rsidRPr="009F74EC" w:rsidRDefault="005A5957" w:rsidP="00C30F9D">
            <w:pPr>
              <w:keepNext/>
              <w:jc w:val="left"/>
              <w:rPr>
                <w:rFonts w:cs="Arial"/>
                <w:sz w:val="16"/>
                <w:szCs w:val="16"/>
                <w:lang w:eastAsia="ja-JP"/>
              </w:rPr>
            </w:pPr>
            <w:r w:rsidRPr="009F74EC">
              <w:rPr>
                <w:rFonts w:cs="Arial"/>
                <w:sz w:val="16"/>
                <w:szCs w:val="16"/>
                <w:lang w:eastAsia="ja-JP"/>
              </w:rPr>
              <w:t>Argelia (1), Camboya (1), Indonesia (1), República Democrática Popular Lao (1), Mauritania (1), Nepal (2),</w:t>
            </w:r>
          </w:p>
          <w:p w14:paraId="7D8570FB" w14:textId="5C5C4AF2" w:rsidR="005A5957" w:rsidRPr="009F74EC" w:rsidRDefault="005A5957" w:rsidP="00C30F9D">
            <w:pPr>
              <w:keepNext/>
              <w:jc w:val="left"/>
              <w:rPr>
                <w:rFonts w:cs="Arial"/>
                <w:sz w:val="16"/>
                <w:szCs w:val="16"/>
                <w:lang w:eastAsia="ja-JP"/>
              </w:rPr>
            </w:pPr>
            <w:r w:rsidRPr="009F74EC">
              <w:rPr>
                <w:rFonts w:cs="Arial"/>
                <w:sz w:val="16"/>
                <w:szCs w:val="16"/>
                <w:lang w:eastAsia="ja-JP"/>
              </w:rPr>
              <w:t xml:space="preserve">Filipinas (1), </w:t>
            </w:r>
            <w:proofErr w:type="spellStart"/>
            <w:r w:rsidRPr="009F74EC">
              <w:rPr>
                <w:rFonts w:cs="Arial"/>
                <w:sz w:val="16"/>
                <w:szCs w:val="16"/>
                <w:lang w:eastAsia="ja-JP"/>
              </w:rPr>
              <w:t>R</w:t>
            </w:r>
            <w:r w:rsidR="009568B1">
              <w:rPr>
                <w:rFonts w:cs="Arial"/>
                <w:sz w:val="16"/>
                <w:szCs w:val="16"/>
                <w:lang w:eastAsia="ja-JP"/>
              </w:rPr>
              <w:t>w</w:t>
            </w:r>
            <w:r w:rsidRPr="009F74EC">
              <w:rPr>
                <w:rFonts w:cs="Arial"/>
                <w:sz w:val="16"/>
                <w:szCs w:val="16"/>
                <w:lang w:eastAsia="ja-JP"/>
              </w:rPr>
              <w:t>anda</w:t>
            </w:r>
            <w:proofErr w:type="spellEnd"/>
            <w:r w:rsidRPr="009F74EC">
              <w:rPr>
                <w:rFonts w:cs="Arial"/>
                <w:sz w:val="16"/>
                <w:szCs w:val="16"/>
                <w:lang w:eastAsia="ja-JP"/>
              </w:rPr>
              <w:t xml:space="preserve"> (1), Tailandia (1), Viet </w:t>
            </w:r>
            <w:proofErr w:type="spellStart"/>
            <w:r w:rsidRPr="009F74EC">
              <w:rPr>
                <w:rFonts w:cs="Arial"/>
                <w:sz w:val="16"/>
                <w:szCs w:val="16"/>
                <w:lang w:eastAsia="ja-JP"/>
              </w:rPr>
              <w:t>Nam</w:t>
            </w:r>
            <w:proofErr w:type="spellEnd"/>
            <w:r w:rsidRPr="009F74EC">
              <w:rPr>
                <w:rFonts w:cs="Arial"/>
                <w:sz w:val="16"/>
                <w:szCs w:val="16"/>
                <w:lang w:eastAsia="ja-JP"/>
              </w:rPr>
              <w:t xml:space="preserve"> (1) </w:t>
            </w:r>
          </w:p>
        </w:tc>
        <w:tc>
          <w:tcPr>
            <w:tcW w:w="1701" w:type="dxa"/>
          </w:tcPr>
          <w:p w14:paraId="034C491E" w14:textId="77777777" w:rsidR="005A5957" w:rsidRPr="009F74EC" w:rsidRDefault="005A5957" w:rsidP="00C30F9D">
            <w:pPr>
              <w:keepNext/>
              <w:jc w:val="left"/>
              <w:rPr>
                <w:rFonts w:cs="Arial"/>
                <w:sz w:val="16"/>
                <w:szCs w:val="16"/>
                <w:lang w:eastAsia="ja-JP"/>
              </w:rPr>
            </w:pPr>
          </w:p>
        </w:tc>
      </w:tr>
      <w:tr w:rsidR="005A5957" w:rsidRPr="009F74EC" w14:paraId="4F7F99EE" w14:textId="77777777" w:rsidTr="00C30F9D">
        <w:tc>
          <w:tcPr>
            <w:tcW w:w="1271" w:type="dxa"/>
          </w:tcPr>
          <w:p w14:paraId="60149294" w14:textId="62D9FAF3" w:rsidR="005A5957" w:rsidRPr="009F74EC" w:rsidRDefault="005A5957" w:rsidP="00C30F9D">
            <w:pPr>
              <w:keepNext/>
              <w:jc w:val="left"/>
              <w:rPr>
                <w:rFonts w:cs="Arial"/>
                <w:sz w:val="16"/>
                <w:szCs w:val="16"/>
                <w:lang w:eastAsia="ja-JP"/>
              </w:rPr>
            </w:pPr>
            <w:r w:rsidRPr="009F74EC">
              <w:rPr>
                <w:rFonts w:cs="Arial"/>
                <w:sz w:val="16"/>
                <w:szCs w:val="16"/>
                <w:lang w:eastAsia="ja-JP"/>
              </w:rPr>
              <w:t>7. 16 Reunión anual del Foro EAPVP</w:t>
            </w:r>
          </w:p>
        </w:tc>
        <w:tc>
          <w:tcPr>
            <w:tcW w:w="1020" w:type="dxa"/>
          </w:tcPr>
          <w:p w14:paraId="104825C3" w14:textId="77777777" w:rsidR="005A5957" w:rsidRPr="009F74EC" w:rsidRDefault="005A5957" w:rsidP="00C30F9D">
            <w:pPr>
              <w:keepNext/>
              <w:jc w:val="left"/>
              <w:rPr>
                <w:rFonts w:cs="Arial"/>
                <w:sz w:val="16"/>
                <w:szCs w:val="16"/>
                <w:lang w:eastAsia="ja-JP"/>
              </w:rPr>
            </w:pPr>
            <w:r w:rsidRPr="009F74EC">
              <w:rPr>
                <w:rFonts w:cs="Arial"/>
                <w:sz w:val="16"/>
                <w:szCs w:val="16"/>
                <w:lang w:eastAsia="ja-JP"/>
              </w:rPr>
              <w:t>2 de agosto de 2023</w:t>
            </w:r>
          </w:p>
        </w:tc>
        <w:tc>
          <w:tcPr>
            <w:tcW w:w="965" w:type="dxa"/>
          </w:tcPr>
          <w:p w14:paraId="3ADD7631" w14:textId="77777777" w:rsidR="005A5957" w:rsidRPr="009F74EC" w:rsidRDefault="005A5957" w:rsidP="00C30F9D">
            <w:pPr>
              <w:keepNext/>
              <w:jc w:val="left"/>
              <w:rPr>
                <w:rFonts w:cs="Arial"/>
                <w:sz w:val="16"/>
                <w:szCs w:val="16"/>
                <w:lang w:eastAsia="ja-JP"/>
              </w:rPr>
            </w:pPr>
            <w:r w:rsidRPr="009F74EC">
              <w:rPr>
                <w:rFonts w:cs="Arial"/>
                <w:sz w:val="16"/>
                <w:szCs w:val="16"/>
                <w:lang w:eastAsia="ja-JP"/>
              </w:rPr>
              <w:t>República Democrática Popular Lao</w:t>
            </w:r>
          </w:p>
        </w:tc>
        <w:tc>
          <w:tcPr>
            <w:tcW w:w="1276" w:type="dxa"/>
          </w:tcPr>
          <w:p w14:paraId="5D0C1329" w14:textId="77777777" w:rsidR="005A5957" w:rsidRPr="009F74EC" w:rsidRDefault="005A5957" w:rsidP="00C30F9D">
            <w:pPr>
              <w:keepNext/>
              <w:jc w:val="left"/>
              <w:rPr>
                <w:rFonts w:cs="Arial"/>
                <w:sz w:val="16"/>
                <w:szCs w:val="16"/>
                <w:lang w:eastAsia="ja-JP"/>
              </w:rPr>
            </w:pPr>
            <w:r w:rsidRPr="009F74EC">
              <w:rPr>
                <w:rFonts w:cs="Arial"/>
                <w:sz w:val="16"/>
                <w:szCs w:val="16"/>
                <w:lang w:eastAsia="ja-JP"/>
              </w:rPr>
              <w:t>Departamento de Propiedad Intelectual (DIP) de la República Democrática Popular Lao</w:t>
            </w:r>
          </w:p>
        </w:tc>
        <w:tc>
          <w:tcPr>
            <w:tcW w:w="1842" w:type="dxa"/>
          </w:tcPr>
          <w:p w14:paraId="3347F22C" w14:textId="77777777" w:rsidR="005A5957" w:rsidRPr="009F74EC" w:rsidRDefault="005A5957" w:rsidP="00C30F9D">
            <w:pPr>
              <w:keepNext/>
              <w:jc w:val="left"/>
              <w:rPr>
                <w:rFonts w:cs="Arial"/>
                <w:sz w:val="16"/>
                <w:szCs w:val="16"/>
                <w:lang w:eastAsia="ja-JP"/>
              </w:rPr>
            </w:pPr>
            <w:r w:rsidRPr="009F74EC">
              <w:rPr>
                <w:rFonts w:cs="Arial"/>
                <w:sz w:val="16"/>
                <w:szCs w:val="16"/>
                <w:lang w:eastAsia="ja-JP"/>
              </w:rPr>
              <w:t>Promover actividades individuales y/o regionales relativas a la protección de las obtenciones vegetales</w:t>
            </w:r>
          </w:p>
        </w:tc>
        <w:tc>
          <w:tcPr>
            <w:tcW w:w="2268" w:type="dxa"/>
          </w:tcPr>
          <w:p w14:paraId="6A225980" w14:textId="77777777" w:rsidR="005A5957" w:rsidRPr="009F74EC" w:rsidRDefault="005A5957" w:rsidP="00C30F9D">
            <w:pPr>
              <w:keepNext/>
              <w:jc w:val="left"/>
              <w:rPr>
                <w:rFonts w:cs="Arial"/>
                <w:sz w:val="16"/>
                <w:szCs w:val="16"/>
                <w:lang w:eastAsia="ja-JP"/>
              </w:rPr>
            </w:pPr>
            <w:r w:rsidRPr="009F74EC">
              <w:rPr>
                <w:rFonts w:cs="Arial"/>
                <w:sz w:val="16"/>
                <w:szCs w:val="16"/>
              </w:rPr>
              <w:t xml:space="preserve">Países ASEAN Plus </w:t>
            </w:r>
            <w:proofErr w:type="spellStart"/>
            <w:r w:rsidRPr="009F74EC">
              <w:rPr>
                <w:rFonts w:cs="Arial"/>
                <w:sz w:val="16"/>
                <w:szCs w:val="16"/>
              </w:rPr>
              <w:t>Three</w:t>
            </w:r>
            <w:proofErr w:type="spellEnd"/>
            <w:r w:rsidRPr="009F74EC">
              <w:rPr>
                <w:rFonts w:cs="Arial"/>
                <w:sz w:val="16"/>
                <w:szCs w:val="16"/>
              </w:rPr>
              <w:t>, UPOV, SAMAE Naktuinbouw, USPTO y MUSP</w:t>
            </w:r>
          </w:p>
        </w:tc>
        <w:tc>
          <w:tcPr>
            <w:tcW w:w="1701" w:type="dxa"/>
          </w:tcPr>
          <w:p w14:paraId="42D06355" w14:textId="77777777" w:rsidR="005A5957" w:rsidRPr="009F74EC" w:rsidRDefault="005A5957" w:rsidP="00C30F9D">
            <w:pPr>
              <w:keepNext/>
              <w:jc w:val="left"/>
              <w:rPr>
                <w:rFonts w:cs="Arial"/>
                <w:sz w:val="16"/>
                <w:szCs w:val="16"/>
              </w:rPr>
            </w:pPr>
            <w:hyperlink r:id="rId23" w:history="1">
              <w:r w:rsidRPr="009F74EC">
                <w:rPr>
                  <w:rStyle w:val="Hyperlink"/>
                  <w:rFonts w:cs="Arial"/>
                  <w:sz w:val="16"/>
                  <w:szCs w:val="16"/>
                </w:rPr>
                <w:t xml:space="preserve">http://eapvp.org/report-data/lao/the-16th-east-asia-plant-variety-protection-forum-meeting/ </w:t>
              </w:r>
            </w:hyperlink>
          </w:p>
        </w:tc>
      </w:tr>
      <w:tr w:rsidR="005A5957" w:rsidRPr="009F74EC" w14:paraId="23954D8F" w14:textId="77777777" w:rsidTr="00C30F9D">
        <w:tc>
          <w:tcPr>
            <w:tcW w:w="1271" w:type="dxa"/>
          </w:tcPr>
          <w:p w14:paraId="6D41286F" w14:textId="77777777" w:rsidR="005A5957" w:rsidRPr="009F74EC" w:rsidRDefault="005A5957" w:rsidP="00C30F9D">
            <w:pPr>
              <w:keepNext/>
              <w:jc w:val="left"/>
              <w:rPr>
                <w:rFonts w:cs="Arial"/>
                <w:sz w:val="16"/>
                <w:szCs w:val="16"/>
                <w:lang w:eastAsia="ja-JP"/>
              </w:rPr>
            </w:pPr>
            <w:r w:rsidRPr="009F74EC">
              <w:rPr>
                <w:rFonts w:cs="Arial"/>
                <w:sz w:val="16"/>
                <w:szCs w:val="16"/>
                <w:lang w:eastAsia="ja-JP"/>
              </w:rPr>
              <w:t>8. Seminario internacional</w:t>
            </w:r>
          </w:p>
        </w:tc>
        <w:tc>
          <w:tcPr>
            <w:tcW w:w="1020" w:type="dxa"/>
          </w:tcPr>
          <w:p w14:paraId="77B91685" w14:textId="77777777" w:rsidR="005A5957" w:rsidRPr="009F74EC" w:rsidRDefault="005A5957" w:rsidP="00C30F9D">
            <w:pPr>
              <w:keepNext/>
              <w:jc w:val="left"/>
              <w:rPr>
                <w:rFonts w:cs="Arial"/>
                <w:sz w:val="16"/>
                <w:szCs w:val="16"/>
                <w:lang w:eastAsia="ja-JP"/>
              </w:rPr>
            </w:pPr>
            <w:r w:rsidRPr="009F74EC">
              <w:rPr>
                <w:rFonts w:cs="Arial"/>
                <w:sz w:val="16"/>
                <w:szCs w:val="16"/>
                <w:lang w:eastAsia="ja-JP"/>
              </w:rPr>
              <w:t>3 de agosto de 2023</w:t>
            </w:r>
          </w:p>
        </w:tc>
        <w:tc>
          <w:tcPr>
            <w:tcW w:w="965" w:type="dxa"/>
          </w:tcPr>
          <w:p w14:paraId="12A1D13F" w14:textId="77777777" w:rsidR="005A5957" w:rsidRPr="009F74EC" w:rsidRDefault="005A5957" w:rsidP="00C30F9D">
            <w:pPr>
              <w:keepNext/>
              <w:jc w:val="left"/>
              <w:rPr>
                <w:rFonts w:cs="Arial"/>
                <w:sz w:val="16"/>
                <w:szCs w:val="16"/>
                <w:lang w:eastAsia="ja-JP"/>
              </w:rPr>
            </w:pPr>
            <w:r w:rsidRPr="009F74EC">
              <w:rPr>
                <w:rFonts w:cs="Arial"/>
                <w:sz w:val="16"/>
                <w:szCs w:val="16"/>
                <w:lang w:eastAsia="ja-JP"/>
              </w:rPr>
              <w:t>República Democrática Popular Lao</w:t>
            </w:r>
          </w:p>
        </w:tc>
        <w:tc>
          <w:tcPr>
            <w:tcW w:w="1276" w:type="dxa"/>
          </w:tcPr>
          <w:p w14:paraId="64E52B23" w14:textId="77777777" w:rsidR="005A5957" w:rsidRPr="009F74EC" w:rsidRDefault="005A5957" w:rsidP="00C30F9D">
            <w:pPr>
              <w:keepNext/>
              <w:jc w:val="left"/>
              <w:rPr>
                <w:rFonts w:cs="Arial"/>
                <w:sz w:val="16"/>
                <w:szCs w:val="16"/>
                <w:lang w:eastAsia="ja-JP"/>
              </w:rPr>
            </w:pPr>
            <w:r w:rsidRPr="009F74EC">
              <w:rPr>
                <w:rFonts w:cs="Arial"/>
                <w:sz w:val="16"/>
                <w:szCs w:val="16"/>
                <w:lang w:eastAsia="ja-JP"/>
              </w:rPr>
              <w:t>Departamento de Propiedad Intelectual (DIP) de la República Democrática Popular Lao</w:t>
            </w:r>
          </w:p>
        </w:tc>
        <w:tc>
          <w:tcPr>
            <w:tcW w:w="1842" w:type="dxa"/>
          </w:tcPr>
          <w:p w14:paraId="46B4C1F8" w14:textId="77777777" w:rsidR="005A5957" w:rsidRPr="009F74EC" w:rsidRDefault="005A5957" w:rsidP="00C30F9D">
            <w:pPr>
              <w:keepNext/>
              <w:jc w:val="left"/>
              <w:rPr>
                <w:rFonts w:cs="Arial"/>
                <w:sz w:val="16"/>
                <w:szCs w:val="16"/>
                <w:lang w:eastAsia="ja-JP"/>
              </w:rPr>
            </w:pPr>
            <w:r w:rsidRPr="009F74EC">
              <w:rPr>
                <w:rFonts w:cs="Arial"/>
                <w:sz w:val="16"/>
                <w:szCs w:val="16"/>
                <w:lang w:eastAsia="ja-JP"/>
              </w:rPr>
              <w:t>Aumentar la concienciación sobre el sistema de protección de las obtenciones vegetales con arreglo al Convenio de la UPOV.</w:t>
            </w:r>
          </w:p>
        </w:tc>
        <w:tc>
          <w:tcPr>
            <w:tcW w:w="2268" w:type="dxa"/>
          </w:tcPr>
          <w:p w14:paraId="1F822249" w14:textId="77777777" w:rsidR="005A5957" w:rsidRPr="009F74EC" w:rsidRDefault="005A5957" w:rsidP="00C30F9D">
            <w:pPr>
              <w:keepNext/>
              <w:jc w:val="left"/>
              <w:rPr>
                <w:rFonts w:cs="Arial"/>
                <w:sz w:val="16"/>
                <w:szCs w:val="16"/>
              </w:rPr>
            </w:pPr>
            <w:r w:rsidRPr="009F74EC">
              <w:rPr>
                <w:rFonts w:cs="Arial"/>
                <w:sz w:val="16"/>
                <w:szCs w:val="16"/>
              </w:rPr>
              <w:t xml:space="preserve">Países ASEAN Plus </w:t>
            </w:r>
            <w:proofErr w:type="spellStart"/>
            <w:r w:rsidRPr="009F74EC">
              <w:rPr>
                <w:rFonts w:cs="Arial"/>
                <w:sz w:val="16"/>
                <w:szCs w:val="16"/>
              </w:rPr>
              <w:t>Three</w:t>
            </w:r>
            <w:proofErr w:type="spellEnd"/>
            <w:r w:rsidRPr="009F74EC">
              <w:rPr>
                <w:rFonts w:cs="Arial"/>
                <w:sz w:val="16"/>
                <w:szCs w:val="16"/>
              </w:rPr>
              <w:t>, UPOV, SAMAE Naktuinbouw, USPTO y MUSP</w:t>
            </w:r>
          </w:p>
        </w:tc>
        <w:tc>
          <w:tcPr>
            <w:tcW w:w="1701" w:type="dxa"/>
          </w:tcPr>
          <w:p w14:paraId="5E6A002B" w14:textId="77777777" w:rsidR="005A5957" w:rsidRPr="009F74EC" w:rsidRDefault="005A5957" w:rsidP="00C30F9D">
            <w:pPr>
              <w:keepNext/>
              <w:jc w:val="left"/>
              <w:rPr>
                <w:rFonts w:cs="Arial"/>
                <w:sz w:val="16"/>
                <w:szCs w:val="16"/>
              </w:rPr>
            </w:pPr>
            <w:hyperlink r:id="rId24" w:history="1">
              <w:r w:rsidRPr="009F74EC">
                <w:rPr>
                  <w:rStyle w:val="Hyperlink"/>
                  <w:rFonts w:cs="Arial"/>
                  <w:sz w:val="16"/>
                  <w:szCs w:val="16"/>
                </w:rPr>
                <w:t xml:space="preserve">http://eapvp.org/report-data/lao/international-seminar-held-in-lao-pdr/ </w:t>
              </w:r>
            </w:hyperlink>
          </w:p>
        </w:tc>
      </w:tr>
    </w:tbl>
    <w:p w14:paraId="31CD3BEB" w14:textId="77777777" w:rsidR="005A5957" w:rsidRPr="009F74EC" w:rsidRDefault="005A5957" w:rsidP="005A5957">
      <w:pPr>
        <w:rPr>
          <w:rFonts w:cs="Arial"/>
        </w:rPr>
      </w:pPr>
    </w:p>
    <w:p w14:paraId="29807F76" w14:textId="77777777" w:rsidR="005A5957" w:rsidRPr="009F74EC" w:rsidRDefault="005A5957" w:rsidP="005A5957">
      <w:pPr>
        <w:rPr>
          <w:rFonts w:cs="Arial"/>
        </w:rPr>
      </w:pPr>
    </w:p>
    <w:p w14:paraId="41A6AA95" w14:textId="77777777" w:rsidR="005A5957" w:rsidRPr="009F74EC" w:rsidRDefault="005A5957" w:rsidP="005A5957">
      <w:pPr>
        <w:rPr>
          <w:rFonts w:cs="Arial"/>
          <w:bCs/>
        </w:rPr>
      </w:pPr>
      <w:r w:rsidRPr="009F74EC">
        <w:rPr>
          <w:rFonts w:cs="Arial"/>
          <w:bCs/>
        </w:rPr>
        <w:t>II.</w:t>
      </w:r>
      <w:r w:rsidRPr="009F74EC">
        <w:rPr>
          <w:rFonts w:cs="Arial"/>
          <w:bCs/>
        </w:rPr>
        <w:tab/>
        <w:t>OTROS ACONTECIMIENTOS DE INTERÉS PARA LA UPOV</w:t>
      </w:r>
    </w:p>
    <w:p w14:paraId="31EAF25E" w14:textId="77777777" w:rsidR="005A5957" w:rsidRPr="009F74EC" w:rsidRDefault="005A5957" w:rsidP="005A5957">
      <w:pPr>
        <w:rPr>
          <w:rFonts w:cs="Arial"/>
        </w:rPr>
      </w:pPr>
    </w:p>
    <w:p w14:paraId="1D60CAA1" w14:textId="77777777" w:rsidR="005A5957" w:rsidRPr="009F74EC" w:rsidRDefault="005A5957" w:rsidP="005A5957">
      <w:pPr>
        <w:rPr>
          <w:rFonts w:cs="Arial"/>
          <w:i/>
          <w:iCs/>
          <w:lang w:eastAsia="ja-JP"/>
        </w:rPr>
      </w:pPr>
      <w:r w:rsidRPr="009F74EC">
        <w:rPr>
          <w:rFonts w:cs="Arial"/>
          <w:i/>
          <w:iCs/>
          <w:lang w:eastAsia="ja-JP"/>
        </w:rPr>
        <w:t>Fondos en fideicomiso del Gobierno de Japón (JP-FIT)</w:t>
      </w:r>
    </w:p>
    <w:p w14:paraId="254A4B19" w14:textId="77777777" w:rsidR="005A5957" w:rsidRPr="009F74EC" w:rsidRDefault="005A5957" w:rsidP="005A5957">
      <w:pPr>
        <w:rPr>
          <w:rFonts w:cs="Arial"/>
          <w:lang w:eastAsia="ja-JP"/>
        </w:rPr>
      </w:pPr>
    </w:p>
    <w:p w14:paraId="2E2FB1EF" w14:textId="77777777" w:rsidR="005A5957" w:rsidRPr="009F74EC" w:rsidRDefault="005A5957" w:rsidP="005A5957">
      <w:pPr>
        <w:rPr>
          <w:rFonts w:cs="Arial"/>
          <w:lang w:eastAsia="ja-JP"/>
        </w:rPr>
      </w:pPr>
      <w:r w:rsidRPr="009F74EC">
        <w:rPr>
          <w:rFonts w:cs="Arial"/>
          <w:lang w:eastAsia="ja-JP"/>
        </w:rPr>
        <w:t xml:space="preserve">Japón aportó una contribución de 325.983 </w:t>
      </w:r>
      <w:r w:rsidRPr="009F74EC">
        <w:t>francos su</w:t>
      </w:r>
      <w:r w:rsidRPr="009F74EC">
        <w:rPr>
          <w:rFonts w:cs="Arial"/>
          <w:lang w:eastAsia="ja-JP"/>
        </w:rPr>
        <w:t xml:space="preserve">izos en forma de fondos en fideicomiso en 2022, destinados a apoyar la actividad de la Secretaría de la UPOV encaminada al establecimiento y la aplicación del sistema de protección de las obtenciones vegetales en la región asiática mediante actividades como: </w:t>
      </w:r>
    </w:p>
    <w:p w14:paraId="76C9EBF9" w14:textId="77777777" w:rsidR="005A5957" w:rsidRPr="009F74EC" w:rsidRDefault="005A5957" w:rsidP="005A5957">
      <w:pPr>
        <w:rPr>
          <w:rFonts w:cs="Arial"/>
          <w:lang w:eastAsia="ja-JP"/>
        </w:rPr>
      </w:pPr>
    </w:p>
    <w:p w14:paraId="3B6E9A9B" w14:textId="77777777" w:rsidR="005A5957" w:rsidRPr="009F74EC" w:rsidRDefault="005A5957" w:rsidP="005A5957">
      <w:pPr>
        <w:ind w:left="426" w:hanging="426"/>
        <w:rPr>
          <w:rFonts w:cs="Arial"/>
          <w:lang w:eastAsia="ja-JP"/>
        </w:rPr>
      </w:pPr>
      <w:r w:rsidRPr="009F74EC">
        <w:rPr>
          <w:rFonts w:cs="Arial"/>
          <w:lang w:eastAsia="ja-JP"/>
        </w:rPr>
        <w:t>i.</w:t>
      </w:r>
      <w:r w:rsidRPr="009F74EC">
        <w:rPr>
          <w:rFonts w:cs="Arial"/>
          <w:lang w:eastAsia="ja-JP"/>
        </w:rPr>
        <w:tab/>
        <w:t>Reuniones de consulta con funcionarios jurídicos/técnicos de los países pertinentes</w:t>
      </w:r>
    </w:p>
    <w:p w14:paraId="1D2DFC8F" w14:textId="77777777" w:rsidR="005A5957" w:rsidRPr="009F74EC" w:rsidRDefault="005A5957" w:rsidP="005A5957">
      <w:pPr>
        <w:ind w:left="400" w:hangingChars="200" w:hanging="400"/>
        <w:rPr>
          <w:rFonts w:cs="Arial"/>
          <w:lang w:eastAsia="ja-JP"/>
        </w:rPr>
      </w:pPr>
      <w:proofErr w:type="spellStart"/>
      <w:r w:rsidRPr="009F74EC">
        <w:rPr>
          <w:rFonts w:cs="Arial"/>
          <w:lang w:eastAsia="ja-JP"/>
        </w:rPr>
        <w:t>ii</w:t>
      </w:r>
      <w:proofErr w:type="spellEnd"/>
      <w:r w:rsidRPr="009F74EC">
        <w:rPr>
          <w:rFonts w:cs="Arial"/>
          <w:lang w:eastAsia="ja-JP"/>
        </w:rPr>
        <w:t>.</w:t>
      </w:r>
      <w:r w:rsidRPr="009F74EC">
        <w:rPr>
          <w:rFonts w:cs="Arial"/>
          <w:lang w:eastAsia="ja-JP"/>
        </w:rPr>
        <w:tab/>
        <w:t>Actividades de talleres jurídicos internacionales organizados por la Oficina de la Unión (por ejemplo, taller sobre redacción de legislación de conformidad con el Convenio de la UPOV).</w:t>
      </w:r>
    </w:p>
    <w:p w14:paraId="083EC209" w14:textId="77777777" w:rsidR="005A5957" w:rsidRPr="009F74EC" w:rsidRDefault="005A5957" w:rsidP="005A5957">
      <w:pPr>
        <w:ind w:left="426" w:hanging="426"/>
        <w:rPr>
          <w:rFonts w:cs="Arial"/>
          <w:lang w:eastAsia="ja-JP"/>
        </w:rPr>
      </w:pPr>
      <w:proofErr w:type="spellStart"/>
      <w:r w:rsidRPr="009F74EC">
        <w:rPr>
          <w:rFonts w:cs="Arial"/>
          <w:lang w:eastAsia="ja-JP"/>
        </w:rPr>
        <w:t>iii</w:t>
      </w:r>
      <w:proofErr w:type="spellEnd"/>
      <w:r w:rsidRPr="009F74EC">
        <w:rPr>
          <w:rFonts w:cs="Arial"/>
          <w:lang w:eastAsia="ja-JP"/>
        </w:rPr>
        <w:t>.</w:t>
      </w:r>
      <w:r w:rsidRPr="009F74EC">
        <w:rPr>
          <w:rFonts w:cs="Arial"/>
          <w:lang w:eastAsia="ja-JP"/>
        </w:rPr>
        <w:tab/>
        <w:t>Talleres nacionales de sensibilización sobre la PVV en los países asiáticos</w:t>
      </w:r>
    </w:p>
    <w:p w14:paraId="6AA67CB4" w14:textId="77777777" w:rsidR="005A5957" w:rsidRPr="009F74EC" w:rsidRDefault="005A5957" w:rsidP="005A5957">
      <w:pPr>
        <w:ind w:left="426" w:hanging="426"/>
        <w:rPr>
          <w:rFonts w:cs="Arial"/>
          <w:lang w:eastAsia="ja-JP"/>
        </w:rPr>
      </w:pPr>
      <w:proofErr w:type="spellStart"/>
      <w:r w:rsidRPr="009F74EC">
        <w:rPr>
          <w:rFonts w:cs="Arial"/>
          <w:lang w:eastAsia="ja-JP"/>
        </w:rPr>
        <w:t>iv</w:t>
      </w:r>
      <w:proofErr w:type="spellEnd"/>
      <w:r w:rsidRPr="009F74EC">
        <w:rPr>
          <w:rFonts w:cs="Arial"/>
          <w:lang w:eastAsia="ja-JP"/>
        </w:rPr>
        <w:t>.</w:t>
      </w:r>
      <w:r w:rsidRPr="009F74EC">
        <w:rPr>
          <w:rFonts w:cs="Arial"/>
          <w:lang w:eastAsia="ja-JP"/>
        </w:rPr>
        <w:tab/>
        <w:t>Talleres internacionales sobre la protección de las obtenciones vegetales con arreglo al Convenio de la UPOV</w:t>
      </w:r>
    </w:p>
    <w:p w14:paraId="100AF064" w14:textId="77777777" w:rsidR="005A5957" w:rsidRPr="009F74EC" w:rsidRDefault="005A5957" w:rsidP="005A5957">
      <w:pPr>
        <w:ind w:left="426" w:hanging="426"/>
        <w:rPr>
          <w:rFonts w:cs="Arial"/>
          <w:lang w:eastAsia="ja-JP"/>
        </w:rPr>
      </w:pPr>
      <w:r w:rsidRPr="009F74EC">
        <w:rPr>
          <w:rFonts w:cs="Arial"/>
          <w:lang w:eastAsia="ja-JP"/>
        </w:rPr>
        <w:t>v.</w:t>
      </w:r>
      <w:r w:rsidRPr="009F74EC">
        <w:rPr>
          <w:rFonts w:cs="Arial"/>
          <w:lang w:eastAsia="ja-JP"/>
        </w:rPr>
        <w:tab/>
        <w:t>Reuniones anuales del Foro de Asia Oriental para la Protección de las Variedades Vegetales (EAPVP)</w:t>
      </w:r>
    </w:p>
    <w:p w14:paraId="0EB4EE7E" w14:textId="77777777" w:rsidR="005A5957" w:rsidRPr="009F74EC" w:rsidRDefault="005A5957" w:rsidP="005A5957">
      <w:pPr>
        <w:jc w:val="center"/>
      </w:pPr>
    </w:p>
    <w:p w14:paraId="2BEFCC34" w14:textId="31B95025" w:rsidR="005A5957" w:rsidRPr="009F74EC" w:rsidRDefault="005A5957" w:rsidP="00C50609">
      <w:pPr>
        <w:jc w:val="right"/>
      </w:pPr>
      <w:r w:rsidRPr="009F74EC">
        <w:t>[Sigue el Anexo IX]</w:t>
      </w:r>
    </w:p>
    <w:p w14:paraId="2979A861" w14:textId="77777777" w:rsidR="005A5957" w:rsidRPr="009F74EC" w:rsidRDefault="005A5957" w:rsidP="005A5957">
      <w:pPr>
        <w:jc w:val="center"/>
        <w:sectPr w:rsidR="005A5957" w:rsidRPr="009F74EC" w:rsidSect="00C50609">
          <w:headerReference w:type="default" r:id="rId25"/>
          <w:pgSz w:w="11907" w:h="16840" w:code="9"/>
          <w:pgMar w:top="510" w:right="1134" w:bottom="426" w:left="1134" w:header="510" w:footer="680" w:gutter="0"/>
          <w:pgNumType w:start="1"/>
          <w:cols w:space="720"/>
          <w:titlePg/>
        </w:sectPr>
      </w:pPr>
    </w:p>
    <w:p w14:paraId="3B3D61A3" w14:textId="77777777" w:rsidR="005A5957" w:rsidRPr="009F74EC" w:rsidRDefault="005A5957" w:rsidP="005A5957">
      <w:pPr>
        <w:jc w:val="center"/>
      </w:pPr>
      <w:r w:rsidRPr="009F74EC">
        <w:lastRenderedPageBreak/>
        <w:t>C/57/13</w:t>
      </w:r>
    </w:p>
    <w:p w14:paraId="3CD7803C" w14:textId="77777777" w:rsidR="005A5957" w:rsidRPr="009F74EC" w:rsidRDefault="005A5957" w:rsidP="005A5957">
      <w:pPr>
        <w:jc w:val="center"/>
      </w:pPr>
    </w:p>
    <w:p w14:paraId="325F455B" w14:textId="77777777" w:rsidR="005A5957" w:rsidRPr="009F74EC" w:rsidRDefault="005A5957" w:rsidP="005A5957">
      <w:pPr>
        <w:jc w:val="center"/>
      </w:pPr>
      <w:r w:rsidRPr="009F74EC">
        <w:t>ANEXO IX</w:t>
      </w:r>
    </w:p>
    <w:p w14:paraId="0BF47972" w14:textId="77777777" w:rsidR="005A5957" w:rsidRPr="009F74EC" w:rsidRDefault="005A5957" w:rsidP="005A5957">
      <w:pPr>
        <w:jc w:val="center"/>
      </w:pPr>
    </w:p>
    <w:p w14:paraId="3CE3C588" w14:textId="77777777" w:rsidR="005A5957" w:rsidRPr="009F74EC" w:rsidRDefault="005A5957" w:rsidP="005A5957">
      <w:pPr>
        <w:jc w:val="center"/>
      </w:pPr>
    </w:p>
    <w:p w14:paraId="091DD850" w14:textId="77777777" w:rsidR="005A5957" w:rsidRPr="009F74EC" w:rsidRDefault="005A5957" w:rsidP="005A5957">
      <w:pPr>
        <w:jc w:val="center"/>
      </w:pPr>
      <w:r w:rsidRPr="009F74EC">
        <w:t>KENIA</w:t>
      </w:r>
    </w:p>
    <w:p w14:paraId="230789EA" w14:textId="77777777" w:rsidR="00633DB1" w:rsidRPr="009F74EC" w:rsidRDefault="00633DB1" w:rsidP="00633DB1">
      <w:pPr>
        <w:jc w:val="center"/>
      </w:pPr>
      <w:r w:rsidRPr="009F74EC">
        <w:t>(Idioma original: inglés)</w:t>
      </w:r>
    </w:p>
    <w:p w14:paraId="7342A74D" w14:textId="77777777" w:rsidR="00633DB1" w:rsidRPr="009F74EC" w:rsidRDefault="00633DB1" w:rsidP="00633DB1"/>
    <w:p w14:paraId="5F19383F" w14:textId="77777777" w:rsidR="00633DB1" w:rsidRPr="009F74EC" w:rsidRDefault="00633DB1" w:rsidP="00633DB1">
      <w:pPr>
        <w:pStyle w:val="Disclaimer"/>
        <w:spacing w:after="360"/>
        <w:jc w:val="center"/>
        <w:rPr>
          <w:sz w:val="18"/>
          <w:szCs w:val="18"/>
        </w:rPr>
      </w:pPr>
      <w:r w:rsidRPr="009F74EC">
        <w:rPr>
          <w:sz w:val="18"/>
          <w:szCs w:val="18"/>
        </w:rPr>
        <w:t xml:space="preserve">Esta traducción se ha generado mediante traducción automática y no puede garantizarse su exactitud. </w:t>
      </w:r>
      <w:r w:rsidRPr="009F74EC">
        <w:rPr>
          <w:sz w:val="18"/>
          <w:szCs w:val="18"/>
        </w:rPr>
        <w:br/>
        <w:t>Por lo tanto, el texto en el idioma original es la única versión auténtica.</w:t>
      </w:r>
    </w:p>
    <w:p w14:paraId="2A3EE17A" w14:textId="77777777" w:rsidR="005A5957" w:rsidRPr="009F74EC" w:rsidRDefault="005A5957" w:rsidP="005A5957">
      <w:pPr>
        <w:pStyle w:val="ListParagraph"/>
        <w:ind w:left="0"/>
        <w:contextualSpacing w:val="0"/>
        <w:rPr>
          <w:bCs/>
          <w:szCs w:val="20"/>
          <w:lang w:val="es-ES_tradnl"/>
        </w:rPr>
      </w:pPr>
      <w:r w:rsidRPr="009F74EC">
        <w:rPr>
          <w:bCs/>
          <w:szCs w:val="20"/>
          <w:lang w:val="es-ES_tradnl"/>
        </w:rPr>
        <w:t>PROTECCIÓN DE LAS OBTENCIONES VEGETALES</w:t>
      </w:r>
    </w:p>
    <w:p w14:paraId="495CD99D" w14:textId="77777777" w:rsidR="005A5957" w:rsidRPr="009F74EC" w:rsidRDefault="005A5957" w:rsidP="005A5957"/>
    <w:p w14:paraId="0A154324" w14:textId="77777777" w:rsidR="005A5957" w:rsidRPr="009F74EC" w:rsidRDefault="005A5957" w:rsidP="005A5957">
      <w:pPr>
        <w:rPr>
          <w:u w:val="single"/>
        </w:rPr>
      </w:pPr>
      <w:r w:rsidRPr="009F74EC">
        <w:t>1.</w:t>
      </w:r>
      <w:r w:rsidRPr="009F74EC">
        <w:tab/>
      </w:r>
      <w:r w:rsidRPr="009F74EC">
        <w:rPr>
          <w:u w:val="single"/>
        </w:rPr>
        <w:t>Situación en el ámbito legislativo</w:t>
      </w:r>
    </w:p>
    <w:p w14:paraId="6CBD6D27" w14:textId="77777777" w:rsidR="005A5957" w:rsidRPr="009F74EC" w:rsidRDefault="005A5957" w:rsidP="005A5957">
      <w:pPr>
        <w:pStyle w:val="ListParagraph"/>
        <w:ind w:left="0"/>
        <w:contextualSpacing w:val="0"/>
        <w:rPr>
          <w:lang w:val="es-ES_tradnl"/>
        </w:rPr>
      </w:pPr>
    </w:p>
    <w:p w14:paraId="3A117066" w14:textId="77777777" w:rsidR="005A5957" w:rsidRPr="009F74EC" w:rsidRDefault="005A5957" w:rsidP="005A5957">
      <w:pPr>
        <w:pStyle w:val="ListParagraph"/>
        <w:ind w:left="0"/>
        <w:contextualSpacing w:val="0"/>
        <w:rPr>
          <w:lang w:val="es-ES_tradnl"/>
        </w:rPr>
      </w:pPr>
      <w:r w:rsidRPr="009F74EC">
        <w:rPr>
          <w:lang w:val="es-ES_tradnl"/>
        </w:rPr>
        <w:t>1.1</w:t>
      </w:r>
      <w:r w:rsidRPr="009F74EC">
        <w:rPr>
          <w:lang w:val="es-ES_tradnl"/>
        </w:rPr>
        <w:tab/>
        <w:t xml:space="preserve">Modificaciones de la ley y de los reglamentos de aplicación </w:t>
      </w:r>
    </w:p>
    <w:p w14:paraId="4A11BD04" w14:textId="77777777" w:rsidR="005A5957" w:rsidRPr="009F74EC" w:rsidRDefault="005A5957" w:rsidP="005A5957">
      <w:pPr>
        <w:pStyle w:val="ListParagraph"/>
        <w:ind w:left="0"/>
        <w:contextualSpacing w:val="0"/>
        <w:rPr>
          <w:lang w:val="es-ES_tradnl"/>
        </w:rPr>
      </w:pPr>
    </w:p>
    <w:p w14:paraId="258D12A1" w14:textId="5F7D1B23" w:rsidR="005A5957" w:rsidRPr="009F74EC" w:rsidRDefault="005A5957" w:rsidP="005A5957">
      <w:pPr>
        <w:pStyle w:val="ListParagraph"/>
        <w:ind w:left="0"/>
        <w:contextualSpacing w:val="0"/>
        <w:textAlignment w:val="baseline"/>
        <w:rPr>
          <w:lang w:val="es-ES_tradnl"/>
        </w:rPr>
      </w:pPr>
      <w:r w:rsidRPr="009F74EC">
        <w:rPr>
          <w:lang w:val="es-ES_tradnl"/>
        </w:rPr>
        <w:t xml:space="preserve">La protección de las obtenciones vegetales en </w:t>
      </w:r>
      <w:proofErr w:type="spellStart"/>
      <w:r w:rsidRPr="009F74EC">
        <w:rPr>
          <w:lang w:val="es-ES_tradnl"/>
        </w:rPr>
        <w:t>Kenya</w:t>
      </w:r>
      <w:proofErr w:type="spellEnd"/>
      <w:r w:rsidRPr="009F74EC">
        <w:rPr>
          <w:lang w:val="es-ES_tradnl"/>
        </w:rPr>
        <w:t xml:space="preserve"> se rige por la Ley de Semillas y Obtenciones Vegetales (CAP 326) de 1972, que entró en vigor en 1975 y fue revisada en 1991.  En 1994 se establecieron reglamentos oficiales para orientar la aplicación del servicio de protección de las obtenciones vegetales, y en 1997 se creó la oficina encargada de administrar la protección de las obtenciones vegetales, que desde 1998 depende del Servicio de Inspección Fitosanitaria de </w:t>
      </w:r>
      <w:proofErr w:type="spellStart"/>
      <w:r w:rsidRPr="009F74EC">
        <w:rPr>
          <w:lang w:val="es-ES_tradnl"/>
        </w:rPr>
        <w:t>Kenya</w:t>
      </w:r>
      <w:proofErr w:type="spellEnd"/>
      <w:r w:rsidRPr="009F74EC">
        <w:rPr>
          <w:lang w:val="es-ES_tradnl"/>
        </w:rPr>
        <w:t xml:space="preserve"> (KEPHIS).  </w:t>
      </w:r>
      <w:proofErr w:type="spellStart"/>
      <w:r w:rsidRPr="009F74EC">
        <w:rPr>
          <w:lang w:val="es-ES_tradnl"/>
        </w:rPr>
        <w:t>Kenya</w:t>
      </w:r>
      <w:proofErr w:type="spellEnd"/>
      <w:r w:rsidRPr="009F74EC">
        <w:rPr>
          <w:lang w:val="es-ES_tradnl"/>
        </w:rPr>
        <w:t xml:space="preserve"> se adhirió a la UPOV en virtud del Convenio de la UPOV de 1978 el 13 de mayo de 1999.  </w:t>
      </w:r>
      <w:r w:rsidRPr="009F74EC">
        <w:rPr>
          <w:color w:val="000000"/>
          <w:lang w:val="es-ES_tradnl"/>
        </w:rPr>
        <w:t xml:space="preserve">En 2012, se modificó la Ley de Semillas y Variedades Vegetales para incorporar componentes del Convenio de la UPOV de 1991.  El 11 de abril de 2016, </w:t>
      </w:r>
      <w:proofErr w:type="spellStart"/>
      <w:r w:rsidRPr="009F74EC">
        <w:rPr>
          <w:color w:val="000000"/>
          <w:lang w:val="es-ES_tradnl"/>
        </w:rPr>
        <w:t>Kenya</w:t>
      </w:r>
      <w:proofErr w:type="spellEnd"/>
      <w:r w:rsidRPr="009F74EC">
        <w:rPr>
          <w:color w:val="000000"/>
          <w:lang w:val="es-ES_tradnl"/>
        </w:rPr>
        <w:t xml:space="preserve"> depositó el instrumento de adhesión al Convenio de la UPOV de 1991, </w:t>
      </w:r>
      <w:proofErr w:type="spellStart"/>
      <w:r w:rsidRPr="009F74EC">
        <w:rPr>
          <w:color w:val="000000"/>
          <w:lang w:val="es-ES_tradnl"/>
        </w:rPr>
        <w:t>Kenya</w:t>
      </w:r>
      <w:proofErr w:type="spellEnd"/>
      <w:r w:rsidRPr="009F74EC">
        <w:rPr>
          <w:color w:val="000000"/>
          <w:lang w:val="es-ES_tradnl"/>
        </w:rPr>
        <w:t xml:space="preserve"> está ahora obligada por el Convenio de la UPOV de 1991 a partir del 11 de mayo de 2016.  En la actualidad, </w:t>
      </w:r>
      <w:proofErr w:type="spellStart"/>
      <w:r w:rsidRPr="009F74EC">
        <w:rPr>
          <w:color w:val="000000"/>
          <w:lang w:val="es-ES_tradnl"/>
        </w:rPr>
        <w:t>Kenya</w:t>
      </w:r>
      <w:proofErr w:type="spellEnd"/>
      <w:r w:rsidRPr="009F74EC">
        <w:rPr>
          <w:color w:val="000000"/>
          <w:lang w:val="es-ES_tradnl"/>
        </w:rPr>
        <w:t xml:space="preserve"> </w:t>
      </w:r>
      <w:r w:rsidRPr="009F74EC">
        <w:rPr>
          <w:lang w:val="es-ES_tradnl"/>
        </w:rPr>
        <w:t xml:space="preserve">está revisando </w:t>
      </w:r>
      <w:r w:rsidRPr="009F74EC">
        <w:rPr>
          <w:color w:val="000000"/>
          <w:kern w:val="24"/>
          <w:lang w:val="es-ES_tradnl"/>
        </w:rPr>
        <w:t xml:space="preserve">el Reglamento de derechos de obtentor para facilitar la </w:t>
      </w:r>
      <w:r w:rsidRPr="009F74EC">
        <w:rPr>
          <w:lang w:val="es-ES_tradnl"/>
        </w:rPr>
        <w:t>aplicación de la exención facultativa.</w:t>
      </w:r>
    </w:p>
    <w:p w14:paraId="30106B9A" w14:textId="77777777" w:rsidR="005A5957" w:rsidRPr="009F74EC" w:rsidRDefault="005A5957" w:rsidP="005A5957">
      <w:pPr>
        <w:pStyle w:val="ListParagraph"/>
        <w:ind w:left="0"/>
        <w:contextualSpacing w:val="0"/>
        <w:rPr>
          <w:u w:val="single"/>
          <w:lang w:val="es-ES_tradnl"/>
        </w:rPr>
      </w:pPr>
    </w:p>
    <w:p w14:paraId="00FCC6DF" w14:textId="77777777" w:rsidR="005A5957" w:rsidRPr="009F74EC" w:rsidRDefault="005A5957" w:rsidP="005A5957">
      <w:pPr>
        <w:pStyle w:val="ListParagraph"/>
        <w:ind w:left="0"/>
        <w:contextualSpacing w:val="0"/>
        <w:textAlignment w:val="baseline"/>
        <w:rPr>
          <w:lang w:val="es-ES_tradnl"/>
        </w:rPr>
      </w:pPr>
      <w:r w:rsidRPr="009F74EC">
        <w:rPr>
          <w:lang w:val="es-ES_tradnl"/>
        </w:rPr>
        <w:t>1.2</w:t>
      </w:r>
      <w:r w:rsidRPr="009F74EC">
        <w:rPr>
          <w:lang w:val="es-ES_tradnl"/>
        </w:rPr>
        <w:tab/>
        <w:t>Géneros y especies cubiertos</w:t>
      </w:r>
    </w:p>
    <w:p w14:paraId="7C65F6E8" w14:textId="77777777" w:rsidR="005A5957" w:rsidRPr="009F74EC" w:rsidRDefault="005A5957" w:rsidP="005A5957">
      <w:pPr>
        <w:pStyle w:val="ListParagraph"/>
        <w:ind w:left="0"/>
        <w:contextualSpacing w:val="0"/>
        <w:textAlignment w:val="baseline"/>
        <w:rPr>
          <w:lang w:val="es-ES_tradnl"/>
        </w:rPr>
      </w:pPr>
    </w:p>
    <w:p w14:paraId="6EBE0E54" w14:textId="77777777" w:rsidR="005A5957" w:rsidRPr="009F74EC" w:rsidRDefault="005A5957" w:rsidP="005A5957">
      <w:pPr>
        <w:pStyle w:val="ListParagraph"/>
        <w:ind w:left="0"/>
        <w:contextualSpacing w:val="0"/>
        <w:rPr>
          <w:lang w:val="es-ES_tradnl"/>
        </w:rPr>
      </w:pPr>
      <w:proofErr w:type="spellStart"/>
      <w:r w:rsidRPr="009F74EC">
        <w:rPr>
          <w:lang w:val="es-ES_tradnl"/>
        </w:rPr>
        <w:t>Kenya</w:t>
      </w:r>
      <w:proofErr w:type="spellEnd"/>
      <w:r w:rsidRPr="009F74EC">
        <w:rPr>
          <w:lang w:val="es-ES_tradnl"/>
        </w:rPr>
        <w:t xml:space="preserve"> extiende la protección de las obtenciones vegetales a todos los géneros y especies vegetales.  Por el momento, se han registrado para su protección en el país un total de </w:t>
      </w:r>
      <w:r w:rsidRPr="009F74EC">
        <w:rPr>
          <w:color w:val="000000"/>
          <w:lang w:val="es-ES_tradnl"/>
        </w:rPr>
        <w:t>noventa</w:t>
      </w:r>
      <w:r w:rsidRPr="009F74EC">
        <w:rPr>
          <w:lang w:val="es-ES_tradnl"/>
        </w:rPr>
        <w:t xml:space="preserve"> y un </w:t>
      </w:r>
      <w:r w:rsidRPr="009F74EC">
        <w:rPr>
          <w:color w:val="000000"/>
          <w:lang w:val="es-ES_tradnl"/>
        </w:rPr>
        <w:t xml:space="preserve">(91) taxones de </w:t>
      </w:r>
      <w:r w:rsidRPr="009F74EC">
        <w:rPr>
          <w:lang w:val="es-ES_tradnl"/>
        </w:rPr>
        <w:t>especies vegetales seleccionadas.</w:t>
      </w:r>
    </w:p>
    <w:p w14:paraId="0C388F0D" w14:textId="77777777" w:rsidR="005A5957" w:rsidRPr="009F74EC" w:rsidRDefault="005A5957" w:rsidP="005A5957">
      <w:pPr>
        <w:pStyle w:val="ListParagraph"/>
        <w:ind w:left="0"/>
        <w:contextualSpacing w:val="0"/>
        <w:rPr>
          <w:lang w:val="es-ES_tradnl"/>
        </w:rPr>
      </w:pPr>
    </w:p>
    <w:p w14:paraId="70D493CD" w14:textId="77777777" w:rsidR="005A5957" w:rsidRPr="009F74EC" w:rsidRDefault="005A5957" w:rsidP="005A5957">
      <w:pPr>
        <w:pStyle w:val="ListParagraph"/>
        <w:ind w:left="0"/>
        <w:contextualSpacing w:val="0"/>
        <w:textAlignment w:val="baseline"/>
        <w:rPr>
          <w:lang w:val="es-ES_tradnl"/>
        </w:rPr>
      </w:pPr>
      <w:r w:rsidRPr="009F74EC">
        <w:rPr>
          <w:lang w:val="es-ES_tradnl"/>
        </w:rPr>
        <w:t>1.3</w:t>
      </w:r>
      <w:r w:rsidRPr="009F74EC">
        <w:rPr>
          <w:lang w:val="es-ES_tradnl"/>
        </w:rPr>
        <w:tab/>
        <w:t>Jurisprudencia</w:t>
      </w:r>
    </w:p>
    <w:p w14:paraId="26371483" w14:textId="77777777" w:rsidR="005A5957" w:rsidRPr="009F74EC" w:rsidRDefault="005A5957" w:rsidP="005A5957">
      <w:pPr>
        <w:pStyle w:val="ListParagraph"/>
        <w:ind w:left="0"/>
        <w:contextualSpacing w:val="0"/>
        <w:textAlignment w:val="baseline"/>
        <w:rPr>
          <w:u w:val="single"/>
          <w:lang w:val="es-ES_tradnl"/>
        </w:rPr>
      </w:pPr>
    </w:p>
    <w:p w14:paraId="2A1AB4F1" w14:textId="77777777" w:rsidR="005A5957" w:rsidRPr="009F74EC" w:rsidRDefault="005A5957" w:rsidP="005A5957">
      <w:pPr>
        <w:rPr>
          <w:rFonts w:cs="Arial"/>
        </w:rPr>
      </w:pPr>
      <w:r w:rsidRPr="009F74EC">
        <w:rPr>
          <w:rFonts w:cs="Arial"/>
        </w:rPr>
        <w:t xml:space="preserve">En virtud de la Ley de Semillas y Obtenciones Vegetales de </w:t>
      </w:r>
      <w:proofErr w:type="spellStart"/>
      <w:r w:rsidRPr="009F74EC">
        <w:rPr>
          <w:rFonts w:cs="Arial"/>
        </w:rPr>
        <w:t>Kenya</w:t>
      </w:r>
      <w:proofErr w:type="spellEnd"/>
      <w:r w:rsidRPr="009F74EC">
        <w:rPr>
          <w:rFonts w:cs="Arial"/>
        </w:rPr>
        <w:t xml:space="preserve">, las solicitudes de derechos de obtentor deben publicarse en la gaceta de </w:t>
      </w:r>
      <w:proofErr w:type="spellStart"/>
      <w:r w:rsidRPr="009F74EC">
        <w:rPr>
          <w:rFonts w:cs="Arial"/>
        </w:rPr>
        <w:t>Kenya</w:t>
      </w:r>
      <w:proofErr w:type="spellEnd"/>
      <w:r w:rsidRPr="009F74EC">
        <w:rPr>
          <w:rFonts w:cs="Arial"/>
        </w:rPr>
        <w:t xml:space="preserve"> para que quienes se opongan a cualquier solicitud o concesión de derechos puedan formular objeciones y presentar observaciones al funcionario autorizado, el KEPHIS.  El </w:t>
      </w:r>
      <w:proofErr w:type="gramStart"/>
      <w:r w:rsidRPr="009F74EC">
        <w:rPr>
          <w:rFonts w:cs="Arial"/>
        </w:rPr>
        <w:t>Funcionario</w:t>
      </w:r>
      <w:proofErr w:type="gramEnd"/>
      <w:r w:rsidRPr="009F74EC">
        <w:rPr>
          <w:rFonts w:cs="Arial"/>
        </w:rPr>
        <w:t xml:space="preserve"> Autorizado determina la audiencia de dichas representaciones, pero cualquier solicitante agraviado por la decisión del Funcionario Autorizado puede apelar ante el Tribunal de Semillas y Plantas y, si sigue agraviado por la decisión del Tribunal, apelar en última instancia ante el Tribunal Superior. </w:t>
      </w:r>
    </w:p>
    <w:p w14:paraId="5D9C42BD" w14:textId="77777777" w:rsidR="005A5957" w:rsidRPr="009F74EC" w:rsidRDefault="005A5957" w:rsidP="005A5957">
      <w:pPr>
        <w:rPr>
          <w:rFonts w:cs="Arial"/>
        </w:rPr>
      </w:pPr>
    </w:p>
    <w:p w14:paraId="4EB9278C" w14:textId="77777777" w:rsidR="005A5957" w:rsidRPr="009F74EC" w:rsidRDefault="005A5957" w:rsidP="005A5957">
      <w:pPr>
        <w:rPr>
          <w:rFonts w:cs="Arial"/>
        </w:rPr>
      </w:pPr>
    </w:p>
    <w:p w14:paraId="302F0C5D" w14:textId="77777777" w:rsidR="005A5957" w:rsidRPr="009F74EC" w:rsidRDefault="005A5957" w:rsidP="005A5957">
      <w:pPr>
        <w:rPr>
          <w:u w:val="single"/>
        </w:rPr>
      </w:pPr>
      <w:r w:rsidRPr="009F74EC">
        <w:t>2.</w:t>
      </w:r>
      <w:r w:rsidRPr="009F74EC">
        <w:tab/>
      </w:r>
      <w:r w:rsidRPr="009F74EC">
        <w:rPr>
          <w:u w:val="single"/>
        </w:rPr>
        <w:t>Cooperación en el examen</w:t>
      </w:r>
    </w:p>
    <w:p w14:paraId="17FA11D9" w14:textId="77777777" w:rsidR="005A5957" w:rsidRPr="009F74EC" w:rsidRDefault="005A5957" w:rsidP="005A5957"/>
    <w:p w14:paraId="6F8B5EF0" w14:textId="77777777" w:rsidR="005A5957" w:rsidRPr="009F74EC" w:rsidRDefault="005A5957" w:rsidP="005A5957">
      <w:r w:rsidRPr="009F74EC">
        <w:t xml:space="preserve">De conformidad con el artículo 32 de la UPOV sobre acuerdos especiales, la Oficina de Protección de las Obtenciones Vegetales de </w:t>
      </w:r>
      <w:proofErr w:type="spellStart"/>
      <w:r w:rsidRPr="009F74EC">
        <w:t>Kenya</w:t>
      </w:r>
      <w:proofErr w:type="spellEnd"/>
      <w:r w:rsidRPr="009F74EC">
        <w:t xml:space="preserve"> ha entablado una cooperación internacional con otros Estados miembros de la UPOV y organizaciones intergubernamentales para la utilización de los informes de examen DHE existentes, en particular,</w:t>
      </w:r>
    </w:p>
    <w:p w14:paraId="50C6045D" w14:textId="77777777" w:rsidR="005A5957" w:rsidRPr="009F74EC" w:rsidRDefault="005A5957" w:rsidP="005A5957"/>
    <w:p w14:paraId="57A24245" w14:textId="77777777" w:rsidR="005A5957" w:rsidRPr="009F74EC" w:rsidRDefault="005A5957" w:rsidP="005A5957">
      <w:pPr>
        <w:pStyle w:val="ListParagraph"/>
        <w:numPr>
          <w:ilvl w:val="0"/>
          <w:numId w:val="39"/>
        </w:numPr>
        <w:ind w:left="0" w:firstLine="0"/>
        <w:contextualSpacing w:val="0"/>
        <w:rPr>
          <w:lang w:val="es-ES_tradnl"/>
        </w:rPr>
      </w:pPr>
      <w:r w:rsidRPr="009F74EC">
        <w:rPr>
          <w:lang w:val="es-ES_tradnl"/>
        </w:rPr>
        <w:t>Comunidad Europea - Oficina Comunitaria de Variedades Vegetales</w:t>
      </w:r>
    </w:p>
    <w:p w14:paraId="06D52CC8" w14:textId="77777777" w:rsidR="005A5957" w:rsidRPr="009F74EC" w:rsidRDefault="005A5957" w:rsidP="005A5957">
      <w:pPr>
        <w:pStyle w:val="ListParagraph"/>
        <w:numPr>
          <w:ilvl w:val="0"/>
          <w:numId w:val="39"/>
        </w:numPr>
        <w:ind w:left="0" w:firstLine="0"/>
        <w:contextualSpacing w:val="0"/>
        <w:rPr>
          <w:lang w:val="es-ES_tradnl"/>
        </w:rPr>
      </w:pPr>
      <w:proofErr w:type="spellStart"/>
      <w:r w:rsidRPr="009F74EC">
        <w:rPr>
          <w:lang w:val="es-ES_tradnl"/>
        </w:rPr>
        <w:t>Raad</w:t>
      </w:r>
      <w:proofErr w:type="spellEnd"/>
      <w:r w:rsidRPr="009F74EC">
        <w:rPr>
          <w:lang w:val="es-ES_tradnl"/>
        </w:rPr>
        <w:t xml:space="preserve"> </w:t>
      </w:r>
      <w:proofErr w:type="spellStart"/>
      <w:r w:rsidRPr="009F74EC">
        <w:rPr>
          <w:lang w:val="es-ES_tradnl"/>
        </w:rPr>
        <w:t>Voor</w:t>
      </w:r>
      <w:proofErr w:type="spellEnd"/>
      <w:r w:rsidRPr="009F74EC">
        <w:rPr>
          <w:lang w:val="es-ES_tradnl"/>
        </w:rPr>
        <w:t xml:space="preserve"> </w:t>
      </w:r>
      <w:proofErr w:type="spellStart"/>
      <w:r w:rsidRPr="009F74EC">
        <w:rPr>
          <w:lang w:val="es-ES_tradnl"/>
        </w:rPr>
        <w:t>Plantrassen</w:t>
      </w:r>
      <w:proofErr w:type="spellEnd"/>
      <w:r w:rsidRPr="009F74EC">
        <w:rPr>
          <w:lang w:val="es-ES_tradnl"/>
        </w:rPr>
        <w:t xml:space="preserve"> (Junta de Variedades Vegetales) - Países Bajos</w:t>
      </w:r>
    </w:p>
    <w:p w14:paraId="3B23B4B8" w14:textId="77777777" w:rsidR="005A5957" w:rsidRPr="009F74EC" w:rsidRDefault="005A5957" w:rsidP="005A5957">
      <w:pPr>
        <w:pStyle w:val="ListParagraph"/>
        <w:numPr>
          <w:ilvl w:val="0"/>
          <w:numId w:val="39"/>
        </w:numPr>
        <w:ind w:left="0" w:firstLine="0"/>
        <w:contextualSpacing w:val="0"/>
        <w:rPr>
          <w:lang w:val="es-ES_tradnl"/>
        </w:rPr>
      </w:pPr>
      <w:r w:rsidRPr="009F74EC">
        <w:rPr>
          <w:lang w:val="es-ES_tradnl"/>
        </w:rPr>
        <w:t>Consejo de los Derechos de los Obtentores Vegetales - Israel</w:t>
      </w:r>
    </w:p>
    <w:p w14:paraId="63D8DC4B" w14:textId="77777777" w:rsidR="005A5957" w:rsidRPr="009F74EC" w:rsidRDefault="005A5957" w:rsidP="005A5957">
      <w:pPr>
        <w:pStyle w:val="ListParagraph"/>
        <w:numPr>
          <w:ilvl w:val="0"/>
          <w:numId w:val="39"/>
        </w:numPr>
        <w:ind w:left="0" w:firstLine="0"/>
        <w:contextualSpacing w:val="0"/>
        <w:rPr>
          <w:lang w:val="es-ES_tradnl"/>
        </w:rPr>
      </w:pPr>
      <w:r w:rsidRPr="009F74EC">
        <w:rPr>
          <w:lang w:val="es-ES_tradnl"/>
        </w:rPr>
        <w:t xml:space="preserve">Comisario de Derechos de Obtentor - Nueva Zelandia </w:t>
      </w:r>
    </w:p>
    <w:p w14:paraId="11882734" w14:textId="77777777" w:rsidR="005A5957" w:rsidRPr="009F74EC" w:rsidRDefault="005A5957" w:rsidP="005A5957">
      <w:pPr>
        <w:pStyle w:val="ListParagraph"/>
        <w:numPr>
          <w:ilvl w:val="0"/>
          <w:numId w:val="39"/>
        </w:numPr>
        <w:ind w:left="0" w:firstLine="0"/>
        <w:contextualSpacing w:val="0"/>
        <w:rPr>
          <w:lang w:val="es-ES_tradnl"/>
        </w:rPr>
      </w:pPr>
      <w:r w:rsidRPr="009F74EC">
        <w:rPr>
          <w:lang w:val="es-ES_tradnl"/>
        </w:rPr>
        <w:t>El registrador, Departamento Nacional de Agricultura - Sudáfrica</w:t>
      </w:r>
    </w:p>
    <w:p w14:paraId="2F54B655" w14:textId="77777777" w:rsidR="005A5957" w:rsidRPr="009F74EC" w:rsidRDefault="005A5957" w:rsidP="005A5957">
      <w:pPr>
        <w:pStyle w:val="ListParagraph"/>
        <w:numPr>
          <w:ilvl w:val="0"/>
          <w:numId w:val="39"/>
        </w:numPr>
        <w:ind w:left="0" w:firstLine="0"/>
        <w:contextualSpacing w:val="0"/>
        <w:rPr>
          <w:lang w:val="es-ES_tradnl"/>
        </w:rPr>
      </w:pPr>
      <w:r w:rsidRPr="009F74EC">
        <w:rPr>
          <w:lang w:val="es-ES_tradnl"/>
        </w:rPr>
        <w:t>Bundessortenamt - Alemania</w:t>
      </w:r>
    </w:p>
    <w:p w14:paraId="5FE39672" w14:textId="77777777" w:rsidR="005A5957" w:rsidRPr="009F74EC" w:rsidRDefault="005A5957" w:rsidP="005A5957">
      <w:pPr>
        <w:pStyle w:val="ListParagraph"/>
        <w:numPr>
          <w:ilvl w:val="0"/>
          <w:numId w:val="39"/>
        </w:numPr>
        <w:ind w:left="0" w:firstLine="0"/>
        <w:contextualSpacing w:val="0"/>
        <w:rPr>
          <w:lang w:val="es-ES_tradnl"/>
        </w:rPr>
      </w:pPr>
      <w:r w:rsidRPr="009F74EC">
        <w:rPr>
          <w:lang w:val="es-ES_tradnl"/>
        </w:rPr>
        <w:t>Departamento de Medio Ambiente, Alimentación y Asuntos Rurales (DEFRA) - Reino Unido</w:t>
      </w:r>
    </w:p>
    <w:p w14:paraId="390F7CC4" w14:textId="77777777" w:rsidR="005A5957" w:rsidRPr="009F74EC" w:rsidRDefault="005A5957" w:rsidP="006C394E">
      <w:pPr>
        <w:pStyle w:val="ListParagraph"/>
        <w:numPr>
          <w:ilvl w:val="0"/>
          <w:numId w:val="39"/>
        </w:numPr>
        <w:ind w:left="567" w:hanging="567"/>
        <w:contextualSpacing w:val="0"/>
        <w:rPr>
          <w:lang w:val="es-ES_tradnl"/>
        </w:rPr>
      </w:pPr>
      <w:r w:rsidRPr="009F74EC">
        <w:rPr>
          <w:lang w:val="es-ES_tradnl"/>
        </w:rPr>
        <w:t>División de Nuevas Empresas y Propiedad Intelectual Oficina de Asuntos de la Industria Alimentaria - Japón</w:t>
      </w:r>
    </w:p>
    <w:p w14:paraId="22322D84" w14:textId="77777777" w:rsidR="005A5957" w:rsidRPr="009F74EC" w:rsidRDefault="005A5957" w:rsidP="005A5957">
      <w:pPr>
        <w:pStyle w:val="ListParagraph"/>
        <w:numPr>
          <w:ilvl w:val="0"/>
          <w:numId w:val="39"/>
        </w:numPr>
        <w:ind w:left="0" w:firstLine="0"/>
        <w:contextualSpacing w:val="0"/>
        <w:rPr>
          <w:lang w:val="es-ES_tradnl"/>
        </w:rPr>
      </w:pPr>
      <w:proofErr w:type="spellStart"/>
      <w:r w:rsidRPr="009F74EC">
        <w:rPr>
          <w:lang w:val="es-ES_tradnl"/>
        </w:rPr>
        <w:t>Korea</w:t>
      </w:r>
      <w:proofErr w:type="spellEnd"/>
      <w:r w:rsidRPr="009F74EC">
        <w:rPr>
          <w:lang w:val="es-ES_tradnl"/>
        </w:rPr>
        <w:t xml:space="preserve"> </w:t>
      </w:r>
      <w:proofErr w:type="spellStart"/>
      <w:r w:rsidRPr="009F74EC">
        <w:rPr>
          <w:lang w:val="es-ES_tradnl"/>
        </w:rPr>
        <w:t>Seed</w:t>
      </w:r>
      <w:proofErr w:type="spellEnd"/>
      <w:r w:rsidRPr="009F74EC">
        <w:rPr>
          <w:lang w:val="es-ES_tradnl"/>
        </w:rPr>
        <w:t xml:space="preserve"> and </w:t>
      </w:r>
      <w:proofErr w:type="spellStart"/>
      <w:r w:rsidRPr="009F74EC">
        <w:rPr>
          <w:lang w:val="es-ES_tradnl"/>
        </w:rPr>
        <w:t>Variety</w:t>
      </w:r>
      <w:proofErr w:type="spellEnd"/>
      <w:r w:rsidRPr="009F74EC">
        <w:rPr>
          <w:lang w:val="es-ES_tradnl"/>
        </w:rPr>
        <w:t xml:space="preserve"> Services, República de Corea</w:t>
      </w:r>
    </w:p>
    <w:p w14:paraId="7A08F146" w14:textId="77777777" w:rsidR="005A5957" w:rsidRPr="009F74EC" w:rsidRDefault="005A5957" w:rsidP="005A5957">
      <w:pPr>
        <w:pStyle w:val="ListParagraph"/>
        <w:numPr>
          <w:ilvl w:val="0"/>
          <w:numId w:val="39"/>
        </w:numPr>
        <w:ind w:left="0" w:firstLine="0"/>
        <w:contextualSpacing w:val="0"/>
        <w:rPr>
          <w:lang w:val="es-ES_tradnl"/>
        </w:rPr>
      </w:pPr>
      <w:r w:rsidRPr="009F74EC">
        <w:rPr>
          <w:lang w:val="es-ES_tradnl"/>
        </w:rPr>
        <w:t>División de Propiedad Intelectual, Alimentación, Oficina de Asuntos Industriales - Japón</w:t>
      </w:r>
    </w:p>
    <w:p w14:paraId="441CFFD8" w14:textId="77777777" w:rsidR="005A5957" w:rsidRPr="009F74EC" w:rsidRDefault="005A5957" w:rsidP="005A5957">
      <w:pPr>
        <w:pStyle w:val="ListParagraph"/>
        <w:ind w:left="0"/>
        <w:contextualSpacing w:val="0"/>
        <w:rPr>
          <w:lang w:val="es-ES_tradnl"/>
        </w:rPr>
      </w:pPr>
    </w:p>
    <w:p w14:paraId="278FCD39" w14:textId="77777777" w:rsidR="005A5957" w:rsidRPr="009F74EC" w:rsidRDefault="005A5957" w:rsidP="005A5957">
      <w:pPr>
        <w:pStyle w:val="ListParagraph"/>
        <w:ind w:left="0"/>
        <w:contextualSpacing w:val="0"/>
        <w:rPr>
          <w:lang w:val="es-ES_tradnl"/>
        </w:rPr>
      </w:pPr>
    </w:p>
    <w:p w14:paraId="52C0CFAF" w14:textId="77777777" w:rsidR="005A5957" w:rsidRPr="009F74EC" w:rsidRDefault="005A5957" w:rsidP="006C394E">
      <w:pPr>
        <w:keepNext/>
        <w:rPr>
          <w:u w:val="single"/>
        </w:rPr>
      </w:pPr>
      <w:r w:rsidRPr="009F74EC">
        <w:lastRenderedPageBreak/>
        <w:t>3.</w:t>
      </w:r>
      <w:r w:rsidRPr="009F74EC">
        <w:tab/>
      </w:r>
      <w:r w:rsidRPr="009F74EC">
        <w:rPr>
          <w:u w:val="single"/>
        </w:rPr>
        <w:t>Situación en los ámbitos administrativos</w:t>
      </w:r>
    </w:p>
    <w:p w14:paraId="49EC4D75" w14:textId="77777777" w:rsidR="005A5957" w:rsidRPr="009F74EC" w:rsidRDefault="005A5957" w:rsidP="006C394E">
      <w:pPr>
        <w:keepNext/>
      </w:pPr>
    </w:p>
    <w:p w14:paraId="09645607" w14:textId="77777777" w:rsidR="005A5957" w:rsidRPr="009F74EC" w:rsidRDefault="005A5957" w:rsidP="005A5957">
      <w:r w:rsidRPr="009F74EC">
        <w:t xml:space="preserve">La estructura administrativa, los procedimientos de oficina y los sistemas de la Oficina de Protección de las Obtenciones Vegetales de </w:t>
      </w:r>
      <w:proofErr w:type="spellStart"/>
      <w:r w:rsidRPr="009F74EC">
        <w:t>Kenya</w:t>
      </w:r>
      <w:proofErr w:type="spellEnd"/>
      <w:r w:rsidRPr="009F74EC">
        <w:t xml:space="preserve"> siguen siendo los mismos, pero las solicitudes de derechos de obtentor pueden realizarse en línea.  </w:t>
      </w:r>
      <w:proofErr w:type="spellStart"/>
      <w:r w:rsidRPr="009F74EC">
        <w:t>Kenya</w:t>
      </w:r>
      <w:proofErr w:type="spellEnd"/>
      <w:r w:rsidRPr="009F74EC">
        <w:t xml:space="preserve"> ha adoptado el uso de la herramienta de solicitud UPOV PRISMA para todos los géneros y especies.  </w:t>
      </w:r>
      <w:proofErr w:type="spellStart"/>
      <w:r w:rsidRPr="009F74EC">
        <w:t>Kenya</w:t>
      </w:r>
      <w:proofErr w:type="spellEnd"/>
      <w:r w:rsidRPr="009F74EC">
        <w:t xml:space="preserve"> ha automatizado su sistema de protección de las obtenciones vegetales, en el que todos los procesos de protección de las obtenciones vegetales se realizan en línea.</w:t>
      </w:r>
    </w:p>
    <w:p w14:paraId="6944F9D2" w14:textId="77777777" w:rsidR="005A5957" w:rsidRPr="009F74EC" w:rsidRDefault="005A5957" w:rsidP="005A5957"/>
    <w:p w14:paraId="1630DEBC" w14:textId="77777777" w:rsidR="005A5957" w:rsidRPr="009F74EC" w:rsidRDefault="005A5957" w:rsidP="005A5957"/>
    <w:p w14:paraId="6BDD85EC" w14:textId="77777777" w:rsidR="005A5957" w:rsidRPr="009F74EC" w:rsidRDefault="005A5957" w:rsidP="005A5957">
      <w:r w:rsidRPr="009F74EC">
        <w:t>4.</w:t>
      </w:r>
      <w:r w:rsidRPr="009F74EC">
        <w:tab/>
      </w:r>
      <w:r w:rsidRPr="009F74EC">
        <w:rPr>
          <w:u w:val="single"/>
        </w:rPr>
        <w:t>Situación en el ámbito técnico</w:t>
      </w:r>
    </w:p>
    <w:p w14:paraId="2C678E58" w14:textId="77777777" w:rsidR="005A5957" w:rsidRPr="009F74EC" w:rsidRDefault="005A5957" w:rsidP="005A5957">
      <w:pPr>
        <w:pStyle w:val="ListParagraph"/>
        <w:ind w:left="0"/>
        <w:contextualSpacing w:val="0"/>
        <w:rPr>
          <w:bCs/>
          <w:lang w:val="es-ES_tradnl"/>
        </w:rPr>
      </w:pPr>
    </w:p>
    <w:p w14:paraId="1BCC971E" w14:textId="77777777" w:rsidR="005A5957" w:rsidRPr="009F74EC" w:rsidRDefault="005A5957" w:rsidP="005A5957">
      <w:pPr>
        <w:pStyle w:val="ListParagraph"/>
        <w:ind w:left="0"/>
        <w:contextualSpacing w:val="0"/>
        <w:rPr>
          <w:b/>
          <w:lang w:val="es-ES_tradnl"/>
        </w:rPr>
      </w:pPr>
      <w:r w:rsidRPr="009F74EC">
        <w:rPr>
          <w:bCs/>
          <w:lang w:val="es-ES_tradnl"/>
        </w:rPr>
        <w:t>4.1</w:t>
      </w:r>
      <w:r w:rsidRPr="009F74EC">
        <w:rPr>
          <w:bCs/>
          <w:lang w:val="es-ES_tradnl"/>
        </w:rPr>
        <w:tab/>
      </w:r>
      <w:r w:rsidRPr="009F74EC">
        <w:rPr>
          <w:lang w:val="es-ES_tradnl"/>
        </w:rPr>
        <w:t>Solicitud y concesión de derechos de obtentor</w:t>
      </w:r>
    </w:p>
    <w:p w14:paraId="12CE28E0" w14:textId="77777777" w:rsidR="005A5957" w:rsidRPr="009F74EC" w:rsidRDefault="005A5957" w:rsidP="005A5957">
      <w:pPr>
        <w:rPr>
          <w:color w:val="000000"/>
        </w:rPr>
      </w:pPr>
    </w:p>
    <w:p w14:paraId="0A02DE16" w14:textId="77777777" w:rsidR="005A5957" w:rsidRPr="009F74EC" w:rsidRDefault="005A5957" w:rsidP="005A5957">
      <w:pPr>
        <w:rPr>
          <w:color w:val="000000"/>
        </w:rPr>
      </w:pPr>
      <w:r w:rsidRPr="009F74EC">
        <w:rPr>
          <w:color w:val="000000"/>
        </w:rPr>
        <w:t xml:space="preserve">Desde la creación de la oficina de protección de las obtenciones vegetales en </w:t>
      </w:r>
      <w:proofErr w:type="spellStart"/>
      <w:r w:rsidRPr="009F74EC">
        <w:rPr>
          <w:color w:val="000000"/>
        </w:rPr>
        <w:t>Kenya</w:t>
      </w:r>
      <w:proofErr w:type="spellEnd"/>
      <w:r w:rsidRPr="009F74EC">
        <w:rPr>
          <w:color w:val="000000"/>
        </w:rPr>
        <w:t xml:space="preserve"> hasta finales de 2022, se han recibido un total de 1959 solicitudes de derechos de obtentor y se han concedido 866 derechos de obtentor.</w:t>
      </w:r>
    </w:p>
    <w:p w14:paraId="2B0EBB20" w14:textId="77777777" w:rsidR="005A5957" w:rsidRPr="009F74EC" w:rsidRDefault="005A5957" w:rsidP="005A5957">
      <w:pPr>
        <w:rPr>
          <w:color w:val="000000"/>
        </w:rPr>
      </w:pPr>
    </w:p>
    <w:p w14:paraId="6F2D78E3" w14:textId="77777777" w:rsidR="005A5957" w:rsidRPr="009F74EC" w:rsidRDefault="005A5957" w:rsidP="005A5957">
      <w:r w:rsidRPr="009F74EC">
        <w:t>4.2.</w:t>
      </w:r>
      <w:r w:rsidRPr="009F74EC">
        <w:tab/>
        <w:t>Examen DHE</w:t>
      </w:r>
    </w:p>
    <w:p w14:paraId="3E839A7F" w14:textId="77777777" w:rsidR="005A5957" w:rsidRPr="009F74EC" w:rsidRDefault="005A5957" w:rsidP="005A5957"/>
    <w:p w14:paraId="59CAC1B1" w14:textId="77777777" w:rsidR="005A5957" w:rsidRPr="009F74EC" w:rsidRDefault="005A5957" w:rsidP="005A5957">
      <w:r w:rsidRPr="009F74EC">
        <w:t xml:space="preserve">La Oficina está realizando exámenes DHE de guandú, maíz, mijo, sorgo, patata, trigo, pastos, judías, achicoria, teff, algodón, flores de </w:t>
      </w:r>
      <w:proofErr w:type="spellStart"/>
      <w:r w:rsidRPr="009F74EC">
        <w:t>solidago</w:t>
      </w:r>
      <w:proofErr w:type="spellEnd"/>
      <w:r w:rsidRPr="009F74EC">
        <w:t xml:space="preserve"> y flores de verónica. Se han elaborado directrices nacionales de examen para algunos de estos cultivos.</w:t>
      </w:r>
    </w:p>
    <w:p w14:paraId="52758F0C" w14:textId="77777777" w:rsidR="005A5957" w:rsidRPr="009F74EC" w:rsidRDefault="005A5957" w:rsidP="005A5957"/>
    <w:p w14:paraId="02FDA0D8" w14:textId="77777777" w:rsidR="005A5957" w:rsidRPr="009F74EC" w:rsidRDefault="005A5957" w:rsidP="005A5957">
      <w:r w:rsidRPr="009F74EC">
        <w:t>5.</w:t>
      </w:r>
      <w:r w:rsidRPr="009F74EC">
        <w:tab/>
      </w:r>
      <w:r w:rsidRPr="009F74EC">
        <w:rPr>
          <w:u w:val="single"/>
        </w:rPr>
        <w:t>Actividades de fomento de la protección de las obtenciones vegetales</w:t>
      </w:r>
    </w:p>
    <w:p w14:paraId="57103E02" w14:textId="77777777" w:rsidR="005A5957" w:rsidRPr="009F74EC" w:rsidRDefault="005A5957" w:rsidP="005A5957">
      <w:pPr>
        <w:pStyle w:val="ListParagraph"/>
        <w:ind w:left="0"/>
        <w:contextualSpacing w:val="0"/>
        <w:rPr>
          <w:lang w:val="es-ES_tradnl"/>
        </w:rPr>
      </w:pPr>
    </w:p>
    <w:p w14:paraId="2527ADC5" w14:textId="77777777" w:rsidR="005A5957" w:rsidRPr="009F74EC" w:rsidRDefault="005A5957" w:rsidP="005A5957">
      <w:pPr>
        <w:pStyle w:val="ListParagraph"/>
        <w:ind w:left="0"/>
        <w:contextualSpacing w:val="0"/>
        <w:rPr>
          <w:lang w:val="es-ES_tradnl"/>
        </w:rPr>
      </w:pPr>
      <w:r w:rsidRPr="009F74EC">
        <w:rPr>
          <w:lang w:val="es-ES_tradnl"/>
        </w:rPr>
        <w:t xml:space="preserve">La Oficina de Protección de las Obtenciones Vegetales de </w:t>
      </w:r>
      <w:proofErr w:type="spellStart"/>
      <w:r w:rsidRPr="009F74EC">
        <w:rPr>
          <w:lang w:val="es-ES_tradnl"/>
        </w:rPr>
        <w:t>Kenya</w:t>
      </w:r>
      <w:proofErr w:type="spellEnd"/>
      <w:r w:rsidRPr="009F74EC">
        <w:rPr>
          <w:lang w:val="es-ES_tradnl"/>
        </w:rPr>
        <w:t xml:space="preserve"> ha participado activamente en una serie de actividades de promoción de la protección de las obtenciones vegetales en el país y en la región de África. Algunas de estas actividades de promoción incluyen:</w:t>
      </w:r>
    </w:p>
    <w:p w14:paraId="7E421D47" w14:textId="77777777" w:rsidR="005A5957" w:rsidRPr="009F74EC" w:rsidRDefault="005A5957" w:rsidP="005A5957">
      <w:pPr>
        <w:pStyle w:val="ListParagraph"/>
        <w:ind w:left="0"/>
        <w:contextualSpacing w:val="0"/>
        <w:rPr>
          <w:b/>
          <w:lang w:val="es-ES_tradnl"/>
        </w:rPr>
      </w:pPr>
    </w:p>
    <w:p w14:paraId="496A2E45" w14:textId="77777777" w:rsidR="005A5957" w:rsidRPr="009F74EC" w:rsidRDefault="005A5957" w:rsidP="005A5957">
      <w:pPr>
        <w:pStyle w:val="ListParagraph"/>
        <w:numPr>
          <w:ilvl w:val="0"/>
          <w:numId w:val="40"/>
        </w:numPr>
        <w:spacing w:after="120"/>
        <w:ind w:left="284" w:hanging="284"/>
        <w:contextualSpacing w:val="0"/>
        <w:rPr>
          <w:lang w:val="es-ES_tradnl"/>
        </w:rPr>
      </w:pPr>
      <w:r w:rsidRPr="009F74EC">
        <w:rPr>
          <w:lang w:val="es-ES_tradnl"/>
        </w:rPr>
        <w:t xml:space="preserve">Seminarios de difusión sobre la concienciación acerca de los servicios de protección de las obtenciones vegetales en el país. Estos seminarios están dirigidos a instituciones nacionales de investigación agrícola, universidades, responsables políticos, personal de </w:t>
      </w:r>
      <w:proofErr w:type="gramStart"/>
      <w:r w:rsidRPr="009F74EC">
        <w:rPr>
          <w:lang w:val="es-ES_tradnl"/>
        </w:rPr>
        <w:t>extensión agrícola y comunidades agrícolas</w:t>
      </w:r>
      <w:proofErr w:type="gramEnd"/>
      <w:r w:rsidRPr="009F74EC">
        <w:rPr>
          <w:lang w:val="es-ES_tradnl"/>
        </w:rPr>
        <w:t xml:space="preserve"> en general.</w:t>
      </w:r>
    </w:p>
    <w:p w14:paraId="097DE21D" w14:textId="77777777" w:rsidR="005A5957" w:rsidRPr="009F74EC" w:rsidRDefault="005A5957" w:rsidP="005A5957">
      <w:pPr>
        <w:pStyle w:val="ListParagraph"/>
        <w:numPr>
          <w:ilvl w:val="0"/>
          <w:numId w:val="40"/>
        </w:numPr>
        <w:spacing w:after="120"/>
        <w:ind w:left="284" w:hanging="284"/>
        <w:contextualSpacing w:val="0"/>
        <w:rPr>
          <w:lang w:val="es-ES_tradnl"/>
        </w:rPr>
      </w:pPr>
      <w:r w:rsidRPr="009F74EC">
        <w:rPr>
          <w:lang w:val="es-ES_tradnl"/>
        </w:rPr>
        <w:t xml:space="preserve">La Oficina colabora con otros sectores de la agricultura para garantizar que las normas de explotación sean conformes con la Ley de Semillas y Obtenciones Vegetales y, por extensión, con el Convenio de la UPOV. </w:t>
      </w:r>
    </w:p>
    <w:p w14:paraId="3D582C3B" w14:textId="77777777" w:rsidR="005A5957" w:rsidRPr="009F74EC" w:rsidRDefault="005A5957" w:rsidP="005A5957">
      <w:pPr>
        <w:pStyle w:val="ListParagraph"/>
        <w:numPr>
          <w:ilvl w:val="0"/>
          <w:numId w:val="40"/>
        </w:numPr>
        <w:ind w:left="284" w:hanging="284"/>
        <w:contextualSpacing w:val="0"/>
        <w:rPr>
          <w:lang w:val="es-ES_tradnl"/>
        </w:rPr>
      </w:pPr>
      <w:r w:rsidRPr="009F74EC">
        <w:rPr>
          <w:lang w:val="es-ES_tradnl"/>
        </w:rPr>
        <w:t xml:space="preserve">La Oficina también ha participado en la presentación del sistema de protección de las obtenciones vegetales de Kenia a delegaciones de Burundi, Yibuti, Mozambique, República Democrática del Congo, Sudán del Sur y Somalia. </w:t>
      </w:r>
    </w:p>
    <w:p w14:paraId="7AA5A806" w14:textId="77777777" w:rsidR="005A5957" w:rsidRPr="009F74EC" w:rsidRDefault="005A5957" w:rsidP="005A5957">
      <w:pPr>
        <w:pStyle w:val="ListParagraph"/>
        <w:ind w:left="0"/>
        <w:contextualSpacing w:val="0"/>
        <w:rPr>
          <w:lang w:val="es-ES_tradnl"/>
        </w:rPr>
      </w:pPr>
    </w:p>
    <w:p w14:paraId="402BF128" w14:textId="77777777" w:rsidR="005A5957" w:rsidRPr="009F74EC" w:rsidRDefault="005A5957" w:rsidP="005A5957">
      <w:r w:rsidRPr="009F74EC">
        <w:t>Toda la correspondencia debe dirigirse a</w:t>
      </w:r>
    </w:p>
    <w:p w14:paraId="70CF527C" w14:textId="77777777" w:rsidR="005A5957" w:rsidRPr="009F74EC" w:rsidRDefault="005A5957" w:rsidP="005A5957"/>
    <w:p w14:paraId="5C9C5FC6" w14:textId="77777777" w:rsidR="005A5957" w:rsidRPr="009F74EC" w:rsidRDefault="005A5957" w:rsidP="005A5957">
      <w:r w:rsidRPr="009F74EC">
        <w:t xml:space="preserve">El </w:t>
      </w:r>
      <w:proofErr w:type="gramStart"/>
      <w:r w:rsidRPr="009F74EC">
        <w:t>Director General</w:t>
      </w:r>
      <w:proofErr w:type="gramEnd"/>
    </w:p>
    <w:p w14:paraId="76130B2A" w14:textId="77777777" w:rsidR="005A5957" w:rsidRPr="009F74EC" w:rsidRDefault="005A5957" w:rsidP="005A5957">
      <w:r w:rsidRPr="009F74EC">
        <w:t xml:space="preserve">Servicio de Inspección Fitosanitaria de </w:t>
      </w:r>
      <w:proofErr w:type="spellStart"/>
      <w:r w:rsidRPr="009F74EC">
        <w:t>Kenya</w:t>
      </w:r>
      <w:proofErr w:type="spellEnd"/>
    </w:p>
    <w:p w14:paraId="53A03B19" w14:textId="77777777" w:rsidR="005A5957" w:rsidRPr="009F74EC" w:rsidRDefault="005A5957" w:rsidP="005A5957">
      <w:r w:rsidRPr="009F74EC">
        <w:t xml:space="preserve">Sede, </w:t>
      </w:r>
      <w:proofErr w:type="spellStart"/>
      <w:r w:rsidRPr="009F74EC">
        <w:t>Oloolua</w:t>
      </w:r>
      <w:proofErr w:type="spellEnd"/>
      <w:r w:rsidRPr="009F74EC">
        <w:t xml:space="preserve"> Ridge, Karen</w:t>
      </w:r>
    </w:p>
    <w:p w14:paraId="45081D33" w14:textId="77777777" w:rsidR="005A5957" w:rsidRPr="009F74EC" w:rsidRDefault="005A5957" w:rsidP="005A5957">
      <w:r w:rsidRPr="009F74EC">
        <w:t>P. O. Box 49592-00100, Nairobi</w:t>
      </w:r>
    </w:p>
    <w:p w14:paraId="635515AD" w14:textId="77777777" w:rsidR="005A5957" w:rsidRPr="009F74EC" w:rsidRDefault="005A5957" w:rsidP="005A5957">
      <w:r w:rsidRPr="009F74EC">
        <w:t>Tel. +254 20 3597201 o +254 20 3597203</w:t>
      </w:r>
    </w:p>
    <w:p w14:paraId="522D7A1E" w14:textId="77777777" w:rsidR="005A5957" w:rsidRPr="009F74EC" w:rsidRDefault="005A5957" w:rsidP="005A5957">
      <w:r w:rsidRPr="009F74EC">
        <w:t>Móvil: +254 723 786 779 o +254 733 874 141</w:t>
      </w:r>
    </w:p>
    <w:p w14:paraId="35B2BCCC" w14:textId="77777777" w:rsidR="005A5957" w:rsidRPr="009F74EC" w:rsidRDefault="005A5957" w:rsidP="005A5957">
      <w:r w:rsidRPr="009F74EC">
        <w:t xml:space="preserve">Correo electrónico: </w:t>
      </w:r>
      <w:hyperlink r:id="rId26" w:history="1">
        <w:r w:rsidRPr="009F74EC">
          <w:rPr>
            <w:rStyle w:val="Hyperlink"/>
          </w:rPr>
          <w:t>director@kephis.org</w:t>
        </w:r>
      </w:hyperlink>
    </w:p>
    <w:p w14:paraId="2501A72B" w14:textId="77777777" w:rsidR="005A5957" w:rsidRPr="009F74EC" w:rsidRDefault="005A5957" w:rsidP="005A5957">
      <w:r w:rsidRPr="009F74EC">
        <w:t xml:space="preserve">Página web: </w:t>
      </w:r>
      <w:hyperlink r:id="rId27" w:history="1">
        <w:r w:rsidRPr="009F74EC">
          <w:rPr>
            <w:rStyle w:val="Hyperlink"/>
          </w:rPr>
          <w:t>www.kephis.org</w:t>
        </w:r>
      </w:hyperlink>
    </w:p>
    <w:p w14:paraId="4B76D3EB" w14:textId="77777777" w:rsidR="005A5957" w:rsidRPr="009F74EC" w:rsidRDefault="005A5957" w:rsidP="005A5957">
      <w:pPr>
        <w:pStyle w:val="ListParagraph"/>
        <w:ind w:left="0"/>
        <w:contextualSpacing w:val="0"/>
        <w:rPr>
          <w:lang w:val="es-ES_tradnl"/>
        </w:rPr>
      </w:pPr>
    </w:p>
    <w:p w14:paraId="28ACBA29" w14:textId="77777777" w:rsidR="005A5957" w:rsidRPr="009F74EC" w:rsidRDefault="005A5957" w:rsidP="005A5957"/>
    <w:p w14:paraId="056E7DEE" w14:textId="77777777" w:rsidR="005A5957" w:rsidRPr="009F74EC" w:rsidRDefault="005A5957" w:rsidP="005A5957"/>
    <w:p w14:paraId="7AE1CE6D" w14:textId="3C16B799" w:rsidR="005A5957" w:rsidRPr="009F74EC" w:rsidRDefault="008D4758" w:rsidP="005A5957">
      <w:pPr>
        <w:jc w:val="right"/>
      </w:pPr>
      <w:r>
        <w:t>[</w:t>
      </w:r>
      <w:r w:rsidR="005A5957" w:rsidRPr="009F74EC">
        <w:t xml:space="preserve">Sigue el </w:t>
      </w:r>
      <w:r w:rsidR="006C394E" w:rsidRPr="009F74EC">
        <w:t xml:space="preserve">Anexo </w:t>
      </w:r>
      <w:r w:rsidR="005A5957" w:rsidRPr="009F74EC">
        <w:t>X]</w:t>
      </w:r>
    </w:p>
    <w:p w14:paraId="43B929ED" w14:textId="77777777" w:rsidR="005A5957" w:rsidRPr="009F74EC" w:rsidRDefault="005A5957" w:rsidP="005A5957">
      <w:pPr>
        <w:jc w:val="center"/>
      </w:pPr>
    </w:p>
    <w:p w14:paraId="318A4C87" w14:textId="77777777" w:rsidR="005A5957" w:rsidRPr="009F74EC" w:rsidRDefault="005A5957" w:rsidP="005A5957">
      <w:pPr>
        <w:jc w:val="center"/>
        <w:sectPr w:rsidR="005A5957" w:rsidRPr="009F74EC" w:rsidSect="00C10F83">
          <w:headerReference w:type="default" r:id="rId28"/>
          <w:pgSz w:w="11907" w:h="16840" w:code="9"/>
          <w:pgMar w:top="510" w:right="1134" w:bottom="1134" w:left="1134" w:header="510" w:footer="680" w:gutter="0"/>
          <w:pgNumType w:start="1"/>
          <w:cols w:space="720"/>
          <w:titlePg/>
        </w:sectPr>
      </w:pPr>
    </w:p>
    <w:p w14:paraId="21A6B24F" w14:textId="77777777" w:rsidR="005A5957" w:rsidRPr="009F74EC" w:rsidRDefault="005A5957" w:rsidP="005A5957">
      <w:pPr>
        <w:jc w:val="center"/>
      </w:pPr>
      <w:r w:rsidRPr="009F74EC">
        <w:lastRenderedPageBreak/>
        <w:t>C/57/13</w:t>
      </w:r>
    </w:p>
    <w:p w14:paraId="13133D52" w14:textId="77777777" w:rsidR="005A5957" w:rsidRPr="009F74EC" w:rsidRDefault="005A5957" w:rsidP="005A5957">
      <w:pPr>
        <w:jc w:val="center"/>
      </w:pPr>
    </w:p>
    <w:p w14:paraId="6424243D" w14:textId="77777777" w:rsidR="005A5957" w:rsidRPr="009F74EC" w:rsidRDefault="005A5957" w:rsidP="005A5957">
      <w:pPr>
        <w:jc w:val="center"/>
      </w:pPr>
      <w:r w:rsidRPr="009F74EC">
        <w:t>ANEXO X</w:t>
      </w:r>
    </w:p>
    <w:p w14:paraId="598F33DE" w14:textId="77777777" w:rsidR="005A5957" w:rsidRPr="009F74EC" w:rsidRDefault="005A5957" w:rsidP="005A5957">
      <w:pPr>
        <w:jc w:val="center"/>
      </w:pPr>
    </w:p>
    <w:p w14:paraId="65C5A137" w14:textId="77777777" w:rsidR="005A5957" w:rsidRPr="009F74EC" w:rsidRDefault="005A5957" w:rsidP="005A5957">
      <w:pPr>
        <w:jc w:val="center"/>
      </w:pPr>
    </w:p>
    <w:p w14:paraId="69C6A574" w14:textId="77777777" w:rsidR="005A5957" w:rsidRPr="009F74EC" w:rsidRDefault="005A5957" w:rsidP="005A5957">
      <w:pPr>
        <w:jc w:val="center"/>
      </w:pPr>
      <w:r w:rsidRPr="009F74EC">
        <w:t>LITUANIA</w:t>
      </w:r>
    </w:p>
    <w:p w14:paraId="658FABB7" w14:textId="77777777" w:rsidR="00633DB1" w:rsidRPr="009F74EC" w:rsidRDefault="00633DB1" w:rsidP="00633DB1">
      <w:pPr>
        <w:jc w:val="center"/>
      </w:pPr>
      <w:r w:rsidRPr="009F74EC">
        <w:t>(Idioma original: inglés)</w:t>
      </w:r>
    </w:p>
    <w:p w14:paraId="53BB7BB9" w14:textId="77777777" w:rsidR="00633DB1" w:rsidRPr="009F74EC" w:rsidRDefault="00633DB1" w:rsidP="00633DB1"/>
    <w:p w14:paraId="5A8645CB" w14:textId="77777777" w:rsidR="00633DB1" w:rsidRPr="009F74EC" w:rsidRDefault="00633DB1" w:rsidP="00633DB1">
      <w:pPr>
        <w:pStyle w:val="Disclaimer"/>
        <w:spacing w:after="360"/>
        <w:jc w:val="center"/>
        <w:rPr>
          <w:sz w:val="18"/>
          <w:szCs w:val="18"/>
        </w:rPr>
      </w:pPr>
      <w:r w:rsidRPr="009F74EC">
        <w:rPr>
          <w:sz w:val="18"/>
          <w:szCs w:val="18"/>
        </w:rPr>
        <w:t xml:space="preserve">Esta traducción se ha generado mediante traducción automática y no puede garantizarse su exactitud. </w:t>
      </w:r>
      <w:r w:rsidRPr="009F74EC">
        <w:rPr>
          <w:sz w:val="18"/>
          <w:szCs w:val="18"/>
        </w:rPr>
        <w:br/>
        <w:t>Por lo tanto, el texto en el idioma original es la única versión auténtica.</w:t>
      </w:r>
    </w:p>
    <w:p w14:paraId="6895C0B7" w14:textId="77777777" w:rsidR="005A5957" w:rsidRPr="009F74EC" w:rsidRDefault="005A5957" w:rsidP="005A5957">
      <w:r w:rsidRPr="009F74EC">
        <w:t>I.</w:t>
      </w:r>
      <w:r w:rsidRPr="009F74EC">
        <w:tab/>
        <w:t>PROTECCIÓN DE LAS OBTENCIONES VEGETALES</w:t>
      </w:r>
    </w:p>
    <w:p w14:paraId="540F100F" w14:textId="77777777" w:rsidR="005A5957" w:rsidRPr="009F74EC" w:rsidRDefault="005A5957" w:rsidP="005A5957"/>
    <w:p w14:paraId="60E7F8A6" w14:textId="77777777" w:rsidR="005A5957" w:rsidRPr="009F74EC" w:rsidRDefault="005A5957" w:rsidP="005A5957">
      <w:r w:rsidRPr="009F74EC">
        <w:t xml:space="preserve">1. </w:t>
      </w:r>
      <w:r w:rsidRPr="009F74EC">
        <w:tab/>
      </w:r>
      <w:r w:rsidRPr="009F74EC">
        <w:rPr>
          <w:u w:val="single"/>
        </w:rPr>
        <w:t>Situación en el ámbito legislativo</w:t>
      </w:r>
    </w:p>
    <w:p w14:paraId="3E3AD30B" w14:textId="77777777" w:rsidR="005A5957" w:rsidRPr="009F74EC" w:rsidRDefault="005A5957" w:rsidP="005A5957"/>
    <w:p w14:paraId="71BF258F" w14:textId="4E8E4CFC" w:rsidR="005A5957" w:rsidRPr="009F74EC" w:rsidRDefault="005A5957" w:rsidP="005A5957">
      <w:r w:rsidRPr="009F74EC">
        <w:t>1.1</w:t>
      </w:r>
      <w:r w:rsidR="008D4758">
        <w:tab/>
      </w:r>
      <w:r w:rsidRPr="009F74EC">
        <w:t>Modificaciones de la ley y de los reglamentos de aplicación</w:t>
      </w:r>
    </w:p>
    <w:p w14:paraId="4D10D39D" w14:textId="77777777" w:rsidR="005A5957" w:rsidRPr="009F74EC" w:rsidRDefault="005A5957" w:rsidP="005A5957">
      <w:pPr>
        <w:pStyle w:val="BodyTextIndent2"/>
        <w:ind w:left="425"/>
        <w:rPr>
          <w:sz w:val="20"/>
          <w:szCs w:val="20"/>
          <w:lang w:val="es-ES_tradnl"/>
        </w:rPr>
      </w:pPr>
    </w:p>
    <w:p w14:paraId="199300D5" w14:textId="71ECC240" w:rsidR="005A5957" w:rsidRPr="009F74EC" w:rsidRDefault="008D4758" w:rsidP="005A5957">
      <w:pPr>
        <w:pStyle w:val="BodyTextIndent2"/>
        <w:ind w:left="567" w:hanging="567"/>
        <w:rPr>
          <w:sz w:val="20"/>
          <w:szCs w:val="20"/>
          <w:lang w:val="es-ES_tradnl"/>
        </w:rPr>
      </w:pPr>
      <w:r w:rsidRPr="00855AC3">
        <w:rPr>
          <w:sz w:val="20"/>
          <w:szCs w:val="20"/>
          <w:lang w:val="en-US"/>
        </w:rPr>
        <w:t>–</w:t>
      </w:r>
      <w:r w:rsidRPr="00855AC3">
        <w:rPr>
          <w:sz w:val="20"/>
          <w:szCs w:val="20"/>
          <w:lang w:val="en-US"/>
        </w:rPr>
        <w:tab/>
      </w:r>
      <w:r w:rsidR="005A5957" w:rsidRPr="009F74EC">
        <w:rPr>
          <w:sz w:val="20"/>
          <w:szCs w:val="20"/>
          <w:lang w:val="es-ES_tradnl"/>
        </w:rPr>
        <w:t xml:space="preserve">Ley de protección de las obtenciones vegetales de la República de Lituania </w:t>
      </w:r>
      <w:proofErr w:type="spellStart"/>
      <w:r w:rsidR="005A5957" w:rsidRPr="009F74EC">
        <w:rPr>
          <w:sz w:val="20"/>
          <w:szCs w:val="20"/>
          <w:lang w:val="es-ES_tradnl"/>
        </w:rPr>
        <w:t>nº</w:t>
      </w:r>
      <w:proofErr w:type="spellEnd"/>
      <w:r w:rsidR="005A5957" w:rsidRPr="009F74EC">
        <w:rPr>
          <w:sz w:val="20"/>
          <w:szCs w:val="20"/>
          <w:lang w:val="es-ES_tradnl"/>
        </w:rPr>
        <w:t xml:space="preserve"> IX-618 de 22 de noviembre de 2001, modificada por última vez el 15 de abril de </w:t>
      </w:r>
      <w:proofErr w:type="gramStart"/>
      <w:r w:rsidR="005A5957" w:rsidRPr="009F74EC">
        <w:rPr>
          <w:sz w:val="20"/>
          <w:szCs w:val="20"/>
          <w:lang w:val="es-ES_tradnl"/>
        </w:rPr>
        <w:t>2021;</w:t>
      </w:r>
      <w:proofErr w:type="gramEnd"/>
    </w:p>
    <w:p w14:paraId="3793BA34" w14:textId="77777777" w:rsidR="005A5957" w:rsidRPr="009F74EC" w:rsidRDefault="005A5957" w:rsidP="005A5957">
      <w:pPr>
        <w:pStyle w:val="BodyTextIndent2"/>
        <w:ind w:left="425"/>
        <w:rPr>
          <w:sz w:val="20"/>
          <w:szCs w:val="20"/>
          <w:lang w:val="es-ES_tradnl"/>
        </w:rPr>
      </w:pPr>
    </w:p>
    <w:p w14:paraId="395B3A07" w14:textId="7C16EF55" w:rsidR="005A5957" w:rsidRPr="009F74EC" w:rsidRDefault="008D4758" w:rsidP="005A5957">
      <w:pPr>
        <w:pStyle w:val="BodyTextIndent2"/>
        <w:ind w:left="567" w:hanging="567"/>
        <w:rPr>
          <w:sz w:val="20"/>
          <w:szCs w:val="20"/>
          <w:lang w:val="es-ES_tradnl"/>
        </w:rPr>
      </w:pPr>
      <w:r w:rsidRPr="00855AC3">
        <w:rPr>
          <w:sz w:val="20"/>
          <w:szCs w:val="20"/>
          <w:lang w:val="en-US"/>
        </w:rPr>
        <w:t>–</w:t>
      </w:r>
      <w:r w:rsidRPr="00855AC3">
        <w:rPr>
          <w:sz w:val="20"/>
          <w:szCs w:val="20"/>
          <w:lang w:val="en-US"/>
        </w:rPr>
        <w:tab/>
      </w:r>
      <w:r w:rsidR="005A5957" w:rsidRPr="009F74EC">
        <w:rPr>
          <w:sz w:val="20"/>
          <w:szCs w:val="20"/>
          <w:lang w:val="es-ES_tradnl"/>
        </w:rPr>
        <w:t xml:space="preserve">Reglamento </w:t>
      </w:r>
      <w:proofErr w:type="spellStart"/>
      <w:r w:rsidR="005A5957" w:rsidRPr="009F74EC">
        <w:rPr>
          <w:sz w:val="20"/>
          <w:szCs w:val="20"/>
          <w:lang w:val="es-ES_tradnl"/>
        </w:rPr>
        <w:t>nº</w:t>
      </w:r>
      <w:proofErr w:type="spellEnd"/>
      <w:r w:rsidR="005A5957" w:rsidRPr="009F74EC">
        <w:rPr>
          <w:sz w:val="20"/>
          <w:szCs w:val="20"/>
          <w:lang w:val="es-ES_tradnl"/>
        </w:rPr>
        <w:t xml:space="preserve"> 1458 del Gobierno de la República de Lituania, de 15 de diciembre de 2000, relativo a las </w:t>
      </w:r>
      <w:proofErr w:type="gramStart"/>
      <w:r w:rsidR="005A5957" w:rsidRPr="009F74EC">
        <w:rPr>
          <w:sz w:val="20"/>
          <w:szCs w:val="20"/>
          <w:lang w:val="es-ES_tradnl"/>
        </w:rPr>
        <w:t>tasas;</w:t>
      </w:r>
      <w:proofErr w:type="gramEnd"/>
    </w:p>
    <w:p w14:paraId="7BCDEFE9" w14:textId="77777777" w:rsidR="005A5957" w:rsidRPr="009F74EC" w:rsidRDefault="005A5957" w:rsidP="005A5957">
      <w:pPr>
        <w:pStyle w:val="BodyTextIndent2"/>
        <w:ind w:left="425"/>
        <w:rPr>
          <w:sz w:val="20"/>
          <w:szCs w:val="20"/>
          <w:lang w:val="es-ES_tradnl"/>
        </w:rPr>
      </w:pPr>
    </w:p>
    <w:p w14:paraId="2679C7E4" w14:textId="4E259B99" w:rsidR="005A5957" w:rsidRPr="009F74EC" w:rsidRDefault="008D4758" w:rsidP="005A5957">
      <w:pPr>
        <w:pStyle w:val="BodyTextIndent2"/>
        <w:ind w:left="567" w:hanging="567"/>
        <w:rPr>
          <w:sz w:val="20"/>
          <w:szCs w:val="20"/>
          <w:lang w:val="es-ES_tradnl"/>
        </w:rPr>
      </w:pPr>
      <w:r w:rsidRPr="00855AC3">
        <w:rPr>
          <w:sz w:val="20"/>
          <w:szCs w:val="20"/>
          <w:lang w:val="en-US"/>
        </w:rPr>
        <w:t>–</w:t>
      </w:r>
      <w:r w:rsidRPr="00855AC3">
        <w:rPr>
          <w:sz w:val="20"/>
          <w:szCs w:val="20"/>
          <w:lang w:val="en-US"/>
        </w:rPr>
        <w:tab/>
      </w:r>
      <w:r w:rsidR="005A5957" w:rsidRPr="009F74EC">
        <w:rPr>
          <w:sz w:val="20"/>
          <w:szCs w:val="20"/>
          <w:lang w:val="es-ES_tradnl"/>
        </w:rPr>
        <w:t xml:space="preserve">Orden </w:t>
      </w:r>
      <w:proofErr w:type="spellStart"/>
      <w:r w:rsidR="005A5957" w:rsidRPr="009F74EC">
        <w:rPr>
          <w:sz w:val="20"/>
          <w:szCs w:val="20"/>
          <w:lang w:val="es-ES_tradnl"/>
        </w:rPr>
        <w:t>nº</w:t>
      </w:r>
      <w:proofErr w:type="spellEnd"/>
      <w:r w:rsidR="005A5957" w:rsidRPr="009F74EC">
        <w:rPr>
          <w:sz w:val="20"/>
          <w:szCs w:val="20"/>
          <w:lang w:val="es-ES_tradnl"/>
        </w:rPr>
        <w:t xml:space="preserve"> A1-50 del Director del Servicio Estatal de Plantas dependiente del Ministerio de Agricultura del 8 de agosto de 2010, sobre la Aprobación del Formulario de Solicitud de Protección de Obtenciones </w:t>
      </w:r>
      <w:proofErr w:type="gramStart"/>
      <w:r w:rsidR="005A5957" w:rsidRPr="009F74EC">
        <w:rPr>
          <w:sz w:val="20"/>
          <w:szCs w:val="20"/>
          <w:lang w:val="es-ES_tradnl"/>
        </w:rPr>
        <w:t>Vegetales;</w:t>
      </w:r>
      <w:proofErr w:type="gramEnd"/>
    </w:p>
    <w:p w14:paraId="28F62E40" w14:textId="77777777" w:rsidR="005A5957" w:rsidRPr="009F74EC" w:rsidRDefault="005A5957" w:rsidP="005A5957">
      <w:pPr>
        <w:pStyle w:val="BodyTextIndent2"/>
        <w:ind w:left="425"/>
        <w:rPr>
          <w:sz w:val="20"/>
          <w:szCs w:val="20"/>
          <w:lang w:val="es-ES_tradnl"/>
        </w:rPr>
      </w:pPr>
    </w:p>
    <w:p w14:paraId="07591E7A" w14:textId="79696053" w:rsidR="005A5957" w:rsidRPr="009F74EC" w:rsidRDefault="008D4758" w:rsidP="005A5957">
      <w:pPr>
        <w:pStyle w:val="BodyTextIndent2"/>
        <w:ind w:left="567" w:hanging="567"/>
        <w:rPr>
          <w:sz w:val="20"/>
          <w:szCs w:val="20"/>
          <w:lang w:val="es-ES_tradnl"/>
        </w:rPr>
      </w:pPr>
      <w:r w:rsidRPr="00855AC3">
        <w:rPr>
          <w:sz w:val="20"/>
          <w:szCs w:val="20"/>
          <w:lang w:val="en-US"/>
        </w:rPr>
        <w:t>–</w:t>
      </w:r>
      <w:r w:rsidRPr="00855AC3">
        <w:rPr>
          <w:sz w:val="20"/>
          <w:szCs w:val="20"/>
          <w:lang w:val="en-US"/>
        </w:rPr>
        <w:tab/>
      </w:r>
      <w:r w:rsidR="005A5957" w:rsidRPr="009F74EC">
        <w:rPr>
          <w:sz w:val="20"/>
          <w:szCs w:val="20"/>
          <w:lang w:val="es-ES_tradnl"/>
        </w:rPr>
        <w:t xml:space="preserve">Orden </w:t>
      </w:r>
      <w:proofErr w:type="spellStart"/>
      <w:r w:rsidR="005A5957" w:rsidRPr="009F74EC">
        <w:rPr>
          <w:sz w:val="20"/>
          <w:szCs w:val="20"/>
          <w:lang w:val="es-ES_tradnl"/>
        </w:rPr>
        <w:t>nº</w:t>
      </w:r>
      <w:proofErr w:type="spellEnd"/>
      <w:r w:rsidR="005A5957" w:rsidRPr="009F74EC">
        <w:rPr>
          <w:sz w:val="20"/>
          <w:szCs w:val="20"/>
          <w:lang w:val="es-ES_tradnl"/>
        </w:rPr>
        <w:t xml:space="preserve"> 3 D-371 del Ministro de Agricultura de la República de Lituania del 23 de junio de 2004, relativa a la remuneración.</w:t>
      </w:r>
    </w:p>
    <w:p w14:paraId="00F2DDE7" w14:textId="77777777" w:rsidR="005A5957" w:rsidRPr="009F74EC" w:rsidRDefault="005A5957" w:rsidP="005A5957">
      <w:pPr>
        <w:pStyle w:val="BodyTextIndent2"/>
        <w:ind w:left="425"/>
        <w:rPr>
          <w:sz w:val="20"/>
          <w:szCs w:val="20"/>
          <w:lang w:val="es-ES_tradnl"/>
        </w:rPr>
      </w:pPr>
    </w:p>
    <w:p w14:paraId="0037A783" w14:textId="7E4D6FCA" w:rsidR="005A5957" w:rsidRPr="009F74EC" w:rsidRDefault="005A5957" w:rsidP="005A5957">
      <w:pPr>
        <w:pStyle w:val="BodyTextIndent2"/>
        <w:ind w:left="567" w:hanging="567"/>
        <w:rPr>
          <w:sz w:val="20"/>
          <w:szCs w:val="20"/>
          <w:lang w:val="es-ES_tradnl"/>
        </w:rPr>
      </w:pPr>
      <w:r w:rsidRPr="009F74EC">
        <w:rPr>
          <w:sz w:val="20"/>
          <w:szCs w:val="20"/>
          <w:lang w:val="es-ES_tradnl"/>
        </w:rPr>
        <w:t>1.2</w:t>
      </w:r>
      <w:r w:rsidR="008D4758">
        <w:rPr>
          <w:sz w:val="20"/>
          <w:szCs w:val="20"/>
          <w:lang w:val="es-ES_tradnl"/>
        </w:rPr>
        <w:tab/>
      </w:r>
      <w:r w:rsidRPr="009F74EC">
        <w:rPr>
          <w:sz w:val="20"/>
          <w:szCs w:val="20"/>
          <w:lang w:val="es-ES_tradnl"/>
        </w:rPr>
        <w:t>Ampliación de la protección a otros géneros y especies (realizada o prevista)</w:t>
      </w:r>
    </w:p>
    <w:p w14:paraId="7221EFBB" w14:textId="77777777" w:rsidR="005A5957" w:rsidRPr="009F74EC" w:rsidRDefault="005A5957" w:rsidP="005A5957">
      <w:pPr>
        <w:pStyle w:val="BodyTextIndent2"/>
        <w:ind w:left="425"/>
        <w:rPr>
          <w:sz w:val="20"/>
          <w:szCs w:val="20"/>
          <w:lang w:val="es-ES_tradnl"/>
        </w:rPr>
      </w:pPr>
    </w:p>
    <w:p w14:paraId="1AF6C58B" w14:textId="4831CCEA" w:rsidR="005A5957" w:rsidRPr="009F74EC" w:rsidRDefault="005A5957" w:rsidP="005A5957">
      <w:r w:rsidRPr="009F74EC">
        <w:t>De conformidad con las enmiendas a la Ley de Protección de las Obtenciones Vegetales de la República de Lituania de 26 de abril de 2012, las variedades de todos los géneros y especies vegetales pueden protegerse en la República de Lituania.</w:t>
      </w:r>
    </w:p>
    <w:p w14:paraId="0805232A" w14:textId="77777777" w:rsidR="005A5957" w:rsidRPr="009F74EC" w:rsidRDefault="005A5957" w:rsidP="005A5957">
      <w:pPr>
        <w:pStyle w:val="BodyTextIndent2"/>
        <w:ind w:left="425"/>
        <w:rPr>
          <w:sz w:val="20"/>
          <w:szCs w:val="20"/>
          <w:lang w:val="es-ES_tradnl"/>
        </w:rPr>
      </w:pPr>
    </w:p>
    <w:p w14:paraId="4822C88A" w14:textId="7BC694AF" w:rsidR="005A5957" w:rsidRPr="009F74EC" w:rsidRDefault="005A5957" w:rsidP="005A5957">
      <w:pPr>
        <w:pStyle w:val="BodyTextIndent2"/>
        <w:ind w:left="567" w:hanging="567"/>
        <w:rPr>
          <w:sz w:val="20"/>
          <w:szCs w:val="20"/>
          <w:lang w:val="es-ES_tradnl"/>
        </w:rPr>
      </w:pPr>
      <w:r w:rsidRPr="009F74EC">
        <w:rPr>
          <w:sz w:val="20"/>
          <w:szCs w:val="20"/>
          <w:lang w:val="es-ES_tradnl"/>
        </w:rPr>
        <w:t>1.3</w:t>
      </w:r>
      <w:r w:rsidR="008D4758">
        <w:rPr>
          <w:sz w:val="20"/>
          <w:szCs w:val="20"/>
          <w:lang w:val="es-ES_tradnl"/>
        </w:rPr>
        <w:tab/>
      </w:r>
      <w:r w:rsidRPr="009F74EC">
        <w:rPr>
          <w:sz w:val="20"/>
          <w:szCs w:val="20"/>
          <w:lang w:val="es-ES_tradnl"/>
        </w:rPr>
        <w:t>La jurisprudencia</w:t>
      </w:r>
    </w:p>
    <w:p w14:paraId="79743E81" w14:textId="77777777" w:rsidR="005A5957" w:rsidRPr="009F74EC" w:rsidRDefault="005A5957" w:rsidP="005A5957"/>
    <w:p w14:paraId="7B8EDC09" w14:textId="77777777" w:rsidR="005A5957" w:rsidRPr="009F74EC" w:rsidRDefault="005A5957" w:rsidP="005A5957">
      <w:r w:rsidRPr="009F74EC">
        <w:t>En 2022 no existía en Lituania jurisprudencia relativa a la protección de las obtenciones vegetales.</w:t>
      </w:r>
    </w:p>
    <w:p w14:paraId="329C4B2B" w14:textId="77777777" w:rsidR="005A5957" w:rsidRPr="009F74EC" w:rsidRDefault="005A5957" w:rsidP="005A5957"/>
    <w:p w14:paraId="30FC7AE0" w14:textId="77777777" w:rsidR="005A5957" w:rsidRPr="009F74EC" w:rsidRDefault="005A5957" w:rsidP="005A5957">
      <w:r w:rsidRPr="009F74EC">
        <w:t>2.</w:t>
      </w:r>
      <w:r w:rsidRPr="009F74EC">
        <w:tab/>
      </w:r>
      <w:r w:rsidRPr="009F74EC">
        <w:rPr>
          <w:u w:val="single"/>
        </w:rPr>
        <w:t>Cooperación en el examen</w:t>
      </w:r>
    </w:p>
    <w:p w14:paraId="6102BD70" w14:textId="77777777" w:rsidR="005A5957" w:rsidRPr="009F74EC" w:rsidRDefault="005A5957" w:rsidP="005A5957">
      <w:pPr>
        <w:tabs>
          <w:tab w:val="left" w:pos="426"/>
          <w:tab w:val="left" w:pos="851"/>
        </w:tabs>
      </w:pPr>
    </w:p>
    <w:p w14:paraId="412A5844" w14:textId="77777777" w:rsidR="005A5957" w:rsidRPr="009F74EC" w:rsidRDefault="005A5957" w:rsidP="005A5957">
      <w:r w:rsidRPr="009F74EC">
        <w:t>Lituania ha firmado dos acuerdos de cooperación en materia de exámenes:</w:t>
      </w:r>
    </w:p>
    <w:p w14:paraId="1088F5BC" w14:textId="77777777" w:rsidR="005A5957" w:rsidRPr="009F74EC" w:rsidRDefault="005A5957" w:rsidP="005A5957"/>
    <w:p w14:paraId="7147D648" w14:textId="03087648" w:rsidR="005A5957" w:rsidRPr="009F74EC" w:rsidRDefault="008D4758" w:rsidP="005A5957">
      <w:pPr>
        <w:pStyle w:val="BodyTextIndent2"/>
        <w:ind w:left="567" w:hanging="567"/>
        <w:rPr>
          <w:sz w:val="20"/>
          <w:szCs w:val="20"/>
          <w:lang w:val="es-ES_tradnl"/>
        </w:rPr>
      </w:pPr>
      <w:r w:rsidRPr="00855AC3">
        <w:rPr>
          <w:sz w:val="20"/>
          <w:szCs w:val="20"/>
          <w:lang w:val="en-US"/>
        </w:rPr>
        <w:t>–</w:t>
      </w:r>
      <w:r w:rsidRPr="00855AC3">
        <w:rPr>
          <w:sz w:val="20"/>
          <w:szCs w:val="20"/>
          <w:lang w:val="en-US"/>
        </w:rPr>
        <w:tab/>
      </w:r>
      <w:r w:rsidR="005A5957" w:rsidRPr="009F74EC">
        <w:rPr>
          <w:sz w:val="20"/>
          <w:szCs w:val="20"/>
          <w:lang w:val="es-ES_tradnl"/>
        </w:rPr>
        <w:t xml:space="preserve">El acuerdo bilateral del 11 de agosto de 2000 con el Centro Polaco de Investigación para el Examen de Cultivares (COBORU) relativo a la realización de exámenes DHE fue modificado el 14 de noviembre de 2012 por el acuerdo administrativo </w:t>
      </w:r>
      <w:proofErr w:type="spellStart"/>
      <w:r w:rsidR="005A5957" w:rsidRPr="009F74EC">
        <w:rPr>
          <w:sz w:val="20"/>
          <w:szCs w:val="20"/>
          <w:lang w:val="es-ES_tradnl"/>
        </w:rPr>
        <w:t>nº</w:t>
      </w:r>
      <w:proofErr w:type="spellEnd"/>
      <w:r w:rsidR="005A5957" w:rsidRPr="009F74EC">
        <w:rPr>
          <w:sz w:val="20"/>
          <w:szCs w:val="20"/>
          <w:lang w:val="es-ES_tradnl"/>
        </w:rPr>
        <w:t xml:space="preserve"> 1/2012/19T-</w:t>
      </w:r>
      <w:proofErr w:type="gramStart"/>
      <w:r w:rsidR="005A5957" w:rsidRPr="009F74EC">
        <w:rPr>
          <w:sz w:val="20"/>
          <w:szCs w:val="20"/>
          <w:lang w:val="es-ES_tradnl"/>
        </w:rPr>
        <w:t>247;</w:t>
      </w:r>
      <w:proofErr w:type="gramEnd"/>
    </w:p>
    <w:p w14:paraId="6BF46FB4" w14:textId="77777777" w:rsidR="005A5957" w:rsidRPr="009F74EC" w:rsidRDefault="005A5957" w:rsidP="005A5957"/>
    <w:p w14:paraId="1B6E4DCB" w14:textId="73A0AF02" w:rsidR="005A5957" w:rsidRPr="009F74EC" w:rsidRDefault="008D4758" w:rsidP="005A5957">
      <w:pPr>
        <w:pStyle w:val="BodyTextIndent2"/>
        <w:ind w:left="567" w:hanging="567"/>
        <w:rPr>
          <w:sz w:val="20"/>
          <w:szCs w:val="20"/>
          <w:lang w:val="es-ES_tradnl"/>
        </w:rPr>
      </w:pPr>
      <w:r w:rsidRPr="00855AC3">
        <w:rPr>
          <w:sz w:val="20"/>
          <w:szCs w:val="20"/>
          <w:lang w:val="en-US"/>
        </w:rPr>
        <w:t>–</w:t>
      </w:r>
      <w:r w:rsidRPr="00855AC3">
        <w:rPr>
          <w:sz w:val="20"/>
          <w:szCs w:val="20"/>
          <w:lang w:val="en-US"/>
        </w:rPr>
        <w:tab/>
      </w:r>
      <w:r w:rsidR="005A5957" w:rsidRPr="009F74EC">
        <w:rPr>
          <w:sz w:val="20"/>
          <w:szCs w:val="20"/>
          <w:lang w:val="es-ES_tradnl"/>
        </w:rPr>
        <w:t xml:space="preserve">El acuerdo </w:t>
      </w:r>
      <w:proofErr w:type="spellStart"/>
      <w:r w:rsidR="005A5957" w:rsidRPr="009F74EC">
        <w:rPr>
          <w:sz w:val="20"/>
          <w:szCs w:val="20"/>
          <w:lang w:val="es-ES_tradnl"/>
        </w:rPr>
        <w:t>nº</w:t>
      </w:r>
      <w:proofErr w:type="spellEnd"/>
      <w:r w:rsidR="005A5957" w:rsidRPr="009F74EC">
        <w:rPr>
          <w:sz w:val="20"/>
          <w:szCs w:val="20"/>
          <w:lang w:val="es-ES_tradnl"/>
        </w:rPr>
        <w:t xml:space="preserve"> 10 con la Oficina Federal de Variedades Vegetales (Bundessortenamt), Alemania, relativo a la transmisión de los resultados del examen técnico para los exámenes DHE del 30 de junio de 2006, ha sido modificado el 18 de octubre de 2010, por el acuerdo </w:t>
      </w:r>
      <w:proofErr w:type="spellStart"/>
      <w:r w:rsidR="005A5957" w:rsidRPr="009F74EC">
        <w:rPr>
          <w:sz w:val="20"/>
          <w:szCs w:val="20"/>
          <w:lang w:val="es-ES_tradnl"/>
        </w:rPr>
        <w:t>nº</w:t>
      </w:r>
      <w:proofErr w:type="spellEnd"/>
      <w:r w:rsidR="005A5957" w:rsidRPr="009F74EC">
        <w:rPr>
          <w:sz w:val="20"/>
          <w:szCs w:val="20"/>
          <w:lang w:val="es-ES_tradnl"/>
        </w:rPr>
        <w:t xml:space="preserve"> 19T-98.</w:t>
      </w:r>
    </w:p>
    <w:p w14:paraId="71AB32E5" w14:textId="77777777" w:rsidR="005A5957" w:rsidRPr="009F74EC" w:rsidRDefault="005A5957" w:rsidP="005A5957">
      <w:pPr>
        <w:pStyle w:val="BodyTextIndent2"/>
        <w:ind w:left="567" w:hanging="567"/>
        <w:rPr>
          <w:sz w:val="20"/>
          <w:szCs w:val="18"/>
          <w:lang w:val="es-ES_tradnl"/>
        </w:rPr>
      </w:pPr>
    </w:p>
    <w:p w14:paraId="4FCC6657" w14:textId="77777777" w:rsidR="005A5957" w:rsidRPr="009F74EC" w:rsidRDefault="005A5957" w:rsidP="005A5957">
      <w:pPr>
        <w:rPr>
          <w:u w:val="single"/>
        </w:rPr>
      </w:pPr>
      <w:r w:rsidRPr="009F74EC">
        <w:t>3.</w:t>
      </w:r>
      <w:r w:rsidRPr="009F74EC">
        <w:tab/>
      </w:r>
      <w:r w:rsidRPr="009F74EC">
        <w:rPr>
          <w:u w:val="single"/>
        </w:rPr>
        <w:t>Situación en el ámbito administrativo</w:t>
      </w:r>
    </w:p>
    <w:p w14:paraId="6F7EE7DA" w14:textId="77777777" w:rsidR="005A5957" w:rsidRPr="009F74EC" w:rsidRDefault="005A5957" w:rsidP="005A5957"/>
    <w:p w14:paraId="729184A3" w14:textId="77777777" w:rsidR="005A5957" w:rsidRPr="009F74EC" w:rsidRDefault="005A5957" w:rsidP="005A5957">
      <w:r w:rsidRPr="009F74EC">
        <w:t>La División de Obtenciones Vegetales del Servicio Estatal de Plantas, dependiente del Ministerio de Agricultura de la República de Lituania, también es responsable del examen, la elaboración de listas y la protección jurídica de las obtenciones vegetales.</w:t>
      </w:r>
    </w:p>
    <w:p w14:paraId="539A5787" w14:textId="77777777" w:rsidR="005A5957" w:rsidRPr="009F74EC" w:rsidRDefault="005A5957" w:rsidP="005A5957"/>
    <w:p w14:paraId="631CA8B0" w14:textId="3FB5C227" w:rsidR="005A5957" w:rsidRPr="009F74EC" w:rsidRDefault="005A5957" w:rsidP="005A5957">
      <w:r w:rsidRPr="009F74EC">
        <w:t xml:space="preserve">La Comisión para la Evaluación de las Solicitudes de Protección de Variedades, aprobada por la Orden </w:t>
      </w:r>
      <w:proofErr w:type="spellStart"/>
      <w:r w:rsidRPr="009F74EC">
        <w:t>nº</w:t>
      </w:r>
      <w:proofErr w:type="spellEnd"/>
      <w:r w:rsidRPr="009F74EC">
        <w:t xml:space="preserve"> A1-141 del </w:t>
      </w:r>
      <w:proofErr w:type="gramStart"/>
      <w:r w:rsidRPr="009F74EC">
        <w:t>Director</w:t>
      </w:r>
      <w:proofErr w:type="gramEnd"/>
      <w:r w:rsidRPr="009F74EC">
        <w:t xml:space="preserve"> del Servicio Estatal de Plantas del Ministerio de Agricultura de la República de Lituania el 6 de mayo de 2011, ha sido modificada el 9 de octubre de 2020 por la Orden </w:t>
      </w:r>
      <w:proofErr w:type="spellStart"/>
      <w:r w:rsidRPr="009F74EC">
        <w:t>nº</w:t>
      </w:r>
      <w:proofErr w:type="spellEnd"/>
      <w:r w:rsidRPr="009F74EC">
        <w:t xml:space="preserve"> A1-489 del Director del Servicio Estatal de Plantas del Ministerio de Agricultura de la República de Lituania.</w:t>
      </w:r>
    </w:p>
    <w:p w14:paraId="5D804F30" w14:textId="77777777" w:rsidR="005A5957" w:rsidRPr="009F74EC" w:rsidRDefault="005A5957" w:rsidP="005A5957"/>
    <w:p w14:paraId="1E6AC9D1" w14:textId="77777777" w:rsidR="005A5957" w:rsidRPr="009F74EC" w:rsidRDefault="005A5957" w:rsidP="005A5957">
      <w:r w:rsidRPr="009F74EC">
        <w:t xml:space="preserve">La concesión de la protección de la obtención vegetal será aprobada por orden del </w:t>
      </w:r>
      <w:proofErr w:type="gramStart"/>
      <w:r w:rsidRPr="009F74EC">
        <w:t>Director</w:t>
      </w:r>
      <w:proofErr w:type="gramEnd"/>
      <w:r w:rsidRPr="009F74EC">
        <w:t xml:space="preserve"> del Servicio Estatal de Plantas dependiente del Ministerio de Agricultura de la República de Lituania.</w:t>
      </w:r>
    </w:p>
    <w:p w14:paraId="01CD278E" w14:textId="77777777" w:rsidR="005A5957" w:rsidRPr="009F74EC" w:rsidRDefault="005A5957" w:rsidP="005A5957"/>
    <w:p w14:paraId="367310C8" w14:textId="77777777" w:rsidR="005A5957" w:rsidRPr="009F74EC" w:rsidRDefault="005A5957" w:rsidP="005A5957">
      <w:r w:rsidRPr="009F74EC">
        <w:t>Los procedimientos y el sistema de protección de las obtenciones vegetales se definen en la Ley de Protección de las Obtenciones Vegetales de la República de Lituania.</w:t>
      </w:r>
    </w:p>
    <w:p w14:paraId="7757AA36" w14:textId="77777777" w:rsidR="005A5957" w:rsidRPr="009F74EC" w:rsidRDefault="005A5957" w:rsidP="005A5957"/>
    <w:p w14:paraId="7929DD7D" w14:textId="77777777" w:rsidR="005A5957" w:rsidRPr="009F74EC" w:rsidRDefault="005A5957" w:rsidP="005A5957">
      <w:pPr>
        <w:keepNext/>
      </w:pPr>
      <w:r w:rsidRPr="009F74EC">
        <w:t>4.</w:t>
      </w:r>
      <w:r w:rsidRPr="009F74EC">
        <w:tab/>
      </w:r>
      <w:r w:rsidRPr="009F74EC">
        <w:rPr>
          <w:u w:val="single"/>
        </w:rPr>
        <w:t>Situación en el ámbito técnico</w:t>
      </w:r>
    </w:p>
    <w:p w14:paraId="5622F89F" w14:textId="77777777" w:rsidR="005A5957" w:rsidRPr="009F74EC" w:rsidRDefault="005A5957" w:rsidP="005A5957">
      <w:pPr>
        <w:keepNext/>
      </w:pPr>
    </w:p>
    <w:p w14:paraId="16A8E17A" w14:textId="3AE623EA" w:rsidR="005A5957" w:rsidRPr="009F74EC" w:rsidRDefault="005A5957" w:rsidP="005A5957">
      <w:r w:rsidRPr="009F74EC">
        <w:t xml:space="preserve">Los exámenes DHE son realizados por el Centro Polaco de Investigación para el Examen de Cultivares (COBORU) de conformidad con el acuerdo administrativo </w:t>
      </w:r>
      <w:proofErr w:type="spellStart"/>
      <w:r w:rsidRPr="009F74EC">
        <w:t>nº</w:t>
      </w:r>
      <w:proofErr w:type="spellEnd"/>
      <w:r w:rsidRPr="009F74EC">
        <w:t xml:space="preserve"> 1/2012/19T-247, modificado el 14 de noviembre de 2012, o por otra autoridad competente de la Unión Europea a petición del obtentor.</w:t>
      </w:r>
    </w:p>
    <w:p w14:paraId="67DEC681" w14:textId="77777777" w:rsidR="005A5957" w:rsidRPr="009F74EC" w:rsidRDefault="005A5957" w:rsidP="005A5957"/>
    <w:p w14:paraId="6872441D" w14:textId="77777777" w:rsidR="005A5957" w:rsidRPr="009F74EC" w:rsidRDefault="005A5957" w:rsidP="005A5957">
      <w:pPr>
        <w:rPr>
          <w:u w:val="single"/>
        </w:rPr>
      </w:pPr>
      <w:r w:rsidRPr="009F74EC">
        <w:t>5.</w:t>
      </w:r>
      <w:r w:rsidRPr="009F74EC">
        <w:tab/>
      </w:r>
      <w:r w:rsidRPr="009F74EC">
        <w:rPr>
          <w:u w:val="single"/>
        </w:rPr>
        <w:t>Actividades de fomento de la protección de las obtenciones vegetales</w:t>
      </w:r>
    </w:p>
    <w:p w14:paraId="02ABF30B" w14:textId="77777777" w:rsidR="005A5957" w:rsidRPr="009F74EC" w:rsidRDefault="005A5957" w:rsidP="005A5957"/>
    <w:tbl>
      <w:tblPr>
        <w:tblStyle w:val="TableGrid"/>
        <w:tblW w:w="9776" w:type="dxa"/>
        <w:tblLayout w:type="fixed"/>
        <w:tblCellMar>
          <w:top w:w="28" w:type="dxa"/>
          <w:left w:w="28" w:type="dxa"/>
          <w:bottom w:w="28" w:type="dxa"/>
          <w:right w:w="28" w:type="dxa"/>
        </w:tblCellMar>
        <w:tblLook w:val="01E0" w:firstRow="1" w:lastRow="1" w:firstColumn="1" w:lastColumn="1" w:noHBand="0" w:noVBand="0"/>
      </w:tblPr>
      <w:tblGrid>
        <w:gridCol w:w="1696"/>
        <w:gridCol w:w="1276"/>
        <w:gridCol w:w="992"/>
        <w:gridCol w:w="993"/>
        <w:gridCol w:w="1984"/>
        <w:gridCol w:w="2835"/>
      </w:tblGrid>
      <w:tr w:rsidR="005A5957" w:rsidRPr="009F74EC" w14:paraId="2E5D2192" w14:textId="77777777" w:rsidTr="008D4758">
        <w:tc>
          <w:tcPr>
            <w:tcW w:w="1696" w:type="dxa"/>
          </w:tcPr>
          <w:p w14:paraId="19978CB2" w14:textId="77777777" w:rsidR="005A5957" w:rsidRPr="009F74EC" w:rsidRDefault="005A5957" w:rsidP="00C30F9D">
            <w:pPr>
              <w:keepNext/>
              <w:jc w:val="left"/>
              <w:rPr>
                <w:sz w:val="16"/>
              </w:rPr>
            </w:pPr>
            <w:r w:rsidRPr="009F74EC">
              <w:rPr>
                <w:sz w:val="16"/>
              </w:rPr>
              <w:t>Título de la actividad</w:t>
            </w:r>
          </w:p>
        </w:tc>
        <w:tc>
          <w:tcPr>
            <w:tcW w:w="1276" w:type="dxa"/>
          </w:tcPr>
          <w:p w14:paraId="65FD35C5" w14:textId="77777777" w:rsidR="005A5957" w:rsidRPr="009F74EC" w:rsidRDefault="005A5957" w:rsidP="00C30F9D">
            <w:pPr>
              <w:keepNext/>
              <w:jc w:val="left"/>
              <w:rPr>
                <w:sz w:val="16"/>
              </w:rPr>
            </w:pPr>
            <w:r w:rsidRPr="009F74EC">
              <w:rPr>
                <w:sz w:val="16"/>
              </w:rPr>
              <w:t>Fecha</w:t>
            </w:r>
          </w:p>
        </w:tc>
        <w:tc>
          <w:tcPr>
            <w:tcW w:w="992" w:type="dxa"/>
          </w:tcPr>
          <w:p w14:paraId="3E04C4BF" w14:textId="77777777" w:rsidR="005A5957" w:rsidRPr="009F74EC" w:rsidRDefault="005A5957" w:rsidP="00C30F9D">
            <w:pPr>
              <w:keepNext/>
              <w:jc w:val="left"/>
              <w:rPr>
                <w:sz w:val="16"/>
              </w:rPr>
            </w:pPr>
            <w:r w:rsidRPr="009F74EC">
              <w:rPr>
                <w:sz w:val="16"/>
              </w:rPr>
              <w:t>Ubicación</w:t>
            </w:r>
          </w:p>
        </w:tc>
        <w:tc>
          <w:tcPr>
            <w:tcW w:w="993" w:type="dxa"/>
          </w:tcPr>
          <w:p w14:paraId="57FCA8BB" w14:textId="77777777" w:rsidR="005A5957" w:rsidRPr="009F74EC" w:rsidRDefault="005A5957" w:rsidP="00C30F9D">
            <w:pPr>
              <w:keepNext/>
              <w:jc w:val="left"/>
              <w:rPr>
                <w:sz w:val="16"/>
              </w:rPr>
            </w:pPr>
            <w:r w:rsidRPr="009F74EC">
              <w:rPr>
                <w:sz w:val="16"/>
              </w:rPr>
              <w:t>Organizador(es)</w:t>
            </w:r>
          </w:p>
        </w:tc>
        <w:tc>
          <w:tcPr>
            <w:tcW w:w="1984" w:type="dxa"/>
          </w:tcPr>
          <w:p w14:paraId="12E1E381" w14:textId="77777777" w:rsidR="005A5957" w:rsidRPr="009F74EC" w:rsidRDefault="005A5957" w:rsidP="00C30F9D">
            <w:pPr>
              <w:keepNext/>
              <w:jc w:val="left"/>
              <w:rPr>
                <w:sz w:val="16"/>
              </w:rPr>
            </w:pPr>
            <w:r w:rsidRPr="009F74EC">
              <w:rPr>
                <w:sz w:val="16"/>
              </w:rPr>
              <w:t>Objetivo de la actividad</w:t>
            </w:r>
          </w:p>
        </w:tc>
        <w:tc>
          <w:tcPr>
            <w:tcW w:w="2835" w:type="dxa"/>
          </w:tcPr>
          <w:p w14:paraId="7EE18FF8" w14:textId="77777777" w:rsidR="005A5957" w:rsidRPr="009F74EC" w:rsidRDefault="005A5957" w:rsidP="00C30F9D">
            <w:pPr>
              <w:keepNext/>
              <w:jc w:val="left"/>
              <w:rPr>
                <w:sz w:val="16"/>
              </w:rPr>
            </w:pPr>
            <w:r w:rsidRPr="009F74EC">
              <w:rPr>
                <w:sz w:val="16"/>
              </w:rPr>
              <w:t>Países/organizaciones participantes (número de participantes de cada uno)</w:t>
            </w:r>
          </w:p>
        </w:tc>
      </w:tr>
      <w:tr w:rsidR="005A5957" w:rsidRPr="009F74EC" w14:paraId="6C1B8968" w14:textId="77777777" w:rsidTr="008D4758">
        <w:tc>
          <w:tcPr>
            <w:tcW w:w="1696" w:type="dxa"/>
          </w:tcPr>
          <w:p w14:paraId="45DD96E9" w14:textId="77777777" w:rsidR="005A5957" w:rsidRPr="009F74EC" w:rsidRDefault="005A5957" w:rsidP="00C30F9D">
            <w:pPr>
              <w:jc w:val="left"/>
              <w:rPr>
                <w:sz w:val="16"/>
              </w:rPr>
            </w:pPr>
            <w:r w:rsidRPr="009F74EC">
              <w:rPr>
                <w:sz w:val="16"/>
              </w:rPr>
              <w:t>Reunión administrativa de la OCVV</w:t>
            </w:r>
          </w:p>
        </w:tc>
        <w:tc>
          <w:tcPr>
            <w:tcW w:w="1276" w:type="dxa"/>
          </w:tcPr>
          <w:p w14:paraId="60F33D50" w14:textId="29FCA85E" w:rsidR="005A5957" w:rsidRPr="009F74EC" w:rsidRDefault="005A5957" w:rsidP="00C30F9D">
            <w:pPr>
              <w:jc w:val="left"/>
              <w:rPr>
                <w:sz w:val="16"/>
              </w:rPr>
            </w:pPr>
            <w:r w:rsidRPr="009F74EC">
              <w:rPr>
                <w:sz w:val="16"/>
              </w:rPr>
              <w:t>27 de abril de 2022</w:t>
            </w:r>
          </w:p>
        </w:tc>
        <w:tc>
          <w:tcPr>
            <w:tcW w:w="992" w:type="dxa"/>
          </w:tcPr>
          <w:p w14:paraId="6E8409A4" w14:textId="77777777" w:rsidR="005A5957" w:rsidRPr="009F74EC" w:rsidRDefault="005A5957" w:rsidP="00C30F9D">
            <w:pPr>
              <w:jc w:val="left"/>
              <w:rPr>
                <w:sz w:val="16"/>
              </w:rPr>
            </w:pPr>
            <w:r w:rsidRPr="009F74EC">
              <w:rPr>
                <w:sz w:val="16"/>
              </w:rPr>
              <w:t>Francia, Angers</w:t>
            </w:r>
          </w:p>
        </w:tc>
        <w:tc>
          <w:tcPr>
            <w:tcW w:w="993" w:type="dxa"/>
          </w:tcPr>
          <w:p w14:paraId="5A72C1C7" w14:textId="77777777" w:rsidR="005A5957" w:rsidRPr="009F74EC" w:rsidRDefault="005A5957" w:rsidP="00C30F9D">
            <w:pPr>
              <w:jc w:val="left"/>
              <w:rPr>
                <w:sz w:val="16"/>
              </w:rPr>
            </w:pPr>
            <w:r w:rsidRPr="009F74EC">
              <w:rPr>
                <w:sz w:val="16"/>
              </w:rPr>
              <w:t>OCVV</w:t>
            </w:r>
          </w:p>
        </w:tc>
        <w:tc>
          <w:tcPr>
            <w:tcW w:w="1984" w:type="dxa"/>
          </w:tcPr>
          <w:p w14:paraId="7F80CA07" w14:textId="77777777" w:rsidR="005A5957" w:rsidRPr="009F74EC" w:rsidRDefault="005A5957" w:rsidP="00C30F9D">
            <w:pPr>
              <w:jc w:val="left"/>
              <w:rPr>
                <w:sz w:val="16"/>
              </w:rPr>
            </w:pPr>
            <w:r w:rsidRPr="009F74EC">
              <w:rPr>
                <w:sz w:val="16"/>
              </w:rPr>
              <w:t>Debatir las principales cuestiones relativas a la protección de las obtenciones vegetales</w:t>
            </w:r>
          </w:p>
        </w:tc>
        <w:tc>
          <w:tcPr>
            <w:tcW w:w="2835" w:type="dxa"/>
          </w:tcPr>
          <w:p w14:paraId="0AD36D7A" w14:textId="77777777" w:rsidR="005A5957" w:rsidRPr="009F74EC" w:rsidRDefault="005A5957" w:rsidP="00C30F9D">
            <w:pPr>
              <w:jc w:val="left"/>
              <w:rPr>
                <w:sz w:val="16"/>
              </w:rPr>
            </w:pPr>
          </w:p>
        </w:tc>
      </w:tr>
      <w:tr w:rsidR="005A5957" w:rsidRPr="009F74EC" w14:paraId="533D0702" w14:textId="77777777" w:rsidTr="008D4758">
        <w:tc>
          <w:tcPr>
            <w:tcW w:w="1696" w:type="dxa"/>
          </w:tcPr>
          <w:p w14:paraId="77733B70" w14:textId="77777777" w:rsidR="005A5957" w:rsidRPr="009F74EC" w:rsidRDefault="005A5957" w:rsidP="00C30F9D">
            <w:pPr>
              <w:jc w:val="left"/>
              <w:rPr>
                <w:sz w:val="16"/>
              </w:rPr>
            </w:pPr>
            <w:r w:rsidRPr="009F74EC">
              <w:rPr>
                <w:sz w:val="16"/>
              </w:rPr>
              <w:t>Seminario de la OCVV sobre la protección de las obtenciones vegetales: sostenibilidad, innovación y crecimiento en la Unión Europea</w:t>
            </w:r>
          </w:p>
        </w:tc>
        <w:tc>
          <w:tcPr>
            <w:tcW w:w="1276" w:type="dxa"/>
          </w:tcPr>
          <w:p w14:paraId="1ABC1DD1" w14:textId="5CD3E840" w:rsidR="005A5957" w:rsidRPr="009F74EC" w:rsidRDefault="005A5957" w:rsidP="00C30F9D">
            <w:pPr>
              <w:jc w:val="left"/>
              <w:rPr>
                <w:sz w:val="16"/>
              </w:rPr>
            </w:pPr>
            <w:r w:rsidRPr="009F74EC">
              <w:rPr>
                <w:sz w:val="16"/>
              </w:rPr>
              <w:t>28 de abril de 2022</w:t>
            </w:r>
          </w:p>
        </w:tc>
        <w:tc>
          <w:tcPr>
            <w:tcW w:w="992" w:type="dxa"/>
          </w:tcPr>
          <w:p w14:paraId="3DD0A495" w14:textId="77777777" w:rsidR="005A5957" w:rsidRPr="009F74EC" w:rsidRDefault="005A5957" w:rsidP="00C30F9D">
            <w:pPr>
              <w:rPr>
                <w:sz w:val="16"/>
              </w:rPr>
            </w:pPr>
            <w:r w:rsidRPr="009F74EC">
              <w:rPr>
                <w:sz w:val="16"/>
              </w:rPr>
              <w:t>Francia, Angers</w:t>
            </w:r>
          </w:p>
        </w:tc>
        <w:tc>
          <w:tcPr>
            <w:tcW w:w="993" w:type="dxa"/>
          </w:tcPr>
          <w:p w14:paraId="0846B0D0" w14:textId="77777777" w:rsidR="005A5957" w:rsidRPr="009F74EC" w:rsidRDefault="005A5957" w:rsidP="00C30F9D">
            <w:pPr>
              <w:jc w:val="left"/>
              <w:rPr>
                <w:sz w:val="16"/>
              </w:rPr>
            </w:pPr>
            <w:r w:rsidRPr="009F74EC">
              <w:rPr>
                <w:sz w:val="16"/>
              </w:rPr>
              <w:t>OCVV</w:t>
            </w:r>
          </w:p>
        </w:tc>
        <w:tc>
          <w:tcPr>
            <w:tcW w:w="1984" w:type="dxa"/>
          </w:tcPr>
          <w:p w14:paraId="1AF9D662" w14:textId="77777777" w:rsidR="005A5957" w:rsidRPr="009F74EC" w:rsidRDefault="005A5957" w:rsidP="00C30F9D">
            <w:pPr>
              <w:jc w:val="left"/>
              <w:rPr>
                <w:sz w:val="16"/>
              </w:rPr>
            </w:pPr>
            <w:r w:rsidRPr="009F74EC">
              <w:rPr>
                <w:sz w:val="16"/>
              </w:rPr>
              <w:t>Debatir las principales cuestiones relativas a la protección de las obtenciones vegetales</w:t>
            </w:r>
          </w:p>
        </w:tc>
        <w:tc>
          <w:tcPr>
            <w:tcW w:w="2835" w:type="dxa"/>
          </w:tcPr>
          <w:p w14:paraId="7DA237A1" w14:textId="77777777" w:rsidR="005A5957" w:rsidRPr="009F74EC" w:rsidRDefault="005A5957" w:rsidP="00C30F9D">
            <w:pPr>
              <w:jc w:val="left"/>
              <w:rPr>
                <w:sz w:val="16"/>
              </w:rPr>
            </w:pPr>
            <w:r w:rsidRPr="009F74EC">
              <w:rPr>
                <w:sz w:val="16"/>
              </w:rPr>
              <w:t>Comisión Europea, OCVV, UPOV, Partes Contratantes, observadores y organizaciones</w:t>
            </w:r>
          </w:p>
        </w:tc>
      </w:tr>
      <w:tr w:rsidR="005A5957" w:rsidRPr="009F74EC" w14:paraId="4930432C" w14:textId="77777777" w:rsidTr="008D4758">
        <w:tc>
          <w:tcPr>
            <w:tcW w:w="1696" w:type="dxa"/>
          </w:tcPr>
          <w:p w14:paraId="6742CABD" w14:textId="77777777" w:rsidR="005A5957" w:rsidRPr="009F74EC" w:rsidRDefault="005A5957" w:rsidP="00C30F9D">
            <w:pPr>
              <w:jc w:val="left"/>
              <w:rPr>
                <w:sz w:val="16"/>
              </w:rPr>
            </w:pPr>
            <w:r w:rsidRPr="009F74EC">
              <w:rPr>
                <w:sz w:val="16"/>
              </w:rPr>
              <w:t>Reunión virtual del Comité Administrativo y Jurídico de la UPOV</w:t>
            </w:r>
          </w:p>
        </w:tc>
        <w:tc>
          <w:tcPr>
            <w:tcW w:w="1276" w:type="dxa"/>
          </w:tcPr>
          <w:p w14:paraId="0868ADE6" w14:textId="4881D1BD" w:rsidR="005A5957" w:rsidRPr="009F74EC" w:rsidRDefault="005A5957" w:rsidP="00C30F9D">
            <w:pPr>
              <w:jc w:val="left"/>
              <w:rPr>
                <w:sz w:val="16"/>
              </w:rPr>
            </w:pPr>
            <w:r w:rsidRPr="009F74EC">
              <w:rPr>
                <w:sz w:val="16"/>
              </w:rPr>
              <w:t>8 de noviembre de 2022</w:t>
            </w:r>
          </w:p>
        </w:tc>
        <w:tc>
          <w:tcPr>
            <w:tcW w:w="992" w:type="dxa"/>
          </w:tcPr>
          <w:p w14:paraId="32E3FFFC" w14:textId="77777777" w:rsidR="005A5957" w:rsidRPr="009F74EC" w:rsidRDefault="005A5957" w:rsidP="00C30F9D">
            <w:pPr>
              <w:jc w:val="left"/>
              <w:rPr>
                <w:sz w:val="16"/>
              </w:rPr>
            </w:pPr>
            <w:r w:rsidRPr="009F74EC">
              <w:rPr>
                <w:sz w:val="16"/>
              </w:rPr>
              <w:t>Ginebra, Suiza</w:t>
            </w:r>
          </w:p>
        </w:tc>
        <w:tc>
          <w:tcPr>
            <w:tcW w:w="993" w:type="dxa"/>
          </w:tcPr>
          <w:p w14:paraId="6FE03F8F" w14:textId="77777777" w:rsidR="005A5957" w:rsidRPr="009F74EC" w:rsidRDefault="005A5957" w:rsidP="00C30F9D">
            <w:pPr>
              <w:tabs>
                <w:tab w:val="left" w:pos="576"/>
              </w:tabs>
              <w:rPr>
                <w:sz w:val="16"/>
              </w:rPr>
            </w:pPr>
            <w:r w:rsidRPr="009F74EC">
              <w:rPr>
                <w:sz w:val="16"/>
              </w:rPr>
              <w:t>UPOV</w:t>
            </w:r>
          </w:p>
        </w:tc>
        <w:tc>
          <w:tcPr>
            <w:tcW w:w="1984" w:type="dxa"/>
          </w:tcPr>
          <w:p w14:paraId="08F34910" w14:textId="77777777" w:rsidR="005A5957" w:rsidRPr="009F74EC" w:rsidRDefault="005A5957" w:rsidP="00C30F9D">
            <w:pPr>
              <w:jc w:val="left"/>
              <w:rPr>
                <w:sz w:val="16"/>
              </w:rPr>
            </w:pPr>
            <w:r w:rsidRPr="009F74EC">
              <w:rPr>
                <w:sz w:val="16"/>
              </w:rPr>
              <w:t>Debatir las principales cuestiones relativas a la protección de las obtenciones vegetales</w:t>
            </w:r>
          </w:p>
        </w:tc>
        <w:tc>
          <w:tcPr>
            <w:tcW w:w="2835" w:type="dxa"/>
          </w:tcPr>
          <w:p w14:paraId="7846A4E1" w14:textId="77777777" w:rsidR="005A5957" w:rsidRPr="009F74EC" w:rsidRDefault="005A5957" w:rsidP="00C30F9D">
            <w:pPr>
              <w:jc w:val="left"/>
              <w:rPr>
                <w:sz w:val="16"/>
              </w:rPr>
            </w:pPr>
            <w:r w:rsidRPr="009F74EC">
              <w:rPr>
                <w:sz w:val="16"/>
              </w:rPr>
              <w:t>UPOV, Comisión Europea, OCVV, Partes Contratantes, observadores y organizaciones</w:t>
            </w:r>
          </w:p>
        </w:tc>
      </w:tr>
    </w:tbl>
    <w:p w14:paraId="5B8DDD81" w14:textId="77777777" w:rsidR="005A5957" w:rsidRPr="009F74EC" w:rsidRDefault="005A5957" w:rsidP="005A5957"/>
    <w:p w14:paraId="6C7774A1" w14:textId="7AC70DC5" w:rsidR="005A5957" w:rsidRPr="009F74EC" w:rsidRDefault="005A5957" w:rsidP="005A5957">
      <w:r w:rsidRPr="009F74EC">
        <w:t xml:space="preserve">El Boletín de Información sobre Derechos de Obtentor y Lista Nacional de Variedades Vegetales </w:t>
      </w:r>
      <w:proofErr w:type="spellStart"/>
      <w:r w:rsidRPr="009F74EC">
        <w:t>Nº</w:t>
      </w:r>
      <w:proofErr w:type="spellEnd"/>
      <w:r w:rsidRPr="009F74EC">
        <w:t xml:space="preserve"> 1 (37) del Servicio Estatal de Plantas dependiente del Ministerio de Agricultura de la República de Lituania se publicó el 20 de enero de 2022, y el </w:t>
      </w:r>
      <w:proofErr w:type="spellStart"/>
      <w:r w:rsidRPr="009F74EC">
        <w:t>Nº</w:t>
      </w:r>
      <w:proofErr w:type="spellEnd"/>
      <w:r w:rsidRPr="009F74EC">
        <w:t xml:space="preserve"> 2 (38) - el 1 de junio de 2022.</w:t>
      </w:r>
    </w:p>
    <w:p w14:paraId="3DC22B5E" w14:textId="77777777" w:rsidR="005A5957" w:rsidRPr="009F74EC" w:rsidRDefault="005A5957" w:rsidP="005A5957"/>
    <w:p w14:paraId="5D0677C2" w14:textId="77777777" w:rsidR="005A5957" w:rsidRPr="009F74EC" w:rsidRDefault="005A5957" w:rsidP="005A5957"/>
    <w:p w14:paraId="5C2D39AC" w14:textId="77777777" w:rsidR="005A5957" w:rsidRPr="009F74EC" w:rsidRDefault="005A5957" w:rsidP="005A5957">
      <w:r w:rsidRPr="009F74EC">
        <w:t>II.</w:t>
      </w:r>
      <w:r w:rsidRPr="009F74EC">
        <w:tab/>
        <w:t>OTROS ACONTECIMIENTOS DE INTERÉS PARA LA UPOV</w:t>
      </w:r>
    </w:p>
    <w:p w14:paraId="4E0A606A" w14:textId="77777777" w:rsidR="005A5957" w:rsidRPr="009F74EC" w:rsidRDefault="005A5957" w:rsidP="005A5957"/>
    <w:p w14:paraId="7F218FAE" w14:textId="4CFBF0F6" w:rsidR="005A5957" w:rsidRPr="009F74EC" w:rsidRDefault="005A5957" w:rsidP="005A5957">
      <w:r w:rsidRPr="009F74EC">
        <w:t xml:space="preserve">La Lista Nacional Lituana de Variedades Vegetales 2022 ha sido aprobada por la orden </w:t>
      </w:r>
      <w:proofErr w:type="spellStart"/>
      <w:r w:rsidRPr="009F74EC">
        <w:t>nº</w:t>
      </w:r>
      <w:proofErr w:type="spellEnd"/>
      <w:r w:rsidRPr="009F74EC">
        <w:t xml:space="preserve"> A1-123 del </w:t>
      </w:r>
      <w:proofErr w:type="gramStart"/>
      <w:r w:rsidRPr="009F74EC">
        <w:t>Director</w:t>
      </w:r>
      <w:proofErr w:type="gramEnd"/>
      <w:r w:rsidRPr="009F74EC">
        <w:t xml:space="preserve"> del Servicio Estatal de Plantas dependiente del Ministerio de Agricultura de la República de Lituania el 4 de marzo de 2022. El material de reproducción o de multiplicación de cada variedad registrada de cada especie vegetal puede certificarse de conformidad con los requisitos obligatorios, preparados respectivamente por las directivas de la UE.</w:t>
      </w:r>
    </w:p>
    <w:p w14:paraId="459209DC" w14:textId="77777777" w:rsidR="005A5957" w:rsidRPr="009F74EC" w:rsidRDefault="005A5957" w:rsidP="005A5957"/>
    <w:p w14:paraId="0E911C4F" w14:textId="77777777" w:rsidR="005A5957" w:rsidRPr="009F74EC" w:rsidRDefault="005A5957" w:rsidP="005A5957"/>
    <w:p w14:paraId="6FF7BEF0" w14:textId="77777777" w:rsidR="005A5957" w:rsidRPr="009F74EC" w:rsidRDefault="005A5957" w:rsidP="005A5957"/>
    <w:p w14:paraId="0E64FEE4" w14:textId="77777777" w:rsidR="005A5957" w:rsidRPr="009F74EC" w:rsidRDefault="005A5957" w:rsidP="005A5957">
      <w:pPr>
        <w:jc w:val="right"/>
      </w:pPr>
      <w:r w:rsidRPr="009F74EC">
        <w:t>[Sigue el Anexo XI]</w:t>
      </w:r>
    </w:p>
    <w:p w14:paraId="5393347D" w14:textId="77777777" w:rsidR="005A5957" w:rsidRPr="009F74EC" w:rsidRDefault="005A5957" w:rsidP="005A5957"/>
    <w:p w14:paraId="51517A13" w14:textId="77777777" w:rsidR="005A5957" w:rsidRPr="009F74EC" w:rsidRDefault="005A5957" w:rsidP="005A5957"/>
    <w:p w14:paraId="3DC4FC80" w14:textId="77777777" w:rsidR="005A5957" w:rsidRPr="009F74EC" w:rsidRDefault="005A5957" w:rsidP="005A5957">
      <w:pPr>
        <w:jc w:val="center"/>
        <w:sectPr w:rsidR="005A5957" w:rsidRPr="009F74EC" w:rsidSect="00C10F83">
          <w:headerReference w:type="default" r:id="rId29"/>
          <w:pgSz w:w="11907" w:h="16840" w:code="9"/>
          <w:pgMar w:top="510" w:right="1134" w:bottom="1134" w:left="1134" w:header="510" w:footer="680" w:gutter="0"/>
          <w:pgNumType w:start="1"/>
          <w:cols w:space="720"/>
          <w:titlePg/>
        </w:sectPr>
      </w:pPr>
    </w:p>
    <w:p w14:paraId="49178CEC" w14:textId="77777777" w:rsidR="005A5957" w:rsidRPr="009F74EC" w:rsidRDefault="005A5957" w:rsidP="005A5957">
      <w:pPr>
        <w:jc w:val="center"/>
      </w:pPr>
      <w:r w:rsidRPr="009F74EC">
        <w:lastRenderedPageBreak/>
        <w:t>C/57/13</w:t>
      </w:r>
    </w:p>
    <w:p w14:paraId="27860C15" w14:textId="77777777" w:rsidR="005A5957" w:rsidRPr="009F74EC" w:rsidRDefault="005A5957" w:rsidP="005A5957">
      <w:pPr>
        <w:jc w:val="center"/>
      </w:pPr>
    </w:p>
    <w:p w14:paraId="5C8A4D01" w14:textId="77777777" w:rsidR="005A5957" w:rsidRPr="009F74EC" w:rsidRDefault="005A5957" w:rsidP="005A5957">
      <w:pPr>
        <w:jc w:val="center"/>
      </w:pPr>
      <w:r w:rsidRPr="009F74EC">
        <w:t>ANEXO XI</w:t>
      </w:r>
    </w:p>
    <w:p w14:paraId="40B9153A" w14:textId="77777777" w:rsidR="005A5957" w:rsidRPr="009F74EC" w:rsidRDefault="005A5957" w:rsidP="005A5957">
      <w:pPr>
        <w:jc w:val="center"/>
      </w:pPr>
    </w:p>
    <w:p w14:paraId="17702133" w14:textId="77777777" w:rsidR="005A5957" w:rsidRPr="009F74EC" w:rsidRDefault="005A5957" w:rsidP="005A5957">
      <w:pPr>
        <w:jc w:val="center"/>
      </w:pPr>
    </w:p>
    <w:p w14:paraId="43B64DCF" w14:textId="77777777" w:rsidR="005A5957" w:rsidRPr="009F74EC" w:rsidRDefault="005A5957" w:rsidP="005A5957">
      <w:pPr>
        <w:jc w:val="center"/>
      </w:pPr>
      <w:r w:rsidRPr="009F74EC">
        <w:t>MÉXICO</w:t>
      </w:r>
    </w:p>
    <w:p w14:paraId="22185089" w14:textId="77777777" w:rsidR="002130E5" w:rsidRDefault="002130E5" w:rsidP="002130E5">
      <w:pPr>
        <w:rPr>
          <w:bCs/>
        </w:rPr>
      </w:pPr>
    </w:p>
    <w:p w14:paraId="505E9B89" w14:textId="77777777" w:rsidR="002130E5" w:rsidRDefault="002130E5" w:rsidP="002130E5">
      <w:pPr>
        <w:rPr>
          <w:bCs/>
        </w:rPr>
      </w:pPr>
    </w:p>
    <w:p w14:paraId="21C32C88" w14:textId="19D66147" w:rsidR="002130E5" w:rsidRPr="006F559C" w:rsidRDefault="002130E5" w:rsidP="002130E5">
      <w:pPr>
        <w:rPr>
          <w:bCs/>
        </w:rPr>
      </w:pPr>
      <w:r w:rsidRPr="006F559C">
        <w:rPr>
          <w:bCs/>
        </w:rPr>
        <w:t>PROTECCIÓN DE LAS OBTENCIONES VEGETALES</w:t>
      </w:r>
    </w:p>
    <w:p w14:paraId="57901AD9" w14:textId="77777777" w:rsidR="002130E5" w:rsidRPr="006F559C" w:rsidRDefault="002130E5" w:rsidP="002130E5"/>
    <w:p w14:paraId="4E62CE93" w14:textId="77777777" w:rsidR="002130E5" w:rsidRPr="006F559C" w:rsidRDefault="002130E5" w:rsidP="002130E5">
      <w:pPr>
        <w:rPr>
          <w:u w:val="single"/>
        </w:rPr>
      </w:pPr>
      <w:r w:rsidRPr="006F559C">
        <w:rPr>
          <w:u w:val="single"/>
        </w:rPr>
        <w:t>Situación en el campo legislativo</w:t>
      </w:r>
    </w:p>
    <w:p w14:paraId="3F9BABC7" w14:textId="77777777" w:rsidR="002130E5" w:rsidRPr="006F559C" w:rsidRDefault="002130E5" w:rsidP="002130E5">
      <w:pPr>
        <w:rPr>
          <w:u w:val="single"/>
        </w:rPr>
      </w:pPr>
    </w:p>
    <w:p w14:paraId="5219CAFB" w14:textId="77777777" w:rsidR="002130E5" w:rsidRPr="006F559C" w:rsidRDefault="002130E5" w:rsidP="002130E5">
      <w:r w:rsidRPr="006F559C">
        <w:t>México es parte del Convenio de la UPOV, desde agosto de 1997, la legislación actual es conforme al Acta</w:t>
      </w:r>
      <w:r>
        <w:t> </w:t>
      </w:r>
      <w:r w:rsidRPr="006F559C">
        <w:t>UPOV de 1978</w:t>
      </w:r>
      <w:r>
        <w:t>.</w:t>
      </w:r>
      <w:r w:rsidRPr="006F559C">
        <w:t xml:space="preserve"> Sin embargo, en los últimos años se han trabajado propuestas a las reformas de la Ley Federal de Variedades Vegetales de 1996.</w:t>
      </w:r>
    </w:p>
    <w:p w14:paraId="428CE948" w14:textId="77777777" w:rsidR="002130E5" w:rsidRPr="006F559C" w:rsidRDefault="002130E5" w:rsidP="002130E5"/>
    <w:p w14:paraId="32DE50CA" w14:textId="77777777" w:rsidR="002130E5" w:rsidRPr="00311766" w:rsidRDefault="002130E5" w:rsidP="002130E5">
      <w:r w:rsidRPr="00311766">
        <w:t>Extensión de la protección a otros géneros y especies (realizada o en proyecto):  desde la publicación de la legislación, México ofreció protección a todos los géneros y especies</w:t>
      </w:r>
      <w:r>
        <w:t>.</w:t>
      </w:r>
    </w:p>
    <w:p w14:paraId="15CE22DD" w14:textId="77777777" w:rsidR="002130E5" w:rsidRPr="00311766" w:rsidRDefault="002130E5" w:rsidP="002130E5"/>
    <w:p w14:paraId="201C24B8" w14:textId="77777777" w:rsidR="002130E5" w:rsidRPr="006F559C" w:rsidRDefault="002130E5" w:rsidP="002130E5"/>
    <w:p w14:paraId="72B975AA" w14:textId="77777777" w:rsidR="002130E5" w:rsidRPr="006F559C" w:rsidRDefault="002130E5" w:rsidP="002130E5">
      <w:pPr>
        <w:rPr>
          <w:u w:val="single"/>
        </w:rPr>
      </w:pPr>
      <w:r w:rsidRPr="006F559C">
        <w:rPr>
          <w:u w:val="single"/>
        </w:rPr>
        <w:t>Actividades para la promoción de la protección de las obtenciones vegetales</w:t>
      </w:r>
    </w:p>
    <w:p w14:paraId="4FE3FE42" w14:textId="77777777" w:rsidR="002130E5" w:rsidRPr="006F559C" w:rsidRDefault="002130E5" w:rsidP="002130E5"/>
    <w:tbl>
      <w:tblPr>
        <w:tblStyle w:val="TableGrid"/>
        <w:tblW w:w="9747" w:type="dxa"/>
        <w:tblLayout w:type="fixed"/>
        <w:tblCellMar>
          <w:top w:w="28" w:type="dxa"/>
          <w:left w:w="57" w:type="dxa"/>
          <w:bottom w:w="28" w:type="dxa"/>
          <w:right w:w="57" w:type="dxa"/>
        </w:tblCellMar>
        <w:tblLook w:val="01E0" w:firstRow="1" w:lastRow="1" w:firstColumn="1" w:lastColumn="1" w:noHBand="0" w:noVBand="0"/>
      </w:tblPr>
      <w:tblGrid>
        <w:gridCol w:w="1271"/>
        <w:gridCol w:w="1134"/>
        <w:gridCol w:w="1276"/>
        <w:gridCol w:w="1276"/>
        <w:gridCol w:w="1417"/>
        <w:gridCol w:w="1843"/>
        <w:gridCol w:w="1530"/>
      </w:tblGrid>
      <w:tr w:rsidR="002130E5" w:rsidRPr="006F559C" w14:paraId="1D84DAFA" w14:textId="77777777" w:rsidTr="00C30F9D">
        <w:tc>
          <w:tcPr>
            <w:tcW w:w="1271" w:type="dxa"/>
          </w:tcPr>
          <w:p w14:paraId="789DFB6C" w14:textId="77777777" w:rsidR="002130E5" w:rsidRPr="006F559C" w:rsidRDefault="002130E5" w:rsidP="00C30F9D">
            <w:pPr>
              <w:jc w:val="left"/>
              <w:rPr>
                <w:sz w:val="16"/>
                <w:szCs w:val="18"/>
              </w:rPr>
            </w:pPr>
            <w:r w:rsidRPr="006F559C">
              <w:rPr>
                <w:sz w:val="16"/>
                <w:szCs w:val="18"/>
              </w:rPr>
              <w:t>Título de la actividad</w:t>
            </w:r>
          </w:p>
        </w:tc>
        <w:tc>
          <w:tcPr>
            <w:tcW w:w="1134" w:type="dxa"/>
          </w:tcPr>
          <w:p w14:paraId="5FC34915" w14:textId="77777777" w:rsidR="002130E5" w:rsidRPr="006F559C" w:rsidRDefault="002130E5" w:rsidP="00C30F9D">
            <w:pPr>
              <w:jc w:val="left"/>
              <w:rPr>
                <w:sz w:val="16"/>
                <w:szCs w:val="18"/>
              </w:rPr>
            </w:pPr>
            <w:r w:rsidRPr="006F559C">
              <w:rPr>
                <w:sz w:val="16"/>
                <w:szCs w:val="18"/>
              </w:rPr>
              <w:t>Fecha</w:t>
            </w:r>
          </w:p>
        </w:tc>
        <w:tc>
          <w:tcPr>
            <w:tcW w:w="1276" w:type="dxa"/>
          </w:tcPr>
          <w:p w14:paraId="61D7855E" w14:textId="77777777" w:rsidR="002130E5" w:rsidRPr="006F559C" w:rsidRDefault="002130E5" w:rsidP="00C30F9D">
            <w:pPr>
              <w:jc w:val="left"/>
              <w:rPr>
                <w:sz w:val="16"/>
                <w:szCs w:val="18"/>
              </w:rPr>
            </w:pPr>
            <w:r w:rsidRPr="006F559C">
              <w:rPr>
                <w:sz w:val="16"/>
                <w:szCs w:val="18"/>
              </w:rPr>
              <w:t>Lugar</w:t>
            </w:r>
          </w:p>
        </w:tc>
        <w:tc>
          <w:tcPr>
            <w:tcW w:w="1276" w:type="dxa"/>
          </w:tcPr>
          <w:p w14:paraId="24243FB7" w14:textId="77777777" w:rsidR="002130E5" w:rsidRPr="006F559C" w:rsidRDefault="002130E5" w:rsidP="00C30F9D">
            <w:pPr>
              <w:jc w:val="left"/>
              <w:rPr>
                <w:sz w:val="16"/>
                <w:szCs w:val="18"/>
              </w:rPr>
            </w:pPr>
            <w:r w:rsidRPr="006F559C">
              <w:rPr>
                <w:sz w:val="16"/>
                <w:szCs w:val="18"/>
              </w:rPr>
              <w:t>Organizadores</w:t>
            </w:r>
          </w:p>
        </w:tc>
        <w:tc>
          <w:tcPr>
            <w:tcW w:w="1417" w:type="dxa"/>
          </w:tcPr>
          <w:p w14:paraId="1DAD1DC8" w14:textId="77777777" w:rsidR="002130E5" w:rsidRPr="006F559C" w:rsidRDefault="002130E5" w:rsidP="00C30F9D">
            <w:pPr>
              <w:jc w:val="left"/>
              <w:rPr>
                <w:sz w:val="16"/>
                <w:szCs w:val="18"/>
              </w:rPr>
            </w:pPr>
            <w:r w:rsidRPr="006F559C">
              <w:rPr>
                <w:sz w:val="16"/>
                <w:szCs w:val="18"/>
              </w:rPr>
              <w:t>Finalidad de la actividad</w:t>
            </w:r>
          </w:p>
        </w:tc>
        <w:tc>
          <w:tcPr>
            <w:tcW w:w="1843" w:type="dxa"/>
          </w:tcPr>
          <w:p w14:paraId="155C5461" w14:textId="77777777" w:rsidR="002130E5" w:rsidRPr="006F559C" w:rsidRDefault="002130E5" w:rsidP="00C30F9D">
            <w:pPr>
              <w:jc w:val="left"/>
              <w:rPr>
                <w:sz w:val="16"/>
                <w:szCs w:val="18"/>
              </w:rPr>
            </w:pPr>
            <w:r w:rsidRPr="006F559C">
              <w:rPr>
                <w:sz w:val="16"/>
                <w:szCs w:val="18"/>
              </w:rPr>
              <w:t>Países participantes/ organizaciones (número de participantes de cada país/organización)</w:t>
            </w:r>
          </w:p>
        </w:tc>
        <w:tc>
          <w:tcPr>
            <w:tcW w:w="1530" w:type="dxa"/>
          </w:tcPr>
          <w:p w14:paraId="121DD519" w14:textId="77777777" w:rsidR="002130E5" w:rsidRPr="006F559C" w:rsidRDefault="002130E5" w:rsidP="00C30F9D">
            <w:pPr>
              <w:jc w:val="left"/>
              <w:rPr>
                <w:sz w:val="16"/>
                <w:szCs w:val="18"/>
              </w:rPr>
            </w:pPr>
            <w:r w:rsidRPr="006F559C">
              <w:rPr>
                <w:sz w:val="16"/>
                <w:szCs w:val="18"/>
              </w:rPr>
              <w:t>Comentarios</w:t>
            </w:r>
          </w:p>
        </w:tc>
      </w:tr>
      <w:tr w:rsidR="002130E5" w:rsidRPr="006F559C" w14:paraId="5AB8576B" w14:textId="77777777" w:rsidTr="00C30F9D">
        <w:trPr>
          <w:cantSplit/>
        </w:trPr>
        <w:tc>
          <w:tcPr>
            <w:tcW w:w="1271" w:type="dxa"/>
          </w:tcPr>
          <w:p w14:paraId="0CD179D2" w14:textId="77777777" w:rsidR="002130E5" w:rsidRPr="006F559C" w:rsidRDefault="002130E5" w:rsidP="00C30F9D">
            <w:pPr>
              <w:pStyle w:val="BodyText"/>
              <w:jc w:val="left"/>
              <w:rPr>
                <w:sz w:val="16"/>
                <w:szCs w:val="18"/>
              </w:rPr>
            </w:pPr>
            <w:r w:rsidRPr="006F559C">
              <w:rPr>
                <w:sz w:val="16"/>
                <w:szCs w:val="18"/>
              </w:rPr>
              <w:t>1.</w:t>
            </w:r>
            <w:r>
              <w:rPr>
                <w:sz w:val="16"/>
                <w:szCs w:val="18"/>
              </w:rPr>
              <w:t xml:space="preserve"> </w:t>
            </w:r>
            <w:r w:rsidRPr="006F559C">
              <w:rPr>
                <w:sz w:val="16"/>
                <w:szCs w:val="18"/>
              </w:rPr>
              <w:t>Curso: Gestión de la diversidad genética agrícola, el registro de innovaciones vegetales y la producción de semillas</w:t>
            </w:r>
          </w:p>
        </w:tc>
        <w:tc>
          <w:tcPr>
            <w:tcW w:w="1134" w:type="dxa"/>
          </w:tcPr>
          <w:p w14:paraId="5B3B2E53" w14:textId="77777777" w:rsidR="002130E5" w:rsidRPr="006F559C" w:rsidRDefault="002130E5" w:rsidP="00C30F9D">
            <w:pPr>
              <w:jc w:val="left"/>
              <w:rPr>
                <w:sz w:val="16"/>
                <w:szCs w:val="18"/>
              </w:rPr>
            </w:pPr>
            <w:r w:rsidRPr="006F559C">
              <w:rPr>
                <w:sz w:val="16"/>
                <w:szCs w:val="18"/>
              </w:rPr>
              <w:t>28 de enero a 25 de febrero de 2023</w:t>
            </w:r>
          </w:p>
        </w:tc>
        <w:tc>
          <w:tcPr>
            <w:tcW w:w="1276" w:type="dxa"/>
          </w:tcPr>
          <w:p w14:paraId="086D1978" w14:textId="77777777" w:rsidR="002130E5" w:rsidRPr="006F559C" w:rsidRDefault="002130E5" w:rsidP="00C30F9D">
            <w:pPr>
              <w:jc w:val="left"/>
              <w:rPr>
                <w:sz w:val="16"/>
                <w:szCs w:val="18"/>
              </w:rPr>
            </w:pPr>
            <w:r w:rsidRPr="006F559C">
              <w:rPr>
                <w:sz w:val="16"/>
                <w:szCs w:val="18"/>
              </w:rPr>
              <w:t>Colegio de Postgraduados – Campus Montecillo, Texcoco, México</w:t>
            </w:r>
          </w:p>
        </w:tc>
        <w:tc>
          <w:tcPr>
            <w:tcW w:w="1276" w:type="dxa"/>
          </w:tcPr>
          <w:p w14:paraId="5C76D8F9" w14:textId="77777777" w:rsidR="002130E5" w:rsidRPr="006F559C" w:rsidRDefault="002130E5" w:rsidP="00C30F9D">
            <w:pPr>
              <w:jc w:val="left"/>
              <w:rPr>
                <w:sz w:val="16"/>
                <w:szCs w:val="18"/>
              </w:rPr>
            </w:pPr>
            <w:r w:rsidRPr="006F559C">
              <w:rPr>
                <w:sz w:val="16"/>
                <w:szCs w:val="18"/>
              </w:rPr>
              <w:t>Servicio Nacional de Inspección y Certificación de Semillas y Colegio de Postgraduados</w:t>
            </w:r>
          </w:p>
        </w:tc>
        <w:tc>
          <w:tcPr>
            <w:tcW w:w="1417" w:type="dxa"/>
          </w:tcPr>
          <w:p w14:paraId="566EB421" w14:textId="77777777" w:rsidR="002130E5" w:rsidRPr="006F559C" w:rsidRDefault="002130E5" w:rsidP="00C30F9D">
            <w:pPr>
              <w:jc w:val="left"/>
              <w:rPr>
                <w:sz w:val="16"/>
                <w:szCs w:val="18"/>
              </w:rPr>
            </w:pPr>
            <w:r w:rsidRPr="006F559C">
              <w:rPr>
                <w:sz w:val="16"/>
                <w:szCs w:val="18"/>
              </w:rPr>
              <w:t>Proporcionar los fundamentos técnicos y administrativos necesarios sobre la gestión de la diversidad genética agrícola, el registro de innovaciones vegetales y la producción de semillas.</w:t>
            </w:r>
          </w:p>
        </w:tc>
        <w:tc>
          <w:tcPr>
            <w:tcW w:w="1843" w:type="dxa"/>
          </w:tcPr>
          <w:p w14:paraId="70013080" w14:textId="77777777" w:rsidR="002130E5" w:rsidRPr="006F559C" w:rsidRDefault="002130E5" w:rsidP="00C30F9D">
            <w:pPr>
              <w:jc w:val="left"/>
              <w:rPr>
                <w:sz w:val="16"/>
                <w:szCs w:val="18"/>
              </w:rPr>
            </w:pPr>
            <w:r w:rsidRPr="006F559C">
              <w:rPr>
                <w:sz w:val="16"/>
                <w:szCs w:val="18"/>
              </w:rPr>
              <w:t>México</w:t>
            </w:r>
          </w:p>
        </w:tc>
        <w:tc>
          <w:tcPr>
            <w:tcW w:w="1530" w:type="dxa"/>
          </w:tcPr>
          <w:p w14:paraId="78AE8885" w14:textId="77777777" w:rsidR="002130E5" w:rsidRPr="006F559C" w:rsidRDefault="002130E5" w:rsidP="00C30F9D">
            <w:pPr>
              <w:jc w:val="left"/>
              <w:rPr>
                <w:sz w:val="16"/>
                <w:szCs w:val="18"/>
              </w:rPr>
            </w:pPr>
            <w:r w:rsidRPr="006F559C">
              <w:rPr>
                <w:sz w:val="16"/>
                <w:szCs w:val="18"/>
              </w:rPr>
              <w:t>Derivado del interés de los participantes del taller, se propone continuar la capacitación constante a los estudiantes, profesores-investigadores del Colegio.</w:t>
            </w:r>
          </w:p>
        </w:tc>
      </w:tr>
      <w:tr w:rsidR="002130E5" w:rsidRPr="006F559C" w14:paraId="3B0E35C0" w14:textId="77777777" w:rsidTr="00C30F9D">
        <w:trPr>
          <w:cantSplit/>
        </w:trPr>
        <w:tc>
          <w:tcPr>
            <w:tcW w:w="1271" w:type="dxa"/>
          </w:tcPr>
          <w:p w14:paraId="6CFE7C82" w14:textId="77777777" w:rsidR="002130E5" w:rsidRPr="006F559C" w:rsidRDefault="002130E5" w:rsidP="00C30F9D">
            <w:pPr>
              <w:pStyle w:val="BodyText"/>
              <w:jc w:val="left"/>
              <w:rPr>
                <w:sz w:val="16"/>
                <w:szCs w:val="18"/>
              </w:rPr>
            </w:pPr>
            <w:r w:rsidRPr="006F559C">
              <w:rPr>
                <w:sz w:val="16"/>
                <w:szCs w:val="18"/>
              </w:rPr>
              <w:t>2.</w:t>
            </w:r>
            <w:r>
              <w:rPr>
                <w:sz w:val="16"/>
                <w:szCs w:val="18"/>
              </w:rPr>
              <w:t xml:space="preserve"> </w:t>
            </w:r>
            <w:r w:rsidRPr="006F559C">
              <w:rPr>
                <w:sz w:val="16"/>
                <w:szCs w:val="18"/>
              </w:rPr>
              <w:t>Curso: Gestión de la diversidad genética agrícola el registro de innovaciones vegetales y la producción de semillas</w:t>
            </w:r>
          </w:p>
        </w:tc>
        <w:tc>
          <w:tcPr>
            <w:tcW w:w="1134" w:type="dxa"/>
          </w:tcPr>
          <w:p w14:paraId="79FB82DB" w14:textId="77777777" w:rsidR="002130E5" w:rsidRPr="006F559C" w:rsidRDefault="002130E5" w:rsidP="00C30F9D">
            <w:pPr>
              <w:jc w:val="left"/>
              <w:rPr>
                <w:sz w:val="16"/>
                <w:szCs w:val="18"/>
              </w:rPr>
            </w:pPr>
            <w:r w:rsidRPr="006F559C">
              <w:rPr>
                <w:sz w:val="16"/>
                <w:szCs w:val="18"/>
              </w:rPr>
              <w:t>2 a 4 de mayo de 2023</w:t>
            </w:r>
          </w:p>
        </w:tc>
        <w:tc>
          <w:tcPr>
            <w:tcW w:w="1276" w:type="dxa"/>
          </w:tcPr>
          <w:p w14:paraId="40D800AC" w14:textId="77777777" w:rsidR="002130E5" w:rsidRPr="006F559C" w:rsidRDefault="002130E5" w:rsidP="00C30F9D">
            <w:pPr>
              <w:jc w:val="left"/>
              <w:rPr>
                <w:sz w:val="16"/>
                <w:szCs w:val="18"/>
              </w:rPr>
            </w:pPr>
            <w:r w:rsidRPr="006F559C">
              <w:rPr>
                <w:sz w:val="16"/>
                <w:szCs w:val="18"/>
              </w:rPr>
              <w:t>Universidad Politécnica de Francisco I. Madero, Hidalgo, México</w:t>
            </w:r>
          </w:p>
        </w:tc>
        <w:tc>
          <w:tcPr>
            <w:tcW w:w="1276" w:type="dxa"/>
          </w:tcPr>
          <w:p w14:paraId="399E9CBA" w14:textId="77777777" w:rsidR="002130E5" w:rsidRPr="006F559C" w:rsidRDefault="002130E5" w:rsidP="00C30F9D">
            <w:pPr>
              <w:jc w:val="left"/>
              <w:rPr>
                <w:sz w:val="16"/>
                <w:szCs w:val="18"/>
              </w:rPr>
            </w:pPr>
            <w:r w:rsidRPr="006F559C">
              <w:rPr>
                <w:sz w:val="16"/>
                <w:szCs w:val="18"/>
              </w:rPr>
              <w:t>Servicio Nacional de Inspección y Certificación de Semillas y la Universidad Politécnica de</w:t>
            </w:r>
          </w:p>
        </w:tc>
        <w:tc>
          <w:tcPr>
            <w:tcW w:w="1417" w:type="dxa"/>
          </w:tcPr>
          <w:p w14:paraId="14EF6809" w14:textId="77777777" w:rsidR="002130E5" w:rsidRPr="006F559C" w:rsidRDefault="002130E5" w:rsidP="00C30F9D">
            <w:pPr>
              <w:jc w:val="left"/>
              <w:rPr>
                <w:sz w:val="16"/>
                <w:szCs w:val="18"/>
              </w:rPr>
            </w:pPr>
            <w:r w:rsidRPr="006F559C">
              <w:rPr>
                <w:sz w:val="16"/>
                <w:szCs w:val="18"/>
              </w:rPr>
              <w:t>Proporcionar los fundamentos técnicos y administrativos necesarios sobre la gestión de la diversidad genética agrícola, el registro de innovaciones vegetales y la producción de semillas.</w:t>
            </w:r>
          </w:p>
        </w:tc>
        <w:tc>
          <w:tcPr>
            <w:tcW w:w="1843" w:type="dxa"/>
          </w:tcPr>
          <w:p w14:paraId="3F76DA4A" w14:textId="77777777" w:rsidR="002130E5" w:rsidRPr="006F559C" w:rsidRDefault="002130E5" w:rsidP="00C30F9D">
            <w:pPr>
              <w:jc w:val="left"/>
              <w:rPr>
                <w:sz w:val="16"/>
                <w:szCs w:val="18"/>
              </w:rPr>
            </w:pPr>
            <w:r w:rsidRPr="006F559C">
              <w:rPr>
                <w:sz w:val="16"/>
                <w:szCs w:val="18"/>
              </w:rPr>
              <w:t>México</w:t>
            </w:r>
          </w:p>
        </w:tc>
        <w:tc>
          <w:tcPr>
            <w:tcW w:w="1530" w:type="dxa"/>
          </w:tcPr>
          <w:p w14:paraId="4DA12B7D" w14:textId="77777777" w:rsidR="002130E5" w:rsidRPr="006F559C" w:rsidRDefault="002130E5" w:rsidP="00C30F9D">
            <w:pPr>
              <w:jc w:val="left"/>
              <w:rPr>
                <w:sz w:val="16"/>
                <w:szCs w:val="18"/>
              </w:rPr>
            </w:pPr>
            <w:r w:rsidRPr="006F559C">
              <w:rPr>
                <w:sz w:val="16"/>
                <w:szCs w:val="18"/>
              </w:rPr>
              <w:t>Derivado del interés de los participantes del taller, se propone, continuar la capacitación constante a los estudiantes, profesores-investigadores de la Universidad.</w:t>
            </w:r>
          </w:p>
        </w:tc>
      </w:tr>
      <w:tr w:rsidR="002130E5" w:rsidRPr="006F559C" w14:paraId="67126D35" w14:textId="77777777" w:rsidTr="00C30F9D">
        <w:trPr>
          <w:cantSplit/>
        </w:trPr>
        <w:tc>
          <w:tcPr>
            <w:tcW w:w="1271" w:type="dxa"/>
          </w:tcPr>
          <w:p w14:paraId="2B30CA56" w14:textId="77777777" w:rsidR="002130E5" w:rsidRPr="006F559C" w:rsidRDefault="002130E5" w:rsidP="00C30F9D">
            <w:pPr>
              <w:jc w:val="left"/>
              <w:rPr>
                <w:sz w:val="16"/>
                <w:szCs w:val="18"/>
              </w:rPr>
            </w:pPr>
            <w:r>
              <w:rPr>
                <w:sz w:val="16"/>
                <w:szCs w:val="18"/>
              </w:rPr>
              <w:t xml:space="preserve">3. </w:t>
            </w:r>
            <w:r w:rsidRPr="006F559C">
              <w:rPr>
                <w:sz w:val="16"/>
                <w:szCs w:val="18"/>
              </w:rPr>
              <w:t>Taller:</w:t>
            </w:r>
            <w:r>
              <w:rPr>
                <w:sz w:val="16"/>
                <w:szCs w:val="18"/>
              </w:rPr>
              <w:t xml:space="preserve"> </w:t>
            </w:r>
            <w:r w:rsidRPr="006F559C">
              <w:rPr>
                <w:sz w:val="16"/>
                <w:szCs w:val="18"/>
              </w:rPr>
              <w:t>Registro de variedades vegetales en México</w:t>
            </w:r>
          </w:p>
          <w:p w14:paraId="09CF18F1" w14:textId="77777777" w:rsidR="002130E5" w:rsidRPr="006F559C" w:rsidRDefault="002130E5" w:rsidP="00C30F9D">
            <w:pPr>
              <w:jc w:val="left"/>
              <w:rPr>
                <w:sz w:val="16"/>
                <w:szCs w:val="18"/>
              </w:rPr>
            </w:pPr>
          </w:p>
        </w:tc>
        <w:tc>
          <w:tcPr>
            <w:tcW w:w="1134" w:type="dxa"/>
          </w:tcPr>
          <w:p w14:paraId="68FC84E7" w14:textId="77777777" w:rsidR="002130E5" w:rsidRPr="006F559C" w:rsidRDefault="002130E5" w:rsidP="00C30F9D">
            <w:pPr>
              <w:jc w:val="left"/>
              <w:rPr>
                <w:sz w:val="16"/>
                <w:szCs w:val="18"/>
              </w:rPr>
            </w:pPr>
            <w:r w:rsidRPr="006F559C">
              <w:rPr>
                <w:sz w:val="16"/>
                <w:szCs w:val="18"/>
              </w:rPr>
              <w:t xml:space="preserve">14 </w:t>
            </w:r>
            <w:r>
              <w:rPr>
                <w:sz w:val="16"/>
                <w:szCs w:val="18"/>
              </w:rPr>
              <w:t>y</w:t>
            </w:r>
            <w:r w:rsidRPr="006F559C">
              <w:rPr>
                <w:sz w:val="16"/>
                <w:szCs w:val="18"/>
              </w:rPr>
              <w:t xml:space="preserve"> 15 de junio de 2023</w:t>
            </w:r>
          </w:p>
        </w:tc>
        <w:tc>
          <w:tcPr>
            <w:tcW w:w="1276" w:type="dxa"/>
          </w:tcPr>
          <w:p w14:paraId="3A838A54" w14:textId="77777777" w:rsidR="002130E5" w:rsidRPr="006F559C" w:rsidRDefault="002130E5" w:rsidP="00C30F9D">
            <w:pPr>
              <w:jc w:val="left"/>
              <w:rPr>
                <w:sz w:val="16"/>
                <w:szCs w:val="18"/>
              </w:rPr>
            </w:pPr>
            <w:r w:rsidRPr="006F559C">
              <w:rPr>
                <w:sz w:val="16"/>
                <w:szCs w:val="18"/>
              </w:rPr>
              <w:t xml:space="preserve">Modalidad en línea: a través de la plataforma </w:t>
            </w:r>
            <w:proofErr w:type="spellStart"/>
            <w:r w:rsidRPr="006F559C">
              <w:rPr>
                <w:sz w:val="16"/>
                <w:szCs w:val="18"/>
              </w:rPr>
              <w:t>meet</w:t>
            </w:r>
            <w:proofErr w:type="spellEnd"/>
          </w:p>
        </w:tc>
        <w:tc>
          <w:tcPr>
            <w:tcW w:w="1276" w:type="dxa"/>
          </w:tcPr>
          <w:p w14:paraId="635E8E62" w14:textId="77777777" w:rsidR="002130E5" w:rsidRPr="006F559C" w:rsidRDefault="002130E5" w:rsidP="00C30F9D">
            <w:pPr>
              <w:jc w:val="left"/>
              <w:rPr>
                <w:sz w:val="16"/>
                <w:szCs w:val="18"/>
              </w:rPr>
            </w:pPr>
            <w:r w:rsidRPr="006F559C">
              <w:rPr>
                <w:sz w:val="16"/>
                <w:szCs w:val="18"/>
              </w:rPr>
              <w:t>Servicio Nacional de Inspección y Certificación de Semillas y Asociación Mexicana de Semilleros A.C.</w:t>
            </w:r>
          </w:p>
        </w:tc>
        <w:tc>
          <w:tcPr>
            <w:tcW w:w="1417" w:type="dxa"/>
          </w:tcPr>
          <w:p w14:paraId="3D892596" w14:textId="77777777" w:rsidR="002130E5" w:rsidRPr="006F559C" w:rsidRDefault="002130E5" w:rsidP="00C30F9D">
            <w:pPr>
              <w:jc w:val="left"/>
              <w:rPr>
                <w:sz w:val="16"/>
                <w:szCs w:val="18"/>
              </w:rPr>
            </w:pPr>
            <w:r w:rsidRPr="006F559C">
              <w:rPr>
                <w:sz w:val="16"/>
                <w:szCs w:val="18"/>
              </w:rPr>
              <w:t>Proporcionar a las empresas redactoras de solicitudes, los fundamentos técnicos y administrativos necesarios para la presentación de las solicitudes en materia de variedades vegetales</w:t>
            </w:r>
          </w:p>
        </w:tc>
        <w:tc>
          <w:tcPr>
            <w:tcW w:w="1843" w:type="dxa"/>
          </w:tcPr>
          <w:p w14:paraId="5173B91E" w14:textId="77777777" w:rsidR="002130E5" w:rsidRPr="006F559C" w:rsidRDefault="002130E5" w:rsidP="00C30F9D">
            <w:pPr>
              <w:jc w:val="left"/>
              <w:rPr>
                <w:sz w:val="16"/>
                <w:szCs w:val="18"/>
              </w:rPr>
            </w:pPr>
            <w:r w:rsidRPr="006F559C">
              <w:rPr>
                <w:sz w:val="16"/>
                <w:szCs w:val="18"/>
              </w:rPr>
              <w:t>México</w:t>
            </w:r>
          </w:p>
        </w:tc>
        <w:tc>
          <w:tcPr>
            <w:tcW w:w="1530" w:type="dxa"/>
          </w:tcPr>
          <w:p w14:paraId="5F9194A1" w14:textId="77777777" w:rsidR="002130E5" w:rsidRPr="006F559C" w:rsidRDefault="002130E5" w:rsidP="00C30F9D">
            <w:pPr>
              <w:jc w:val="left"/>
              <w:rPr>
                <w:sz w:val="16"/>
                <w:szCs w:val="18"/>
              </w:rPr>
            </w:pPr>
            <w:r w:rsidRPr="006F559C">
              <w:rPr>
                <w:sz w:val="16"/>
                <w:szCs w:val="18"/>
              </w:rPr>
              <w:t>Derivado del interés de las empresas con respecto a los temas revisados en el taller, se propone continuar con la capacitación constante a las empresas.</w:t>
            </w:r>
          </w:p>
          <w:p w14:paraId="6EFFD16E" w14:textId="77777777" w:rsidR="002130E5" w:rsidRPr="006F559C" w:rsidRDefault="002130E5" w:rsidP="00C30F9D">
            <w:pPr>
              <w:jc w:val="left"/>
              <w:rPr>
                <w:sz w:val="16"/>
                <w:szCs w:val="18"/>
              </w:rPr>
            </w:pPr>
          </w:p>
        </w:tc>
      </w:tr>
    </w:tbl>
    <w:p w14:paraId="48F47B05" w14:textId="77777777" w:rsidR="002130E5" w:rsidRPr="006F559C" w:rsidRDefault="002130E5" w:rsidP="002130E5"/>
    <w:p w14:paraId="54EA4BFC" w14:textId="77777777" w:rsidR="005A5957" w:rsidRPr="002130E5" w:rsidRDefault="005A5957" w:rsidP="002130E5"/>
    <w:p w14:paraId="3B71F663" w14:textId="77777777" w:rsidR="005A5957" w:rsidRPr="009F74EC" w:rsidRDefault="005A5957" w:rsidP="005A5957">
      <w:pPr>
        <w:jc w:val="left"/>
      </w:pPr>
    </w:p>
    <w:p w14:paraId="1E06123A" w14:textId="571997F8" w:rsidR="005A5957" w:rsidRPr="009F74EC" w:rsidRDefault="00A47143" w:rsidP="005A5957">
      <w:pPr>
        <w:jc w:val="right"/>
      </w:pPr>
      <w:r>
        <w:t>[</w:t>
      </w:r>
      <w:r w:rsidR="005A5957" w:rsidRPr="009F74EC">
        <w:t xml:space="preserve">Sigue el </w:t>
      </w:r>
      <w:r w:rsidRPr="009F74EC">
        <w:t xml:space="preserve">Anexo </w:t>
      </w:r>
      <w:r w:rsidR="005A5957" w:rsidRPr="009F74EC">
        <w:t>XII]</w:t>
      </w:r>
    </w:p>
    <w:p w14:paraId="69F601E0" w14:textId="77777777" w:rsidR="005A5957" w:rsidRPr="009F74EC" w:rsidRDefault="005A5957" w:rsidP="005A5957">
      <w:pPr>
        <w:jc w:val="center"/>
      </w:pPr>
    </w:p>
    <w:p w14:paraId="1DB2E12B" w14:textId="77777777" w:rsidR="005A5957" w:rsidRPr="009F74EC" w:rsidRDefault="005A5957" w:rsidP="005A5957">
      <w:pPr>
        <w:jc w:val="center"/>
        <w:sectPr w:rsidR="005A5957" w:rsidRPr="009F74EC" w:rsidSect="000B2CE0">
          <w:pgSz w:w="11907" w:h="16840" w:code="9"/>
          <w:pgMar w:top="510" w:right="1134" w:bottom="568" w:left="1134" w:header="510" w:footer="680" w:gutter="0"/>
          <w:pgNumType w:start="1"/>
          <w:cols w:space="720"/>
          <w:titlePg/>
        </w:sectPr>
      </w:pPr>
    </w:p>
    <w:p w14:paraId="7274EC96" w14:textId="77777777" w:rsidR="005A5957" w:rsidRPr="009F74EC" w:rsidRDefault="005A5957" w:rsidP="005A5957">
      <w:pPr>
        <w:jc w:val="center"/>
      </w:pPr>
      <w:r w:rsidRPr="009F74EC">
        <w:lastRenderedPageBreak/>
        <w:t>C/57/13</w:t>
      </w:r>
    </w:p>
    <w:p w14:paraId="0AA518A7" w14:textId="77777777" w:rsidR="005A5957" w:rsidRPr="009F74EC" w:rsidRDefault="005A5957" w:rsidP="005A5957">
      <w:pPr>
        <w:jc w:val="center"/>
      </w:pPr>
    </w:p>
    <w:p w14:paraId="7AAF7058" w14:textId="77777777" w:rsidR="005A5957" w:rsidRPr="009F74EC" w:rsidRDefault="005A5957" w:rsidP="005A5957">
      <w:pPr>
        <w:jc w:val="center"/>
      </w:pPr>
      <w:r w:rsidRPr="009F74EC">
        <w:t>ANEXO XII</w:t>
      </w:r>
    </w:p>
    <w:p w14:paraId="3775CA38" w14:textId="77777777" w:rsidR="005A5957" w:rsidRPr="009F74EC" w:rsidRDefault="005A5957" w:rsidP="005A5957">
      <w:pPr>
        <w:jc w:val="center"/>
      </w:pPr>
    </w:p>
    <w:p w14:paraId="3CDB8FB3" w14:textId="77777777" w:rsidR="005A5957" w:rsidRPr="009F74EC" w:rsidRDefault="005A5957" w:rsidP="005A5957">
      <w:pPr>
        <w:jc w:val="center"/>
      </w:pPr>
    </w:p>
    <w:p w14:paraId="4E249932" w14:textId="77777777" w:rsidR="005A5957" w:rsidRPr="009F74EC" w:rsidRDefault="005A5957" w:rsidP="005A5957">
      <w:pPr>
        <w:jc w:val="center"/>
      </w:pPr>
      <w:r w:rsidRPr="009F74EC">
        <w:t>NUEVA ZELANDIA</w:t>
      </w:r>
    </w:p>
    <w:p w14:paraId="17A3CAC0" w14:textId="77777777" w:rsidR="00633DB1" w:rsidRPr="009F74EC" w:rsidRDefault="00633DB1" w:rsidP="00633DB1">
      <w:pPr>
        <w:jc w:val="center"/>
      </w:pPr>
      <w:r w:rsidRPr="009F74EC">
        <w:t>(Idioma original: inglés)</w:t>
      </w:r>
    </w:p>
    <w:p w14:paraId="01A5DD41" w14:textId="77777777" w:rsidR="00633DB1" w:rsidRPr="009F74EC" w:rsidRDefault="00633DB1" w:rsidP="00633DB1"/>
    <w:p w14:paraId="5325AE40" w14:textId="77777777" w:rsidR="00633DB1" w:rsidRPr="009F74EC" w:rsidRDefault="00633DB1" w:rsidP="00633DB1">
      <w:pPr>
        <w:pStyle w:val="Disclaimer"/>
        <w:spacing w:after="360"/>
        <w:jc w:val="center"/>
        <w:rPr>
          <w:sz w:val="18"/>
          <w:szCs w:val="18"/>
        </w:rPr>
      </w:pPr>
      <w:r w:rsidRPr="009F74EC">
        <w:rPr>
          <w:sz w:val="18"/>
          <w:szCs w:val="18"/>
        </w:rPr>
        <w:t xml:space="preserve">Esta traducción se ha generado mediante traducción automática y no puede garantizarse su exactitud. </w:t>
      </w:r>
      <w:r w:rsidRPr="009F74EC">
        <w:rPr>
          <w:sz w:val="18"/>
          <w:szCs w:val="18"/>
        </w:rPr>
        <w:br/>
        <w:t>Por lo tanto, el texto en el idioma original es la única versión auténtica.</w:t>
      </w:r>
    </w:p>
    <w:p w14:paraId="003BE8E5" w14:textId="77777777" w:rsidR="005A5957" w:rsidRPr="009F74EC" w:rsidRDefault="005A5957" w:rsidP="005A5957">
      <w:r w:rsidRPr="009F74EC">
        <w:t>PROTECCIÓN DE LAS OBTENCIONES VEGETALES</w:t>
      </w:r>
    </w:p>
    <w:p w14:paraId="1562451A" w14:textId="77777777" w:rsidR="005A5957" w:rsidRPr="009F74EC" w:rsidRDefault="005A5957" w:rsidP="005A5957"/>
    <w:p w14:paraId="7601C65A" w14:textId="77777777" w:rsidR="005A5957" w:rsidRPr="009F74EC" w:rsidRDefault="005A5957" w:rsidP="005A5957">
      <w:r w:rsidRPr="009F74EC">
        <w:t>1.</w:t>
      </w:r>
      <w:r w:rsidRPr="009F74EC">
        <w:tab/>
      </w:r>
      <w:r w:rsidRPr="009F74EC">
        <w:rPr>
          <w:u w:val="single"/>
        </w:rPr>
        <w:t>Situación en el ámbito legislativo</w:t>
      </w:r>
    </w:p>
    <w:p w14:paraId="3D235F36" w14:textId="77777777" w:rsidR="005A5957" w:rsidRPr="009F74EC" w:rsidRDefault="005A5957" w:rsidP="005A5957"/>
    <w:p w14:paraId="11085F7B" w14:textId="77777777" w:rsidR="005A5957" w:rsidRPr="009F74EC" w:rsidRDefault="005A5957" w:rsidP="005A5957">
      <w:pPr>
        <w:rPr>
          <w:b/>
          <w:bCs/>
        </w:rPr>
      </w:pPr>
      <w:r w:rsidRPr="009F74EC">
        <w:rPr>
          <w:b/>
          <w:bCs/>
        </w:rPr>
        <w:t>Una nueva ley</w:t>
      </w:r>
    </w:p>
    <w:p w14:paraId="0943A264" w14:textId="77777777" w:rsidR="005A5957" w:rsidRPr="009F74EC" w:rsidRDefault="005A5957" w:rsidP="005A5957"/>
    <w:p w14:paraId="02B98C5B" w14:textId="77777777" w:rsidR="005A5957" w:rsidRPr="009F74EC" w:rsidRDefault="005A5957" w:rsidP="005A5957">
      <w:r w:rsidRPr="009F74EC">
        <w:t>El proyecto de Ley de Derechos de Obtención Vegetal pasó su tercera lectura el 16 de noviembre de 2022, y recibió el Asentimiento Real el 18 de noviembre, convirtiéndose en la Ley de Derechos de Obtención Vegetal de 2022 ("la nueva Ley").</w:t>
      </w:r>
    </w:p>
    <w:p w14:paraId="234A311D" w14:textId="77777777" w:rsidR="005A5957" w:rsidRPr="009F74EC" w:rsidRDefault="005A5957" w:rsidP="005A5957"/>
    <w:p w14:paraId="704AE5E6" w14:textId="77777777" w:rsidR="005A5957" w:rsidRPr="009F74EC" w:rsidRDefault="005A5957" w:rsidP="005A5957">
      <w:r w:rsidRPr="009F74EC">
        <w:rPr>
          <w:b/>
          <w:bCs/>
        </w:rPr>
        <w:t xml:space="preserve">La Ley de Protección de las Obtenciones Vegetales de 2022 </w:t>
      </w:r>
      <w:r w:rsidRPr="009F74EC">
        <w:t xml:space="preserve">y el </w:t>
      </w:r>
      <w:r w:rsidRPr="009F74EC">
        <w:rPr>
          <w:b/>
          <w:bCs/>
        </w:rPr>
        <w:t xml:space="preserve">Reglamento de Protección de las Obtenciones Vegetales de 2022 </w:t>
      </w:r>
      <w:r w:rsidRPr="009F74EC">
        <w:t xml:space="preserve">están disponibles en el sitio web de legislación de Nueva Zelandia </w:t>
      </w:r>
      <w:hyperlink r:id="rId30" w:history="1">
        <w:r w:rsidRPr="009F74EC">
          <w:rPr>
            <w:rStyle w:val="Hyperlink"/>
          </w:rPr>
          <w:t>www.legislation.govt.nz.</w:t>
        </w:r>
      </w:hyperlink>
    </w:p>
    <w:p w14:paraId="04629A86" w14:textId="77777777" w:rsidR="005A5957" w:rsidRPr="009F74EC" w:rsidRDefault="005A5957" w:rsidP="005A5957"/>
    <w:p w14:paraId="55CEC4CB" w14:textId="77777777" w:rsidR="005A5957" w:rsidRPr="009F74EC" w:rsidRDefault="005A5957" w:rsidP="005A5957">
      <w:pPr>
        <w:rPr>
          <w:rFonts w:eastAsia="Calibri"/>
        </w:rPr>
      </w:pPr>
      <w:r w:rsidRPr="009F74EC">
        <w:t xml:space="preserve">La nueva Ley crea un nuevo y moderno régimen de derechos de obtentor que cumple con las responsabilidades para con los maoríes en virtud del Tratado de </w:t>
      </w:r>
      <w:proofErr w:type="spellStart"/>
      <w:r w:rsidRPr="009F74EC">
        <w:t>Waitangi</w:t>
      </w:r>
      <w:proofErr w:type="spellEnd"/>
      <w:r w:rsidRPr="009F74EC">
        <w:t>. Además, permite a Nueva Zelandia cumplir sus obligaciones comerciales internacionales en virtud del Acuerdo General y Progresivo de Asociación Transpacífico (CPTPP).</w:t>
      </w:r>
    </w:p>
    <w:p w14:paraId="78608FD6" w14:textId="77777777" w:rsidR="005A5957" w:rsidRPr="009F74EC" w:rsidRDefault="005A5957" w:rsidP="005A5957"/>
    <w:p w14:paraId="2B7AFAC1" w14:textId="77777777" w:rsidR="005A5957" w:rsidRPr="009F74EC" w:rsidRDefault="005A5957" w:rsidP="005A5957">
      <w:r w:rsidRPr="009F74EC">
        <w:t>La nueva Ley y su Reglamento entraron en vigor el 24 de enero de 2023, a excepción de la subparte 3 de la Parte 5 de la nueva Ley. Esto incluirá los siguientes cambios clave:</w:t>
      </w:r>
    </w:p>
    <w:p w14:paraId="27F29B40" w14:textId="77777777" w:rsidR="005A5957" w:rsidRPr="009F74EC" w:rsidRDefault="005A5957" w:rsidP="005A5957"/>
    <w:p w14:paraId="213AB7A0" w14:textId="77777777" w:rsidR="005A5957" w:rsidRPr="009F74EC" w:rsidRDefault="005A5957" w:rsidP="005A5957">
      <w:r w:rsidRPr="009F74EC">
        <w:t>La Ley de Derechos de Obtentor de 2022 aplicará los derechos exclusivos ampliados previstos en UPOV 91, entre los que se incluyen:</w:t>
      </w:r>
    </w:p>
    <w:p w14:paraId="64A332A4" w14:textId="77777777" w:rsidR="005A5957" w:rsidRPr="009F74EC" w:rsidRDefault="005A5957" w:rsidP="005A5957"/>
    <w:p w14:paraId="63DA9C49" w14:textId="77777777" w:rsidR="005A5957" w:rsidRPr="009F74EC" w:rsidRDefault="005A5957" w:rsidP="005A5957">
      <w:pPr>
        <w:pStyle w:val="ListParagraph"/>
        <w:numPr>
          <w:ilvl w:val="0"/>
          <w:numId w:val="9"/>
        </w:numPr>
        <w:rPr>
          <w:lang w:val="es-ES_tradnl"/>
        </w:rPr>
      </w:pPr>
      <w:r w:rsidRPr="009F74EC">
        <w:rPr>
          <w:lang w:val="es-ES_tradnl"/>
        </w:rPr>
        <w:t>La ampliación de derechos a la comercialización, exportación, importación y acondicionamiento de material de reproducción o multiplicación.</w:t>
      </w:r>
    </w:p>
    <w:p w14:paraId="54AA8D23" w14:textId="77777777" w:rsidR="005A5957" w:rsidRPr="009F74EC" w:rsidRDefault="005A5957" w:rsidP="005A5957">
      <w:pPr>
        <w:pStyle w:val="ListParagraph"/>
        <w:numPr>
          <w:ilvl w:val="0"/>
          <w:numId w:val="9"/>
        </w:numPr>
        <w:rPr>
          <w:lang w:val="es-ES_tradnl"/>
        </w:rPr>
      </w:pPr>
      <w:r w:rsidRPr="009F74EC">
        <w:rPr>
          <w:lang w:val="es-ES_tradnl"/>
        </w:rPr>
        <w:t>La ampliación de estos derechos a las "Variedades Esencialmente Derivadas".</w:t>
      </w:r>
    </w:p>
    <w:p w14:paraId="2DF551C8" w14:textId="77777777" w:rsidR="005A5957" w:rsidRPr="009F74EC" w:rsidRDefault="005A5957" w:rsidP="005A5957">
      <w:pPr>
        <w:pStyle w:val="ListParagraph"/>
        <w:numPr>
          <w:ilvl w:val="0"/>
          <w:numId w:val="9"/>
        </w:numPr>
        <w:rPr>
          <w:lang w:val="es-ES_tradnl"/>
        </w:rPr>
      </w:pPr>
      <w:r w:rsidRPr="009F74EC">
        <w:rPr>
          <w:lang w:val="es-ES_tradnl"/>
        </w:rPr>
        <w:t>La ampliación de estos derechos al material cosechado, en determinadas situaciones.</w:t>
      </w:r>
    </w:p>
    <w:p w14:paraId="374F25DF" w14:textId="77777777" w:rsidR="005A5957" w:rsidRPr="009F74EC" w:rsidRDefault="005A5957" w:rsidP="005A5957">
      <w:pPr>
        <w:pStyle w:val="ListParagraph"/>
        <w:numPr>
          <w:ilvl w:val="0"/>
          <w:numId w:val="9"/>
        </w:numPr>
        <w:rPr>
          <w:lang w:val="es-ES_tradnl"/>
        </w:rPr>
      </w:pPr>
      <w:r w:rsidRPr="009F74EC">
        <w:rPr>
          <w:lang w:val="es-ES_tradnl"/>
        </w:rPr>
        <w:t>La continuación de las disposiciones existentes sobre semillas conservadas en granja, debido a la exención de las semillas conservadas en granja de la cobertura de los nuevos derechos.</w:t>
      </w:r>
    </w:p>
    <w:p w14:paraId="726CA909" w14:textId="77777777" w:rsidR="005A5957" w:rsidRPr="009F74EC" w:rsidRDefault="005A5957" w:rsidP="005A5957">
      <w:pPr>
        <w:pStyle w:val="ListParagraph"/>
        <w:numPr>
          <w:ilvl w:val="0"/>
          <w:numId w:val="9"/>
        </w:numPr>
        <w:rPr>
          <w:lang w:val="es-ES_tradnl"/>
        </w:rPr>
      </w:pPr>
      <w:r w:rsidRPr="009F74EC">
        <w:rPr>
          <w:lang w:val="es-ES_tradnl"/>
        </w:rPr>
        <w:t>La aplicación de una prueba de interés público para las licencias obligatorias.</w:t>
      </w:r>
    </w:p>
    <w:p w14:paraId="4D9DB3FB" w14:textId="77777777" w:rsidR="005A5957" w:rsidRPr="009F74EC" w:rsidRDefault="005A5957" w:rsidP="005A5957"/>
    <w:p w14:paraId="360E8BCF" w14:textId="77777777" w:rsidR="005A5957" w:rsidRPr="009F74EC" w:rsidRDefault="005A5957" w:rsidP="005A5957">
      <w:r w:rsidRPr="009F74EC">
        <w:t xml:space="preserve">La nueva Ley introducirá cambios de acuerdo con las recomendaciones del informe </w:t>
      </w:r>
      <w:proofErr w:type="spellStart"/>
      <w:r w:rsidRPr="009F74EC">
        <w:t>Wai</w:t>
      </w:r>
      <w:proofErr w:type="spellEnd"/>
      <w:r w:rsidRPr="009F74EC">
        <w:t xml:space="preserve"> 262, incluida la creación de un Comité de Obtenciones Vegetales Maoríes. Este Comité apoyará el compromiso temprano entre los obtentores de especies de plantas autóctonas y los </w:t>
      </w:r>
      <w:proofErr w:type="spellStart"/>
      <w:r w:rsidRPr="009F74EC">
        <w:t>kaitiaki</w:t>
      </w:r>
      <w:proofErr w:type="spellEnd"/>
      <w:r w:rsidRPr="009F74EC">
        <w:t xml:space="preserve">, evaluará el impacto de una subvención PVR en las relaciones con los </w:t>
      </w:r>
      <w:proofErr w:type="spellStart"/>
      <w:r w:rsidRPr="009F74EC">
        <w:t>kaitiaki</w:t>
      </w:r>
      <w:proofErr w:type="spellEnd"/>
      <w:r w:rsidRPr="009F74EC">
        <w:t xml:space="preserve"> y tomará decisiones sobre si ciertas solicitudes deben o no seguir adelante.</w:t>
      </w:r>
    </w:p>
    <w:p w14:paraId="6716660E" w14:textId="77777777" w:rsidR="005A5957" w:rsidRPr="009F74EC" w:rsidRDefault="005A5957" w:rsidP="005A5957"/>
    <w:p w14:paraId="61560977" w14:textId="77777777" w:rsidR="005A5957" w:rsidRPr="009F74EC" w:rsidRDefault="005A5957" w:rsidP="005A5957">
      <w:pPr>
        <w:rPr>
          <w:b/>
          <w:bCs/>
        </w:rPr>
      </w:pPr>
      <w:r w:rsidRPr="009F74EC">
        <w:rPr>
          <w:b/>
          <w:bCs/>
        </w:rPr>
        <w:t xml:space="preserve">Tasas por derechos de obtención vegetal </w:t>
      </w:r>
    </w:p>
    <w:p w14:paraId="3CB60707" w14:textId="77777777" w:rsidR="005A5957" w:rsidRPr="009F74EC" w:rsidRDefault="005A5957" w:rsidP="005A5957">
      <w:pPr>
        <w:rPr>
          <w:rFonts w:eastAsia="Calibri"/>
        </w:rPr>
      </w:pPr>
    </w:p>
    <w:p w14:paraId="2E38677E" w14:textId="77777777" w:rsidR="005A5957" w:rsidRPr="009F74EC" w:rsidRDefault="005A5957" w:rsidP="005A5957">
      <w:r w:rsidRPr="009F74EC">
        <w:t xml:space="preserve">En consonancia con la entrada en vigor de la nueva Ley de Derechos de Obtención Vegetal de 2022 y su Reglamento, el 24 de enero de 2023 también entró en vigor un nuevo baremo de tasas. Las nuevas tasas pueden consultarse en </w:t>
      </w:r>
      <w:hyperlink r:id="rId31" w:history="1">
        <w:r w:rsidRPr="009F74EC">
          <w:rPr>
            <w:rStyle w:val="Hyperlink"/>
          </w:rPr>
          <w:t>Tasas de derechos de obtentor | Oficina de Propiedad Intelectual de Nueva Zelandia (iponz.govt.nz).</w:t>
        </w:r>
      </w:hyperlink>
    </w:p>
    <w:p w14:paraId="44E71F58" w14:textId="77777777" w:rsidR="005A5957" w:rsidRPr="009F74EC" w:rsidRDefault="005A5957" w:rsidP="005A5957"/>
    <w:p w14:paraId="71AA5340" w14:textId="77777777" w:rsidR="005A5957" w:rsidRPr="009F74EC" w:rsidRDefault="005A5957" w:rsidP="005A5957">
      <w:pPr>
        <w:rPr>
          <w:rFonts w:eastAsia="Calibri"/>
        </w:rPr>
      </w:pPr>
      <w:r w:rsidRPr="009F74EC">
        <w:t>El nuevo baremo de tasas se deriva de una revisión del coste actual de los servicios prestados por IPONZ a través de la Oficina de Derechos de Obtentor. En relación con estas nuevas tasas se han tenido en cuenta varias cuestiones, entre otras, las siguientes:</w:t>
      </w:r>
    </w:p>
    <w:p w14:paraId="2E48A7C0" w14:textId="77777777" w:rsidR="005A5957" w:rsidRPr="009F74EC" w:rsidRDefault="005A5957" w:rsidP="005A5957"/>
    <w:p w14:paraId="34584100" w14:textId="77777777" w:rsidR="005A5957" w:rsidRPr="009F74EC" w:rsidRDefault="005A5957" w:rsidP="005A5957">
      <w:pPr>
        <w:pStyle w:val="ListParagraph"/>
        <w:numPr>
          <w:ilvl w:val="0"/>
          <w:numId w:val="10"/>
        </w:numPr>
        <w:rPr>
          <w:lang w:val="es-ES_tradnl"/>
        </w:rPr>
      </w:pPr>
      <w:r w:rsidRPr="009F74EC">
        <w:rPr>
          <w:lang w:val="es-ES_tradnl"/>
        </w:rPr>
        <w:t>Las tasas de protección de las obtenciones vegetales se revisaron por última vez en 2002, y el aumento de los costes en el periodo transcurrido ha dado lugar a importantes déficits anuales para la Oficina de Protección de las Obtenciones Vegetales.</w:t>
      </w:r>
    </w:p>
    <w:p w14:paraId="38C26515" w14:textId="77777777" w:rsidR="005A5957" w:rsidRPr="009F74EC" w:rsidRDefault="005A5957" w:rsidP="005A5957">
      <w:pPr>
        <w:pStyle w:val="ListParagraph"/>
        <w:numPr>
          <w:ilvl w:val="0"/>
          <w:numId w:val="10"/>
        </w:numPr>
        <w:rPr>
          <w:lang w:val="es-ES_tradnl"/>
        </w:rPr>
      </w:pPr>
      <w:r w:rsidRPr="009F74EC">
        <w:rPr>
          <w:lang w:val="es-ES_tradnl"/>
        </w:rPr>
        <w:t>IPONZ elaboró una serie de cambios propuestos para las tarifas PVR basándose en los comentarios de los profesionales y contactos del sector. Entre el 13 de abril y el 20 de mayo de 2022, se solicitó la opinión del público sobre los cambios propuestos.</w:t>
      </w:r>
    </w:p>
    <w:p w14:paraId="14ACA66E" w14:textId="77777777" w:rsidR="005A5957" w:rsidRPr="009F74EC" w:rsidRDefault="005A5957" w:rsidP="005A5957">
      <w:pPr>
        <w:pStyle w:val="ListParagraph"/>
        <w:numPr>
          <w:ilvl w:val="0"/>
          <w:numId w:val="10"/>
        </w:numPr>
        <w:rPr>
          <w:lang w:val="es-ES_tradnl"/>
        </w:rPr>
      </w:pPr>
      <w:r w:rsidRPr="009F74EC">
        <w:rPr>
          <w:lang w:val="es-ES_tradnl"/>
        </w:rPr>
        <w:lastRenderedPageBreak/>
        <w:t>Algunas de las nuevas disposiciones de la nueva Ley tienen implicaciones sobre los costes y las tasas.</w:t>
      </w:r>
    </w:p>
    <w:p w14:paraId="3E798E98" w14:textId="77777777" w:rsidR="005A5957" w:rsidRPr="009F74EC" w:rsidRDefault="005A5957" w:rsidP="005A5957"/>
    <w:p w14:paraId="586045BE" w14:textId="77777777" w:rsidR="005A5957" w:rsidRPr="009F74EC" w:rsidRDefault="005A5957" w:rsidP="005A5957">
      <w:pPr>
        <w:rPr>
          <w:rFonts w:eastAsia="Calibri"/>
        </w:rPr>
      </w:pPr>
      <w:r w:rsidRPr="009F74EC">
        <w:t>Después de considerar todo lo anterior, se presentó al Gabinete un conjunto revisado de cambios propuestos a las tasas para su aprobación. Estos cambios fueron aprobados por el Comité de Legislación del Gabinete el 15 de diciembre de 2022, y entraron en vigor con la Ley de Derechos de Obtentor de 2022 y el Reglamento de Derechos de Obtentor de 2022.</w:t>
      </w:r>
    </w:p>
    <w:p w14:paraId="006072C7" w14:textId="77777777" w:rsidR="005A5957" w:rsidRPr="009F74EC" w:rsidRDefault="005A5957" w:rsidP="005A5957"/>
    <w:p w14:paraId="0F1FED39" w14:textId="77777777" w:rsidR="005A5957" w:rsidRPr="009F74EC" w:rsidRDefault="005A5957" w:rsidP="005A5957">
      <w:pPr>
        <w:keepNext/>
        <w:rPr>
          <w:u w:val="single"/>
        </w:rPr>
      </w:pPr>
      <w:r w:rsidRPr="009F74EC">
        <w:t>2.</w:t>
      </w:r>
      <w:r w:rsidRPr="009F74EC">
        <w:tab/>
      </w:r>
      <w:r w:rsidRPr="009F74EC">
        <w:rPr>
          <w:u w:val="single"/>
        </w:rPr>
        <w:t>Cooperación en el examen</w:t>
      </w:r>
    </w:p>
    <w:p w14:paraId="56DC6EA3" w14:textId="77777777" w:rsidR="005A5957" w:rsidRPr="009F74EC" w:rsidRDefault="005A5957" w:rsidP="005A5957">
      <w:pPr>
        <w:keepNext/>
      </w:pPr>
    </w:p>
    <w:p w14:paraId="618D3DA2" w14:textId="77777777" w:rsidR="005A5957" w:rsidRPr="009F74EC" w:rsidRDefault="005A5957" w:rsidP="005A5957">
      <w:r w:rsidRPr="009F74EC">
        <w:t>Nueva Zelandia sigue comprando informes de pruebas a los Estados miembros, para determinadas especies, en función de las necesidades, en virtud de las disposiciones generales del Convenio.  Nueva Zelandia sigue suministrando un informe de pruebas, a petición de una Autoridad, sin coste alguno.</w:t>
      </w:r>
    </w:p>
    <w:p w14:paraId="02825AC7" w14:textId="77777777" w:rsidR="005A5957" w:rsidRPr="009F74EC" w:rsidRDefault="005A5957" w:rsidP="005A5957"/>
    <w:p w14:paraId="5DE13F7C" w14:textId="77777777" w:rsidR="005A5957" w:rsidRPr="009F74EC" w:rsidRDefault="005A5957" w:rsidP="005A5957">
      <w:r w:rsidRPr="009F74EC">
        <w:t xml:space="preserve">En 2022, se utilizaron doce (12) informes de pruebas extranjeros para las decisiones sobre derechos de Nueva Zelandia y se facilitaron diecinueve (19) informes de pruebas a autoridades extranjeras. </w:t>
      </w:r>
    </w:p>
    <w:p w14:paraId="254D64EC" w14:textId="77777777" w:rsidR="005A5957" w:rsidRPr="009F74EC" w:rsidRDefault="005A5957" w:rsidP="005A5957"/>
    <w:p w14:paraId="2525794B" w14:textId="77777777" w:rsidR="005A5957" w:rsidRPr="009F74EC" w:rsidRDefault="005A5957" w:rsidP="005A5957"/>
    <w:p w14:paraId="29AAF7A2" w14:textId="77777777" w:rsidR="005A5957" w:rsidRPr="009F74EC" w:rsidRDefault="005A5957" w:rsidP="005A5957">
      <w:pPr>
        <w:rPr>
          <w:u w:val="single"/>
        </w:rPr>
      </w:pPr>
      <w:r w:rsidRPr="009F74EC">
        <w:t>3.</w:t>
      </w:r>
      <w:r w:rsidRPr="009F74EC">
        <w:tab/>
      </w:r>
      <w:r w:rsidRPr="009F74EC">
        <w:rPr>
          <w:u w:val="single"/>
        </w:rPr>
        <w:t>Situación en el ámbito administrativo</w:t>
      </w:r>
    </w:p>
    <w:p w14:paraId="1EEABCF9" w14:textId="77777777" w:rsidR="005A5957" w:rsidRPr="009F74EC" w:rsidRDefault="005A5957" w:rsidP="005A5957"/>
    <w:p w14:paraId="2E605BFF" w14:textId="77777777" w:rsidR="005A5957" w:rsidRPr="009F74EC" w:rsidRDefault="005A5957" w:rsidP="005A5957">
      <w:r w:rsidRPr="009F74EC">
        <w:t xml:space="preserve">Durante el ejercicio comprendido entre el 1 de julio de 2022 y el 30 de junio de 2023, se aceptaron 98 solicitudes de derechos de obtención vegetal (un aumento del 5% con respecto al año anterior), se concedieron 101 concesiones (un aumento del 27% con respecto al año anterior) y se cancelaron 73 concesiones (una disminución del 5% con respecto al año anterior). A 30 de junio de 2023 había 1.316 concesiones válidas, lo que supone un aumento del 17% con respecto al año anterior. </w:t>
      </w:r>
    </w:p>
    <w:p w14:paraId="41B620AD" w14:textId="77777777" w:rsidR="005A5957" w:rsidRPr="009F74EC" w:rsidRDefault="005A5957" w:rsidP="005A5957"/>
    <w:p w14:paraId="03105AED" w14:textId="77777777" w:rsidR="005A5957" w:rsidRPr="009F74EC" w:rsidRDefault="005A5957" w:rsidP="005A5957">
      <w:r w:rsidRPr="009F74EC">
        <w:t xml:space="preserve">En mayo de 2023 se inició un estudio para determinar el valor económico, de innovación y de bien público de la protección de las obtenciones vegetales en Nueva Zelandia, que concluirá en agosto de 2023. El objetivo del estudio es recopilar datos e información sobre el impacto de la protección de las obtenciones vegetales y los resultados se utilizarán para el desarrollo futuro del sistema. </w:t>
      </w:r>
    </w:p>
    <w:p w14:paraId="257CF3EA" w14:textId="77777777" w:rsidR="005A5957" w:rsidRPr="009F74EC" w:rsidRDefault="005A5957" w:rsidP="005A5957"/>
    <w:p w14:paraId="45A62C3B" w14:textId="77777777" w:rsidR="005A5957" w:rsidRPr="009F74EC" w:rsidRDefault="005A5957" w:rsidP="005A5957"/>
    <w:p w14:paraId="12FBA436" w14:textId="77777777" w:rsidR="005A5957" w:rsidRPr="009F74EC" w:rsidRDefault="005A5957" w:rsidP="005A5957">
      <w:pPr>
        <w:rPr>
          <w:u w:val="single"/>
        </w:rPr>
      </w:pPr>
      <w:r w:rsidRPr="009F74EC">
        <w:t>4.</w:t>
      </w:r>
      <w:r w:rsidRPr="009F74EC">
        <w:tab/>
      </w:r>
      <w:r w:rsidRPr="009F74EC">
        <w:rPr>
          <w:u w:val="single"/>
        </w:rPr>
        <w:t>Situación en el ámbito técnico</w:t>
      </w:r>
    </w:p>
    <w:p w14:paraId="5AD757C0" w14:textId="77777777" w:rsidR="005A5957" w:rsidRPr="009F74EC" w:rsidRDefault="005A5957" w:rsidP="005A5957"/>
    <w:p w14:paraId="124E3A11" w14:textId="77777777" w:rsidR="005A5957" w:rsidRPr="009F74EC" w:rsidRDefault="005A5957" w:rsidP="005A5957">
      <w:r w:rsidRPr="009F74EC">
        <w:t xml:space="preserve">Las recolecciones de variedades de manzanos, melocotoneros y ciruelos se vieron gravemente afectadas por el ciclón Gabrielle, que azotó la zona oriental de la Isla Norte en febrero de 2023. Muchos árboles fueron derribados por el viento y las inundaciones causaron problemas en las raíces y el suelo. Se ha puesto en marcha un plan para reconstruir la colección en los próximos años. Se reconoce que esto llevará algún tiempo y que puede ser difícil conseguir árboles de algunas variedades. </w:t>
      </w:r>
    </w:p>
    <w:p w14:paraId="5E16656E" w14:textId="77777777" w:rsidR="005A5957" w:rsidRPr="009F74EC" w:rsidRDefault="005A5957" w:rsidP="005A5957"/>
    <w:p w14:paraId="1C3E2333" w14:textId="77777777" w:rsidR="005A5957" w:rsidRPr="009F74EC" w:rsidRDefault="005A5957" w:rsidP="005A5957">
      <w:r w:rsidRPr="009F74EC">
        <w:t xml:space="preserve">Las solicitudes de nuevas especies, como </w:t>
      </w:r>
      <w:r w:rsidRPr="009F74EC">
        <w:rPr>
          <w:i/>
          <w:iCs/>
        </w:rPr>
        <w:t xml:space="preserve">Hoya </w:t>
      </w:r>
      <w:r w:rsidRPr="009F74EC">
        <w:t xml:space="preserve">y </w:t>
      </w:r>
      <w:proofErr w:type="spellStart"/>
      <w:r w:rsidRPr="009F74EC">
        <w:rPr>
          <w:i/>
          <w:iCs/>
        </w:rPr>
        <w:t>Peperomia</w:t>
      </w:r>
      <w:proofErr w:type="spellEnd"/>
      <w:r w:rsidRPr="009F74EC">
        <w:rPr>
          <w:i/>
          <w:iCs/>
        </w:rPr>
        <w:t xml:space="preserve">, </w:t>
      </w:r>
      <w:r w:rsidRPr="009F74EC">
        <w:t xml:space="preserve">han exigido enfoques flexibles en materia de examen y pruebas. En el caso de </w:t>
      </w:r>
      <w:r w:rsidRPr="009F74EC">
        <w:rPr>
          <w:i/>
          <w:iCs/>
        </w:rPr>
        <w:t>Hoya</w:t>
      </w:r>
      <w:r w:rsidRPr="009F74EC">
        <w:t xml:space="preserve">, las variedades se habían obtenido en Nueva Zelandia y fue necesario elaborar protocolos nacionales de examen, mientras que en el caso de las variedades de </w:t>
      </w:r>
      <w:proofErr w:type="spellStart"/>
      <w:r w:rsidRPr="009F74EC">
        <w:t>Peperomia</w:t>
      </w:r>
      <w:proofErr w:type="spellEnd"/>
      <w:r w:rsidRPr="009F74EC">
        <w:t>, el examen ya había sido realizado por otra autoridad y se disponía de informes de examen extranjeros. El examen de nuevas especies puede requerir competencias y recursos específicos que pueden o no estar disponibles a escala nacional. Las opciones de Nueva Zelandia para los acuerdos de examen son flexibles y para estas situaciones suponen una ventaja.</w:t>
      </w:r>
    </w:p>
    <w:p w14:paraId="16D92722" w14:textId="77777777" w:rsidR="005A5957" w:rsidRPr="009F74EC" w:rsidRDefault="005A5957" w:rsidP="005A5957"/>
    <w:p w14:paraId="23BF0165" w14:textId="77777777" w:rsidR="005A5957" w:rsidRPr="009F74EC" w:rsidRDefault="005A5957" w:rsidP="005A5957"/>
    <w:p w14:paraId="71A54273" w14:textId="77777777" w:rsidR="005A5957" w:rsidRPr="009F74EC" w:rsidRDefault="005A5957" w:rsidP="005A5957">
      <w:pPr>
        <w:rPr>
          <w:u w:val="single"/>
        </w:rPr>
      </w:pPr>
      <w:r w:rsidRPr="009F74EC">
        <w:t>5.</w:t>
      </w:r>
      <w:r w:rsidRPr="009F74EC">
        <w:tab/>
      </w:r>
      <w:r w:rsidRPr="009F74EC">
        <w:rPr>
          <w:u w:val="single"/>
        </w:rPr>
        <w:t>Actividades de fomento de la protección de las obtenciones vegetales</w:t>
      </w:r>
    </w:p>
    <w:p w14:paraId="6BF32FE8" w14:textId="77777777" w:rsidR="005A5957" w:rsidRPr="009F74EC" w:rsidRDefault="005A5957" w:rsidP="005A5957"/>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242"/>
        <w:gridCol w:w="993"/>
        <w:gridCol w:w="1162"/>
        <w:gridCol w:w="1276"/>
        <w:gridCol w:w="1418"/>
        <w:gridCol w:w="1955"/>
        <w:gridCol w:w="1588"/>
      </w:tblGrid>
      <w:tr w:rsidR="005A5957" w:rsidRPr="009F74EC" w14:paraId="5BA7DDE0" w14:textId="77777777" w:rsidTr="00C30F9D">
        <w:tc>
          <w:tcPr>
            <w:tcW w:w="1242" w:type="dxa"/>
            <w:shd w:val="clear" w:color="auto" w:fill="auto"/>
          </w:tcPr>
          <w:p w14:paraId="6B81DA7A" w14:textId="77777777" w:rsidR="005A5957" w:rsidRPr="009F74EC" w:rsidRDefault="005A5957" w:rsidP="00C30F9D">
            <w:pPr>
              <w:jc w:val="left"/>
              <w:rPr>
                <w:sz w:val="16"/>
                <w:szCs w:val="16"/>
              </w:rPr>
            </w:pPr>
            <w:r w:rsidRPr="009F74EC">
              <w:rPr>
                <w:sz w:val="16"/>
                <w:szCs w:val="16"/>
              </w:rPr>
              <w:t>Título de la actividad</w:t>
            </w:r>
          </w:p>
        </w:tc>
        <w:tc>
          <w:tcPr>
            <w:tcW w:w="993" w:type="dxa"/>
            <w:shd w:val="clear" w:color="auto" w:fill="auto"/>
          </w:tcPr>
          <w:p w14:paraId="6FA77C9E" w14:textId="77777777" w:rsidR="005A5957" w:rsidRPr="009F74EC" w:rsidRDefault="005A5957" w:rsidP="00C30F9D">
            <w:pPr>
              <w:jc w:val="left"/>
              <w:rPr>
                <w:sz w:val="16"/>
                <w:szCs w:val="16"/>
              </w:rPr>
            </w:pPr>
            <w:r w:rsidRPr="009F74EC">
              <w:rPr>
                <w:sz w:val="16"/>
                <w:szCs w:val="16"/>
              </w:rPr>
              <w:t>Fecha</w:t>
            </w:r>
          </w:p>
        </w:tc>
        <w:tc>
          <w:tcPr>
            <w:tcW w:w="1162" w:type="dxa"/>
            <w:shd w:val="clear" w:color="auto" w:fill="auto"/>
          </w:tcPr>
          <w:p w14:paraId="0764B4CF" w14:textId="77777777" w:rsidR="005A5957" w:rsidRPr="009F74EC" w:rsidRDefault="005A5957" w:rsidP="00C30F9D">
            <w:pPr>
              <w:jc w:val="left"/>
              <w:rPr>
                <w:sz w:val="16"/>
                <w:szCs w:val="16"/>
              </w:rPr>
            </w:pPr>
            <w:r w:rsidRPr="009F74EC">
              <w:rPr>
                <w:sz w:val="16"/>
                <w:szCs w:val="16"/>
              </w:rPr>
              <w:t>Ubicación</w:t>
            </w:r>
          </w:p>
        </w:tc>
        <w:tc>
          <w:tcPr>
            <w:tcW w:w="1276" w:type="dxa"/>
            <w:shd w:val="clear" w:color="auto" w:fill="auto"/>
          </w:tcPr>
          <w:p w14:paraId="3D7922F8" w14:textId="77777777" w:rsidR="005A5957" w:rsidRPr="009F74EC" w:rsidRDefault="005A5957" w:rsidP="00C30F9D">
            <w:pPr>
              <w:jc w:val="left"/>
              <w:rPr>
                <w:sz w:val="16"/>
                <w:szCs w:val="16"/>
              </w:rPr>
            </w:pPr>
            <w:r w:rsidRPr="009F74EC">
              <w:rPr>
                <w:sz w:val="16"/>
                <w:szCs w:val="16"/>
              </w:rPr>
              <w:t>Organizador(es)</w:t>
            </w:r>
          </w:p>
        </w:tc>
        <w:tc>
          <w:tcPr>
            <w:tcW w:w="1418" w:type="dxa"/>
            <w:shd w:val="clear" w:color="auto" w:fill="auto"/>
          </w:tcPr>
          <w:p w14:paraId="6B3F5FA7" w14:textId="77777777" w:rsidR="005A5957" w:rsidRPr="009F74EC" w:rsidRDefault="005A5957" w:rsidP="00C30F9D">
            <w:pPr>
              <w:jc w:val="left"/>
              <w:rPr>
                <w:sz w:val="16"/>
                <w:szCs w:val="16"/>
              </w:rPr>
            </w:pPr>
            <w:r w:rsidRPr="009F74EC">
              <w:rPr>
                <w:sz w:val="16"/>
                <w:szCs w:val="16"/>
              </w:rPr>
              <w:t>Objetivo de la actividad</w:t>
            </w:r>
          </w:p>
        </w:tc>
        <w:tc>
          <w:tcPr>
            <w:tcW w:w="1955" w:type="dxa"/>
            <w:shd w:val="clear" w:color="auto" w:fill="auto"/>
          </w:tcPr>
          <w:p w14:paraId="79458885" w14:textId="77777777" w:rsidR="005A5957" w:rsidRPr="009F74EC" w:rsidRDefault="005A5957" w:rsidP="00C30F9D">
            <w:pPr>
              <w:jc w:val="left"/>
              <w:rPr>
                <w:sz w:val="16"/>
                <w:szCs w:val="16"/>
              </w:rPr>
            </w:pPr>
            <w:r w:rsidRPr="009F74EC">
              <w:rPr>
                <w:sz w:val="16"/>
                <w:szCs w:val="16"/>
              </w:rPr>
              <w:t>Países/organizaciones participantes (número de participantes de cada uno)</w:t>
            </w:r>
          </w:p>
        </w:tc>
        <w:tc>
          <w:tcPr>
            <w:tcW w:w="1588" w:type="dxa"/>
            <w:shd w:val="clear" w:color="auto" w:fill="auto"/>
          </w:tcPr>
          <w:p w14:paraId="7B934415" w14:textId="77777777" w:rsidR="005A5957" w:rsidRPr="009F74EC" w:rsidRDefault="005A5957" w:rsidP="00C30F9D">
            <w:pPr>
              <w:jc w:val="left"/>
              <w:rPr>
                <w:sz w:val="16"/>
                <w:szCs w:val="16"/>
              </w:rPr>
            </w:pPr>
            <w:r w:rsidRPr="009F74EC">
              <w:rPr>
                <w:sz w:val="16"/>
                <w:szCs w:val="16"/>
              </w:rPr>
              <w:t>Comentarios</w:t>
            </w:r>
          </w:p>
        </w:tc>
      </w:tr>
      <w:tr w:rsidR="005A5957" w:rsidRPr="009F74EC" w14:paraId="271BA164" w14:textId="77777777" w:rsidTr="00C30F9D">
        <w:tc>
          <w:tcPr>
            <w:tcW w:w="1242" w:type="dxa"/>
            <w:shd w:val="clear" w:color="auto" w:fill="auto"/>
          </w:tcPr>
          <w:p w14:paraId="51F7CB24" w14:textId="77777777" w:rsidR="005A5957" w:rsidRPr="009F74EC" w:rsidRDefault="005A5957" w:rsidP="00C30F9D">
            <w:pPr>
              <w:jc w:val="left"/>
              <w:rPr>
                <w:sz w:val="16"/>
                <w:szCs w:val="16"/>
              </w:rPr>
            </w:pPr>
            <w:r w:rsidRPr="009F74EC">
              <w:rPr>
                <w:sz w:val="16"/>
                <w:szCs w:val="16"/>
              </w:rPr>
              <w:t>Formación nacional para el examen DHE</w:t>
            </w:r>
          </w:p>
        </w:tc>
        <w:tc>
          <w:tcPr>
            <w:tcW w:w="993" w:type="dxa"/>
            <w:shd w:val="clear" w:color="auto" w:fill="auto"/>
          </w:tcPr>
          <w:p w14:paraId="2A390C15" w14:textId="77777777" w:rsidR="005A5957" w:rsidRPr="009F74EC" w:rsidRDefault="005A5957" w:rsidP="00C30F9D">
            <w:pPr>
              <w:jc w:val="left"/>
              <w:rPr>
                <w:sz w:val="16"/>
                <w:szCs w:val="16"/>
              </w:rPr>
            </w:pPr>
            <w:r w:rsidRPr="009F74EC">
              <w:rPr>
                <w:sz w:val="16"/>
                <w:szCs w:val="16"/>
              </w:rPr>
              <w:t>10-11 de mayo de 2023</w:t>
            </w:r>
          </w:p>
        </w:tc>
        <w:tc>
          <w:tcPr>
            <w:tcW w:w="1162" w:type="dxa"/>
            <w:shd w:val="clear" w:color="auto" w:fill="auto"/>
          </w:tcPr>
          <w:p w14:paraId="69913999" w14:textId="77777777" w:rsidR="005A5957" w:rsidRPr="009F74EC" w:rsidRDefault="005A5957" w:rsidP="00C30F9D">
            <w:pPr>
              <w:jc w:val="left"/>
              <w:rPr>
                <w:sz w:val="16"/>
                <w:szCs w:val="16"/>
              </w:rPr>
            </w:pPr>
            <w:r w:rsidRPr="009F74EC">
              <w:rPr>
                <w:sz w:val="16"/>
                <w:szCs w:val="16"/>
              </w:rPr>
              <w:t>Christchurch, Nueva Zelandia</w:t>
            </w:r>
          </w:p>
        </w:tc>
        <w:tc>
          <w:tcPr>
            <w:tcW w:w="1276" w:type="dxa"/>
            <w:shd w:val="clear" w:color="auto" w:fill="auto"/>
          </w:tcPr>
          <w:p w14:paraId="035B96BA" w14:textId="77777777" w:rsidR="005A5957" w:rsidRPr="009F74EC" w:rsidRDefault="005A5957" w:rsidP="00C30F9D">
            <w:pPr>
              <w:jc w:val="left"/>
              <w:rPr>
                <w:sz w:val="16"/>
                <w:szCs w:val="16"/>
              </w:rPr>
            </w:pPr>
            <w:r w:rsidRPr="009F74EC">
              <w:rPr>
                <w:sz w:val="16"/>
                <w:szCs w:val="16"/>
              </w:rPr>
              <w:t>Oficina de Propiedad Intelectual de Nueva Zelandia</w:t>
            </w:r>
          </w:p>
        </w:tc>
        <w:tc>
          <w:tcPr>
            <w:tcW w:w="1418" w:type="dxa"/>
            <w:shd w:val="clear" w:color="auto" w:fill="auto"/>
          </w:tcPr>
          <w:p w14:paraId="6BB1FF83" w14:textId="77777777" w:rsidR="005A5957" w:rsidRPr="009F74EC" w:rsidRDefault="005A5957" w:rsidP="00C30F9D">
            <w:pPr>
              <w:jc w:val="left"/>
              <w:rPr>
                <w:sz w:val="16"/>
                <w:szCs w:val="16"/>
              </w:rPr>
            </w:pPr>
            <w:r w:rsidRPr="009F74EC">
              <w:rPr>
                <w:sz w:val="16"/>
                <w:szCs w:val="16"/>
              </w:rPr>
              <w:t xml:space="preserve">Formación e información para el examen DHE </w:t>
            </w:r>
          </w:p>
        </w:tc>
        <w:tc>
          <w:tcPr>
            <w:tcW w:w="1955" w:type="dxa"/>
            <w:shd w:val="clear" w:color="auto" w:fill="auto"/>
          </w:tcPr>
          <w:p w14:paraId="26A4294C" w14:textId="77777777" w:rsidR="005A5957" w:rsidRPr="009F74EC" w:rsidRDefault="005A5957" w:rsidP="00C30F9D">
            <w:pPr>
              <w:jc w:val="left"/>
              <w:rPr>
                <w:sz w:val="16"/>
                <w:szCs w:val="16"/>
              </w:rPr>
            </w:pPr>
            <w:r w:rsidRPr="009F74EC">
              <w:rPr>
                <w:sz w:val="16"/>
                <w:szCs w:val="16"/>
              </w:rPr>
              <w:t>Nueva Zelandia (16) y Australia (2)</w:t>
            </w:r>
          </w:p>
        </w:tc>
        <w:tc>
          <w:tcPr>
            <w:tcW w:w="1588" w:type="dxa"/>
            <w:shd w:val="clear" w:color="auto" w:fill="auto"/>
          </w:tcPr>
          <w:p w14:paraId="02D100E2" w14:textId="77777777" w:rsidR="005A5957" w:rsidRPr="009F74EC" w:rsidRDefault="005A5957" w:rsidP="00C30F9D">
            <w:pPr>
              <w:jc w:val="left"/>
              <w:rPr>
                <w:sz w:val="16"/>
                <w:szCs w:val="16"/>
              </w:rPr>
            </w:pPr>
            <w:r w:rsidRPr="009F74EC">
              <w:rPr>
                <w:sz w:val="16"/>
                <w:szCs w:val="16"/>
              </w:rPr>
              <w:t xml:space="preserve">Una actividad nacional con la incorporación de examinadores de IP Australia </w:t>
            </w:r>
          </w:p>
        </w:tc>
      </w:tr>
    </w:tbl>
    <w:p w14:paraId="6A0B3126" w14:textId="77777777" w:rsidR="005A5957" w:rsidRPr="009F74EC" w:rsidRDefault="005A5957" w:rsidP="005A5957"/>
    <w:p w14:paraId="4A697C02" w14:textId="77777777" w:rsidR="005A5957" w:rsidRPr="009F74EC" w:rsidRDefault="005A5957" w:rsidP="005A5957">
      <w:pPr>
        <w:jc w:val="left"/>
      </w:pPr>
    </w:p>
    <w:p w14:paraId="4BC74692" w14:textId="77777777" w:rsidR="005A5957" w:rsidRPr="009F74EC" w:rsidRDefault="005A5957" w:rsidP="005A5957">
      <w:pPr>
        <w:jc w:val="left"/>
      </w:pPr>
    </w:p>
    <w:p w14:paraId="36EB33D2" w14:textId="77777777" w:rsidR="005A5957" w:rsidRPr="009F74EC" w:rsidRDefault="005A5957" w:rsidP="005A5957">
      <w:pPr>
        <w:jc w:val="right"/>
      </w:pPr>
      <w:r w:rsidRPr="009F74EC">
        <w:t>[Sigue el anexo XIII].</w:t>
      </w:r>
    </w:p>
    <w:p w14:paraId="782FBE87" w14:textId="77777777" w:rsidR="005A5957" w:rsidRPr="009F74EC" w:rsidRDefault="005A5957" w:rsidP="005A5957">
      <w:pPr>
        <w:sectPr w:rsidR="005A5957" w:rsidRPr="009F74EC" w:rsidSect="000B2CE0">
          <w:headerReference w:type="default" r:id="rId32"/>
          <w:pgSz w:w="11907" w:h="16840" w:code="9"/>
          <w:pgMar w:top="510" w:right="1134" w:bottom="568" w:left="1134" w:header="510" w:footer="680" w:gutter="0"/>
          <w:pgNumType w:start="1"/>
          <w:cols w:space="720"/>
          <w:titlePg/>
        </w:sectPr>
      </w:pPr>
    </w:p>
    <w:p w14:paraId="5AAD2692" w14:textId="77777777" w:rsidR="005A5957" w:rsidRPr="009F74EC" w:rsidRDefault="005A5957" w:rsidP="005A5957">
      <w:pPr>
        <w:jc w:val="center"/>
      </w:pPr>
      <w:r w:rsidRPr="009F74EC">
        <w:lastRenderedPageBreak/>
        <w:t>C/57/13</w:t>
      </w:r>
    </w:p>
    <w:p w14:paraId="3FAD8DAD" w14:textId="77777777" w:rsidR="005A5957" w:rsidRPr="009F74EC" w:rsidRDefault="005A5957" w:rsidP="005A5957">
      <w:pPr>
        <w:jc w:val="center"/>
      </w:pPr>
    </w:p>
    <w:p w14:paraId="0020E923" w14:textId="77777777" w:rsidR="005A5957" w:rsidRPr="009F74EC" w:rsidRDefault="005A5957" w:rsidP="005A5957">
      <w:pPr>
        <w:jc w:val="center"/>
      </w:pPr>
      <w:r w:rsidRPr="009F74EC">
        <w:t>ANEXO XIII</w:t>
      </w:r>
    </w:p>
    <w:p w14:paraId="099C9B8A" w14:textId="77777777" w:rsidR="005A5957" w:rsidRPr="009F74EC" w:rsidRDefault="005A5957" w:rsidP="005A5957">
      <w:pPr>
        <w:jc w:val="center"/>
      </w:pPr>
    </w:p>
    <w:p w14:paraId="5807BCF9" w14:textId="77777777" w:rsidR="005A5957" w:rsidRPr="009F74EC" w:rsidRDefault="005A5957" w:rsidP="005A5957">
      <w:pPr>
        <w:jc w:val="center"/>
      </w:pPr>
    </w:p>
    <w:p w14:paraId="3BE97B62" w14:textId="77777777" w:rsidR="005A5957" w:rsidRPr="009F74EC" w:rsidRDefault="005A5957" w:rsidP="005A5957">
      <w:pPr>
        <w:jc w:val="center"/>
      </w:pPr>
      <w:r w:rsidRPr="009F74EC">
        <w:t>POLONIA</w:t>
      </w:r>
    </w:p>
    <w:p w14:paraId="679AAA76" w14:textId="77777777" w:rsidR="00633DB1" w:rsidRPr="009F74EC" w:rsidRDefault="00633DB1" w:rsidP="00633DB1">
      <w:pPr>
        <w:jc w:val="center"/>
      </w:pPr>
      <w:r w:rsidRPr="009F74EC">
        <w:t>(Idioma original: inglés)</w:t>
      </w:r>
    </w:p>
    <w:p w14:paraId="338A54AC" w14:textId="77777777" w:rsidR="00633DB1" w:rsidRPr="009F74EC" w:rsidRDefault="00633DB1" w:rsidP="00633DB1"/>
    <w:p w14:paraId="5CDF2239" w14:textId="77777777" w:rsidR="00633DB1" w:rsidRPr="009F74EC" w:rsidRDefault="00633DB1" w:rsidP="00633DB1">
      <w:pPr>
        <w:pStyle w:val="Disclaimer"/>
        <w:spacing w:after="360"/>
        <w:jc w:val="center"/>
        <w:rPr>
          <w:sz w:val="18"/>
          <w:szCs w:val="18"/>
        </w:rPr>
      </w:pPr>
      <w:r w:rsidRPr="009F74EC">
        <w:rPr>
          <w:sz w:val="18"/>
          <w:szCs w:val="18"/>
        </w:rPr>
        <w:t xml:space="preserve">Esta traducción se ha generado mediante traducción automática y no puede garantizarse su exactitud. </w:t>
      </w:r>
      <w:r w:rsidRPr="009F74EC">
        <w:rPr>
          <w:sz w:val="18"/>
          <w:szCs w:val="18"/>
        </w:rPr>
        <w:br/>
        <w:t>Por lo tanto, el texto en el idioma original es la única versión auténtica.</w:t>
      </w:r>
    </w:p>
    <w:p w14:paraId="072F2E7B" w14:textId="77777777" w:rsidR="005A5957" w:rsidRPr="009F74EC" w:rsidRDefault="005A5957" w:rsidP="005A5957">
      <w:pPr>
        <w:tabs>
          <w:tab w:val="left" w:pos="4962"/>
        </w:tabs>
        <w:jc w:val="center"/>
        <w:rPr>
          <w:rFonts w:cs="Arial"/>
        </w:rPr>
      </w:pPr>
      <w:r w:rsidRPr="009F74EC">
        <w:rPr>
          <w:rFonts w:cs="Arial"/>
        </w:rPr>
        <w:t>Periodo: 1 de septiembre de 2022 - 30 de agosto de 2023</w:t>
      </w:r>
    </w:p>
    <w:p w14:paraId="3816C9EC" w14:textId="77777777" w:rsidR="005A5957" w:rsidRPr="009F74EC" w:rsidRDefault="005A5957" w:rsidP="005A5957">
      <w:pPr>
        <w:tabs>
          <w:tab w:val="left" w:pos="4962"/>
        </w:tabs>
        <w:jc w:val="center"/>
        <w:rPr>
          <w:rFonts w:cs="Arial"/>
        </w:rPr>
      </w:pPr>
    </w:p>
    <w:p w14:paraId="5D4D4723" w14:textId="77777777" w:rsidR="005A5957" w:rsidRPr="009F74EC" w:rsidRDefault="005A5957" w:rsidP="005A5957">
      <w:pPr>
        <w:tabs>
          <w:tab w:val="left" w:pos="4962"/>
        </w:tabs>
        <w:jc w:val="center"/>
        <w:rPr>
          <w:rFonts w:cs="Arial"/>
        </w:rPr>
      </w:pPr>
    </w:p>
    <w:p w14:paraId="78AEF2D6" w14:textId="77777777" w:rsidR="005A5957" w:rsidRPr="009F74EC" w:rsidRDefault="005A5957" w:rsidP="005A5957">
      <w:r w:rsidRPr="009F74EC">
        <w:t>I.</w:t>
      </w:r>
      <w:r w:rsidRPr="009F74EC">
        <w:tab/>
        <w:t>PROTECCIÓN DE LAS OBTENCIONES VEGETALES</w:t>
      </w:r>
    </w:p>
    <w:p w14:paraId="6AA6F5DF" w14:textId="77777777" w:rsidR="005A5957" w:rsidRPr="009F74EC" w:rsidRDefault="005A5957" w:rsidP="005A5957">
      <w:pPr>
        <w:tabs>
          <w:tab w:val="left" w:pos="4962"/>
        </w:tabs>
        <w:rPr>
          <w:rFonts w:cs="Arial"/>
          <w:u w:val="single"/>
        </w:rPr>
      </w:pPr>
    </w:p>
    <w:p w14:paraId="22336F37" w14:textId="77777777" w:rsidR="005A5957" w:rsidRPr="009F74EC" w:rsidRDefault="005A5957" w:rsidP="005A5957">
      <w:pPr>
        <w:tabs>
          <w:tab w:val="left" w:pos="567"/>
          <w:tab w:val="left" w:pos="4962"/>
        </w:tabs>
        <w:rPr>
          <w:rFonts w:cs="Arial"/>
          <w:u w:val="single"/>
        </w:rPr>
      </w:pPr>
      <w:r w:rsidRPr="009F74EC">
        <w:rPr>
          <w:rFonts w:cs="Arial"/>
        </w:rPr>
        <w:t>1.</w:t>
      </w:r>
      <w:r w:rsidRPr="009F74EC">
        <w:rPr>
          <w:rFonts w:cs="Arial"/>
        </w:rPr>
        <w:tab/>
      </w:r>
      <w:r w:rsidRPr="009F74EC">
        <w:rPr>
          <w:rFonts w:cs="Arial"/>
          <w:u w:val="single"/>
        </w:rPr>
        <w:t>Situación en el ámbito legislativo</w:t>
      </w:r>
    </w:p>
    <w:p w14:paraId="2A3E467B" w14:textId="77777777" w:rsidR="005A5957" w:rsidRPr="009F74EC" w:rsidRDefault="005A5957" w:rsidP="005A5957">
      <w:pPr>
        <w:tabs>
          <w:tab w:val="left" w:pos="4962"/>
        </w:tabs>
        <w:rPr>
          <w:rFonts w:cs="Arial"/>
        </w:rPr>
      </w:pPr>
    </w:p>
    <w:p w14:paraId="3222AAAF" w14:textId="77777777" w:rsidR="005A5957" w:rsidRPr="009F74EC" w:rsidRDefault="005A5957" w:rsidP="005A5957">
      <w:pPr>
        <w:tabs>
          <w:tab w:val="left" w:pos="4962"/>
        </w:tabs>
        <w:rPr>
          <w:rFonts w:cs="Arial"/>
        </w:rPr>
      </w:pPr>
      <w:r w:rsidRPr="009F74EC">
        <w:rPr>
          <w:rFonts w:cs="Arial"/>
        </w:rPr>
        <w:t xml:space="preserve">La Ley de 26 de junio de 2003 sobre la protección jurídica de las obtenciones vegetales (texto consolidado: DO de 2021, punto 213) constituye la base jurídica del sistema nacional de protección de los derechos de obtentor en Polonia. </w:t>
      </w:r>
    </w:p>
    <w:p w14:paraId="76FAD8C8" w14:textId="77777777" w:rsidR="005A5957" w:rsidRPr="009F74EC" w:rsidRDefault="005A5957" w:rsidP="005A5957">
      <w:pPr>
        <w:tabs>
          <w:tab w:val="left" w:pos="4962"/>
        </w:tabs>
        <w:rPr>
          <w:rFonts w:cs="Arial"/>
        </w:rPr>
      </w:pPr>
    </w:p>
    <w:p w14:paraId="105B6F5D" w14:textId="77777777" w:rsidR="005A5957" w:rsidRPr="009F74EC" w:rsidRDefault="005A5957" w:rsidP="005A5957">
      <w:pPr>
        <w:tabs>
          <w:tab w:val="left" w:pos="4962"/>
        </w:tabs>
        <w:rPr>
          <w:rFonts w:cs="Arial"/>
        </w:rPr>
      </w:pPr>
      <w:r w:rsidRPr="009F74EC">
        <w:rPr>
          <w:rFonts w:cs="Arial"/>
        </w:rPr>
        <w:t>La ley polaca de protección de las obtenciones vegetales se basa en el Acta de 1991 del Convenio de la UPOV.  Desde el 1 de noviembre de 2000, todos los géneros y especies vegetales pueden acogerse a la protección del derecho de obtentor en Polonia.</w:t>
      </w:r>
    </w:p>
    <w:p w14:paraId="1ECBFC42" w14:textId="77777777" w:rsidR="005A5957" w:rsidRPr="009F74EC" w:rsidRDefault="005A5957" w:rsidP="005A5957">
      <w:pPr>
        <w:tabs>
          <w:tab w:val="left" w:pos="4962"/>
        </w:tabs>
        <w:rPr>
          <w:rFonts w:cs="Arial"/>
        </w:rPr>
      </w:pPr>
    </w:p>
    <w:p w14:paraId="12992FAB" w14:textId="77777777" w:rsidR="005A5957" w:rsidRPr="009F74EC" w:rsidRDefault="005A5957" w:rsidP="005A5957">
      <w:pPr>
        <w:tabs>
          <w:tab w:val="left" w:pos="4962"/>
        </w:tabs>
        <w:rPr>
          <w:rFonts w:cs="Arial"/>
        </w:rPr>
      </w:pPr>
      <w:r w:rsidRPr="009F74EC">
        <w:rPr>
          <w:rFonts w:cs="Arial"/>
        </w:rPr>
        <w:t xml:space="preserve">Con respecto a las tasas, está en vigor el Decreto del Ministro de Agricultura y Desarrollo Rural de 17 de febrero de 2004 sobre las tasas para la presentación de una solicitud de protección de los derechos de obtentor, el examen DHE y la concesión y el mantenimiento de los títulos de derecho exclusivo </w:t>
      </w:r>
      <w:hyperlink r:id="rId33" w:tgtFrame="_blank" w:history="1">
        <w:r w:rsidRPr="009F74EC">
          <w:rPr>
            <w:rFonts w:cs="Arial"/>
          </w:rPr>
          <w:t xml:space="preserve">(DO </w:t>
        </w:r>
        <w:proofErr w:type="spellStart"/>
        <w:r w:rsidRPr="009F74EC">
          <w:rPr>
            <w:rFonts w:cs="Arial"/>
          </w:rPr>
          <w:t>nº</w:t>
        </w:r>
        <w:proofErr w:type="spellEnd"/>
        <w:r w:rsidRPr="009F74EC">
          <w:rPr>
            <w:rFonts w:cs="Arial"/>
          </w:rPr>
          <w:t xml:space="preserve"> 60 de 2004, punto 567</w:t>
        </w:r>
      </w:hyperlink>
      <w:r w:rsidRPr="009F74EC">
        <w:rPr>
          <w:rFonts w:cs="Arial"/>
        </w:rPr>
        <w:t xml:space="preserve">; DO </w:t>
      </w:r>
      <w:hyperlink r:id="rId34" w:tgtFrame="_blank" w:history="1">
        <w:r w:rsidRPr="009F74EC">
          <w:rPr>
            <w:rFonts w:cs="Arial"/>
          </w:rPr>
          <w:t>de 2015, punto 2166)</w:t>
        </w:r>
      </w:hyperlink>
      <w:r w:rsidRPr="009F74EC">
        <w:rPr>
          <w:rFonts w:cs="Arial"/>
        </w:rPr>
        <w:t>.</w:t>
      </w:r>
    </w:p>
    <w:p w14:paraId="19C675BC" w14:textId="77777777" w:rsidR="005A5957" w:rsidRPr="009F74EC" w:rsidRDefault="005A5957" w:rsidP="005A5957">
      <w:pPr>
        <w:tabs>
          <w:tab w:val="left" w:pos="4962"/>
        </w:tabs>
        <w:rPr>
          <w:rFonts w:cs="Arial"/>
        </w:rPr>
      </w:pPr>
    </w:p>
    <w:p w14:paraId="6D9F7321" w14:textId="77777777" w:rsidR="005A5957" w:rsidRPr="009F74EC" w:rsidRDefault="005A5957" w:rsidP="005A5957">
      <w:pPr>
        <w:tabs>
          <w:tab w:val="left" w:pos="4962"/>
        </w:tabs>
        <w:rPr>
          <w:rFonts w:cs="Arial"/>
        </w:rPr>
      </w:pPr>
      <w:r w:rsidRPr="009F74EC">
        <w:rPr>
          <w:rFonts w:cs="Arial"/>
        </w:rPr>
        <w:t>Polonia se convirtió en miembro de la UPOV el 11 de noviembre de 1989 y se adhirió al Acta de 1991 del Convenio de la UPOV como vigésimo cuarto Estado, el 15 de agosto de 2003.</w:t>
      </w:r>
    </w:p>
    <w:p w14:paraId="19109DEB" w14:textId="77777777" w:rsidR="005A5957" w:rsidRPr="009F74EC" w:rsidRDefault="005A5957" w:rsidP="005A5957">
      <w:pPr>
        <w:tabs>
          <w:tab w:val="left" w:pos="4962"/>
        </w:tabs>
        <w:rPr>
          <w:rFonts w:cs="Arial"/>
        </w:rPr>
      </w:pPr>
    </w:p>
    <w:p w14:paraId="2D870DA0" w14:textId="77777777" w:rsidR="005A5957" w:rsidRPr="009F74EC" w:rsidRDefault="005A5957" w:rsidP="005A5957">
      <w:pPr>
        <w:tabs>
          <w:tab w:val="left" w:pos="4962"/>
        </w:tabs>
        <w:rPr>
          <w:rFonts w:cs="Arial"/>
        </w:rPr>
      </w:pPr>
    </w:p>
    <w:p w14:paraId="31227104" w14:textId="77777777" w:rsidR="005A5957" w:rsidRPr="009F74EC" w:rsidRDefault="005A5957" w:rsidP="005A5957">
      <w:pPr>
        <w:tabs>
          <w:tab w:val="left" w:pos="567"/>
          <w:tab w:val="left" w:pos="4962"/>
        </w:tabs>
        <w:rPr>
          <w:rFonts w:cs="Arial"/>
          <w:u w:val="single"/>
        </w:rPr>
      </w:pPr>
      <w:r w:rsidRPr="009F74EC">
        <w:rPr>
          <w:rFonts w:cs="Arial"/>
        </w:rPr>
        <w:t>2.</w:t>
      </w:r>
      <w:r w:rsidRPr="009F74EC">
        <w:rPr>
          <w:rFonts w:cs="Arial"/>
        </w:rPr>
        <w:tab/>
      </w:r>
      <w:r w:rsidRPr="009F74EC">
        <w:rPr>
          <w:rFonts w:cs="Arial"/>
          <w:u w:val="single"/>
        </w:rPr>
        <w:t>Cooperación en el examen</w:t>
      </w:r>
    </w:p>
    <w:p w14:paraId="115681A5" w14:textId="77777777" w:rsidR="005A5957" w:rsidRPr="009F74EC" w:rsidRDefault="005A5957" w:rsidP="005A5957">
      <w:pPr>
        <w:tabs>
          <w:tab w:val="left" w:pos="4962"/>
        </w:tabs>
        <w:rPr>
          <w:rFonts w:cs="Arial"/>
        </w:rPr>
      </w:pPr>
    </w:p>
    <w:p w14:paraId="3EB84C97" w14:textId="77777777" w:rsidR="005A5957" w:rsidRPr="009F74EC" w:rsidRDefault="005A5957" w:rsidP="005A5957">
      <w:pPr>
        <w:tabs>
          <w:tab w:val="left" w:pos="4962"/>
        </w:tabs>
        <w:rPr>
          <w:rFonts w:cs="Arial"/>
          <w:color w:val="000000"/>
        </w:rPr>
      </w:pPr>
      <w:r w:rsidRPr="009F74EC">
        <w:rPr>
          <w:rFonts w:cs="Arial"/>
          <w:color w:val="000000"/>
        </w:rPr>
        <w:t xml:space="preserve">El Centro de Investigación para el Ensayo de Cultivares (COBORU) de </w:t>
      </w:r>
      <w:proofErr w:type="spellStart"/>
      <w:r w:rsidRPr="009F74EC">
        <w:rPr>
          <w:rFonts w:cs="Arial"/>
          <w:color w:val="000000"/>
        </w:rPr>
        <w:t>Słupia</w:t>
      </w:r>
      <w:proofErr w:type="spellEnd"/>
      <w:r w:rsidRPr="009F74EC">
        <w:rPr>
          <w:rFonts w:cs="Arial"/>
          <w:color w:val="000000"/>
        </w:rPr>
        <w:t xml:space="preserve"> </w:t>
      </w:r>
      <w:proofErr w:type="spellStart"/>
      <w:r w:rsidRPr="009F74EC">
        <w:rPr>
          <w:rFonts w:cs="Arial"/>
          <w:color w:val="000000"/>
        </w:rPr>
        <w:t>Wielka</w:t>
      </w:r>
      <w:proofErr w:type="spellEnd"/>
      <w:r w:rsidRPr="009F74EC">
        <w:rPr>
          <w:rFonts w:cs="Arial"/>
          <w:color w:val="000000"/>
        </w:rPr>
        <w:t xml:space="preserve"> prosigue su cooperación en materia de examen técnico con distintos países.</w:t>
      </w:r>
    </w:p>
    <w:p w14:paraId="3F5F18CB" w14:textId="77777777" w:rsidR="005A5957" w:rsidRPr="009F74EC" w:rsidRDefault="005A5957" w:rsidP="005A5957">
      <w:pPr>
        <w:tabs>
          <w:tab w:val="left" w:pos="4962"/>
        </w:tabs>
        <w:rPr>
          <w:rFonts w:cs="Arial"/>
        </w:rPr>
      </w:pPr>
    </w:p>
    <w:p w14:paraId="3E46F8B7" w14:textId="77777777" w:rsidR="005A5957" w:rsidRPr="009F74EC" w:rsidRDefault="005A5957" w:rsidP="005A5957">
      <w:pPr>
        <w:tabs>
          <w:tab w:val="left" w:pos="4962"/>
        </w:tabs>
        <w:rPr>
          <w:rFonts w:cs="Arial"/>
        </w:rPr>
      </w:pPr>
      <w:r w:rsidRPr="009F74EC">
        <w:rPr>
          <w:rFonts w:cs="Arial"/>
        </w:rPr>
        <w:t xml:space="preserve">Hemos firmado acuerdos bilaterales sobre el examen DHE con la República Checa, Hungría y Eslovaquia.  Están en vigor acuerdos unilaterales con Estonia, Letonia, Lituania, Rumania, Eslovenia y Ucrania. </w:t>
      </w:r>
    </w:p>
    <w:p w14:paraId="43C05D92" w14:textId="77777777" w:rsidR="005A5957" w:rsidRPr="009F74EC" w:rsidRDefault="005A5957" w:rsidP="005A5957">
      <w:pPr>
        <w:tabs>
          <w:tab w:val="left" w:pos="4962"/>
        </w:tabs>
        <w:rPr>
          <w:rFonts w:cs="Arial"/>
          <w:color w:val="000000" w:themeColor="text1"/>
        </w:rPr>
      </w:pPr>
    </w:p>
    <w:p w14:paraId="45D282C1" w14:textId="796D6762" w:rsidR="005A5957" w:rsidRPr="009F74EC" w:rsidRDefault="005A5957" w:rsidP="005A5957">
      <w:pPr>
        <w:tabs>
          <w:tab w:val="left" w:pos="4962"/>
        </w:tabs>
        <w:rPr>
          <w:rFonts w:cs="Arial"/>
          <w:color w:val="000000" w:themeColor="text1"/>
        </w:rPr>
      </w:pPr>
      <w:r w:rsidRPr="009F74EC">
        <w:rPr>
          <w:rFonts w:cs="Arial"/>
          <w:color w:val="000000" w:themeColor="text1"/>
        </w:rPr>
        <w:t xml:space="preserve">En el período objeto del informe, Polonia realizó exámenes DHE para las autoridades de los siguientes países:  Austria (6 variedades), Bélgica (5 variedades), </w:t>
      </w:r>
      <w:r w:rsidRPr="009F74EC">
        <w:rPr>
          <w:rFonts w:cs="Arial"/>
        </w:rPr>
        <w:t xml:space="preserve">Croacia </w:t>
      </w:r>
      <w:r w:rsidRPr="009F74EC">
        <w:rPr>
          <w:rFonts w:cs="Arial"/>
          <w:color w:val="000000" w:themeColor="text1"/>
        </w:rPr>
        <w:t>(3 variedades), República Checa (8 variedades), Estonia (11 variedades), Finlandia (5 variedades), Francia (1 variedad), Alemania (3 variedades), Hungría (23</w:t>
      </w:r>
      <w:r w:rsidR="00C938ED">
        <w:rPr>
          <w:rFonts w:cs="Arial"/>
          <w:color w:val="000000" w:themeColor="text1"/>
        </w:rPr>
        <w:t> </w:t>
      </w:r>
      <w:r w:rsidRPr="009F74EC">
        <w:rPr>
          <w:rFonts w:cs="Arial"/>
          <w:color w:val="000000" w:themeColor="text1"/>
        </w:rPr>
        <w:t>variedades), Letonia (11 variedades), Lituania (39 variedades), Noruega (3 variedades), Eslovaquia (1</w:t>
      </w:r>
      <w:r w:rsidR="00C938ED">
        <w:rPr>
          <w:rFonts w:cs="Arial"/>
          <w:color w:val="000000" w:themeColor="text1"/>
        </w:rPr>
        <w:t> </w:t>
      </w:r>
      <w:r w:rsidRPr="009F74EC">
        <w:rPr>
          <w:rFonts w:cs="Arial"/>
          <w:color w:val="000000" w:themeColor="text1"/>
        </w:rPr>
        <w:t>variedad), Eslovenia (3 variedades), España (1 variedad), Suecia (2 variedades), Suiza (19 variedades), Reino Unido (1 variedad), así como para la OCVV (102 variedades).</w:t>
      </w:r>
    </w:p>
    <w:p w14:paraId="37EF025A" w14:textId="77777777" w:rsidR="005A5957" w:rsidRPr="009F74EC" w:rsidRDefault="005A5957" w:rsidP="005A5957">
      <w:pPr>
        <w:tabs>
          <w:tab w:val="left" w:pos="4962"/>
        </w:tabs>
        <w:rPr>
          <w:rFonts w:cs="Arial"/>
          <w:color w:val="000000" w:themeColor="text1"/>
        </w:rPr>
      </w:pPr>
    </w:p>
    <w:p w14:paraId="673A012C" w14:textId="77777777" w:rsidR="005A5957" w:rsidRPr="009F74EC" w:rsidRDefault="005A5957" w:rsidP="005A5957">
      <w:pPr>
        <w:tabs>
          <w:tab w:val="left" w:pos="4962"/>
        </w:tabs>
        <w:rPr>
          <w:rFonts w:cs="Arial"/>
          <w:color w:val="000000" w:themeColor="text1"/>
        </w:rPr>
      </w:pPr>
      <w:r w:rsidRPr="009F74EC">
        <w:rPr>
          <w:rFonts w:cs="Arial"/>
          <w:color w:val="000000" w:themeColor="text1"/>
        </w:rPr>
        <w:t xml:space="preserve">Estas pruebas se realizaron para las diferentes especies de plantas agrícolas (116 variedades), hortícolas (19 variedades), ornamentales (80 variedades) y frutales (32 variedades). </w:t>
      </w:r>
    </w:p>
    <w:p w14:paraId="374BE3F4" w14:textId="77777777" w:rsidR="005A5957" w:rsidRPr="009F74EC" w:rsidRDefault="005A5957" w:rsidP="005A5957">
      <w:pPr>
        <w:tabs>
          <w:tab w:val="left" w:pos="4962"/>
        </w:tabs>
        <w:rPr>
          <w:rFonts w:cs="Arial"/>
          <w:color w:val="000000" w:themeColor="text1"/>
        </w:rPr>
      </w:pPr>
    </w:p>
    <w:p w14:paraId="7574E1DA" w14:textId="77777777" w:rsidR="005A5957" w:rsidRPr="009F74EC" w:rsidRDefault="005A5957" w:rsidP="005A5957">
      <w:pPr>
        <w:tabs>
          <w:tab w:val="left" w:pos="4962"/>
        </w:tabs>
        <w:rPr>
          <w:rFonts w:cs="Arial"/>
          <w:color w:val="000000" w:themeColor="text1"/>
        </w:rPr>
      </w:pPr>
      <w:r w:rsidRPr="009F74EC">
        <w:rPr>
          <w:rFonts w:cs="Arial"/>
          <w:color w:val="000000" w:themeColor="text1"/>
        </w:rPr>
        <w:t>En total, se examinaron 247 variedades por encargo de las autoridades mencionadas.</w:t>
      </w:r>
    </w:p>
    <w:p w14:paraId="20095CB6" w14:textId="77777777" w:rsidR="005A5957" w:rsidRPr="009F74EC" w:rsidRDefault="005A5957" w:rsidP="005A5957">
      <w:pPr>
        <w:tabs>
          <w:tab w:val="left" w:pos="4962"/>
        </w:tabs>
        <w:rPr>
          <w:rFonts w:cs="Arial"/>
        </w:rPr>
      </w:pPr>
    </w:p>
    <w:p w14:paraId="223676FA" w14:textId="77777777" w:rsidR="005A5957" w:rsidRPr="009F74EC" w:rsidRDefault="005A5957" w:rsidP="005A5957">
      <w:pPr>
        <w:tabs>
          <w:tab w:val="left" w:pos="4962"/>
        </w:tabs>
        <w:rPr>
          <w:rFonts w:cs="Arial"/>
        </w:rPr>
      </w:pPr>
      <w:r w:rsidRPr="009F74EC">
        <w:rPr>
          <w:rFonts w:cs="Arial"/>
        </w:rPr>
        <w:t xml:space="preserve">Como en años anteriores, algunas autoridades, a saber: Austria, Bélgica, Bosnia y Herzegovina, Bulgaria, Canadá, OCVV, Croacia, República Checa, Dinamarca, Estonia, Finlandia, Francia, Irán, Letonia, Lituania, Países Bajos, Serbia, España, Suecia, Suiza, </w:t>
      </w:r>
      <w:proofErr w:type="spellStart"/>
      <w:r w:rsidRPr="009F74EC">
        <w:rPr>
          <w:rFonts w:cs="Arial"/>
        </w:rPr>
        <w:t>Türkiye</w:t>
      </w:r>
      <w:proofErr w:type="spellEnd"/>
      <w:r w:rsidRPr="009F74EC">
        <w:rPr>
          <w:rFonts w:cs="Arial"/>
        </w:rPr>
        <w:t xml:space="preserve"> y Reino Unido tomaron los resultados de los exámenes técnicos del COBORU para basar sus decisiones en sus propios procedimientos.</w:t>
      </w:r>
    </w:p>
    <w:p w14:paraId="1E7F2BE4" w14:textId="77777777" w:rsidR="005A5957" w:rsidRPr="009F74EC" w:rsidRDefault="005A5957" w:rsidP="005A5957">
      <w:pPr>
        <w:tabs>
          <w:tab w:val="left" w:pos="4962"/>
        </w:tabs>
        <w:rPr>
          <w:rFonts w:cs="Arial"/>
        </w:rPr>
      </w:pPr>
    </w:p>
    <w:p w14:paraId="0FC37FDB" w14:textId="77777777" w:rsidR="005A5957" w:rsidRPr="009F74EC" w:rsidRDefault="005A5957" w:rsidP="005A5957">
      <w:pPr>
        <w:tabs>
          <w:tab w:val="left" w:pos="4962"/>
        </w:tabs>
        <w:rPr>
          <w:rFonts w:cs="Arial"/>
        </w:rPr>
      </w:pPr>
      <w:r w:rsidRPr="009F74EC">
        <w:rPr>
          <w:rFonts w:cs="Arial"/>
        </w:rPr>
        <w:t>Polonia participó activamente en los trabajos de elaboración de los protocolos técnicos durante las reuniones organizadas por la OCVV.</w:t>
      </w:r>
    </w:p>
    <w:p w14:paraId="5A0CA69C" w14:textId="77777777" w:rsidR="005A5957" w:rsidRPr="009F74EC" w:rsidRDefault="005A5957" w:rsidP="005A5957">
      <w:pPr>
        <w:tabs>
          <w:tab w:val="left" w:pos="4962"/>
        </w:tabs>
        <w:rPr>
          <w:rFonts w:cs="Arial"/>
        </w:rPr>
      </w:pPr>
    </w:p>
    <w:p w14:paraId="32609566" w14:textId="77777777" w:rsidR="005A5957" w:rsidRPr="009F74EC" w:rsidRDefault="005A5957" w:rsidP="005A5957">
      <w:pPr>
        <w:tabs>
          <w:tab w:val="left" w:pos="4962"/>
        </w:tabs>
        <w:rPr>
          <w:rFonts w:cs="Arial"/>
        </w:rPr>
      </w:pPr>
    </w:p>
    <w:p w14:paraId="3E504505" w14:textId="77777777" w:rsidR="005A5957" w:rsidRPr="009F74EC" w:rsidRDefault="005A5957" w:rsidP="00C938ED">
      <w:pPr>
        <w:keepNext/>
        <w:tabs>
          <w:tab w:val="left" w:pos="567"/>
        </w:tabs>
        <w:rPr>
          <w:rFonts w:cs="Arial"/>
          <w:u w:val="single"/>
        </w:rPr>
      </w:pPr>
      <w:r w:rsidRPr="009F74EC">
        <w:rPr>
          <w:rFonts w:cs="Arial"/>
        </w:rPr>
        <w:lastRenderedPageBreak/>
        <w:t>3. y 4.</w:t>
      </w:r>
      <w:r w:rsidRPr="009F74EC">
        <w:rPr>
          <w:rFonts w:cs="Arial"/>
        </w:rPr>
        <w:tab/>
      </w:r>
      <w:r w:rsidRPr="009F74EC">
        <w:rPr>
          <w:rFonts w:cs="Arial"/>
          <w:u w:val="single"/>
        </w:rPr>
        <w:t>Situación en los ámbitos administrativo y técnico</w:t>
      </w:r>
    </w:p>
    <w:p w14:paraId="287497ED" w14:textId="77777777" w:rsidR="005A5957" w:rsidRPr="009F74EC" w:rsidRDefault="005A5957" w:rsidP="00C938ED">
      <w:pPr>
        <w:keepNext/>
        <w:tabs>
          <w:tab w:val="left" w:pos="567"/>
          <w:tab w:val="left" w:pos="4962"/>
        </w:tabs>
        <w:rPr>
          <w:rFonts w:cs="Arial"/>
          <w:u w:val="single"/>
        </w:rPr>
      </w:pPr>
    </w:p>
    <w:p w14:paraId="1BF52109" w14:textId="77777777" w:rsidR="005A5957" w:rsidRPr="009F74EC" w:rsidRDefault="005A5957" w:rsidP="005A5957">
      <w:pPr>
        <w:rPr>
          <w:rFonts w:cs="Arial"/>
        </w:rPr>
      </w:pPr>
      <w:r w:rsidRPr="009F74EC">
        <w:rPr>
          <w:rFonts w:cs="Arial"/>
        </w:rPr>
        <w:t>La actividad de examen de variedades del COBORU en el ámbito del DHE se lleva a cabo en 12 estaciones experimentales de examen de variedades diferentes situadas por todo el país.</w:t>
      </w:r>
    </w:p>
    <w:p w14:paraId="26012A1E" w14:textId="77777777" w:rsidR="005A5957" w:rsidRPr="009F74EC" w:rsidRDefault="005A5957" w:rsidP="005A5957">
      <w:pPr>
        <w:rPr>
          <w:rFonts w:cs="Arial"/>
        </w:rPr>
      </w:pPr>
    </w:p>
    <w:p w14:paraId="15B97E31" w14:textId="77777777" w:rsidR="005A5957" w:rsidRPr="009F74EC" w:rsidRDefault="005A5957" w:rsidP="005A5957">
      <w:pPr>
        <w:tabs>
          <w:tab w:val="left" w:pos="567"/>
          <w:tab w:val="left" w:pos="4962"/>
        </w:tabs>
        <w:rPr>
          <w:rFonts w:cs="Arial"/>
        </w:rPr>
      </w:pPr>
      <w:r w:rsidRPr="009F74EC">
        <w:rPr>
          <w:rFonts w:cs="Arial"/>
        </w:rPr>
        <w:t xml:space="preserve">En 2022, se examinaron 11.254 variedades dentro de 197 especies vegetales (que incluían 10.077 variedades de la colección de referencia viva y 1.177 variedades candidatas). </w:t>
      </w:r>
    </w:p>
    <w:p w14:paraId="082AE79C" w14:textId="77777777" w:rsidR="005A5957" w:rsidRPr="009F74EC" w:rsidRDefault="005A5957" w:rsidP="005A5957">
      <w:pPr>
        <w:tabs>
          <w:tab w:val="left" w:pos="567"/>
          <w:tab w:val="left" w:pos="4962"/>
        </w:tabs>
        <w:rPr>
          <w:rFonts w:cs="Arial"/>
        </w:rPr>
      </w:pPr>
    </w:p>
    <w:p w14:paraId="7103FBEC" w14:textId="77777777" w:rsidR="005A5957" w:rsidRPr="009F74EC" w:rsidRDefault="005A5957" w:rsidP="005A5957">
      <w:pPr>
        <w:keepNext/>
        <w:tabs>
          <w:tab w:val="left" w:pos="567"/>
          <w:tab w:val="left" w:pos="4962"/>
        </w:tabs>
        <w:rPr>
          <w:rFonts w:cs="Arial"/>
        </w:rPr>
      </w:pPr>
      <w:r w:rsidRPr="009F74EC">
        <w:rPr>
          <w:rFonts w:cs="Arial"/>
        </w:rPr>
        <w:t>El número de variedades examinadas en Polonia, por sector vegetal, se muestra en el siguiente gráfico.</w:t>
      </w:r>
    </w:p>
    <w:p w14:paraId="40E48C0A" w14:textId="77777777" w:rsidR="005A5957" w:rsidRPr="009F74EC" w:rsidRDefault="005A5957" w:rsidP="005A5957">
      <w:pPr>
        <w:keepNext/>
        <w:tabs>
          <w:tab w:val="left" w:pos="567"/>
          <w:tab w:val="left" w:pos="4962"/>
        </w:tabs>
        <w:rPr>
          <w:rFonts w:cs="Arial"/>
        </w:rPr>
      </w:pPr>
    </w:p>
    <w:p w14:paraId="1ADD267D" w14:textId="77777777" w:rsidR="005A5957" w:rsidRPr="009F74EC" w:rsidRDefault="005A5957" w:rsidP="005A5957">
      <w:pPr>
        <w:pStyle w:val="Heading8"/>
        <w:rPr>
          <w:rFonts w:ascii="Arial" w:hAnsi="Arial" w:cs="Arial"/>
          <w:sz w:val="20"/>
          <w:lang w:val="es-ES_tradnl"/>
        </w:rPr>
      </w:pPr>
      <w:r w:rsidRPr="009F74EC">
        <w:rPr>
          <w:rFonts w:ascii="Arial" w:hAnsi="Arial" w:cs="Arial"/>
          <w:sz w:val="20"/>
          <w:lang w:val="es-ES_tradnl"/>
        </w:rPr>
        <w:t>Número de variedades en examen DHE en 2022</w:t>
      </w:r>
    </w:p>
    <w:p w14:paraId="311A4E7F" w14:textId="77777777" w:rsidR="005A5957" w:rsidRPr="009F74EC" w:rsidRDefault="005A5957" w:rsidP="005A5957">
      <w:pPr>
        <w:rPr>
          <w:rFonts w:cs="Arial"/>
        </w:rPr>
      </w:pPr>
    </w:p>
    <w:p w14:paraId="594223BE" w14:textId="77777777" w:rsidR="005A5957" w:rsidRPr="009F74EC" w:rsidRDefault="005A5957" w:rsidP="005A5957">
      <w:pPr>
        <w:rPr>
          <w:rFonts w:cs="Arial"/>
        </w:rPr>
      </w:pPr>
      <w:r w:rsidRPr="009F74EC">
        <w:rPr>
          <w:rFonts w:cs="Arial"/>
        </w:rPr>
        <w:drawing>
          <wp:inline distT="0" distB="0" distL="0" distR="0" wp14:anchorId="10BD770B" wp14:editId="4F8C9093">
            <wp:extent cx="5760720" cy="3409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760720" cy="3409950"/>
                    </a:xfrm>
                    <a:prstGeom prst="rect">
                      <a:avLst/>
                    </a:prstGeom>
                  </pic:spPr>
                </pic:pic>
              </a:graphicData>
            </a:graphic>
          </wp:inline>
        </w:drawing>
      </w:r>
    </w:p>
    <w:p w14:paraId="59622669" w14:textId="77777777" w:rsidR="005A5957" w:rsidRPr="009F74EC" w:rsidRDefault="005A5957" w:rsidP="005A5957">
      <w:pPr>
        <w:rPr>
          <w:rFonts w:cs="Arial"/>
        </w:rPr>
      </w:pPr>
    </w:p>
    <w:p w14:paraId="256863B0" w14:textId="77777777" w:rsidR="005A5957" w:rsidRPr="009F74EC" w:rsidRDefault="005A5957" w:rsidP="005A5957">
      <w:pPr>
        <w:pStyle w:val="BodyText"/>
        <w:rPr>
          <w:rFonts w:cs="Arial"/>
        </w:rPr>
      </w:pPr>
      <w:r w:rsidRPr="009F74EC">
        <w:rPr>
          <w:rFonts w:cs="Arial"/>
        </w:rPr>
        <w:t>En 2022, el COBORU recibió 116 solicitudes de protección nacional de derechos de obtentor en total, lo que supone un descenso de 7 solicitudes con respecto al año anterior.</w:t>
      </w:r>
    </w:p>
    <w:p w14:paraId="30C50CBD" w14:textId="77777777" w:rsidR="005A5957" w:rsidRPr="009F74EC" w:rsidRDefault="005A5957" w:rsidP="005A5957">
      <w:pPr>
        <w:pStyle w:val="BodyText"/>
        <w:rPr>
          <w:rFonts w:cs="Arial"/>
        </w:rPr>
      </w:pPr>
    </w:p>
    <w:p w14:paraId="1286722C" w14:textId="77777777" w:rsidR="005A5957" w:rsidRPr="009F74EC" w:rsidRDefault="005A5957" w:rsidP="005A5957">
      <w:pPr>
        <w:pStyle w:val="BodyText"/>
        <w:rPr>
          <w:rFonts w:cs="Arial"/>
        </w:rPr>
      </w:pPr>
      <w:r w:rsidRPr="009F74EC">
        <w:rPr>
          <w:rFonts w:cs="Arial"/>
        </w:rPr>
        <w:t>Del 1 de enero al 30 de agosto de 2023, se han presentado 81 nuevas solicitudes de derechos de obtentor nacionales, de las cuales 57 son nacionales y 24 extranjeras. Esta cifra es superior en 3 solicitudes a la observada en el periodo del informe anterior (78).</w:t>
      </w:r>
    </w:p>
    <w:p w14:paraId="4AD6CEB6" w14:textId="77777777" w:rsidR="005A5957" w:rsidRPr="009F74EC" w:rsidRDefault="005A5957" w:rsidP="005A5957">
      <w:pPr>
        <w:pStyle w:val="BodyText"/>
        <w:rPr>
          <w:rFonts w:cs="Arial"/>
        </w:rPr>
      </w:pPr>
    </w:p>
    <w:p w14:paraId="2DC4F5F5" w14:textId="77777777" w:rsidR="005A5957" w:rsidRPr="009F74EC" w:rsidRDefault="005A5957" w:rsidP="005A5957">
      <w:pPr>
        <w:pStyle w:val="BodyText"/>
        <w:rPr>
          <w:rFonts w:cs="Arial"/>
        </w:rPr>
      </w:pPr>
      <w:r w:rsidRPr="009F74EC">
        <w:rPr>
          <w:rFonts w:cs="Arial"/>
        </w:rPr>
        <w:t xml:space="preserve">En 2022, el </w:t>
      </w:r>
      <w:proofErr w:type="gramStart"/>
      <w:r w:rsidRPr="009F74EC">
        <w:rPr>
          <w:rFonts w:cs="Arial"/>
        </w:rPr>
        <w:t>Director</w:t>
      </w:r>
      <w:proofErr w:type="gramEnd"/>
      <w:r w:rsidRPr="009F74EC">
        <w:rPr>
          <w:rFonts w:cs="Arial"/>
        </w:rPr>
        <w:t xml:space="preserve"> del COBORU concedió 65 títulos de protección nacional (23 títulos menos que en 2021). A finales de 2022, había 1.317 títulos nacionales de derechos de obtentor en vigor, lo que en comparación con el año anterior representa un aumento de 4 variedades. </w:t>
      </w:r>
    </w:p>
    <w:p w14:paraId="781C89AC" w14:textId="77777777" w:rsidR="005A5957" w:rsidRPr="009F74EC" w:rsidRDefault="005A5957" w:rsidP="005A5957">
      <w:pPr>
        <w:pStyle w:val="BodyText"/>
        <w:rPr>
          <w:rFonts w:cs="Arial"/>
        </w:rPr>
      </w:pPr>
    </w:p>
    <w:p w14:paraId="79DA8B3C" w14:textId="77777777" w:rsidR="005A5957" w:rsidRPr="009F74EC" w:rsidRDefault="005A5957" w:rsidP="005A5957">
      <w:pPr>
        <w:pStyle w:val="BodyText"/>
        <w:rPr>
          <w:rFonts w:cs="Arial"/>
        </w:rPr>
      </w:pPr>
      <w:r w:rsidRPr="009F74EC">
        <w:rPr>
          <w:rFonts w:cs="Arial"/>
        </w:rPr>
        <w:t>En el período comprendido entre el 1 de enero y el 30 de agosto de 2023, se han concedido 56 títulos de protección nacional de derechos de obtentor. En total, 1.328 variedades están protegidas en Polonia (a 30 de agosto de 2023).</w:t>
      </w:r>
    </w:p>
    <w:p w14:paraId="501C7176" w14:textId="77777777" w:rsidR="005A5957" w:rsidRPr="009F74EC" w:rsidRDefault="005A5957" w:rsidP="005A5957">
      <w:pPr>
        <w:pStyle w:val="BodyText"/>
        <w:rPr>
          <w:rFonts w:cs="Arial"/>
        </w:rPr>
      </w:pPr>
    </w:p>
    <w:p w14:paraId="6E398EA9" w14:textId="77777777" w:rsidR="005A5957" w:rsidRPr="009F74EC" w:rsidRDefault="005A5957" w:rsidP="005A5957">
      <w:pPr>
        <w:pStyle w:val="BodyText"/>
        <w:rPr>
          <w:rFonts w:cs="Arial"/>
        </w:rPr>
      </w:pPr>
      <w:r w:rsidRPr="009F74EC">
        <w:rPr>
          <w:rFonts w:cs="Arial"/>
        </w:rPr>
        <w:t>Las estadísticas se detallan en el cuadro siguiente.</w:t>
      </w:r>
    </w:p>
    <w:p w14:paraId="3122DE95" w14:textId="77777777" w:rsidR="005A5957" w:rsidRPr="009F74EC" w:rsidRDefault="005A5957" w:rsidP="005A5957">
      <w:pPr>
        <w:pStyle w:val="BodyText"/>
        <w:rPr>
          <w:rFonts w:cs="Arial"/>
        </w:rPr>
      </w:pPr>
    </w:p>
    <w:p w14:paraId="21C1D744" w14:textId="77777777" w:rsidR="005A5957" w:rsidRPr="009F74EC" w:rsidRDefault="005A5957" w:rsidP="005A5957">
      <w:pPr>
        <w:rPr>
          <w:rFonts w:cs="Arial"/>
        </w:rPr>
      </w:pPr>
      <w:r w:rsidRPr="009F74EC">
        <w:rPr>
          <w:rFonts w:cs="Arial"/>
        </w:rPr>
        <w:t>En la columna "Títulos que han cesado", se incluyen 13 variedades para las que -dentro del período objeto del informe- expiraron los derechos de obtentor nacionales.</w:t>
      </w:r>
    </w:p>
    <w:p w14:paraId="246C1D14" w14:textId="75241123" w:rsidR="00C938ED" w:rsidRDefault="00C938ED">
      <w:pPr>
        <w:jc w:val="left"/>
      </w:pPr>
      <w:r>
        <w:br w:type="page"/>
      </w:r>
    </w:p>
    <w:p w14:paraId="03B25358" w14:textId="77777777" w:rsidR="005A5957" w:rsidRPr="009F74EC" w:rsidRDefault="005A5957" w:rsidP="005A5957"/>
    <w:tbl>
      <w:tblPr>
        <w:tblW w:w="9615" w:type="dxa"/>
        <w:tblLayout w:type="fixed"/>
        <w:tblCellMar>
          <w:left w:w="70" w:type="dxa"/>
          <w:right w:w="70" w:type="dxa"/>
        </w:tblCellMar>
        <w:tblLook w:val="04A0" w:firstRow="1" w:lastRow="0" w:firstColumn="1" w:lastColumn="0" w:noHBand="0" w:noVBand="1"/>
      </w:tblPr>
      <w:tblGrid>
        <w:gridCol w:w="1630"/>
        <w:gridCol w:w="1052"/>
        <w:gridCol w:w="894"/>
        <w:gridCol w:w="897"/>
        <w:gridCol w:w="1052"/>
        <w:gridCol w:w="894"/>
        <w:gridCol w:w="944"/>
        <w:gridCol w:w="993"/>
        <w:gridCol w:w="1247"/>
        <w:gridCol w:w="12"/>
      </w:tblGrid>
      <w:tr w:rsidR="005A5957" w:rsidRPr="009F74EC" w14:paraId="4ECBFF7F" w14:textId="77777777" w:rsidTr="00C938ED">
        <w:tc>
          <w:tcPr>
            <w:tcW w:w="1630" w:type="dxa"/>
            <w:tcBorders>
              <w:top w:val="single" w:sz="4" w:space="0" w:color="auto"/>
              <w:left w:val="single" w:sz="6" w:space="0" w:color="auto"/>
              <w:bottom w:val="nil"/>
              <w:right w:val="nil"/>
            </w:tcBorders>
          </w:tcPr>
          <w:p w14:paraId="62A445C8" w14:textId="77777777" w:rsidR="005A5957" w:rsidRPr="009F74EC" w:rsidRDefault="005A5957" w:rsidP="00C30F9D">
            <w:pPr>
              <w:jc w:val="center"/>
              <w:rPr>
                <w:rFonts w:cs="Arial"/>
                <w:sz w:val="18"/>
                <w:szCs w:val="18"/>
              </w:rPr>
            </w:pPr>
          </w:p>
          <w:p w14:paraId="5315E85D" w14:textId="77777777" w:rsidR="005A5957" w:rsidRPr="009F74EC" w:rsidRDefault="005A5957" w:rsidP="00C30F9D">
            <w:pPr>
              <w:jc w:val="center"/>
              <w:rPr>
                <w:rFonts w:cs="Arial"/>
                <w:sz w:val="18"/>
                <w:szCs w:val="18"/>
              </w:rPr>
            </w:pPr>
            <w:r w:rsidRPr="009F74EC">
              <w:rPr>
                <w:rFonts w:cs="Arial"/>
                <w:sz w:val="18"/>
                <w:szCs w:val="18"/>
              </w:rPr>
              <w:t>Planta</w:t>
            </w:r>
          </w:p>
          <w:p w14:paraId="0A802868" w14:textId="77777777" w:rsidR="005A5957" w:rsidRPr="009F74EC" w:rsidRDefault="005A5957" w:rsidP="00C30F9D">
            <w:pPr>
              <w:jc w:val="center"/>
              <w:rPr>
                <w:rFonts w:cs="Arial"/>
                <w:sz w:val="18"/>
                <w:szCs w:val="18"/>
              </w:rPr>
            </w:pPr>
            <w:r w:rsidRPr="009F74EC">
              <w:rPr>
                <w:rFonts w:cs="Arial"/>
                <w:sz w:val="18"/>
                <w:szCs w:val="18"/>
              </w:rPr>
              <w:t>Especie</w:t>
            </w:r>
          </w:p>
        </w:tc>
        <w:tc>
          <w:tcPr>
            <w:tcW w:w="2843" w:type="dxa"/>
            <w:gridSpan w:val="3"/>
            <w:tcBorders>
              <w:top w:val="single" w:sz="4" w:space="0" w:color="auto"/>
              <w:left w:val="single" w:sz="12" w:space="0" w:color="auto"/>
              <w:bottom w:val="nil"/>
              <w:right w:val="single" w:sz="12" w:space="0" w:color="auto"/>
            </w:tcBorders>
            <w:hideMark/>
          </w:tcPr>
          <w:p w14:paraId="719AD17B" w14:textId="77777777" w:rsidR="005A5957" w:rsidRPr="009F74EC" w:rsidRDefault="005A5957" w:rsidP="00C30F9D">
            <w:pPr>
              <w:jc w:val="center"/>
              <w:rPr>
                <w:rFonts w:cs="Arial"/>
                <w:sz w:val="18"/>
                <w:szCs w:val="18"/>
              </w:rPr>
            </w:pPr>
            <w:r w:rsidRPr="009F74EC">
              <w:rPr>
                <w:rFonts w:cs="Arial"/>
                <w:sz w:val="18"/>
                <w:szCs w:val="18"/>
              </w:rPr>
              <w:t>Solicitudes de derechos de obtentor</w:t>
            </w:r>
          </w:p>
          <w:p w14:paraId="5B634242" w14:textId="77777777" w:rsidR="005A5957" w:rsidRPr="009F74EC" w:rsidRDefault="005A5957" w:rsidP="00C30F9D">
            <w:pPr>
              <w:jc w:val="center"/>
              <w:rPr>
                <w:rFonts w:cs="Arial"/>
                <w:sz w:val="18"/>
                <w:szCs w:val="18"/>
              </w:rPr>
            </w:pPr>
            <w:r w:rsidRPr="009F74EC">
              <w:rPr>
                <w:rFonts w:cs="Arial"/>
                <w:sz w:val="18"/>
                <w:szCs w:val="18"/>
              </w:rPr>
              <w:t>1.01. - 30.08.2023</w:t>
            </w:r>
          </w:p>
        </w:tc>
        <w:tc>
          <w:tcPr>
            <w:tcW w:w="2890" w:type="dxa"/>
            <w:gridSpan w:val="3"/>
            <w:tcBorders>
              <w:top w:val="single" w:sz="4" w:space="0" w:color="auto"/>
              <w:left w:val="nil"/>
              <w:bottom w:val="nil"/>
              <w:right w:val="single" w:sz="12" w:space="0" w:color="auto"/>
            </w:tcBorders>
            <w:shd w:val="clear" w:color="auto" w:fill="FFFFFF"/>
            <w:hideMark/>
          </w:tcPr>
          <w:p w14:paraId="09F1D172" w14:textId="77777777" w:rsidR="005A5957" w:rsidRPr="009F74EC" w:rsidRDefault="005A5957" w:rsidP="00C30F9D">
            <w:pPr>
              <w:shd w:val="clear" w:color="auto" w:fill="FFFFFF"/>
              <w:jc w:val="center"/>
              <w:rPr>
                <w:rFonts w:cs="Arial"/>
                <w:sz w:val="18"/>
                <w:szCs w:val="18"/>
              </w:rPr>
            </w:pPr>
            <w:r w:rsidRPr="009F74EC">
              <w:rPr>
                <w:rFonts w:cs="Arial"/>
                <w:sz w:val="18"/>
                <w:szCs w:val="18"/>
              </w:rPr>
              <w:t>Subvenciones de derechos de obtentor</w:t>
            </w:r>
          </w:p>
          <w:p w14:paraId="1CFCB25F" w14:textId="77777777" w:rsidR="005A5957" w:rsidRPr="009F74EC" w:rsidRDefault="005A5957" w:rsidP="00C30F9D">
            <w:pPr>
              <w:shd w:val="clear" w:color="auto" w:fill="FFFFFF"/>
              <w:jc w:val="center"/>
              <w:rPr>
                <w:rFonts w:cs="Arial"/>
                <w:sz w:val="18"/>
                <w:szCs w:val="18"/>
              </w:rPr>
            </w:pPr>
            <w:r w:rsidRPr="009F74EC">
              <w:rPr>
                <w:rFonts w:cs="Arial"/>
                <w:sz w:val="18"/>
                <w:szCs w:val="18"/>
              </w:rPr>
              <w:t>1.01. - 30.08.2023</w:t>
            </w:r>
          </w:p>
        </w:tc>
        <w:tc>
          <w:tcPr>
            <w:tcW w:w="993" w:type="dxa"/>
            <w:tcBorders>
              <w:top w:val="single" w:sz="4" w:space="0" w:color="auto"/>
              <w:left w:val="nil"/>
              <w:bottom w:val="nil"/>
              <w:right w:val="single" w:sz="12" w:space="0" w:color="auto"/>
            </w:tcBorders>
            <w:hideMark/>
          </w:tcPr>
          <w:p w14:paraId="2553A395" w14:textId="77777777" w:rsidR="005A5957" w:rsidRPr="009F74EC" w:rsidRDefault="005A5957" w:rsidP="00C30F9D">
            <w:pPr>
              <w:jc w:val="center"/>
              <w:rPr>
                <w:rFonts w:cs="Arial"/>
                <w:sz w:val="18"/>
                <w:szCs w:val="18"/>
              </w:rPr>
            </w:pPr>
            <w:r w:rsidRPr="009F74EC">
              <w:rPr>
                <w:rFonts w:cs="Arial"/>
                <w:sz w:val="18"/>
                <w:szCs w:val="18"/>
              </w:rPr>
              <w:t>Títulos</w:t>
            </w:r>
          </w:p>
          <w:p w14:paraId="14B74008" w14:textId="77777777" w:rsidR="005A5957" w:rsidRPr="009F74EC" w:rsidRDefault="005A5957" w:rsidP="00C30F9D">
            <w:pPr>
              <w:jc w:val="center"/>
              <w:rPr>
                <w:rFonts w:cs="Arial"/>
                <w:sz w:val="18"/>
                <w:szCs w:val="18"/>
              </w:rPr>
            </w:pPr>
            <w:r w:rsidRPr="009F74EC">
              <w:rPr>
                <w:rFonts w:cs="Arial"/>
                <w:sz w:val="18"/>
                <w:szCs w:val="18"/>
              </w:rPr>
              <w:t>habiendo cesado</w:t>
            </w:r>
          </w:p>
        </w:tc>
        <w:tc>
          <w:tcPr>
            <w:tcW w:w="1259" w:type="dxa"/>
            <w:gridSpan w:val="2"/>
            <w:tcBorders>
              <w:top w:val="single" w:sz="4" w:space="0" w:color="auto"/>
              <w:left w:val="nil"/>
              <w:bottom w:val="nil"/>
              <w:right w:val="single" w:sz="6" w:space="0" w:color="auto"/>
            </w:tcBorders>
            <w:shd w:val="clear" w:color="auto" w:fill="FFFFFF"/>
            <w:hideMark/>
          </w:tcPr>
          <w:p w14:paraId="55202F86" w14:textId="77777777" w:rsidR="005A5957" w:rsidRPr="009F74EC" w:rsidRDefault="005A5957" w:rsidP="00C30F9D">
            <w:pPr>
              <w:ind w:right="-6"/>
              <w:jc w:val="center"/>
              <w:rPr>
                <w:rFonts w:cs="Arial"/>
                <w:sz w:val="18"/>
                <w:szCs w:val="18"/>
              </w:rPr>
            </w:pPr>
            <w:r w:rsidRPr="009F74EC">
              <w:rPr>
                <w:rFonts w:cs="Arial"/>
                <w:sz w:val="18"/>
                <w:szCs w:val="18"/>
              </w:rPr>
              <w:t>Títulos en vigor a 30.08.2023</w:t>
            </w:r>
          </w:p>
        </w:tc>
      </w:tr>
      <w:tr w:rsidR="005A5957" w:rsidRPr="009F74EC" w14:paraId="453135A4" w14:textId="77777777" w:rsidTr="00C938ED">
        <w:trPr>
          <w:gridAfter w:val="1"/>
          <w:wAfter w:w="12" w:type="dxa"/>
        </w:trPr>
        <w:tc>
          <w:tcPr>
            <w:tcW w:w="1630" w:type="dxa"/>
            <w:tcBorders>
              <w:top w:val="nil"/>
              <w:left w:val="single" w:sz="6" w:space="0" w:color="auto"/>
              <w:bottom w:val="nil"/>
              <w:right w:val="single" w:sz="12" w:space="0" w:color="auto"/>
            </w:tcBorders>
          </w:tcPr>
          <w:p w14:paraId="0315807C" w14:textId="77777777" w:rsidR="005A5957" w:rsidRPr="009F74EC" w:rsidRDefault="005A5957" w:rsidP="00C30F9D">
            <w:pPr>
              <w:rPr>
                <w:rFonts w:cs="Arial"/>
                <w:sz w:val="18"/>
                <w:szCs w:val="18"/>
              </w:rPr>
            </w:pPr>
          </w:p>
        </w:tc>
        <w:tc>
          <w:tcPr>
            <w:tcW w:w="1052" w:type="dxa"/>
            <w:tcBorders>
              <w:top w:val="single" w:sz="6" w:space="0" w:color="auto"/>
              <w:left w:val="nil"/>
              <w:bottom w:val="nil"/>
              <w:right w:val="single" w:sz="6" w:space="0" w:color="auto"/>
            </w:tcBorders>
            <w:hideMark/>
          </w:tcPr>
          <w:p w14:paraId="6AEEC440" w14:textId="77777777" w:rsidR="005A5957" w:rsidRPr="00C938ED" w:rsidRDefault="005A5957" w:rsidP="00C30F9D">
            <w:pPr>
              <w:jc w:val="center"/>
              <w:rPr>
                <w:rFonts w:cs="Arial"/>
                <w:sz w:val="16"/>
                <w:szCs w:val="16"/>
              </w:rPr>
            </w:pPr>
            <w:r w:rsidRPr="00C938ED">
              <w:rPr>
                <w:rFonts w:cs="Arial"/>
                <w:sz w:val="16"/>
                <w:szCs w:val="16"/>
              </w:rPr>
              <w:t>doméstico</w:t>
            </w:r>
          </w:p>
        </w:tc>
        <w:tc>
          <w:tcPr>
            <w:tcW w:w="894" w:type="dxa"/>
            <w:tcBorders>
              <w:top w:val="single" w:sz="6" w:space="0" w:color="auto"/>
              <w:left w:val="nil"/>
              <w:bottom w:val="nil"/>
              <w:right w:val="single" w:sz="6" w:space="0" w:color="auto"/>
            </w:tcBorders>
            <w:hideMark/>
          </w:tcPr>
          <w:p w14:paraId="64EBB5B9" w14:textId="77777777" w:rsidR="005A5957" w:rsidRPr="00C938ED" w:rsidRDefault="005A5957" w:rsidP="00C30F9D">
            <w:pPr>
              <w:jc w:val="center"/>
              <w:rPr>
                <w:rFonts w:cs="Arial"/>
                <w:sz w:val="16"/>
                <w:szCs w:val="16"/>
              </w:rPr>
            </w:pPr>
            <w:r w:rsidRPr="00C938ED">
              <w:rPr>
                <w:rFonts w:cs="Arial"/>
                <w:sz w:val="16"/>
                <w:szCs w:val="16"/>
              </w:rPr>
              <w:t>extranjero</w:t>
            </w:r>
          </w:p>
        </w:tc>
        <w:tc>
          <w:tcPr>
            <w:tcW w:w="897" w:type="dxa"/>
            <w:tcBorders>
              <w:top w:val="single" w:sz="6" w:space="0" w:color="auto"/>
              <w:left w:val="nil"/>
              <w:bottom w:val="nil"/>
              <w:right w:val="single" w:sz="12" w:space="0" w:color="auto"/>
            </w:tcBorders>
            <w:hideMark/>
          </w:tcPr>
          <w:p w14:paraId="41A76F52" w14:textId="77777777" w:rsidR="005A5957" w:rsidRPr="00C938ED" w:rsidRDefault="005A5957" w:rsidP="00C30F9D">
            <w:pPr>
              <w:jc w:val="center"/>
              <w:rPr>
                <w:rFonts w:cs="Arial"/>
                <w:sz w:val="16"/>
                <w:szCs w:val="16"/>
              </w:rPr>
            </w:pPr>
            <w:r w:rsidRPr="00C938ED">
              <w:rPr>
                <w:rFonts w:cs="Arial"/>
                <w:sz w:val="16"/>
                <w:szCs w:val="16"/>
              </w:rPr>
              <w:t>juntos</w:t>
            </w:r>
          </w:p>
        </w:tc>
        <w:tc>
          <w:tcPr>
            <w:tcW w:w="1052" w:type="dxa"/>
            <w:tcBorders>
              <w:top w:val="single" w:sz="6" w:space="0" w:color="auto"/>
              <w:left w:val="nil"/>
              <w:bottom w:val="nil"/>
              <w:right w:val="single" w:sz="6" w:space="0" w:color="auto"/>
            </w:tcBorders>
            <w:hideMark/>
          </w:tcPr>
          <w:p w14:paraId="4F6672F5" w14:textId="77777777" w:rsidR="005A5957" w:rsidRPr="00C938ED" w:rsidRDefault="005A5957" w:rsidP="00C30F9D">
            <w:pPr>
              <w:jc w:val="center"/>
              <w:rPr>
                <w:rFonts w:cs="Arial"/>
                <w:sz w:val="16"/>
                <w:szCs w:val="16"/>
              </w:rPr>
            </w:pPr>
            <w:r w:rsidRPr="00C938ED">
              <w:rPr>
                <w:rFonts w:cs="Arial"/>
                <w:sz w:val="16"/>
                <w:szCs w:val="16"/>
              </w:rPr>
              <w:t>doméstico</w:t>
            </w:r>
          </w:p>
        </w:tc>
        <w:tc>
          <w:tcPr>
            <w:tcW w:w="894" w:type="dxa"/>
            <w:tcBorders>
              <w:top w:val="single" w:sz="6" w:space="0" w:color="auto"/>
              <w:left w:val="nil"/>
              <w:bottom w:val="nil"/>
              <w:right w:val="single" w:sz="6" w:space="0" w:color="auto"/>
            </w:tcBorders>
            <w:hideMark/>
          </w:tcPr>
          <w:p w14:paraId="2854F680" w14:textId="77777777" w:rsidR="005A5957" w:rsidRPr="00C938ED" w:rsidRDefault="005A5957" w:rsidP="00C30F9D">
            <w:pPr>
              <w:jc w:val="center"/>
              <w:rPr>
                <w:rFonts w:cs="Arial"/>
                <w:sz w:val="16"/>
                <w:szCs w:val="16"/>
              </w:rPr>
            </w:pPr>
            <w:r w:rsidRPr="00C938ED">
              <w:rPr>
                <w:rFonts w:cs="Arial"/>
                <w:sz w:val="16"/>
                <w:szCs w:val="16"/>
              </w:rPr>
              <w:t>extranjero</w:t>
            </w:r>
          </w:p>
        </w:tc>
        <w:tc>
          <w:tcPr>
            <w:tcW w:w="944" w:type="dxa"/>
            <w:tcBorders>
              <w:top w:val="single" w:sz="6" w:space="0" w:color="auto"/>
              <w:left w:val="nil"/>
              <w:bottom w:val="nil"/>
              <w:right w:val="single" w:sz="12" w:space="0" w:color="auto"/>
            </w:tcBorders>
            <w:hideMark/>
          </w:tcPr>
          <w:p w14:paraId="5E8149A4" w14:textId="77777777" w:rsidR="005A5957" w:rsidRPr="00C938ED" w:rsidRDefault="005A5957" w:rsidP="00C30F9D">
            <w:pPr>
              <w:jc w:val="center"/>
              <w:rPr>
                <w:rFonts w:cs="Arial"/>
                <w:sz w:val="16"/>
                <w:szCs w:val="16"/>
              </w:rPr>
            </w:pPr>
            <w:r w:rsidRPr="00C938ED">
              <w:rPr>
                <w:rFonts w:cs="Arial"/>
                <w:sz w:val="16"/>
                <w:szCs w:val="16"/>
              </w:rPr>
              <w:t>juntos</w:t>
            </w:r>
          </w:p>
        </w:tc>
        <w:tc>
          <w:tcPr>
            <w:tcW w:w="993" w:type="dxa"/>
            <w:tcBorders>
              <w:top w:val="nil"/>
              <w:left w:val="nil"/>
              <w:bottom w:val="nil"/>
              <w:right w:val="single" w:sz="12" w:space="0" w:color="auto"/>
            </w:tcBorders>
          </w:tcPr>
          <w:p w14:paraId="20F2FAD0" w14:textId="77777777" w:rsidR="005A5957" w:rsidRPr="00C938ED" w:rsidRDefault="005A5957" w:rsidP="00C30F9D">
            <w:pPr>
              <w:jc w:val="center"/>
              <w:rPr>
                <w:rFonts w:cs="Arial"/>
                <w:sz w:val="16"/>
                <w:szCs w:val="16"/>
              </w:rPr>
            </w:pPr>
          </w:p>
        </w:tc>
        <w:tc>
          <w:tcPr>
            <w:tcW w:w="1247" w:type="dxa"/>
            <w:tcBorders>
              <w:top w:val="nil"/>
              <w:left w:val="nil"/>
              <w:bottom w:val="nil"/>
              <w:right w:val="single" w:sz="6" w:space="0" w:color="auto"/>
            </w:tcBorders>
            <w:shd w:val="clear" w:color="auto" w:fill="FFFFFF"/>
          </w:tcPr>
          <w:p w14:paraId="248CB60F" w14:textId="77777777" w:rsidR="005A5957" w:rsidRPr="00C938ED" w:rsidRDefault="005A5957" w:rsidP="00C30F9D">
            <w:pPr>
              <w:jc w:val="center"/>
              <w:rPr>
                <w:rFonts w:cs="Arial"/>
                <w:sz w:val="16"/>
                <w:szCs w:val="16"/>
              </w:rPr>
            </w:pPr>
          </w:p>
        </w:tc>
      </w:tr>
      <w:tr w:rsidR="005A5957" w:rsidRPr="009F74EC" w14:paraId="50D4900D" w14:textId="77777777" w:rsidTr="00C938ED">
        <w:trPr>
          <w:gridAfter w:val="1"/>
          <w:wAfter w:w="12" w:type="dxa"/>
        </w:trPr>
        <w:tc>
          <w:tcPr>
            <w:tcW w:w="1630" w:type="dxa"/>
            <w:tcBorders>
              <w:top w:val="single" w:sz="12" w:space="0" w:color="auto"/>
              <w:left w:val="single" w:sz="6" w:space="0" w:color="auto"/>
              <w:bottom w:val="single" w:sz="6" w:space="0" w:color="auto"/>
              <w:right w:val="single" w:sz="12" w:space="0" w:color="auto"/>
            </w:tcBorders>
            <w:hideMark/>
          </w:tcPr>
          <w:p w14:paraId="0BE3A667" w14:textId="77777777" w:rsidR="005A5957" w:rsidRPr="009F74EC" w:rsidRDefault="005A5957" w:rsidP="00C30F9D">
            <w:pPr>
              <w:spacing w:before="120"/>
              <w:jc w:val="center"/>
              <w:rPr>
                <w:rFonts w:cs="Arial"/>
                <w:sz w:val="18"/>
                <w:szCs w:val="18"/>
              </w:rPr>
            </w:pPr>
            <w:r w:rsidRPr="009F74EC">
              <w:rPr>
                <w:rFonts w:cs="Arial"/>
                <w:sz w:val="18"/>
                <w:szCs w:val="18"/>
              </w:rPr>
              <w:t>Agricultura</w:t>
            </w:r>
          </w:p>
        </w:tc>
        <w:tc>
          <w:tcPr>
            <w:tcW w:w="1052" w:type="dxa"/>
            <w:tcBorders>
              <w:top w:val="single" w:sz="12" w:space="0" w:color="auto"/>
              <w:left w:val="nil"/>
              <w:bottom w:val="single" w:sz="6" w:space="0" w:color="auto"/>
              <w:right w:val="single" w:sz="6" w:space="0" w:color="auto"/>
            </w:tcBorders>
            <w:hideMark/>
          </w:tcPr>
          <w:p w14:paraId="37737E62" w14:textId="77777777" w:rsidR="005A5957" w:rsidRPr="009F74EC" w:rsidRDefault="005A5957" w:rsidP="00C30F9D">
            <w:pPr>
              <w:spacing w:before="120"/>
              <w:jc w:val="center"/>
              <w:rPr>
                <w:rFonts w:cs="Arial"/>
                <w:sz w:val="18"/>
                <w:szCs w:val="18"/>
              </w:rPr>
            </w:pPr>
            <w:r w:rsidRPr="009F74EC">
              <w:rPr>
                <w:rFonts w:cs="Arial"/>
                <w:sz w:val="18"/>
                <w:szCs w:val="18"/>
              </w:rPr>
              <w:t>24</w:t>
            </w:r>
          </w:p>
        </w:tc>
        <w:tc>
          <w:tcPr>
            <w:tcW w:w="894" w:type="dxa"/>
            <w:tcBorders>
              <w:top w:val="single" w:sz="12" w:space="0" w:color="auto"/>
              <w:left w:val="single" w:sz="6" w:space="0" w:color="auto"/>
              <w:bottom w:val="single" w:sz="6" w:space="0" w:color="auto"/>
              <w:right w:val="single" w:sz="6" w:space="0" w:color="auto"/>
            </w:tcBorders>
            <w:hideMark/>
          </w:tcPr>
          <w:p w14:paraId="64C43B95" w14:textId="77777777" w:rsidR="005A5957" w:rsidRPr="009F74EC" w:rsidRDefault="005A5957" w:rsidP="00C30F9D">
            <w:pPr>
              <w:spacing w:before="120"/>
              <w:jc w:val="center"/>
              <w:rPr>
                <w:rFonts w:cs="Arial"/>
                <w:sz w:val="18"/>
                <w:szCs w:val="18"/>
              </w:rPr>
            </w:pPr>
            <w:r w:rsidRPr="009F74EC">
              <w:rPr>
                <w:rFonts w:cs="Arial"/>
                <w:sz w:val="18"/>
                <w:szCs w:val="18"/>
              </w:rPr>
              <w:t>3</w:t>
            </w:r>
          </w:p>
        </w:tc>
        <w:tc>
          <w:tcPr>
            <w:tcW w:w="897" w:type="dxa"/>
            <w:tcBorders>
              <w:top w:val="single" w:sz="12" w:space="0" w:color="auto"/>
              <w:left w:val="single" w:sz="6" w:space="0" w:color="auto"/>
              <w:bottom w:val="single" w:sz="6" w:space="0" w:color="auto"/>
              <w:right w:val="single" w:sz="12" w:space="0" w:color="auto"/>
            </w:tcBorders>
            <w:shd w:val="clear" w:color="auto" w:fill="D9D9D9"/>
            <w:hideMark/>
          </w:tcPr>
          <w:p w14:paraId="572EB5FE" w14:textId="77777777" w:rsidR="005A5957" w:rsidRPr="009F74EC" w:rsidRDefault="005A5957" w:rsidP="00C30F9D">
            <w:pPr>
              <w:spacing w:before="120"/>
              <w:jc w:val="center"/>
              <w:rPr>
                <w:rFonts w:cs="Arial"/>
                <w:sz w:val="18"/>
                <w:szCs w:val="18"/>
              </w:rPr>
            </w:pPr>
            <w:r w:rsidRPr="009F74EC">
              <w:rPr>
                <w:rFonts w:cs="Arial"/>
                <w:sz w:val="18"/>
                <w:szCs w:val="18"/>
              </w:rPr>
              <w:t>27</w:t>
            </w:r>
          </w:p>
        </w:tc>
        <w:tc>
          <w:tcPr>
            <w:tcW w:w="1052" w:type="dxa"/>
            <w:tcBorders>
              <w:top w:val="single" w:sz="12" w:space="0" w:color="auto"/>
              <w:left w:val="nil"/>
              <w:bottom w:val="single" w:sz="6" w:space="0" w:color="auto"/>
              <w:right w:val="single" w:sz="6" w:space="0" w:color="auto"/>
            </w:tcBorders>
            <w:hideMark/>
          </w:tcPr>
          <w:p w14:paraId="3608BC92" w14:textId="77777777" w:rsidR="005A5957" w:rsidRPr="009F74EC" w:rsidRDefault="005A5957" w:rsidP="00C30F9D">
            <w:pPr>
              <w:spacing w:before="120"/>
              <w:jc w:val="center"/>
              <w:rPr>
                <w:rFonts w:cs="Arial"/>
                <w:sz w:val="18"/>
                <w:szCs w:val="18"/>
              </w:rPr>
            </w:pPr>
            <w:r w:rsidRPr="009F74EC">
              <w:rPr>
                <w:rFonts w:cs="Arial"/>
                <w:sz w:val="18"/>
                <w:szCs w:val="18"/>
              </w:rPr>
              <w:t>25</w:t>
            </w:r>
          </w:p>
        </w:tc>
        <w:tc>
          <w:tcPr>
            <w:tcW w:w="894" w:type="dxa"/>
            <w:tcBorders>
              <w:top w:val="single" w:sz="12" w:space="0" w:color="auto"/>
              <w:left w:val="single" w:sz="6" w:space="0" w:color="auto"/>
              <w:bottom w:val="single" w:sz="6" w:space="0" w:color="auto"/>
              <w:right w:val="single" w:sz="6" w:space="0" w:color="auto"/>
            </w:tcBorders>
            <w:hideMark/>
          </w:tcPr>
          <w:p w14:paraId="08370B14" w14:textId="77777777" w:rsidR="005A5957" w:rsidRPr="009F74EC" w:rsidRDefault="005A5957" w:rsidP="00C30F9D">
            <w:pPr>
              <w:spacing w:before="120"/>
              <w:jc w:val="center"/>
              <w:rPr>
                <w:rFonts w:cs="Arial"/>
                <w:sz w:val="18"/>
                <w:szCs w:val="18"/>
              </w:rPr>
            </w:pPr>
            <w:r w:rsidRPr="009F74EC">
              <w:rPr>
                <w:rFonts w:cs="Arial"/>
                <w:sz w:val="18"/>
                <w:szCs w:val="18"/>
              </w:rPr>
              <w:t>1</w:t>
            </w:r>
          </w:p>
        </w:tc>
        <w:tc>
          <w:tcPr>
            <w:tcW w:w="944" w:type="dxa"/>
            <w:tcBorders>
              <w:top w:val="single" w:sz="12" w:space="0" w:color="auto"/>
              <w:left w:val="single" w:sz="6" w:space="0" w:color="auto"/>
              <w:bottom w:val="single" w:sz="6" w:space="0" w:color="auto"/>
              <w:right w:val="single" w:sz="12" w:space="0" w:color="auto"/>
            </w:tcBorders>
            <w:shd w:val="clear" w:color="auto" w:fill="D9D9D9"/>
            <w:hideMark/>
          </w:tcPr>
          <w:p w14:paraId="42B0B02B" w14:textId="77777777" w:rsidR="005A5957" w:rsidRPr="009F74EC" w:rsidRDefault="005A5957" w:rsidP="00C30F9D">
            <w:pPr>
              <w:spacing w:before="120"/>
              <w:jc w:val="center"/>
              <w:rPr>
                <w:rFonts w:cs="Arial"/>
                <w:sz w:val="18"/>
                <w:szCs w:val="18"/>
              </w:rPr>
            </w:pPr>
            <w:r w:rsidRPr="009F74EC">
              <w:rPr>
                <w:rFonts w:cs="Arial"/>
                <w:sz w:val="18"/>
                <w:szCs w:val="18"/>
              </w:rPr>
              <w:t>26</w:t>
            </w:r>
          </w:p>
        </w:tc>
        <w:tc>
          <w:tcPr>
            <w:tcW w:w="993" w:type="dxa"/>
            <w:tcBorders>
              <w:top w:val="single" w:sz="12" w:space="0" w:color="auto"/>
              <w:left w:val="nil"/>
              <w:bottom w:val="single" w:sz="6" w:space="0" w:color="auto"/>
              <w:right w:val="single" w:sz="12" w:space="0" w:color="auto"/>
            </w:tcBorders>
            <w:hideMark/>
          </w:tcPr>
          <w:p w14:paraId="0F633A6A" w14:textId="77777777" w:rsidR="005A5957" w:rsidRPr="009F74EC" w:rsidRDefault="005A5957" w:rsidP="00C30F9D">
            <w:pPr>
              <w:spacing w:before="120"/>
              <w:jc w:val="center"/>
              <w:rPr>
                <w:rFonts w:cs="Arial"/>
                <w:sz w:val="18"/>
                <w:szCs w:val="18"/>
              </w:rPr>
            </w:pPr>
            <w:r w:rsidRPr="009F74EC">
              <w:rPr>
                <w:rFonts w:cs="Arial"/>
                <w:sz w:val="18"/>
                <w:szCs w:val="18"/>
              </w:rPr>
              <w:t>14</w:t>
            </w:r>
          </w:p>
        </w:tc>
        <w:tc>
          <w:tcPr>
            <w:tcW w:w="1247" w:type="dxa"/>
            <w:tcBorders>
              <w:top w:val="single" w:sz="12" w:space="0" w:color="auto"/>
              <w:left w:val="nil"/>
              <w:bottom w:val="single" w:sz="6" w:space="0" w:color="auto"/>
              <w:right w:val="single" w:sz="6" w:space="0" w:color="auto"/>
            </w:tcBorders>
            <w:shd w:val="clear" w:color="auto" w:fill="D9D9D9"/>
            <w:hideMark/>
          </w:tcPr>
          <w:p w14:paraId="6CC4B159" w14:textId="77777777" w:rsidR="005A5957" w:rsidRPr="009F74EC" w:rsidRDefault="005A5957" w:rsidP="00C30F9D">
            <w:pPr>
              <w:spacing w:before="120"/>
              <w:jc w:val="center"/>
              <w:rPr>
                <w:rFonts w:cs="Arial"/>
                <w:sz w:val="18"/>
                <w:szCs w:val="18"/>
              </w:rPr>
            </w:pPr>
            <w:r w:rsidRPr="009F74EC">
              <w:rPr>
                <w:rFonts w:cs="Arial"/>
                <w:sz w:val="18"/>
                <w:szCs w:val="18"/>
              </w:rPr>
              <w:t>740</w:t>
            </w:r>
          </w:p>
        </w:tc>
      </w:tr>
      <w:tr w:rsidR="005A5957" w:rsidRPr="009F74EC" w14:paraId="2AD37F16" w14:textId="77777777" w:rsidTr="00C938ED">
        <w:trPr>
          <w:gridAfter w:val="1"/>
          <w:wAfter w:w="12" w:type="dxa"/>
        </w:trPr>
        <w:tc>
          <w:tcPr>
            <w:tcW w:w="1630" w:type="dxa"/>
            <w:tcBorders>
              <w:top w:val="single" w:sz="6" w:space="0" w:color="auto"/>
              <w:left w:val="single" w:sz="6" w:space="0" w:color="auto"/>
              <w:bottom w:val="single" w:sz="6" w:space="0" w:color="auto"/>
              <w:right w:val="single" w:sz="12" w:space="0" w:color="auto"/>
            </w:tcBorders>
            <w:hideMark/>
          </w:tcPr>
          <w:p w14:paraId="05A73225" w14:textId="77777777" w:rsidR="005A5957" w:rsidRPr="009F74EC" w:rsidRDefault="005A5957" w:rsidP="00C30F9D">
            <w:pPr>
              <w:spacing w:before="120"/>
              <w:jc w:val="center"/>
              <w:rPr>
                <w:rFonts w:cs="Arial"/>
                <w:sz w:val="18"/>
                <w:szCs w:val="18"/>
              </w:rPr>
            </w:pPr>
            <w:r w:rsidRPr="009F74EC">
              <w:rPr>
                <w:rFonts w:cs="Arial"/>
                <w:sz w:val="18"/>
                <w:szCs w:val="18"/>
              </w:rPr>
              <w:t>Verduras</w:t>
            </w:r>
          </w:p>
        </w:tc>
        <w:tc>
          <w:tcPr>
            <w:tcW w:w="1052" w:type="dxa"/>
            <w:tcBorders>
              <w:top w:val="single" w:sz="6" w:space="0" w:color="auto"/>
              <w:left w:val="nil"/>
              <w:bottom w:val="single" w:sz="6" w:space="0" w:color="auto"/>
              <w:right w:val="single" w:sz="6" w:space="0" w:color="auto"/>
            </w:tcBorders>
            <w:hideMark/>
          </w:tcPr>
          <w:p w14:paraId="7A3B6CBC" w14:textId="77777777" w:rsidR="005A5957" w:rsidRPr="009F74EC" w:rsidRDefault="005A5957" w:rsidP="00C30F9D">
            <w:pPr>
              <w:spacing w:before="120"/>
              <w:jc w:val="center"/>
              <w:rPr>
                <w:rFonts w:cs="Arial"/>
                <w:sz w:val="18"/>
                <w:szCs w:val="18"/>
              </w:rPr>
            </w:pPr>
            <w:r w:rsidRPr="009F74EC">
              <w:rPr>
                <w:rFonts w:cs="Arial"/>
                <w:sz w:val="18"/>
                <w:szCs w:val="18"/>
              </w:rPr>
              <w:t>5</w:t>
            </w:r>
          </w:p>
        </w:tc>
        <w:tc>
          <w:tcPr>
            <w:tcW w:w="894" w:type="dxa"/>
            <w:tcBorders>
              <w:top w:val="single" w:sz="6" w:space="0" w:color="auto"/>
              <w:left w:val="single" w:sz="6" w:space="0" w:color="auto"/>
              <w:bottom w:val="single" w:sz="6" w:space="0" w:color="auto"/>
              <w:right w:val="single" w:sz="6" w:space="0" w:color="auto"/>
            </w:tcBorders>
            <w:hideMark/>
          </w:tcPr>
          <w:p w14:paraId="54C76A72" w14:textId="77777777" w:rsidR="005A5957" w:rsidRPr="009F74EC" w:rsidRDefault="005A5957" w:rsidP="00C30F9D">
            <w:pPr>
              <w:spacing w:before="120"/>
              <w:jc w:val="center"/>
              <w:rPr>
                <w:rFonts w:cs="Arial"/>
                <w:sz w:val="18"/>
                <w:szCs w:val="18"/>
              </w:rPr>
            </w:pPr>
            <w:r w:rsidRPr="009F74EC">
              <w:rPr>
                <w:rFonts w:cs="Arial"/>
                <w:sz w:val="18"/>
                <w:szCs w:val="18"/>
              </w:rPr>
              <w:t>1</w:t>
            </w:r>
          </w:p>
        </w:tc>
        <w:tc>
          <w:tcPr>
            <w:tcW w:w="897" w:type="dxa"/>
            <w:tcBorders>
              <w:top w:val="single" w:sz="6" w:space="0" w:color="auto"/>
              <w:left w:val="single" w:sz="6" w:space="0" w:color="auto"/>
              <w:bottom w:val="single" w:sz="6" w:space="0" w:color="auto"/>
              <w:right w:val="single" w:sz="12" w:space="0" w:color="auto"/>
            </w:tcBorders>
            <w:shd w:val="clear" w:color="auto" w:fill="D9D9D9"/>
            <w:hideMark/>
          </w:tcPr>
          <w:p w14:paraId="014B84E3" w14:textId="77777777" w:rsidR="005A5957" w:rsidRPr="009F74EC" w:rsidRDefault="005A5957" w:rsidP="00C30F9D">
            <w:pPr>
              <w:spacing w:before="120"/>
              <w:jc w:val="center"/>
              <w:rPr>
                <w:rFonts w:cs="Arial"/>
                <w:sz w:val="18"/>
                <w:szCs w:val="18"/>
              </w:rPr>
            </w:pPr>
            <w:r w:rsidRPr="009F74EC">
              <w:rPr>
                <w:rFonts w:cs="Arial"/>
                <w:sz w:val="18"/>
                <w:szCs w:val="18"/>
              </w:rPr>
              <w:t>6</w:t>
            </w:r>
          </w:p>
        </w:tc>
        <w:tc>
          <w:tcPr>
            <w:tcW w:w="1052" w:type="dxa"/>
            <w:tcBorders>
              <w:top w:val="single" w:sz="6" w:space="0" w:color="auto"/>
              <w:left w:val="nil"/>
              <w:bottom w:val="single" w:sz="6" w:space="0" w:color="auto"/>
              <w:right w:val="single" w:sz="6" w:space="0" w:color="auto"/>
            </w:tcBorders>
            <w:hideMark/>
          </w:tcPr>
          <w:p w14:paraId="4935BA67" w14:textId="77777777" w:rsidR="005A5957" w:rsidRPr="009F74EC" w:rsidRDefault="005A5957" w:rsidP="00C30F9D">
            <w:pPr>
              <w:spacing w:before="120"/>
              <w:jc w:val="center"/>
              <w:rPr>
                <w:rFonts w:cs="Arial"/>
                <w:sz w:val="18"/>
                <w:szCs w:val="18"/>
              </w:rPr>
            </w:pPr>
            <w:r w:rsidRPr="009F74EC">
              <w:rPr>
                <w:rFonts w:cs="Arial"/>
                <w:sz w:val="18"/>
                <w:szCs w:val="18"/>
              </w:rPr>
              <w:t>9</w:t>
            </w:r>
          </w:p>
        </w:tc>
        <w:tc>
          <w:tcPr>
            <w:tcW w:w="894" w:type="dxa"/>
            <w:tcBorders>
              <w:top w:val="single" w:sz="6" w:space="0" w:color="auto"/>
              <w:left w:val="single" w:sz="6" w:space="0" w:color="auto"/>
              <w:bottom w:val="single" w:sz="6" w:space="0" w:color="auto"/>
              <w:right w:val="single" w:sz="6" w:space="0" w:color="auto"/>
            </w:tcBorders>
            <w:hideMark/>
          </w:tcPr>
          <w:p w14:paraId="2D3CD544" w14:textId="77777777" w:rsidR="005A5957" w:rsidRPr="009F74EC" w:rsidRDefault="005A5957" w:rsidP="00C30F9D">
            <w:pPr>
              <w:spacing w:before="120"/>
              <w:jc w:val="center"/>
              <w:rPr>
                <w:rFonts w:cs="Arial"/>
                <w:sz w:val="18"/>
                <w:szCs w:val="18"/>
              </w:rPr>
            </w:pPr>
            <w:r w:rsidRPr="009F74EC">
              <w:rPr>
                <w:rFonts w:cs="Arial"/>
                <w:sz w:val="18"/>
                <w:szCs w:val="18"/>
              </w:rPr>
              <w:t>1</w:t>
            </w:r>
          </w:p>
        </w:tc>
        <w:tc>
          <w:tcPr>
            <w:tcW w:w="944" w:type="dxa"/>
            <w:tcBorders>
              <w:top w:val="single" w:sz="6" w:space="0" w:color="auto"/>
              <w:left w:val="single" w:sz="6" w:space="0" w:color="auto"/>
              <w:bottom w:val="single" w:sz="6" w:space="0" w:color="auto"/>
              <w:right w:val="single" w:sz="12" w:space="0" w:color="auto"/>
            </w:tcBorders>
            <w:shd w:val="clear" w:color="auto" w:fill="D9D9D9"/>
            <w:hideMark/>
          </w:tcPr>
          <w:p w14:paraId="11CE5A76" w14:textId="77777777" w:rsidR="005A5957" w:rsidRPr="009F74EC" w:rsidRDefault="005A5957" w:rsidP="00C30F9D">
            <w:pPr>
              <w:spacing w:before="120"/>
              <w:jc w:val="center"/>
              <w:rPr>
                <w:rFonts w:cs="Arial"/>
                <w:sz w:val="18"/>
                <w:szCs w:val="18"/>
              </w:rPr>
            </w:pPr>
            <w:r w:rsidRPr="009F74EC">
              <w:rPr>
                <w:rFonts w:cs="Arial"/>
                <w:sz w:val="18"/>
                <w:szCs w:val="18"/>
              </w:rPr>
              <w:t>10</w:t>
            </w:r>
          </w:p>
        </w:tc>
        <w:tc>
          <w:tcPr>
            <w:tcW w:w="993" w:type="dxa"/>
            <w:tcBorders>
              <w:top w:val="single" w:sz="6" w:space="0" w:color="auto"/>
              <w:left w:val="nil"/>
              <w:bottom w:val="single" w:sz="6" w:space="0" w:color="auto"/>
              <w:right w:val="single" w:sz="12" w:space="0" w:color="auto"/>
            </w:tcBorders>
            <w:hideMark/>
          </w:tcPr>
          <w:p w14:paraId="347122A8" w14:textId="77777777" w:rsidR="005A5957" w:rsidRPr="009F74EC" w:rsidRDefault="005A5957" w:rsidP="00C30F9D">
            <w:pPr>
              <w:spacing w:before="120"/>
              <w:jc w:val="center"/>
              <w:rPr>
                <w:rFonts w:cs="Arial"/>
                <w:sz w:val="18"/>
                <w:szCs w:val="18"/>
              </w:rPr>
            </w:pPr>
            <w:r w:rsidRPr="009F74EC">
              <w:rPr>
                <w:rFonts w:cs="Arial"/>
                <w:sz w:val="18"/>
                <w:szCs w:val="18"/>
              </w:rPr>
              <w:t>3</w:t>
            </w:r>
          </w:p>
        </w:tc>
        <w:tc>
          <w:tcPr>
            <w:tcW w:w="1247" w:type="dxa"/>
            <w:tcBorders>
              <w:top w:val="single" w:sz="6" w:space="0" w:color="auto"/>
              <w:left w:val="nil"/>
              <w:bottom w:val="single" w:sz="6" w:space="0" w:color="auto"/>
              <w:right w:val="single" w:sz="6" w:space="0" w:color="auto"/>
            </w:tcBorders>
            <w:shd w:val="clear" w:color="auto" w:fill="D9D9D9"/>
            <w:hideMark/>
          </w:tcPr>
          <w:p w14:paraId="734B4CF0" w14:textId="77777777" w:rsidR="005A5957" w:rsidRPr="009F74EC" w:rsidRDefault="005A5957" w:rsidP="00C30F9D">
            <w:pPr>
              <w:spacing w:before="120"/>
              <w:jc w:val="center"/>
              <w:rPr>
                <w:rFonts w:cs="Arial"/>
                <w:sz w:val="18"/>
                <w:szCs w:val="18"/>
              </w:rPr>
            </w:pPr>
            <w:r w:rsidRPr="009F74EC">
              <w:rPr>
                <w:rFonts w:cs="Arial"/>
                <w:sz w:val="18"/>
                <w:szCs w:val="18"/>
              </w:rPr>
              <w:t>214</w:t>
            </w:r>
          </w:p>
        </w:tc>
      </w:tr>
      <w:tr w:rsidR="005A5957" w:rsidRPr="009F74EC" w14:paraId="42577243" w14:textId="77777777" w:rsidTr="00C938ED">
        <w:trPr>
          <w:gridAfter w:val="1"/>
          <w:wAfter w:w="12" w:type="dxa"/>
        </w:trPr>
        <w:tc>
          <w:tcPr>
            <w:tcW w:w="1630" w:type="dxa"/>
            <w:tcBorders>
              <w:top w:val="single" w:sz="6" w:space="0" w:color="auto"/>
              <w:left w:val="single" w:sz="6" w:space="0" w:color="auto"/>
              <w:bottom w:val="nil"/>
              <w:right w:val="single" w:sz="12" w:space="0" w:color="auto"/>
            </w:tcBorders>
            <w:hideMark/>
          </w:tcPr>
          <w:p w14:paraId="0EBF380D" w14:textId="77777777" w:rsidR="005A5957" w:rsidRPr="009F74EC" w:rsidRDefault="005A5957" w:rsidP="00C30F9D">
            <w:pPr>
              <w:spacing w:before="120"/>
              <w:jc w:val="center"/>
              <w:rPr>
                <w:rFonts w:cs="Arial"/>
                <w:sz w:val="18"/>
                <w:szCs w:val="18"/>
              </w:rPr>
            </w:pPr>
            <w:r w:rsidRPr="009F74EC">
              <w:rPr>
                <w:rFonts w:cs="Arial"/>
                <w:sz w:val="18"/>
                <w:szCs w:val="18"/>
              </w:rPr>
              <w:t>Ornamental</w:t>
            </w:r>
          </w:p>
        </w:tc>
        <w:tc>
          <w:tcPr>
            <w:tcW w:w="1052" w:type="dxa"/>
            <w:tcBorders>
              <w:top w:val="single" w:sz="6" w:space="0" w:color="auto"/>
              <w:left w:val="nil"/>
              <w:bottom w:val="nil"/>
              <w:right w:val="single" w:sz="6" w:space="0" w:color="auto"/>
            </w:tcBorders>
            <w:hideMark/>
          </w:tcPr>
          <w:p w14:paraId="58D60205" w14:textId="77777777" w:rsidR="005A5957" w:rsidRPr="009F74EC" w:rsidRDefault="005A5957" w:rsidP="00C30F9D">
            <w:pPr>
              <w:spacing w:before="120"/>
              <w:jc w:val="center"/>
              <w:rPr>
                <w:rFonts w:cs="Arial"/>
                <w:sz w:val="18"/>
                <w:szCs w:val="18"/>
              </w:rPr>
            </w:pPr>
            <w:r w:rsidRPr="009F74EC">
              <w:rPr>
                <w:rFonts w:cs="Arial"/>
                <w:sz w:val="18"/>
                <w:szCs w:val="18"/>
              </w:rPr>
              <w:t>13</w:t>
            </w:r>
          </w:p>
        </w:tc>
        <w:tc>
          <w:tcPr>
            <w:tcW w:w="894" w:type="dxa"/>
            <w:tcBorders>
              <w:top w:val="single" w:sz="6" w:space="0" w:color="auto"/>
              <w:left w:val="single" w:sz="6" w:space="0" w:color="auto"/>
              <w:bottom w:val="nil"/>
              <w:right w:val="single" w:sz="6" w:space="0" w:color="auto"/>
            </w:tcBorders>
            <w:hideMark/>
          </w:tcPr>
          <w:p w14:paraId="2518559B" w14:textId="77777777" w:rsidR="005A5957" w:rsidRPr="009F74EC" w:rsidRDefault="005A5957" w:rsidP="00C30F9D">
            <w:pPr>
              <w:spacing w:before="120"/>
              <w:jc w:val="center"/>
              <w:rPr>
                <w:rFonts w:cs="Arial"/>
                <w:sz w:val="18"/>
                <w:szCs w:val="18"/>
              </w:rPr>
            </w:pPr>
            <w:r w:rsidRPr="009F74EC">
              <w:rPr>
                <w:rFonts w:cs="Arial"/>
                <w:sz w:val="18"/>
                <w:szCs w:val="18"/>
              </w:rPr>
              <w:t>19</w:t>
            </w:r>
          </w:p>
        </w:tc>
        <w:tc>
          <w:tcPr>
            <w:tcW w:w="897" w:type="dxa"/>
            <w:tcBorders>
              <w:top w:val="single" w:sz="6" w:space="0" w:color="auto"/>
              <w:left w:val="single" w:sz="6" w:space="0" w:color="auto"/>
              <w:bottom w:val="nil"/>
              <w:right w:val="single" w:sz="12" w:space="0" w:color="auto"/>
            </w:tcBorders>
            <w:shd w:val="clear" w:color="auto" w:fill="D9D9D9"/>
            <w:hideMark/>
          </w:tcPr>
          <w:p w14:paraId="3198E258" w14:textId="77777777" w:rsidR="005A5957" w:rsidRPr="009F74EC" w:rsidRDefault="005A5957" w:rsidP="00C30F9D">
            <w:pPr>
              <w:spacing w:before="120"/>
              <w:jc w:val="center"/>
              <w:rPr>
                <w:rFonts w:cs="Arial"/>
                <w:sz w:val="18"/>
                <w:szCs w:val="18"/>
              </w:rPr>
            </w:pPr>
            <w:r w:rsidRPr="009F74EC">
              <w:rPr>
                <w:rFonts w:cs="Arial"/>
                <w:sz w:val="18"/>
                <w:szCs w:val="18"/>
              </w:rPr>
              <w:t>32</w:t>
            </w:r>
          </w:p>
        </w:tc>
        <w:tc>
          <w:tcPr>
            <w:tcW w:w="1052" w:type="dxa"/>
            <w:tcBorders>
              <w:top w:val="single" w:sz="6" w:space="0" w:color="auto"/>
              <w:left w:val="nil"/>
              <w:bottom w:val="nil"/>
              <w:right w:val="single" w:sz="6" w:space="0" w:color="auto"/>
            </w:tcBorders>
            <w:hideMark/>
          </w:tcPr>
          <w:p w14:paraId="513004F0" w14:textId="77777777" w:rsidR="005A5957" w:rsidRPr="009F74EC" w:rsidRDefault="005A5957" w:rsidP="00C30F9D">
            <w:pPr>
              <w:spacing w:before="120"/>
              <w:jc w:val="center"/>
              <w:rPr>
                <w:rFonts w:cs="Arial"/>
                <w:sz w:val="18"/>
                <w:szCs w:val="18"/>
              </w:rPr>
            </w:pPr>
            <w:r w:rsidRPr="009F74EC">
              <w:rPr>
                <w:rFonts w:cs="Arial"/>
                <w:sz w:val="18"/>
                <w:szCs w:val="18"/>
              </w:rPr>
              <w:t>9</w:t>
            </w:r>
          </w:p>
        </w:tc>
        <w:tc>
          <w:tcPr>
            <w:tcW w:w="894" w:type="dxa"/>
            <w:tcBorders>
              <w:top w:val="single" w:sz="6" w:space="0" w:color="auto"/>
              <w:left w:val="single" w:sz="6" w:space="0" w:color="auto"/>
              <w:bottom w:val="nil"/>
              <w:right w:val="single" w:sz="6" w:space="0" w:color="auto"/>
            </w:tcBorders>
            <w:hideMark/>
          </w:tcPr>
          <w:p w14:paraId="3A3A4327" w14:textId="77777777" w:rsidR="005A5957" w:rsidRPr="009F74EC" w:rsidRDefault="005A5957" w:rsidP="00C30F9D">
            <w:pPr>
              <w:spacing w:before="120"/>
              <w:jc w:val="center"/>
              <w:rPr>
                <w:rFonts w:cs="Arial"/>
                <w:sz w:val="18"/>
                <w:szCs w:val="18"/>
              </w:rPr>
            </w:pPr>
            <w:r w:rsidRPr="009F74EC">
              <w:rPr>
                <w:rFonts w:cs="Arial"/>
                <w:sz w:val="18"/>
                <w:szCs w:val="18"/>
              </w:rPr>
              <w:t>6</w:t>
            </w:r>
          </w:p>
        </w:tc>
        <w:tc>
          <w:tcPr>
            <w:tcW w:w="944" w:type="dxa"/>
            <w:tcBorders>
              <w:top w:val="single" w:sz="6" w:space="0" w:color="auto"/>
              <w:left w:val="single" w:sz="6" w:space="0" w:color="auto"/>
              <w:bottom w:val="nil"/>
              <w:right w:val="single" w:sz="12" w:space="0" w:color="auto"/>
            </w:tcBorders>
            <w:shd w:val="clear" w:color="auto" w:fill="D9D9D9"/>
            <w:hideMark/>
          </w:tcPr>
          <w:p w14:paraId="682F1272" w14:textId="77777777" w:rsidR="005A5957" w:rsidRPr="009F74EC" w:rsidRDefault="005A5957" w:rsidP="00C30F9D">
            <w:pPr>
              <w:spacing w:before="120"/>
              <w:jc w:val="center"/>
              <w:rPr>
                <w:rFonts w:cs="Arial"/>
                <w:sz w:val="18"/>
                <w:szCs w:val="18"/>
              </w:rPr>
            </w:pPr>
            <w:r w:rsidRPr="009F74EC">
              <w:rPr>
                <w:rFonts w:cs="Arial"/>
                <w:sz w:val="18"/>
                <w:szCs w:val="18"/>
              </w:rPr>
              <w:t>15</w:t>
            </w:r>
          </w:p>
        </w:tc>
        <w:tc>
          <w:tcPr>
            <w:tcW w:w="993" w:type="dxa"/>
            <w:tcBorders>
              <w:top w:val="single" w:sz="6" w:space="0" w:color="auto"/>
              <w:left w:val="nil"/>
              <w:bottom w:val="nil"/>
              <w:right w:val="single" w:sz="12" w:space="0" w:color="auto"/>
            </w:tcBorders>
            <w:hideMark/>
          </w:tcPr>
          <w:p w14:paraId="70E3931A" w14:textId="77777777" w:rsidR="005A5957" w:rsidRPr="009F74EC" w:rsidRDefault="005A5957" w:rsidP="00C30F9D">
            <w:pPr>
              <w:spacing w:before="120"/>
              <w:jc w:val="center"/>
              <w:rPr>
                <w:rFonts w:cs="Arial"/>
                <w:sz w:val="18"/>
                <w:szCs w:val="18"/>
              </w:rPr>
            </w:pPr>
            <w:r w:rsidRPr="009F74EC">
              <w:rPr>
                <w:rFonts w:cs="Arial"/>
                <w:sz w:val="18"/>
                <w:szCs w:val="18"/>
              </w:rPr>
              <w:t>18</w:t>
            </w:r>
          </w:p>
        </w:tc>
        <w:tc>
          <w:tcPr>
            <w:tcW w:w="1247" w:type="dxa"/>
            <w:tcBorders>
              <w:top w:val="single" w:sz="6" w:space="0" w:color="auto"/>
              <w:left w:val="nil"/>
              <w:bottom w:val="nil"/>
              <w:right w:val="single" w:sz="6" w:space="0" w:color="auto"/>
            </w:tcBorders>
            <w:shd w:val="clear" w:color="auto" w:fill="D9D9D9"/>
            <w:hideMark/>
          </w:tcPr>
          <w:p w14:paraId="658F37AA" w14:textId="77777777" w:rsidR="005A5957" w:rsidRPr="009F74EC" w:rsidRDefault="005A5957" w:rsidP="00C30F9D">
            <w:pPr>
              <w:spacing w:before="120"/>
              <w:jc w:val="center"/>
              <w:rPr>
                <w:rFonts w:cs="Arial"/>
                <w:sz w:val="18"/>
                <w:szCs w:val="18"/>
              </w:rPr>
            </w:pPr>
            <w:r w:rsidRPr="009F74EC">
              <w:rPr>
                <w:rFonts w:cs="Arial"/>
                <w:sz w:val="18"/>
                <w:szCs w:val="18"/>
              </w:rPr>
              <w:t>255</w:t>
            </w:r>
          </w:p>
        </w:tc>
      </w:tr>
      <w:tr w:rsidR="005A5957" w:rsidRPr="009F74EC" w14:paraId="27C5847F" w14:textId="77777777" w:rsidTr="00C938ED">
        <w:trPr>
          <w:gridAfter w:val="1"/>
          <w:wAfter w:w="12" w:type="dxa"/>
        </w:trPr>
        <w:tc>
          <w:tcPr>
            <w:tcW w:w="1630" w:type="dxa"/>
            <w:tcBorders>
              <w:top w:val="single" w:sz="6" w:space="0" w:color="auto"/>
              <w:left w:val="single" w:sz="6" w:space="0" w:color="auto"/>
              <w:bottom w:val="nil"/>
              <w:right w:val="single" w:sz="12" w:space="0" w:color="auto"/>
            </w:tcBorders>
            <w:hideMark/>
          </w:tcPr>
          <w:p w14:paraId="2FC757B2" w14:textId="77777777" w:rsidR="005A5957" w:rsidRPr="009F74EC" w:rsidRDefault="005A5957" w:rsidP="00C30F9D">
            <w:pPr>
              <w:spacing w:before="120"/>
              <w:jc w:val="center"/>
              <w:rPr>
                <w:rFonts w:cs="Arial"/>
                <w:sz w:val="18"/>
                <w:szCs w:val="18"/>
              </w:rPr>
            </w:pPr>
            <w:r w:rsidRPr="009F74EC">
              <w:rPr>
                <w:rFonts w:cs="Arial"/>
                <w:sz w:val="18"/>
                <w:szCs w:val="18"/>
              </w:rPr>
              <w:t>Fruta</w:t>
            </w:r>
          </w:p>
        </w:tc>
        <w:tc>
          <w:tcPr>
            <w:tcW w:w="1052" w:type="dxa"/>
            <w:tcBorders>
              <w:top w:val="single" w:sz="6" w:space="0" w:color="auto"/>
              <w:left w:val="nil"/>
              <w:bottom w:val="nil"/>
              <w:right w:val="single" w:sz="6" w:space="0" w:color="auto"/>
            </w:tcBorders>
            <w:hideMark/>
          </w:tcPr>
          <w:p w14:paraId="0D7C1BF6" w14:textId="77777777" w:rsidR="005A5957" w:rsidRPr="009F74EC" w:rsidRDefault="005A5957" w:rsidP="00C30F9D">
            <w:pPr>
              <w:spacing w:before="120"/>
              <w:jc w:val="center"/>
              <w:rPr>
                <w:rFonts w:cs="Arial"/>
                <w:sz w:val="18"/>
                <w:szCs w:val="18"/>
              </w:rPr>
            </w:pPr>
            <w:r w:rsidRPr="009F74EC">
              <w:rPr>
                <w:rFonts w:cs="Arial"/>
                <w:sz w:val="18"/>
                <w:szCs w:val="18"/>
              </w:rPr>
              <w:t>15</w:t>
            </w:r>
          </w:p>
        </w:tc>
        <w:tc>
          <w:tcPr>
            <w:tcW w:w="894" w:type="dxa"/>
            <w:tcBorders>
              <w:top w:val="single" w:sz="6" w:space="0" w:color="auto"/>
              <w:left w:val="single" w:sz="6" w:space="0" w:color="auto"/>
              <w:bottom w:val="nil"/>
              <w:right w:val="single" w:sz="6" w:space="0" w:color="auto"/>
            </w:tcBorders>
            <w:hideMark/>
          </w:tcPr>
          <w:p w14:paraId="6D496D1A" w14:textId="77777777" w:rsidR="005A5957" w:rsidRPr="009F74EC" w:rsidRDefault="005A5957" w:rsidP="00C30F9D">
            <w:pPr>
              <w:spacing w:before="120"/>
              <w:jc w:val="center"/>
              <w:rPr>
                <w:rFonts w:cs="Arial"/>
                <w:sz w:val="18"/>
                <w:szCs w:val="18"/>
              </w:rPr>
            </w:pPr>
            <w:r w:rsidRPr="009F74EC">
              <w:rPr>
                <w:rFonts w:cs="Arial"/>
                <w:sz w:val="18"/>
                <w:szCs w:val="18"/>
              </w:rPr>
              <w:t>1</w:t>
            </w:r>
          </w:p>
        </w:tc>
        <w:tc>
          <w:tcPr>
            <w:tcW w:w="897" w:type="dxa"/>
            <w:tcBorders>
              <w:top w:val="single" w:sz="6" w:space="0" w:color="auto"/>
              <w:left w:val="single" w:sz="6" w:space="0" w:color="auto"/>
              <w:bottom w:val="nil"/>
              <w:right w:val="single" w:sz="12" w:space="0" w:color="auto"/>
            </w:tcBorders>
            <w:shd w:val="clear" w:color="auto" w:fill="D9D9D9"/>
            <w:hideMark/>
          </w:tcPr>
          <w:p w14:paraId="34EB7C40" w14:textId="77777777" w:rsidR="005A5957" w:rsidRPr="009F74EC" w:rsidRDefault="005A5957" w:rsidP="00C30F9D">
            <w:pPr>
              <w:spacing w:before="120"/>
              <w:jc w:val="center"/>
              <w:rPr>
                <w:rFonts w:cs="Arial"/>
                <w:sz w:val="18"/>
                <w:szCs w:val="18"/>
              </w:rPr>
            </w:pPr>
            <w:r w:rsidRPr="009F74EC">
              <w:rPr>
                <w:rFonts w:cs="Arial"/>
                <w:sz w:val="18"/>
                <w:szCs w:val="18"/>
              </w:rPr>
              <w:t>16</w:t>
            </w:r>
          </w:p>
        </w:tc>
        <w:tc>
          <w:tcPr>
            <w:tcW w:w="1052" w:type="dxa"/>
            <w:tcBorders>
              <w:top w:val="single" w:sz="6" w:space="0" w:color="auto"/>
              <w:left w:val="nil"/>
              <w:bottom w:val="nil"/>
              <w:right w:val="single" w:sz="6" w:space="0" w:color="auto"/>
            </w:tcBorders>
            <w:hideMark/>
          </w:tcPr>
          <w:p w14:paraId="490A7C31" w14:textId="77777777" w:rsidR="005A5957" w:rsidRPr="009F74EC" w:rsidRDefault="005A5957" w:rsidP="00C30F9D">
            <w:pPr>
              <w:pStyle w:val="Footer"/>
              <w:tabs>
                <w:tab w:val="left" w:pos="708"/>
              </w:tabs>
              <w:spacing w:before="120"/>
              <w:jc w:val="center"/>
              <w:rPr>
                <w:rFonts w:cs="Arial"/>
                <w:sz w:val="18"/>
                <w:szCs w:val="18"/>
                <w:lang w:val="es-ES_tradnl"/>
              </w:rPr>
            </w:pPr>
            <w:r w:rsidRPr="009F74EC">
              <w:rPr>
                <w:rFonts w:cs="Arial"/>
                <w:sz w:val="18"/>
                <w:szCs w:val="18"/>
                <w:lang w:val="es-ES_tradnl"/>
              </w:rPr>
              <w:t>4</w:t>
            </w:r>
          </w:p>
        </w:tc>
        <w:tc>
          <w:tcPr>
            <w:tcW w:w="894" w:type="dxa"/>
            <w:tcBorders>
              <w:top w:val="single" w:sz="6" w:space="0" w:color="auto"/>
              <w:left w:val="single" w:sz="6" w:space="0" w:color="auto"/>
              <w:bottom w:val="nil"/>
              <w:right w:val="single" w:sz="6" w:space="0" w:color="auto"/>
            </w:tcBorders>
            <w:hideMark/>
          </w:tcPr>
          <w:p w14:paraId="324B2E95" w14:textId="77777777" w:rsidR="005A5957" w:rsidRPr="009F74EC" w:rsidRDefault="005A5957" w:rsidP="00C30F9D">
            <w:pPr>
              <w:spacing w:before="120"/>
              <w:jc w:val="center"/>
              <w:rPr>
                <w:rFonts w:cs="Arial"/>
                <w:sz w:val="18"/>
                <w:szCs w:val="18"/>
              </w:rPr>
            </w:pPr>
            <w:r w:rsidRPr="009F74EC">
              <w:rPr>
                <w:rFonts w:cs="Arial"/>
                <w:sz w:val="18"/>
                <w:szCs w:val="18"/>
              </w:rPr>
              <w:t>1</w:t>
            </w:r>
          </w:p>
        </w:tc>
        <w:tc>
          <w:tcPr>
            <w:tcW w:w="944" w:type="dxa"/>
            <w:tcBorders>
              <w:top w:val="single" w:sz="6" w:space="0" w:color="auto"/>
              <w:left w:val="single" w:sz="6" w:space="0" w:color="auto"/>
              <w:bottom w:val="nil"/>
              <w:right w:val="single" w:sz="12" w:space="0" w:color="auto"/>
            </w:tcBorders>
            <w:shd w:val="clear" w:color="auto" w:fill="D9D9D9"/>
            <w:hideMark/>
          </w:tcPr>
          <w:p w14:paraId="0946C840" w14:textId="77777777" w:rsidR="005A5957" w:rsidRPr="009F74EC" w:rsidRDefault="005A5957" w:rsidP="00C30F9D">
            <w:pPr>
              <w:spacing w:before="120"/>
              <w:jc w:val="center"/>
              <w:rPr>
                <w:rFonts w:cs="Arial"/>
                <w:sz w:val="18"/>
                <w:szCs w:val="18"/>
              </w:rPr>
            </w:pPr>
            <w:r w:rsidRPr="009F74EC">
              <w:rPr>
                <w:rFonts w:cs="Arial"/>
                <w:sz w:val="18"/>
                <w:szCs w:val="18"/>
              </w:rPr>
              <w:t>5</w:t>
            </w:r>
          </w:p>
        </w:tc>
        <w:tc>
          <w:tcPr>
            <w:tcW w:w="993" w:type="dxa"/>
            <w:tcBorders>
              <w:top w:val="single" w:sz="6" w:space="0" w:color="auto"/>
              <w:left w:val="nil"/>
              <w:bottom w:val="nil"/>
              <w:right w:val="single" w:sz="12" w:space="0" w:color="auto"/>
            </w:tcBorders>
            <w:hideMark/>
          </w:tcPr>
          <w:p w14:paraId="7B7CE29D" w14:textId="77777777" w:rsidR="005A5957" w:rsidRPr="009F74EC" w:rsidRDefault="005A5957" w:rsidP="00C30F9D">
            <w:pPr>
              <w:spacing w:before="120"/>
              <w:jc w:val="center"/>
              <w:rPr>
                <w:rFonts w:cs="Arial"/>
                <w:sz w:val="18"/>
                <w:szCs w:val="18"/>
              </w:rPr>
            </w:pPr>
            <w:r w:rsidRPr="009F74EC">
              <w:rPr>
                <w:rFonts w:cs="Arial"/>
                <w:sz w:val="18"/>
                <w:szCs w:val="18"/>
              </w:rPr>
              <w:t>10</w:t>
            </w:r>
          </w:p>
        </w:tc>
        <w:tc>
          <w:tcPr>
            <w:tcW w:w="1247" w:type="dxa"/>
            <w:tcBorders>
              <w:top w:val="single" w:sz="6" w:space="0" w:color="auto"/>
              <w:left w:val="nil"/>
              <w:bottom w:val="nil"/>
              <w:right w:val="single" w:sz="6" w:space="0" w:color="auto"/>
            </w:tcBorders>
            <w:shd w:val="clear" w:color="auto" w:fill="D9D9D9"/>
            <w:hideMark/>
          </w:tcPr>
          <w:p w14:paraId="010E970D" w14:textId="77777777" w:rsidR="005A5957" w:rsidRPr="009F74EC" w:rsidRDefault="005A5957" w:rsidP="00C30F9D">
            <w:pPr>
              <w:spacing w:before="120"/>
              <w:jc w:val="center"/>
              <w:rPr>
                <w:rFonts w:cs="Arial"/>
                <w:sz w:val="18"/>
                <w:szCs w:val="18"/>
              </w:rPr>
            </w:pPr>
            <w:r w:rsidRPr="009F74EC">
              <w:rPr>
                <w:rFonts w:cs="Arial"/>
                <w:sz w:val="18"/>
                <w:szCs w:val="18"/>
              </w:rPr>
              <w:t>119</w:t>
            </w:r>
          </w:p>
        </w:tc>
      </w:tr>
      <w:tr w:rsidR="00C938ED" w:rsidRPr="009F74EC" w14:paraId="0F9F9E75" w14:textId="77777777" w:rsidTr="00C938ED">
        <w:trPr>
          <w:gridAfter w:val="1"/>
          <w:wAfter w:w="12" w:type="dxa"/>
        </w:trPr>
        <w:tc>
          <w:tcPr>
            <w:tcW w:w="1630" w:type="dxa"/>
            <w:tcBorders>
              <w:top w:val="single" w:sz="12" w:space="0" w:color="auto"/>
              <w:left w:val="single" w:sz="6" w:space="0" w:color="auto"/>
              <w:bottom w:val="single" w:sz="6" w:space="0" w:color="auto"/>
              <w:right w:val="single" w:sz="12" w:space="0" w:color="auto"/>
            </w:tcBorders>
            <w:shd w:val="clear" w:color="auto" w:fill="FFFFFF"/>
            <w:hideMark/>
          </w:tcPr>
          <w:p w14:paraId="5F78CD82" w14:textId="77777777" w:rsidR="005A5957" w:rsidRPr="009F74EC" w:rsidRDefault="005A5957" w:rsidP="00C30F9D">
            <w:pPr>
              <w:spacing w:before="120"/>
              <w:jc w:val="center"/>
              <w:rPr>
                <w:rFonts w:cs="Arial"/>
                <w:sz w:val="18"/>
                <w:szCs w:val="18"/>
              </w:rPr>
            </w:pPr>
            <w:r w:rsidRPr="009F74EC">
              <w:rPr>
                <w:rFonts w:cs="Arial"/>
                <w:b/>
                <w:sz w:val="18"/>
                <w:szCs w:val="18"/>
              </w:rPr>
              <w:t>Total</w:t>
            </w:r>
          </w:p>
        </w:tc>
        <w:tc>
          <w:tcPr>
            <w:tcW w:w="1052" w:type="dxa"/>
            <w:tcBorders>
              <w:top w:val="single" w:sz="12" w:space="0" w:color="auto"/>
              <w:left w:val="nil"/>
              <w:bottom w:val="single" w:sz="6" w:space="0" w:color="auto"/>
              <w:right w:val="single" w:sz="6" w:space="0" w:color="auto"/>
            </w:tcBorders>
            <w:shd w:val="clear" w:color="auto" w:fill="D9D9D9"/>
            <w:hideMark/>
          </w:tcPr>
          <w:p w14:paraId="3870E39C" w14:textId="77777777" w:rsidR="005A5957" w:rsidRPr="009F74EC" w:rsidRDefault="005A5957" w:rsidP="00C30F9D">
            <w:pPr>
              <w:spacing w:before="120"/>
              <w:jc w:val="center"/>
              <w:rPr>
                <w:rFonts w:cs="Arial"/>
                <w:b/>
                <w:sz w:val="18"/>
                <w:szCs w:val="18"/>
              </w:rPr>
            </w:pPr>
            <w:r w:rsidRPr="009F74EC">
              <w:rPr>
                <w:rFonts w:cs="Arial"/>
                <w:b/>
                <w:sz w:val="18"/>
                <w:szCs w:val="18"/>
              </w:rPr>
              <w:t>57</w:t>
            </w:r>
          </w:p>
        </w:tc>
        <w:tc>
          <w:tcPr>
            <w:tcW w:w="894" w:type="dxa"/>
            <w:tcBorders>
              <w:top w:val="single" w:sz="12" w:space="0" w:color="auto"/>
              <w:left w:val="single" w:sz="6" w:space="0" w:color="auto"/>
              <w:bottom w:val="single" w:sz="6" w:space="0" w:color="auto"/>
              <w:right w:val="single" w:sz="6" w:space="0" w:color="auto"/>
            </w:tcBorders>
            <w:shd w:val="clear" w:color="auto" w:fill="D9D9D9"/>
            <w:hideMark/>
          </w:tcPr>
          <w:p w14:paraId="5DD89EB4" w14:textId="77777777" w:rsidR="005A5957" w:rsidRPr="009F74EC" w:rsidRDefault="005A5957" w:rsidP="00C30F9D">
            <w:pPr>
              <w:spacing w:before="120"/>
              <w:jc w:val="center"/>
              <w:rPr>
                <w:rFonts w:cs="Arial"/>
                <w:b/>
                <w:sz w:val="18"/>
                <w:szCs w:val="18"/>
              </w:rPr>
            </w:pPr>
            <w:r w:rsidRPr="009F74EC">
              <w:rPr>
                <w:rFonts w:cs="Arial"/>
                <w:b/>
                <w:sz w:val="18"/>
                <w:szCs w:val="18"/>
              </w:rPr>
              <w:t>24</w:t>
            </w:r>
          </w:p>
        </w:tc>
        <w:tc>
          <w:tcPr>
            <w:tcW w:w="897" w:type="dxa"/>
            <w:tcBorders>
              <w:top w:val="single" w:sz="12" w:space="0" w:color="auto"/>
              <w:left w:val="single" w:sz="6" w:space="0" w:color="auto"/>
              <w:bottom w:val="single" w:sz="6" w:space="0" w:color="auto"/>
              <w:right w:val="single" w:sz="12" w:space="0" w:color="auto"/>
            </w:tcBorders>
            <w:shd w:val="clear" w:color="auto" w:fill="D9D9D9"/>
            <w:hideMark/>
          </w:tcPr>
          <w:p w14:paraId="5A4D40B9" w14:textId="77777777" w:rsidR="005A5957" w:rsidRPr="009F74EC" w:rsidRDefault="005A5957" w:rsidP="00C30F9D">
            <w:pPr>
              <w:spacing w:before="120"/>
              <w:jc w:val="center"/>
              <w:rPr>
                <w:rFonts w:cs="Arial"/>
                <w:b/>
                <w:sz w:val="18"/>
                <w:szCs w:val="18"/>
              </w:rPr>
            </w:pPr>
            <w:r w:rsidRPr="009F74EC">
              <w:rPr>
                <w:rFonts w:cs="Arial"/>
                <w:b/>
                <w:sz w:val="18"/>
                <w:szCs w:val="18"/>
              </w:rPr>
              <w:t>81</w:t>
            </w:r>
          </w:p>
        </w:tc>
        <w:tc>
          <w:tcPr>
            <w:tcW w:w="1052" w:type="dxa"/>
            <w:tcBorders>
              <w:top w:val="single" w:sz="12" w:space="0" w:color="auto"/>
              <w:left w:val="nil"/>
              <w:bottom w:val="single" w:sz="6" w:space="0" w:color="auto"/>
              <w:right w:val="single" w:sz="6" w:space="0" w:color="auto"/>
            </w:tcBorders>
            <w:shd w:val="clear" w:color="auto" w:fill="D9D9D9"/>
            <w:hideMark/>
          </w:tcPr>
          <w:p w14:paraId="60B8D12C" w14:textId="77777777" w:rsidR="005A5957" w:rsidRPr="009F74EC" w:rsidRDefault="005A5957" w:rsidP="00C30F9D">
            <w:pPr>
              <w:spacing w:before="120"/>
              <w:jc w:val="center"/>
              <w:rPr>
                <w:rFonts w:cs="Arial"/>
                <w:b/>
                <w:sz w:val="18"/>
                <w:szCs w:val="18"/>
              </w:rPr>
            </w:pPr>
            <w:r w:rsidRPr="009F74EC">
              <w:rPr>
                <w:rFonts w:cs="Arial"/>
                <w:b/>
                <w:sz w:val="18"/>
                <w:szCs w:val="18"/>
              </w:rPr>
              <w:t>47</w:t>
            </w:r>
          </w:p>
        </w:tc>
        <w:tc>
          <w:tcPr>
            <w:tcW w:w="894" w:type="dxa"/>
            <w:tcBorders>
              <w:top w:val="single" w:sz="12" w:space="0" w:color="auto"/>
              <w:left w:val="single" w:sz="6" w:space="0" w:color="auto"/>
              <w:bottom w:val="single" w:sz="6" w:space="0" w:color="auto"/>
              <w:right w:val="single" w:sz="6" w:space="0" w:color="auto"/>
            </w:tcBorders>
            <w:shd w:val="clear" w:color="auto" w:fill="D9D9D9"/>
            <w:hideMark/>
          </w:tcPr>
          <w:p w14:paraId="2D3D6844" w14:textId="77777777" w:rsidR="005A5957" w:rsidRPr="009F74EC" w:rsidRDefault="005A5957" w:rsidP="00C30F9D">
            <w:pPr>
              <w:spacing w:before="120"/>
              <w:jc w:val="center"/>
              <w:rPr>
                <w:rFonts w:cs="Arial"/>
                <w:b/>
                <w:sz w:val="18"/>
                <w:szCs w:val="18"/>
              </w:rPr>
            </w:pPr>
            <w:r w:rsidRPr="009F74EC">
              <w:rPr>
                <w:rFonts w:cs="Arial"/>
                <w:b/>
                <w:sz w:val="18"/>
                <w:szCs w:val="18"/>
              </w:rPr>
              <w:t>9</w:t>
            </w:r>
          </w:p>
        </w:tc>
        <w:tc>
          <w:tcPr>
            <w:tcW w:w="944" w:type="dxa"/>
            <w:tcBorders>
              <w:top w:val="single" w:sz="12" w:space="0" w:color="auto"/>
              <w:left w:val="single" w:sz="6" w:space="0" w:color="auto"/>
              <w:bottom w:val="single" w:sz="6" w:space="0" w:color="auto"/>
              <w:right w:val="single" w:sz="12" w:space="0" w:color="auto"/>
            </w:tcBorders>
            <w:shd w:val="clear" w:color="auto" w:fill="D9D9D9"/>
            <w:hideMark/>
          </w:tcPr>
          <w:p w14:paraId="27D5C608" w14:textId="77777777" w:rsidR="005A5957" w:rsidRPr="009F74EC" w:rsidRDefault="005A5957" w:rsidP="00C30F9D">
            <w:pPr>
              <w:spacing w:before="120"/>
              <w:jc w:val="center"/>
              <w:rPr>
                <w:rFonts w:cs="Arial"/>
                <w:b/>
                <w:sz w:val="18"/>
                <w:szCs w:val="18"/>
              </w:rPr>
            </w:pPr>
            <w:r w:rsidRPr="009F74EC">
              <w:rPr>
                <w:rFonts w:cs="Arial"/>
                <w:b/>
                <w:sz w:val="18"/>
                <w:szCs w:val="18"/>
              </w:rPr>
              <w:t>56</w:t>
            </w:r>
          </w:p>
        </w:tc>
        <w:tc>
          <w:tcPr>
            <w:tcW w:w="993" w:type="dxa"/>
            <w:tcBorders>
              <w:top w:val="single" w:sz="12" w:space="0" w:color="auto"/>
              <w:left w:val="nil"/>
              <w:bottom w:val="single" w:sz="6" w:space="0" w:color="auto"/>
              <w:right w:val="single" w:sz="12" w:space="0" w:color="auto"/>
            </w:tcBorders>
            <w:shd w:val="clear" w:color="auto" w:fill="D9D9D9"/>
            <w:hideMark/>
          </w:tcPr>
          <w:p w14:paraId="4F1AE5C4" w14:textId="77777777" w:rsidR="005A5957" w:rsidRPr="009F74EC" w:rsidRDefault="005A5957" w:rsidP="00C30F9D">
            <w:pPr>
              <w:spacing w:before="120"/>
              <w:jc w:val="center"/>
              <w:rPr>
                <w:rFonts w:cs="Arial"/>
                <w:b/>
                <w:sz w:val="18"/>
                <w:szCs w:val="18"/>
              </w:rPr>
            </w:pPr>
            <w:r w:rsidRPr="009F74EC">
              <w:rPr>
                <w:rFonts w:cs="Arial"/>
                <w:b/>
                <w:sz w:val="18"/>
                <w:szCs w:val="18"/>
              </w:rPr>
              <w:t>45</w:t>
            </w:r>
          </w:p>
        </w:tc>
        <w:tc>
          <w:tcPr>
            <w:tcW w:w="1247" w:type="dxa"/>
            <w:tcBorders>
              <w:top w:val="single" w:sz="12" w:space="0" w:color="auto"/>
              <w:left w:val="nil"/>
              <w:bottom w:val="single" w:sz="6" w:space="0" w:color="auto"/>
              <w:right w:val="single" w:sz="6" w:space="0" w:color="auto"/>
            </w:tcBorders>
            <w:shd w:val="clear" w:color="auto" w:fill="D9D9D9"/>
            <w:hideMark/>
          </w:tcPr>
          <w:p w14:paraId="55ED6745" w14:textId="77777777" w:rsidR="005A5957" w:rsidRPr="009F74EC" w:rsidRDefault="005A5957" w:rsidP="00C30F9D">
            <w:pPr>
              <w:spacing w:before="120"/>
              <w:jc w:val="center"/>
              <w:rPr>
                <w:rFonts w:cs="Arial"/>
                <w:b/>
                <w:sz w:val="18"/>
                <w:szCs w:val="18"/>
              </w:rPr>
            </w:pPr>
            <w:r w:rsidRPr="009F74EC">
              <w:rPr>
                <w:rFonts w:cs="Arial"/>
                <w:b/>
                <w:sz w:val="18"/>
                <w:szCs w:val="18"/>
              </w:rPr>
              <w:t>1328</w:t>
            </w:r>
          </w:p>
        </w:tc>
      </w:tr>
    </w:tbl>
    <w:p w14:paraId="798EA08E" w14:textId="77777777" w:rsidR="005A5957" w:rsidRPr="009F74EC" w:rsidRDefault="005A5957" w:rsidP="005A5957">
      <w:pPr>
        <w:tabs>
          <w:tab w:val="left" w:pos="4962"/>
        </w:tabs>
        <w:rPr>
          <w:rFonts w:cs="Arial"/>
          <w:u w:val="single"/>
        </w:rPr>
      </w:pPr>
    </w:p>
    <w:p w14:paraId="6FB24E4F" w14:textId="77777777" w:rsidR="005A5957" w:rsidRPr="009F74EC" w:rsidRDefault="005A5957" w:rsidP="005A5957">
      <w:pPr>
        <w:tabs>
          <w:tab w:val="left" w:pos="4962"/>
        </w:tabs>
        <w:rPr>
          <w:rFonts w:cs="Arial"/>
          <w:u w:val="single"/>
        </w:rPr>
      </w:pPr>
    </w:p>
    <w:p w14:paraId="26732E1A" w14:textId="77777777" w:rsidR="005A5957" w:rsidRPr="009F74EC" w:rsidRDefault="005A5957" w:rsidP="005A5957">
      <w:pPr>
        <w:keepNext/>
        <w:tabs>
          <w:tab w:val="left" w:pos="567"/>
          <w:tab w:val="left" w:pos="4962"/>
        </w:tabs>
        <w:rPr>
          <w:rFonts w:cs="Arial"/>
          <w:u w:val="single"/>
        </w:rPr>
      </w:pPr>
      <w:r w:rsidRPr="009F74EC">
        <w:rPr>
          <w:rFonts w:cs="Arial"/>
        </w:rPr>
        <w:t>5.</w:t>
      </w:r>
      <w:r w:rsidRPr="009F74EC">
        <w:rPr>
          <w:rFonts w:cs="Arial"/>
        </w:rPr>
        <w:tab/>
      </w:r>
      <w:r w:rsidRPr="009F74EC">
        <w:rPr>
          <w:rFonts w:cs="Arial"/>
          <w:u w:val="single"/>
        </w:rPr>
        <w:t>Actividades de fomento de la protección de las obtenciones vegetales</w:t>
      </w:r>
    </w:p>
    <w:p w14:paraId="2BBC6999" w14:textId="77777777" w:rsidR="005A5957" w:rsidRPr="009F74EC" w:rsidRDefault="005A5957" w:rsidP="005A5957">
      <w:pPr>
        <w:keepNext/>
        <w:tabs>
          <w:tab w:val="left" w:pos="567"/>
          <w:tab w:val="left" w:pos="4962"/>
        </w:tabs>
        <w:rPr>
          <w:rFonts w:cs="Arial"/>
          <w:u w:val="single"/>
        </w:rPr>
      </w:pPr>
    </w:p>
    <w:p w14:paraId="762BD75D" w14:textId="77777777" w:rsidR="005A5957" w:rsidRPr="009F74EC" w:rsidRDefault="005A5957" w:rsidP="005A5957">
      <w:pPr>
        <w:pStyle w:val="BodyText"/>
        <w:rPr>
          <w:rFonts w:cs="Arial"/>
        </w:rPr>
      </w:pPr>
      <w:r w:rsidRPr="009F74EC">
        <w:rPr>
          <w:rFonts w:cs="Arial"/>
        </w:rPr>
        <w:t xml:space="preserve">Representantes de Polonia participan regularmente en las sesiones de los órganos de la UPOV y en los Grupos de Trabajo Técnico de la UPOV. </w:t>
      </w:r>
    </w:p>
    <w:p w14:paraId="0AF20140" w14:textId="77777777" w:rsidR="005A5957" w:rsidRPr="009F74EC" w:rsidRDefault="005A5957" w:rsidP="005A5957">
      <w:pPr>
        <w:pStyle w:val="BodyText"/>
        <w:rPr>
          <w:rFonts w:cs="Arial"/>
        </w:rPr>
      </w:pPr>
    </w:p>
    <w:p w14:paraId="0126AE79" w14:textId="77777777" w:rsidR="005A5957" w:rsidRPr="009F74EC" w:rsidRDefault="005A5957" w:rsidP="005A5957">
      <w:pPr>
        <w:pStyle w:val="BodyText"/>
        <w:rPr>
          <w:rFonts w:cs="Arial"/>
        </w:rPr>
      </w:pPr>
      <w:r w:rsidRPr="009F74EC">
        <w:rPr>
          <w:rFonts w:cs="Arial"/>
        </w:rPr>
        <w:t>Además, representantes polacos participan en las reuniones del Comité Permanente de la DG SANTE de Bruselas, así como en las reuniones del Consejo de Administración de la OCVV.</w:t>
      </w:r>
    </w:p>
    <w:p w14:paraId="4400109A" w14:textId="77777777" w:rsidR="005A5957" w:rsidRPr="009F74EC" w:rsidRDefault="005A5957" w:rsidP="005A5957">
      <w:pPr>
        <w:tabs>
          <w:tab w:val="left" w:pos="4962"/>
        </w:tabs>
        <w:rPr>
          <w:rFonts w:cs="Arial"/>
        </w:rPr>
      </w:pPr>
    </w:p>
    <w:p w14:paraId="5189CA13" w14:textId="77777777" w:rsidR="005A5957" w:rsidRPr="009F74EC" w:rsidRDefault="005A5957" w:rsidP="005A5957">
      <w:pPr>
        <w:tabs>
          <w:tab w:val="left" w:pos="4962"/>
        </w:tabs>
        <w:rPr>
          <w:rFonts w:cs="Arial"/>
          <w:color w:val="000000" w:themeColor="text1"/>
        </w:rPr>
      </w:pPr>
      <w:r w:rsidRPr="009F74EC">
        <w:rPr>
          <w:rFonts w:cs="Arial"/>
          <w:color w:val="000000" w:themeColor="text1"/>
        </w:rPr>
        <w:t xml:space="preserve">Durante el período que abarca el informe, un experto del COBORU completó con éxito el curso de enseñanza a distancia de la UPOV "Introducción al sistema de la UPOV de protección de las variedades vegetales en virtud del Convenio de la UPOV" (DL-205). </w:t>
      </w:r>
    </w:p>
    <w:p w14:paraId="2E1A0FF3" w14:textId="77777777" w:rsidR="005A5957" w:rsidRPr="009F74EC" w:rsidRDefault="005A5957" w:rsidP="005A5957">
      <w:pPr>
        <w:tabs>
          <w:tab w:val="left" w:pos="4962"/>
        </w:tabs>
        <w:rPr>
          <w:rFonts w:cs="Arial"/>
        </w:rPr>
      </w:pPr>
    </w:p>
    <w:p w14:paraId="38E296F9" w14:textId="77777777" w:rsidR="005A5957" w:rsidRPr="009F74EC" w:rsidRDefault="005A5957" w:rsidP="005A5957">
      <w:pPr>
        <w:pStyle w:val="BodyText"/>
        <w:tabs>
          <w:tab w:val="left" w:pos="567"/>
        </w:tabs>
        <w:rPr>
          <w:rFonts w:cs="Arial"/>
          <w:i/>
          <w:iCs/>
        </w:rPr>
      </w:pPr>
      <w:r w:rsidRPr="009F74EC">
        <w:rPr>
          <w:rFonts w:cs="Arial"/>
          <w:i/>
          <w:iCs/>
        </w:rPr>
        <w:t>Publicaciones</w:t>
      </w:r>
    </w:p>
    <w:p w14:paraId="67C6A30D" w14:textId="77777777" w:rsidR="005A5957" w:rsidRPr="009F74EC" w:rsidRDefault="005A5957" w:rsidP="005A5957">
      <w:pPr>
        <w:pStyle w:val="BodyText"/>
        <w:rPr>
          <w:rFonts w:cs="Arial"/>
          <w:u w:val="single"/>
        </w:rPr>
      </w:pPr>
    </w:p>
    <w:p w14:paraId="4A6A0655" w14:textId="77777777" w:rsidR="005A5957" w:rsidRPr="009F74EC" w:rsidRDefault="005A5957" w:rsidP="005A5957">
      <w:pPr>
        <w:pStyle w:val="BodyText"/>
        <w:rPr>
          <w:rFonts w:cs="Arial"/>
        </w:rPr>
      </w:pPr>
      <w:r w:rsidRPr="009F74EC">
        <w:rPr>
          <w:rFonts w:cs="Arial"/>
        </w:rPr>
        <w:t xml:space="preserve">El COBORU publica cada dos meses la </w:t>
      </w:r>
      <w:r w:rsidRPr="009F74EC">
        <w:rPr>
          <w:rFonts w:cs="Arial"/>
          <w:i/>
          <w:iCs/>
        </w:rPr>
        <w:t xml:space="preserve">Gaceta Polaca de Derechos de Obtentor y Lista Nacional </w:t>
      </w:r>
      <w:r w:rsidRPr="009F74EC">
        <w:rPr>
          <w:rFonts w:cs="Arial"/>
        </w:rPr>
        <w:t>(</w:t>
      </w:r>
      <w:proofErr w:type="spellStart"/>
      <w:r w:rsidRPr="009F74EC">
        <w:rPr>
          <w:rFonts w:cs="Arial"/>
        </w:rPr>
        <w:t>Diariusz</w:t>
      </w:r>
      <w:proofErr w:type="spellEnd"/>
      <w:r w:rsidRPr="009F74EC">
        <w:rPr>
          <w:rFonts w:cs="Arial"/>
        </w:rPr>
        <w:t xml:space="preserve">), que contiene información detallada sobre la protección nacional de los derechos de obtentor y los sistemas de listas nacionales. </w:t>
      </w:r>
    </w:p>
    <w:p w14:paraId="6081D833" w14:textId="77777777" w:rsidR="005A5957" w:rsidRPr="009F74EC" w:rsidRDefault="005A5957" w:rsidP="005A5957">
      <w:pPr>
        <w:pStyle w:val="BodyText"/>
        <w:rPr>
          <w:rFonts w:cs="Arial"/>
        </w:rPr>
      </w:pPr>
    </w:p>
    <w:p w14:paraId="704FF6E3" w14:textId="77777777" w:rsidR="005A5957" w:rsidRPr="009F74EC" w:rsidRDefault="005A5957" w:rsidP="005A5957">
      <w:pPr>
        <w:pStyle w:val="BodyText"/>
        <w:rPr>
          <w:rFonts w:cs="Arial"/>
        </w:rPr>
      </w:pPr>
      <w:r w:rsidRPr="009F74EC">
        <w:rPr>
          <w:rFonts w:cs="Arial"/>
        </w:rPr>
        <w:t xml:space="preserve">La lista de variedades protegidas por derechos de obtentor nacionales (incluidos los derechos de obtentor provisionales), a 30 de junio de 2023, se ha publicado en el tercer número de la </w:t>
      </w:r>
      <w:r w:rsidRPr="009F74EC">
        <w:rPr>
          <w:rFonts w:cs="Arial"/>
          <w:i/>
          <w:iCs/>
        </w:rPr>
        <w:t>Gaceta Polaca de Derechos de Obtentor y Lista Nacional</w:t>
      </w:r>
      <w:r w:rsidRPr="009F74EC">
        <w:rPr>
          <w:rFonts w:cs="Arial"/>
          <w:iCs/>
        </w:rPr>
        <w:t xml:space="preserve">, </w:t>
      </w:r>
      <w:r w:rsidRPr="009F74EC">
        <w:rPr>
          <w:rFonts w:cs="Arial"/>
          <w:i/>
          <w:iCs/>
        </w:rPr>
        <w:t xml:space="preserve">es </w:t>
      </w:r>
      <w:r w:rsidRPr="009F74EC">
        <w:rPr>
          <w:rFonts w:cs="Arial"/>
          <w:iCs/>
        </w:rPr>
        <w:t xml:space="preserve">decir, </w:t>
      </w:r>
      <w:r w:rsidRPr="009F74EC">
        <w:rPr>
          <w:rFonts w:cs="Arial"/>
        </w:rPr>
        <w:t>el número 3(176)2023.</w:t>
      </w:r>
    </w:p>
    <w:p w14:paraId="46BF64EA" w14:textId="77777777" w:rsidR="005A5957" w:rsidRPr="009F74EC" w:rsidRDefault="005A5957" w:rsidP="005A5957">
      <w:pPr>
        <w:pStyle w:val="BodyText"/>
        <w:rPr>
          <w:rFonts w:cs="Arial"/>
        </w:rPr>
      </w:pPr>
    </w:p>
    <w:p w14:paraId="378F47FD" w14:textId="77777777" w:rsidR="005A5957" w:rsidRPr="009F74EC" w:rsidRDefault="005A5957" w:rsidP="005A5957">
      <w:pPr>
        <w:pStyle w:val="BodyText"/>
        <w:rPr>
          <w:rFonts w:cs="Arial"/>
        </w:rPr>
      </w:pPr>
      <w:r w:rsidRPr="009F74EC">
        <w:rPr>
          <w:rFonts w:cs="Arial"/>
        </w:rPr>
        <w:t xml:space="preserve">El Boletín Oficial también puede consultarse en nuestro sitio web, en la sección: </w:t>
      </w:r>
      <w:r w:rsidRPr="009F74EC">
        <w:rPr>
          <w:rFonts w:cs="Arial"/>
          <w:i/>
          <w:iCs/>
        </w:rPr>
        <w:t>Publicaciones</w:t>
      </w:r>
      <w:r w:rsidRPr="009F74EC">
        <w:rPr>
          <w:rFonts w:cs="Arial"/>
        </w:rPr>
        <w:t>.</w:t>
      </w:r>
    </w:p>
    <w:p w14:paraId="0EC98CBB" w14:textId="77777777" w:rsidR="005A5957" w:rsidRPr="009F74EC" w:rsidRDefault="005A5957" w:rsidP="005A5957">
      <w:pPr>
        <w:pStyle w:val="BodyText"/>
        <w:rPr>
          <w:rFonts w:cs="Arial"/>
        </w:rPr>
      </w:pPr>
    </w:p>
    <w:p w14:paraId="652890E9" w14:textId="77777777" w:rsidR="005A5957" w:rsidRPr="009F74EC" w:rsidRDefault="005A5957" w:rsidP="005A5957">
      <w:pPr>
        <w:pStyle w:val="BodyText"/>
        <w:rPr>
          <w:rFonts w:cs="Arial"/>
        </w:rPr>
      </w:pPr>
      <w:r w:rsidRPr="009F74EC">
        <w:rPr>
          <w:rFonts w:cs="Arial"/>
        </w:rPr>
        <w:t xml:space="preserve">Además, el Centro de Investigación para el Ensayo de Cultivares mantiene y actualiza sistemáticamente una página web </w:t>
      </w:r>
      <w:hyperlink r:id="rId36" w:history="1">
        <w:r w:rsidRPr="009F74EC">
          <w:rPr>
            <w:rStyle w:val="Hyperlink"/>
          </w:rPr>
          <w:t>www.coboru.gov.pl</w:t>
        </w:r>
      </w:hyperlink>
      <w:r w:rsidRPr="009F74EC">
        <w:rPr>
          <w:rFonts w:cs="Arial"/>
        </w:rPr>
        <w:t xml:space="preserve"> que contiene la información oficial sobre cuestiones de protección de las obtenciones vegetales en Polonia.</w:t>
      </w:r>
    </w:p>
    <w:p w14:paraId="604C3693" w14:textId="77777777" w:rsidR="005A5957" w:rsidRPr="009F74EC" w:rsidRDefault="005A5957" w:rsidP="005A5957">
      <w:pPr>
        <w:tabs>
          <w:tab w:val="left" w:pos="4962"/>
        </w:tabs>
        <w:rPr>
          <w:rFonts w:cs="Arial"/>
        </w:rPr>
      </w:pPr>
    </w:p>
    <w:p w14:paraId="66D68FE0" w14:textId="77777777" w:rsidR="005A5957" w:rsidRPr="009F74EC" w:rsidRDefault="005A5957" w:rsidP="005A5957">
      <w:pPr>
        <w:tabs>
          <w:tab w:val="left" w:pos="4962"/>
        </w:tabs>
        <w:rPr>
          <w:rFonts w:cs="Arial"/>
        </w:rPr>
      </w:pPr>
      <w:r w:rsidRPr="009F74EC">
        <w:rPr>
          <w:rFonts w:cs="Arial"/>
        </w:rPr>
        <w:t>Durante el periodo cubierto por el informe, COBORU participó en las siguientes actividades de promoción:</w:t>
      </w:r>
    </w:p>
    <w:p w14:paraId="505A627C" w14:textId="77777777" w:rsidR="005A5957" w:rsidRPr="009F74EC" w:rsidRDefault="005A5957" w:rsidP="005A5957">
      <w:pPr>
        <w:tabs>
          <w:tab w:val="left" w:pos="567"/>
          <w:tab w:val="left" w:pos="4962"/>
        </w:tabs>
        <w:rPr>
          <w:rFonts w:cs="Arial"/>
          <w:color w:val="000000"/>
        </w:rPr>
      </w:pP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842"/>
        <w:gridCol w:w="1264"/>
        <w:gridCol w:w="1279"/>
        <w:gridCol w:w="1418"/>
        <w:gridCol w:w="2267"/>
        <w:gridCol w:w="1843"/>
      </w:tblGrid>
      <w:tr w:rsidR="005A5957" w:rsidRPr="009F74EC" w14:paraId="756A6188" w14:textId="77777777" w:rsidTr="00B06943">
        <w:trPr>
          <w:tblHeader/>
        </w:trPr>
        <w:tc>
          <w:tcPr>
            <w:tcW w:w="1842" w:type="dxa"/>
            <w:hideMark/>
          </w:tcPr>
          <w:p w14:paraId="36810E48" w14:textId="77777777" w:rsidR="005A5957" w:rsidRPr="009F74EC" w:rsidRDefault="005A5957" w:rsidP="00C30F9D">
            <w:pPr>
              <w:jc w:val="left"/>
              <w:rPr>
                <w:rFonts w:cs="Arial"/>
                <w:sz w:val="16"/>
                <w:szCs w:val="16"/>
              </w:rPr>
            </w:pPr>
            <w:r w:rsidRPr="009F74EC">
              <w:rPr>
                <w:rFonts w:cs="Arial"/>
                <w:sz w:val="16"/>
                <w:szCs w:val="16"/>
              </w:rPr>
              <w:t>Título de la actividad</w:t>
            </w:r>
          </w:p>
        </w:tc>
        <w:tc>
          <w:tcPr>
            <w:tcW w:w="1264" w:type="dxa"/>
            <w:hideMark/>
          </w:tcPr>
          <w:p w14:paraId="100DB4D4" w14:textId="77777777" w:rsidR="005A5957" w:rsidRPr="009F74EC" w:rsidRDefault="005A5957" w:rsidP="00C30F9D">
            <w:pPr>
              <w:keepNext/>
              <w:keepLines/>
              <w:jc w:val="left"/>
              <w:rPr>
                <w:rFonts w:cs="Arial"/>
                <w:sz w:val="16"/>
                <w:szCs w:val="16"/>
              </w:rPr>
            </w:pPr>
            <w:r w:rsidRPr="009F74EC">
              <w:rPr>
                <w:rFonts w:cs="Arial"/>
                <w:sz w:val="16"/>
                <w:szCs w:val="16"/>
              </w:rPr>
              <w:t>Fecha</w:t>
            </w:r>
          </w:p>
        </w:tc>
        <w:tc>
          <w:tcPr>
            <w:tcW w:w="1279" w:type="dxa"/>
            <w:hideMark/>
          </w:tcPr>
          <w:p w14:paraId="78DEE63B" w14:textId="77777777" w:rsidR="005A5957" w:rsidRPr="009F74EC" w:rsidRDefault="005A5957" w:rsidP="00C30F9D">
            <w:pPr>
              <w:keepNext/>
              <w:keepLines/>
              <w:jc w:val="left"/>
              <w:rPr>
                <w:rFonts w:cs="Arial"/>
                <w:sz w:val="16"/>
                <w:szCs w:val="16"/>
              </w:rPr>
            </w:pPr>
            <w:r w:rsidRPr="009F74EC">
              <w:rPr>
                <w:rFonts w:cs="Arial"/>
                <w:sz w:val="16"/>
                <w:szCs w:val="16"/>
              </w:rPr>
              <w:t>Ubicación</w:t>
            </w:r>
          </w:p>
        </w:tc>
        <w:tc>
          <w:tcPr>
            <w:tcW w:w="1418" w:type="dxa"/>
            <w:hideMark/>
          </w:tcPr>
          <w:p w14:paraId="1A334EA3" w14:textId="77777777" w:rsidR="005A5957" w:rsidRPr="009F74EC" w:rsidRDefault="005A5957" w:rsidP="00C30F9D">
            <w:pPr>
              <w:keepNext/>
              <w:keepLines/>
              <w:jc w:val="left"/>
              <w:rPr>
                <w:rFonts w:cs="Arial"/>
                <w:sz w:val="16"/>
                <w:szCs w:val="16"/>
              </w:rPr>
            </w:pPr>
            <w:r w:rsidRPr="009F74EC">
              <w:rPr>
                <w:rFonts w:cs="Arial"/>
                <w:sz w:val="16"/>
                <w:szCs w:val="16"/>
              </w:rPr>
              <w:t>Organizador(es)</w:t>
            </w:r>
          </w:p>
        </w:tc>
        <w:tc>
          <w:tcPr>
            <w:tcW w:w="2267" w:type="dxa"/>
            <w:hideMark/>
          </w:tcPr>
          <w:p w14:paraId="3D5C7797" w14:textId="77777777" w:rsidR="005A5957" w:rsidRPr="009F74EC" w:rsidRDefault="005A5957" w:rsidP="00C30F9D">
            <w:pPr>
              <w:keepNext/>
              <w:keepLines/>
              <w:jc w:val="left"/>
              <w:rPr>
                <w:rFonts w:cs="Arial"/>
                <w:sz w:val="16"/>
                <w:szCs w:val="16"/>
              </w:rPr>
            </w:pPr>
            <w:r w:rsidRPr="009F74EC">
              <w:rPr>
                <w:rFonts w:cs="Arial"/>
                <w:sz w:val="16"/>
                <w:szCs w:val="16"/>
              </w:rPr>
              <w:t>Objetivo de la actividad</w:t>
            </w:r>
          </w:p>
        </w:tc>
        <w:tc>
          <w:tcPr>
            <w:tcW w:w="1843" w:type="dxa"/>
            <w:hideMark/>
          </w:tcPr>
          <w:p w14:paraId="1F64B46C" w14:textId="77777777" w:rsidR="005A5957" w:rsidRPr="009F74EC" w:rsidRDefault="005A5957" w:rsidP="00C30F9D">
            <w:pPr>
              <w:keepNext/>
              <w:keepLines/>
              <w:jc w:val="left"/>
              <w:rPr>
                <w:rFonts w:cs="Arial"/>
                <w:sz w:val="16"/>
                <w:szCs w:val="16"/>
              </w:rPr>
            </w:pPr>
            <w:r w:rsidRPr="009F74EC">
              <w:rPr>
                <w:rFonts w:cs="Arial"/>
                <w:sz w:val="16"/>
                <w:szCs w:val="16"/>
              </w:rPr>
              <w:t>Países/organizaciones participantes (número de participantes de cada uno)</w:t>
            </w:r>
          </w:p>
        </w:tc>
      </w:tr>
      <w:tr w:rsidR="005A5957" w:rsidRPr="009F74EC" w14:paraId="4D932405" w14:textId="77777777" w:rsidTr="00C30F9D">
        <w:tc>
          <w:tcPr>
            <w:tcW w:w="1842" w:type="dxa"/>
            <w:hideMark/>
          </w:tcPr>
          <w:p w14:paraId="0D2C977E" w14:textId="77777777" w:rsidR="005A5957" w:rsidRPr="009F74EC" w:rsidRDefault="005A5957" w:rsidP="00C30F9D">
            <w:pPr>
              <w:pStyle w:val="ListParagraph"/>
              <w:ind w:left="5"/>
              <w:jc w:val="left"/>
              <w:rPr>
                <w:rFonts w:cs="Arial"/>
                <w:sz w:val="16"/>
                <w:szCs w:val="16"/>
                <w:lang w:val="es-ES_tradnl"/>
              </w:rPr>
            </w:pPr>
            <w:r w:rsidRPr="009F74EC">
              <w:rPr>
                <w:rFonts w:cs="Arial"/>
                <w:sz w:val="16"/>
                <w:szCs w:val="16"/>
                <w:lang w:val="es-ES_tradnl"/>
              </w:rPr>
              <w:t>CPVO - AEM 2022</w:t>
            </w:r>
          </w:p>
          <w:p w14:paraId="02BC84A2" w14:textId="77777777" w:rsidR="005A5957" w:rsidRPr="009F74EC" w:rsidRDefault="005A5957" w:rsidP="00C30F9D">
            <w:pPr>
              <w:pStyle w:val="ListParagraph"/>
              <w:ind w:left="5"/>
              <w:jc w:val="left"/>
              <w:rPr>
                <w:rFonts w:cs="Arial"/>
                <w:sz w:val="16"/>
                <w:szCs w:val="16"/>
                <w:lang w:val="es-ES_tradnl"/>
              </w:rPr>
            </w:pPr>
            <w:r w:rsidRPr="009F74EC">
              <w:rPr>
                <w:rFonts w:cs="Arial"/>
                <w:sz w:val="16"/>
                <w:szCs w:val="16"/>
                <w:lang w:val="es-ES_tradnl"/>
              </w:rPr>
              <w:t>OCVV - TW sobre el maíz 2022</w:t>
            </w:r>
          </w:p>
        </w:tc>
        <w:tc>
          <w:tcPr>
            <w:tcW w:w="1264" w:type="dxa"/>
            <w:hideMark/>
          </w:tcPr>
          <w:p w14:paraId="1538F5C0" w14:textId="77777777" w:rsidR="005A5957" w:rsidRPr="009F74EC" w:rsidRDefault="005A5957" w:rsidP="00C30F9D">
            <w:pPr>
              <w:jc w:val="left"/>
              <w:rPr>
                <w:rFonts w:cs="Arial"/>
                <w:sz w:val="16"/>
                <w:szCs w:val="16"/>
              </w:rPr>
            </w:pPr>
            <w:r w:rsidRPr="009F74EC">
              <w:rPr>
                <w:rFonts w:cs="Arial"/>
                <w:sz w:val="16"/>
                <w:szCs w:val="16"/>
              </w:rPr>
              <w:t>27-29.09.2022</w:t>
            </w:r>
          </w:p>
        </w:tc>
        <w:tc>
          <w:tcPr>
            <w:tcW w:w="1279" w:type="dxa"/>
            <w:hideMark/>
          </w:tcPr>
          <w:p w14:paraId="45387163" w14:textId="77777777" w:rsidR="005A5957" w:rsidRPr="009F74EC" w:rsidRDefault="005A5957" w:rsidP="00C30F9D">
            <w:pPr>
              <w:jc w:val="left"/>
              <w:rPr>
                <w:rFonts w:cs="Arial"/>
                <w:sz w:val="16"/>
                <w:szCs w:val="16"/>
              </w:rPr>
            </w:pPr>
            <w:r w:rsidRPr="009F74EC">
              <w:rPr>
                <w:rFonts w:cs="Arial"/>
                <w:sz w:val="16"/>
                <w:szCs w:val="16"/>
              </w:rPr>
              <w:t xml:space="preserve">Cracovia, </w:t>
            </w:r>
            <w:proofErr w:type="spellStart"/>
            <w:r w:rsidRPr="009F74EC">
              <w:rPr>
                <w:rFonts w:cs="Arial"/>
                <w:sz w:val="16"/>
                <w:szCs w:val="16"/>
              </w:rPr>
              <w:t>Przecław</w:t>
            </w:r>
            <w:proofErr w:type="spellEnd"/>
            <w:r w:rsidRPr="009F74EC">
              <w:rPr>
                <w:rFonts w:cs="Arial"/>
                <w:sz w:val="16"/>
                <w:szCs w:val="16"/>
              </w:rPr>
              <w:t>, Polonia</w:t>
            </w:r>
          </w:p>
        </w:tc>
        <w:tc>
          <w:tcPr>
            <w:tcW w:w="1418" w:type="dxa"/>
            <w:hideMark/>
          </w:tcPr>
          <w:p w14:paraId="2162BB02" w14:textId="77777777" w:rsidR="005A5957" w:rsidRPr="009F74EC" w:rsidRDefault="005A5957" w:rsidP="00C30F9D">
            <w:pPr>
              <w:jc w:val="left"/>
              <w:rPr>
                <w:rFonts w:cs="Arial"/>
                <w:sz w:val="16"/>
                <w:szCs w:val="16"/>
              </w:rPr>
            </w:pPr>
            <w:r w:rsidRPr="009F74EC">
              <w:rPr>
                <w:rFonts w:cs="Arial"/>
                <w:sz w:val="16"/>
                <w:szCs w:val="16"/>
              </w:rPr>
              <w:t>OCVV, COBORU</w:t>
            </w:r>
          </w:p>
        </w:tc>
        <w:tc>
          <w:tcPr>
            <w:tcW w:w="2267" w:type="dxa"/>
            <w:hideMark/>
          </w:tcPr>
          <w:p w14:paraId="63ACFF9C" w14:textId="77777777" w:rsidR="005A5957" w:rsidRPr="009F74EC" w:rsidRDefault="005A5957" w:rsidP="00C30F9D">
            <w:pPr>
              <w:spacing w:line="228" w:lineRule="auto"/>
              <w:jc w:val="left"/>
              <w:rPr>
                <w:rFonts w:cs="Arial"/>
                <w:sz w:val="16"/>
                <w:szCs w:val="16"/>
              </w:rPr>
            </w:pPr>
            <w:r w:rsidRPr="009F74EC">
              <w:rPr>
                <w:rFonts w:cs="Arial"/>
                <w:sz w:val="16"/>
                <w:szCs w:val="16"/>
              </w:rPr>
              <w:t>Reunión de las oficinas de examen encargadas</w:t>
            </w:r>
          </w:p>
        </w:tc>
        <w:tc>
          <w:tcPr>
            <w:tcW w:w="1843" w:type="dxa"/>
            <w:hideMark/>
          </w:tcPr>
          <w:p w14:paraId="7ED6F33D" w14:textId="77777777" w:rsidR="005A5957" w:rsidRPr="009F74EC" w:rsidRDefault="005A5957" w:rsidP="00C30F9D">
            <w:pPr>
              <w:jc w:val="left"/>
              <w:rPr>
                <w:rFonts w:cs="Arial"/>
                <w:sz w:val="16"/>
                <w:szCs w:val="16"/>
              </w:rPr>
            </w:pPr>
            <w:r w:rsidRPr="009F74EC">
              <w:rPr>
                <w:rFonts w:cs="Arial"/>
                <w:sz w:val="16"/>
                <w:szCs w:val="16"/>
              </w:rPr>
              <w:t>PL: 10</w:t>
            </w:r>
          </w:p>
          <w:p w14:paraId="173E56C3" w14:textId="77777777" w:rsidR="005A5957" w:rsidRPr="009F74EC" w:rsidRDefault="005A5957" w:rsidP="00C30F9D">
            <w:pPr>
              <w:jc w:val="left"/>
              <w:rPr>
                <w:rFonts w:cs="Arial"/>
                <w:sz w:val="16"/>
                <w:szCs w:val="16"/>
              </w:rPr>
            </w:pPr>
            <w:r w:rsidRPr="009F74EC">
              <w:rPr>
                <w:rFonts w:cs="Arial"/>
                <w:sz w:val="16"/>
                <w:szCs w:val="16"/>
              </w:rPr>
              <w:t>Total: 60</w:t>
            </w:r>
          </w:p>
        </w:tc>
      </w:tr>
      <w:tr w:rsidR="005A5957" w:rsidRPr="009F74EC" w14:paraId="49D9B588" w14:textId="77777777" w:rsidTr="00C30F9D">
        <w:tc>
          <w:tcPr>
            <w:tcW w:w="1842" w:type="dxa"/>
            <w:hideMark/>
          </w:tcPr>
          <w:p w14:paraId="20D9C1F7" w14:textId="77777777" w:rsidR="005A5957" w:rsidRPr="009F74EC" w:rsidRDefault="005A5957" w:rsidP="00C30F9D">
            <w:pPr>
              <w:pStyle w:val="ListParagraph"/>
              <w:ind w:left="5"/>
              <w:jc w:val="left"/>
              <w:rPr>
                <w:rFonts w:cs="Arial"/>
                <w:sz w:val="16"/>
                <w:szCs w:val="16"/>
                <w:lang w:val="es-ES_tradnl"/>
              </w:rPr>
            </w:pPr>
            <w:r w:rsidRPr="009F74EC">
              <w:rPr>
                <w:rFonts w:cs="Arial"/>
                <w:sz w:val="16"/>
                <w:szCs w:val="16"/>
                <w:lang w:val="es-ES_tradnl"/>
              </w:rPr>
              <w:t>Visita de la dirección de UKZUZ (CZ)</w:t>
            </w:r>
          </w:p>
        </w:tc>
        <w:tc>
          <w:tcPr>
            <w:tcW w:w="1264" w:type="dxa"/>
            <w:hideMark/>
          </w:tcPr>
          <w:p w14:paraId="5CF2D4A8" w14:textId="77777777" w:rsidR="005A5957" w:rsidRPr="009F74EC" w:rsidRDefault="005A5957" w:rsidP="00C30F9D">
            <w:pPr>
              <w:jc w:val="left"/>
              <w:rPr>
                <w:rFonts w:cs="Arial"/>
                <w:sz w:val="16"/>
                <w:szCs w:val="16"/>
              </w:rPr>
            </w:pPr>
            <w:r w:rsidRPr="009F74EC">
              <w:rPr>
                <w:rFonts w:cs="Arial"/>
                <w:sz w:val="16"/>
                <w:szCs w:val="16"/>
              </w:rPr>
              <w:t>4-5.10.2022</w:t>
            </w:r>
          </w:p>
        </w:tc>
        <w:tc>
          <w:tcPr>
            <w:tcW w:w="1279" w:type="dxa"/>
            <w:hideMark/>
          </w:tcPr>
          <w:p w14:paraId="6AD50626" w14:textId="77777777" w:rsidR="005A5957" w:rsidRPr="009F74EC" w:rsidRDefault="005A5957" w:rsidP="00C30F9D">
            <w:pPr>
              <w:jc w:val="left"/>
              <w:rPr>
                <w:rFonts w:cs="Arial"/>
                <w:sz w:val="16"/>
                <w:szCs w:val="16"/>
              </w:rPr>
            </w:pPr>
            <w:proofErr w:type="spellStart"/>
            <w:r w:rsidRPr="009F74EC">
              <w:rPr>
                <w:rFonts w:cs="Arial"/>
                <w:sz w:val="16"/>
                <w:szCs w:val="16"/>
              </w:rPr>
              <w:t>Słupia</w:t>
            </w:r>
            <w:proofErr w:type="spellEnd"/>
            <w:r w:rsidRPr="009F74EC">
              <w:rPr>
                <w:rFonts w:cs="Arial"/>
                <w:sz w:val="16"/>
                <w:szCs w:val="16"/>
              </w:rPr>
              <w:t xml:space="preserve"> </w:t>
            </w:r>
            <w:proofErr w:type="spellStart"/>
            <w:r w:rsidRPr="009F74EC">
              <w:rPr>
                <w:rFonts w:cs="Arial"/>
                <w:sz w:val="16"/>
                <w:szCs w:val="16"/>
              </w:rPr>
              <w:t>Wielka</w:t>
            </w:r>
            <w:proofErr w:type="spellEnd"/>
            <w:r w:rsidRPr="009F74EC">
              <w:rPr>
                <w:rFonts w:cs="Arial"/>
                <w:sz w:val="16"/>
                <w:szCs w:val="16"/>
              </w:rPr>
              <w:t>, Polonia</w:t>
            </w:r>
          </w:p>
        </w:tc>
        <w:tc>
          <w:tcPr>
            <w:tcW w:w="1418" w:type="dxa"/>
            <w:hideMark/>
          </w:tcPr>
          <w:p w14:paraId="0959C6D6" w14:textId="77777777" w:rsidR="005A5957" w:rsidRPr="009F74EC" w:rsidRDefault="005A5957" w:rsidP="00C30F9D">
            <w:pPr>
              <w:jc w:val="left"/>
              <w:rPr>
                <w:rFonts w:cs="Arial"/>
                <w:sz w:val="16"/>
                <w:szCs w:val="16"/>
              </w:rPr>
            </w:pPr>
            <w:r w:rsidRPr="009F74EC">
              <w:rPr>
                <w:rFonts w:cs="Arial"/>
                <w:sz w:val="16"/>
                <w:szCs w:val="16"/>
              </w:rPr>
              <w:t>COBORU, UKZUZ</w:t>
            </w:r>
          </w:p>
        </w:tc>
        <w:tc>
          <w:tcPr>
            <w:tcW w:w="2267" w:type="dxa"/>
            <w:hideMark/>
          </w:tcPr>
          <w:p w14:paraId="542DA9ED" w14:textId="77777777" w:rsidR="005A5957" w:rsidRPr="009F74EC" w:rsidRDefault="005A5957" w:rsidP="00C30F9D">
            <w:pPr>
              <w:spacing w:line="228" w:lineRule="auto"/>
              <w:jc w:val="left"/>
              <w:rPr>
                <w:rFonts w:cs="Arial"/>
                <w:sz w:val="16"/>
                <w:szCs w:val="16"/>
              </w:rPr>
            </w:pPr>
            <w:r w:rsidRPr="009F74EC">
              <w:rPr>
                <w:rFonts w:cs="Arial"/>
                <w:sz w:val="16"/>
                <w:szCs w:val="16"/>
              </w:rPr>
              <w:t>Reunión de trabajo</w:t>
            </w:r>
          </w:p>
        </w:tc>
        <w:tc>
          <w:tcPr>
            <w:tcW w:w="1843" w:type="dxa"/>
            <w:hideMark/>
          </w:tcPr>
          <w:p w14:paraId="76DCCD0D" w14:textId="77777777" w:rsidR="005A5957" w:rsidRPr="009F74EC" w:rsidRDefault="005A5957" w:rsidP="00C30F9D">
            <w:pPr>
              <w:jc w:val="left"/>
              <w:rPr>
                <w:rFonts w:cs="Arial"/>
                <w:sz w:val="16"/>
                <w:szCs w:val="16"/>
              </w:rPr>
            </w:pPr>
            <w:r w:rsidRPr="009F74EC">
              <w:rPr>
                <w:rFonts w:cs="Arial"/>
                <w:sz w:val="16"/>
                <w:szCs w:val="16"/>
              </w:rPr>
              <w:t>PL: 15</w:t>
            </w:r>
          </w:p>
          <w:p w14:paraId="0FB35167" w14:textId="77777777" w:rsidR="005A5957" w:rsidRPr="009F74EC" w:rsidRDefault="005A5957" w:rsidP="00C30F9D">
            <w:pPr>
              <w:jc w:val="left"/>
              <w:rPr>
                <w:rFonts w:cs="Arial"/>
                <w:sz w:val="16"/>
                <w:szCs w:val="16"/>
              </w:rPr>
            </w:pPr>
            <w:r w:rsidRPr="009F74EC">
              <w:rPr>
                <w:rFonts w:cs="Arial"/>
                <w:sz w:val="16"/>
                <w:szCs w:val="16"/>
              </w:rPr>
              <w:t>CZ: 3</w:t>
            </w:r>
          </w:p>
          <w:p w14:paraId="6D46A2A0" w14:textId="77777777" w:rsidR="005A5957" w:rsidRPr="009F74EC" w:rsidRDefault="005A5957" w:rsidP="00C30F9D">
            <w:pPr>
              <w:jc w:val="left"/>
              <w:rPr>
                <w:rFonts w:cs="Arial"/>
                <w:sz w:val="16"/>
                <w:szCs w:val="16"/>
              </w:rPr>
            </w:pPr>
          </w:p>
        </w:tc>
      </w:tr>
      <w:tr w:rsidR="005A5957" w:rsidRPr="009F74EC" w14:paraId="7985A83B" w14:textId="77777777" w:rsidTr="00C30F9D">
        <w:tc>
          <w:tcPr>
            <w:tcW w:w="1842" w:type="dxa"/>
            <w:hideMark/>
          </w:tcPr>
          <w:p w14:paraId="40160157" w14:textId="77777777" w:rsidR="005A5957" w:rsidRPr="009F74EC" w:rsidRDefault="005A5957" w:rsidP="00C30F9D">
            <w:pPr>
              <w:pStyle w:val="ListParagraph"/>
              <w:ind w:left="5"/>
              <w:jc w:val="left"/>
              <w:rPr>
                <w:rFonts w:cs="Arial"/>
                <w:sz w:val="16"/>
                <w:szCs w:val="16"/>
                <w:lang w:val="es-ES_tradnl"/>
              </w:rPr>
            </w:pPr>
            <w:r w:rsidRPr="009F74EC">
              <w:rPr>
                <w:rFonts w:cs="Arial"/>
                <w:sz w:val="16"/>
                <w:szCs w:val="16"/>
                <w:lang w:val="es-ES_tradnl"/>
              </w:rPr>
              <w:t xml:space="preserve">Reunión inicial de </w:t>
            </w:r>
            <w:proofErr w:type="spellStart"/>
            <w:r w:rsidRPr="009F74EC">
              <w:rPr>
                <w:rFonts w:cs="Arial"/>
                <w:sz w:val="16"/>
                <w:szCs w:val="16"/>
                <w:lang w:val="es-ES_tradnl"/>
              </w:rPr>
              <w:t>Liveseeding</w:t>
            </w:r>
            <w:proofErr w:type="spellEnd"/>
          </w:p>
        </w:tc>
        <w:tc>
          <w:tcPr>
            <w:tcW w:w="1264" w:type="dxa"/>
            <w:hideMark/>
          </w:tcPr>
          <w:p w14:paraId="273E45C4" w14:textId="77777777" w:rsidR="005A5957" w:rsidRPr="009F74EC" w:rsidRDefault="005A5957" w:rsidP="00C30F9D">
            <w:pPr>
              <w:jc w:val="left"/>
              <w:rPr>
                <w:rFonts w:cs="Arial"/>
                <w:sz w:val="16"/>
                <w:szCs w:val="16"/>
              </w:rPr>
            </w:pPr>
            <w:r w:rsidRPr="009F74EC">
              <w:rPr>
                <w:rFonts w:cs="Arial"/>
                <w:sz w:val="16"/>
                <w:szCs w:val="16"/>
              </w:rPr>
              <w:t>17-22.10.2022</w:t>
            </w:r>
          </w:p>
        </w:tc>
        <w:tc>
          <w:tcPr>
            <w:tcW w:w="1279" w:type="dxa"/>
            <w:hideMark/>
          </w:tcPr>
          <w:p w14:paraId="1B073DE8" w14:textId="77777777" w:rsidR="005A5957" w:rsidRPr="009F74EC" w:rsidRDefault="005A5957" w:rsidP="00C30F9D">
            <w:pPr>
              <w:jc w:val="left"/>
              <w:rPr>
                <w:rFonts w:cs="Arial"/>
                <w:sz w:val="16"/>
                <w:szCs w:val="16"/>
              </w:rPr>
            </w:pPr>
            <w:r w:rsidRPr="009F74EC">
              <w:rPr>
                <w:rFonts w:cs="Arial"/>
                <w:sz w:val="16"/>
                <w:szCs w:val="16"/>
              </w:rPr>
              <w:t>Zagreb, Croacia</w:t>
            </w:r>
          </w:p>
        </w:tc>
        <w:tc>
          <w:tcPr>
            <w:tcW w:w="1418" w:type="dxa"/>
            <w:hideMark/>
          </w:tcPr>
          <w:p w14:paraId="7FDEAE9D" w14:textId="77777777" w:rsidR="005A5957" w:rsidRPr="009F74EC" w:rsidRDefault="005A5957" w:rsidP="00C30F9D">
            <w:pPr>
              <w:jc w:val="left"/>
              <w:rPr>
                <w:rFonts w:cs="Arial"/>
                <w:sz w:val="16"/>
                <w:szCs w:val="16"/>
              </w:rPr>
            </w:pPr>
            <w:r w:rsidRPr="009F74EC">
              <w:rPr>
                <w:rFonts w:cs="Arial"/>
                <w:sz w:val="16"/>
                <w:szCs w:val="16"/>
              </w:rPr>
              <w:t>FIBL (CH)</w:t>
            </w:r>
          </w:p>
        </w:tc>
        <w:tc>
          <w:tcPr>
            <w:tcW w:w="2267" w:type="dxa"/>
            <w:hideMark/>
          </w:tcPr>
          <w:p w14:paraId="1CDDCC3A" w14:textId="77777777" w:rsidR="005A5957" w:rsidRPr="009F74EC" w:rsidRDefault="005A5957" w:rsidP="00C30F9D">
            <w:pPr>
              <w:spacing w:line="228" w:lineRule="auto"/>
              <w:jc w:val="left"/>
              <w:rPr>
                <w:rFonts w:cs="Arial"/>
                <w:sz w:val="16"/>
                <w:szCs w:val="16"/>
              </w:rPr>
            </w:pPr>
            <w:r w:rsidRPr="009F74EC">
              <w:rPr>
                <w:rFonts w:cs="Arial"/>
                <w:sz w:val="16"/>
                <w:szCs w:val="16"/>
              </w:rPr>
              <w:t>Reunión inicial</w:t>
            </w:r>
          </w:p>
        </w:tc>
        <w:tc>
          <w:tcPr>
            <w:tcW w:w="1843" w:type="dxa"/>
            <w:hideMark/>
          </w:tcPr>
          <w:p w14:paraId="03F0850C" w14:textId="77777777" w:rsidR="005A5957" w:rsidRPr="009F74EC" w:rsidRDefault="005A5957" w:rsidP="00C30F9D">
            <w:pPr>
              <w:jc w:val="left"/>
              <w:rPr>
                <w:rFonts w:cs="Arial"/>
                <w:sz w:val="16"/>
                <w:szCs w:val="16"/>
              </w:rPr>
            </w:pPr>
            <w:r w:rsidRPr="009F74EC">
              <w:rPr>
                <w:rFonts w:cs="Arial"/>
                <w:sz w:val="16"/>
                <w:szCs w:val="16"/>
              </w:rPr>
              <w:t>PL: 2</w:t>
            </w:r>
          </w:p>
          <w:p w14:paraId="3D2CC4C6" w14:textId="77777777" w:rsidR="005A5957" w:rsidRPr="009F74EC" w:rsidRDefault="005A5957" w:rsidP="00C30F9D">
            <w:pPr>
              <w:jc w:val="left"/>
              <w:rPr>
                <w:rFonts w:cs="Arial"/>
                <w:sz w:val="16"/>
                <w:szCs w:val="16"/>
              </w:rPr>
            </w:pPr>
            <w:r w:rsidRPr="009F74EC">
              <w:rPr>
                <w:rFonts w:cs="Arial"/>
                <w:sz w:val="16"/>
                <w:szCs w:val="16"/>
              </w:rPr>
              <w:t>Total: 60</w:t>
            </w:r>
          </w:p>
        </w:tc>
      </w:tr>
      <w:tr w:rsidR="005A5957" w:rsidRPr="009F74EC" w14:paraId="6EDB2033" w14:textId="77777777" w:rsidTr="00C30F9D">
        <w:tc>
          <w:tcPr>
            <w:tcW w:w="1842" w:type="dxa"/>
            <w:hideMark/>
          </w:tcPr>
          <w:p w14:paraId="1793EA81" w14:textId="77777777" w:rsidR="005A5957" w:rsidRPr="009F74EC" w:rsidRDefault="005A5957" w:rsidP="00C30F9D">
            <w:pPr>
              <w:pStyle w:val="ListParagraph"/>
              <w:ind w:left="5"/>
              <w:jc w:val="left"/>
              <w:rPr>
                <w:rFonts w:cs="Arial"/>
                <w:sz w:val="16"/>
                <w:szCs w:val="16"/>
                <w:lang w:val="es-ES_tradnl"/>
              </w:rPr>
            </w:pPr>
            <w:r w:rsidRPr="009F74EC">
              <w:rPr>
                <w:rFonts w:cs="Arial"/>
                <w:sz w:val="16"/>
                <w:szCs w:val="16"/>
                <w:lang w:val="es-ES_tradnl"/>
              </w:rPr>
              <w:t xml:space="preserve">Reuniones del Proyecto </w:t>
            </w:r>
            <w:proofErr w:type="spellStart"/>
            <w:r w:rsidRPr="009F74EC">
              <w:rPr>
                <w:rFonts w:cs="Arial"/>
                <w:sz w:val="16"/>
                <w:szCs w:val="16"/>
                <w:lang w:val="es-ES_tradnl"/>
              </w:rPr>
              <w:t>Twining</w:t>
            </w:r>
            <w:proofErr w:type="spellEnd"/>
            <w:r w:rsidRPr="009F74EC">
              <w:rPr>
                <w:rFonts w:cs="Arial"/>
                <w:sz w:val="16"/>
                <w:szCs w:val="16"/>
                <w:lang w:val="es-ES_tradnl"/>
              </w:rPr>
              <w:t xml:space="preserve"> de la UE: BA 18 IPA AG 03 19 para Bosnia y Herzegovina</w:t>
            </w:r>
          </w:p>
        </w:tc>
        <w:tc>
          <w:tcPr>
            <w:tcW w:w="1264" w:type="dxa"/>
            <w:hideMark/>
          </w:tcPr>
          <w:p w14:paraId="20980F23" w14:textId="77777777" w:rsidR="005A5957" w:rsidRPr="009F74EC" w:rsidRDefault="005A5957" w:rsidP="00C30F9D">
            <w:pPr>
              <w:jc w:val="left"/>
              <w:rPr>
                <w:rFonts w:cs="Arial"/>
                <w:sz w:val="16"/>
                <w:szCs w:val="16"/>
              </w:rPr>
            </w:pPr>
            <w:r w:rsidRPr="009F74EC">
              <w:rPr>
                <w:rFonts w:cs="Arial"/>
                <w:sz w:val="16"/>
                <w:szCs w:val="16"/>
              </w:rPr>
              <w:t>16-20.10.2022</w:t>
            </w:r>
          </w:p>
        </w:tc>
        <w:tc>
          <w:tcPr>
            <w:tcW w:w="1279" w:type="dxa"/>
            <w:hideMark/>
          </w:tcPr>
          <w:p w14:paraId="04897501" w14:textId="77777777" w:rsidR="005A5957" w:rsidRPr="009F74EC" w:rsidRDefault="005A5957" w:rsidP="00C30F9D">
            <w:pPr>
              <w:jc w:val="left"/>
              <w:rPr>
                <w:rFonts w:cs="Arial"/>
                <w:sz w:val="16"/>
                <w:szCs w:val="16"/>
              </w:rPr>
            </w:pPr>
            <w:r w:rsidRPr="009F74EC">
              <w:rPr>
                <w:rFonts w:cs="Arial"/>
                <w:sz w:val="16"/>
                <w:szCs w:val="16"/>
              </w:rPr>
              <w:t>Bosnia y Herzegovina</w:t>
            </w:r>
          </w:p>
        </w:tc>
        <w:tc>
          <w:tcPr>
            <w:tcW w:w="1418" w:type="dxa"/>
            <w:hideMark/>
          </w:tcPr>
          <w:p w14:paraId="285A5F30" w14:textId="77777777" w:rsidR="005A5957" w:rsidRPr="009F74EC" w:rsidRDefault="005A5957" w:rsidP="00C30F9D">
            <w:pPr>
              <w:jc w:val="left"/>
              <w:rPr>
                <w:rFonts w:cs="Arial"/>
                <w:sz w:val="16"/>
                <w:szCs w:val="16"/>
              </w:rPr>
            </w:pPr>
            <w:r w:rsidRPr="009F74EC">
              <w:rPr>
                <w:rFonts w:cs="Arial"/>
                <w:sz w:val="16"/>
                <w:szCs w:val="16"/>
              </w:rPr>
              <w:t xml:space="preserve">Comisión Europea </w:t>
            </w:r>
          </w:p>
        </w:tc>
        <w:tc>
          <w:tcPr>
            <w:tcW w:w="2267" w:type="dxa"/>
            <w:hideMark/>
          </w:tcPr>
          <w:p w14:paraId="2E027447" w14:textId="77777777" w:rsidR="005A5957" w:rsidRPr="009F74EC" w:rsidRDefault="005A5957" w:rsidP="00C30F9D">
            <w:pPr>
              <w:spacing w:line="228" w:lineRule="auto"/>
              <w:jc w:val="left"/>
              <w:rPr>
                <w:rFonts w:cs="Arial"/>
                <w:sz w:val="16"/>
                <w:szCs w:val="16"/>
              </w:rPr>
            </w:pPr>
            <w:r w:rsidRPr="009F74EC">
              <w:rPr>
                <w:rFonts w:cs="Arial"/>
                <w:sz w:val="16"/>
                <w:szCs w:val="16"/>
              </w:rPr>
              <w:t>Misión del proyecto</w:t>
            </w:r>
          </w:p>
        </w:tc>
        <w:tc>
          <w:tcPr>
            <w:tcW w:w="1843" w:type="dxa"/>
            <w:hideMark/>
          </w:tcPr>
          <w:p w14:paraId="2F339858" w14:textId="77777777" w:rsidR="005A5957" w:rsidRPr="009F74EC" w:rsidRDefault="005A5957" w:rsidP="00C30F9D">
            <w:pPr>
              <w:jc w:val="left"/>
              <w:rPr>
                <w:rFonts w:cs="Arial"/>
                <w:sz w:val="16"/>
                <w:szCs w:val="16"/>
              </w:rPr>
            </w:pPr>
            <w:r w:rsidRPr="009F74EC">
              <w:rPr>
                <w:rFonts w:cs="Arial"/>
                <w:sz w:val="16"/>
                <w:szCs w:val="16"/>
              </w:rPr>
              <w:t>PL: 2</w:t>
            </w:r>
          </w:p>
          <w:p w14:paraId="6968258F" w14:textId="77777777" w:rsidR="005A5957" w:rsidRPr="009F74EC" w:rsidRDefault="005A5957" w:rsidP="00C30F9D">
            <w:pPr>
              <w:jc w:val="left"/>
              <w:rPr>
                <w:rFonts w:cs="Arial"/>
                <w:sz w:val="16"/>
                <w:szCs w:val="16"/>
              </w:rPr>
            </w:pPr>
            <w:r w:rsidRPr="009F74EC">
              <w:rPr>
                <w:rFonts w:cs="Arial"/>
                <w:sz w:val="16"/>
                <w:szCs w:val="16"/>
              </w:rPr>
              <w:t>BA: 4</w:t>
            </w:r>
          </w:p>
          <w:p w14:paraId="5B75C4A0" w14:textId="77777777" w:rsidR="005A5957" w:rsidRPr="009F74EC" w:rsidRDefault="005A5957" w:rsidP="00C30F9D">
            <w:pPr>
              <w:jc w:val="left"/>
              <w:rPr>
                <w:rFonts w:cs="Arial"/>
                <w:sz w:val="16"/>
                <w:szCs w:val="16"/>
              </w:rPr>
            </w:pPr>
            <w:r w:rsidRPr="009F74EC">
              <w:rPr>
                <w:rFonts w:cs="Arial"/>
                <w:sz w:val="16"/>
                <w:szCs w:val="16"/>
              </w:rPr>
              <w:t>IT: 2</w:t>
            </w:r>
          </w:p>
          <w:p w14:paraId="50051A9F" w14:textId="77777777" w:rsidR="005A5957" w:rsidRPr="009F74EC" w:rsidRDefault="005A5957" w:rsidP="00C30F9D">
            <w:pPr>
              <w:jc w:val="left"/>
              <w:rPr>
                <w:rFonts w:cs="Arial"/>
                <w:sz w:val="16"/>
                <w:szCs w:val="16"/>
              </w:rPr>
            </w:pPr>
            <w:r w:rsidRPr="009F74EC">
              <w:rPr>
                <w:rFonts w:cs="Arial"/>
                <w:sz w:val="16"/>
                <w:szCs w:val="16"/>
              </w:rPr>
              <w:t>Total: 20</w:t>
            </w:r>
          </w:p>
        </w:tc>
      </w:tr>
      <w:tr w:rsidR="005A5957" w:rsidRPr="009F74EC" w14:paraId="4169252D" w14:textId="77777777" w:rsidTr="00C30F9D">
        <w:tc>
          <w:tcPr>
            <w:tcW w:w="1842" w:type="dxa"/>
            <w:hideMark/>
          </w:tcPr>
          <w:p w14:paraId="676F2795" w14:textId="77777777" w:rsidR="005A5957" w:rsidRPr="009F74EC" w:rsidRDefault="005A5957" w:rsidP="00C30F9D">
            <w:pPr>
              <w:pStyle w:val="ListParagraph"/>
              <w:ind w:left="5"/>
              <w:jc w:val="left"/>
              <w:rPr>
                <w:rFonts w:cs="Arial"/>
                <w:sz w:val="16"/>
                <w:szCs w:val="16"/>
                <w:lang w:val="es-ES_tradnl"/>
              </w:rPr>
            </w:pPr>
            <w:r w:rsidRPr="009F74EC">
              <w:rPr>
                <w:rFonts w:cs="Arial"/>
                <w:sz w:val="16"/>
                <w:szCs w:val="16"/>
                <w:lang w:val="es-ES_tradnl"/>
              </w:rPr>
              <w:t>IPM ESSEN 2023</w:t>
            </w:r>
          </w:p>
        </w:tc>
        <w:tc>
          <w:tcPr>
            <w:tcW w:w="1264" w:type="dxa"/>
            <w:hideMark/>
          </w:tcPr>
          <w:p w14:paraId="2E4E5E11" w14:textId="77777777" w:rsidR="005A5957" w:rsidRPr="009F74EC" w:rsidRDefault="005A5957" w:rsidP="00C30F9D">
            <w:pPr>
              <w:jc w:val="left"/>
              <w:rPr>
                <w:rFonts w:cs="Arial"/>
                <w:sz w:val="16"/>
                <w:szCs w:val="16"/>
              </w:rPr>
            </w:pPr>
            <w:r w:rsidRPr="009F74EC">
              <w:rPr>
                <w:rFonts w:cs="Arial"/>
                <w:sz w:val="16"/>
                <w:szCs w:val="16"/>
              </w:rPr>
              <w:t>24-27.01.2023</w:t>
            </w:r>
          </w:p>
        </w:tc>
        <w:tc>
          <w:tcPr>
            <w:tcW w:w="1279" w:type="dxa"/>
            <w:hideMark/>
          </w:tcPr>
          <w:p w14:paraId="0F7B6AFA" w14:textId="77777777" w:rsidR="005A5957" w:rsidRPr="009F74EC" w:rsidRDefault="005A5957" w:rsidP="00C30F9D">
            <w:pPr>
              <w:jc w:val="left"/>
              <w:rPr>
                <w:rFonts w:cs="Arial"/>
                <w:sz w:val="16"/>
                <w:szCs w:val="16"/>
              </w:rPr>
            </w:pPr>
            <w:r w:rsidRPr="009F74EC">
              <w:rPr>
                <w:rFonts w:cs="Arial"/>
                <w:sz w:val="16"/>
                <w:szCs w:val="16"/>
              </w:rPr>
              <w:t>Essen, Alemania</w:t>
            </w:r>
          </w:p>
        </w:tc>
        <w:tc>
          <w:tcPr>
            <w:tcW w:w="1418" w:type="dxa"/>
            <w:hideMark/>
          </w:tcPr>
          <w:p w14:paraId="0CC3A029" w14:textId="77777777" w:rsidR="005A5957" w:rsidRPr="009F74EC" w:rsidRDefault="005A5957" w:rsidP="00C30F9D">
            <w:pPr>
              <w:jc w:val="left"/>
              <w:rPr>
                <w:rFonts w:cs="Arial"/>
                <w:sz w:val="16"/>
                <w:szCs w:val="16"/>
              </w:rPr>
            </w:pPr>
            <w:r w:rsidRPr="009F74EC">
              <w:rPr>
                <w:rFonts w:cs="Arial"/>
                <w:sz w:val="16"/>
                <w:szCs w:val="16"/>
              </w:rPr>
              <w:t>IPM</w:t>
            </w:r>
          </w:p>
        </w:tc>
        <w:tc>
          <w:tcPr>
            <w:tcW w:w="2267" w:type="dxa"/>
            <w:hideMark/>
          </w:tcPr>
          <w:p w14:paraId="47E4063B" w14:textId="77777777" w:rsidR="005A5957" w:rsidRPr="009F74EC" w:rsidRDefault="005A5957" w:rsidP="00C30F9D">
            <w:pPr>
              <w:spacing w:line="228" w:lineRule="auto"/>
              <w:jc w:val="left"/>
              <w:rPr>
                <w:rFonts w:cs="Arial"/>
                <w:sz w:val="16"/>
                <w:szCs w:val="16"/>
              </w:rPr>
            </w:pPr>
            <w:r w:rsidRPr="009F74EC">
              <w:rPr>
                <w:rFonts w:cs="Arial"/>
                <w:sz w:val="16"/>
                <w:szCs w:val="16"/>
              </w:rPr>
              <w:t>Promoción de la oficina PVP PL tras obtener una nueva encomienda de la OCVV (rosas de jardín)</w:t>
            </w:r>
          </w:p>
        </w:tc>
        <w:tc>
          <w:tcPr>
            <w:tcW w:w="1843" w:type="dxa"/>
            <w:hideMark/>
          </w:tcPr>
          <w:p w14:paraId="11CFEE43" w14:textId="77777777" w:rsidR="005A5957" w:rsidRPr="009F74EC" w:rsidRDefault="005A5957" w:rsidP="00C30F9D">
            <w:pPr>
              <w:jc w:val="left"/>
              <w:rPr>
                <w:rFonts w:cs="Arial"/>
                <w:sz w:val="16"/>
                <w:szCs w:val="16"/>
              </w:rPr>
            </w:pPr>
            <w:r w:rsidRPr="009F74EC">
              <w:rPr>
                <w:rFonts w:cs="Arial"/>
                <w:sz w:val="16"/>
                <w:szCs w:val="16"/>
              </w:rPr>
              <w:t>PL: 5</w:t>
            </w:r>
          </w:p>
          <w:p w14:paraId="70F4383C" w14:textId="77777777" w:rsidR="005A5957" w:rsidRPr="009F74EC" w:rsidRDefault="005A5957" w:rsidP="00C30F9D">
            <w:pPr>
              <w:jc w:val="left"/>
              <w:outlineLvl w:val="0"/>
              <w:rPr>
                <w:rFonts w:cs="Arial"/>
                <w:sz w:val="16"/>
                <w:szCs w:val="16"/>
              </w:rPr>
            </w:pPr>
            <w:r w:rsidRPr="009F74EC">
              <w:rPr>
                <w:rFonts w:cs="Arial"/>
                <w:sz w:val="16"/>
                <w:szCs w:val="16"/>
              </w:rPr>
              <w:t>DE: 5</w:t>
            </w:r>
          </w:p>
          <w:p w14:paraId="641E42F7" w14:textId="77777777" w:rsidR="005A5957" w:rsidRPr="009F74EC" w:rsidRDefault="005A5957" w:rsidP="00C30F9D">
            <w:pPr>
              <w:jc w:val="left"/>
              <w:rPr>
                <w:rFonts w:cs="Arial"/>
                <w:sz w:val="16"/>
                <w:szCs w:val="16"/>
              </w:rPr>
            </w:pPr>
            <w:r w:rsidRPr="009F74EC">
              <w:rPr>
                <w:rFonts w:cs="Arial"/>
                <w:sz w:val="16"/>
                <w:szCs w:val="16"/>
              </w:rPr>
              <w:t>NL: 6</w:t>
            </w:r>
          </w:p>
          <w:p w14:paraId="77FBF098" w14:textId="77777777" w:rsidR="005A5957" w:rsidRPr="009F74EC" w:rsidRDefault="005A5957" w:rsidP="00C30F9D">
            <w:pPr>
              <w:jc w:val="left"/>
              <w:rPr>
                <w:rFonts w:cs="Arial"/>
                <w:sz w:val="16"/>
                <w:szCs w:val="16"/>
              </w:rPr>
            </w:pPr>
            <w:r w:rsidRPr="009F74EC">
              <w:rPr>
                <w:rFonts w:cs="Arial"/>
                <w:sz w:val="16"/>
                <w:szCs w:val="16"/>
              </w:rPr>
              <w:t>FR: 2</w:t>
            </w:r>
          </w:p>
          <w:p w14:paraId="1749E285" w14:textId="77777777" w:rsidR="005A5957" w:rsidRPr="009F74EC" w:rsidRDefault="005A5957" w:rsidP="00C30F9D">
            <w:pPr>
              <w:jc w:val="left"/>
              <w:rPr>
                <w:rFonts w:cs="Arial"/>
                <w:sz w:val="16"/>
                <w:szCs w:val="16"/>
              </w:rPr>
            </w:pPr>
            <w:r w:rsidRPr="009F74EC">
              <w:rPr>
                <w:rFonts w:cs="Arial"/>
                <w:sz w:val="16"/>
                <w:szCs w:val="16"/>
              </w:rPr>
              <w:t>OCVV: 1</w:t>
            </w:r>
          </w:p>
          <w:p w14:paraId="0883BFFE" w14:textId="77777777" w:rsidR="005A5957" w:rsidRPr="009F74EC" w:rsidRDefault="005A5957" w:rsidP="00C30F9D">
            <w:pPr>
              <w:jc w:val="left"/>
              <w:rPr>
                <w:rFonts w:cs="Arial"/>
                <w:sz w:val="16"/>
                <w:szCs w:val="16"/>
              </w:rPr>
            </w:pPr>
            <w:r w:rsidRPr="009F74EC">
              <w:rPr>
                <w:rFonts w:cs="Arial"/>
                <w:sz w:val="16"/>
                <w:szCs w:val="16"/>
              </w:rPr>
              <w:t>Total: 54000 (visitantes)</w:t>
            </w:r>
          </w:p>
        </w:tc>
      </w:tr>
      <w:tr w:rsidR="005A5957" w:rsidRPr="009F74EC" w14:paraId="24289127" w14:textId="77777777" w:rsidTr="00C30F9D">
        <w:tc>
          <w:tcPr>
            <w:tcW w:w="1842" w:type="dxa"/>
            <w:hideMark/>
          </w:tcPr>
          <w:p w14:paraId="79C40822" w14:textId="77777777" w:rsidR="005A5957" w:rsidRPr="009F74EC" w:rsidRDefault="005A5957" w:rsidP="00C30F9D">
            <w:pPr>
              <w:pStyle w:val="ListParagraph"/>
              <w:ind w:left="5"/>
              <w:jc w:val="left"/>
              <w:rPr>
                <w:rFonts w:cs="Arial"/>
                <w:sz w:val="16"/>
                <w:szCs w:val="16"/>
                <w:lang w:val="es-ES_tradnl"/>
              </w:rPr>
            </w:pPr>
            <w:r w:rsidRPr="009F74EC">
              <w:rPr>
                <w:rFonts w:cs="Arial"/>
                <w:sz w:val="16"/>
                <w:szCs w:val="16"/>
                <w:lang w:val="es-ES_tradnl"/>
              </w:rPr>
              <w:lastRenderedPageBreak/>
              <w:t xml:space="preserve">Visita del </w:t>
            </w:r>
            <w:proofErr w:type="gramStart"/>
            <w:r w:rsidRPr="009F74EC">
              <w:rPr>
                <w:rFonts w:cs="Arial"/>
                <w:sz w:val="16"/>
                <w:szCs w:val="16"/>
                <w:lang w:val="es-ES_tradnl"/>
              </w:rPr>
              <w:t>Presidente</w:t>
            </w:r>
            <w:proofErr w:type="gramEnd"/>
            <w:r w:rsidRPr="009F74EC">
              <w:rPr>
                <w:rFonts w:cs="Arial"/>
                <w:sz w:val="16"/>
                <w:szCs w:val="16"/>
                <w:lang w:val="es-ES_tradnl"/>
              </w:rPr>
              <w:t xml:space="preserve"> de la OCVV</w:t>
            </w:r>
          </w:p>
        </w:tc>
        <w:tc>
          <w:tcPr>
            <w:tcW w:w="1264" w:type="dxa"/>
            <w:hideMark/>
          </w:tcPr>
          <w:p w14:paraId="707909EB" w14:textId="77777777" w:rsidR="005A5957" w:rsidRPr="009F74EC" w:rsidRDefault="005A5957" w:rsidP="00C30F9D">
            <w:pPr>
              <w:jc w:val="left"/>
              <w:rPr>
                <w:rFonts w:cs="Arial"/>
                <w:sz w:val="16"/>
                <w:szCs w:val="16"/>
              </w:rPr>
            </w:pPr>
            <w:r w:rsidRPr="009F74EC">
              <w:rPr>
                <w:rFonts w:cs="Arial"/>
                <w:sz w:val="16"/>
                <w:szCs w:val="16"/>
              </w:rPr>
              <w:t>18-21.04.2023</w:t>
            </w:r>
          </w:p>
        </w:tc>
        <w:tc>
          <w:tcPr>
            <w:tcW w:w="1279" w:type="dxa"/>
            <w:hideMark/>
          </w:tcPr>
          <w:p w14:paraId="6E7E6917" w14:textId="77777777" w:rsidR="005A5957" w:rsidRPr="009F74EC" w:rsidRDefault="005A5957" w:rsidP="00C30F9D">
            <w:pPr>
              <w:jc w:val="left"/>
              <w:rPr>
                <w:rFonts w:cs="Arial"/>
                <w:sz w:val="16"/>
                <w:szCs w:val="16"/>
              </w:rPr>
            </w:pPr>
            <w:r w:rsidRPr="009F74EC">
              <w:rPr>
                <w:rFonts w:cs="Arial"/>
                <w:sz w:val="16"/>
                <w:szCs w:val="16"/>
              </w:rPr>
              <w:t>Polonia (varios lugares)</w:t>
            </w:r>
          </w:p>
        </w:tc>
        <w:tc>
          <w:tcPr>
            <w:tcW w:w="1418" w:type="dxa"/>
            <w:hideMark/>
          </w:tcPr>
          <w:p w14:paraId="029286C7" w14:textId="77777777" w:rsidR="005A5957" w:rsidRPr="009F74EC" w:rsidRDefault="005A5957" w:rsidP="00C30F9D">
            <w:pPr>
              <w:jc w:val="left"/>
              <w:rPr>
                <w:rFonts w:cs="Arial"/>
                <w:sz w:val="16"/>
                <w:szCs w:val="16"/>
              </w:rPr>
            </w:pPr>
            <w:r w:rsidRPr="009F74EC">
              <w:rPr>
                <w:rFonts w:cs="Arial"/>
                <w:sz w:val="16"/>
                <w:szCs w:val="16"/>
              </w:rPr>
              <w:t>OCVV, COBORU</w:t>
            </w:r>
          </w:p>
        </w:tc>
        <w:tc>
          <w:tcPr>
            <w:tcW w:w="2267" w:type="dxa"/>
            <w:hideMark/>
          </w:tcPr>
          <w:p w14:paraId="4A4937AA" w14:textId="77777777" w:rsidR="005A5957" w:rsidRPr="009F74EC" w:rsidRDefault="005A5957" w:rsidP="00C30F9D">
            <w:pPr>
              <w:spacing w:line="228" w:lineRule="auto"/>
              <w:jc w:val="left"/>
              <w:rPr>
                <w:rFonts w:cs="Arial"/>
                <w:sz w:val="16"/>
                <w:szCs w:val="16"/>
              </w:rPr>
            </w:pPr>
            <w:r w:rsidRPr="009F74EC">
              <w:rPr>
                <w:rFonts w:cs="Arial"/>
                <w:sz w:val="16"/>
                <w:szCs w:val="16"/>
              </w:rPr>
              <w:t xml:space="preserve">Visita de trabajo del nuevo </w:t>
            </w:r>
            <w:proofErr w:type="gramStart"/>
            <w:r w:rsidRPr="009F74EC">
              <w:rPr>
                <w:rFonts w:cs="Arial"/>
                <w:sz w:val="16"/>
                <w:szCs w:val="16"/>
              </w:rPr>
              <w:t>Presidente</w:t>
            </w:r>
            <w:proofErr w:type="gramEnd"/>
            <w:r w:rsidRPr="009F74EC">
              <w:rPr>
                <w:rFonts w:cs="Arial"/>
                <w:sz w:val="16"/>
                <w:szCs w:val="16"/>
              </w:rPr>
              <w:t xml:space="preserve"> de la OCVV</w:t>
            </w:r>
          </w:p>
        </w:tc>
        <w:tc>
          <w:tcPr>
            <w:tcW w:w="1843" w:type="dxa"/>
            <w:hideMark/>
          </w:tcPr>
          <w:p w14:paraId="75E95783" w14:textId="77777777" w:rsidR="005A5957" w:rsidRPr="009F74EC" w:rsidRDefault="005A5957" w:rsidP="00C30F9D">
            <w:pPr>
              <w:jc w:val="left"/>
              <w:rPr>
                <w:rFonts w:cs="Arial"/>
                <w:sz w:val="16"/>
                <w:szCs w:val="16"/>
              </w:rPr>
            </w:pPr>
            <w:r w:rsidRPr="009F74EC">
              <w:rPr>
                <w:rFonts w:cs="Arial"/>
                <w:sz w:val="16"/>
                <w:szCs w:val="16"/>
              </w:rPr>
              <w:t>OCVV: 3</w:t>
            </w:r>
          </w:p>
          <w:p w14:paraId="13CF3CDF" w14:textId="77777777" w:rsidR="005A5957" w:rsidRPr="009F74EC" w:rsidRDefault="005A5957" w:rsidP="00C30F9D">
            <w:pPr>
              <w:jc w:val="left"/>
              <w:rPr>
                <w:rFonts w:cs="Arial"/>
                <w:sz w:val="16"/>
                <w:szCs w:val="16"/>
              </w:rPr>
            </w:pPr>
            <w:r w:rsidRPr="009F74EC">
              <w:rPr>
                <w:rFonts w:cs="Arial"/>
                <w:sz w:val="16"/>
                <w:szCs w:val="16"/>
              </w:rPr>
              <w:t>PL: 7</w:t>
            </w:r>
          </w:p>
          <w:p w14:paraId="105EE94B" w14:textId="77777777" w:rsidR="005A5957" w:rsidRPr="009F74EC" w:rsidRDefault="005A5957" w:rsidP="00C30F9D">
            <w:pPr>
              <w:jc w:val="left"/>
              <w:rPr>
                <w:rFonts w:cs="Arial"/>
                <w:sz w:val="16"/>
                <w:szCs w:val="16"/>
              </w:rPr>
            </w:pPr>
            <w:r w:rsidRPr="009F74EC">
              <w:rPr>
                <w:rFonts w:cs="Arial"/>
                <w:sz w:val="16"/>
                <w:szCs w:val="16"/>
              </w:rPr>
              <w:t>Total: 200</w:t>
            </w:r>
          </w:p>
        </w:tc>
      </w:tr>
      <w:tr w:rsidR="005A5957" w:rsidRPr="009F74EC" w14:paraId="1013441C" w14:textId="77777777" w:rsidTr="00C30F9D">
        <w:tc>
          <w:tcPr>
            <w:tcW w:w="1842" w:type="dxa"/>
            <w:hideMark/>
          </w:tcPr>
          <w:p w14:paraId="435553C5" w14:textId="7857E3C2" w:rsidR="005A5957" w:rsidRPr="009F74EC" w:rsidRDefault="005A5957" w:rsidP="00C30F9D">
            <w:pPr>
              <w:pStyle w:val="ListParagraph"/>
              <w:ind w:left="5"/>
              <w:jc w:val="left"/>
              <w:rPr>
                <w:rFonts w:cs="Arial"/>
                <w:sz w:val="16"/>
                <w:szCs w:val="16"/>
                <w:lang w:val="es-ES_tradnl"/>
              </w:rPr>
            </w:pPr>
            <w:r w:rsidRPr="009F74EC">
              <w:rPr>
                <w:rFonts w:cs="Arial"/>
                <w:sz w:val="16"/>
                <w:szCs w:val="16"/>
                <w:lang w:val="es-ES_tradnl"/>
              </w:rPr>
              <w:t xml:space="preserve">116 </w:t>
            </w:r>
            <w:proofErr w:type="gramStart"/>
            <w:r w:rsidRPr="009F74EC">
              <w:rPr>
                <w:rFonts w:cs="Arial"/>
                <w:sz w:val="16"/>
                <w:szCs w:val="16"/>
                <w:lang w:val="es-ES_tradnl"/>
              </w:rPr>
              <w:t>Concurso</w:t>
            </w:r>
            <w:proofErr w:type="gramEnd"/>
            <w:r w:rsidRPr="009F74EC">
              <w:rPr>
                <w:rFonts w:cs="Arial"/>
                <w:sz w:val="16"/>
                <w:szCs w:val="16"/>
                <w:lang w:val="es-ES_tradnl"/>
              </w:rPr>
              <w:t xml:space="preserve"> Internacional de la Rosa</w:t>
            </w:r>
          </w:p>
        </w:tc>
        <w:tc>
          <w:tcPr>
            <w:tcW w:w="1264" w:type="dxa"/>
            <w:hideMark/>
          </w:tcPr>
          <w:p w14:paraId="3B7B74CC" w14:textId="77777777" w:rsidR="005A5957" w:rsidRPr="009F74EC" w:rsidRDefault="005A5957" w:rsidP="00C30F9D">
            <w:pPr>
              <w:jc w:val="left"/>
              <w:rPr>
                <w:rFonts w:cs="Arial"/>
                <w:sz w:val="16"/>
                <w:szCs w:val="16"/>
              </w:rPr>
            </w:pPr>
            <w:r w:rsidRPr="009F74EC">
              <w:rPr>
                <w:rFonts w:cs="Arial"/>
                <w:sz w:val="16"/>
                <w:szCs w:val="16"/>
              </w:rPr>
              <w:t>15.06.2023</w:t>
            </w:r>
          </w:p>
        </w:tc>
        <w:tc>
          <w:tcPr>
            <w:tcW w:w="1279" w:type="dxa"/>
            <w:hideMark/>
          </w:tcPr>
          <w:p w14:paraId="0A3C93D9" w14:textId="77777777" w:rsidR="005A5957" w:rsidRPr="009F74EC" w:rsidRDefault="005A5957" w:rsidP="00C30F9D">
            <w:pPr>
              <w:jc w:val="left"/>
              <w:rPr>
                <w:rFonts w:cs="Arial"/>
                <w:sz w:val="16"/>
                <w:szCs w:val="16"/>
              </w:rPr>
            </w:pPr>
            <w:r w:rsidRPr="009F74EC">
              <w:rPr>
                <w:rFonts w:cs="Arial"/>
                <w:sz w:val="16"/>
                <w:szCs w:val="16"/>
              </w:rPr>
              <w:t>París, Francia</w:t>
            </w:r>
          </w:p>
        </w:tc>
        <w:tc>
          <w:tcPr>
            <w:tcW w:w="1418" w:type="dxa"/>
            <w:hideMark/>
          </w:tcPr>
          <w:p w14:paraId="5100A839" w14:textId="77777777" w:rsidR="005A5957" w:rsidRPr="009F74EC" w:rsidRDefault="005A5957" w:rsidP="00C30F9D">
            <w:pPr>
              <w:jc w:val="left"/>
              <w:rPr>
                <w:rFonts w:cs="Arial"/>
                <w:sz w:val="16"/>
                <w:szCs w:val="16"/>
              </w:rPr>
            </w:pPr>
            <w:r w:rsidRPr="009F74EC">
              <w:rPr>
                <w:rFonts w:cs="Arial"/>
                <w:sz w:val="16"/>
                <w:szCs w:val="16"/>
              </w:rPr>
              <w:t xml:space="preserve">Jardines de </w:t>
            </w:r>
            <w:proofErr w:type="spellStart"/>
            <w:r w:rsidRPr="009F74EC">
              <w:rPr>
                <w:rFonts w:cs="Arial"/>
                <w:sz w:val="16"/>
                <w:szCs w:val="16"/>
              </w:rPr>
              <w:t>Bagatelle</w:t>
            </w:r>
            <w:proofErr w:type="spellEnd"/>
            <w:r w:rsidRPr="009F74EC">
              <w:rPr>
                <w:rFonts w:cs="Arial"/>
                <w:sz w:val="16"/>
                <w:szCs w:val="16"/>
              </w:rPr>
              <w:t xml:space="preserve"> en París, Francia</w:t>
            </w:r>
          </w:p>
        </w:tc>
        <w:tc>
          <w:tcPr>
            <w:tcW w:w="2267" w:type="dxa"/>
            <w:hideMark/>
          </w:tcPr>
          <w:p w14:paraId="21427BFC" w14:textId="77777777" w:rsidR="005A5957" w:rsidRPr="009F74EC" w:rsidRDefault="005A5957" w:rsidP="00C30F9D">
            <w:pPr>
              <w:spacing w:line="228" w:lineRule="auto"/>
              <w:jc w:val="left"/>
              <w:rPr>
                <w:rFonts w:cs="Arial"/>
                <w:sz w:val="16"/>
                <w:szCs w:val="16"/>
              </w:rPr>
            </w:pPr>
            <w:r w:rsidRPr="009F74EC">
              <w:rPr>
                <w:rFonts w:cs="Arial"/>
                <w:sz w:val="16"/>
                <w:szCs w:val="16"/>
              </w:rPr>
              <w:t>Promoción de la oficina PVP PL tras obtener una nueva encomienda de la OCVV (rosas de jardín)</w:t>
            </w:r>
          </w:p>
        </w:tc>
        <w:tc>
          <w:tcPr>
            <w:tcW w:w="1843" w:type="dxa"/>
            <w:hideMark/>
          </w:tcPr>
          <w:p w14:paraId="0E9B2DE5" w14:textId="77777777" w:rsidR="005A5957" w:rsidRPr="009F74EC" w:rsidRDefault="005A5957" w:rsidP="00C30F9D">
            <w:pPr>
              <w:jc w:val="left"/>
              <w:rPr>
                <w:rFonts w:cs="Arial"/>
                <w:sz w:val="16"/>
                <w:szCs w:val="16"/>
              </w:rPr>
            </w:pPr>
            <w:r w:rsidRPr="009F74EC">
              <w:rPr>
                <w:rFonts w:cs="Arial"/>
                <w:sz w:val="16"/>
                <w:szCs w:val="16"/>
              </w:rPr>
              <w:t>PL: 3</w:t>
            </w:r>
          </w:p>
          <w:p w14:paraId="723C5845" w14:textId="77777777" w:rsidR="005A5957" w:rsidRPr="009F74EC" w:rsidRDefault="005A5957" w:rsidP="00C30F9D">
            <w:pPr>
              <w:jc w:val="left"/>
              <w:rPr>
                <w:rFonts w:cs="Arial"/>
                <w:sz w:val="16"/>
                <w:szCs w:val="16"/>
              </w:rPr>
            </w:pPr>
            <w:r w:rsidRPr="009F74EC">
              <w:rPr>
                <w:rFonts w:cs="Arial"/>
                <w:sz w:val="16"/>
                <w:szCs w:val="16"/>
              </w:rPr>
              <w:t>Total: 150</w:t>
            </w:r>
          </w:p>
        </w:tc>
      </w:tr>
      <w:tr w:rsidR="005A5957" w:rsidRPr="009F74EC" w14:paraId="271C70CA" w14:textId="77777777" w:rsidTr="00C30F9D">
        <w:tc>
          <w:tcPr>
            <w:tcW w:w="1842" w:type="dxa"/>
            <w:hideMark/>
          </w:tcPr>
          <w:p w14:paraId="4E288F28" w14:textId="77777777" w:rsidR="005A5957" w:rsidRPr="009F74EC" w:rsidRDefault="005A5957" w:rsidP="00C30F9D">
            <w:pPr>
              <w:pStyle w:val="ListParagraph"/>
              <w:ind w:left="5"/>
              <w:jc w:val="left"/>
              <w:rPr>
                <w:rFonts w:cs="Arial"/>
                <w:sz w:val="16"/>
                <w:szCs w:val="16"/>
                <w:lang w:val="es-ES_tradnl"/>
              </w:rPr>
            </w:pPr>
            <w:r w:rsidRPr="009F74EC">
              <w:rPr>
                <w:rFonts w:cs="Arial"/>
                <w:sz w:val="16"/>
                <w:szCs w:val="16"/>
                <w:lang w:val="es-ES_tradnl"/>
              </w:rPr>
              <w:t xml:space="preserve">Visita de la delegación NEBIH (HU) </w:t>
            </w:r>
          </w:p>
        </w:tc>
        <w:tc>
          <w:tcPr>
            <w:tcW w:w="1264" w:type="dxa"/>
            <w:hideMark/>
          </w:tcPr>
          <w:p w14:paraId="0508D916" w14:textId="77777777" w:rsidR="005A5957" w:rsidRPr="009F74EC" w:rsidRDefault="005A5957" w:rsidP="00C30F9D">
            <w:pPr>
              <w:jc w:val="left"/>
              <w:rPr>
                <w:rFonts w:cs="Arial"/>
                <w:sz w:val="16"/>
                <w:szCs w:val="16"/>
              </w:rPr>
            </w:pPr>
            <w:r w:rsidRPr="009F74EC">
              <w:rPr>
                <w:rFonts w:cs="Arial"/>
                <w:sz w:val="16"/>
                <w:szCs w:val="16"/>
              </w:rPr>
              <w:t>19-21.07.2023</w:t>
            </w:r>
          </w:p>
        </w:tc>
        <w:tc>
          <w:tcPr>
            <w:tcW w:w="1279" w:type="dxa"/>
            <w:hideMark/>
          </w:tcPr>
          <w:p w14:paraId="3F7CD584" w14:textId="77777777" w:rsidR="005A5957" w:rsidRPr="009F74EC" w:rsidRDefault="005A5957" w:rsidP="00C30F9D">
            <w:pPr>
              <w:jc w:val="left"/>
              <w:rPr>
                <w:rFonts w:cs="Arial"/>
                <w:sz w:val="16"/>
                <w:szCs w:val="16"/>
              </w:rPr>
            </w:pPr>
            <w:r w:rsidRPr="009F74EC">
              <w:rPr>
                <w:rFonts w:cs="Arial"/>
                <w:sz w:val="16"/>
                <w:szCs w:val="16"/>
              </w:rPr>
              <w:t>Polonia (varios lugares)</w:t>
            </w:r>
          </w:p>
        </w:tc>
        <w:tc>
          <w:tcPr>
            <w:tcW w:w="1418" w:type="dxa"/>
            <w:hideMark/>
          </w:tcPr>
          <w:p w14:paraId="33180F75" w14:textId="77777777" w:rsidR="005A5957" w:rsidRPr="009F74EC" w:rsidRDefault="005A5957" w:rsidP="00C30F9D">
            <w:pPr>
              <w:jc w:val="left"/>
              <w:rPr>
                <w:rFonts w:cs="Arial"/>
                <w:sz w:val="16"/>
                <w:szCs w:val="16"/>
              </w:rPr>
            </w:pPr>
            <w:r w:rsidRPr="009F74EC">
              <w:rPr>
                <w:rFonts w:cs="Arial"/>
                <w:sz w:val="16"/>
                <w:szCs w:val="16"/>
              </w:rPr>
              <w:t>COBORU, NEBIH</w:t>
            </w:r>
          </w:p>
        </w:tc>
        <w:tc>
          <w:tcPr>
            <w:tcW w:w="2267" w:type="dxa"/>
            <w:hideMark/>
          </w:tcPr>
          <w:p w14:paraId="3D15C190" w14:textId="77777777" w:rsidR="005A5957" w:rsidRPr="009F74EC" w:rsidRDefault="005A5957" w:rsidP="00C30F9D">
            <w:pPr>
              <w:spacing w:line="228" w:lineRule="auto"/>
              <w:jc w:val="left"/>
              <w:rPr>
                <w:rFonts w:cs="Arial"/>
                <w:sz w:val="16"/>
                <w:szCs w:val="16"/>
              </w:rPr>
            </w:pPr>
            <w:r w:rsidRPr="009F74EC">
              <w:rPr>
                <w:rFonts w:cs="Arial"/>
                <w:sz w:val="16"/>
                <w:szCs w:val="16"/>
              </w:rPr>
              <w:t>Reunión de trabajo</w:t>
            </w:r>
          </w:p>
        </w:tc>
        <w:tc>
          <w:tcPr>
            <w:tcW w:w="1843" w:type="dxa"/>
            <w:hideMark/>
          </w:tcPr>
          <w:p w14:paraId="06AF84C9" w14:textId="77777777" w:rsidR="005A5957" w:rsidRPr="009F74EC" w:rsidRDefault="005A5957" w:rsidP="00C30F9D">
            <w:pPr>
              <w:jc w:val="left"/>
              <w:rPr>
                <w:rFonts w:cs="Arial"/>
                <w:sz w:val="16"/>
                <w:szCs w:val="16"/>
              </w:rPr>
            </w:pPr>
            <w:r w:rsidRPr="009F74EC">
              <w:rPr>
                <w:rFonts w:cs="Arial"/>
                <w:sz w:val="16"/>
                <w:szCs w:val="16"/>
              </w:rPr>
              <w:t>PL: 11</w:t>
            </w:r>
          </w:p>
          <w:p w14:paraId="1685D3D6" w14:textId="77777777" w:rsidR="005A5957" w:rsidRPr="009F74EC" w:rsidRDefault="005A5957" w:rsidP="00C30F9D">
            <w:pPr>
              <w:jc w:val="left"/>
              <w:rPr>
                <w:rFonts w:cs="Arial"/>
                <w:sz w:val="16"/>
                <w:szCs w:val="16"/>
              </w:rPr>
            </w:pPr>
            <w:r w:rsidRPr="009F74EC">
              <w:rPr>
                <w:rFonts w:cs="Arial"/>
                <w:sz w:val="16"/>
                <w:szCs w:val="16"/>
              </w:rPr>
              <w:t>HU: 3</w:t>
            </w:r>
          </w:p>
        </w:tc>
      </w:tr>
      <w:tr w:rsidR="005A5957" w:rsidRPr="009F74EC" w14:paraId="53C4D554" w14:textId="77777777" w:rsidTr="00C30F9D">
        <w:tc>
          <w:tcPr>
            <w:tcW w:w="1842" w:type="dxa"/>
          </w:tcPr>
          <w:p w14:paraId="091FCA21" w14:textId="77777777" w:rsidR="005A5957" w:rsidRPr="009F74EC" w:rsidRDefault="005A5957" w:rsidP="00C30F9D">
            <w:pPr>
              <w:pStyle w:val="ListParagraph"/>
              <w:ind w:left="5"/>
              <w:jc w:val="left"/>
              <w:rPr>
                <w:rFonts w:cs="Arial"/>
                <w:sz w:val="16"/>
                <w:szCs w:val="16"/>
                <w:lang w:val="es-ES_tradnl"/>
              </w:rPr>
            </w:pPr>
            <w:r w:rsidRPr="009F74EC">
              <w:rPr>
                <w:rFonts w:cs="Arial"/>
                <w:sz w:val="16"/>
                <w:szCs w:val="16"/>
                <w:lang w:val="es-ES_tradnl"/>
              </w:rPr>
              <w:t xml:space="preserve">Reuniones del Proyecto </w:t>
            </w:r>
            <w:proofErr w:type="spellStart"/>
            <w:r w:rsidRPr="009F74EC">
              <w:rPr>
                <w:rFonts w:cs="Arial"/>
                <w:sz w:val="16"/>
                <w:szCs w:val="16"/>
                <w:lang w:val="es-ES_tradnl"/>
              </w:rPr>
              <w:t>Twining</w:t>
            </w:r>
            <w:proofErr w:type="spellEnd"/>
            <w:r w:rsidRPr="009F74EC">
              <w:rPr>
                <w:rFonts w:cs="Arial"/>
                <w:sz w:val="16"/>
                <w:szCs w:val="16"/>
                <w:lang w:val="es-ES_tradnl"/>
              </w:rPr>
              <w:t>: UA 19 ENI HE 01 20 para Ucrania</w:t>
            </w:r>
          </w:p>
          <w:p w14:paraId="239A182D" w14:textId="77777777" w:rsidR="005A5957" w:rsidRPr="009F74EC" w:rsidRDefault="005A5957" w:rsidP="00C30F9D">
            <w:pPr>
              <w:pStyle w:val="ListParagraph"/>
              <w:ind w:left="5"/>
              <w:jc w:val="left"/>
              <w:rPr>
                <w:rFonts w:cs="Arial"/>
                <w:sz w:val="16"/>
                <w:szCs w:val="16"/>
                <w:lang w:val="es-ES_tradnl"/>
              </w:rPr>
            </w:pPr>
          </w:p>
        </w:tc>
        <w:tc>
          <w:tcPr>
            <w:tcW w:w="1264" w:type="dxa"/>
          </w:tcPr>
          <w:p w14:paraId="699E350F" w14:textId="77777777" w:rsidR="005A5957" w:rsidRPr="009F74EC" w:rsidRDefault="005A5957" w:rsidP="00C30F9D">
            <w:pPr>
              <w:jc w:val="left"/>
              <w:rPr>
                <w:rFonts w:cs="Arial"/>
                <w:sz w:val="16"/>
                <w:szCs w:val="16"/>
              </w:rPr>
            </w:pPr>
            <w:r w:rsidRPr="009F74EC">
              <w:rPr>
                <w:rFonts w:cs="Arial"/>
                <w:sz w:val="16"/>
                <w:szCs w:val="16"/>
              </w:rPr>
              <w:t>24.02.2023</w:t>
            </w:r>
          </w:p>
          <w:p w14:paraId="756681EC" w14:textId="77777777" w:rsidR="005A5957" w:rsidRPr="009F74EC" w:rsidRDefault="005A5957" w:rsidP="00C30F9D">
            <w:pPr>
              <w:jc w:val="left"/>
              <w:rPr>
                <w:rFonts w:cs="Arial"/>
                <w:sz w:val="16"/>
                <w:szCs w:val="16"/>
              </w:rPr>
            </w:pPr>
          </w:p>
          <w:p w14:paraId="78933623" w14:textId="77777777" w:rsidR="005A5957" w:rsidRPr="009F74EC" w:rsidRDefault="005A5957" w:rsidP="00C30F9D">
            <w:pPr>
              <w:jc w:val="left"/>
              <w:rPr>
                <w:rFonts w:cs="Arial"/>
                <w:sz w:val="16"/>
                <w:szCs w:val="16"/>
              </w:rPr>
            </w:pPr>
          </w:p>
          <w:p w14:paraId="4290E336" w14:textId="77777777" w:rsidR="005A5957" w:rsidRPr="009F74EC" w:rsidRDefault="005A5957" w:rsidP="00C30F9D">
            <w:pPr>
              <w:jc w:val="left"/>
              <w:rPr>
                <w:rFonts w:cs="Arial"/>
                <w:sz w:val="16"/>
                <w:szCs w:val="16"/>
              </w:rPr>
            </w:pPr>
            <w:r w:rsidRPr="009F74EC">
              <w:rPr>
                <w:rFonts w:cs="Arial"/>
                <w:sz w:val="16"/>
                <w:szCs w:val="16"/>
              </w:rPr>
              <w:t>16.05.2023</w:t>
            </w:r>
          </w:p>
          <w:p w14:paraId="4B696A41" w14:textId="77777777" w:rsidR="005A5957" w:rsidRPr="009F74EC" w:rsidRDefault="005A5957" w:rsidP="00C30F9D">
            <w:pPr>
              <w:jc w:val="left"/>
              <w:rPr>
                <w:rFonts w:cs="Arial"/>
                <w:sz w:val="16"/>
                <w:szCs w:val="16"/>
              </w:rPr>
            </w:pPr>
          </w:p>
          <w:p w14:paraId="261E1F13" w14:textId="77777777" w:rsidR="005A5957" w:rsidRPr="009F74EC" w:rsidRDefault="005A5957" w:rsidP="00C30F9D">
            <w:pPr>
              <w:jc w:val="left"/>
              <w:rPr>
                <w:rFonts w:cs="Arial"/>
                <w:sz w:val="16"/>
                <w:szCs w:val="16"/>
              </w:rPr>
            </w:pPr>
          </w:p>
          <w:p w14:paraId="6C9ADF1C" w14:textId="77777777" w:rsidR="005A5957" w:rsidRPr="009F74EC" w:rsidRDefault="005A5957" w:rsidP="00C30F9D">
            <w:pPr>
              <w:jc w:val="left"/>
              <w:rPr>
                <w:rFonts w:cs="Arial"/>
                <w:sz w:val="16"/>
                <w:szCs w:val="16"/>
              </w:rPr>
            </w:pPr>
            <w:r w:rsidRPr="009F74EC">
              <w:rPr>
                <w:rFonts w:cs="Arial"/>
                <w:sz w:val="16"/>
                <w:szCs w:val="16"/>
              </w:rPr>
              <w:t>10.08.2023</w:t>
            </w:r>
          </w:p>
          <w:p w14:paraId="0C6E32C1" w14:textId="77777777" w:rsidR="005A5957" w:rsidRPr="009F74EC" w:rsidRDefault="005A5957" w:rsidP="00C30F9D">
            <w:pPr>
              <w:jc w:val="left"/>
              <w:rPr>
                <w:rFonts w:cs="Arial"/>
                <w:sz w:val="16"/>
                <w:szCs w:val="16"/>
              </w:rPr>
            </w:pPr>
          </w:p>
          <w:p w14:paraId="7A9DDA12" w14:textId="77777777" w:rsidR="005A5957" w:rsidRPr="009F74EC" w:rsidRDefault="005A5957" w:rsidP="00C30F9D">
            <w:pPr>
              <w:jc w:val="left"/>
              <w:rPr>
                <w:rFonts w:cs="Arial"/>
                <w:sz w:val="16"/>
                <w:szCs w:val="16"/>
              </w:rPr>
            </w:pPr>
          </w:p>
          <w:p w14:paraId="14C3DB14" w14:textId="77777777" w:rsidR="005A5957" w:rsidRPr="009F74EC" w:rsidRDefault="005A5957" w:rsidP="00C30F9D">
            <w:pPr>
              <w:jc w:val="left"/>
              <w:rPr>
                <w:rFonts w:cs="Arial"/>
                <w:sz w:val="16"/>
                <w:szCs w:val="16"/>
              </w:rPr>
            </w:pPr>
            <w:r w:rsidRPr="009F74EC">
              <w:rPr>
                <w:rFonts w:cs="Arial"/>
                <w:sz w:val="16"/>
                <w:szCs w:val="16"/>
              </w:rPr>
              <w:t>16.08.2023</w:t>
            </w:r>
          </w:p>
          <w:p w14:paraId="38B84F87" w14:textId="77777777" w:rsidR="005A5957" w:rsidRPr="009F74EC" w:rsidRDefault="005A5957" w:rsidP="00C30F9D">
            <w:pPr>
              <w:jc w:val="left"/>
              <w:rPr>
                <w:rFonts w:cs="Arial"/>
                <w:sz w:val="16"/>
                <w:szCs w:val="16"/>
              </w:rPr>
            </w:pPr>
          </w:p>
        </w:tc>
        <w:tc>
          <w:tcPr>
            <w:tcW w:w="1279" w:type="dxa"/>
          </w:tcPr>
          <w:p w14:paraId="11CFCFE7" w14:textId="77777777" w:rsidR="005A5957" w:rsidRPr="009F74EC" w:rsidRDefault="005A5957" w:rsidP="00C30F9D">
            <w:pPr>
              <w:jc w:val="left"/>
              <w:rPr>
                <w:rFonts w:cs="Arial"/>
                <w:sz w:val="16"/>
                <w:szCs w:val="16"/>
              </w:rPr>
            </w:pPr>
            <w:r w:rsidRPr="009F74EC">
              <w:rPr>
                <w:rFonts w:cs="Arial"/>
                <w:sz w:val="16"/>
                <w:szCs w:val="16"/>
              </w:rPr>
              <w:t>En línea</w:t>
            </w:r>
          </w:p>
          <w:p w14:paraId="6C678CEF" w14:textId="77777777" w:rsidR="005A5957" w:rsidRPr="009F74EC" w:rsidRDefault="005A5957" w:rsidP="00C30F9D">
            <w:pPr>
              <w:jc w:val="left"/>
              <w:rPr>
                <w:rFonts w:cs="Arial"/>
                <w:sz w:val="16"/>
                <w:szCs w:val="16"/>
              </w:rPr>
            </w:pPr>
          </w:p>
          <w:p w14:paraId="5B96999E" w14:textId="77777777" w:rsidR="005A5957" w:rsidRPr="009F74EC" w:rsidRDefault="005A5957" w:rsidP="00C30F9D">
            <w:pPr>
              <w:jc w:val="left"/>
              <w:rPr>
                <w:rFonts w:cs="Arial"/>
                <w:sz w:val="16"/>
                <w:szCs w:val="16"/>
              </w:rPr>
            </w:pPr>
          </w:p>
          <w:p w14:paraId="3B9038B6" w14:textId="77777777" w:rsidR="005A5957" w:rsidRPr="009F74EC" w:rsidRDefault="005A5957" w:rsidP="00C30F9D">
            <w:pPr>
              <w:jc w:val="left"/>
              <w:rPr>
                <w:rFonts w:cs="Arial"/>
                <w:sz w:val="16"/>
                <w:szCs w:val="16"/>
              </w:rPr>
            </w:pPr>
            <w:r w:rsidRPr="009F74EC">
              <w:rPr>
                <w:rFonts w:cs="Arial"/>
                <w:sz w:val="16"/>
                <w:szCs w:val="16"/>
              </w:rPr>
              <w:t>En línea</w:t>
            </w:r>
          </w:p>
          <w:p w14:paraId="26DC70B1" w14:textId="77777777" w:rsidR="005A5957" w:rsidRPr="009F74EC" w:rsidRDefault="005A5957" w:rsidP="00C30F9D">
            <w:pPr>
              <w:jc w:val="left"/>
              <w:rPr>
                <w:rFonts w:cs="Arial"/>
                <w:sz w:val="16"/>
                <w:szCs w:val="16"/>
              </w:rPr>
            </w:pPr>
          </w:p>
          <w:p w14:paraId="71DBF038" w14:textId="77777777" w:rsidR="005A5957" w:rsidRPr="009F74EC" w:rsidRDefault="005A5957" w:rsidP="00C30F9D">
            <w:pPr>
              <w:jc w:val="left"/>
              <w:rPr>
                <w:rFonts w:cs="Arial"/>
                <w:sz w:val="16"/>
                <w:szCs w:val="16"/>
              </w:rPr>
            </w:pPr>
          </w:p>
          <w:p w14:paraId="1D9B7DD8" w14:textId="77777777" w:rsidR="005A5957" w:rsidRPr="009F74EC" w:rsidRDefault="005A5957" w:rsidP="00C30F9D">
            <w:pPr>
              <w:jc w:val="left"/>
              <w:rPr>
                <w:rFonts w:cs="Arial"/>
                <w:sz w:val="16"/>
                <w:szCs w:val="16"/>
              </w:rPr>
            </w:pPr>
            <w:r w:rsidRPr="009F74EC">
              <w:rPr>
                <w:rFonts w:cs="Arial"/>
                <w:sz w:val="16"/>
                <w:szCs w:val="16"/>
              </w:rPr>
              <w:t>En línea</w:t>
            </w:r>
          </w:p>
          <w:p w14:paraId="713797B7" w14:textId="77777777" w:rsidR="005A5957" w:rsidRPr="009F74EC" w:rsidRDefault="005A5957" w:rsidP="00C30F9D">
            <w:pPr>
              <w:jc w:val="left"/>
              <w:rPr>
                <w:rFonts w:cs="Arial"/>
                <w:sz w:val="16"/>
                <w:szCs w:val="16"/>
              </w:rPr>
            </w:pPr>
          </w:p>
          <w:p w14:paraId="7CC435EC" w14:textId="77777777" w:rsidR="005A5957" w:rsidRPr="009F74EC" w:rsidRDefault="005A5957" w:rsidP="00C30F9D">
            <w:pPr>
              <w:jc w:val="left"/>
              <w:rPr>
                <w:rFonts w:cs="Arial"/>
                <w:sz w:val="16"/>
                <w:szCs w:val="16"/>
              </w:rPr>
            </w:pPr>
          </w:p>
          <w:p w14:paraId="0E55950D" w14:textId="77777777" w:rsidR="005A5957" w:rsidRPr="009F74EC" w:rsidRDefault="005A5957" w:rsidP="00C30F9D">
            <w:pPr>
              <w:jc w:val="left"/>
              <w:rPr>
                <w:rFonts w:cs="Arial"/>
                <w:sz w:val="16"/>
                <w:szCs w:val="16"/>
              </w:rPr>
            </w:pPr>
            <w:r w:rsidRPr="009F74EC">
              <w:rPr>
                <w:rFonts w:cs="Arial"/>
                <w:sz w:val="16"/>
                <w:szCs w:val="16"/>
              </w:rPr>
              <w:t>En línea</w:t>
            </w:r>
          </w:p>
        </w:tc>
        <w:tc>
          <w:tcPr>
            <w:tcW w:w="1418" w:type="dxa"/>
            <w:hideMark/>
          </w:tcPr>
          <w:p w14:paraId="0443C002" w14:textId="77777777" w:rsidR="005A5957" w:rsidRPr="009F74EC" w:rsidRDefault="005A5957" w:rsidP="00C30F9D">
            <w:pPr>
              <w:jc w:val="left"/>
              <w:rPr>
                <w:rFonts w:cs="Arial"/>
                <w:sz w:val="16"/>
                <w:szCs w:val="16"/>
              </w:rPr>
            </w:pPr>
            <w:r w:rsidRPr="009F74EC">
              <w:rPr>
                <w:rFonts w:cs="Arial"/>
                <w:sz w:val="16"/>
                <w:szCs w:val="16"/>
              </w:rPr>
              <w:t>Comisión Europea,</w:t>
            </w:r>
          </w:p>
          <w:p w14:paraId="3629CD9E" w14:textId="77777777" w:rsidR="005A5957" w:rsidRPr="009F74EC" w:rsidRDefault="005A5957" w:rsidP="00C30F9D">
            <w:pPr>
              <w:jc w:val="left"/>
              <w:rPr>
                <w:rFonts w:cs="Arial"/>
                <w:sz w:val="16"/>
                <w:szCs w:val="16"/>
              </w:rPr>
            </w:pPr>
            <w:r w:rsidRPr="009F74EC">
              <w:rPr>
                <w:rFonts w:cs="Arial"/>
                <w:sz w:val="16"/>
                <w:szCs w:val="16"/>
              </w:rPr>
              <w:t>SPPS - Letonia,</w:t>
            </w:r>
          </w:p>
          <w:p w14:paraId="7CC1E569" w14:textId="77777777" w:rsidR="005A5957" w:rsidRPr="009F74EC" w:rsidRDefault="005A5957" w:rsidP="00C30F9D">
            <w:pPr>
              <w:jc w:val="left"/>
              <w:rPr>
                <w:rFonts w:cs="Arial"/>
                <w:sz w:val="16"/>
                <w:szCs w:val="16"/>
              </w:rPr>
            </w:pPr>
            <w:r w:rsidRPr="009F74EC">
              <w:rPr>
                <w:rFonts w:cs="Arial"/>
                <w:sz w:val="16"/>
                <w:szCs w:val="16"/>
              </w:rPr>
              <w:t>UIBOR - Ucrania,</w:t>
            </w:r>
          </w:p>
          <w:p w14:paraId="358AE422" w14:textId="77777777" w:rsidR="005A5957" w:rsidRPr="009F74EC" w:rsidRDefault="005A5957" w:rsidP="00C30F9D">
            <w:pPr>
              <w:jc w:val="left"/>
              <w:rPr>
                <w:rFonts w:cs="Arial"/>
                <w:sz w:val="16"/>
                <w:szCs w:val="16"/>
              </w:rPr>
            </w:pPr>
            <w:r w:rsidRPr="009F74EC">
              <w:rPr>
                <w:rFonts w:cs="Arial"/>
                <w:sz w:val="16"/>
                <w:szCs w:val="16"/>
              </w:rPr>
              <w:t>Ministerio de Asuntos Exteriores de la República de Polonia</w:t>
            </w:r>
          </w:p>
        </w:tc>
        <w:tc>
          <w:tcPr>
            <w:tcW w:w="2267" w:type="dxa"/>
          </w:tcPr>
          <w:p w14:paraId="2C5EB0EA" w14:textId="77777777" w:rsidR="005A5957" w:rsidRPr="009F74EC" w:rsidRDefault="005A5957" w:rsidP="00C30F9D">
            <w:pPr>
              <w:spacing w:line="228" w:lineRule="auto"/>
              <w:jc w:val="left"/>
              <w:rPr>
                <w:rFonts w:cs="Arial"/>
                <w:sz w:val="16"/>
                <w:szCs w:val="16"/>
              </w:rPr>
            </w:pPr>
            <w:r w:rsidRPr="009F74EC">
              <w:rPr>
                <w:rFonts w:cs="Arial"/>
                <w:sz w:val="16"/>
                <w:szCs w:val="16"/>
              </w:rPr>
              <w:t xml:space="preserve">Comité </w:t>
            </w:r>
            <w:proofErr w:type="gramStart"/>
            <w:r w:rsidRPr="009F74EC">
              <w:rPr>
                <w:rFonts w:cs="Arial"/>
                <w:sz w:val="16"/>
                <w:szCs w:val="16"/>
              </w:rPr>
              <w:t>Director</w:t>
            </w:r>
            <w:proofErr w:type="gramEnd"/>
            <w:r w:rsidRPr="009F74EC">
              <w:rPr>
                <w:rFonts w:cs="Arial"/>
                <w:sz w:val="16"/>
                <w:szCs w:val="16"/>
              </w:rPr>
              <w:t>: Informe trimestral</w:t>
            </w:r>
          </w:p>
          <w:p w14:paraId="47B5BC33" w14:textId="77777777" w:rsidR="005A5957" w:rsidRPr="009F74EC" w:rsidRDefault="005A5957" w:rsidP="00C30F9D">
            <w:pPr>
              <w:spacing w:line="228" w:lineRule="auto"/>
              <w:jc w:val="left"/>
              <w:rPr>
                <w:rFonts w:cs="Arial"/>
                <w:sz w:val="16"/>
                <w:szCs w:val="16"/>
              </w:rPr>
            </w:pPr>
          </w:p>
          <w:p w14:paraId="2201DD66" w14:textId="77777777" w:rsidR="005A5957" w:rsidRPr="009F74EC" w:rsidRDefault="005A5957" w:rsidP="00C30F9D">
            <w:pPr>
              <w:spacing w:line="228" w:lineRule="auto"/>
              <w:jc w:val="left"/>
              <w:rPr>
                <w:rFonts w:cs="Arial"/>
                <w:sz w:val="16"/>
                <w:szCs w:val="16"/>
              </w:rPr>
            </w:pPr>
            <w:r w:rsidRPr="009F74EC">
              <w:rPr>
                <w:rFonts w:cs="Arial"/>
                <w:sz w:val="16"/>
                <w:szCs w:val="16"/>
              </w:rPr>
              <w:t xml:space="preserve">Comité </w:t>
            </w:r>
            <w:proofErr w:type="gramStart"/>
            <w:r w:rsidRPr="009F74EC">
              <w:rPr>
                <w:rFonts w:cs="Arial"/>
                <w:sz w:val="16"/>
                <w:szCs w:val="16"/>
              </w:rPr>
              <w:t>Director</w:t>
            </w:r>
            <w:proofErr w:type="gramEnd"/>
            <w:r w:rsidRPr="009F74EC">
              <w:rPr>
                <w:rFonts w:cs="Arial"/>
                <w:sz w:val="16"/>
                <w:szCs w:val="16"/>
              </w:rPr>
              <w:t>: Informe trimestral</w:t>
            </w:r>
          </w:p>
          <w:p w14:paraId="3C9768F9" w14:textId="77777777" w:rsidR="005A5957" w:rsidRPr="009F74EC" w:rsidRDefault="005A5957" w:rsidP="00C30F9D">
            <w:pPr>
              <w:spacing w:line="228" w:lineRule="auto"/>
              <w:jc w:val="left"/>
              <w:rPr>
                <w:rFonts w:cs="Arial"/>
                <w:sz w:val="16"/>
                <w:szCs w:val="16"/>
              </w:rPr>
            </w:pPr>
          </w:p>
          <w:p w14:paraId="17A2E6E9" w14:textId="77777777" w:rsidR="005A5957" w:rsidRPr="009F74EC" w:rsidRDefault="005A5957" w:rsidP="00C30F9D">
            <w:pPr>
              <w:spacing w:line="228" w:lineRule="auto"/>
              <w:jc w:val="left"/>
              <w:rPr>
                <w:rFonts w:cs="Arial"/>
                <w:sz w:val="16"/>
                <w:szCs w:val="16"/>
              </w:rPr>
            </w:pPr>
            <w:r w:rsidRPr="009F74EC">
              <w:rPr>
                <w:rFonts w:cs="Arial"/>
                <w:sz w:val="16"/>
                <w:szCs w:val="16"/>
              </w:rPr>
              <w:t xml:space="preserve">Comité </w:t>
            </w:r>
            <w:proofErr w:type="gramStart"/>
            <w:r w:rsidRPr="009F74EC">
              <w:rPr>
                <w:rFonts w:cs="Arial"/>
                <w:sz w:val="16"/>
                <w:szCs w:val="16"/>
              </w:rPr>
              <w:t>Director</w:t>
            </w:r>
            <w:proofErr w:type="gramEnd"/>
            <w:r w:rsidRPr="009F74EC">
              <w:rPr>
                <w:rFonts w:cs="Arial"/>
                <w:sz w:val="16"/>
                <w:szCs w:val="16"/>
              </w:rPr>
              <w:t>: Informe trimestral</w:t>
            </w:r>
          </w:p>
          <w:p w14:paraId="5F8132F0" w14:textId="77777777" w:rsidR="005A5957" w:rsidRPr="009F74EC" w:rsidRDefault="005A5957" w:rsidP="00C30F9D">
            <w:pPr>
              <w:spacing w:line="228" w:lineRule="auto"/>
              <w:jc w:val="left"/>
              <w:rPr>
                <w:rFonts w:cs="Arial"/>
                <w:sz w:val="16"/>
                <w:szCs w:val="16"/>
              </w:rPr>
            </w:pPr>
          </w:p>
          <w:p w14:paraId="7A8C0729" w14:textId="77777777" w:rsidR="005A5957" w:rsidRPr="009F74EC" w:rsidRDefault="005A5957" w:rsidP="00C30F9D">
            <w:pPr>
              <w:spacing w:line="228" w:lineRule="auto"/>
              <w:jc w:val="left"/>
              <w:rPr>
                <w:rFonts w:cs="Arial"/>
                <w:sz w:val="16"/>
                <w:szCs w:val="16"/>
              </w:rPr>
            </w:pPr>
          </w:p>
          <w:p w14:paraId="68FBB843" w14:textId="77777777" w:rsidR="005A5957" w:rsidRPr="009F74EC" w:rsidRDefault="005A5957" w:rsidP="00C30F9D">
            <w:pPr>
              <w:spacing w:line="228" w:lineRule="auto"/>
              <w:jc w:val="left"/>
              <w:rPr>
                <w:rFonts w:cs="Arial"/>
                <w:sz w:val="16"/>
                <w:szCs w:val="16"/>
              </w:rPr>
            </w:pPr>
            <w:r w:rsidRPr="009F74EC">
              <w:rPr>
                <w:rFonts w:cs="Arial"/>
                <w:sz w:val="16"/>
                <w:szCs w:val="16"/>
              </w:rPr>
              <w:t>Reunión de trabajo</w:t>
            </w:r>
          </w:p>
        </w:tc>
        <w:tc>
          <w:tcPr>
            <w:tcW w:w="1843" w:type="dxa"/>
            <w:hideMark/>
          </w:tcPr>
          <w:p w14:paraId="1BD8D2A9" w14:textId="77777777" w:rsidR="005A5957" w:rsidRPr="009F74EC" w:rsidRDefault="005A5957" w:rsidP="00C30F9D">
            <w:pPr>
              <w:jc w:val="left"/>
              <w:rPr>
                <w:rFonts w:cs="Arial"/>
                <w:sz w:val="16"/>
                <w:szCs w:val="16"/>
              </w:rPr>
            </w:pPr>
            <w:r w:rsidRPr="009F74EC">
              <w:rPr>
                <w:rFonts w:cs="Arial"/>
                <w:sz w:val="16"/>
                <w:szCs w:val="16"/>
              </w:rPr>
              <w:t>PL: 2</w:t>
            </w:r>
          </w:p>
          <w:p w14:paraId="68165B95" w14:textId="77777777" w:rsidR="005A5957" w:rsidRPr="009F74EC" w:rsidRDefault="005A5957" w:rsidP="00C30F9D">
            <w:pPr>
              <w:jc w:val="left"/>
              <w:rPr>
                <w:rFonts w:cs="Arial"/>
                <w:sz w:val="16"/>
                <w:szCs w:val="16"/>
              </w:rPr>
            </w:pPr>
            <w:r w:rsidRPr="009F74EC">
              <w:rPr>
                <w:rFonts w:cs="Arial"/>
                <w:sz w:val="16"/>
                <w:szCs w:val="16"/>
              </w:rPr>
              <w:t>Total: 17</w:t>
            </w:r>
          </w:p>
          <w:p w14:paraId="3CC45A31" w14:textId="77777777" w:rsidR="005A5957" w:rsidRPr="009F74EC" w:rsidRDefault="005A5957" w:rsidP="00C30F9D">
            <w:pPr>
              <w:jc w:val="left"/>
              <w:rPr>
                <w:rFonts w:cs="Arial"/>
                <w:sz w:val="16"/>
                <w:szCs w:val="16"/>
              </w:rPr>
            </w:pPr>
            <w:r w:rsidRPr="009F74EC">
              <w:rPr>
                <w:rFonts w:cs="Arial"/>
                <w:sz w:val="16"/>
                <w:szCs w:val="16"/>
              </w:rPr>
              <w:t>(cada reunión de dirección)</w:t>
            </w:r>
          </w:p>
        </w:tc>
      </w:tr>
    </w:tbl>
    <w:p w14:paraId="4138D4F4" w14:textId="77777777" w:rsidR="005A5957" w:rsidRPr="009F74EC" w:rsidRDefault="005A5957" w:rsidP="005A5957">
      <w:pPr>
        <w:tabs>
          <w:tab w:val="left" w:pos="567"/>
          <w:tab w:val="left" w:pos="4962"/>
        </w:tabs>
        <w:rPr>
          <w:rFonts w:cs="Arial"/>
          <w:color w:val="000000"/>
        </w:rPr>
      </w:pPr>
    </w:p>
    <w:p w14:paraId="3C4E5B86" w14:textId="77777777" w:rsidR="005A5957" w:rsidRPr="009F74EC" w:rsidRDefault="005A5957" w:rsidP="005A5957">
      <w:pPr>
        <w:rPr>
          <w:rFonts w:cs="Arial"/>
          <w:bCs/>
        </w:rPr>
      </w:pPr>
    </w:p>
    <w:p w14:paraId="2519F714" w14:textId="77777777" w:rsidR="005A5957" w:rsidRPr="009F74EC" w:rsidRDefault="005A5957" w:rsidP="005A5957">
      <w:pPr>
        <w:rPr>
          <w:rFonts w:cs="Arial"/>
          <w:bCs/>
        </w:rPr>
      </w:pPr>
      <w:r w:rsidRPr="009F74EC">
        <w:rPr>
          <w:rFonts w:cs="Arial"/>
          <w:bCs/>
        </w:rPr>
        <w:t>II.</w:t>
      </w:r>
      <w:r w:rsidRPr="009F74EC">
        <w:rPr>
          <w:rFonts w:cs="Arial"/>
          <w:bCs/>
        </w:rPr>
        <w:tab/>
        <w:t>OTROS ACONTECIMIENTOS RELEVANTES PARA LA UPOV</w:t>
      </w:r>
    </w:p>
    <w:p w14:paraId="7028741C" w14:textId="77777777" w:rsidR="005A5957" w:rsidRPr="009F74EC" w:rsidRDefault="005A5957" w:rsidP="005A5957">
      <w:pPr>
        <w:rPr>
          <w:rFonts w:cs="Arial"/>
        </w:rPr>
      </w:pPr>
    </w:p>
    <w:p w14:paraId="5AFB38B4" w14:textId="77777777" w:rsidR="005A5957" w:rsidRPr="009F74EC" w:rsidRDefault="005A5957" w:rsidP="005A5957">
      <w:pPr>
        <w:pStyle w:val="BodyText"/>
        <w:rPr>
          <w:rFonts w:cs="Arial"/>
          <w:i/>
          <w:iCs/>
        </w:rPr>
      </w:pPr>
      <w:r w:rsidRPr="009F74EC">
        <w:rPr>
          <w:rFonts w:cs="Arial"/>
        </w:rPr>
        <w:t xml:space="preserve">La Lista nacional polaca de variedades de </w:t>
      </w:r>
      <w:r w:rsidRPr="009F74EC">
        <w:rPr>
          <w:rFonts w:cs="Arial"/>
          <w:i/>
          <w:iCs/>
        </w:rPr>
        <w:t xml:space="preserve">plantas agrícolas, </w:t>
      </w:r>
      <w:r w:rsidRPr="009F74EC">
        <w:rPr>
          <w:rFonts w:cs="Arial"/>
        </w:rPr>
        <w:t xml:space="preserve">la </w:t>
      </w:r>
      <w:r w:rsidRPr="009F74EC">
        <w:rPr>
          <w:rFonts w:cs="Arial"/>
          <w:i/>
          <w:iCs/>
        </w:rPr>
        <w:t xml:space="preserve">Lista nacional polaca de variedades de plantas hortícolas </w:t>
      </w:r>
      <w:r w:rsidRPr="009F74EC">
        <w:rPr>
          <w:rFonts w:cs="Arial"/>
        </w:rPr>
        <w:t xml:space="preserve">y la </w:t>
      </w:r>
      <w:r w:rsidRPr="009F74EC">
        <w:rPr>
          <w:rFonts w:cs="Arial"/>
          <w:i/>
          <w:iCs/>
        </w:rPr>
        <w:t xml:space="preserve">Lista nacional polaca de variedades de plantas frutales </w:t>
      </w:r>
      <w:r w:rsidRPr="009F74EC">
        <w:rPr>
          <w:rFonts w:cs="Arial"/>
        </w:rPr>
        <w:t xml:space="preserve">se publicaron en mayo de 2023.  Estas listas oficiales, así como las listas actualizadas de variedades, también están disponibles en: </w:t>
      </w:r>
      <w:hyperlink r:id="rId37" w:history="1">
        <w:r w:rsidRPr="009F74EC">
          <w:rPr>
            <w:rStyle w:val="Hyperlink"/>
          </w:rPr>
          <w:t>www.coboru.gov.pl</w:t>
        </w:r>
      </w:hyperlink>
    </w:p>
    <w:p w14:paraId="72BB25D5" w14:textId="77777777" w:rsidR="005A5957" w:rsidRPr="009F74EC" w:rsidRDefault="005A5957" w:rsidP="005A5957">
      <w:pPr>
        <w:tabs>
          <w:tab w:val="left" w:pos="567"/>
          <w:tab w:val="left" w:pos="4962"/>
        </w:tabs>
        <w:rPr>
          <w:rFonts w:cs="Arial"/>
          <w:color w:val="000000"/>
        </w:rPr>
      </w:pPr>
    </w:p>
    <w:p w14:paraId="10A7516C" w14:textId="77777777" w:rsidR="005A5957" w:rsidRPr="009F74EC" w:rsidRDefault="005A5957" w:rsidP="005A5957"/>
    <w:p w14:paraId="7DEB4537" w14:textId="77777777" w:rsidR="005A5957" w:rsidRPr="009F74EC" w:rsidRDefault="005A5957" w:rsidP="005A5957"/>
    <w:p w14:paraId="45CB5CE5" w14:textId="505AB9E4" w:rsidR="005A5957" w:rsidRPr="009F74EC" w:rsidRDefault="00B06943" w:rsidP="005A5957">
      <w:pPr>
        <w:jc w:val="right"/>
      </w:pPr>
      <w:r>
        <w:t>[Sigue el Anexo</w:t>
      </w:r>
      <w:r w:rsidR="005A5957" w:rsidRPr="009F74EC">
        <w:t xml:space="preserve"> XIV].</w:t>
      </w:r>
    </w:p>
    <w:p w14:paraId="25B7983B" w14:textId="77777777" w:rsidR="005A5957" w:rsidRPr="009F74EC" w:rsidRDefault="005A5957" w:rsidP="005A5957">
      <w:pPr>
        <w:jc w:val="center"/>
      </w:pPr>
    </w:p>
    <w:p w14:paraId="0F57DD83" w14:textId="77777777" w:rsidR="005A5957" w:rsidRPr="009F74EC" w:rsidRDefault="005A5957" w:rsidP="005A5957">
      <w:pPr>
        <w:jc w:val="center"/>
        <w:sectPr w:rsidR="005A5957" w:rsidRPr="009F74EC" w:rsidSect="002C63D4">
          <w:headerReference w:type="default" r:id="rId38"/>
          <w:pgSz w:w="11907" w:h="16840" w:code="9"/>
          <w:pgMar w:top="510" w:right="1134" w:bottom="851" w:left="1134" w:header="510" w:footer="680" w:gutter="0"/>
          <w:pgNumType w:start="1"/>
          <w:cols w:space="720"/>
          <w:titlePg/>
        </w:sectPr>
      </w:pPr>
    </w:p>
    <w:p w14:paraId="38D9A868" w14:textId="77777777" w:rsidR="005A5957" w:rsidRPr="009F74EC" w:rsidRDefault="005A5957" w:rsidP="005A5957">
      <w:pPr>
        <w:jc w:val="center"/>
      </w:pPr>
      <w:r w:rsidRPr="009F74EC">
        <w:lastRenderedPageBreak/>
        <w:t>C/57/13</w:t>
      </w:r>
    </w:p>
    <w:p w14:paraId="111E7201" w14:textId="77777777" w:rsidR="005A5957" w:rsidRPr="009F74EC" w:rsidRDefault="005A5957" w:rsidP="005A5957">
      <w:pPr>
        <w:jc w:val="center"/>
      </w:pPr>
    </w:p>
    <w:p w14:paraId="58084A22" w14:textId="77777777" w:rsidR="005A5957" w:rsidRPr="009F74EC" w:rsidRDefault="005A5957" w:rsidP="005A5957">
      <w:pPr>
        <w:jc w:val="center"/>
      </w:pPr>
      <w:r w:rsidRPr="009F74EC">
        <w:t>ANEXO XIV</w:t>
      </w:r>
    </w:p>
    <w:p w14:paraId="5110D5EA" w14:textId="77777777" w:rsidR="005A5957" w:rsidRPr="009F74EC" w:rsidRDefault="005A5957" w:rsidP="005A5957">
      <w:pPr>
        <w:jc w:val="center"/>
      </w:pPr>
    </w:p>
    <w:p w14:paraId="0DEB4A80" w14:textId="77777777" w:rsidR="005A5957" w:rsidRPr="009F74EC" w:rsidRDefault="005A5957" w:rsidP="005A5957">
      <w:pPr>
        <w:jc w:val="center"/>
      </w:pPr>
    </w:p>
    <w:p w14:paraId="1695D7D6" w14:textId="77777777" w:rsidR="005A5957" w:rsidRPr="009F74EC" w:rsidRDefault="005A5957" w:rsidP="005A5957">
      <w:pPr>
        <w:jc w:val="center"/>
      </w:pPr>
      <w:r w:rsidRPr="009F74EC">
        <w:t>REPÚBLICA DE MOLDOVA</w:t>
      </w:r>
    </w:p>
    <w:p w14:paraId="7730D971" w14:textId="77777777" w:rsidR="00633DB1" w:rsidRPr="009F74EC" w:rsidRDefault="00633DB1" w:rsidP="00633DB1">
      <w:pPr>
        <w:jc w:val="center"/>
      </w:pPr>
      <w:r w:rsidRPr="009F74EC">
        <w:t>(Idioma original: inglés)</w:t>
      </w:r>
    </w:p>
    <w:p w14:paraId="2812C41B" w14:textId="77777777" w:rsidR="00633DB1" w:rsidRPr="009F74EC" w:rsidRDefault="00633DB1" w:rsidP="00633DB1"/>
    <w:p w14:paraId="72FA039E" w14:textId="77777777" w:rsidR="00633DB1" w:rsidRPr="009F74EC" w:rsidRDefault="00633DB1" w:rsidP="00633DB1">
      <w:pPr>
        <w:pStyle w:val="Disclaimer"/>
        <w:spacing w:after="360"/>
        <w:jc w:val="center"/>
        <w:rPr>
          <w:sz w:val="18"/>
          <w:szCs w:val="18"/>
        </w:rPr>
      </w:pPr>
      <w:r w:rsidRPr="009F74EC">
        <w:rPr>
          <w:sz w:val="18"/>
          <w:szCs w:val="18"/>
        </w:rPr>
        <w:t xml:space="preserve">Esta traducción se ha generado mediante traducción automática y no puede garantizarse su exactitud. </w:t>
      </w:r>
      <w:r w:rsidRPr="009F74EC">
        <w:rPr>
          <w:sz w:val="18"/>
          <w:szCs w:val="18"/>
        </w:rPr>
        <w:br/>
        <w:t>Por lo tanto, el texto en el idioma original es la única versión auténtica.</w:t>
      </w:r>
    </w:p>
    <w:p w14:paraId="71426537" w14:textId="77777777" w:rsidR="005A5957" w:rsidRPr="009F74EC" w:rsidRDefault="005A5957" w:rsidP="005A5957">
      <w:r w:rsidRPr="009F74EC">
        <w:t>I.</w:t>
      </w:r>
      <w:r w:rsidRPr="009F74EC">
        <w:tab/>
        <w:t>PROTECCIÓN DE LAS OBTENCIONES VEGETALES</w:t>
      </w:r>
    </w:p>
    <w:p w14:paraId="1B31D496" w14:textId="77777777" w:rsidR="005A5957" w:rsidRPr="009F74EC" w:rsidRDefault="005A5957" w:rsidP="005A5957"/>
    <w:p w14:paraId="61B53DA8" w14:textId="77777777" w:rsidR="005A5957" w:rsidRPr="009F74EC" w:rsidRDefault="005A5957" w:rsidP="005A5957">
      <w:pPr>
        <w:tabs>
          <w:tab w:val="left" w:pos="567"/>
          <w:tab w:val="left" w:pos="1276"/>
        </w:tabs>
      </w:pPr>
      <w:r w:rsidRPr="009F74EC">
        <w:t xml:space="preserve">1. </w:t>
      </w:r>
      <w:r w:rsidRPr="009F74EC">
        <w:tab/>
      </w:r>
      <w:r w:rsidRPr="009F74EC">
        <w:rPr>
          <w:u w:val="single"/>
        </w:rPr>
        <w:t>Situación en el ámbito legislativo</w:t>
      </w:r>
    </w:p>
    <w:p w14:paraId="010B3498" w14:textId="77777777" w:rsidR="005A5957" w:rsidRPr="009F74EC" w:rsidRDefault="005A5957" w:rsidP="005A5957"/>
    <w:p w14:paraId="25ED678A" w14:textId="312C9EE3" w:rsidR="005A5957" w:rsidRPr="009F74EC" w:rsidRDefault="005A5957" w:rsidP="005A5957">
      <w:pPr>
        <w:spacing w:after="120"/>
        <w:ind w:left="567"/>
      </w:pPr>
      <w:r w:rsidRPr="009F74EC">
        <w:t>1.1</w:t>
      </w:r>
      <w:r w:rsidR="006B5F7E">
        <w:tab/>
      </w:r>
      <w:r w:rsidRPr="009F74EC">
        <w:t>Modificaciones de la ley y de los reglamentos de aplicación - Sin cambios.</w:t>
      </w:r>
    </w:p>
    <w:p w14:paraId="1FA9D514" w14:textId="77777777" w:rsidR="005A5957" w:rsidRPr="009F74EC" w:rsidRDefault="005A5957" w:rsidP="005A5957">
      <w:pPr>
        <w:ind w:left="992"/>
      </w:pPr>
    </w:p>
    <w:p w14:paraId="51602B3B" w14:textId="17D84AFA" w:rsidR="005A5957" w:rsidRPr="009F74EC" w:rsidRDefault="005A5957" w:rsidP="005A5957">
      <w:pPr>
        <w:spacing w:after="120"/>
        <w:ind w:left="567"/>
      </w:pPr>
      <w:r w:rsidRPr="009F74EC">
        <w:t>1.2</w:t>
      </w:r>
      <w:r w:rsidR="006B5F7E">
        <w:tab/>
      </w:r>
      <w:r w:rsidRPr="009F74EC">
        <w:t>Ampliación de la protección a otros géneros y especies (realizada o prevista)</w:t>
      </w:r>
    </w:p>
    <w:p w14:paraId="71675926" w14:textId="77777777" w:rsidR="005A5957" w:rsidRPr="009F74EC" w:rsidRDefault="005A5957" w:rsidP="005A5957">
      <w:pPr>
        <w:ind w:left="1134"/>
      </w:pPr>
      <w:r w:rsidRPr="009F74EC">
        <w:t xml:space="preserve">De conformidad con la Ley </w:t>
      </w:r>
      <w:proofErr w:type="spellStart"/>
      <w:r w:rsidRPr="009F74EC">
        <w:t>nº</w:t>
      </w:r>
      <w:proofErr w:type="spellEnd"/>
      <w:r w:rsidRPr="009F74EC">
        <w:t xml:space="preserve"> 39-XVI/2008 de Protección de las Obtenciones Vegetales, la protección se ofrece a las variedades de todos los géneros y especies botánicos, incluidos los híbridos entre géneros y especies.</w:t>
      </w:r>
    </w:p>
    <w:p w14:paraId="24D3FFBE" w14:textId="77777777" w:rsidR="005A5957" w:rsidRPr="009F74EC" w:rsidRDefault="005A5957" w:rsidP="005A5957">
      <w:pPr>
        <w:pStyle w:val="BodyTextIndent2"/>
        <w:ind w:left="991"/>
        <w:rPr>
          <w:sz w:val="20"/>
          <w:szCs w:val="20"/>
          <w:lang w:val="es-ES_tradnl"/>
        </w:rPr>
      </w:pPr>
    </w:p>
    <w:p w14:paraId="7406D617" w14:textId="5FC10A7F" w:rsidR="005A5957" w:rsidRPr="009F74EC" w:rsidRDefault="005A5957" w:rsidP="005A5957">
      <w:pPr>
        <w:spacing w:after="120"/>
        <w:ind w:left="567"/>
      </w:pPr>
      <w:r w:rsidRPr="009F74EC">
        <w:t>1.3</w:t>
      </w:r>
      <w:r w:rsidR="006B5F7E">
        <w:tab/>
      </w:r>
      <w:r w:rsidRPr="009F74EC">
        <w:t>La jurisprudencia</w:t>
      </w:r>
    </w:p>
    <w:p w14:paraId="455027CB" w14:textId="77777777" w:rsidR="005A5957" w:rsidRPr="009F74EC" w:rsidRDefault="005A5957" w:rsidP="005A5957">
      <w:pPr>
        <w:ind w:left="1134"/>
        <w:rPr>
          <w:rFonts w:cs="Arial"/>
        </w:rPr>
      </w:pPr>
      <w:r w:rsidRPr="009F74EC">
        <w:rPr>
          <w:rFonts w:cs="Arial"/>
        </w:rPr>
        <w:t>No existen precedentes en materia de protección de los derechos de los obtentores.</w:t>
      </w:r>
    </w:p>
    <w:p w14:paraId="2F135EE7" w14:textId="77777777" w:rsidR="005A5957" w:rsidRPr="009F74EC" w:rsidRDefault="005A5957" w:rsidP="005A5957"/>
    <w:p w14:paraId="152C9AB0" w14:textId="77777777" w:rsidR="005A5957" w:rsidRPr="009F74EC" w:rsidRDefault="005A5957" w:rsidP="005A5957"/>
    <w:p w14:paraId="6B371273" w14:textId="77777777" w:rsidR="005A5957" w:rsidRPr="009F74EC" w:rsidRDefault="005A5957" w:rsidP="005A5957">
      <w:pPr>
        <w:rPr>
          <w:u w:val="single"/>
        </w:rPr>
      </w:pPr>
      <w:r w:rsidRPr="009F74EC">
        <w:t>2.</w:t>
      </w:r>
      <w:r w:rsidRPr="009F74EC">
        <w:tab/>
      </w:r>
      <w:r w:rsidRPr="009F74EC">
        <w:rPr>
          <w:u w:val="single"/>
        </w:rPr>
        <w:t>Cooperación en el examen</w:t>
      </w:r>
    </w:p>
    <w:p w14:paraId="3ACBAEAD" w14:textId="77777777" w:rsidR="005A5957" w:rsidRPr="009F74EC" w:rsidRDefault="005A5957" w:rsidP="005A5957"/>
    <w:p w14:paraId="32F90814" w14:textId="77777777" w:rsidR="005A5957" w:rsidRPr="009F74EC" w:rsidRDefault="005A5957" w:rsidP="005A5957">
      <w:pPr>
        <w:spacing w:after="120"/>
      </w:pPr>
      <w:r w:rsidRPr="009F74EC">
        <w:t>Utilización del informe DHE existente ofrecido por:</w:t>
      </w:r>
    </w:p>
    <w:p w14:paraId="16B7A9F4" w14:textId="77777777" w:rsidR="005A5957" w:rsidRPr="009F74EC" w:rsidRDefault="005A5957" w:rsidP="005A5957">
      <w:pPr>
        <w:pStyle w:val="ListParagraph"/>
        <w:numPr>
          <w:ilvl w:val="0"/>
          <w:numId w:val="11"/>
        </w:numPr>
        <w:tabs>
          <w:tab w:val="left" w:pos="426"/>
          <w:tab w:val="left" w:pos="851"/>
        </w:tabs>
        <w:contextualSpacing w:val="0"/>
        <w:rPr>
          <w:szCs w:val="20"/>
          <w:lang w:val="es-ES_tradnl"/>
        </w:rPr>
      </w:pPr>
      <w:r w:rsidRPr="009F74EC">
        <w:rPr>
          <w:szCs w:val="20"/>
          <w:lang w:val="es-ES_tradnl"/>
        </w:rPr>
        <w:t>OCVV</w:t>
      </w:r>
    </w:p>
    <w:p w14:paraId="1EFFC272" w14:textId="77777777" w:rsidR="005A5957" w:rsidRPr="009F74EC" w:rsidRDefault="005A5957" w:rsidP="005A5957">
      <w:pPr>
        <w:pStyle w:val="ListParagraph"/>
        <w:numPr>
          <w:ilvl w:val="0"/>
          <w:numId w:val="11"/>
        </w:numPr>
        <w:tabs>
          <w:tab w:val="left" w:pos="426"/>
          <w:tab w:val="left" w:pos="851"/>
        </w:tabs>
        <w:contextualSpacing w:val="0"/>
        <w:rPr>
          <w:szCs w:val="20"/>
          <w:lang w:val="es-ES_tradnl"/>
        </w:rPr>
      </w:pPr>
      <w:r w:rsidRPr="009F74EC">
        <w:rPr>
          <w:szCs w:val="20"/>
          <w:lang w:val="es-ES_tradnl"/>
        </w:rPr>
        <w:t>GEVES, FR</w:t>
      </w:r>
    </w:p>
    <w:p w14:paraId="54D349DB" w14:textId="77777777" w:rsidR="005A5957" w:rsidRPr="009F74EC" w:rsidRDefault="005A5957" w:rsidP="005A5957">
      <w:pPr>
        <w:pStyle w:val="ListParagraph"/>
        <w:numPr>
          <w:ilvl w:val="0"/>
          <w:numId w:val="11"/>
        </w:numPr>
        <w:tabs>
          <w:tab w:val="left" w:pos="426"/>
          <w:tab w:val="left" w:pos="851"/>
        </w:tabs>
        <w:contextualSpacing w:val="0"/>
        <w:rPr>
          <w:szCs w:val="20"/>
          <w:lang w:val="es-ES_tradnl"/>
        </w:rPr>
      </w:pPr>
      <w:r w:rsidRPr="009F74EC">
        <w:rPr>
          <w:szCs w:val="20"/>
          <w:lang w:val="es-ES_tradnl"/>
        </w:rPr>
        <w:t xml:space="preserve">ÚKSÚP v </w:t>
      </w:r>
      <w:proofErr w:type="spellStart"/>
      <w:r w:rsidRPr="009F74EC">
        <w:rPr>
          <w:szCs w:val="20"/>
          <w:lang w:val="es-ES_tradnl"/>
        </w:rPr>
        <w:t>Bratislave</w:t>
      </w:r>
      <w:proofErr w:type="spellEnd"/>
      <w:r w:rsidRPr="009F74EC">
        <w:rPr>
          <w:szCs w:val="20"/>
          <w:lang w:val="es-ES_tradnl"/>
        </w:rPr>
        <w:t>, SK</w:t>
      </w:r>
    </w:p>
    <w:p w14:paraId="48C54A79" w14:textId="77777777" w:rsidR="005A5957" w:rsidRPr="009F74EC" w:rsidRDefault="005A5957" w:rsidP="005A5957">
      <w:pPr>
        <w:pStyle w:val="ListParagraph"/>
        <w:numPr>
          <w:ilvl w:val="0"/>
          <w:numId w:val="11"/>
        </w:numPr>
        <w:tabs>
          <w:tab w:val="left" w:pos="426"/>
          <w:tab w:val="left" w:pos="851"/>
        </w:tabs>
        <w:contextualSpacing w:val="0"/>
        <w:rPr>
          <w:szCs w:val="20"/>
          <w:lang w:val="es-ES_tradnl"/>
        </w:rPr>
      </w:pPr>
      <w:r w:rsidRPr="009F74EC">
        <w:rPr>
          <w:szCs w:val="20"/>
          <w:lang w:val="es-ES_tradnl"/>
        </w:rPr>
        <w:t xml:space="preserve">CREA </w:t>
      </w:r>
      <w:proofErr w:type="spellStart"/>
      <w:r w:rsidRPr="009F74EC">
        <w:rPr>
          <w:szCs w:val="20"/>
          <w:lang w:val="es-ES_tradnl"/>
        </w:rPr>
        <w:t>Consiglio</w:t>
      </w:r>
      <w:proofErr w:type="spellEnd"/>
      <w:r w:rsidRPr="009F74EC">
        <w:rPr>
          <w:szCs w:val="20"/>
          <w:lang w:val="es-ES_tradnl"/>
        </w:rPr>
        <w:t xml:space="preserve"> per la </w:t>
      </w:r>
      <w:proofErr w:type="spellStart"/>
      <w:r w:rsidRPr="009F74EC">
        <w:rPr>
          <w:szCs w:val="20"/>
          <w:lang w:val="es-ES_tradnl"/>
        </w:rPr>
        <w:t>Ricerca</w:t>
      </w:r>
      <w:proofErr w:type="spellEnd"/>
      <w:r w:rsidRPr="009F74EC">
        <w:rPr>
          <w:szCs w:val="20"/>
          <w:lang w:val="es-ES_tradnl"/>
        </w:rPr>
        <w:t xml:space="preserve"> in </w:t>
      </w:r>
      <w:proofErr w:type="spellStart"/>
      <w:r w:rsidRPr="009F74EC">
        <w:rPr>
          <w:szCs w:val="20"/>
          <w:lang w:val="es-ES_tradnl"/>
        </w:rPr>
        <w:t>Agricoltura</w:t>
      </w:r>
      <w:proofErr w:type="spellEnd"/>
      <w:r w:rsidRPr="009F74EC">
        <w:rPr>
          <w:szCs w:val="20"/>
          <w:lang w:val="es-ES_tradnl"/>
        </w:rPr>
        <w:t xml:space="preserve"> e </w:t>
      </w:r>
      <w:proofErr w:type="spellStart"/>
      <w:r w:rsidRPr="009F74EC">
        <w:rPr>
          <w:szCs w:val="20"/>
          <w:lang w:val="es-ES_tradnl"/>
        </w:rPr>
        <w:t>l'analisi</w:t>
      </w:r>
      <w:proofErr w:type="spellEnd"/>
      <w:r w:rsidRPr="009F74EC">
        <w:rPr>
          <w:szCs w:val="20"/>
          <w:lang w:val="es-ES_tradnl"/>
        </w:rPr>
        <w:t xml:space="preserve"> </w:t>
      </w:r>
      <w:proofErr w:type="spellStart"/>
      <w:r w:rsidRPr="009F74EC">
        <w:rPr>
          <w:szCs w:val="20"/>
          <w:lang w:val="es-ES_tradnl"/>
        </w:rPr>
        <w:t>dell'economia</w:t>
      </w:r>
      <w:proofErr w:type="spellEnd"/>
      <w:r w:rsidRPr="009F74EC">
        <w:rPr>
          <w:szCs w:val="20"/>
          <w:lang w:val="es-ES_tradnl"/>
        </w:rPr>
        <w:t xml:space="preserve"> agraria, IT</w:t>
      </w:r>
    </w:p>
    <w:p w14:paraId="53C6DDB8" w14:textId="77777777" w:rsidR="005A5957" w:rsidRPr="009F74EC" w:rsidRDefault="005A5957" w:rsidP="005A5957">
      <w:pPr>
        <w:pStyle w:val="ListParagraph"/>
        <w:numPr>
          <w:ilvl w:val="0"/>
          <w:numId w:val="11"/>
        </w:numPr>
        <w:tabs>
          <w:tab w:val="left" w:pos="426"/>
          <w:tab w:val="left" w:pos="851"/>
        </w:tabs>
        <w:contextualSpacing w:val="0"/>
        <w:rPr>
          <w:szCs w:val="20"/>
          <w:lang w:val="es-ES_tradnl"/>
        </w:rPr>
      </w:pPr>
      <w:r w:rsidRPr="009F74EC">
        <w:rPr>
          <w:szCs w:val="20"/>
          <w:lang w:val="es-ES_tradnl"/>
        </w:rPr>
        <w:t>Bundessortenamt, DE</w:t>
      </w:r>
    </w:p>
    <w:p w14:paraId="0F34CCEA" w14:textId="77777777" w:rsidR="005A5957" w:rsidRPr="009F74EC" w:rsidRDefault="005A5957" w:rsidP="005A5957">
      <w:pPr>
        <w:tabs>
          <w:tab w:val="left" w:pos="426"/>
          <w:tab w:val="left" w:pos="851"/>
        </w:tabs>
      </w:pPr>
    </w:p>
    <w:p w14:paraId="77A5E427" w14:textId="77777777" w:rsidR="005A5957" w:rsidRPr="009F74EC" w:rsidRDefault="005A5957" w:rsidP="005A5957"/>
    <w:p w14:paraId="322EA062" w14:textId="77777777" w:rsidR="005A5957" w:rsidRPr="009F74EC" w:rsidRDefault="005A5957" w:rsidP="005A5957">
      <w:pPr>
        <w:rPr>
          <w:u w:val="single"/>
        </w:rPr>
      </w:pPr>
      <w:r w:rsidRPr="009F74EC">
        <w:t>3.</w:t>
      </w:r>
      <w:r w:rsidRPr="009F74EC">
        <w:tab/>
      </w:r>
      <w:r w:rsidRPr="009F74EC">
        <w:rPr>
          <w:u w:val="single"/>
        </w:rPr>
        <w:t>Situación en el ámbito administrativo</w:t>
      </w:r>
    </w:p>
    <w:p w14:paraId="41CB9EF3" w14:textId="77777777" w:rsidR="005A5957" w:rsidRPr="009F74EC" w:rsidRDefault="005A5957" w:rsidP="005A5957"/>
    <w:p w14:paraId="3B9DB7D4" w14:textId="0BBC9463" w:rsidR="005A5957" w:rsidRPr="009F74EC" w:rsidRDefault="005A5957" w:rsidP="005A5957">
      <w:r w:rsidRPr="009F74EC">
        <w:t>-</w:t>
      </w:r>
      <w:r w:rsidR="006B5F7E">
        <w:tab/>
      </w:r>
      <w:r w:rsidRPr="009F74EC">
        <w:t>Cambios en la estructura administrativa -No hay cambios.</w:t>
      </w:r>
    </w:p>
    <w:p w14:paraId="2CA21AE8" w14:textId="77777777" w:rsidR="005A5957" w:rsidRPr="009F74EC" w:rsidRDefault="005A5957" w:rsidP="005A5957">
      <w:pPr>
        <w:ind w:left="851" w:hanging="425"/>
      </w:pPr>
    </w:p>
    <w:p w14:paraId="61EEF66B" w14:textId="5C95632B" w:rsidR="005A5957" w:rsidRPr="009F74EC" w:rsidRDefault="005A5957" w:rsidP="005A5957">
      <w:r w:rsidRPr="009F74EC">
        <w:t>-</w:t>
      </w:r>
      <w:r w:rsidR="006B5F7E">
        <w:tab/>
      </w:r>
      <w:r w:rsidRPr="009F74EC">
        <w:t>Cambios en los procedimientos y sistemas de oficina- No hay cambios.</w:t>
      </w:r>
    </w:p>
    <w:p w14:paraId="2770534B" w14:textId="77777777" w:rsidR="005A5957" w:rsidRPr="009F74EC" w:rsidRDefault="005A5957" w:rsidP="005A5957"/>
    <w:p w14:paraId="1B3837B8" w14:textId="77777777" w:rsidR="005A5957" w:rsidRPr="009F74EC" w:rsidRDefault="005A5957" w:rsidP="005A5957"/>
    <w:p w14:paraId="56BE4EA8" w14:textId="77777777" w:rsidR="005A5957" w:rsidRPr="009F74EC" w:rsidRDefault="005A5957" w:rsidP="005A5957">
      <w:pPr>
        <w:overflowPunct w:val="0"/>
        <w:autoSpaceDE w:val="0"/>
        <w:autoSpaceDN w:val="0"/>
        <w:adjustRightInd w:val="0"/>
        <w:textAlignment w:val="baseline"/>
        <w:rPr>
          <w:bCs/>
          <w:i/>
        </w:rPr>
      </w:pPr>
      <w:r w:rsidRPr="009F74EC">
        <w:rPr>
          <w:bCs/>
          <w:i/>
        </w:rPr>
        <w:t xml:space="preserve">Cambios en el sistema procesal y de protección </w:t>
      </w:r>
    </w:p>
    <w:p w14:paraId="5DDC6170" w14:textId="77777777" w:rsidR="005A5957" w:rsidRPr="009F74EC" w:rsidRDefault="005A5957" w:rsidP="005A5957"/>
    <w:p w14:paraId="6A9300CB" w14:textId="4934F7F6" w:rsidR="005A5957" w:rsidRPr="009F74EC" w:rsidRDefault="006B5F7E" w:rsidP="005A5957">
      <w:pPr>
        <w:spacing w:after="120"/>
      </w:pPr>
      <w:r>
        <w:t>S</w:t>
      </w:r>
      <w:r w:rsidR="005A5957" w:rsidRPr="009F74EC">
        <w:t xml:space="preserve">e elaboraron </w:t>
      </w:r>
      <w:r>
        <w:t xml:space="preserve">1 </w:t>
      </w:r>
      <w:r w:rsidR="005A5957" w:rsidRPr="009F74EC">
        <w:t>directrices nacionales de ensayo para:</w:t>
      </w:r>
    </w:p>
    <w:p w14:paraId="2492564C" w14:textId="77777777" w:rsidR="005A5957" w:rsidRPr="009F74EC" w:rsidRDefault="005A5957" w:rsidP="005A5957">
      <w:pPr>
        <w:pStyle w:val="ListParagraph"/>
        <w:numPr>
          <w:ilvl w:val="0"/>
          <w:numId w:val="13"/>
        </w:numPr>
        <w:contextualSpacing w:val="0"/>
        <w:rPr>
          <w:rFonts w:cs="Arial"/>
          <w:szCs w:val="20"/>
          <w:lang w:val="es-ES_tradnl" w:eastAsia="ro-RO"/>
        </w:rPr>
      </w:pPr>
      <w:proofErr w:type="spellStart"/>
      <w:r w:rsidRPr="009F74EC">
        <w:rPr>
          <w:color w:val="000000"/>
          <w:szCs w:val="20"/>
          <w:lang w:val="es-ES_tradnl" w:eastAsia="ro-RO"/>
        </w:rPr>
        <w:t>Chaenomeles</w:t>
      </w:r>
      <w:proofErr w:type="spellEnd"/>
      <w:r w:rsidRPr="009F74EC">
        <w:rPr>
          <w:color w:val="000000"/>
          <w:szCs w:val="20"/>
          <w:lang w:val="es-ES_tradnl" w:eastAsia="ro-RO"/>
        </w:rPr>
        <w:t xml:space="preserve"> </w:t>
      </w:r>
      <w:proofErr w:type="spellStart"/>
      <w:r w:rsidRPr="009F74EC">
        <w:rPr>
          <w:color w:val="000000"/>
          <w:szCs w:val="20"/>
          <w:lang w:val="es-ES_tradnl" w:eastAsia="ro-RO"/>
        </w:rPr>
        <w:t>japonica</w:t>
      </w:r>
      <w:proofErr w:type="spellEnd"/>
      <w:r w:rsidRPr="009F74EC">
        <w:rPr>
          <w:color w:val="000000"/>
          <w:szCs w:val="20"/>
          <w:lang w:val="es-ES_tradnl" w:eastAsia="ro-RO"/>
        </w:rPr>
        <w:t xml:space="preserve"> (</w:t>
      </w:r>
      <w:proofErr w:type="spellStart"/>
      <w:r w:rsidRPr="009F74EC">
        <w:rPr>
          <w:color w:val="000000"/>
          <w:szCs w:val="20"/>
          <w:lang w:val="es-ES_tradnl" w:eastAsia="ro-RO"/>
        </w:rPr>
        <w:t>Thunb</w:t>
      </w:r>
      <w:proofErr w:type="spellEnd"/>
      <w:r w:rsidRPr="009F74EC">
        <w:rPr>
          <w:color w:val="000000"/>
          <w:szCs w:val="20"/>
          <w:lang w:val="es-ES_tradnl" w:eastAsia="ro-RO"/>
        </w:rPr>
        <w:t xml:space="preserve">.) </w:t>
      </w:r>
      <w:proofErr w:type="spellStart"/>
      <w:r w:rsidRPr="009F74EC">
        <w:rPr>
          <w:color w:val="000000"/>
          <w:szCs w:val="20"/>
          <w:lang w:val="es-ES_tradnl" w:eastAsia="ro-RO"/>
        </w:rPr>
        <w:t>Lindl</w:t>
      </w:r>
      <w:proofErr w:type="spellEnd"/>
      <w:r w:rsidRPr="009F74EC">
        <w:rPr>
          <w:color w:val="000000"/>
          <w:szCs w:val="20"/>
          <w:lang w:val="es-ES_tradnl" w:eastAsia="ro-RO"/>
        </w:rPr>
        <w:t xml:space="preserve">. ex </w:t>
      </w:r>
      <w:proofErr w:type="spellStart"/>
      <w:r w:rsidRPr="009F74EC">
        <w:rPr>
          <w:color w:val="000000"/>
          <w:szCs w:val="20"/>
          <w:lang w:val="es-ES_tradnl" w:eastAsia="ro-RO"/>
        </w:rPr>
        <w:t>Spach</w:t>
      </w:r>
      <w:proofErr w:type="spellEnd"/>
      <w:r w:rsidRPr="009F74EC">
        <w:rPr>
          <w:color w:val="000000"/>
          <w:szCs w:val="20"/>
          <w:lang w:val="es-ES_tradnl" w:eastAsia="ro-RO"/>
        </w:rPr>
        <w:t xml:space="preserve">- </w:t>
      </w:r>
      <w:r w:rsidRPr="009F74EC">
        <w:rPr>
          <w:rFonts w:cs="Arial"/>
          <w:szCs w:val="20"/>
          <w:lang w:val="es-ES_tradnl" w:eastAsia="ro-RO"/>
        </w:rPr>
        <w:t>MTG/26/1</w:t>
      </w:r>
    </w:p>
    <w:p w14:paraId="1D056054" w14:textId="77777777" w:rsidR="005A5957" w:rsidRPr="009F74EC" w:rsidRDefault="005A5957" w:rsidP="005A5957"/>
    <w:p w14:paraId="724D2B43" w14:textId="77777777" w:rsidR="005A5957" w:rsidRPr="009F74EC" w:rsidRDefault="005A5957" w:rsidP="005A5957"/>
    <w:p w14:paraId="1581A4C0" w14:textId="77777777" w:rsidR="005A5957" w:rsidRPr="009F74EC" w:rsidRDefault="005A5957" w:rsidP="005A5957">
      <w:pPr>
        <w:jc w:val="left"/>
        <w:rPr>
          <w:bCs/>
          <w:i/>
        </w:rPr>
      </w:pPr>
      <w:r w:rsidRPr="009F74EC">
        <w:rPr>
          <w:bCs/>
          <w:i/>
        </w:rPr>
        <w:t>Estadísticas</w:t>
      </w:r>
    </w:p>
    <w:p w14:paraId="299A1385" w14:textId="77777777" w:rsidR="005A5957" w:rsidRPr="009F74EC" w:rsidRDefault="005A5957" w:rsidP="005A5957"/>
    <w:p w14:paraId="16EBB0E2" w14:textId="77777777" w:rsidR="005A5957" w:rsidRPr="009F74EC" w:rsidRDefault="005A5957" w:rsidP="005A5957">
      <w:pPr>
        <w:spacing w:after="120"/>
      </w:pPr>
      <w:r w:rsidRPr="009F74EC">
        <w:t>En el periodo comprendido entre el 1 de enero de 2022 y el 31 de diciembre de 2022:</w:t>
      </w:r>
    </w:p>
    <w:p w14:paraId="6AED803A" w14:textId="77777777" w:rsidR="005A5957" w:rsidRPr="009F74EC" w:rsidRDefault="005A5957" w:rsidP="005A5957">
      <w:pPr>
        <w:pStyle w:val="ListParagraph"/>
        <w:numPr>
          <w:ilvl w:val="0"/>
          <w:numId w:val="13"/>
        </w:numPr>
        <w:contextualSpacing w:val="0"/>
        <w:rPr>
          <w:szCs w:val="20"/>
          <w:lang w:val="es-ES_tradnl"/>
        </w:rPr>
      </w:pPr>
      <w:r w:rsidRPr="009F74EC">
        <w:rPr>
          <w:szCs w:val="20"/>
          <w:lang w:val="es-ES_tradnl"/>
        </w:rPr>
        <w:t xml:space="preserve">Se han recibido </w:t>
      </w:r>
      <w:r w:rsidRPr="009F74EC">
        <w:rPr>
          <w:b/>
          <w:szCs w:val="20"/>
          <w:lang w:val="es-ES_tradnl"/>
        </w:rPr>
        <w:t xml:space="preserve">21 </w:t>
      </w:r>
      <w:r w:rsidRPr="009F74EC">
        <w:rPr>
          <w:szCs w:val="20"/>
          <w:lang w:val="es-ES_tradnl"/>
        </w:rPr>
        <w:t>solicitudes (</w:t>
      </w:r>
      <w:r w:rsidRPr="009F74EC">
        <w:rPr>
          <w:b/>
          <w:szCs w:val="20"/>
          <w:lang w:val="es-ES_tradnl"/>
        </w:rPr>
        <w:t xml:space="preserve">18 </w:t>
      </w:r>
      <w:r w:rsidRPr="009F74EC">
        <w:rPr>
          <w:szCs w:val="20"/>
          <w:lang w:val="es-ES_tradnl"/>
        </w:rPr>
        <w:t xml:space="preserve">para solicitantes nacionales y </w:t>
      </w:r>
      <w:r w:rsidRPr="009F74EC">
        <w:rPr>
          <w:b/>
          <w:szCs w:val="20"/>
          <w:lang w:val="es-ES_tradnl"/>
        </w:rPr>
        <w:t xml:space="preserve">3 </w:t>
      </w:r>
      <w:r w:rsidRPr="009F74EC">
        <w:rPr>
          <w:szCs w:val="20"/>
          <w:lang w:val="es-ES_tradnl"/>
        </w:rPr>
        <w:t xml:space="preserve">para solicitantes extranjeros), distribuidas del siguiente modo: </w:t>
      </w:r>
    </w:p>
    <w:p w14:paraId="345D1EC4" w14:textId="77777777" w:rsidR="005A5957" w:rsidRPr="009F74EC" w:rsidRDefault="005A5957" w:rsidP="005A5957"/>
    <w:p w14:paraId="73721C0B" w14:textId="77777777" w:rsidR="005A5957" w:rsidRPr="009F74EC" w:rsidRDefault="005A5957" w:rsidP="005A5957">
      <w:pPr>
        <w:pStyle w:val="NoSpacing"/>
        <w:ind w:left="502"/>
        <w:rPr>
          <w:rFonts w:ascii="Arial" w:hAnsi="Arial" w:cs="Arial"/>
          <w:lang w:val="es-ES_tradnl"/>
        </w:rPr>
      </w:pPr>
      <w:r w:rsidRPr="009F74EC">
        <w:rPr>
          <w:rFonts w:ascii="Arial" w:hAnsi="Arial" w:cs="Arial"/>
          <w:lang w:val="es-ES_tradnl"/>
        </w:rPr>
        <w:t xml:space="preserve">Maíz (Zea </w:t>
      </w:r>
      <w:proofErr w:type="spellStart"/>
      <w:r w:rsidRPr="009F74EC">
        <w:rPr>
          <w:rFonts w:ascii="Arial" w:hAnsi="Arial" w:cs="Arial"/>
          <w:lang w:val="es-ES_tradnl"/>
        </w:rPr>
        <w:t>mays</w:t>
      </w:r>
      <w:proofErr w:type="spellEnd"/>
      <w:r w:rsidRPr="009F74EC">
        <w:rPr>
          <w:rFonts w:ascii="Arial" w:hAnsi="Arial" w:cs="Arial"/>
          <w:lang w:val="es-ES_tradnl"/>
        </w:rPr>
        <w:t xml:space="preserve"> L.) - 4</w:t>
      </w:r>
    </w:p>
    <w:p w14:paraId="7BAABFD6" w14:textId="77777777" w:rsidR="005A5957" w:rsidRPr="009F74EC" w:rsidRDefault="005A5957" w:rsidP="005A5957">
      <w:pPr>
        <w:ind w:left="502"/>
        <w:rPr>
          <w:rFonts w:cs="Arial"/>
        </w:rPr>
      </w:pPr>
      <w:r w:rsidRPr="009F74EC">
        <w:rPr>
          <w:rFonts w:cs="Arial"/>
        </w:rPr>
        <w:t>Trigo (</w:t>
      </w:r>
      <w:r w:rsidRPr="009F74EC">
        <w:rPr>
          <w:rFonts w:cs="Arial"/>
          <w:i/>
        </w:rPr>
        <w:t xml:space="preserve">Triticum </w:t>
      </w:r>
      <w:proofErr w:type="spellStart"/>
      <w:r w:rsidRPr="009F74EC">
        <w:rPr>
          <w:rFonts w:cs="Arial"/>
          <w:i/>
        </w:rPr>
        <w:t>aestivum</w:t>
      </w:r>
      <w:proofErr w:type="spellEnd"/>
      <w:r w:rsidRPr="009F74EC">
        <w:rPr>
          <w:rFonts w:cs="Arial"/>
          <w:i/>
        </w:rPr>
        <w:t xml:space="preserve"> </w:t>
      </w:r>
      <w:r w:rsidRPr="009F74EC">
        <w:rPr>
          <w:rFonts w:cs="Arial"/>
        </w:rPr>
        <w:t>L.) - 3</w:t>
      </w:r>
    </w:p>
    <w:p w14:paraId="608E8008" w14:textId="77777777" w:rsidR="005A5957" w:rsidRPr="009F74EC" w:rsidRDefault="005A5957" w:rsidP="005A5957">
      <w:pPr>
        <w:pStyle w:val="NoSpacing"/>
        <w:ind w:left="502"/>
        <w:rPr>
          <w:rFonts w:ascii="Arial" w:hAnsi="Arial" w:cs="Arial"/>
          <w:lang w:val="es-ES_tradnl"/>
        </w:rPr>
      </w:pPr>
      <w:r w:rsidRPr="009F74EC">
        <w:rPr>
          <w:rFonts w:ascii="Arial" w:hAnsi="Arial" w:cs="Arial"/>
          <w:lang w:val="es-ES_tradnl"/>
        </w:rPr>
        <w:t>Manzana (</w:t>
      </w:r>
      <w:proofErr w:type="spellStart"/>
      <w:r w:rsidRPr="009F74EC">
        <w:rPr>
          <w:rFonts w:ascii="Arial" w:hAnsi="Arial" w:cs="Arial"/>
          <w:bCs/>
          <w:i/>
          <w:lang w:val="es-ES_tradnl"/>
        </w:rPr>
        <w:t>Malus</w:t>
      </w:r>
      <w:proofErr w:type="spellEnd"/>
      <w:r w:rsidRPr="009F74EC">
        <w:rPr>
          <w:rFonts w:ascii="Arial" w:hAnsi="Arial" w:cs="Arial"/>
          <w:bCs/>
          <w:i/>
          <w:lang w:val="es-ES_tradnl"/>
        </w:rPr>
        <w:t xml:space="preserve"> domestica </w:t>
      </w:r>
      <w:proofErr w:type="spellStart"/>
      <w:r w:rsidRPr="009F74EC">
        <w:rPr>
          <w:rFonts w:ascii="Arial" w:hAnsi="Arial" w:cs="Arial"/>
          <w:bCs/>
          <w:lang w:val="es-ES_tradnl"/>
        </w:rPr>
        <w:t>Borkh</w:t>
      </w:r>
      <w:proofErr w:type="spellEnd"/>
      <w:r w:rsidRPr="009F74EC">
        <w:rPr>
          <w:rFonts w:ascii="Arial" w:hAnsi="Arial" w:cs="Arial"/>
          <w:lang w:val="es-ES_tradnl"/>
        </w:rPr>
        <w:t>) - 2</w:t>
      </w:r>
    </w:p>
    <w:p w14:paraId="55D2A685" w14:textId="77777777" w:rsidR="005A5957" w:rsidRPr="009F74EC" w:rsidRDefault="005A5957" w:rsidP="005A5957">
      <w:pPr>
        <w:autoSpaceDE w:val="0"/>
        <w:autoSpaceDN w:val="0"/>
        <w:adjustRightInd w:val="0"/>
        <w:ind w:left="502"/>
        <w:jc w:val="left"/>
        <w:rPr>
          <w:rFonts w:eastAsia="Calibri" w:cs="Arial"/>
          <w:i/>
          <w:iCs/>
          <w:lang w:eastAsia="ru-RU"/>
        </w:rPr>
      </w:pPr>
      <w:r w:rsidRPr="009F74EC">
        <w:rPr>
          <w:rFonts w:cs="Arial"/>
        </w:rPr>
        <w:t>Tomate (</w:t>
      </w:r>
      <w:proofErr w:type="spellStart"/>
      <w:r w:rsidRPr="009F74EC">
        <w:rPr>
          <w:rFonts w:eastAsia="Calibri" w:cs="Arial"/>
          <w:bCs/>
          <w:i/>
          <w:iCs/>
          <w:lang w:eastAsia="ru-RU"/>
        </w:rPr>
        <w:t>Solanum</w:t>
      </w:r>
      <w:proofErr w:type="spellEnd"/>
      <w:r w:rsidRPr="009F74EC">
        <w:rPr>
          <w:rFonts w:eastAsia="Calibri" w:cs="Arial"/>
          <w:bCs/>
          <w:i/>
          <w:iCs/>
          <w:lang w:eastAsia="ru-RU"/>
        </w:rPr>
        <w:t xml:space="preserve"> </w:t>
      </w:r>
      <w:proofErr w:type="spellStart"/>
      <w:r w:rsidRPr="009F74EC">
        <w:rPr>
          <w:rFonts w:eastAsia="Calibri" w:cs="Arial"/>
          <w:bCs/>
          <w:i/>
          <w:iCs/>
          <w:lang w:eastAsia="ru-RU"/>
        </w:rPr>
        <w:t>lycopersicum</w:t>
      </w:r>
      <w:proofErr w:type="spellEnd"/>
      <w:r w:rsidRPr="009F74EC">
        <w:rPr>
          <w:rFonts w:eastAsia="Calibri" w:cs="Arial"/>
          <w:bCs/>
          <w:i/>
          <w:iCs/>
          <w:lang w:eastAsia="ru-RU"/>
        </w:rPr>
        <w:t xml:space="preserve"> </w:t>
      </w:r>
      <w:r w:rsidRPr="009F74EC">
        <w:rPr>
          <w:rFonts w:eastAsia="Calibri" w:cs="Arial"/>
          <w:bCs/>
          <w:lang w:eastAsia="ru-RU"/>
        </w:rPr>
        <w:t>L.) - 4</w:t>
      </w:r>
    </w:p>
    <w:p w14:paraId="0D4B2093" w14:textId="77777777" w:rsidR="005A5957" w:rsidRPr="009F74EC" w:rsidRDefault="005A5957" w:rsidP="005A5957">
      <w:pPr>
        <w:ind w:left="502"/>
        <w:rPr>
          <w:rFonts w:cs="Arial"/>
        </w:rPr>
      </w:pPr>
      <w:r w:rsidRPr="009F74EC">
        <w:rPr>
          <w:rFonts w:cs="Arial"/>
        </w:rPr>
        <w:t>Cerezo chino (</w:t>
      </w:r>
      <w:proofErr w:type="spellStart"/>
      <w:r w:rsidRPr="009F74EC">
        <w:rPr>
          <w:rFonts w:eastAsia="Calibri" w:cs="Arial"/>
          <w:bCs/>
          <w:i/>
          <w:iCs/>
          <w:lang w:eastAsia="ru-RU"/>
        </w:rPr>
        <w:t>Prunus</w:t>
      </w:r>
      <w:proofErr w:type="spellEnd"/>
      <w:r w:rsidRPr="009F74EC">
        <w:rPr>
          <w:rFonts w:eastAsia="Calibri" w:cs="Arial"/>
          <w:bCs/>
          <w:i/>
          <w:iCs/>
          <w:lang w:eastAsia="ru-RU"/>
        </w:rPr>
        <w:t xml:space="preserve"> tomentosa </w:t>
      </w:r>
      <w:proofErr w:type="spellStart"/>
      <w:r w:rsidRPr="009F74EC">
        <w:rPr>
          <w:rFonts w:eastAsia="Calibri" w:cs="Arial"/>
          <w:bCs/>
          <w:lang w:eastAsia="ru-RU"/>
        </w:rPr>
        <w:t>Thunb</w:t>
      </w:r>
      <w:proofErr w:type="spellEnd"/>
      <w:r w:rsidRPr="009F74EC">
        <w:rPr>
          <w:rFonts w:eastAsia="Calibri" w:cs="Arial"/>
          <w:bCs/>
          <w:lang w:eastAsia="ru-RU"/>
        </w:rPr>
        <w:t>.</w:t>
      </w:r>
      <w:r w:rsidRPr="009F74EC">
        <w:rPr>
          <w:rFonts w:cs="Arial"/>
        </w:rPr>
        <w:t>) - 1</w:t>
      </w:r>
    </w:p>
    <w:p w14:paraId="162D5C3B" w14:textId="77777777" w:rsidR="005A5957" w:rsidRPr="009F74EC" w:rsidRDefault="005A5957" w:rsidP="005A5957">
      <w:pPr>
        <w:autoSpaceDE w:val="0"/>
        <w:autoSpaceDN w:val="0"/>
        <w:adjustRightInd w:val="0"/>
        <w:ind w:left="502"/>
        <w:jc w:val="left"/>
        <w:rPr>
          <w:rFonts w:cs="Arial"/>
        </w:rPr>
      </w:pPr>
      <w:r w:rsidRPr="009F74EC">
        <w:rPr>
          <w:rFonts w:cs="Arial"/>
        </w:rPr>
        <w:t>Soja (</w:t>
      </w:r>
      <w:proofErr w:type="spellStart"/>
      <w:r w:rsidRPr="009F74EC">
        <w:rPr>
          <w:rFonts w:eastAsia="Calibri" w:cs="Arial"/>
          <w:bCs/>
          <w:i/>
          <w:iCs/>
          <w:lang w:eastAsia="ru-RU"/>
        </w:rPr>
        <w:t>Glycine</w:t>
      </w:r>
      <w:proofErr w:type="spellEnd"/>
      <w:r w:rsidRPr="009F74EC">
        <w:rPr>
          <w:rFonts w:eastAsia="Calibri" w:cs="Arial"/>
          <w:bCs/>
          <w:i/>
          <w:iCs/>
          <w:lang w:eastAsia="ru-RU"/>
        </w:rPr>
        <w:t xml:space="preserve"> </w:t>
      </w:r>
      <w:proofErr w:type="spellStart"/>
      <w:r w:rsidRPr="009F74EC">
        <w:rPr>
          <w:rFonts w:eastAsia="Calibri" w:cs="Arial"/>
          <w:bCs/>
          <w:i/>
          <w:iCs/>
          <w:lang w:eastAsia="ru-RU"/>
        </w:rPr>
        <w:t>max</w:t>
      </w:r>
      <w:proofErr w:type="spellEnd"/>
      <w:r w:rsidRPr="009F74EC">
        <w:rPr>
          <w:rFonts w:eastAsia="Calibri" w:cs="Arial"/>
          <w:bCs/>
          <w:i/>
          <w:iCs/>
          <w:lang w:eastAsia="ru-RU"/>
        </w:rPr>
        <w:t xml:space="preserve"> </w:t>
      </w:r>
      <w:r w:rsidRPr="009F74EC">
        <w:rPr>
          <w:rFonts w:eastAsia="Calibri" w:cs="Arial"/>
          <w:bCs/>
          <w:lang w:eastAsia="ru-RU"/>
        </w:rPr>
        <w:t xml:space="preserve">(L.) </w:t>
      </w:r>
      <w:proofErr w:type="spellStart"/>
      <w:r w:rsidRPr="009F74EC">
        <w:rPr>
          <w:rFonts w:eastAsia="Calibri" w:cs="Arial"/>
          <w:bCs/>
          <w:lang w:eastAsia="ru-RU"/>
        </w:rPr>
        <w:t>Merr</w:t>
      </w:r>
      <w:proofErr w:type="spellEnd"/>
      <w:r w:rsidRPr="009F74EC">
        <w:rPr>
          <w:rFonts w:eastAsia="Calibri" w:cs="Arial"/>
          <w:bCs/>
          <w:lang w:eastAsia="ru-RU"/>
        </w:rPr>
        <w:t>.</w:t>
      </w:r>
      <w:r w:rsidRPr="009F74EC">
        <w:rPr>
          <w:rFonts w:cs="Arial"/>
        </w:rPr>
        <w:t>) - 1</w:t>
      </w:r>
    </w:p>
    <w:p w14:paraId="6537F915" w14:textId="77777777" w:rsidR="005A5957" w:rsidRPr="009F74EC" w:rsidRDefault="005A5957" w:rsidP="005A5957">
      <w:pPr>
        <w:autoSpaceDE w:val="0"/>
        <w:autoSpaceDN w:val="0"/>
        <w:adjustRightInd w:val="0"/>
        <w:ind w:left="502"/>
        <w:jc w:val="left"/>
        <w:rPr>
          <w:rFonts w:cs="Arial"/>
        </w:rPr>
      </w:pPr>
      <w:r w:rsidRPr="009F74EC">
        <w:rPr>
          <w:rFonts w:cs="Arial"/>
        </w:rPr>
        <w:t>Galega oriental (</w:t>
      </w:r>
      <w:r w:rsidRPr="009F74EC">
        <w:rPr>
          <w:rFonts w:eastAsia="Calibri" w:cs="Arial"/>
          <w:bCs/>
          <w:i/>
          <w:iCs/>
          <w:lang w:eastAsia="ru-RU"/>
        </w:rPr>
        <w:t xml:space="preserve">Galega </w:t>
      </w:r>
      <w:proofErr w:type="spellStart"/>
      <w:r w:rsidRPr="009F74EC">
        <w:rPr>
          <w:rFonts w:eastAsia="Calibri" w:cs="Arial"/>
          <w:bCs/>
          <w:i/>
          <w:iCs/>
          <w:lang w:eastAsia="ru-RU"/>
        </w:rPr>
        <w:t>orientalis</w:t>
      </w:r>
      <w:proofErr w:type="spellEnd"/>
      <w:r w:rsidRPr="009F74EC">
        <w:rPr>
          <w:rFonts w:eastAsia="Calibri" w:cs="Arial"/>
          <w:bCs/>
          <w:i/>
          <w:iCs/>
          <w:lang w:eastAsia="ru-RU"/>
        </w:rPr>
        <w:t xml:space="preserve"> </w:t>
      </w:r>
      <w:r w:rsidRPr="009F74EC">
        <w:rPr>
          <w:rFonts w:eastAsia="Calibri" w:cs="Arial"/>
          <w:bCs/>
          <w:lang w:eastAsia="ru-RU"/>
        </w:rPr>
        <w:t>Lam.</w:t>
      </w:r>
      <w:r w:rsidRPr="009F74EC">
        <w:rPr>
          <w:rFonts w:cs="Arial"/>
        </w:rPr>
        <w:t>) - 1</w:t>
      </w:r>
    </w:p>
    <w:p w14:paraId="2F5B7691" w14:textId="77777777" w:rsidR="005A5957" w:rsidRPr="009F74EC" w:rsidRDefault="005A5957" w:rsidP="005A5957">
      <w:pPr>
        <w:autoSpaceDE w:val="0"/>
        <w:autoSpaceDN w:val="0"/>
        <w:adjustRightInd w:val="0"/>
        <w:ind w:left="502"/>
        <w:jc w:val="left"/>
        <w:rPr>
          <w:rFonts w:cs="Arial"/>
        </w:rPr>
      </w:pPr>
      <w:proofErr w:type="spellStart"/>
      <w:r w:rsidRPr="009F74EC">
        <w:rPr>
          <w:rFonts w:cs="Arial"/>
        </w:rPr>
        <w:t>Macleaya</w:t>
      </w:r>
      <w:proofErr w:type="spellEnd"/>
      <w:r w:rsidRPr="009F74EC">
        <w:rPr>
          <w:rFonts w:cs="Arial"/>
        </w:rPr>
        <w:t xml:space="preserve"> cordata (</w:t>
      </w:r>
      <w:proofErr w:type="spellStart"/>
      <w:r w:rsidRPr="009F74EC">
        <w:rPr>
          <w:rFonts w:eastAsia="Calibri" w:cs="Arial"/>
          <w:bCs/>
          <w:i/>
          <w:iCs/>
          <w:lang w:eastAsia="ru-RU"/>
        </w:rPr>
        <w:t>Macleaya</w:t>
      </w:r>
      <w:proofErr w:type="spellEnd"/>
      <w:r w:rsidRPr="009F74EC">
        <w:rPr>
          <w:rFonts w:eastAsia="Calibri" w:cs="Arial"/>
          <w:bCs/>
          <w:i/>
          <w:iCs/>
          <w:lang w:eastAsia="ru-RU"/>
        </w:rPr>
        <w:t xml:space="preserve"> cordata </w:t>
      </w:r>
      <w:r w:rsidRPr="009F74EC">
        <w:rPr>
          <w:rFonts w:eastAsia="Calibri" w:cs="Arial"/>
          <w:bCs/>
          <w:lang w:eastAsia="ru-RU"/>
        </w:rPr>
        <w:t>(</w:t>
      </w:r>
      <w:proofErr w:type="spellStart"/>
      <w:r w:rsidRPr="009F74EC">
        <w:rPr>
          <w:rFonts w:eastAsia="Calibri" w:cs="Arial"/>
          <w:bCs/>
          <w:lang w:eastAsia="ru-RU"/>
        </w:rPr>
        <w:t>Willd</w:t>
      </w:r>
      <w:proofErr w:type="spellEnd"/>
      <w:r w:rsidRPr="009F74EC">
        <w:rPr>
          <w:rFonts w:eastAsia="Calibri" w:cs="Arial"/>
          <w:bCs/>
          <w:lang w:eastAsia="ru-RU"/>
        </w:rPr>
        <w:t>.) R. Br.</w:t>
      </w:r>
      <w:r w:rsidRPr="009F74EC">
        <w:rPr>
          <w:rFonts w:cs="Arial"/>
        </w:rPr>
        <w:t>) - 1</w:t>
      </w:r>
    </w:p>
    <w:p w14:paraId="62E06DA5" w14:textId="77777777" w:rsidR="005A5957" w:rsidRPr="009F74EC" w:rsidRDefault="005A5957" w:rsidP="005A5957">
      <w:pPr>
        <w:autoSpaceDE w:val="0"/>
        <w:autoSpaceDN w:val="0"/>
        <w:adjustRightInd w:val="0"/>
        <w:ind w:left="502"/>
        <w:jc w:val="left"/>
        <w:rPr>
          <w:rFonts w:cs="Arial"/>
        </w:rPr>
      </w:pPr>
      <w:r w:rsidRPr="009F74EC">
        <w:rPr>
          <w:rFonts w:cs="Arial"/>
        </w:rPr>
        <w:t>Vid (</w:t>
      </w:r>
      <w:proofErr w:type="spellStart"/>
      <w:r w:rsidRPr="009F74EC">
        <w:rPr>
          <w:rFonts w:eastAsia="Calibri" w:cs="Arial"/>
          <w:bCs/>
          <w:i/>
          <w:iCs/>
          <w:lang w:eastAsia="ru-RU"/>
        </w:rPr>
        <w:t>Vitis</w:t>
      </w:r>
      <w:proofErr w:type="spellEnd"/>
      <w:r w:rsidRPr="009F74EC">
        <w:rPr>
          <w:rFonts w:eastAsia="Calibri" w:cs="Arial"/>
          <w:bCs/>
          <w:i/>
          <w:iCs/>
          <w:lang w:eastAsia="ru-RU"/>
        </w:rPr>
        <w:t xml:space="preserve"> </w:t>
      </w:r>
      <w:proofErr w:type="spellStart"/>
      <w:r w:rsidRPr="009F74EC">
        <w:rPr>
          <w:rFonts w:eastAsia="Calibri" w:cs="Arial"/>
          <w:bCs/>
          <w:i/>
          <w:iCs/>
          <w:lang w:eastAsia="ru-RU"/>
        </w:rPr>
        <w:t>vinifera</w:t>
      </w:r>
      <w:proofErr w:type="spellEnd"/>
      <w:r w:rsidRPr="009F74EC">
        <w:rPr>
          <w:rFonts w:eastAsia="Calibri" w:cs="Arial"/>
          <w:bCs/>
          <w:i/>
          <w:iCs/>
          <w:lang w:eastAsia="ru-RU"/>
        </w:rPr>
        <w:t xml:space="preserve"> </w:t>
      </w:r>
      <w:r w:rsidRPr="009F74EC">
        <w:rPr>
          <w:rFonts w:eastAsia="Calibri" w:cs="Arial"/>
          <w:bCs/>
          <w:lang w:eastAsia="ru-RU"/>
        </w:rPr>
        <w:t>L.</w:t>
      </w:r>
      <w:r w:rsidRPr="009F74EC">
        <w:rPr>
          <w:rFonts w:cs="Arial"/>
        </w:rPr>
        <w:t>) - 1</w:t>
      </w:r>
    </w:p>
    <w:p w14:paraId="56DB2C08" w14:textId="77777777" w:rsidR="005A5957" w:rsidRPr="009F74EC" w:rsidRDefault="005A5957" w:rsidP="005A5957">
      <w:pPr>
        <w:autoSpaceDE w:val="0"/>
        <w:autoSpaceDN w:val="0"/>
        <w:adjustRightInd w:val="0"/>
        <w:ind w:left="502"/>
        <w:jc w:val="left"/>
        <w:rPr>
          <w:rFonts w:cs="Arial"/>
        </w:rPr>
      </w:pPr>
      <w:r w:rsidRPr="009F74EC">
        <w:rPr>
          <w:rFonts w:cs="Arial"/>
        </w:rPr>
        <w:lastRenderedPageBreak/>
        <w:t>Tomillo limonero (</w:t>
      </w:r>
      <w:proofErr w:type="spellStart"/>
      <w:r w:rsidRPr="009F74EC">
        <w:rPr>
          <w:rFonts w:eastAsia="Calibri" w:cs="Arial"/>
          <w:bCs/>
          <w:i/>
          <w:iCs/>
          <w:lang w:eastAsia="ru-RU"/>
        </w:rPr>
        <w:t>Thymus</w:t>
      </w:r>
      <w:proofErr w:type="spellEnd"/>
      <w:r w:rsidRPr="009F74EC">
        <w:rPr>
          <w:rFonts w:eastAsia="Calibri" w:cs="Arial"/>
          <w:bCs/>
          <w:i/>
          <w:iCs/>
          <w:lang w:eastAsia="ru-RU"/>
        </w:rPr>
        <w:t xml:space="preserve"> x </w:t>
      </w:r>
      <w:proofErr w:type="spellStart"/>
      <w:r w:rsidRPr="009F74EC">
        <w:rPr>
          <w:rFonts w:eastAsia="Calibri" w:cs="Arial"/>
          <w:bCs/>
          <w:i/>
          <w:iCs/>
          <w:lang w:eastAsia="ru-RU"/>
        </w:rPr>
        <w:t>citriodorus</w:t>
      </w:r>
      <w:proofErr w:type="spellEnd"/>
      <w:r w:rsidRPr="009F74EC">
        <w:rPr>
          <w:rFonts w:eastAsia="Calibri" w:cs="Arial"/>
          <w:bCs/>
          <w:i/>
          <w:iCs/>
          <w:lang w:eastAsia="ru-RU"/>
        </w:rPr>
        <w:t xml:space="preserve"> </w:t>
      </w:r>
      <w:r w:rsidRPr="009F74EC">
        <w:rPr>
          <w:rFonts w:eastAsia="Calibri" w:cs="Arial"/>
          <w:bCs/>
          <w:lang w:eastAsia="ru-RU"/>
        </w:rPr>
        <w:t xml:space="preserve">(Pers.) </w:t>
      </w:r>
      <w:proofErr w:type="spellStart"/>
      <w:r w:rsidRPr="009F74EC">
        <w:rPr>
          <w:rFonts w:eastAsia="Calibri" w:cs="Arial"/>
          <w:bCs/>
          <w:lang w:eastAsia="ru-RU"/>
        </w:rPr>
        <w:t>Schreb</w:t>
      </w:r>
      <w:proofErr w:type="spellEnd"/>
      <w:r w:rsidRPr="009F74EC">
        <w:rPr>
          <w:rFonts w:eastAsia="Calibri" w:cs="Arial"/>
          <w:bCs/>
          <w:lang w:eastAsia="ru-RU"/>
        </w:rPr>
        <w:t>.</w:t>
      </w:r>
      <w:r w:rsidRPr="009F74EC">
        <w:rPr>
          <w:rFonts w:cs="Arial"/>
        </w:rPr>
        <w:t>) - 1</w:t>
      </w:r>
    </w:p>
    <w:p w14:paraId="3135079F" w14:textId="77777777" w:rsidR="005A5957" w:rsidRPr="009F74EC" w:rsidRDefault="005A5957" w:rsidP="005A5957">
      <w:pPr>
        <w:autoSpaceDE w:val="0"/>
        <w:autoSpaceDN w:val="0"/>
        <w:adjustRightInd w:val="0"/>
        <w:ind w:left="502"/>
        <w:jc w:val="left"/>
        <w:rPr>
          <w:rFonts w:cs="Arial"/>
        </w:rPr>
      </w:pPr>
      <w:r w:rsidRPr="009F74EC">
        <w:rPr>
          <w:rFonts w:cs="Arial"/>
        </w:rPr>
        <w:t>Albahaca (</w:t>
      </w:r>
      <w:proofErr w:type="spellStart"/>
      <w:r w:rsidRPr="009F74EC">
        <w:rPr>
          <w:rFonts w:eastAsia="Calibri" w:cs="Arial"/>
          <w:bCs/>
          <w:i/>
          <w:iCs/>
          <w:lang w:eastAsia="ru-RU"/>
        </w:rPr>
        <w:t>Ocimum</w:t>
      </w:r>
      <w:proofErr w:type="spellEnd"/>
      <w:r w:rsidRPr="009F74EC">
        <w:rPr>
          <w:rFonts w:eastAsia="Calibri" w:cs="Arial"/>
          <w:bCs/>
          <w:i/>
          <w:iCs/>
          <w:lang w:eastAsia="ru-RU"/>
        </w:rPr>
        <w:t xml:space="preserve"> </w:t>
      </w:r>
      <w:proofErr w:type="spellStart"/>
      <w:r w:rsidRPr="009F74EC">
        <w:rPr>
          <w:rFonts w:eastAsia="Calibri" w:cs="Arial"/>
          <w:bCs/>
          <w:i/>
          <w:iCs/>
          <w:lang w:eastAsia="ru-RU"/>
        </w:rPr>
        <w:t>basilicum</w:t>
      </w:r>
      <w:proofErr w:type="spellEnd"/>
      <w:r w:rsidRPr="009F74EC">
        <w:rPr>
          <w:rFonts w:eastAsia="Calibri" w:cs="Arial"/>
          <w:bCs/>
          <w:i/>
          <w:iCs/>
          <w:lang w:eastAsia="ru-RU"/>
        </w:rPr>
        <w:t xml:space="preserve"> </w:t>
      </w:r>
      <w:r w:rsidRPr="009F74EC">
        <w:rPr>
          <w:rFonts w:eastAsia="Calibri" w:cs="Arial"/>
          <w:bCs/>
          <w:lang w:eastAsia="ru-RU"/>
        </w:rPr>
        <w:t>L.</w:t>
      </w:r>
      <w:r w:rsidRPr="009F74EC">
        <w:rPr>
          <w:rFonts w:cs="Arial"/>
        </w:rPr>
        <w:t>) - 1</w:t>
      </w:r>
    </w:p>
    <w:p w14:paraId="5A723AFF" w14:textId="77777777" w:rsidR="005A5957" w:rsidRPr="009F74EC" w:rsidRDefault="005A5957" w:rsidP="005A5957">
      <w:pPr>
        <w:autoSpaceDE w:val="0"/>
        <w:autoSpaceDN w:val="0"/>
        <w:adjustRightInd w:val="0"/>
        <w:ind w:left="502"/>
        <w:jc w:val="left"/>
        <w:rPr>
          <w:rFonts w:cs="Arial"/>
        </w:rPr>
      </w:pPr>
      <w:r w:rsidRPr="009F74EC">
        <w:rPr>
          <w:rFonts w:cs="Arial"/>
        </w:rPr>
        <w:t xml:space="preserve">Menta </w:t>
      </w:r>
      <w:r w:rsidRPr="009F74EC">
        <w:rPr>
          <w:rFonts w:eastAsia="Calibri" w:cs="Arial"/>
          <w:bCs/>
          <w:i/>
          <w:iCs/>
          <w:lang w:eastAsia="ru-RU"/>
        </w:rPr>
        <w:t>verticilada</w:t>
      </w:r>
      <w:r w:rsidRPr="009F74EC">
        <w:rPr>
          <w:rFonts w:cs="Arial"/>
        </w:rPr>
        <w:t xml:space="preserve"> (</w:t>
      </w:r>
      <w:proofErr w:type="spellStart"/>
      <w:r w:rsidRPr="009F74EC">
        <w:rPr>
          <w:rFonts w:eastAsia="Calibri" w:cs="Arial"/>
          <w:bCs/>
          <w:i/>
          <w:iCs/>
          <w:lang w:eastAsia="ru-RU"/>
        </w:rPr>
        <w:t>Mentha</w:t>
      </w:r>
      <w:proofErr w:type="spellEnd"/>
      <w:r w:rsidRPr="009F74EC">
        <w:rPr>
          <w:rFonts w:eastAsia="Calibri" w:cs="Arial"/>
          <w:bCs/>
          <w:i/>
          <w:iCs/>
          <w:lang w:eastAsia="ru-RU"/>
        </w:rPr>
        <w:t xml:space="preserve"> x </w:t>
      </w:r>
      <w:proofErr w:type="spellStart"/>
      <w:r w:rsidRPr="009F74EC">
        <w:rPr>
          <w:rFonts w:eastAsia="Calibri" w:cs="Arial"/>
          <w:bCs/>
          <w:i/>
          <w:iCs/>
          <w:lang w:eastAsia="ru-RU"/>
        </w:rPr>
        <w:t>verticillata</w:t>
      </w:r>
      <w:proofErr w:type="spellEnd"/>
      <w:r w:rsidRPr="009F74EC">
        <w:rPr>
          <w:rFonts w:eastAsia="Calibri" w:cs="Arial"/>
          <w:bCs/>
          <w:i/>
          <w:iCs/>
          <w:lang w:eastAsia="ru-RU"/>
        </w:rPr>
        <w:t xml:space="preserve"> </w:t>
      </w:r>
      <w:r w:rsidRPr="009F74EC">
        <w:rPr>
          <w:rFonts w:eastAsia="Calibri" w:cs="Arial"/>
          <w:bCs/>
          <w:lang w:eastAsia="ru-RU"/>
        </w:rPr>
        <w:t>L.</w:t>
      </w:r>
      <w:r w:rsidRPr="009F74EC">
        <w:rPr>
          <w:rFonts w:cs="Arial"/>
        </w:rPr>
        <w:t>) - 1</w:t>
      </w:r>
    </w:p>
    <w:p w14:paraId="6B4E397A" w14:textId="77777777" w:rsidR="005A5957" w:rsidRPr="009F74EC" w:rsidRDefault="005A5957" w:rsidP="005A5957">
      <w:pPr>
        <w:autoSpaceDE w:val="0"/>
        <w:autoSpaceDN w:val="0"/>
        <w:adjustRightInd w:val="0"/>
        <w:jc w:val="left"/>
        <w:rPr>
          <w:rFonts w:cs="Arial"/>
        </w:rPr>
      </w:pPr>
    </w:p>
    <w:p w14:paraId="32FFEC4A" w14:textId="77777777" w:rsidR="005A5957" w:rsidRPr="009F74EC" w:rsidRDefault="005A5957" w:rsidP="005A5957">
      <w:pPr>
        <w:pStyle w:val="ListParagraph"/>
        <w:numPr>
          <w:ilvl w:val="0"/>
          <w:numId w:val="13"/>
        </w:numPr>
        <w:contextualSpacing w:val="0"/>
        <w:rPr>
          <w:rFonts w:cs="Arial"/>
          <w:szCs w:val="20"/>
          <w:lang w:val="es-ES_tradnl"/>
        </w:rPr>
      </w:pPr>
      <w:r w:rsidRPr="009F74EC">
        <w:rPr>
          <w:rFonts w:cs="Arial"/>
          <w:szCs w:val="20"/>
          <w:lang w:val="es-ES_tradnl"/>
        </w:rPr>
        <w:t xml:space="preserve">Se han concedido </w:t>
      </w:r>
      <w:r w:rsidRPr="009F74EC">
        <w:rPr>
          <w:rFonts w:cs="Arial"/>
          <w:b/>
          <w:szCs w:val="20"/>
          <w:lang w:val="es-ES_tradnl"/>
        </w:rPr>
        <w:t xml:space="preserve">14 </w:t>
      </w:r>
      <w:r w:rsidRPr="009F74EC">
        <w:rPr>
          <w:rFonts w:cs="Arial"/>
          <w:szCs w:val="20"/>
          <w:lang w:val="es-ES_tradnl"/>
        </w:rPr>
        <w:t>patentes de obtenciones vegetales (</w:t>
      </w:r>
      <w:r w:rsidRPr="009F74EC">
        <w:rPr>
          <w:rFonts w:cs="Arial"/>
          <w:b/>
          <w:szCs w:val="20"/>
          <w:lang w:val="es-ES_tradnl"/>
        </w:rPr>
        <w:t xml:space="preserve">7 </w:t>
      </w:r>
      <w:r w:rsidRPr="009F74EC">
        <w:rPr>
          <w:rFonts w:cs="Arial"/>
          <w:szCs w:val="20"/>
          <w:lang w:val="es-ES_tradnl"/>
        </w:rPr>
        <w:t xml:space="preserve">para solicitantes nacionales y </w:t>
      </w:r>
      <w:r w:rsidRPr="009F74EC">
        <w:rPr>
          <w:rFonts w:cs="Arial"/>
          <w:b/>
          <w:szCs w:val="20"/>
          <w:lang w:val="es-ES_tradnl"/>
        </w:rPr>
        <w:t xml:space="preserve">7 </w:t>
      </w:r>
      <w:r w:rsidRPr="009F74EC">
        <w:rPr>
          <w:rFonts w:cs="Arial"/>
          <w:szCs w:val="20"/>
          <w:lang w:val="es-ES_tradnl"/>
        </w:rPr>
        <w:t xml:space="preserve">para solicitantes extranjeros), como se indica a continuación: </w:t>
      </w:r>
    </w:p>
    <w:p w14:paraId="1F18AD2C" w14:textId="77777777" w:rsidR="005A5957" w:rsidRPr="009F74EC" w:rsidRDefault="005A5957" w:rsidP="005A5957">
      <w:pPr>
        <w:pStyle w:val="NoSpacing"/>
        <w:ind w:left="502"/>
        <w:rPr>
          <w:rFonts w:ascii="Arial" w:hAnsi="Arial" w:cs="Arial"/>
          <w:lang w:val="es-ES_tradnl"/>
        </w:rPr>
      </w:pPr>
    </w:p>
    <w:p w14:paraId="10B8461B" w14:textId="77777777" w:rsidR="005A5957" w:rsidRPr="009F74EC" w:rsidRDefault="005A5957" w:rsidP="005A5957">
      <w:pPr>
        <w:pStyle w:val="NoSpacing"/>
        <w:ind w:left="502"/>
        <w:rPr>
          <w:rFonts w:ascii="Arial" w:hAnsi="Arial" w:cs="Arial"/>
          <w:lang w:val="es-ES_tradnl"/>
        </w:rPr>
      </w:pPr>
      <w:r w:rsidRPr="009F74EC">
        <w:rPr>
          <w:rFonts w:ascii="Arial" w:hAnsi="Arial" w:cs="Arial"/>
          <w:lang w:val="es-ES_tradnl"/>
        </w:rPr>
        <w:t>Cebada (</w:t>
      </w:r>
      <w:proofErr w:type="spellStart"/>
      <w:r w:rsidRPr="009F74EC">
        <w:rPr>
          <w:rFonts w:ascii="Arial" w:hAnsi="Arial" w:cs="Arial"/>
          <w:bCs/>
          <w:i/>
          <w:lang w:val="es-ES_tradnl"/>
        </w:rPr>
        <w:t>Hordeum</w:t>
      </w:r>
      <w:proofErr w:type="spellEnd"/>
      <w:r w:rsidRPr="009F74EC">
        <w:rPr>
          <w:rFonts w:ascii="Arial" w:hAnsi="Arial" w:cs="Arial"/>
          <w:bCs/>
          <w:i/>
          <w:lang w:val="es-ES_tradnl"/>
        </w:rPr>
        <w:t xml:space="preserve"> </w:t>
      </w:r>
      <w:proofErr w:type="spellStart"/>
      <w:r w:rsidRPr="009F74EC">
        <w:rPr>
          <w:rFonts w:ascii="Arial" w:hAnsi="Arial" w:cs="Arial"/>
          <w:bCs/>
          <w:i/>
          <w:lang w:val="es-ES_tradnl"/>
        </w:rPr>
        <w:t>vulgare</w:t>
      </w:r>
      <w:proofErr w:type="spellEnd"/>
      <w:r w:rsidRPr="009F74EC">
        <w:rPr>
          <w:rFonts w:ascii="Arial" w:hAnsi="Arial" w:cs="Arial"/>
          <w:bCs/>
          <w:i/>
          <w:lang w:val="es-ES_tradnl"/>
        </w:rPr>
        <w:t xml:space="preserve"> </w:t>
      </w:r>
      <w:r w:rsidRPr="009F74EC">
        <w:rPr>
          <w:rFonts w:ascii="Arial" w:hAnsi="Arial" w:cs="Arial"/>
          <w:bCs/>
          <w:lang w:val="es-ES_tradnl"/>
        </w:rPr>
        <w:t>L.</w:t>
      </w:r>
      <w:r w:rsidRPr="009F74EC">
        <w:rPr>
          <w:rFonts w:ascii="Arial" w:hAnsi="Arial" w:cs="Arial"/>
          <w:lang w:val="es-ES_tradnl"/>
        </w:rPr>
        <w:t>) - 1</w:t>
      </w:r>
    </w:p>
    <w:p w14:paraId="08663A7A" w14:textId="77777777" w:rsidR="005A5957" w:rsidRPr="009F74EC" w:rsidRDefault="005A5957" w:rsidP="005A5957">
      <w:pPr>
        <w:widowControl w:val="0"/>
        <w:ind w:left="502"/>
        <w:rPr>
          <w:bCs/>
          <w:szCs w:val="24"/>
        </w:rPr>
      </w:pPr>
      <w:proofErr w:type="spellStart"/>
      <w:r w:rsidRPr="009F74EC">
        <w:rPr>
          <w:szCs w:val="22"/>
        </w:rPr>
        <w:t>Kniphofia</w:t>
      </w:r>
      <w:proofErr w:type="spellEnd"/>
      <w:r w:rsidRPr="009F74EC">
        <w:rPr>
          <w:szCs w:val="22"/>
        </w:rPr>
        <w:t xml:space="preserve"> (</w:t>
      </w:r>
      <w:proofErr w:type="spellStart"/>
      <w:r w:rsidRPr="009F74EC">
        <w:rPr>
          <w:bCs/>
          <w:i/>
          <w:iCs/>
          <w:szCs w:val="24"/>
        </w:rPr>
        <w:t>Kniphofia</w:t>
      </w:r>
      <w:proofErr w:type="spellEnd"/>
      <w:r w:rsidRPr="009F74EC">
        <w:rPr>
          <w:bCs/>
          <w:i/>
          <w:iCs/>
          <w:szCs w:val="24"/>
        </w:rPr>
        <w:t xml:space="preserve"> </w:t>
      </w:r>
      <w:proofErr w:type="spellStart"/>
      <w:r w:rsidRPr="009F74EC">
        <w:rPr>
          <w:bCs/>
          <w:i/>
          <w:iCs/>
          <w:szCs w:val="24"/>
        </w:rPr>
        <w:t>nelsonii</w:t>
      </w:r>
      <w:proofErr w:type="spellEnd"/>
      <w:r w:rsidRPr="009F74EC">
        <w:rPr>
          <w:bCs/>
          <w:i/>
          <w:iCs/>
          <w:szCs w:val="24"/>
        </w:rPr>
        <w:t xml:space="preserve"> </w:t>
      </w:r>
      <w:proofErr w:type="spellStart"/>
      <w:r w:rsidRPr="009F74EC">
        <w:rPr>
          <w:bCs/>
          <w:szCs w:val="24"/>
        </w:rPr>
        <w:t>Mast</w:t>
      </w:r>
      <w:proofErr w:type="spellEnd"/>
      <w:r w:rsidRPr="009F74EC">
        <w:rPr>
          <w:bCs/>
          <w:szCs w:val="24"/>
        </w:rPr>
        <w:t>.) - 1</w:t>
      </w:r>
    </w:p>
    <w:p w14:paraId="54DE046E" w14:textId="77777777" w:rsidR="005A5957" w:rsidRPr="009F74EC" w:rsidRDefault="005A5957" w:rsidP="005A5957">
      <w:pPr>
        <w:pStyle w:val="NoSpacing"/>
        <w:ind w:left="502"/>
        <w:rPr>
          <w:rFonts w:ascii="Arial" w:hAnsi="Arial" w:cs="Arial"/>
          <w:lang w:val="es-ES_tradnl"/>
        </w:rPr>
      </w:pPr>
      <w:r w:rsidRPr="009F74EC">
        <w:rPr>
          <w:rFonts w:ascii="Arial" w:hAnsi="Arial" w:cs="Arial"/>
          <w:lang w:val="es-ES_tradnl"/>
        </w:rPr>
        <w:t xml:space="preserve">Maíz (Zea </w:t>
      </w:r>
      <w:proofErr w:type="spellStart"/>
      <w:r w:rsidRPr="009F74EC">
        <w:rPr>
          <w:rFonts w:ascii="Arial" w:hAnsi="Arial" w:cs="Arial"/>
          <w:lang w:val="es-ES_tradnl"/>
        </w:rPr>
        <w:t>mays</w:t>
      </w:r>
      <w:proofErr w:type="spellEnd"/>
      <w:r w:rsidRPr="009F74EC">
        <w:rPr>
          <w:rFonts w:ascii="Arial" w:hAnsi="Arial" w:cs="Arial"/>
          <w:lang w:val="es-ES_tradnl"/>
        </w:rPr>
        <w:t xml:space="preserve"> L.) - 2</w:t>
      </w:r>
    </w:p>
    <w:p w14:paraId="645CCCF2" w14:textId="77777777" w:rsidR="005A5957" w:rsidRPr="009F74EC" w:rsidRDefault="005A5957" w:rsidP="005A5957">
      <w:pPr>
        <w:pStyle w:val="NoSpacing"/>
        <w:ind w:left="502"/>
        <w:rPr>
          <w:rFonts w:ascii="Arial" w:hAnsi="Arial"/>
          <w:bCs/>
          <w:szCs w:val="24"/>
          <w:lang w:val="es-ES_tradnl"/>
        </w:rPr>
      </w:pPr>
      <w:r w:rsidRPr="009F74EC">
        <w:rPr>
          <w:rFonts w:ascii="Arial" w:hAnsi="Arial"/>
          <w:szCs w:val="22"/>
          <w:lang w:val="es-ES_tradnl"/>
        </w:rPr>
        <w:t>Avena (</w:t>
      </w:r>
      <w:r w:rsidRPr="009F74EC">
        <w:rPr>
          <w:rFonts w:ascii="Arial" w:hAnsi="Arial"/>
          <w:bCs/>
          <w:i/>
          <w:iCs/>
          <w:szCs w:val="24"/>
          <w:lang w:val="es-ES_tradnl"/>
        </w:rPr>
        <w:t xml:space="preserve">Avena sativa </w:t>
      </w:r>
      <w:r w:rsidRPr="009F74EC">
        <w:rPr>
          <w:rFonts w:ascii="Arial" w:hAnsi="Arial"/>
          <w:bCs/>
          <w:szCs w:val="24"/>
          <w:lang w:val="es-ES_tradnl"/>
        </w:rPr>
        <w:t>L.) - 1</w:t>
      </w:r>
    </w:p>
    <w:p w14:paraId="572F49B6" w14:textId="77777777" w:rsidR="005A5957" w:rsidRPr="009F74EC" w:rsidRDefault="005A5957" w:rsidP="005A5957">
      <w:pPr>
        <w:pStyle w:val="NoSpacing"/>
        <w:ind w:left="502"/>
        <w:rPr>
          <w:rFonts w:ascii="Arial" w:hAnsi="Arial"/>
          <w:szCs w:val="22"/>
          <w:lang w:val="es-ES_tradnl"/>
        </w:rPr>
      </w:pPr>
      <w:r w:rsidRPr="009F74EC">
        <w:rPr>
          <w:rFonts w:ascii="Arial" w:hAnsi="Arial"/>
          <w:szCs w:val="22"/>
          <w:lang w:val="es-ES_tradnl"/>
        </w:rPr>
        <w:t xml:space="preserve">Portainjertos de </w:t>
      </w:r>
      <w:proofErr w:type="spellStart"/>
      <w:r w:rsidRPr="009F74EC">
        <w:rPr>
          <w:rFonts w:ascii="Arial" w:hAnsi="Arial"/>
          <w:szCs w:val="22"/>
          <w:lang w:val="es-ES_tradnl"/>
        </w:rPr>
        <w:t>Prunus</w:t>
      </w:r>
      <w:proofErr w:type="spellEnd"/>
      <w:r w:rsidRPr="009F74EC">
        <w:rPr>
          <w:rFonts w:ascii="Arial" w:hAnsi="Arial"/>
          <w:szCs w:val="22"/>
          <w:lang w:val="es-ES_tradnl"/>
        </w:rPr>
        <w:t xml:space="preserve"> (</w:t>
      </w:r>
      <w:proofErr w:type="spellStart"/>
      <w:r w:rsidRPr="009F74EC">
        <w:rPr>
          <w:rFonts w:ascii="Arial" w:hAnsi="Arial"/>
          <w:bCs/>
          <w:i/>
          <w:iCs/>
          <w:szCs w:val="24"/>
          <w:lang w:val="es-ES_tradnl"/>
        </w:rPr>
        <w:t>Prunus</w:t>
      </w:r>
      <w:proofErr w:type="spellEnd"/>
      <w:r w:rsidRPr="009F74EC">
        <w:rPr>
          <w:rFonts w:ascii="Arial" w:hAnsi="Arial"/>
          <w:bCs/>
          <w:i/>
          <w:iCs/>
          <w:szCs w:val="24"/>
          <w:lang w:val="es-ES_tradnl"/>
        </w:rPr>
        <w:t xml:space="preserve"> </w:t>
      </w:r>
      <w:r w:rsidRPr="009F74EC">
        <w:rPr>
          <w:rFonts w:ascii="Arial" w:hAnsi="Arial"/>
          <w:bCs/>
          <w:szCs w:val="24"/>
          <w:lang w:val="es-ES_tradnl"/>
        </w:rPr>
        <w:t>L.</w:t>
      </w:r>
      <w:r w:rsidRPr="009F74EC">
        <w:rPr>
          <w:rFonts w:ascii="Arial" w:hAnsi="Arial"/>
          <w:szCs w:val="22"/>
          <w:lang w:val="es-ES_tradnl"/>
        </w:rPr>
        <w:t>) - 3</w:t>
      </w:r>
    </w:p>
    <w:p w14:paraId="4C2BB73D" w14:textId="77777777" w:rsidR="005A5957" w:rsidRPr="009F74EC" w:rsidRDefault="005A5957" w:rsidP="005A5957">
      <w:pPr>
        <w:widowControl w:val="0"/>
        <w:ind w:left="502"/>
        <w:rPr>
          <w:bCs/>
          <w:szCs w:val="24"/>
        </w:rPr>
      </w:pPr>
      <w:r w:rsidRPr="009F74EC">
        <w:rPr>
          <w:bCs/>
          <w:i/>
          <w:iCs/>
          <w:szCs w:val="24"/>
        </w:rPr>
        <w:t xml:space="preserve">Salvia </w:t>
      </w:r>
      <w:r w:rsidRPr="009F74EC">
        <w:rPr>
          <w:szCs w:val="22"/>
        </w:rPr>
        <w:t>(</w:t>
      </w:r>
      <w:r w:rsidRPr="009F74EC">
        <w:rPr>
          <w:bCs/>
          <w:i/>
          <w:iCs/>
          <w:szCs w:val="24"/>
        </w:rPr>
        <w:t xml:space="preserve">Salvia </w:t>
      </w:r>
      <w:proofErr w:type="spellStart"/>
      <w:r w:rsidRPr="009F74EC">
        <w:rPr>
          <w:bCs/>
          <w:i/>
          <w:iCs/>
          <w:szCs w:val="24"/>
        </w:rPr>
        <w:t>sclarea</w:t>
      </w:r>
      <w:proofErr w:type="spellEnd"/>
      <w:r w:rsidRPr="009F74EC">
        <w:rPr>
          <w:bCs/>
          <w:i/>
          <w:iCs/>
          <w:szCs w:val="24"/>
        </w:rPr>
        <w:t xml:space="preserve"> </w:t>
      </w:r>
      <w:r w:rsidRPr="009F74EC">
        <w:rPr>
          <w:bCs/>
          <w:szCs w:val="24"/>
        </w:rPr>
        <w:t>L.) - 1</w:t>
      </w:r>
    </w:p>
    <w:p w14:paraId="44217D1F" w14:textId="77777777" w:rsidR="005A5957" w:rsidRPr="009F74EC" w:rsidRDefault="005A5957" w:rsidP="005A5957">
      <w:pPr>
        <w:widowControl w:val="0"/>
        <w:ind w:left="502"/>
        <w:rPr>
          <w:bCs/>
          <w:szCs w:val="24"/>
        </w:rPr>
      </w:pPr>
      <w:r w:rsidRPr="009F74EC">
        <w:rPr>
          <w:szCs w:val="22"/>
        </w:rPr>
        <w:t>Cerezo dulce (</w:t>
      </w:r>
      <w:proofErr w:type="spellStart"/>
      <w:r w:rsidRPr="009F74EC">
        <w:rPr>
          <w:bCs/>
          <w:i/>
          <w:iCs/>
          <w:szCs w:val="24"/>
        </w:rPr>
        <w:t>Prunus</w:t>
      </w:r>
      <w:proofErr w:type="spellEnd"/>
      <w:r w:rsidRPr="009F74EC">
        <w:rPr>
          <w:bCs/>
          <w:i/>
          <w:iCs/>
          <w:szCs w:val="24"/>
        </w:rPr>
        <w:t xml:space="preserve"> </w:t>
      </w:r>
      <w:proofErr w:type="spellStart"/>
      <w:r w:rsidRPr="009F74EC">
        <w:rPr>
          <w:bCs/>
          <w:i/>
          <w:iCs/>
          <w:szCs w:val="24"/>
        </w:rPr>
        <w:t>avium</w:t>
      </w:r>
      <w:proofErr w:type="spellEnd"/>
      <w:r w:rsidRPr="009F74EC">
        <w:rPr>
          <w:bCs/>
          <w:i/>
          <w:iCs/>
          <w:szCs w:val="24"/>
        </w:rPr>
        <w:t xml:space="preserve"> </w:t>
      </w:r>
      <w:r w:rsidRPr="009F74EC">
        <w:rPr>
          <w:bCs/>
          <w:szCs w:val="24"/>
        </w:rPr>
        <w:t>L.) - 1</w:t>
      </w:r>
    </w:p>
    <w:p w14:paraId="53C9DF8F" w14:textId="77777777" w:rsidR="005A5957" w:rsidRPr="009F74EC" w:rsidRDefault="005A5957" w:rsidP="005A5957">
      <w:pPr>
        <w:ind w:left="502"/>
        <w:rPr>
          <w:rFonts w:cs="Arial"/>
        </w:rPr>
      </w:pPr>
      <w:r w:rsidRPr="009F74EC">
        <w:rPr>
          <w:rFonts w:cs="Arial"/>
        </w:rPr>
        <w:t>Trigo (</w:t>
      </w:r>
      <w:r w:rsidRPr="009F74EC">
        <w:rPr>
          <w:rFonts w:cs="Arial"/>
          <w:i/>
        </w:rPr>
        <w:t xml:space="preserve">Triticum </w:t>
      </w:r>
      <w:proofErr w:type="spellStart"/>
      <w:r w:rsidRPr="009F74EC">
        <w:rPr>
          <w:rFonts w:cs="Arial"/>
          <w:i/>
        </w:rPr>
        <w:t>aestivum</w:t>
      </w:r>
      <w:proofErr w:type="spellEnd"/>
      <w:r w:rsidRPr="009F74EC">
        <w:rPr>
          <w:rFonts w:cs="Arial"/>
          <w:i/>
        </w:rPr>
        <w:t xml:space="preserve"> </w:t>
      </w:r>
      <w:r w:rsidRPr="009F74EC">
        <w:rPr>
          <w:rFonts w:cs="Arial"/>
        </w:rPr>
        <w:t>L.) - 4</w:t>
      </w:r>
    </w:p>
    <w:p w14:paraId="02924DDD" w14:textId="77777777" w:rsidR="005A5957" w:rsidRPr="009F74EC" w:rsidRDefault="005A5957" w:rsidP="005A5957"/>
    <w:p w14:paraId="41C1D3C1" w14:textId="77777777" w:rsidR="005A5957" w:rsidRPr="009F74EC" w:rsidRDefault="005A5957" w:rsidP="005A5957">
      <w:pPr>
        <w:spacing w:line="360" w:lineRule="auto"/>
      </w:pPr>
      <w:r w:rsidRPr="009F74EC">
        <w:t>4.</w:t>
      </w:r>
      <w:r w:rsidRPr="009F74EC">
        <w:tab/>
      </w:r>
      <w:r w:rsidRPr="009F74EC">
        <w:rPr>
          <w:u w:val="single"/>
        </w:rPr>
        <w:t>Situación en el ámbito técnico</w:t>
      </w:r>
    </w:p>
    <w:p w14:paraId="43E55CFF" w14:textId="77777777" w:rsidR="005A5957" w:rsidRPr="009F74EC" w:rsidRDefault="005A5957" w:rsidP="005A5957">
      <w:pPr>
        <w:ind w:left="567"/>
      </w:pPr>
      <w:r w:rsidRPr="009F74EC">
        <w:t>Sin cambios.</w:t>
      </w:r>
    </w:p>
    <w:p w14:paraId="512D70DC" w14:textId="77777777" w:rsidR="005A5957" w:rsidRPr="009F74EC" w:rsidRDefault="005A5957" w:rsidP="005A5957"/>
    <w:p w14:paraId="574F9A09" w14:textId="77777777" w:rsidR="005A5957" w:rsidRPr="009F74EC" w:rsidRDefault="005A5957" w:rsidP="005A5957"/>
    <w:p w14:paraId="23D53D9D" w14:textId="77777777" w:rsidR="005A5957" w:rsidRPr="009F74EC" w:rsidRDefault="005A5957" w:rsidP="005A5957">
      <w:pPr>
        <w:rPr>
          <w:u w:val="single"/>
        </w:rPr>
      </w:pPr>
      <w:r w:rsidRPr="009F74EC">
        <w:t>5.</w:t>
      </w:r>
      <w:r w:rsidRPr="009F74EC">
        <w:tab/>
      </w:r>
      <w:r w:rsidRPr="009F74EC">
        <w:rPr>
          <w:u w:val="single"/>
        </w:rPr>
        <w:t>Actividades de fomento de la protección de las obtenciones vegetales</w:t>
      </w:r>
    </w:p>
    <w:p w14:paraId="46A96A8E" w14:textId="77777777" w:rsidR="005A5957" w:rsidRPr="009F74EC" w:rsidRDefault="005A5957" w:rsidP="005A5957">
      <w:pPr>
        <w:rPr>
          <w:u w:val="single"/>
        </w:rPr>
      </w:pPr>
    </w:p>
    <w:p w14:paraId="6C699E1A" w14:textId="77777777" w:rsidR="005A5957" w:rsidRPr="009F74EC" w:rsidRDefault="005A5957" w:rsidP="005A5957">
      <w:r w:rsidRPr="009F74EC">
        <w:t xml:space="preserve">El AGEPI mantiene periódicamente el sitio Web </w:t>
      </w:r>
      <w:hyperlink r:id="rId39" w:history="1">
        <w:r w:rsidRPr="009F74EC">
          <w:rPr>
            <w:rStyle w:val="Hyperlink"/>
          </w:rPr>
          <w:t>www.agepi.gov.md</w:t>
        </w:r>
      </w:hyperlink>
      <w:r w:rsidRPr="009F74EC">
        <w:t>, en el que se puede acceder a la legislación nacional en el ámbito de la protección de las obtenciones vegetales, así como a los formularios de solicitud de una patente de obtención vegetal y a información útil conexa para solicitantes y obtentores, disponible en rumano, ruso e inglés.</w:t>
      </w:r>
    </w:p>
    <w:p w14:paraId="2AE34774" w14:textId="77777777" w:rsidR="005A5957" w:rsidRPr="009F74EC" w:rsidRDefault="005A5957" w:rsidP="005A5957"/>
    <w:p w14:paraId="6C38F84B" w14:textId="77777777" w:rsidR="005A5957" w:rsidRPr="009F74EC" w:rsidRDefault="005A5957" w:rsidP="005A5957">
      <w:r w:rsidRPr="009F74EC">
        <w:t>El material informativo relacionado con la protección de las obtenciones vegetales se distribuye en el marco de las distintas actividades organizadas por la AGEPI o en las que ésta participa, como seminarios, campañas de sensibilización sobre la propiedad intelectual y exposiciones.</w:t>
      </w:r>
    </w:p>
    <w:p w14:paraId="609A3634" w14:textId="77777777" w:rsidR="005A5957" w:rsidRPr="009F74EC" w:rsidRDefault="005A5957" w:rsidP="005A5957"/>
    <w:p w14:paraId="171E4488" w14:textId="77777777" w:rsidR="005A5957" w:rsidRPr="009F74EC" w:rsidRDefault="005A5957" w:rsidP="005A5957">
      <w:r w:rsidRPr="009F74EC">
        <w:t xml:space="preserve">Desde 2016, la República de Moldova, representada por el AGEPI, participa en el proyecto de la UPOV sobre la elaboración de un formulario electrónico de solicitud UPOV PRISMA. La información conexa sobre el procedimiento de protección de las obtenciones vegetales mediante el formulario de solicitud electrónica UPOV PRISMA puede consultarse en el sitio web </w:t>
      </w:r>
      <w:hyperlink r:id="rId40" w:history="1">
        <w:r w:rsidRPr="009F74EC">
          <w:rPr>
            <w:rStyle w:val="Hyperlink"/>
          </w:rPr>
          <w:t xml:space="preserve">www.agepi.gov.md. </w:t>
        </w:r>
      </w:hyperlink>
    </w:p>
    <w:p w14:paraId="7F37CE80" w14:textId="77777777" w:rsidR="005A5957" w:rsidRPr="009F74EC" w:rsidRDefault="005A5957" w:rsidP="005A5957"/>
    <w:p w14:paraId="1AF9EE14" w14:textId="77777777" w:rsidR="005A5957" w:rsidRPr="009F74EC" w:rsidRDefault="005A5957" w:rsidP="005A5957">
      <w:pPr>
        <w:jc w:val="left"/>
      </w:pPr>
    </w:p>
    <w:p w14:paraId="012F2633" w14:textId="77777777" w:rsidR="005A5957" w:rsidRPr="009F74EC" w:rsidRDefault="005A5957" w:rsidP="005A5957">
      <w:pPr>
        <w:jc w:val="left"/>
      </w:pPr>
    </w:p>
    <w:p w14:paraId="08D91719" w14:textId="77777777" w:rsidR="005A5957" w:rsidRPr="009F74EC" w:rsidRDefault="005A5957" w:rsidP="005A5957">
      <w:pPr>
        <w:jc w:val="right"/>
      </w:pPr>
      <w:r w:rsidRPr="009F74EC">
        <w:t>[Sigue el Anexo XV]</w:t>
      </w:r>
    </w:p>
    <w:p w14:paraId="0B57BFC7" w14:textId="77777777" w:rsidR="005A5957" w:rsidRPr="009F74EC" w:rsidRDefault="005A5957" w:rsidP="005A5957"/>
    <w:p w14:paraId="4064DBEB" w14:textId="77777777" w:rsidR="005A5957" w:rsidRPr="009F74EC" w:rsidRDefault="005A5957" w:rsidP="005A5957">
      <w:pPr>
        <w:sectPr w:rsidR="005A5957" w:rsidRPr="009F74EC" w:rsidSect="000B2CE0">
          <w:headerReference w:type="default" r:id="rId41"/>
          <w:pgSz w:w="11907" w:h="16840" w:code="9"/>
          <w:pgMar w:top="510" w:right="1134" w:bottom="568" w:left="1134" w:header="510" w:footer="680" w:gutter="0"/>
          <w:pgNumType w:start="1"/>
          <w:cols w:space="720"/>
          <w:titlePg/>
        </w:sectPr>
      </w:pPr>
    </w:p>
    <w:p w14:paraId="7855A56A" w14:textId="77777777" w:rsidR="005A5957" w:rsidRPr="009F74EC" w:rsidRDefault="005A5957" w:rsidP="005A5957">
      <w:pPr>
        <w:jc w:val="center"/>
      </w:pPr>
      <w:r w:rsidRPr="009F74EC">
        <w:lastRenderedPageBreak/>
        <w:t>C/57/13</w:t>
      </w:r>
    </w:p>
    <w:p w14:paraId="08B7D058" w14:textId="77777777" w:rsidR="005A5957" w:rsidRPr="009F74EC" w:rsidRDefault="005A5957" w:rsidP="005A5957">
      <w:pPr>
        <w:jc w:val="center"/>
      </w:pPr>
    </w:p>
    <w:p w14:paraId="0EC064C3" w14:textId="77777777" w:rsidR="005A5957" w:rsidRPr="009F74EC" w:rsidRDefault="005A5957" w:rsidP="005A5957">
      <w:pPr>
        <w:jc w:val="center"/>
      </w:pPr>
      <w:r w:rsidRPr="009F74EC">
        <w:t>ANEXO XV</w:t>
      </w:r>
    </w:p>
    <w:p w14:paraId="05E64770" w14:textId="77777777" w:rsidR="005A5957" w:rsidRPr="009F74EC" w:rsidRDefault="005A5957" w:rsidP="005A5957">
      <w:pPr>
        <w:jc w:val="center"/>
      </w:pPr>
    </w:p>
    <w:p w14:paraId="6E4F48CF" w14:textId="77777777" w:rsidR="005A5957" w:rsidRPr="009F74EC" w:rsidRDefault="005A5957" w:rsidP="005A5957">
      <w:pPr>
        <w:jc w:val="center"/>
      </w:pPr>
    </w:p>
    <w:p w14:paraId="72A92515" w14:textId="77777777" w:rsidR="005A5957" w:rsidRPr="009F74EC" w:rsidRDefault="005A5957" w:rsidP="005A5957">
      <w:pPr>
        <w:jc w:val="center"/>
      </w:pPr>
      <w:r w:rsidRPr="009F74EC">
        <w:t>REINO UNIDO</w:t>
      </w:r>
    </w:p>
    <w:p w14:paraId="7C69ACFF" w14:textId="77777777" w:rsidR="00633DB1" w:rsidRPr="009F74EC" w:rsidRDefault="00633DB1" w:rsidP="00633DB1">
      <w:pPr>
        <w:jc w:val="center"/>
      </w:pPr>
      <w:r w:rsidRPr="009F74EC">
        <w:t>(Idioma original: inglés)</w:t>
      </w:r>
    </w:p>
    <w:p w14:paraId="7D1EA25A" w14:textId="77777777" w:rsidR="00633DB1" w:rsidRPr="009F74EC" w:rsidRDefault="00633DB1" w:rsidP="00633DB1"/>
    <w:p w14:paraId="1B47504E" w14:textId="77777777" w:rsidR="00633DB1" w:rsidRPr="009F74EC" w:rsidRDefault="00633DB1" w:rsidP="00633DB1">
      <w:pPr>
        <w:pStyle w:val="Disclaimer"/>
        <w:spacing w:after="360"/>
        <w:jc w:val="center"/>
        <w:rPr>
          <w:sz w:val="18"/>
          <w:szCs w:val="18"/>
        </w:rPr>
      </w:pPr>
      <w:r w:rsidRPr="009F74EC">
        <w:rPr>
          <w:sz w:val="18"/>
          <w:szCs w:val="18"/>
        </w:rPr>
        <w:t xml:space="preserve">Esta traducción se ha generado mediante traducción automática y no puede garantizarse su exactitud. </w:t>
      </w:r>
      <w:r w:rsidRPr="009F74EC">
        <w:rPr>
          <w:sz w:val="18"/>
          <w:szCs w:val="18"/>
        </w:rPr>
        <w:br/>
        <w:t>Por lo tanto, el texto en el idioma original es la única versión auténtica.</w:t>
      </w:r>
    </w:p>
    <w:p w14:paraId="10C4AFFB" w14:textId="77777777" w:rsidR="005A5957" w:rsidRPr="009F74EC" w:rsidRDefault="005A5957" w:rsidP="005A5957">
      <w:r w:rsidRPr="009F74EC">
        <w:t>I.</w:t>
      </w:r>
      <w:r w:rsidRPr="009F74EC">
        <w:tab/>
        <w:t>PROTECCIÓN DE LAS OBTENCIONES VEGETALES</w:t>
      </w:r>
    </w:p>
    <w:p w14:paraId="649FD8B8" w14:textId="77777777" w:rsidR="005A5957" w:rsidRPr="009F74EC" w:rsidRDefault="005A5957" w:rsidP="005A5957"/>
    <w:p w14:paraId="6349EEF2" w14:textId="77777777" w:rsidR="005A5957" w:rsidRPr="009F74EC" w:rsidRDefault="005A5957" w:rsidP="005A5957">
      <w:pPr>
        <w:tabs>
          <w:tab w:val="left" w:pos="567"/>
          <w:tab w:val="left" w:pos="1276"/>
        </w:tabs>
      </w:pPr>
      <w:r w:rsidRPr="009F74EC">
        <w:t xml:space="preserve">1. </w:t>
      </w:r>
      <w:r w:rsidRPr="009F74EC">
        <w:tab/>
      </w:r>
      <w:r w:rsidRPr="009F74EC">
        <w:rPr>
          <w:u w:val="single"/>
        </w:rPr>
        <w:t>Situación en el ámbito legislativo</w:t>
      </w:r>
    </w:p>
    <w:p w14:paraId="2660AD88" w14:textId="77777777" w:rsidR="005A5957" w:rsidRPr="009F74EC" w:rsidRDefault="005A5957" w:rsidP="005A5957"/>
    <w:p w14:paraId="65EDF84C" w14:textId="3287F5B1" w:rsidR="005A5957" w:rsidRPr="009F74EC" w:rsidRDefault="005A5957" w:rsidP="005A5957">
      <w:pPr>
        <w:spacing w:after="120"/>
      </w:pPr>
      <w:r w:rsidRPr="009F74EC">
        <w:t>1.1</w:t>
      </w:r>
      <w:r w:rsidR="009838A4">
        <w:tab/>
      </w:r>
      <w:r w:rsidRPr="009F74EC">
        <w:t>Modificaciones de la ley y de los reglamentos de aplicación</w:t>
      </w:r>
    </w:p>
    <w:p w14:paraId="755B56CB" w14:textId="77777777" w:rsidR="005A5957" w:rsidRPr="009F74EC" w:rsidRDefault="005A5957" w:rsidP="005A5957">
      <w:pPr>
        <w:ind w:left="567"/>
      </w:pPr>
      <w:r w:rsidRPr="009F74EC">
        <w:t>Tras dos años de duro trabajo de todas las partes, el Reino Unido amplió en abril de este año la aplicación de su ratificación del Acta de 1991 del Convenio de la UPOV a la Dependencia de la Corona de la Isla de Man.</w:t>
      </w:r>
    </w:p>
    <w:p w14:paraId="4C1DAC1F" w14:textId="77777777" w:rsidR="005A5957" w:rsidRPr="009F74EC" w:rsidRDefault="005A5957" w:rsidP="005A5957"/>
    <w:p w14:paraId="2960FD33" w14:textId="24E9589A" w:rsidR="005A5957" w:rsidRPr="009F74EC" w:rsidRDefault="005A5957" w:rsidP="005A5957">
      <w:pPr>
        <w:pStyle w:val="BodyTextIndent2"/>
        <w:ind w:left="567" w:hanging="567"/>
        <w:rPr>
          <w:sz w:val="20"/>
          <w:szCs w:val="20"/>
          <w:lang w:val="es-ES_tradnl"/>
        </w:rPr>
      </w:pPr>
      <w:r w:rsidRPr="009F74EC">
        <w:rPr>
          <w:sz w:val="20"/>
          <w:szCs w:val="20"/>
          <w:lang w:val="es-ES_tradnl"/>
        </w:rPr>
        <w:t>1.2</w:t>
      </w:r>
      <w:r w:rsidR="009838A4">
        <w:rPr>
          <w:sz w:val="20"/>
          <w:szCs w:val="20"/>
          <w:lang w:val="es-ES_tradnl"/>
        </w:rPr>
        <w:tab/>
      </w:r>
      <w:r w:rsidRPr="009F74EC">
        <w:rPr>
          <w:sz w:val="20"/>
          <w:szCs w:val="20"/>
          <w:lang w:val="es-ES_tradnl"/>
        </w:rPr>
        <w:t>Ampliación de la protección a otros géneros y especies (realizada o prevista)</w:t>
      </w:r>
    </w:p>
    <w:p w14:paraId="08DE6280" w14:textId="77777777" w:rsidR="005A5957" w:rsidRPr="009F74EC" w:rsidRDefault="005A5957" w:rsidP="005A5957">
      <w:pPr>
        <w:pStyle w:val="BodyTextIndent2"/>
        <w:ind w:left="0" w:firstLine="0"/>
        <w:rPr>
          <w:sz w:val="20"/>
          <w:szCs w:val="20"/>
          <w:lang w:val="es-ES_tradnl"/>
        </w:rPr>
      </w:pPr>
    </w:p>
    <w:p w14:paraId="56757B3A" w14:textId="77777777" w:rsidR="005A5957" w:rsidRPr="009F74EC" w:rsidRDefault="005A5957" w:rsidP="005A5957">
      <w:pPr>
        <w:pStyle w:val="BodyTextIndent2"/>
        <w:ind w:left="567" w:firstLine="1"/>
        <w:rPr>
          <w:sz w:val="20"/>
          <w:szCs w:val="20"/>
          <w:lang w:val="es-ES_tradnl"/>
        </w:rPr>
      </w:pPr>
      <w:r w:rsidRPr="009F74EC">
        <w:rPr>
          <w:sz w:val="20"/>
          <w:szCs w:val="20"/>
          <w:lang w:val="es-ES_tradnl"/>
        </w:rPr>
        <w:t xml:space="preserve">El Reino Unido ha empezado a trabajar para ampliar de 25 a 30 años la duración de los derechos de obtentor de la especie espárrago y de los grupos de especies bulbos de flor, pequeños frutos leñosos y plantas ornamentales leñosas.  Estos trabajos se encuentran en su fase inicial y no se espera que concluyan hasta 2025 como muy pronto. </w:t>
      </w:r>
    </w:p>
    <w:p w14:paraId="740538C8" w14:textId="77777777" w:rsidR="005A5957" w:rsidRPr="009F74EC" w:rsidRDefault="005A5957" w:rsidP="005A5957">
      <w:pPr>
        <w:pStyle w:val="BodyTextIndent2"/>
        <w:ind w:left="425"/>
        <w:rPr>
          <w:sz w:val="20"/>
          <w:szCs w:val="20"/>
          <w:lang w:val="es-ES_tradnl"/>
        </w:rPr>
      </w:pPr>
    </w:p>
    <w:p w14:paraId="07605343" w14:textId="26F8C27F" w:rsidR="005A5957" w:rsidRPr="009F74EC" w:rsidRDefault="005A5957" w:rsidP="005A5957">
      <w:pPr>
        <w:pStyle w:val="BodyTextIndent2"/>
        <w:ind w:left="567" w:hanging="567"/>
        <w:rPr>
          <w:sz w:val="20"/>
          <w:szCs w:val="20"/>
          <w:lang w:val="es-ES_tradnl"/>
        </w:rPr>
      </w:pPr>
      <w:r w:rsidRPr="009F74EC">
        <w:rPr>
          <w:sz w:val="20"/>
          <w:szCs w:val="20"/>
          <w:lang w:val="es-ES_tradnl"/>
        </w:rPr>
        <w:t>1.3</w:t>
      </w:r>
      <w:r w:rsidR="009838A4">
        <w:rPr>
          <w:sz w:val="20"/>
          <w:szCs w:val="20"/>
          <w:lang w:val="es-ES_tradnl"/>
        </w:rPr>
        <w:tab/>
      </w:r>
      <w:r w:rsidRPr="009F74EC">
        <w:rPr>
          <w:sz w:val="20"/>
          <w:szCs w:val="20"/>
          <w:lang w:val="es-ES_tradnl"/>
        </w:rPr>
        <w:t>La jurisprudencia</w:t>
      </w:r>
    </w:p>
    <w:p w14:paraId="1566D588" w14:textId="77777777" w:rsidR="005A5957" w:rsidRPr="009F74EC" w:rsidRDefault="005A5957" w:rsidP="005A5957">
      <w:pPr>
        <w:pStyle w:val="BodyTextIndent2"/>
        <w:ind w:left="425"/>
        <w:rPr>
          <w:sz w:val="20"/>
          <w:szCs w:val="20"/>
          <w:lang w:val="es-ES_tradnl"/>
        </w:rPr>
      </w:pPr>
    </w:p>
    <w:p w14:paraId="251A91FB" w14:textId="77777777" w:rsidR="005A5957" w:rsidRPr="009F74EC" w:rsidRDefault="005A5957" w:rsidP="005A5957">
      <w:pPr>
        <w:pStyle w:val="BodyTextIndent2"/>
        <w:ind w:left="992"/>
        <w:rPr>
          <w:sz w:val="20"/>
          <w:szCs w:val="20"/>
          <w:lang w:val="es-ES_tradnl"/>
        </w:rPr>
      </w:pPr>
      <w:r w:rsidRPr="009F74EC">
        <w:rPr>
          <w:sz w:val="20"/>
          <w:szCs w:val="20"/>
          <w:lang w:val="es-ES_tradnl"/>
        </w:rPr>
        <w:t>Nada que comunicar.</w:t>
      </w:r>
    </w:p>
    <w:p w14:paraId="075F2048" w14:textId="77777777" w:rsidR="005A5957" w:rsidRPr="009F74EC" w:rsidRDefault="005A5957" w:rsidP="005A5957"/>
    <w:p w14:paraId="67661251" w14:textId="77777777" w:rsidR="005A5957" w:rsidRPr="009F74EC" w:rsidRDefault="005A5957" w:rsidP="005A5957">
      <w:r w:rsidRPr="009F74EC">
        <w:t>2.</w:t>
      </w:r>
      <w:r w:rsidRPr="009F74EC">
        <w:tab/>
      </w:r>
      <w:r w:rsidRPr="009F74EC">
        <w:rPr>
          <w:u w:val="single"/>
        </w:rPr>
        <w:t>Cooperación en el examen</w:t>
      </w:r>
    </w:p>
    <w:p w14:paraId="51D9950D" w14:textId="77777777" w:rsidR="005A5957" w:rsidRPr="009F74EC" w:rsidRDefault="005A5957" w:rsidP="005A5957"/>
    <w:p w14:paraId="2337F595" w14:textId="77777777" w:rsidR="005A5957" w:rsidRPr="009F74EC" w:rsidRDefault="005A5957" w:rsidP="005A5957">
      <w:pPr>
        <w:tabs>
          <w:tab w:val="left" w:pos="426"/>
          <w:tab w:val="left" w:pos="851"/>
        </w:tabs>
      </w:pPr>
      <w:r w:rsidRPr="009F74EC">
        <w:t>Nada que comunicar.</w:t>
      </w:r>
    </w:p>
    <w:p w14:paraId="34D51126" w14:textId="77777777" w:rsidR="005A5957" w:rsidRPr="009F74EC" w:rsidRDefault="005A5957" w:rsidP="005A5957"/>
    <w:p w14:paraId="6CFFA53C" w14:textId="77777777" w:rsidR="005A5957" w:rsidRPr="009F74EC" w:rsidRDefault="005A5957" w:rsidP="005A5957">
      <w:pPr>
        <w:rPr>
          <w:u w:val="single"/>
        </w:rPr>
      </w:pPr>
      <w:r w:rsidRPr="009F74EC">
        <w:t>3.</w:t>
      </w:r>
      <w:r w:rsidRPr="009F74EC">
        <w:tab/>
      </w:r>
      <w:r w:rsidRPr="009F74EC">
        <w:rPr>
          <w:u w:val="single"/>
        </w:rPr>
        <w:t>Situación en el ámbito administrativo</w:t>
      </w:r>
    </w:p>
    <w:p w14:paraId="2672E51C" w14:textId="77777777" w:rsidR="005A5957" w:rsidRPr="009F74EC" w:rsidRDefault="005A5957" w:rsidP="005A5957"/>
    <w:p w14:paraId="20CC35D2" w14:textId="416828BD" w:rsidR="005A5957" w:rsidRPr="009F74EC" w:rsidRDefault="005A5957" w:rsidP="005A5957">
      <w:r w:rsidRPr="009F74EC">
        <w:t xml:space="preserve">El 1 de julio de 2023, el Reino Unido aumentó sus tasas por la inscripción de variedades en los registros de Gran Bretaña e Irlanda del Norte y por los derechos de obtentor.  Los servicios de variedades vegetales y semillas se ajustan a la política del Gobierno del Reino Unido en materia de tasas </w:t>
      </w:r>
      <w:r w:rsidRPr="009F74EC">
        <w:rPr>
          <w:color w:val="000000" w:themeColor="text1"/>
        </w:rPr>
        <w:t>(</w:t>
      </w:r>
      <w:proofErr w:type="spellStart"/>
      <w:r w:rsidRPr="009F74EC">
        <w:t>Managing</w:t>
      </w:r>
      <w:proofErr w:type="spellEnd"/>
      <w:r w:rsidRPr="009F74EC">
        <w:t xml:space="preserve"> </w:t>
      </w:r>
      <w:proofErr w:type="spellStart"/>
      <w:r w:rsidRPr="009F74EC">
        <w:t>Public</w:t>
      </w:r>
      <w:proofErr w:type="spellEnd"/>
      <w:r w:rsidRPr="009F74EC">
        <w:t xml:space="preserve"> Money, HM </w:t>
      </w:r>
      <w:proofErr w:type="spellStart"/>
      <w:r w:rsidRPr="009F74EC">
        <w:t>Treasury</w:t>
      </w:r>
      <w:proofErr w:type="spellEnd"/>
      <w:r w:rsidRPr="009F74EC">
        <w:t xml:space="preserve">, March 2022) y, por tanto, aplican un enfoque de recuperación íntegra de los costes, de modo que los usuarios que se benefician de un servicio sufraguen debidamente los costes.  La modificación de las tasas refleja esta política y es consecuencia de un período de seis semanas de consultas con las partes interesadas de Gran Bretaña e Irlanda del Norte.  Los costes administrativos de una solicitud combinada de inscripción en el registro de variedades y de derechos de obtentor cuestan ahora 598 libras esterlinas (frente a 450 libras esterlinas), y una tasa administrativa VCU cuesta ahora 173 libras esterlinas.  En el sitio web del Gobierno del Reino Unido se puede obtener más información sobre las tasas DHE para las distintas especies: </w:t>
      </w:r>
      <w:hyperlink r:id="rId42" w:history="1">
        <w:r w:rsidRPr="009F74EC">
          <w:rPr>
            <w:rStyle w:val="Hyperlink"/>
          </w:rPr>
          <w:t>Tasas de inclusión en listas nacionales y derechos de obtentor - GOV.UK (www.gov.uk)</w:t>
        </w:r>
      </w:hyperlink>
    </w:p>
    <w:p w14:paraId="55397A2D" w14:textId="77777777" w:rsidR="005A5957" w:rsidRPr="009F74EC" w:rsidRDefault="005A5957" w:rsidP="005A5957"/>
    <w:p w14:paraId="1910F5BA" w14:textId="77777777" w:rsidR="005A5957" w:rsidRPr="009F74EC" w:rsidRDefault="005A5957" w:rsidP="005A5957">
      <w:r w:rsidRPr="009F74EC">
        <w:t>4.</w:t>
      </w:r>
      <w:r w:rsidRPr="009F74EC">
        <w:tab/>
      </w:r>
      <w:r w:rsidRPr="009F74EC">
        <w:rPr>
          <w:u w:val="single"/>
        </w:rPr>
        <w:t>Situación en el ámbito técnico</w:t>
      </w:r>
    </w:p>
    <w:p w14:paraId="3AAFB132" w14:textId="77777777" w:rsidR="005A5957" w:rsidRPr="009F74EC" w:rsidRDefault="005A5957" w:rsidP="005A5957"/>
    <w:p w14:paraId="012D8FBA" w14:textId="77777777" w:rsidR="005A5957" w:rsidRPr="009F74EC" w:rsidRDefault="005A5957" w:rsidP="005A5957">
      <w:r w:rsidRPr="009F74EC">
        <w:t>Nada que comunicar.</w:t>
      </w:r>
    </w:p>
    <w:p w14:paraId="4BEF8DC3" w14:textId="77777777" w:rsidR="005A5957" w:rsidRPr="009F74EC" w:rsidRDefault="005A5957" w:rsidP="005A5957"/>
    <w:p w14:paraId="401E5EB6" w14:textId="77777777" w:rsidR="005A5957" w:rsidRPr="009F74EC" w:rsidRDefault="005A5957" w:rsidP="005A5957">
      <w:pPr>
        <w:rPr>
          <w:u w:val="single"/>
        </w:rPr>
      </w:pPr>
      <w:r w:rsidRPr="009F74EC">
        <w:t>5.</w:t>
      </w:r>
      <w:r w:rsidRPr="009F74EC">
        <w:tab/>
      </w:r>
      <w:r w:rsidRPr="009F74EC">
        <w:rPr>
          <w:u w:val="single"/>
        </w:rPr>
        <w:t>Actividades de fomento de la protección de las obtenciones vegetales</w:t>
      </w:r>
    </w:p>
    <w:p w14:paraId="68244E7F" w14:textId="77777777" w:rsidR="005A5957" w:rsidRPr="009F74EC" w:rsidRDefault="005A5957" w:rsidP="005A5957">
      <w:pPr>
        <w:rPr>
          <w:u w:val="single"/>
        </w:rPr>
      </w:pPr>
    </w:p>
    <w:p w14:paraId="53E44AEF" w14:textId="77777777" w:rsidR="005A5957" w:rsidRPr="009F74EC" w:rsidRDefault="005A5957" w:rsidP="005A5957">
      <w:r w:rsidRPr="009F74EC">
        <w:t>Nada que comunicar.</w:t>
      </w:r>
    </w:p>
    <w:p w14:paraId="781B82C5" w14:textId="77777777" w:rsidR="005A5957" w:rsidRPr="009F74EC" w:rsidRDefault="005A5957" w:rsidP="005A5957"/>
    <w:p w14:paraId="5274B880" w14:textId="77777777" w:rsidR="005A5957" w:rsidRPr="009F74EC" w:rsidRDefault="005A5957" w:rsidP="005A5957"/>
    <w:p w14:paraId="62D6E6EE" w14:textId="77777777" w:rsidR="005A5957" w:rsidRPr="009F74EC" w:rsidRDefault="005A5957" w:rsidP="005A5957">
      <w:pPr>
        <w:rPr>
          <w:bCs/>
        </w:rPr>
      </w:pPr>
      <w:r w:rsidRPr="009F74EC">
        <w:rPr>
          <w:bCs/>
        </w:rPr>
        <w:t>II.</w:t>
      </w:r>
      <w:r w:rsidRPr="009F74EC">
        <w:rPr>
          <w:bCs/>
        </w:rPr>
        <w:tab/>
        <w:t>OTROS ACONTECIMIENTOS DE INTERÉS PARA LA UPOV</w:t>
      </w:r>
    </w:p>
    <w:p w14:paraId="69662FE5" w14:textId="77777777" w:rsidR="005A5957" w:rsidRPr="009F74EC" w:rsidRDefault="005A5957" w:rsidP="005A5957">
      <w:pPr>
        <w:rPr>
          <w:bCs/>
        </w:rPr>
      </w:pPr>
    </w:p>
    <w:p w14:paraId="10485290" w14:textId="77777777" w:rsidR="005A5957" w:rsidRPr="009F74EC" w:rsidRDefault="005A5957" w:rsidP="005A5957">
      <w:pPr>
        <w:rPr>
          <w:rStyle w:val="eop"/>
          <w:rFonts w:cs="Arial"/>
        </w:rPr>
      </w:pPr>
      <w:r w:rsidRPr="009F74EC">
        <w:rPr>
          <w:rFonts w:cs="Arial"/>
        </w:rPr>
        <w:t xml:space="preserve">Inglaterra introdujo la Ley de Tecnología Genética (Cría de Precisión) de 2023 en marzo de este año.  Esta ley regula la liberación en el medio ambiente y la comercialización de plantas y animales desarrollados mediante técnicas biotecnológicas modernas, como la edición de genes, cuando los cambios genéticos podrían haberse producido de forma natural o mediante métodos de cría tradicionales.  </w:t>
      </w:r>
      <w:r w:rsidRPr="009F74EC">
        <w:rPr>
          <w:rStyle w:val="normaltextrun"/>
          <w:rFonts w:cs="Arial"/>
        </w:rPr>
        <w:t>Los cuatro cambios políticos clave que introduce la Ley son:</w:t>
      </w:r>
    </w:p>
    <w:p w14:paraId="41942725" w14:textId="77777777" w:rsidR="005A5957" w:rsidRPr="009F74EC" w:rsidRDefault="005A5957" w:rsidP="005A5957">
      <w:pPr>
        <w:rPr>
          <w:rFonts w:cs="Arial"/>
        </w:rPr>
      </w:pPr>
    </w:p>
    <w:p w14:paraId="6BAE7F32" w14:textId="304A3E9B" w:rsidR="005A5957" w:rsidRPr="009F74EC" w:rsidRDefault="005A5957" w:rsidP="005A5957">
      <w:pPr>
        <w:ind w:left="567" w:hanging="567"/>
      </w:pPr>
      <w:r w:rsidRPr="009F74EC">
        <w:lastRenderedPageBreak/>
        <w:t>(a)</w:t>
      </w:r>
      <w:r w:rsidR="009838A4">
        <w:tab/>
      </w:r>
      <w:r w:rsidRPr="009F74EC">
        <w:t>Eliminar las plantas y animales criados con precisión de los requisitos reglamentarios aplicables a los Organismos Modificados Genéticamente (excluidos los relativos a microbios, productos orgánicos y utilización confinada).</w:t>
      </w:r>
    </w:p>
    <w:p w14:paraId="20528951" w14:textId="77777777" w:rsidR="005A5957" w:rsidRPr="009F74EC" w:rsidRDefault="005A5957" w:rsidP="005A5957">
      <w:pPr>
        <w:ind w:left="567" w:hanging="567"/>
      </w:pPr>
    </w:p>
    <w:p w14:paraId="196AAE7D" w14:textId="77777777" w:rsidR="005A5957" w:rsidRPr="009F74EC" w:rsidRDefault="005A5957" w:rsidP="005A5957">
      <w:pPr>
        <w:ind w:left="567" w:hanging="567"/>
      </w:pPr>
      <w:r w:rsidRPr="009F74EC">
        <w:t>(b)</w:t>
      </w:r>
      <w:r w:rsidRPr="009F74EC">
        <w:tab/>
        <w:t>Introducir dos sistemas de notificación a efectos de investigación y comercialización, en los que los criadores e investigadores deberán realizar notificaciones.</w:t>
      </w:r>
    </w:p>
    <w:p w14:paraId="2CB49E85" w14:textId="77777777" w:rsidR="005A5957" w:rsidRPr="009F74EC" w:rsidRDefault="005A5957" w:rsidP="005A5957">
      <w:pPr>
        <w:ind w:left="567" w:hanging="567"/>
      </w:pPr>
    </w:p>
    <w:p w14:paraId="28321522" w14:textId="77777777" w:rsidR="005A5957" w:rsidRPr="009F74EC" w:rsidRDefault="005A5957" w:rsidP="005A5957">
      <w:pPr>
        <w:ind w:left="567" w:hanging="567"/>
      </w:pPr>
      <w:r w:rsidRPr="009F74EC">
        <w:t xml:space="preserve">(c) </w:t>
      </w:r>
      <w:r w:rsidRPr="009F74EC">
        <w:tab/>
        <w:t>Establecer un sistema regulador proporcionado para la comercialización de animales criados con precisión que garantice la salvaguarda del bienestar animal.</w:t>
      </w:r>
    </w:p>
    <w:p w14:paraId="24617166" w14:textId="77777777" w:rsidR="005A5957" w:rsidRPr="009F74EC" w:rsidRDefault="005A5957" w:rsidP="005A5957">
      <w:pPr>
        <w:ind w:left="567" w:hanging="567"/>
      </w:pPr>
    </w:p>
    <w:p w14:paraId="49482ACC" w14:textId="1EF91B09" w:rsidR="005A5957" w:rsidRPr="009F74EC" w:rsidRDefault="005A5957" w:rsidP="005A5957">
      <w:pPr>
        <w:ind w:left="567" w:hanging="567"/>
      </w:pPr>
      <w:r w:rsidRPr="009F74EC">
        <w:t xml:space="preserve">(d) </w:t>
      </w:r>
      <w:r w:rsidRPr="009F74EC">
        <w:tab/>
        <w:t>Establecer un nuevo proceso de autorización de base científica para los piensos y productos derivados desarrollados a partir de organismos criados con precisión.</w:t>
      </w:r>
    </w:p>
    <w:p w14:paraId="709EBEA8" w14:textId="77777777" w:rsidR="005A5957" w:rsidRPr="009F74EC" w:rsidRDefault="005A5957" w:rsidP="005A5957"/>
    <w:p w14:paraId="1505181D" w14:textId="77777777" w:rsidR="005A5957" w:rsidRPr="009F74EC" w:rsidRDefault="005A5957" w:rsidP="00AE3E00">
      <w:pPr>
        <w:pStyle w:val="paragraph"/>
        <w:spacing w:before="0" w:beforeAutospacing="0" w:after="0" w:afterAutospacing="0"/>
        <w:jc w:val="both"/>
        <w:textAlignment w:val="baseline"/>
        <w:rPr>
          <w:rStyle w:val="eop"/>
          <w:rFonts w:ascii="Arial" w:hAnsi="Arial" w:cs="Arial"/>
          <w:sz w:val="20"/>
          <w:szCs w:val="20"/>
          <w:lang w:val="es-ES_tradnl"/>
        </w:rPr>
      </w:pPr>
      <w:r w:rsidRPr="009F74EC">
        <w:rPr>
          <w:rStyle w:val="eop"/>
          <w:rFonts w:ascii="Arial" w:hAnsi="Arial" w:cs="Arial"/>
          <w:sz w:val="20"/>
          <w:szCs w:val="20"/>
          <w:lang w:val="es-ES_tradnl"/>
        </w:rPr>
        <w:t xml:space="preserve">La introducción de esta ley se hará de forma escalonada, y ya se está trabajando para garantizar que el cultivo comercial de plantas de pan de precisión, o la venta de alimentos criados con precisión, sea posible en un futuro próximo. </w:t>
      </w:r>
    </w:p>
    <w:p w14:paraId="7F7AC55B" w14:textId="77777777" w:rsidR="005A5957" w:rsidRPr="009F74EC" w:rsidRDefault="005A5957" w:rsidP="005A5957"/>
    <w:p w14:paraId="23F23670" w14:textId="77777777" w:rsidR="005A5957" w:rsidRPr="009F74EC" w:rsidRDefault="005A5957" w:rsidP="005A5957"/>
    <w:p w14:paraId="1E1F1C43" w14:textId="77777777" w:rsidR="005A5957" w:rsidRPr="009F74EC" w:rsidRDefault="005A5957" w:rsidP="005A5957"/>
    <w:p w14:paraId="2A8C0B4F" w14:textId="0EFF22A8" w:rsidR="005A5957" w:rsidRPr="009F74EC" w:rsidRDefault="00B06943" w:rsidP="005A5957">
      <w:pPr>
        <w:jc w:val="right"/>
      </w:pPr>
      <w:r>
        <w:t>[Sigue el Anexo</w:t>
      </w:r>
      <w:r w:rsidR="005A5957" w:rsidRPr="009F74EC">
        <w:t xml:space="preserve"> XVI]</w:t>
      </w:r>
    </w:p>
    <w:p w14:paraId="599AAECA" w14:textId="77777777" w:rsidR="005A5957" w:rsidRPr="009F74EC" w:rsidRDefault="005A5957" w:rsidP="005A5957"/>
    <w:p w14:paraId="1E30541A" w14:textId="77777777" w:rsidR="005A5957" w:rsidRPr="009F74EC" w:rsidRDefault="005A5957" w:rsidP="005A5957"/>
    <w:p w14:paraId="3F171F52" w14:textId="77777777" w:rsidR="005A5957" w:rsidRPr="009F74EC" w:rsidRDefault="005A5957" w:rsidP="005A5957">
      <w:pPr>
        <w:jc w:val="center"/>
        <w:sectPr w:rsidR="005A5957" w:rsidRPr="009F74EC" w:rsidSect="0063031C">
          <w:headerReference w:type="default" r:id="rId43"/>
          <w:pgSz w:w="11907" w:h="16840" w:code="9"/>
          <w:pgMar w:top="510" w:right="1134" w:bottom="709" w:left="1134" w:header="510" w:footer="680" w:gutter="0"/>
          <w:pgNumType w:start="1"/>
          <w:cols w:space="720"/>
          <w:titlePg/>
        </w:sectPr>
      </w:pPr>
    </w:p>
    <w:p w14:paraId="75195744" w14:textId="77777777" w:rsidR="005A5957" w:rsidRPr="009F74EC" w:rsidRDefault="005A5957" w:rsidP="005A5957">
      <w:pPr>
        <w:jc w:val="center"/>
      </w:pPr>
      <w:r w:rsidRPr="009F74EC">
        <w:lastRenderedPageBreak/>
        <w:t>C/57/13</w:t>
      </w:r>
    </w:p>
    <w:p w14:paraId="6835BAAB" w14:textId="77777777" w:rsidR="005A5957" w:rsidRPr="009F74EC" w:rsidRDefault="005A5957" w:rsidP="005A5957">
      <w:pPr>
        <w:jc w:val="center"/>
      </w:pPr>
    </w:p>
    <w:p w14:paraId="704732C5" w14:textId="77777777" w:rsidR="005A5957" w:rsidRPr="009F74EC" w:rsidRDefault="005A5957" w:rsidP="005A5957">
      <w:pPr>
        <w:jc w:val="center"/>
      </w:pPr>
      <w:r w:rsidRPr="009F74EC">
        <w:t>ANEXO XVI</w:t>
      </w:r>
    </w:p>
    <w:p w14:paraId="7673AB0C" w14:textId="77777777" w:rsidR="005A5957" w:rsidRPr="009F74EC" w:rsidRDefault="005A5957" w:rsidP="005A5957">
      <w:pPr>
        <w:jc w:val="center"/>
      </w:pPr>
    </w:p>
    <w:p w14:paraId="4E75D263" w14:textId="77777777" w:rsidR="005A5957" w:rsidRPr="009F74EC" w:rsidRDefault="005A5957" w:rsidP="005A5957">
      <w:pPr>
        <w:jc w:val="center"/>
      </w:pPr>
    </w:p>
    <w:p w14:paraId="1914F084" w14:textId="77777777" w:rsidR="005A5957" w:rsidRPr="009F74EC" w:rsidRDefault="005A5957" w:rsidP="005A5957">
      <w:pPr>
        <w:jc w:val="center"/>
      </w:pPr>
      <w:r w:rsidRPr="009F74EC">
        <w:t>SERBIA</w:t>
      </w:r>
    </w:p>
    <w:p w14:paraId="19E092AF" w14:textId="77777777" w:rsidR="00633DB1" w:rsidRPr="009F74EC" w:rsidRDefault="00633DB1" w:rsidP="00633DB1">
      <w:pPr>
        <w:jc w:val="center"/>
      </w:pPr>
      <w:r w:rsidRPr="009F74EC">
        <w:t>(Idioma original: inglés)</w:t>
      </w:r>
    </w:p>
    <w:p w14:paraId="57680EF3" w14:textId="77777777" w:rsidR="00633DB1" w:rsidRPr="009F74EC" w:rsidRDefault="00633DB1" w:rsidP="00633DB1"/>
    <w:p w14:paraId="4E127624" w14:textId="77777777" w:rsidR="00633DB1" w:rsidRPr="009F74EC" w:rsidRDefault="00633DB1" w:rsidP="00633DB1">
      <w:pPr>
        <w:pStyle w:val="Disclaimer"/>
        <w:spacing w:after="360"/>
        <w:jc w:val="center"/>
        <w:rPr>
          <w:sz w:val="18"/>
          <w:szCs w:val="18"/>
        </w:rPr>
      </w:pPr>
      <w:r w:rsidRPr="009F74EC">
        <w:rPr>
          <w:sz w:val="18"/>
          <w:szCs w:val="18"/>
        </w:rPr>
        <w:t xml:space="preserve">Esta traducción se ha generado mediante traducción automática y no puede garantizarse su exactitud. </w:t>
      </w:r>
      <w:r w:rsidRPr="009F74EC">
        <w:rPr>
          <w:sz w:val="18"/>
          <w:szCs w:val="18"/>
        </w:rPr>
        <w:br/>
        <w:t>Por lo tanto, el texto en el idioma original es la única versión auténtica.</w:t>
      </w:r>
    </w:p>
    <w:p w14:paraId="535BB58B" w14:textId="77777777" w:rsidR="005A5957" w:rsidRPr="009F74EC" w:rsidRDefault="005A5957" w:rsidP="005A5957">
      <w:pPr>
        <w:pStyle w:val="BodyText3"/>
        <w:jc w:val="center"/>
        <w:rPr>
          <w:rFonts w:cs="Arial"/>
          <w:sz w:val="20"/>
          <w:szCs w:val="20"/>
          <w:lang w:val="es-ES_tradnl"/>
        </w:rPr>
      </w:pPr>
      <w:r w:rsidRPr="009F74EC">
        <w:rPr>
          <w:rFonts w:cs="Arial"/>
          <w:sz w:val="20"/>
          <w:szCs w:val="20"/>
          <w:lang w:val="es-ES_tradnl"/>
        </w:rPr>
        <w:t>(septiembre de 2022 - septiembre de 2023)</w:t>
      </w:r>
    </w:p>
    <w:p w14:paraId="2A92337B" w14:textId="77777777" w:rsidR="005A5957" w:rsidRPr="009F74EC" w:rsidRDefault="005A5957" w:rsidP="005A5957"/>
    <w:p w14:paraId="45CDD020" w14:textId="77777777" w:rsidR="005A5957" w:rsidRPr="009F74EC" w:rsidRDefault="005A5957" w:rsidP="005A5957">
      <w:r w:rsidRPr="009F74EC">
        <w:t>I.</w:t>
      </w:r>
      <w:r w:rsidRPr="009F74EC">
        <w:tab/>
        <w:t>PROTECCIÓN DE LAS OBTENCIONES VEGETALES</w:t>
      </w:r>
    </w:p>
    <w:p w14:paraId="03B626B5" w14:textId="77777777" w:rsidR="005A5957" w:rsidRPr="009F74EC" w:rsidRDefault="005A5957" w:rsidP="005A5957"/>
    <w:p w14:paraId="7DF7A160" w14:textId="77777777" w:rsidR="005A5957" w:rsidRPr="009F74EC" w:rsidRDefault="005A5957" w:rsidP="005A5957">
      <w:r w:rsidRPr="009F74EC">
        <w:t xml:space="preserve">1. </w:t>
      </w:r>
      <w:r w:rsidRPr="009F74EC">
        <w:tab/>
      </w:r>
      <w:r w:rsidRPr="009F74EC">
        <w:rPr>
          <w:u w:val="single"/>
        </w:rPr>
        <w:t>Situación en el ámbito legislativo</w:t>
      </w:r>
    </w:p>
    <w:p w14:paraId="1FF6E5D9" w14:textId="77777777" w:rsidR="005A5957" w:rsidRPr="009F74EC" w:rsidRDefault="005A5957" w:rsidP="005A5957"/>
    <w:p w14:paraId="5DDC86FA" w14:textId="35E147DB" w:rsidR="005A5957" w:rsidRPr="009F74EC" w:rsidRDefault="005A5957" w:rsidP="005A5957">
      <w:pPr>
        <w:spacing w:after="120"/>
      </w:pPr>
      <w:r w:rsidRPr="009F74EC">
        <w:tab/>
        <w:t>1.1</w:t>
      </w:r>
      <w:r w:rsidR="00AE3E00">
        <w:tab/>
      </w:r>
      <w:r w:rsidRPr="009F74EC">
        <w:t>Modificaciones de la ley y de los reglamentos de aplicación</w:t>
      </w:r>
    </w:p>
    <w:p w14:paraId="70331A28" w14:textId="77777777" w:rsidR="005A5957" w:rsidRPr="009F74EC" w:rsidRDefault="005A5957" w:rsidP="005A5957">
      <w:pPr>
        <w:ind w:left="1134"/>
        <w:rPr>
          <w:rFonts w:cs="Arial"/>
        </w:rPr>
      </w:pPr>
      <w:r w:rsidRPr="009F74EC">
        <w:rPr>
          <w:rFonts w:cs="Arial"/>
        </w:rPr>
        <w:t>No hubo cambios.</w:t>
      </w:r>
    </w:p>
    <w:p w14:paraId="737F5B9A" w14:textId="77777777" w:rsidR="005A5957" w:rsidRPr="009F74EC" w:rsidRDefault="005A5957" w:rsidP="005A5957">
      <w:pPr>
        <w:ind w:left="851"/>
      </w:pPr>
    </w:p>
    <w:p w14:paraId="77EA1283" w14:textId="1E8E780C" w:rsidR="005A5957" w:rsidRPr="009F74EC" w:rsidRDefault="005A5957" w:rsidP="005A5957">
      <w:pPr>
        <w:spacing w:after="120"/>
        <w:ind w:left="851"/>
      </w:pPr>
      <w:r w:rsidRPr="009F74EC">
        <w:t>-</w:t>
      </w:r>
      <w:r w:rsidR="00AE3E00">
        <w:tab/>
      </w:r>
      <w:r w:rsidRPr="009F74EC">
        <w:t>otras modificaciones, incluidas las relativas a las tasas</w:t>
      </w:r>
    </w:p>
    <w:p w14:paraId="69D51742" w14:textId="77777777" w:rsidR="005A5957" w:rsidRPr="009F74EC" w:rsidRDefault="005A5957" w:rsidP="005A5957">
      <w:pPr>
        <w:pStyle w:val="BodyTextIndent2"/>
        <w:ind w:left="1134" w:firstLine="0"/>
        <w:rPr>
          <w:sz w:val="20"/>
          <w:szCs w:val="20"/>
          <w:lang w:val="es-ES_tradnl"/>
        </w:rPr>
      </w:pPr>
      <w:r w:rsidRPr="009F74EC">
        <w:rPr>
          <w:sz w:val="20"/>
          <w:szCs w:val="20"/>
          <w:lang w:val="es-ES_tradnl"/>
        </w:rPr>
        <w:t xml:space="preserve">Las nuevas tasas relacionadas con los derechos de obtentor están publicadas en la Ley de Tasas Administrativas ("Boletín Oficial de RS", </w:t>
      </w:r>
      <w:proofErr w:type="spellStart"/>
      <w:r w:rsidRPr="009F74EC">
        <w:rPr>
          <w:sz w:val="20"/>
          <w:szCs w:val="20"/>
          <w:lang w:val="es-ES_tradnl"/>
        </w:rPr>
        <w:t>nº</w:t>
      </w:r>
      <w:proofErr w:type="spellEnd"/>
      <w:r w:rsidRPr="009F74EC">
        <w:rPr>
          <w:sz w:val="20"/>
          <w:szCs w:val="20"/>
          <w:lang w:val="es-ES_tradnl"/>
        </w:rPr>
        <w:t xml:space="preserve"> </w:t>
      </w:r>
      <w:r w:rsidRPr="009F74EC">
        <w:rPr>
          <w:rFonts w:cs="Arial"/>
          <w:sz w:val="20"/>
          <w:szCs w:val="20"/>
          <w:lang w:val="es-ES_tradnl"/>
        </w:rPr>
        <w:t xml:space="preserve">54/23 - texto consolidado), en </w:t>
      </w:r>
      <w:r w:rsidRPr="009F74EC">
        <w:rPr>
          <w:sz w:val="20"/>
          <w:szCs w:val="20"/>
          <w:lang w:val="es-ES_tradnl"/>
        </w:rPr>
        <w:t>vigor desde el 1 de julio de 2023.</w:t>
      </w:r>
    </w:p>
    <w:p w14:paraId="2EEA3FEE" w14:textId="77777777" w:rsidR="005A5957" w:rsidRPr="009F74EC" w:rsidRDefault="005A5957" w:rsidP="005A5957">
      <w:pPr>
        <w:pStyle w:val="BodyTextIndent2"/>
        <w:ind w:left="850"/>
        <w:rPr>
          <w:sz w:val="20"/>
          <w:szCs w:val="20"/>
          <w:lang w:val="es-ES_tradnl"/>
        </w:rPr>
      </w:pPr>
    </w:p>
    <w:p w14:paraId="6BA35816" w14:textId="5AA035E1" w:rsidR="005A5957" w:rsidRPr="009F74EC" w:rsidRDefault="005A5957" w:rsidP="005A5957">
      <w:pPr>
        <w:spacing w:after="120"/>
        <w:ind w:firstLine="567"/>
      </w:pPr>
      <w:r w:rsidRPr="009F74EC">
        <w:t>1.2</w:t>
      </w:r>
      <w:r w:rsidR="00AE3E00">
        <w:tab/>
      </w:r>
      <w:r w:rsidRPr="009F74EC">
        <w:t>Ampliación de la protección a otros géneros y especies (realizada o prevista)</w:t>
      </w:r>
    </w:p>
    <w:p w14:paraId="747740E5" w14:textId="77777777" w:rsidR="005A5957" w:rsidRPr="009F74EC" w:rsidRDefault="005A5957" w:rsidP="005A5957">
      <w:pPr>
        <w:ind w:left="1134"/>
        <w:rPr>
          <w:rFonts w:cs="Arial"/>
        </w:rPr>
      </w:pPr>
      <w:r w:rsidRPr="009F74EC">
        <w:rPr>
          <w:rFonts w:cs="Arial"/>
        </w:rPr>
        <w:t xml:space="preserve">Todos los géneros y especies vegetales están sujetos a protección en virtud de la Ley de Protección de los Derechos de los Obtentores Vegetales ("Boletín Oficial de RS", </w:t>
      </w:r>
      <w:proofErr w:type="spellStart"/>
      <w:r w:rsidRPr="009F74EC">
        <w:rPr>
          <w:rFonts w:cs="Arial"/>
        </w:rPr>
        <w:t>nº</w:t>
      </w:r>
      <w:proofErr w:type="spellEnd"/>
      <w:r w:rsidRPr="009F74EC">
        <w:rPr>
          <w:rFonts w:cs="Arial"/>
        </w:rPr>
        <w:t xml:space="preserve"> 41/2009 y 88/2011).</w:t>
      </w:r>
    </w:p>
    <w:p w14:paraId="1E01899B" w14:textId="77777777" w:rsidR="005A5957" w:rsidRPr="009F74EC" w:rsidRDefault="005A5957" w:rsidP="005A5957"/>
    <w:p w14:paraId="3C08AEE3" w14:textId="77777777" w:rsidR="005A5957" w:rsidRPr="009F74EC" w:rsidRDefault="005A5957" w:rsidP="005A5957"/>
    <w:p w14:paraId="342A216B" w14:textId="77777777" w:rsidR="005A5957" w:rsidRPr="009F74EC" w:rsidRDefault="005A5957" w:rsidP="005A5957">
      <w:r w:rsidRPr="009F74EC">
        <w:t>2.</w:t>
      </w:r>
      <w:r w:rsidRPr="009F74EC">
        <w:tab/>
      </w:r>
      <w:r w:rsidRPr="009F74EC">
        <w:rPr>
          <w:u w:val="single"/>
        </w:rPr>
        <w:t>Cooperación en el examen</w:t>
      </w:r>
    </w:p>
    <w:p w14:paraId="4F50CF60" w14:textId="77777777" w:rsidR="005A5957" w:rsidRPr="009F74EC" w:rsidRDefault="005A5957" w:rsidP="005A5957"/>
    <w:p w14:paraId="6A3076FB" w14:textId="77777777" w:rsidR="005A5957" w:rsidRPr="009F74EC" w:rsidRDefault="005A5957" w:rsidP="005A5957">
      <w:pPr>
        <w:rPr>
          <w:u w:val="single"/>
        </w:rPr>
      </w:pPr>
      <w:r w:rsidRPr="009F74EC">
        <w:t>3.</w:t>
      </w:r>
      <w:r w:rsidRPr="009F74EC">
        <w:tab/>
      </w:r>
      <w:r w:rsidRPr="009F74EC">
        <w:rPr>
          <w:u w:val="single"/>
        </w:rPr>
        <w:t>Situación en el ámbito administrativo</w:t>
      </w:r>
    </w:p>
    <w:p w14:paraId="6051649B" w14:textId="77777777" w:rsidR="005A5957" w:rsidRPr="009F74EC" w:rsidRDefault="005A5957" w:rsidP="005A5957"/>
    <w:p w14:paraId="2D8D7DF4" w14:textId="4F3FEA8E" w:rsidR="005A5957" w:rsidRPr="009F74EC" w:rsidRDefault="005A5957" w:rsidP="005A5957">
      <w:pPr>
        <w:ind w:left="851" w:hanging="425"/>
      </w:pPr>
      <w:r w:rsidRPr="009F74EC">
        <w:t>-</w:t>
      </w:r>
      <w:r w:rsidR="00AE3E00">
        <w:tab/>
      </w:r>
      <w:r w:rsidRPr="009F74EC">
        <w:t>Cambios en la estructura administrativa</w:t>
      </w:r>
    </w:p>
    <w:p w14:paraId="2825C5D8" w14:textId="77777777" w:rsidR="005A5957" w:rsidRPr="009F74EC" w:rsidRDefault="005A5957" w:rsidP="005A5957">
      <w:pPr>
        <w:ind w:left="851" w:hanging="425"/>
      </w:pPr>
    </w:p>
    <w:p w14:paraId="4C23BEE4" w14:textId="77777777" w:rsidR="005A5957" w:rsidRPr="009F74EC" w:rsidRDefault="005A5957" w:rsidP="005A5957">
      <w:pPr>
        <w:spacing w:line="276" w:lineRule="auto"/>
        <w:ind w:left="851"/>
        <w:rPr>
          <w:rFonts w:cs="Arial"/>
        </w:rPr>
      </w:pPr>
      <w:r w:rsidRPr="009F74EC">
        <w:rPr>
          <w:rFonts w:cs="Arial"/>
        </w:rPr>
        <w:t>No hubo cambios en la estructura administrativa.</w:t>
      </w:r>
    </w:p>
    <w:p w14:paraId="125F1F5A" w14:textId="77777777" w:rsidR="005A5957" w:rsidRPr="009F74EC" w:rsidRDefault="005A5957" w:rsidP="005A5957">
      <w:pPr>
        <w:spacing w:line="276" w:lineRule="auto"/>
        <w:rPr>
          <w:rFonts w:cs="Arial"/>
        </w:rPr>
      </w:pPr>
    </w:p>
    <w:p w14:paraId="66427019" w14:textId="77777777" w:rsidR="005A5957" w:rsidRPr="009F74EC" w:rsidRDefault="005A5957" w:rsidP="005A5957">
      <w:pPr>
        <w:rPr>
          <w:rFonts w:cs="Arial"/>
        </w:rPr>
      </w:pPr>
      <w:r w:rsidRPr="009F74EC">
        <w:rPr>
          <w:rFonts w:cs="Arial"/>
        </w:rPr>
        <w:t>La Dirección de Protección Vegetal del Ministerio de Agricultura, Silvicultura y Recursos Hídricos es la autoridad designada para la protección de los derechos de los obtentores vegetales en la República de Serbia. La Dirección de Protección Vegetal realiza también tareas relacionadas con: la protección de las plantas contra organismos nocivos; la autorización y el control de los productos fitosanitarios y de nutrición vegetal; el registro de variedades vegetales para la Lista Nacional; la seguridad biológica (OMG); las inspecciones fitosanitarias. Dentro de la Dirección de Protección Vegetal, el Grupo de Protección de las Obtenciones Vegetales y Bioseguridad lleva a cabo procedimientos administrativos relacionados con las disposiciones de la Ley de Protección de los Derechos de los Obtentores Vegetales y con la concesión de derechos de obtentor, así como tareas relacionadas con la seguridad biológica (OMG).</w:t>
      </w:r>
    </w:p>
    <w:p w14:paraId="1DD355F6" w14:textId="77777777" w:rsidR="005A5957" w:rsidRPr="009F74EC" w:rsidRDefault="005A5957" w:rsidP="005A5957"/>
    <w:p w14:paraId="4F9580E7" w14:textId="6216200D" w:rsidR="005A5957" w:rsidRPr="009F74EC" w:rsidRDefault="005A5957" w:rsidP="005A5957">
      <w:pPr>
        <w:ind w:left="851" w:hanging="425"/>
      </w:pPr>
      <w:r w:rsidRPr="009F74EC">
        <w:t>-</w:t>
      </w:r>
      <w:r w:rsidR="00AE3E00">
        <w:tab/>
      </w:r>
      <w:r w:rsidRPr="009F74EC">
        <w:t>Cambios en los procedimientos y sistemas de oficina</w:t>
      </w:r>
    </w:p>
    <w:p w14:paraId="357F0326" w14:textId="77777777" w:rsidR="005A5957" w:rsidRPr="009F74EC" w:rsidRDefault="005A5957" w:rsidP="005A5957">
      <w:pPr>
        <w:ind w:left="851" w:hanging="425"/>
      </w:pPr>
    </w:p>
    <w:p w14:paraId="64A88B7D" w14:textId="77777777" w:rsidR="005A5957" w:rsidRPr="009F74EC" w:rsidRDefault="005A5957" w:rsidP="005A5957">
      <w:pPr>
        <w:ind w:left="851"/>
        <w:rPr>
          <w:rFonts w:cs="Arial"/>
        </w:rPr>
      </w:pPr>
      <w:r w:rsidRPr="009F74EC">
        <w:rPr>
          <w:rFonts w:cs="Arial"/>
        </w:rPr>
        <w:t>No hubo cambios.</w:t>
      </w:r>
    </w:p>
    <w:p w14:paraId="30FC2D94" w14:textId="77777777" w:rsidR="005A5957" w:rsidRPr="009F74EC" w:rsidRDefault="005A5957" w:rsidP="005A5957"/>
    <w:p w14:paraId="556D4135" w14:textId="77777777" w:rsidR="005A5957" w:rsidRPr="009F74EC" w:rsidRDefault="005A5957" w:rsidP="005A5957"/>
    <w:p w14:paraId="5B6B822B" w14:textId="77777777" w:rsidR="005A5957" w:rsidRPr="009F74EC" w:rsidRDefault="005A5957" w:rsidP="005A5957">
      <w:pPr>
        <w:spacing w:line="360" w:lineRule="auto"/>
      </w:pPr>
      <w:r w:rsidRPr="009F74EC">
        <w:t>4.</w:t>
      </w:r>
      <w:r w:rsidRPr="009F74EC">
        <w:tab/>
      </w:r>
      <w:r w:rsidRPr="009F74EC">
        <w:rPr>
          <w:u w:val="single"/>
        </w:rPr>
        <w:t>Situación en el ámbito técnico</w:t>
      </w:r>
    </w:p>
    <w:p w14:paraId="466D8563" w14:textId="77777777" w:rsidR="005A5957" w:rsidRPr="009F74EC" w:rsidRDefault="005A5957" w:rsidP="005A5957">
      <w:pPr>
        <w:pStyle w:val="ListParagraph"/>
        <w:widowControl w:val="0"/>
        <w:tabs>
          <w:tab w:val="left" w:pos="990"/>
        </w:tabs>
        <w:overflowPunct w:val="0"/>
        <w:adjustRightInd w:val="0"/>
        <w:ind w:left="0"/>
        <w:rPr>
          <w:rFonts w:cs="Arial"/>
          <w:kern w:val="28"/>
          <w:szCs w:val="20"/>
          <w:lang w:val="es-ES_tradnl"/>
        </w:rPr>
      </w:pPr>
      <w:r w:rsidRPr="009F74EC">
        <w:rPr>
          <w:rFonts w:cs="Arial"/>
          <w:szCs w:val="20"/>
          <w:lang w:val="es-ES_tradnl"/>
        </w:rPr>
        <w:t>Desde septiembre de 2022 hasta septiembre de 2023, se han concedido derechos de obtentor para 30 variedades vegetales, sobre la base de los resultados del examen de las variedades vegetales y las propuestas del Consejo de Expertos para la Protección de los Derechos de Obtentor, como órgano especial de expertos del Ministerio de Agricultura, Silvicultura y Recursos Hídricos - Dirección de Protección Vegetal.</w:t>
      </w:r>
    </w:p>
    <w:p w14:paraId="72A2F1AA" w14:textId="77777777" w:rsidR="005A5957" w:rsidRPr="009F74EC" w:rsidRDefault="005A5957" w:rsidP="005A5957"/>
    <w:p w14:paraId="701E0AA1" w14:textId="77777777" w:rsidR="005A5957" w:rsidRPr="009F74EC" w:rsidRDefault="005A5957" w:rsidP="005A5957">
      <w:pPr>
        <w:spacing w:line="276" w:lineRule="auto"/>
        <w:rPr>
          <w:rFonts w:cs="Arial"/>
          <w:spacing w:val="-2"/>
        </w:rPr>
      </w:pPr>
      <w:r w:rsidRPr="009F74EC">
        <w:rPr>
          <w:rFonts w:cs="Arial"/>
          <w:spacing w:val="-2"/>
        </w:rPr>
        <w:t>Serbia participa en la herramienta de solicitud de derechos de obtentor UPOV PRISMA.</w:t>
      </w:r>
    </w:p>
    <w:p w14:paraId="4B8AB6B4" w14:textId="77777777" w:rsidR="005A5957" w:rsidRPr="009F74EC" w:rsidRDefault="005A5957" w:rsidP="005A5957">
      <w:pPr>
        <w:pStyle w:val="ListParagraph"/>
        <w:widowControl w:val="0"/>
        <w:tabs>
          <w:tab w:val="left" w:pos="990"/>
        </w:tabs>
        <w:overflowPunct w:val="0"/>
        <w:adjustRightInd w:val="0"/>
        <w:ind w:left="0"/>
        <w:rPr>
          <w:rFonts w:cs="Arial"/>
          <w:szCs w:val="20"/>
          <w:lang w:val="es-ES_tradnl"/>
        </w:rPr>
      </w:pPr>
    </w:p>
    <w:p w14:paraId="238FE6BE" w14:textId="77777777" w:rsidR="005A5957" w:rsidRPr="009F74EC" w:rsidRDefault="005A5957" w:rsidP="005A5957">
      <w:pPr>
        <w:jc w:val="left"/>
      </w:pPr>
    </w:p>
    <w:p w14:paraId="46582D5D" w14:textId="5E503960" w:rsidR="005A5957" w:rsidRPr="009F74EC" w:rsidRDefault="005A5957" w:rsidP="00AE3E00">
      <w:pPr>
        <w:jc w:val="right"/>
      </w:pPr>
      <w:r w:rsidRPr="009F74EC">
        <w:t>[Sigue el anexo XVII]</w:t>
      </w:r>
    </w:p>
    <w:p w14:paraId="3FD13535" w14:textId="77777777" w:rsidR="005A5957" w:rsidRPr="009F74EC" w:rsidRDefault="005A5957" w:rsidP="005A5957">
      <w:pPr>
        <w:jc w:val="center"/>
        <w:sectPr w:rsidR="005A5957" w:rsidRPr="009F74EC" w:rsidSect="0063031C">
          <w:pgSz w:w="11907" w:h="16840" w:code="9"/>
          <w:pgMar w:top="510" w:right="1134" w:bottom="709" w:left="1134" w:header="510" w:footer="680" w:gutter="0"/>
          <w:pgNumType w:start="1"/>
          <w:cols w:space="720"/>
          <w:titlePg/>
        </w:sectPr>
      </w:pPr>
    </w:p>
    <w:p w14:paraId="57F305B9" w14:textId="77777777" w:rsidR="005A5957" w:rsidRPr="009F74EC" w:rsidRDefault="005A5957" w:rsidP="005A5957">
      <w:pPr>
        <w:jc w:val="center"/>
      </w:pPr>
      <w:r w:rsidRPr="009F74EC">
        <w:lastRenderedPageBreak/>
        <w:t>C/57/13</w:t>
      </w:r>
    </w:p>
    <w:p w14:paraId="212F7163" w14:textId="77777777" w:rsidR="005A5957" w:rsidRPr="009F74EC" w:rsidRDefault="005A5957" w:rsidP="005A5957">
      <w:pPr>
        <w:jc w:val="center"/>
      </w:pPr>
    </w:p>
    <w:p w14:paraId="341D9B03" w14:textId="77777777" w:rsidR="005A5957" w:rsidRPr="009F74EC" w:rsidRDefault="005A5957" w:rsidP="005A5957">
      <w:pPr>
        <w:jc w:val="center"/>
      </w:pPr>
      <w:r w:rsidRPr="009F74EC">
        <w:t>ANEXO XVII</w:t>
      </w:r>
    </w:p>
    <w:p w14:paraId="6ED096D5" w14:textId="77777777" w:rsidR="005A5957" w:rsidRPr="009F74EC" w:rsidRDefault="005A5957" w:rsidP="005A5957">
      <w:pPr>
        <w:jc w:val="center"/>
      </w:pPr>
    </w:p>
    <w:p w14:paraId="533753ED" w14:textId="77777777" w:rsidR="005A5957" w:rsidRPr="009F74EC" w:rsidRDefault="005A5957" w:rsidP="005A5957">
      <w:pPr>
        <w:jc w:val="center"/>
      </w:pPr>
    </w:p>
    <w:p w14:paraId="0C9B9054" w14:textId="77777777" w:rsidR="005A5957" w:rsidRPr="009F74EC" w:rsidRDefault="005A5957" w:rsidP="005A5957">
      <w:pPr>
        <w:jc w:val="center"/>
      </w:pPr>
      <w:r w:rsidRPr="009F74EC">
        <w:t>UCRANIA</w:t>
      </w:r>
    </w:p>
    <w:p w14:paraId="33279A06" w14:textId="77777777" w:rsidR="00633DB1" w:rsidRPr="009F74EC" w:rsidRDefault="00633DB1" w:rsidP="00633DB1">
      <w:pPr>
        <w:jc w:val="center"/>
      </w:pPr>
      <w:r w:rsidRPr="009F74EC">
        <w:t>(Idioma original: inglés)</w:t>
      </w:r>
    </w:p>
    <w:p w14:paraId="114C9733" w14:textId="77777777" w:rsidR="00633DB1" w:rsidRPr="009F74EC" w:rsidRDefault="00633DB1" w:rsidP="00633DB1"/>
    <w:p w14:paraId="425129C9" w14:textId="77777777" w:rsidR="00633DB1" w:rsidRPr="009F74EC" w:rsidRDefault="00633DB1" w:rsidP="00633DB1">
      <w:pPr>
        <w:pStyle w:val="Disclaimer"/>
        <w:spacing w:after="360"/>
        <w:jc w:val="center"/>
        <w:rPr>
          <w:sz w:val="18"/>
          <w:szCs w:val="18"/>
        </w:rPr>
      </w:pPr>
      <w:r w:rsidRPr="009F74EC">
        <w:rPr>
          <w:sz w:val="18"/>
          <w:szCs w:val="18"/>
        </w:rPr>
        <w:t xml:space="preserve">Esta traducción se ha generado mediante traducción automática y no puede garantizarse su exactitud. </w:t>
      </w:r>
      <w:r w:rsidRPr="009F74EC">
        <w:rPr>
          <w:sz w:val="18"/>
          <w:szCs w:val="18"/>
        </w:rPr>
        <w:br/>
        <w:t>Por lo tanto, el texto en el idioma original es la única versión auténtica.</w:t>
      </w:r>
    </w:p>
    <w:p w14:paraId="5C31F31B" w14:textId="77777777" w:rsidR="005A5957" w:rsidRPr="009F74EC" w:rsidRDefault="005A5957" w:rsidP="005A5957">
      <w:r w:rsidRPr="009F74EC">
        <w:t>I.</w:t>
      </w:r>
      <w:r w:rsidRPr="009F74EC">
        <w:tab/>
        <w:t>PROTECCIÓN DE LAS OBTENCIONES VEGETALES</w:t>
      </w:r>
    </w:p>
    <w:p w14:paraId="034846BA" w14:textId="77777777" w:rsidR="005A5957" w:rsidRPr="009F74EC" w:rsidRDefault="005A5957" w:rsidP="005A5957"/>
    <w:p w14:paraId="06CE00FA" w14:textId="77777777" w:rsidR="005A5957" w:rsidRPr="009F74EC" w:rsidRDefault="005A5957" w:rsidP="005A5957">
      <w:pPr>
        <w:rPr>
          <w:u w:val="single"/>
        </w:rPr>
      </w:pPr>
      <w:r w:rsidRPr="009F74EC">
        <w:t>1.</w:t>
      </w:r>
      <w:r w:rsidRPr="009F74EC">
        <w:tab/>
      </w:r>
      <w:r w:rsidRPr="009F74EC">
        <w:rPr>
          <w:u w:val="single"/>
        </w:rPr>
        <w:t>Situación en el ámbito legislativo</w:t>
      </w:r>
    </w:p>
    <w:p w14:paraId="28081B2A" w14:textId="77777777" w:rsidR="005A5957" w:rsidRPr="009F74EC" w:rsidRDefault="005A5957" w:rsidP="005A5957"/>
    <w:p w14:paraId="5A06E866" w14:textId="77777777" w:rsidR="005A5957" w:rsidRPr="009F74EC" w:rsidRDefault="005A5957" w:rsidP="005A5957">
      <w:r w:rsidRPr="009F74EC">
        <w:t xml:space="preserve">El 16 de noviembre de 2022, se adoptó la Ley No 2763-IX de Ucrania por la que se modifican determinados actos legislativos de Ucrania para adaptar la legislación en el ámbito de la protección de las obtenciones vegetales y la producción de semillas y plántulas a las disposiciones de la legislación de la Unión Europea. Se informó de ello a la UPOV y se facilitó la traducción de esta Ley con la carta del </w:t>
      </w:r>
      <w:proofErr w:type="spellStart"/>
      <w:r w:rsidRPr="009F74EC">
        <w:t>Minagropolicy</w:t>
      </w:r>
      <w:proofErr w:type="spellEnd"/>
      <w:r w:rsidRPr="009F74EC">
        <w:t xml:space="preserve"> de fecha 10 de mayo de 2023 N.º 21-1331-06.1/12514.</w:t>
      </w:r>
    </w:p>
    <w:p w14:paraId="560E6CF4" w14:textId="77777777" w:rsidR="005A5957" w:rsidRPr="009F74EC" w:rsidRDefault="005A5957" w:rsidP="005A5957"/>
    <w:p w14:paraId="0276B159" w14:textId="77777777" w:rsidR="005A5957" w:rsidRPr="009F74EC" w:rsidRDefault="005A5957" w:rsidP="005A5957">
      <w:pPr>
        <w:spacing w:after="120"/>
        <w:rPr>
          <w:i/>
        </w:rPr>
      </w:pPr>
      <w:r w:rsidRPr="009F74EC">
        <w:rPr>
          <w:i/>
        </w:rPr>
        <w:t xml:space="preserve">Resoluciones adoptadas por el Consejo de </w:t>
      </w:r>
      <w:proofErr w:type="gramStart"/>
      <w:r w:rsidRPr="009F74EC">
        <w:rPr>
          <w:i/>
        </w:rPr>
        <w:t>Ministros</w:t>
      </w:r>
      <w:proofErr w:type="gramEnd"/>
      <w:r w:rsidRPr="009F74EC">
        <w:rPr>
          <w:i/>
        </w:rPr>
        <w:t xml:space="preserve"> de Ucrania:</w:t>
      </w:r>
    </w:p>
    <w:p w14:paraId="1E7E5B9B" w14:textId="77777777" w:rsidR="005A5957" w:rsidRPr="009F74EC" w:rsidRDefault="005A5957" w:rsidP="005A5957">
      <w:pPr>
        <w:pStyle w:val="ListParagraph"/>
        <w:widowControl w:val="0"/>
        <w:numPr>
          <w:ilvl w:val="0"/>
          <w:numId w:val="14"/>
        </w:numPr>
        <w:autoSpaceDE w:val="0"/>
        <w:autoSpaceDN w:val="0"/>
        <w:contextualSpacing w:val="0"/>
        <w:rPr>
          <w:lang w:val="es-ES_tradnl"/>
        </w:rPr>
      </w:pPr>
      <w:r w:rsidRPr="009F74EC">
        <w:rPr>
          <w:lang w:val="es-ES_tradnl"/>
        </w:rPr>
        <w:t xml:space="preserve">de 15 de julio de 2022, </w:t>
      </w:r>
      <w:proofErr w:type="spellStart"/>
      <w:r w:rsidRPr="009F74EC">
        <w:rPr>
          <w:lang w:val="es-ES_tradnl"/>
        </w:rPr>
        <w:t>nº</w:t>
      </w:r>
      <w:proofErr w:type="spellEnd"/>
      <w:r w:rsidRPr="009F74EC">
        <w:rPr>
          <w:lang w:val="es-ES_tradnl"/>
        </w:rPr>
        <w:t xml:space="preserve"> 798 "Sobre la modificación de la Resolución del Consejo de </w:t>
      </w:r>
      <w:proofErr w:type="gramStart"/>
      <w:r w:rsidRPr="009F74EC">
        <w:rPr>
          <w:lang w:val="es-ES_tradnl"/>
        </w:rPr>
        <w:t>Ministros</w:t>
      </w:r>
      <w:proofErr w:type="gramEnd"/>
      <w:r w:rsidRPr="009F74EC">
        <w:rPr>
          <w:lang w:val="es-ES_tradnl"/>
        </w:rPr>
        <w:t xml:space="preserve"> de Ucrania de 19 de agosto de 2022 </w:t>
      </w:r>
      <w:proofErr w:type="spellStart"/>
      <w:r w:rsidRPr="009F74EC">
        <w:rPr>
          <w:lang w:val="es-ES_tradnl"/>
        </w:rPr>
        <w:t>nº</w:t>
      </w:r>
      <w:proofErr w:type="spellEnd"/>
      <w:r w:rsidRPr="009F74EC">
        <w:rPr>
          <w:lang w:val="es-ES_tradnl"/>
        </w:rPr>
        <w:t xml:space="preserve"> 1183";</w:t>
      </w:r>
    </w:p>
    <w:p w14:paraId="708D0C98" w14:textId="77777777" w:rsidR="005A5957" w:rsidRPr="009F74EC" w:rsidRDefault="005A5957" w:rsidP="005A5957">
      <w:pPr>
        <w:pStyle w:val="ListParagraph"/>
        <w:widowControl w:val="0"/>
        <w:numPr>
          <w:ilvl w:val="0"/>
          <w:numId w:val="14"/>
        </w:numPr>
        <w:autoSpaceDE w:val="0"/>
        <w:autoSpaceDN w:val="0"/>
        <w:contextualSpacing w:val="0"/>
        <w:rPr>
          <w:lang w:val="es-ES_tradnl"/>
        </w:rPr>
      </w:pPr>
      <w:r w:rsidRPr="009F74EC">
        <w:rPr>
          <w:lang w:val="es-ES_tradnl"/>
        </w:rPr>
        <w:t xml:space="preserve">de 16 de noviembre de 2022, </w:t>
      </w:r>
      <w:proofErr w:type="spellStart"/>
      <w:r w:rsidRPr="009F74EC">
        <w:rPr>
          <w:lang w:val="es-ES_tradnl"/>
        </w:rPr>
        <w:t>nº</w:t>
      </w:r>
      <w:proofErr w:type="spellEnd"/>
      <w:r w:rsidRPr="009F74EC">
        <w:rPr>
          <w:lang w:val="es-ES_tradnl"/>
        </w:rPr>
        <w:t xml:space="preserve"> 1334 "Sobre la modificación del procedimiento de expedición de una licencia obligatoria sobre el uso de una obtención vegetal".</w:t>
      </w:r>
    </w:p>
    <w:p w14:paraId="6E291867" w14:textId="77777777" w:rsidR="005A5957" w:rsidRPr="009F74EC" w:rsidRDefault="005A5957" w:rsidP="005A5957"/>
    <w:p w14:paraId="399A2AEB" w14:textId="77777777" w:rsidR="005A5957" w:rsidRPr="009F74EC" w:rsidRDefault="005A5957" w:rsidP="005A5957">
      <w:pPr>
        <w:spacing w:after="120"/>
        <w:rPr>
          <w:i/>
        </w:rPr>
      </w:pPr>
      <w:r w:rsidRPr="009F74EC">
        <w:rPr>
          <w:i/>
        </w:rPr>
        <w:t>Órdenes adoptadas por el Ministerio de Política Agraria y Alimentación de Ucrania:</w:t>
      </w:r>
    </w:p>
    <w:p w14:paraId="6A6D4AD1" w14:textId="77777777" w:rsidR="005A5957" w:rsidRPr="009F74EC" w:rsidRDefault="005A5957" w:rsidP="005A5957">
      <w:pPr>
        <w:pStyle w:val="ListParagraph"/>
        <w:widowControl w:val="0"/>
        <w:numPr>
          <w:ilvl w:val="0"/>
          <w:numId w:val="14"/>
        </w:numPr>
        <w:autoSpaceDE w:val="0"/>
        <w:autoSpaceDN w:val="0"/>
        <w:contextualSpacing w:val="0"/>
        <w:rPr>
          <w:lang w:val="es-ES_tradnl"/>
        </w:rPr>
      </w:pPr>
      <w:r w:rsidRPr="009F74EC">
        <w:rPr>
          <w:lang w:val="es-ES_tradnl"/>
        </w:rPr>
        <w:t>de 10 de mayo de 2022 No 277 "Sobre la aprobación de la instrucción sobre el registro del acuerdo sobre la cesión de los derechos exclusivos de propiedad intelectual de una variedad y el acuerdo sobre el permiso para utilizar una variedad", registrada en el Ministerio de Justicia de Ucrania el 24.06.2022 con el No 697/38033;</w:t>
      </w:r>
    </w:p>
    <w:p w14:paraId="7DDC1EC5" w14:textId="77777777" w:rsidR="005A5957" w:rsidRPr="009F74EC" w:rsidRDefault="005A5957" w:rsidP="005A5957">
      <w:pPr>
        <w:pStyle w:val="ListParagraph"/>
        <w:widowControl w:val="0"/>
        <w:numPr>
          <w:ilvl w:val="0"/>
          <w:numId w:val="14"/>
        </w:numPr>
        <w:autoSpaceDE w:val="0"/>
        <w:autoSpaceDN w:val="0"/>
        <w:contextualSpacing w:val="0"/>
        <w:rPr>
          <w:lang w:val="es-ES_tradnl"/>
        </w:rPr>
      </w:pPr>
      <w:r w:rsidRPr="009F74EC">
        <w:rPr>
          <w:lang w:val="es-ES_tradnl"/>
        </w:rPr>
        <w:t>de 26.05.2022 No 306 "Sobre la aprobación del procedimiento de recepción, registro, almacenamiento, utilización y actualización de muestras de material vegetal del sujeto de la solicitud de obtención vegetal", registrado en el Ministerio de Justicia de Ucrania el 05 de julio de 2022, con el No 739/38075.</w:t>
      </w:r>
    </w:p>
    <w:p w14:paraId="00956C86" w14:textId="77777777" w:rsidR="005A5957" w:rsidRPr="009F74EC" w:rsidRDefault="005A5957" w:rsidP="005A5957"/>
    <w:p w14:paraId="7F70F504" w14:textId="77777777" w:rsidR="005A5957" w:rsidRPr="009F74EC" w:rsidRDefault="005A5957" w:rsidP="005A5957">
      <w:pPr>
        <w:spacing w:after="120"/>
        <w:rPr>
          <w:i/>
        </w:rPr>
      </w:pPr>
      <w:r w:rsidRPr="009F74EC">
        <w:rPr>
          <w:i/>
        </w:rPr>
        <w:t>Ha expirado:</w:t>
      </w:r>
    </w:p>
    <w:p w14:paraId="2B749E54" w14:textId="77777777" w:rsidR="005A5957" w:rsidRPr="009F74EC" w:rsidRDefault="005A5957" w:rsidP="005A5957">
      <w:pPr>
        <w:pStyle w:val="ListParagraph"/>
        <w:widowControl w:val="0"/>
        <w:numPr>
          <w:ilvl w:val="0"/>
          <w:numId w:val="14"/>
        </w:numPr>
        <w:autoSpaceDE w:val="0"/>
        <w:autoSpaceDN w:val="0"/>
        <w:contextualSpacing w:val="0"/>
        <w:rPr>
          <w:lang w:val="es-ES_tradnl"/>
        </w:rPr>
      </w:pPr>
      <w:r w:rsidRPr="009F74EC">
        <w:rPr>
          <w:lang w:val="es-ES_tradnl"/>
        </w:rPr>
        <w:t xml:space="preserve">la Orden del Ministerio de Política Agraria y Alimentación de Ucrania de 21 de julio de 2003, </w:t>
      </w:r>
      <w:proofErr w:type="spellStart"/>
      <w:r w:rsidRPr="009F74EC">
        <w:rPr>
          <w:lang w:val="es-ES_tradnl"/>
        </w:rPr>
        <w:t>Nº</w:t>
      </w:r>
      <w:proofErr w:type="spellEnd"/>
      <w:r w:rsidRPr="009F74EC">
        <w:rPr>
          <w:lang w:val="es-ES_tradnl"/>
        </w:rPr>
        <w:t xml:space="preserve"> 244 "Sobre la aprobación de la instrucción relativa al registro del acuerdo de cesión del derecho de propiedad sobre una variedad y del acuerdo de cesión del derecho a utilizar una variedad", registrada en el Ministerio de Justicia de Ucrania el 8 de agosto de 2003, con el </w:t>
      </w:r>
      <w:proofErr w:type="spellStart"/>
      <w:r w:rsidRPr="009F74EC">
        <w:rPr>
          <w:lang w:val="es-ES_tradnl"/>
        </w:rPr>
        <w:t>Nº</w:t>
      </w:r>
      <w:proofErr w:type="spellEnd"/>
      <w:r w:rsidRPr="009F74EC">
        <w:rPr>
          <w:lang w:val="es-ES_tradnl"/>
        </w:rPr>
        <w:t xml:space="preserve"> 698/8019.</w:t>
      </w:r>
    </w:p>
    <w:p w14:paraId="33EAD5E8" w14:textId="77777777" w:rsidR="005A5957" w:rsidRPr="009F74EC" w:rsidRDefault="005A5957" w:rsidP="005A5957"/>
    <w:p w14:paraId="531CF381" w14:textId="77777777" w:rsidR="005A5957" w:rsidRPr="009F74EC" w:rsidRDefault="005A5957" w:rsidP="005A5957">
      <w:pPr>
        <w:rPr>
          <w:u w:val="single"/>
        </w:rPr>
      </w:pPr>
      <w:r w:rsidRPr="009F74EC">
        <w:t>2.</w:t>
      </w:r>
      <w:r w:rsidRPr="009F74EC">
        <w:tab/>
      </w:r>
      <w:r w:rsidRPr="009F74EC">
        <w:rPr>
          <w:u w:val="single"/>
        </w:rPr>
        <w:t>Cooperación en el examen</w:t>
      </w:r>
    </w:p>
    <w:p w14:paraId="18B68DFB" w14:textId="77777777" w:rsidR="005A5957" w:rsidRPr="009F74EC" w:rsidRDefault="005A5957" w:rsidP="005A5957"/>
    <w:p w14:paraId="2E71A22A" w14:textId="77777777" w:rsidR="005A5957" w:rsidRPr="009F74EC" w:rsidRDefault="005A5957" w:rsidP="005A5957">
      <w:r w:rsidRPr="009F74EC">
        <w:t xml:space="preserve">A lo largo de 2022, Ucrania intercambió 77 informes sobre los resultados de los exámenes DHE sobre el terreno. Ucrania utilizó los informes sobre el examen DHE de los siguientes países:  Alemania, Australia, Bulgaria, Dinamarca, Eslovaquia, España, Francia, Hungría, Italia, Países Bajos y Rumania, y facilitó los informes a la República Unida de </w:t>
      </w:r>
      <w:proofErr w:type="spellStart"/>
      <w:r w:rsidRPr="009F74EC">
        <w:t>Tanzanía</w:t>
      </w:r>
      <w:proofErr w:type="spellEnd"/>
      <w:r w:rsidRPr="009F74EC">
        <w:t>.</w:t>
      </w:r>
    </w:p>
    <w:p w14:paraId="5866DFC7" w14:textId="77777777" w:rsidR="005A5957" w:rsidRPr="009F74EC" w:rsidRDefault="005A5957" w:rsidP="005A5957"/>
    <w:p w14:paraId="7DA3A9CF" w14:textId="77777777" w:rsidR="005A5957" w:rsidRPr="009F74EC" w:rsidRDefault="005A5957" w:rsidP="005A5957">
      <w:r w:rsidRPr="009F74EC">
        <w:t>3.</w:t>
      </w:r>
      <w:r w:rsidRPr="009F74EC">
        <w:tab/>
      </w:r>
      <w:r w:rsidRPr="009F74EC">
        <w:rPr>
          <w:u w:val="single"/>
        </w:rPr>
        <w:t>Situación en el ámbito administrativo</w:t>
      </w:r>
    </w:p>
    <w:p w14:paraId="0AB66636" w14:textId="77777777" w:rsidR="005A5957" w:rsidRPr="009F74EC" w:rsidRDefault="005A5957" w:rsidP="005A5957"/>
    <w:p w14:paraId="127BCA69" w14:textId="77777777" w:rsidR="005A5957" w:rsidRPr="009F74EC" w:rsidRDefault="005A5957" w:rsidP="005A5957">
      <w:r w:rsidRPr="009F74EC">
        <w:t>Desde 2020, el Ministerio de Política Agraria y Alimentación de Ucrania está autorizado a ser el organismo competente para el registro de los derechos de obtención vegetal en Ucrania.</w:t>
      </w:r>
    </w:p>
    <w:p w14:paraId="3210D8BD" w14:textId="77777777" w:rsidR="005A5957" w:rsidRPr="009F74EC" w:rsidRDefault="005A5957" w:rsidP="005A5957"/>
    <w:p w14:paraId="4B57A626" w14:textId="77777777" w:rsidR="005A5957" w:rsidRPr="009F74EC" w:rsidRDefault="005A5957" w:rsidP="005A5957">
      <w:pPr>
        <w:rPr>
          <w:u w:val="single"/>
        </w:rPr>
      </w:pPr>
      <w:r w:rsidRPr="009F74EC">
        <w:t>4.</w:t>
      </w:r>
      <w:r w:rsidRPr="009F74EC">
        <w:tab/>
      </w:r>
      <w:r w:rsidRPr="009F74EC">
        <w:rPr>
          <w:u w:val="single"/>
        </w:rPr>
        <w:t>Situación en el ámbito técnico</w:t>
      </w:r>
    </w:p>
    <w:p w14:paraId="7C8DD153" w14:textId="77777777" w:rsidR="005A5957" w:rsidRPr="009F74EC" w:rsidRDefault="005A5957" w:rsidP="005A5957"/>
    <w:p w14:paraId="67A44EF7" w14:textId="77777777" w:rsidR="005A5957" w:rsidRPr="009F74EC" w:rsidRDefault="005A5957" w:rsidP="005A5957">
      <w:r w:rsidRPr="009F74EC">
        <w:t xml:space="preserve">En 2022, se elaboraron las Directrices para la realización de exámenes de distinción, homogeneidad y estabilidad de variedades vegetales del grupo de las frutas, bayas, nueces y uvas, que fueron aprobadas por la Orden del Ministerio de Política Agraria y Alimentación de Ucrania de 11 de mayo de 2022 </w:t>
      </w:r>
      <w:proofErr w:type="spellStart"/>
      <w:r w:rsidRPr="009F74EC">
        <w:t>nº</w:t>
      </w:r>
      <w:proofErr w:type="spellEnd"/>
      <w:r w:rsidRPr="009F74EC">
        <w:t xml:space="preserve"> 287.</w:t>
      </w:r>
    </w:p>
    <w:p w14:paraId="257656A3" w14:textId="77777777" w:rsidR="005A5957" w:rsidRPr="009F74EC" w:rsidRDefault="005A5957" w:rsidP="005A5957"/>
    <w:p w14:paraId="4E823A15" w14:textId="77777777" w:rsidR="00AE3E00" w:rsidRDefault="00AE3E00">
      <w:pPr>
        <w:jc w:val="left"/>
      </w:pPr>
      <w:r>
        <w:br w:type="page"/>
      </w:r>
    </w:p>
    <w:p w14:paraId="47E67D30" w14:textId="46B5FB9B" w:rsidR="005A5957" w:rsidRPr="009F74EC" w:rsidRDefault="005A5957" w:rsidP="005A5957">
      <w:r w:rsidRPr="009F74EC">
        <w:lastRenderedPageBreak/>
        <w:t>5.</w:t>
      </w:r>
      <w:r w:rsidRPr="009F74EC">
        <w:tab/>
      </w:r>
      <w:r w:rsidRPr="009F74EC">
        <w:rPr>
          <w:u w:val="single"/>
        </w:rPr>
        <w:t>Actividades de fomento de la protección de las obtenciones vegetales</w:t>
      </w:r>
    </w:p>
    <w:p w14:paraId="705D6956" w14:textId="77777777" w:rsidR="005A5957" w:rsidRPr="009F74EC" w:rsidRDefault="005A5957" w:rsidP="005A5957"/>
    <w:p w14:paraId="4A9EEC59" w14:textId="77777777" w:rsidR="005A5957" w:rsidRPr="009F74EC" w:rsidRDefault="005A5957" w:rsidP="005A5957">
      <w:r w:rsidRPr="009F74EC">
        <w:t xml:space="preserve">A </w:t>
      </w:r>
      <w:proofErr w:type="gramStart"/>
      <w:r w:rsidRPr="009F74EC">
        <w:t>continuación</w:t>
      </w:r>
      <w:proofErr w:type="gramEnd"/>
      <w:r w:rsidRPr="009F74EC">
        <w:t xml:space="preserve"> encontrará información sobre las actividades de promoción de la protección de las obtenciones vegetales y las publicaciones en el ámbito de la protección de los derechos de las obtenciones vegetales.</w:t>
      </w:r>
    </w:p>
    <w:p w14:paraId="4DDDDF95" w14:textId="77777777" w:rsidR="005A5957" w:rsidRPr="009F74EC" w:rsidRDefault="005A5957" w:rsidP="005A5957"/>
    <w:p w14:paraId="53D73B62" w14:textId="77777777" w:rsidR="005A5957" w:rsidRPr="009F74EC" w:rsidRDefault="005A5957" w:rsidP="005A5957">
      <w:pPr>
        <w:keepNext/>
      </w:pPr>
      <w:r w:rsidRPr="009F74EC">
        <w:t>II.</w:t>
      </w:r>
      <w:r w:rsidRPr="009F74EC">
        <w:tab/>
        <w:t>OTROS ACONTECIMIENTOS DE INTERÉS PARA LA UPOV</w:t>
      </w:r>
    </w:p>
    <w:p w14:paraId="030DF9CB" w14:textId="77777777" w:rsidR="005A5957" w:rsidRPr="009F74EC" w:rsidRDefault="005A5957" w:rsidP="005A5957">
      <w:pPr>
        <w:keepNext/>
      </w:pPr>
    </w:p>
    <w:p w14:paraId="4A349665" w14:textId="77777777" w:rsidR="005A5957" w:rsidRPr="009F74EC" w:rsidRDefault="005A5957" w:rsidP="005A5957">
      <w:r w:rsidRPr="009F74EC">
        <w:t xml:space="preserve">La información estadística sobre la protección de las obtenciones vegetales en Ucrania para 2022 fue transmitida por carta del </w:t>
      </w:r>
      <w:proofErr w:type="spellStart"/>
      <w:r w:rsidRPr="009F74EC">
        <w:t>Minagropolicy</w:t>
      </w:r>
      <w:proofErr w:type="spellEnd"/>
      <w:r w:rsidRPr="009F74EC">
        <w:t xml:space="preserve"> de fecha 23 de febrero de 2023 No 21-1331-06.1/6647 y en formato electrónico al correo electrónico: </w:t>
      </w:r>
      <w:hyperlink r:id="rId44">
        <w:r w:rsidRPr="009F74EC">
          <w:rPr>
            <w:rStyle w:val="Hyperlink"/>
          </w:rPr>
          <w:t>upov.mail@upov.int.</w:t>
        </w:r>
      </w:hyperlink>
    </w:p>
    <w:p w14:paraId="5E7A7CA1" w14:textId="77777777" w:rsidR="005A5957" w:rsidRPr="009F74EC" w:rsidRDefault="005A5957" w:rsidP="005A5957">
      <w:pPr>
        <w:jc w:val="left"/>
        <w:sectPr w:rsidR="005A5957" w:rsidRPr="009F74EC" w:rsidSect="00AF4BEC">
          <w:headerReference w:type="default" r:id="rId45"/>
          <w:pgSz w:w="11907" w:h="16840" w:code="9"/>
          <w:pgMar w:top="510" w:right="1134" w:bottom="426" w:left="1134" w:header="510" w:footer="680" w:gutter="0"/>
          <w:pgNumType w:start="1"/>
          <w:cols w:space="720"/>
          <w:titlePg/>
        </w:sectPr>
      </w:pPr>
    </w:p>
    <w:tbl>
      <w:tblPr>
        <w:tblStyle w:val="TableGrid"/>
        <w:tblW w:w="15083" w:type="dxa"/>
        <w:tblLayout w:type="fixed"/>
        <w:tblCellMar>
          <w:top w:w="28" w:type="dxa"/>
          <w:left w:w="57" w:type="dxa"/>
          <w:bottom w:w="28" w:type="dxa"/>
          <w:right w:w="57" w:type="dxa"/>
        </w:tblCellMar>
        <w:tblLook w:val="01E0" w:firstRow="1" w:lastRow="1" w:firstColumn="1" w:lastColumn="1" w:noHBand="0" w:noVBand="0"/>
      </w:tblPr>
      <w:tblGrid>
        <w:gridCol w:w="3318"/>
        <w:gridCol w:w="1213"/>
        <w:gridCol w:w="1055"/>
        <w:gridCol w:w="2693"/>
        <w:gridCol w:w="3402"/>
        <w:gridCol w:w="2064"/>
        <w:gridCol w:w="1338"/>
      </w:tblGrid>
      <w:tr w:rsidR="005A5957" w:rsidRPr="009F74EC" w14:paraId="6FB215AF" w14:textId="77777777" w:rsidTr="006B46C1">
        <w:trPr>
          <w:tblHeader/>
        </w:trPr>
        <w:tc>
          <w:tcPr>
            <w:tcW w:w="3318" w:type="dxa"/>
          </w:tcPr>
          <w:p w14:paraId="1C0C1876" w14:textId="77777777" w:rsidR="005A5957" w:rsidRPr="009F74EC" w:rsidRDefault="005A5957" w:rsidP="00C30F9D">
            <w:pPr>
              <w:keepNext/>
              <w:jc w:val="left"/>
              <w:rPr>
                <w:sz w:val="16"/>
                <w:szCs w:val="16"/>
              </w:rPr>
            </w:pPr>
            <w:r w:rsidRPr="009F74EC">
              <w:rPr>
                <w:sz w:val="16"/>
                <w:szCs w:val="16"/>
              </w:rPr>
              <w:lastRenderedPageBreak/>
              <w:t>Título de la actividad</w:t>
            </w:r>
          </w:p>
        </w:tc>
        <w:tc>
          <w:tcPr>
            <w:tcW w:w="1213" w:type="dxa"/>
          </w:tcPr>
          <w:p w14:paraId="171336E5" w14:textId="77777777" w:rsidR="005A5957" w:rsidRPr="009F74EC" w:rsidRDefault="005A5957" w:rsidP="00C30F9D">
            <w:pPr>
              <w:keepNext/>
              <w:jc w:val="left"/>
              <w:rPr>
                <w:sz w:val="16"/>
                <w:szCs w:val="16"/>
              </w:rPr>
            </w:pPr>
            <w:r w:rsidRPr="009F74EC">
              <w:rPr>
                <w:sz w:val="16"/>
                <w:szCs w:val="16"/>
              </w:rPr>
              <w:t>Fecha</w:t>
            </w:r>
          </w:p>
        </w:tc>
        <w:tc>
          <w:tcPr>
            <w:tcW w:w="1055" w:type="dxa"/>
          </w:tcPr>
          <w:p w14:paraId="572DA25E" w14:textId="77777777" w:rsidR="005A5957" w:rsidRPr="009F74EC" w:rsidRDefault="005A5957" w:rsidP="00C30F9D">
            <w:pPr>
              <w:keepNext/>
              <w:jc w:val="left"/>
              <w:rPr>
                <w:sz w:val="16"/>
                <w:szCs w:val="16"/>
              </w:rPr>
            </w:pPr>
            <w:r w:rsidRPr="009F74EC">
              <w:rPr>
                <w:sz w:val="16"/>
                <w:szCs w:val="16"/>
              </w:rPr>
              <w:t>Ubicación</w:t>
            </w:r>
          </w:p>
        </w:tc>
        <w:tc>
          <w:tcPr>
            <w:tcW w:w="2693" w:type="dxa"/>
          </w:tcPr>
          <w:p w14:paraId="0CBACC50" w14:textId="77777777" w:rsidR="005A5957" w:rsidRPr="009F74EC" w:rsidRDefault="005A5957" w:rsidP="00C30F9D">
            <w:pPr>
              <w:keepNext/>
              <w:jc w:val="left"/>
              <w:rPr>
                <w:sz w:val="16"/>
                <w:szCs w:val="16"/>
              </w:rPr>
            </w:pPr>
            <w:r w:rsidRPr="009F74EC">
              <w:rPr>
                <w:sz w:val="16"/>
                <w:szCs w:val="16"/>
              </w:rPr>
              <w:t>Organizador(es)</w:t>
            </w:r>
          </w:p>
        </w:tc>
        <w:tc>
          <w:tcPr>
            <w:tcW w:w="3402" w:type="dxa"/>
          </w:tcPr>
          <w:p w14:paraId="753CDC92" w14:textId="77777777" w:rsidR="005A5957" w:rsidRPr="009F74EC" w:rsidRDefault="005A5957" w:rsidP="00C30F9D">
            <w:pPr>
              <w:keepNext/>
              <w:jc w:val="left"/>
              <w:rPr>
                <w:sz w:val="16"/>
                <w:szCs w:val="16"/>
              </w:rPr>
            </w:pPr>
            <w:r w:rsidRPr="009F74EC">
              <w:rPr>
                <w:sz w:val="16"/>
                <w:szCs w:val="16"/>
              </w:rPr>
              <w:t>Objetivo de la actividad</w:t>
            </w:r>
          </w:p>
        </w:tc>
        <w:tc>
          <w:tcPr>
            <w:tcW w:w="2064" w:type="dxa"/>
          </w:tcPr>
          <w:p w14:paraId="3AE6C021" w14:textId="77777777" w:rsidR="005A5957" w:rsidRPr="009F74EC" w:rsidRDefault="005A5957" w:rsidP="00C30F9D">
            <w:pPr>
              <w:keepNext/>
              <w:jc w:val="left"/>
              <w:rPr>
                <w:sz w:val="16"/>
                <w:szCs w:val="16"/>
              </w:rPr>
            </w:pPr>
            <w:r w:rsidRPr="009F74EC">
              <w:rPr>
                <w:sz w:val="16"/>
                <w:szCs w:val="16"/>
              </w:rPr>
              <w:t>Países/organizaciones participantes (número de participantes de cada uno)</w:t>
            </w:r>
          </w:p>
        </w:tc>
        <w:tc>
          <w:tcPr>
            <w:tcW w:w="1338" w:type="dxa"/>
          </w:tcPr>
          <w:p w14:paraId="41658BD4" w14:textId="77777777" w:rsidR="005A5957" w:rsidRPr="009F74EC" w:rsidRDefault="005A5957" w:rsidP="00C30F9D">
            <w:pPr>
              <w:keepNext/>
              <w:jc w:val="left"/>
              <w:rPr>
                <w:sz w:val="16"/>
                <w:szCs w:val="16"/>
              </w:rPr>
            </w:pPr>
            <w:r w:rsidRPr="009F74EC">
              <w:rPr>
                <w:sz w:val="16"/>
                <w:szCs w:val="16"/>
              </w:rPr>
              <w:t>Comentarios</w:t>
            </w:r>
          </w:p>
        </w:tc>
      </w:tr>
      <w:tr w:rsidR="005A5957" w:rsidRPr="009F74EC" w14:paraId="77A86BF0" w14:textId="77777777" w:rsidTr="006B46C1">
        <w:tc>
          <w:tcPr>
            <w:tcW w:w="3318" w:type="dxa"/>
          </w:tcPr>
          <w:p w14:paraId="1DF6DA54" w14:textId="77777777" w:rsidR="005A5957" w:rsidRPr="009F74EC" w:rsidRDefault="005A5957" w:rsidP="00C30F9D">
            <w:pPr>
              <w:jc w:val="left"/>
              <w:rPr>
                <w:sz w:val="16"/>
                <w:szCs w:val="16"/>
              </w:rPr>
            </w:pPr>
            <w:r w:rsidRPr="009F74EC">
              <w:rPr>
                <w:sz w:val="16"/>
                <w:szCs w:val="16"/>
              </w:rPr>
              <w:t>"Estudio y protección de las obtenciones vegetales"</w:t>
            </w:r>
          </w:p>
          <w:p w14:paraId="222296D1" w14:textId="77777777" w:rsidR="005A5957" w:rsidRPr="009F74EC" w:rsidRDefault="005A5957" w:rsidP="00C30F9D">
            <w:pPr>
              <w:rPr>
                <w:sz w:val="16"/>
                <w:szCs w:val="16"/>
              </w:rPr>
            </w:pPr>
            <w:r w:rsidRPr="009F74EC">
              <w:rPr>
                <w:sz w:val="16"/>
                <w:szCs w:val="16"/>
              </w:rPr>
              <w:t>Impreso ISSN 2518-1017</w:t>
            </w:r>
          </w:p>
          <w:p w14:paraId="2400A2A6" w14:textId="77777777" w:rsidR="005A5957" w:rsidRPr="009F74EC" w:rsidRDefault="005A5957" w:rsidP="00C30F9D">
            <w:pPr>
              <w:rPr>
                <w:sz w:val="16"/>
                <w:szCs w:val="16"/>
              </w:rPr>
            </w:pPr>
            <w:r w:rsidRPr="009F74EC">
              <w:rPr>
                <w:sz w:val="16"/>
                <w:szCs w:val="16"/>
              </w:rPr>
              <w:t>En línea ISSN 2518-7457</w:t>
            </w:r>
          </w:p>
          <w:p w14:paraId="476C8229" w14:textId="77777777" w:rsidR="005A5957" w:rsidRPr="009F74EC" w:rsidRDefault="005A5957" w:rsidP="00C30F9D">
            <w:pPr>
              <w:rPr>
                <w:sz w:val="16"/>
                <w:szCs w:val="16"/>
              </w:rPr>
            </w:pPr>
            <w:proofErr w:type="spellStart"/>
            <w:r w:rsidRPr="009F74EC">
              <w:rPr>
                <w:rFonts w:cs="Arial"/>
                <w:sz w:val="16"/>
                <w:szCs w:val="16"/>
              </w:rPr>
              <w:t>N°</w:t>
            </w:r>
            <w:proofErr w:type="spellEnd"/>
            <w:r w:rsidRPr="009F74EC">
              <w:rPr>
                <w:rFonts w:cs="Arial"/>
                <w:sz w:val="16"/>
                <w:szCs w:val="16"/>
              </w:rPr>
              <w:t xml:space="preserve"> </w:t>
            </w:r>
            <w:r w:rsidRPr="009F74EC">
              <w:rPr>
                <w:sz w:val="16"/>
                <w:szCs w:val="16"/>
              </w:rPr>
              <w:t>1, 2, 3, 4, volumen 18, 2022</w:t>
            </w:r>
          </w:p>
          <w:p w14:paraId="28CA4027" w14:textId="77777777" w:rsidR="005A5957" w:rsidRPr="009F74EC" w:rsidRDefault="005A5957" w:rsidP="00C30F9D">
            <w:pPr>
              <w:rPr>
                <w:sz w:val="16"/>
                <w:szCs w:val="16"/>
              </w:rPr>
            </w:pPr>
            <w:hyperlink r:id="rId46" w:history="1">
              <w:r w:rsidRPr="009F74EC">
                <w:rPr>
                  <w:rStyle w:val="Hyperlink"/>
                  <w:sz w:val="16"/>
                  <w:szCs w:val="16"/>
                </w:rPr>
                <w:t xml:space="preserve">http://journal.sops.gov.ua/issue/archive </w:t>
              </w:r>
            </w:hyperlink>
          </w:p>
        </w:tc>
        <w:tc>
          <w:tcPr>
            <w:tcW w:w="1213" w:type="dxa"/>
          </w:tcPr>
          <w:p w14:paraId="720BE92A" w14:textId="77777777" w:rsidR="005A5957" w:rsidRPr="009F74EC" w:rsidRDefault="005A5957" w:rsidP="00C30F9D">
            <w:pPr>
              <w:keepNext/>
              <w:jc w:val="left"/>
              <w:rPr>
                <w:sz w:val="16"/>
                <w:szCs w:val="16"/>
              </w:rPr>
            </w:pPr>
            <w:r w:rsidRPr="009F74EC">
              <w:rPr>
                <w:sz w:val="16"/>
                <w:szCs w:val="16"/>
              </w:rPr>
              <w:t>trimestral</w:t>
            </w:r>
          </w:p>
        </w:tc>
        <w:tc>
          <w:tcPr>
            <w:tcW w:w="1055" w:type="dxa"/>
          </w:tcPr>
          <w:p w14:paraId="4DFCD7A9" w14:textId="77777777" w:rsidR="005A5957" w:rsidRPr="009F74EC" w:rsidRDefault="005A5957" w:rsidP="00C30F9D">
            <w:pPr>
              <w:keepNext/>
              <w:jc w:val="left"/>
              <w:rPr>
                <w:sz w:val="16"/>
                <w:szCs w:val="16"/>
              </w:rPr>
            </w:pPr>
            <w:r w:rsidRPr="009F74EC">
              <w:rPr>
                <w:sz w:val="16"/>
                <w:szCs w:val="16"/>
              </w:rPr>
              <w:t>Kiev, Ucrania</w:t>
            </w:r>
          </w:p>
        </w:tc>
        <w:tc>
          <w:tcPr>
            <w:tcW w:w="2693" w:type="dxa"/>
          </w:tcPr>
          <w:p w14:paraId="77EA3B58" w14:textId="77777777" w:rsidR="005A5957" w:rsidRPr="009F74EC" w:rsidRDefault="005A5957" w:rsidP="00C30F9D">
            <w:pPr>
              <w:keepNext/>
              <w:jc w:val="left"/>
              <w:rPr>
                <w:sz w:val="16"/>
                <w:szCs w:val="16"/>
              </w:rPr>
            </w:pPr>
            <w:r w:rsidRPr="009F74EC">
              <w:rPr>
                <w:sz w:val="16"/>
                <w:szCs w:val="16"/>
              </w:rPr>
              <w:t>Instituto Ucraniano de Examen de Variedades Vegetales, Instituto de Fitomejoramiento y Genética - Centro Nacional de Investigación de Semillas y Cultivares del NAAS, Instituto de Fisiología y Genética Vegetal, Academia Nacional de Ciencias de Ucrania.</w:t>
            </w:r>
          </w:p>
        </w:tc>
        <w:tc>
          <w:tcPr>
            <w:tcW w:w="3402" w:type="dxa"/>
          </w:tcPr>
          <w:p w14:paraId="6FF38DB6" w14:textId="77777777" w:rsidR="005A5957" w:rsidRPr="009F74EC" w:rsidRDefault="005A5957" w:rsidP="00C30F9D">
            <w:pPr>
              <w:keepNext/>
              <w:jc w:val="left"/>
              <w:rPr>
                <w:sz w:val="16"/>
                <w:szCs w:val="16"/>
              </w:rPr>
            </w:pPr>
            <w:r w:rsidRPr="009F74EC">
              <w:rPr>
                <w:sz w:val="16"/>
                <w:szCs w:val="16"/>
              </w:rPr>
              <w:t>Publicaciones sobre el estudio y la ciencia de las obtenciones vegetales, la genética, el fitomejoramiento y la producción de semillas, la fisiología vegetal, la biotecnología y la bioseguridad, la producción vegetal, el mercado de las obtenciones vegetales, la protección de las obtenciones vegetales, la cooperación internacional, los sistemas y tecnologías de la información, la visión de los jóvenes científicos, la historia de la ciencia, los aniversarios</w:t>
            </w:r>
          </w:p>
        </w:tc>
        <w:tc>
          <w:tcPr>
            <w:tcW w:w="2064" w:type="dxa"/>
          </w:tcPr>
          <w:p w14:paraId="6D906AF0" w14:textId="77777777" w:rsidR="005A5957" w:rsidRPr="009F74EC" w:rsidRDefault="005A5957" w:rsidP="00C30F9D">
            <w:pPr>
              <w:keepNext/>
              <w:jc w:val="left"/>
              <w:rPr>
                <w:sz w:val="16"/>
                <w:szCs w:val="16"/>
              </w:rPr>
            </w:pPr>
            <w:r w:rsidRPr="009F74EC">
              <w:rPr>
                <w:sz w:val="16"/>
                <w:szCs w:val="16"/>
              </w:rPr>
              <w:t>Ucrania</w:t>
            </w:r>
          </w:p>
        </w:tc>
        <w:tc>
          <w:tcPr>
            <w:tcW w:w="1338" w:type="dxa"/>
          </w:tcPr>
          <w:p w14:paraId="586361B6" w14:textId="77777777" w:rsidR="005A5957" w:rsidRPr="009F74EC" w:rsidRDefault="005A5957" w:rsidP="00C30F9D">
            <w:pPr>
              <w:keepNext/>
              <w:jc w:val="left"/>
              <w:rPr>
                <w:sz w:val="16"/>
                <w:szCs w:val="16"/>
              </w:rPr>
            </w:pPr>
          </w:p>
        </w:tc>
      </w:tr>
      <w:tr w:rsidR="005A5957" w:rsidRPr="009F74EC" w14:paraId="663D4F26" w14:textId="77777777" w:rsidTr="006B46C1">
        <w:tc>
          <w:tcPr>
            <w:tcW w:w="3318" w:type="dxa"/>
          </w:tcPr>
          <w:p w14:paraId="1341DAD0" w14:textId="77777777" w:rsidR="005A5957" w:rsidRPr="009F74EC" w:rsidRDefault="005A5957" w:rsidP="00C30F9D">
            <w:pPr>
              <w:jc w:val="left"/>
              <w:rPr>
                <w:sz w:val="16"/>
                <w:szCs w:val="16"/>
              </w:rPr>
            </w:pPr>
            <w:r w:rsidRPr="009F74EC">
              <w:rPr>
                <w:sz w:val="16"/>
                <w:szCs w:val="16"/>
              </w:rPr>
              <w:t>Boletín "Protección de las obtenciones vegetales"</w:t>
            </w:r>
          </w:p>
          <w:p w14:paraId="60742485" w14:textId="77777777" w:rsidR="005A5957" w:rsidRPr="009F74EC" w:rsidRDefault="005A5957" w:rsidP="00C30F9D">
            <w:pPr>
              <w:jc w:val="left"/>
              <w:rPr>
                <w:sz w:val="16"/>
                <w:szCs w:val="16"/>
              </w:rPr>
            </w:pPr>
            <w:proofErr w:type="spellStart"/>
            <w:r w:rsidRPr="009F74EC">
              <w:rPr>
                <w:rFonts w:cs="Arial"/>
                <w:sz w:val="16"/>
                <w:szCs w:val="16"/>
              </w:rPr>
              <w:t>N°</w:t>
            </w:r>
            <w:proofErr w:type="spellEnd"/>
            <w:r w:rsidRPr="009F74EC">
              <w:rPr>
                <w:rFonts w:cs="Arial"/>
                <w:sz w:val="16"/>
                <w:szCs w:val="16"/>
              </w:rPr>
              <w:t xml:space="preserve"> </w:t>
            </w:r>
            <w:r w:rsidRPr="009F74EC">
              <w:rPr>
                <w:sz w:val="16"/>
                <w:szCs w:val="16"/>
              </w:rPr>
              <w:t xml:space="preserve">1, </w:t>
            </w:r>
            <w:proofErr w:type="spellStart"/>
            <w:r w:rsidRPr="009F74EC">
              <w:rPr>
                <w:rFonts w:cs="Arial"/>
                <w:sz w:val="16"/>
                <w:szCs w:val="16"/>
              </w:rPr>
              <w:t>N°</w:t>
            </w:r>
            <w:proofErr w:type="spellEnd"/>
            <w:r w:rsidRPr="009F74EC">
              <w:rPr>
                <w:rFonts w:cs="Arial"/>
                <w:sz w:val="16"/>
                <w:szCs w:val="16"/>
              </w:rPr>
              <w:t xml:space="preserve"> </w:t>
            </w:r>
            <w:r w:rsidRPr="009F74EC">
              <w:rPr>
                <w:sz w:val="16"/>
                <w:szCs w:val="16"/>
              </w:rPr>
              <w:t xml:space="preserve">2, </w:t>
            </w:r>
            <w:proofErr w:type="spellStart"/>
            <w:r w:rsidRPr="009F74EC">
              <w:rPr>
                <w:rFonts w:cs="Arial"/>
                <w:sz w:val="16"/>
                <w:szCs w:val="16"/>
              </w:rPr>
              <w:t>N°</w:t>
            </w:r>
            <w:proofErr w:type="spellEnd"/>
            <w:r w:rsidRPr="009F74EC">
              <w:rPr>
                <w:rFonts w:cs="Arial"/>
                <w:sz w:val="16"/>
                <w:szCs w:val="16"/>
              </w:rPr>
              <w:t xml:space="preserve"> </w:t>
            </w:r>
            <w:r w:rsidRPr="009F74EC">
              <w:rPr>
                <w:sz w:val="16"/>
                <w:szCs w:val="16"/>
              </w:rPr>
              <w:t xml:space="preserve">3, </w:t>
            </w:r>
            <w:proofErr w:type="spellStart"/>
            <w:r w:rsidRPr="009F74EC">
              <w:rPr>
                <w:rFonts w:cs="Arial"/>
                <w:sz w:val="16"/>
                <w:szCs w:val="16"/>
              </w:rPr>
              <w:t>N°</w:t>
            </w:r>
            <w:proofErr w:type="spellEnd"/>
            <w:r w:rsidRPr="009F74EC">
              <w:rPr>
                <w:rFonts w:cs="Arial"/>
                <w:sz w:val="16"/>
                <w:szCs w:val="16"/>
              </w:rPr>
              <w:t xml:space="preserve"> </w:t>
            </w:r>
            <w:r w:rsidRPr="009F74EC">
              <w:rPr>
                <w:sz w:val="16"/>
                <w:szCs w:val="16"/>
              </w:rPr>
              <w:t xml:space="preserve">4, </w:t>
            </w:r>
            <w:proofErr w:type="spellStart"/>
            <w:r w:rsidRPr="009F74EC">
              <w:rPr>
                <w:rFonts w:cs="Arial"/>
                <w:sz w:val="16"/>
                <w:szCs w:val="16"/>
              </w:rPr>
              <w:t>N°</w:t>
            </w:r>
            <w:proofErr w:type="spellEnd"/>
            <w:r w:rsidRPr="009F74EC">
              <w:rPr>
                <w:rFonts w:cs="Arial"/>
                <w:sz w:val="16"/>
                <w:szCs w:val="16"/>
              </w:rPr>
              <w:t xml:space="preserve"> </w:t>
            </w:r>
            <w:r w:rsidRPr="009F74EC">
              <w:rPr>
                <w:sz w:val="16"/>
                <w:szCs w:val="16"/>
              </w:rPr>
              <w:t xml:space="preserve">5, </w:t>
            </w:r>
            <w:proofErr w:type="spellStart"/>
            <w:r w:rsidRPr="009F74EC">
              <w:rPr>
                <w:rFonts w:cs="Arial"/>
                <w:sz w:val="16"/>
                <w:szCs w:val="16"/>
              </w:rPr>
              <w:t>N°</w:t>
            </w:r>
            <w:proofErr w:type="spellEnd"/>
            <w:r w:rsidRPr="009F74EC">
              <w:rPr>
                <w:rFonts w:cs="Arial"/>
                <w:sz w:val="16"/>
                <w:szCs w:val="16"/>
              </w:rPr>
              <w:t xml:space="preserve"> </w:t>
            </w:r>
            <w:r w:rsidRPr="009F74EC">
              <w:rPr>
                <w:sz w:val="16"/>
                <w:szCs w:val="16"/>
              </w:rPr>
              <w:t xml:space="preserve">6, </w:t>
            </w:r>
            <w:proofErr w:type="spellStart"/>
            <w:r w:rsidRPr="009F74EC">
              <w:rPr>
                <w:rFonts w:cs="Arial"/>
                <w:sz w:val="16"/>
                <w:szCs w:val="16"/>
              </w:rPr>
              <w:t>N°</w:t>
            </w:r>
            <w:proofErr w:type="spellEnd"/>
            <w:r w:rsidRPr="009F74EC">
              <w:rPr>
                <w:rFonts w:cs="Arial"/>
                <w:sz w:val="16"/>
                <w:szCs w:val="16"/>
              </w:rPr>
              <w:t xml:space="preserve"> </w:t>
            </w:r>
            <w:r w:rsidRPr="009F74EC">
              <w:rPr>
                <w:sz w:val="16"/>
                <w:szCs w:val="16"/>
              </w:rPr>
              <w:t xml:space="preserve">7, </w:t>
            </w:r>
            <w:proofErr w:type="spellStart"/>
            <w:r w:rsidRPr="009F74EC">
              <w:rPr>
                <w:rFonts w:cs="Arial"/>
                <w:sz w:val="16"/>
                <w:szCs w:val="16"/>
              </w:rPr>
              <w:t>N°</w:t>
            </w:r>
            <w:proofErr w:type="spellEnd"/>
            <w:r w:rsidRPr="009F74EC">
              <w:rPr>
                <w:rFonts w:cs="Arial"/>
                <w:sz w:val="16"/>
                <w:szCs w:val="16"/>
              </w:rPr>
              <w:t xml:space="preserve"> </w:t>
            </w:r>
            <w:r w:rsidRPr="009F74EC">
              <w:rPr>
                <w:sz w:val="16"/>
                <w:szCs w:val="16"/>
              </w:rPr>
              <w:t xml:space="preserve">8, </w:t>
            </w:r>
            <w:proofErr w:type="spellStart"/>
            <w:r w:rsidRPr="009F74EC">
              <w:rPr>
                <w:rFonts w:cs="Arial"/>
                <w:sz w:val="16"/>
                <w:szCs w:val="16"/>
              </w:rPr>
              <w:t>N°</w:t>
            </w:r>
            <w:proofErr w:type="spellEnd"/>
            <w:r w:rsidRPr="009F74EC">
              <w:rPr>
                <w:rFonts w:cs="Arial"/>
                <w:sz w:val="16"/>
                <w:szCs w:val="16"/>
              </w:rPr>
              <w:t xml:space="preserve"> </w:t>
            </w:r>
            <w:r w:rsidRPr="009F74EC">
              <w:rPr>
                <w:sz w:val="16"/>
                <w:szCs w:val="16"/>
              </w:rPr>
              <w:t xml:space="preserve">9, </w:t>
            </w:r>
            <w:proofErr w:type="spellStart"/>
            <w:r w:rsidRPr="009F74EC">
              <w:rPr>
                <w:rFonts w:cs="Arial"/>
                <w:sz w:val="16"/>
                <w:szCs w:val="16"/>
              </w:rPr>
              <w:t>N°</w:t>
            </w:r>
            <w:proofErr w:type="spellEnd"/>
            <w:r w:rsidRPr="009F74EC">
              <w:rPr>
                <w:rFonts w:cs="Arial"/>
                <w:sz w:val="16"/>
                <w:szCs w:val="16"/>
              </w:rPr>
              <w:t xml:space="preserve"> </w:t>
            </w:r>
            <w:r w:rsidRPr="009F74EC">
              <w:rPr>
                <w:sz w:val="16"/>
                <w:szCs w:val="16"/>
              </w:rPr>
              <w:t xml:space="preserve">10, </w:t>
            </w:r>
            <w:proofErr w:type="spellStart"/>
            <w:r w:rsidRPr="009F74EC">
              <w:rPr>
                <w:rFonts w:cs="Arial"/>
                <w:sz w:val="16"/>
                <w:szCs w:val="16"/>
              </w:rPr>
              <w:t>N°</w:t>
            </w:r>
            <w:proofErr w:type="spellEnd"/>
            <w:r w:rsidRPr="009F74EC">
              <w:rPr>
                <w:rFonts w:cs="Arial"/>
                <w:sz w:val="16"/>
                <w:szCs w:val="16"/>
              </w:rPr>
              <w:t xml:space="preserve"> 11, </w:t>
            </w:r>
            <w:proofErr w:type="spellStart"/>
            <w:r w:rsidRPr="009F74EC">
              <w:rPr>
                <w:rFonts w:cs="Arial"/>
                <w:sz w:val="16"/>
                <w:szCs w:val="16"/>
              </w:rPr>
              <w:t>N°</w:t>
            </w:r>
            <w:proofErr w:type="spellEnd"/>
            <w:r w:rsidRPr="009F74EC">
              <w:rPr>
                <w:rFonts w:cs="Arial"/>
                <w:sz w:val="16"/>
                <w:szCs w:val="16"/>
              </w:rPr>
              <w:t xml:space="preserve"> 12, </w:t>
            </w:r>
            <w:r w:rsidRPr="009F74EC">
              <w:rPr>
                <w:sz w:val="16"/>
                <w:szCs w:val="16"/>
              </w:rPr>
              <w:t>2022.</w:t>
            </w:r>
          </w:p>
          <w:p w14:paraId="62A9DCAE" w14:textId="77777777" w:rsidR="005A5957" w:rsidRPr="009F74EC" w:rsidRDefault="005A5957" w:rsidP="00C30F9D">
            <w:pPr>
              <w:jc w:val="left"/>
              <w:rPr>
                <w:sz w:val="16"/>
                <w:szCs w:val="16"/>
              </w:rPr>
            </w:pPr>
            <w:hyperlink r:id="rId47" w:history="1">
              <w:r w:rsidRPr="009F74EC">
                <w:rPr>
                  <w:rStyle w:val="Hyperlink"/>
                  <w:sz w:val="16"/>
                  <w:szCs w:val="16"/>
                </w:rPr>
                <w:t xml:space="preserve">https://sops.gov.ua/publication/buleten-3 </w:t>
              </w:r>
            </w:hyperlink>
          </w:p>
        </w:tc>
        <w:tc>
          <w:tcPr>
            <w:tcW w:w="1213" w:type="dxa"/>
          </w:tcPr>
          <w:p w14:paraId="2983DB4D" w14:textId="77777777" w:rsidR="005A5957" w:rsidRPr="009F74EC" w:rsidRDefault="005A5957" w:rsidP="00C30F9D">
            <w:pPr>
              <w:keepNext/>
              <w:jc w:val="left"/>
              <w:rPr>
                <w:sz w:val="16"/>
                <w:szCs w:val="16"/>
              </w:rPr>
            </w:pPr>
            <w:r w:rsidRPr="009F74EC">
              <w:rPr>
                <w:sz w:val="16"/>
                <w:szCs w:val="16"/>
              </w:rPr>
              <w:t>mensualmente</w:t>
            </w:r>
          </w:p>
        </w:tc>
        <w:tc>
          <w:tcPr>
            <w:tcW w:w="1055" w:type="dxa"/>
          </w:tcPr>
          <w:p w14:paraId="4280D584" w14:textId="77777777" w:rsidR="005A5957" w:rsidRPr="009F74EC" w:rsidRDefault="005A5957" w:rsidP="00C30F9D">
            <w:pPr>
              <w:keepNext/>
              <w:jc w:val="left"/>
              <w:rPr>
                <w:sz w:val="16"/>
                <w:szCs w:val="16"/>
              </w:rPr>
            </w:pPr>
            <w:r w:rsidRPr="009F74EC">
              <w:rPr>
                <w:sz w:val="16"/>
                <w:szCs w:val="16"/>
              </w:rPr>
              <w:t>Kiev, Ucrania</w:t>
            </w:r>
          </w:p>
        </w:tc>
        <w:tc>
          <w:tcPr>
            <w:tcW w:w="2693" w:type="dxa"/>
          </w:tcPr>
          <w:p w14:paraId="638BF9CD" w14:textId="77777777" w:rsidR="005A5957" w:rsidRPr="009F74EC" w:rsidRDefault="005A5957" w:rsidP="00C30F9D">
            <w:pPr>
              <w:keepNext/>
              <w:jc w:val="left"/>
              <w:rPr>
                <w:sz w:val="16"/>
                <w:szCs w:val="16"/>
              </w:rPr>
            </w:pPr>
            <w:r w:rsidRPr="009F74EC">
              <w:rPr>
                <w:sz w:val="16"/>
                <w:szCs w:val="16"/>
              </w:rPr>
              <w:t>Instituto Ucraniano de Examen de Variedades Vegetales</w:t>
            </w:r>
          </w:p>
        </w:tc>
        <w:tc>
          <w:tcPr>
            <w:tcW w:w="3402" w:type="dxa"/>
          </w:tcPr>
          <w:p w14:paraId="0BFB06F1" w14:textId="77777777" w:rsidR="005A5957" w:rsidRPr="009F74EC" w:rsidRDefault="005A5957" w:rsidP="00C30F9D">
            <w:pPr>
              <w:keepNext/>
              <w:jc w:val="left"/>
              <w:rPr>
                <w:sz w:val="16"/>
                <w:szCs w:val="16"/>
              </w:rPr>
            </w:pPr>
            <w:r w:rsidRPr="009F74EC">
              <w:rPr>
                <w:sz w:val="16"/>
                <w:szCs w:val="16"/>
              </w:rPr>
              <w:t>Boletín publicado de conformidad con la Ley de Ucrania "Protección de las Obtenciones Vegetales" a los fines de la actividad de información oficial en el ámbito de la protección de las obtenciones vegetales y el cumplimiento de las obligaciones internacionales de Ucrania derivadas de su pertenencia a la Unión Internacional para la Protección de las Obtenciones Vegetales (UPOV).</w:t>
            </w:r>
          </w:p>
        </w:tc>
        <w:tc>
          <w:tcPr>
            <w:tcW w:w="2064" w:type="dxa"/>
          </w:tcPr>
          <w:p w14:paraId="3845FA62" w14:textId="77777777" w:rsidR="005A5957" w:rsidRPr="009F74EC" w:rsidRDefault="005A5957" w:rsidP="00C30F9D">
            <w:pPr>
              <w:keepNext/>
              <w:jc w:val="left"/>
              <w:rPr>
                <w:sz w:val="16"/>
                <w:szCs w:val="16"/>
              </w:rPr>
            </w:pPr>
            <w:r w:rsidRPr="009F74EC">
              <w:rPr>
                <w:sz w:val="16"/>
                <w:szCs w:val="16"/>
              </w:rPr>
              <w:t>Ucrania</w:t>
            </w:r>
          </w:p>
        </w:tc>
        <w:tc>
          <w:tcPr>
            <w:tcW w:w="1338" w:type="dxa"/>
          </w:tcPr>
          <w:p w14:paraId="6FA3493B" w14:textId="77777777" w:rsidR="005A5957" w:rsidRPr="009F74EC" w:rsidRDefault="005A5957" w:rsidP="00C30F9D">
            <w:pPr>
              <w:keepNext/>
              <w:jc w:val="left"/>
              <w:rPr>
                <w:sz w:val="16"/>
                <w:szCs w:val="16"/>
              </w:rPr>
            </w:pPr>
          </w:p>
        </w:tc>
      </w:tr>
      <w:tr w:rsidR="005A5957" w:rsidRPr="009F74EC" w14:paraId="352E4BCF" w14:textId="77777777" w:rsidTr="006B46C1">
        <w:tc>
          <w:tcPr>
            <w:tcW w:w="3318" w:type="dxa"/>
          </w:tcPr>
          <w:p w14:paraId="5912423D" w14:textId="77777777" w:rsidR="005A5957" w:rsidRPr="009F74EC" w:rsidRDefault="005A5957" w:rsidP="00C30F9D">
            <w:pPr>
              <w:jc w:val="left"/>
              <w:rPr>
                <w:sz w:val="16"/>
                <w:szCs w:val="16"/>
              </w:rPr>
            </w:pPr>
            <w:r w:rsidRPr="009F74EC">
              <w:rPr>
                <w:sz w:val="16"/>
                <w:szCs w:val="16"/>
              </w:rPr>
              <w:t>X Conferencia Internacional de Investigación Aplicada de Jóvenes Científicos y Especialistas "Mejora, Genética y Tecnologías para Cultivos en Crecimiento"</w:t>
            </w:r>
          </w:p>
          <w:p w14:paraId="2C840B68" w14:textId="77777777" w:rsidR="005A5957" w:rsidRPr="009F74EC" w:rsidRDefault="005A5957" w:rsidP="00C30F9D">
            <w:pPr>
              <w:jc w:val="left"/>
              <w:rPr>
                <w:sz w:val="16"/>
                <w:szCs w:val="16"/>
              </w:rPr>
            </w:pPr>
            <w:hyperlink r:id="rId48" w:history="1">
              <w:r w:rsidRPr="009F74EC">
                <w:rPr>
                  <w:rStyle w:val="Hyperlink"/>
                  <w:sz w:val="16"/>
                  <w:szCs w:val="16"/>
                </w:rPr>
                <w:t xml:space="preserve">http://confer.uiesr.sops.gov.ua/miron2022/schedConf/presentations </w:t>
              </w:r>
            </w:hyperlink>
          </w:p>
        </w:tc>
        <w:tc>
          <w:tcPr>
            <w:tcW w:w="1213" w:type="dxa"/>
          </w:tcPr>
          <w:p w14:paraId="60B6682D" w14:textId="77777777" w:rsidR="005A5957" w:rsidRPr="009F74EC" w:rsidRDefault="005A5957" w:rsidP="00C30F9D">
            <w:pPr>
              <w:keepNext/>
              <w:jc w:val="left"/>
              <w:rPr>
                <w:sz w:val="16"/>
                <w:szCs w:val="16"/>
              </w:rPr>
            </w:pPr>
            <w:r w:rsidRPr="009F74EC">
              <w:rPr>
                <w:sz w:val="16"/>
                <w:szCs w:val="16"/>
              </w:rPr>
              <w:t>29.04.2022</w:t>
            </w:r>
          </w:p>
        </w:tc>
        <w:tc>
          <w:tcPr>
            <w:tcW w:w="1055" w:type="dxa"/>
          </w:tcPr>
          <w:p w14:paraId="50C7668E" w14:textId="77777777" w:rsidR="005A5957" w:rsidRPr="009F74EC" w:rsidRDefault="005A5957" w:rsidP="00C30F9D">
            <w:pPr>
              <w:keepNext/>
              <w:jc w:val="left"/>
              <w:rPr>
                <w:sz w:val="16"/>
                <w:szCs w:val="16"/>
              </w:rPr>
            </w:pPr>
            <w:r w:rsidRPr="009F74EC">
              <w:rPr>
                <w:sz w:val="16"/>
                <w:szCs w:val="16"/>
              </w:rPr>
              <w:t xml:space="preserve">pueblo </w:t>
            </w:r>
            <w:proofErr w:type="spellStart"/>
            <w:r w:rsidRPr="009F74EC">
              <w:rPr>
                <w:sz w:val="16"/>
                <w:szCs w:val="16"/>
              </w:rPr>
              <w:t>Centralne</w:t>
            </w:r>
            <w:proofErr w:type="spellEnd"/>
            <w:r w:rsidRPr="009F74EC">
              <w:rPr>
                <w:sz w:val="16"/>
                <w:szCs w:val="16"/>
              </w:rPr>
              <w:t>, región de Kiev</w:t>
            </w:r>
          </w:p>
        </w:tc>
        <w:tc>
          <w:tcPr>
            <w:tcW w:w="2693" w:type="dxa"/>
          </w:tcPr>
          <w:p w14:paraId="0CB6381F" w14:textId="77777777" w:rsidR="005A5957" w:rsidRPr="009F74EC" w:rsidRDefault="005A5957" w:rsidP="00C30F9D">
            <w:pPr>
              <w:keepNext/>
              <w:jc w:val="left"/>
              <w:rPr>
                <w:sz w:val="16"/>
                <w:szCs w:val="16"/>
              </w:rPr>
            </w:pPr>
            <w:r w:rsidRPr="009F74EC">
              <w:rPr>
                <w:sz w:val="16"/>
                <w:szCs w:val="16"/>
              </w:rPr>
              <w:t xml:space="preserve">V.M. </w:t>
            </w:r>
            <w:proofErr w:type="spellStart"/>
            <w:r w:rsidRPr="009F74EC">
              <w:rPr>
                <w:sz w:val="16"/>
                <w:szCs w:val="16"/>
              </w:rPr>
              <w:t>Remeslo</w:t>
            </w:r>
            <w:proofErr w:type="spellEnd"/>
            <w:r w:rsidRPr="009F74EC">
              <w:rPr>
                <w:sz w:val="16"/>
                <w:szCs w:val="16"/>
              </w:rPr>
              <w:t xml:space="preserve"> </w:t>
            </w:r>
            <w:proofErr w:type="spellStart"/>
            <w:r w:rsidRPr="009F74EC">
              <w:rPr>
                <w:sz w:val="16"/>
                <w:szCs w:val="16"/>
              </w:rPr>
              <w:t>Myronivka</w:t>
            </w:r>
            <w:proofErr w:type="spellEnd"/>
          </w:p>
          <w:p w14:paraId="4593AB45" w14:textId="77777777" w:rsidR="005A5957" w:rsidRPr="009F74EC" w:rsidRDefault="005A5957" w:rsidP="00C30F9D">
            <w:pPr>
              <w:keepNext/>
              <w:jc w:val="left"/>
              <w:rPr>
                <w:sz w:val="16"/>
                <w:szCs w:val="16"/>
              </w:rPr>
            </w:pPr>
            <w:r w:rsidRPr="009F74EC">
              <w:rPr>
                <w:sz w:val="16"/>
                <w:szCs w:val="16"/>
              </w:rPr>
              <w:t xml:space="preserve">Instituto del Trigo, Academia Nacional de Ciencias Agrarias de Ucrania; </w:t>
            </w:r>
          </w:p>
          <w:p w14:paraId="4D1E3DC6" w14:textId="77777777" w:rsidR="005A5957" w:rsidRPr="009F74EC" w:rsidRDefault="005A5957" w:rsidP="00C30F9D">
            <w:pPr>
              <w:keepNext/>
              <w:jc w:val="left"/>
              <w:rPr>
                <w:sz w:val="16"/>
                <w:szCs w:val="16"/>
              </w:rPr>
            </w:pPr>
            <w:r w:rsidRPr="009F74EC">
              <w:rPr>
                <w:sz w:val="16"/>
                <w:szCs w:val="16"/>
              </w:rPr>
              <w:t>Instituto Ucraniano de Examen de Variedades Vegetales</w:t>
            </w:r>
          </w:p>
        </w:tc>
        <w:tc>
          <w:tcPr>
            <w:tcW w:w="3402" w:type="dxa"/>
          </w:tcPr>
          <w:p w14:paraId="1C34A841" w14:textId="77777777" w:rsidR="005A5957" w:rsidRPr="009F74EC" w:rsidRDefault="005A5957" w:rsidP="00C30F9D">
            <w:pPr>
              <w:keepNext/>
              <w:jc w:val="left"/>
              <w:rPr>
                <w:sz w:val="16"/>
                <w:szCs w:val="16"/>
              </w:rPr>
            </w:pPr>
            <w:r w:rsidRPr="009F74EC">
              <w:rPr>
                <w:sz w:val="16"/>
                <w:szCs w:val="16"/>
              </w:rPr>
              <w:t>Definición de las tendencias modernas en investigación agrícola y evaluación de variedades vegetales</w:t>
            </w:r>
          </w:p>
        </w:tc>
        <w:tc>
          <w:tcPr>
            <w:tcW w:w="2064" w:type="dxa"/>
          </w:tcPr>
          <w:p w14:paraId="2B27787E" w14:textId="77777777" w:rsidR="005A5957" w:rsidRPr="009F74EC" w:rsidRDefault="005A5957" w:rsidP="00C30F9D">
            <w:pPr>
              <w:keepNext/>
              <w:jc w:val="left"/>
              <w:rPr>
                <w:sz w:val="16"/>
                <w:szCs w:val="16"/>
              </w:rPr>
            </w:pPr>
            <w:r w:rsidRPr="009F74EC">
              <w:rPr>
                <w:sz w:val="16"/>
                <w:szCs w:val="16"/>
              </w:rPr>
              <w:t>Ucrania, Hungría (177 participantes)</w:t>
            </w:r>
          </w:p>
        </w:tc>
        <w:tc>
          <w:tcPr>
            <w:tcW w:w="1338" w:type="dxa"/>
          </w:tcPr>
          <w:p w14:paraId="24463A10" w14:textId="77777777" w:rsidR="005A5957" w:rsidRPr="009F74EC" w:rsidRDefault="005A5957" w:rsidP="00C30F9D">
            <w:pPr>
              <w:keepNext/>
              <w:jc w:val="left"/>
              <w:rPr>
                <w:sz w:val="16"/>
                <w:szCs w:val="16"/>
              </w:rPr>
            </w:pPr>
            <w:r w:rsidRPr="009F74EC">
              <w:rPr>
                <w:sz w:val="16"/>
                <w:szCs w:val="16"/>
              </w:rPr>
              <w:t>publicó una colección de material de conferencias</w:t>
            </w:r>
          </w:p>
        </w:tc>
      </w:tr>
      <w:tr w:rsidR="005A5957" w:rsidRPr="009F74EC" w14:paraId="138666A3" w14:textId="77777777" w:rsidTr="006B46C1">
        <w:tc>
          <w:tcPr>
            <w:tcW w:w="3318" w:type="dxa"/>
          </w:tcPr>
          <w:p w14:paraId="4C1F0F6D" w14:textId="77777777" w:rsidR="005A5957" w:rsidRPr="009F74EC" w:rsidRDefault="005A5957" w:rsidP="00C30F9D">
            <w:pPr>
              <w:jc w:val="left"/>
              <w:rPr>
                <w:sz w:val="16"/>
                <w:szCs w:val="16"/>
              </w:rPr>
            </w:pPr>
            <w:r w:rsidRPr="009F74EC">
              <w:rPr>
                <w:sz w:val="16"/>
                <w:szCs w:val="16"/>
              </w:rPr>
              <w:t>III Conferencia Internacional de Ciencias Aplicadas "Las Nuevas Agrotecnologías".</w:t>
            </w:r>
          </w:p>
          <w:p w14:paraId="5E9FB086" w14:textId="77777777" w:rsidR="005A5957" w:rsidRPr="009F74EC" w:rsidRDefault="005A5957" w:rsidP="00C30F9D">
            <w:pPr>
              <w:jc w:val="left"/>
              <w:rPr>
                <w:sz w:val="16"/>
                <w:szCs w:val="16"/>
              </w:rPr>
            </w:pPr>
          </w:p>
          <w:p w14:paraId="2F43DC0C" w14:textId="77777777" w:rsidR="005A5957" w:rsidRPr="009F74EC" w:rsidRDefault="005A5957" w:rsidP="00C30F9D">
            <w:pPr>
              <w:jc w:val="left"/>
              <w:rPr>
                <w:sz w:val="16"/>
                <w:szCs w:val="16"/>
              </w:rPr>
            </w:pPr>
            <w:hyperlink r:id="rId49" w:history="1">
              <w:r w:rsidRPr="009F74EC">
                <w:rPr>
                  <w:rStyle w:val="Hyperlink"/>
                  <w:sz w:val="16"/>
                  <w:szCs w:val="16"/>
                </w:rPr>
                <w:t xml:space="preserve">https://conference.ukragroexpert.com.ua/ </w:t>
              </w:r>
            </w:hyperlink>
          </w:p>
          <w:p w14:paraId="595D8A41" w14:textId="77777777" w:rsidR="005A5957" w:rsidRPr="009F74EC" w:rsidRDefault="005A5957" w:rsidP="00C30F9D">
            <w:pPr>
              <w:jc w:val="left"/>
              <w:rPr>
                <w:sz w:val="16"/>
                <w:szCs w:val="16"/>
              </w:rPr>
            </w:pPr>
          </w:p>
          <w:p w14:paraId="748DCDE8" w14:textId="77777777" w:rsidR="005A5957" w:rsidRPr="009F74EC" w:rsidRDefault="005A5957" w:rsidP="00C30F9D">
            <w:pPr>
              <w:jc w:val="left"/>
              <w:rPr>
                <w:sz w:val="16"/>
                <w:szCs w:val="16"/>
              </w:rPr>
            </w:pPr>
            <w:hyperlink r:id="rId50" w:history="1">
              <w:r w:rsidRPr="009F74EC">
                <w:rPr>
                  <w:rStyle w:val="Hyperlink"/>
                  <w:sz w:val="16"/>
                  <w:szCs w:val="16"/>
                </w:rPr>
                <w:t xml:space="preserve">http://confer.uiesr.sops.gov.ua/3newagr/schedConf/presentations </w:t>
              </w:r>
            </w:hyperlink>
          </w:p>
        </w:tc>
        <w:tc>
          <w:tcPr>
            <w:tcW w:w="1213" w:type="dxa"/>
          </w:tcPr>
          <w:p w14:paraId="7F212581" w14:textId="77777777" w:rsidR="005A5957" w:rsidRPr="009F74EC" w:rsidRDefault="005A5957" w:rsidP="00C30F9D">
            <w:pPr>
              <w:keepNext/>
              <w:jc w:val="left"/>
              <w:rPr>
                <w:sz w:val="16"/>
                <w:szCs w:val="16"/>
              </w:rPr>
            </w:pPr>
            <w:r w:rsidRPr="009F74EC">
              <w:rPr>
                <w:sz w:val="16"/>
                <w:szCs w:val="16"/>
              </w:rPr>
              <w:t>31.08.2022</w:t>
            </w:r>
          </w:p>
        </w:tc>
        <w:tc>
          <w:tcPr>
            <w:tcW w:w="1055" w:type="dxa"/>
          </w:tcPr>
          <w:p w14:paraId="35A8B92E" w14:textId="77777777" w:rsidR="005A5957" w:rsidRPr="009F74EC" w:rsidRDefault="005A5957" w:rsidP="00C30F9D">
            <w:pPr>
              <w:keepNext/>
              <w:jc w:val="left"/>
              <w:rPr>
                <w:sz w:val="16"/>
                <w:szCs w:val="16"/>
              </w:rPr>
            </w:pPr>
            <w:r w:rsidRPr="009F74EC">
              <w:rPr>
                <w:sz w:val="16"/>
                <w:szCs w:val="16"/>
              </w:rPr>
              <w:t>Kiev</w:t>
            </w:r>
          </w:p>
        </w:tc>
        <w:tc>
          <w:tcPr>
            <w:tcW w:w="2693" w:type="dxa"/>
          </w:tcPr>
          <w:p w14:paraId="24D4E22B" w14:textId="77777777" w:rsidR="005A5957" w:rsidRPr="009F74EC" w:rsidRDefault="005A5957" w:rsidP="00C30F9D">
            <w:pPr>
              <w:keepNext/>
              <w:jc w:val="left"/>
              <w:rPr>
                <w:sz w:val="16"/>
                <w:szCs w:val="16"/>
              </w:rPr>
            </w:pPr>
            <w:r w:rsidRPr="009F74EC">
              <w:rPr>
                <w:sz w:val="16"/>
                <w:szCs w:val="16"/>
              </w:rPr>
              <w:t>Instituto Ucraniano de Examen de Variedades Vegetales (Ucrania); Universidad Nacional de Ciencias de la Vida y del Medio Ambiente de Ucrania (Ucrania);</w:t>
            </w:r>
          </w:p>
          <w:p w14:paraId="15F557E7" w14:textId="77777777" w:rsidR="005A5957" w:rsidRPr="009F74EC" w:rsidRDefault="005A5957" w:rsidP="00C30F9D">
            <w:pPr>
              <w:keepNext/>
              <w:jc w:val="left"/>
              <w:rPr>
                <w:sz w:val="16"/>
                <w:szCs w:val="16"/>
              </w:rPr>
            </w:pPr>
            <w:r w:rsidRPr="009F74EC">
              <w:rPr>
                <w:sz w:val="16"/>
                <w:szCs w:val="16"/>
              </w:rPr>
              <w:t xml:space="preserve">Instituto de Cultivos Bioenergéticos y Remolacha Azucarera NAAS (Ucrania); Universidad Nacional Agraria de </w:t>
            </w:r>
            <w:proofErr w:type="spellStart"/>
            <w:r w:rsidRPr="009F74EC">
              <w:rPr>
                <w:sz w:val="16"/>
                <w:szCs w:val="16"/>
              </w:rPr>
              <w:t>Bila</w:t>
            </w:r>
            <w:proofErr w:type="spellEnd"/>
            <w:r w:rsidRPr="009F74EC">
              <w:rPr>
                <w:sz w:val="16"/>
                <w:szCs w:val="16"/>
              </w:rPr>
              <w:t xml:space="preserve"> </w:t>
            </w:r>
            <w:proofErr w:type="spellStart"/>
            <w:r w:rsidRPr="009F74EC">
              <w:rPr>
                <w:sz w:val="16"/>
                <w:szCs w:val="16"/>
              </w:rPr>
              <w:t>Tserkva</w:t>
            </w:r>
            <w:proofErr w:type="spellEnd"/>
            <w:r w:rsidRPr="009F74EC">
              <w:rPr>
                <w:sz w:val="16"/>
                <w:szCs w:val="16"/>
              </w:rPr>
              <w:t xml:space="preserve"> (Ucrania); Instituto de Fisiología Vegetal y Genética NAS (Ucrania); Instituto de Investigación de Empresas Agrarias </w:t>
            </w:r>
            <w:proofErr w:type="spellStart"/>
            <w:r w:rsidRPr="009F74EC">
              <w:rPr>
                <w:sz w:val="16"/>
                <w:szCs w:val="16"/>
              </w:rPr>
              <w:t>Ltd</w:t>
            </w:r>
            <w:proofErr w:type="spellEnd"/>
            <w:r w:rsidRPr="009F74EC">
              <w:rPr>
                <w:sz w:val="16"/>
                <w:szCs w:val="16"/>
              </w:rPr>
              <w:t xml:space="preserve"> (Ucrania); Universidad de Sarajevo Este (Bosnia y Herzegovina).</w:t>
            </w:r>
          </w:p>
        </w:tc>
        <w:tc>
          <w:tcPr>
            <w:tcW w:w="3402" w:type="dxa"/>
          </w:tcPr>
          <w:p w14:paraId="0039E8F4" w14:textId="77777777" w:rsidR="005A5957" w:rsidRPr="009F74EC" w:rsidRDefault="005A5957" w:rsidP="00C30F9D">
            <w:pPr>
              <w:keepNext/>
              <w:jc w:val="left"/>
              <w:rPr>
                <w:sz w:val="16"/>
                <w:szCs w:val="16"/>
              </w:rPr>
            </w:pPr>
            <w:r w:rsidRPr="009F74EC">
              <w:rPr>
                <w:sz w:val="16"/>
                <w:szCs w:val="16"/>
              </w:rPr>
              <w:t>El establecimiento y la profundización de conexiones científicas, el intercambio de experiencias y la difusión de conocimientos sobre la importancia del enfoque científico en la agricultura, y la búsqueda de soluciones a tareas aplicadas y teóricas en el sector agrícola y el examen de variedades vegetales.</w:t>
            </w:r>
          </w:p>
        </w:tc>
        <w:tc>
          <w:tcPr>
            <w:tcW w:w="2064" w:type="dxa"/>
          </w:tcPr>
          <w:p w14:paraId="48AA7650" w14:textId="77777777" w:rsidR="005A5957" w:rsidRPr="009F74EC" w:rsidRDefault="005A5957" w:rsidP="00C30F9D">
            <w:pPr>
              <w:keepNext/>
              <w:jc w:val="left"/>
              <w:rPr>
                <w:sz w:val="16"/>
                <w:szCs w:val="16"/>
              </w:rPr>
            </w:pPr>
            <w:r w:rsidRPr="009F74EC">
              <w:rPr>
                <w:sz w:val="16"/>
                <w:szCs w:val="16"/>
              </w:rPr>
              <w:t xml:space="preserve">Ucrania, Argelia, India, </w:t>
            </w:r>
            <w:proofErr w:type="spellStart"/>
            <w:r w:rsidRPr="009F74EC">
              <w:rPr>
                <w:sz w:val="16"/>
                <w:szCs w:val="16"/>
              </w:rPr>
              <w:t>Türkiye</w:t>
            </w:r>
            <w:proofErr w:type="spellEnd"/>
            <w:r w:rsidRPr="009F74EC">
              <w:rPr>
                <w:sz w:val="16"/>
                <w:szCs w:val="16"/>
              </w:rPr>
              <w:t>, Letonia (35 participantes)</w:t>
            </w:r>
          </w:p>
        </w:tc>
        <w:tc>
          <w:tcPr>
            <w:tcW w:w="1338" w:type="dxa"/>
          </w:tcPr>
          <w:p w14:paraId="4E89B234" w14:textId="77777777" w:rsidR="005A5957" w:rsidRPr="009F74EC" w:rsidRDefault="005A5957" w:rsidP="00C30F9D">
            <w:pPr>
              <w:keepNext/>
              <w:jc w:val="left"/>
              <w:rPr>
                <w:sz w:val="16"/>
                <w:szCs w:val="16"/>
              </w:rPr>
            </w:pPr>
            <w:r w:rsidRPr="009F74EC">
              <w:rPr>
                <w:sz w:val="16"/>
                <w:szCs w:val="16"/>
              </w:rPr>
              <w:t>publicó una colección de material de conferencias</w:t>
            </w:r>
          </w:p>
        </w:tc>
      </w:tr>
    </w:tbl>
    <w:p w14:paraId="261C245A" w14:textId="77777777" w:rsidR="005A5957" w:rsidRPr="009F74EC" w:rsidRDefault="005A5957" w:rsidP="005A5957"/>
    <w:p w14:paraId="20AB5FD2" w14:textId="77777777" w:rsidR="005A5957" w:rsidRPr="009F74EC" w:rsidRDefault="005A5957" w:rsidP="005A5957"/>
    <w:p w14:paraId="480B8B48" w14:textId="74FB0A1F" w:rsidR="005A5957" w:rsidRPr="009F74EC" w:rsidRDefault="005A5957" w:rsidP="00AE3E00">
      <w:pPr>
        <w:jc w:val="right"/>
      </w:pPr>
      <w:r w:rsidRPr="009F74EC">
        <w:t>[Sigue el Anexo XVIII]</w:t>
      </w:r>
    </w:p>
    <w:p w14:paraId="7DEB19C7" w14:textId="77777777" w:rsidR="005A5957" w:rsidRPr="009F74EC" w:rsidRDefault="005A5957" w:rsidP="005A5957">
      <w:pPr>
        <w:sectPr w:rsidR="005A5957" w:rsidRPr="009F74EC" w:rsidSect="006262D5">
          <w:pgSz w:w="16840" w:h="11907" w:orient="landscape" w:code="9"/>
          <w:pgMar w:top="1134" w:right="510" w:bottom="1134" w:left="709" w:header="510" w:footer="680" w:gutter="0"/>
          <w:cols w:space="720"/>
          <w:docGrid w:linePitch="272"/>
        </w:sectPr>
      </w:pPr>
    </w:p>
    <w:p w14:paraId="3F48D237" w14:textId="77777777" w:rsidR="005A5957" w:rsidRPr="009F74EC" w:rsidRDefault="005A5957" w:rsidP="005A5957">
      <w:pPr>
        <w:jc w:val="center"/>
      </w:pPr>
      <w:r w:rsidRPr="009F74EC">
        <w:lastRenderedPageBreak/>
        <w:t>C/57/13</w:t>
      </w:r>
    </w:p>
    <w:p w14:paraId="67B5699C" w14:textId="77777777" w:rsidR="005A5957" w:rsidRPr="009F74EC" w:rsidRDefault="005A5957" w:rsidP="005A5957">
      <w:pPr>
        <w:jc w:val="center"/>
      </w:pPr>
    </w:p>
    <w:p w14:paraId="35A17983" w14:textId="77777777" w:rsidR="005A5957" w:rsidRPr="009F74EC" w:rsidRDefault="005A5957" w:rsidP="005A5957">
      <w:pPr>
        <w:jc w:val="center"/>
      </w:pPr>
      <w:r w:rsidRPr="009F74EC">
        <w:t>ANEXO XVIII</w:t>
      </w:r>
    </w:p>
    <w:p w14:paraId="0EBF6964" w14:textId="77777777" w:rsidR="005A5957" w:rsidRPr="009F74EC" w:rsidRDefault="005A5957" w:rsidP="005A5957">
      <w:pPr>
        <w:jc w:val="center"/>
      </w:pPr>
    </w:p>
    <w:p w14:paraId="603AC9CA" w14:textId="77777777" w:rsidR="005A5957" w:rsidRPr="009F74EC" w:rsidRDefault="005A5957" w:rsidP="005A5957">
      <w:pPr>
        <w:jc w:val="center"/>
      </w:pPr>
    </w:p>
    <w:p w14:paraId="4A5C2785" w14:textId="77777777" w:rsidR="005A5957" w:rsidRPr="009F74EC" w:rsidRDefault="005A5957" w:rsidP="005A5957">
      <w:pPr>
        <w:jc w:val="center"/>
      </w:pPr>
      <w:r w:rsidRPr="009F74EC">
        <w:t>UNIÓN EUROPEA</w:t>
      </w:r>
      <w:r w:rsidRPr="009F74EC">
        <w:rPr>
          <w:rStyle w:val="EndnoteReference"/>
        </w:rPr>
        <w:endnoteReference w:id="2"/>
      </w:r>
    </w:p>
    <w:p w14:paraId="3EBCEEF1" w14:textId="77777777" w:rsidR="00633DB1" w:rsidRPr="009F74EC" w:rsidRDefault="00633DB1" w:rsidP="00633DB1">
      <w:pPr>
        <w:jc w:val="center"/>
      </w:pPr>
      <w:r w:rsidRPr="009F74EC">
        <w:t>(Idioma original: inglés)</w:t>
      </w:r>
    </w:p>
    <w:p w14:paraId="7127751B" w14:textId="77777777" w:rsidR="00633DB1" w:rsidRPr="009F74EC" w:rsidRDefault="00633DB1" w:rsidP="00633DB1"/>
    <w:p w14:paraId="11C479AF" w14:textId="77777777" w:rsidR="00633DB1" w:rsidRPr="009F74EC" w:rsidRDefault="00633DB1" w:rsidP="00633DB1">
      <w:pPr>
        <w:pStyle w:val="Disclaimer"/>
        <w:spacing w:after="360"/>
        <w:jc w:val="center"/>
        <w:rPr>
          <w:sz w:val="18"/>
          <w:szCs w:val="18"/>
        </w:rPr>
      </w:pPr>
      <w:r w:rsidRPr="009F74EC">
        <w:rPr>
          <w:sz w:val="18"/>
          <w:szCs w:val="18"/>
        </w:rPr>
        <w:t xml:space="preserve">Esta traducción se ha generado mediante traducción automática y no puede garantizarse su exactitud. </w:t>
      </w:r>
      <w:r w:rsidRPr="009F74EC">
        <w:rPr>
          <w:sz w:val="18"/>
          <w:szCs w:val="18"/>
        </w:rPr>
        <w:br/>
        <w:t>Por lo tanto, el texto en el idioma original es la única versión auténtica.</w:t>
      </w:r>
    </w:p>
    <w:p w14:paraId="4C64EAB0" w14:textId="77777777" w:rsidR="005A5957" w:rsidRPr="009F74EC" w:rsidRDefault="005A5957" w:rsidP="005A5957">
      <w:pPr>
        <w:jc w:val="center"/>
      </w:pPr>
      <w:r w:rsidRPr="009F74EC">
        <w:t>Periodo: Julio 2022 - Julio 2023</w:t>
      </w:r>
    </w:p>
    <w:p w14:paraId="568C45D1" w14:textId="77777777" w:rsidR="005A5957" w:rsidRPr="009F74EC" w:rsidRDefault="005A5957" w:rsidP="005A5957">
      <w:pPr>
        <w:jc w:val="center"/>
      </w:pPr>
    </w:p>
    <w:p w14:paraId="5E5F41A2" w14:textId="397CDF34" w:rsidR="005A5957" w:rsidRPr="009F74EC" w:rsidRDefault="005A5957" w:rsidP="005A5957">
      <w:pPr>
        <w:jc w:val="center"/>
      </w:pPr>
      <w:r w:rsidRPr="009F74EC">
        <w:t xml:space="preserve">(Informe elaborado por la Comisión Europea en estrecha relación con </w:t>
      </w:r>
      <w:r w:rsidR="00633DB1" w:rsidRPr="009F74EC">
        <w:br/>
      </w:r>
      <w:r w:rsidRPr="009F74EC">
        <w:t>la Oficina Comunitaria de Variedades Vegetales)</w:t>
      </w:r>
    </w:p>
    <w:p w14:paraId="0765D479" w14:textId="77777777" w:rsidR="005A5957" w:rsidRPr="009F74EC" w:rsidRDefault="005A5957" w:rsidP="005A5957">
      <w:pPr>
        <w:jc w:val="center"/>
      </w:pPr>
    </w:p>
    <w:p w14:paraId="6894D9A8" w14:textId="77777777" w:rsidR="005A5957" w:rsidRPr="009F74EC" w:rsidRDefault="005A5957" w:rsidP="005A5957">
      <w:pPr>
        <w:jc w:val="center"/>
      </w:pPr>
    </w:p>
    <w:p w14:paraId="316EE89C" w14:textId="77777777" w:rsidR="005A5957" w:rsidRPr="009F74EC" w:rsidRDefault="005A5957" w:rsidP="005A5957">
      <w:pPr>
        <w:pStyle w:val="ListBullet"/>
        <w:numPr>
          <w:ilvl w:val="0"/>
          <w:numId w:val="0"/>
        </w:numPr>
        <w:tabs>
          <w:tab w:val="left" w:pos="720"/>
        </w:tabs>
        <w:spacing w:after="0" w:line="240" w:lineRule="auto"/>
        <w:ind w:left="283" w:hanging="283"/>
        <w:jc w:val="both"/>
        <w:rPr>
          <w:rFonts w:ascii="Arial" w:hAnsi="Arial" w:cs="Arial"/>
          <w:bCs/>
          <w:sz w:val="20"/>
          <w:szCs w:val="20"/>
          <w:lang w:val="es-ES_tradnl"/>
        </w:rPr>
      </w:pPr>
      <w:r w:rsidRPr="009F74EC">
        <w:rPr>
          <w:rFonts w:ascii="Arial" w:hAnsi="Arial" w:cs="Arial"/>
          <w:bCs/>
          <w:sz w:val="20"/>
          <w:szCs w:val="20"/>
          <w:lang w:val="es-ES_tradnl"/>
        </w:rPr>
        <w:t>PROTECCIÓN DE LAS OBTENCIONES VEGETALES</w:t>
      </w:r>
    </w:p>
    <w:p w14:paraId="06DE75B4" w14:textId="77777777" w:rsidR="005A5957" w:rsidRPr="009F74EC" w:rsidRDefault="005A5957" w:rsidP="005A5957">
      <w:pPr>
        <w:rPr>
          <w:rFonts w:cs="Arial"/>
          <w:bCs/>
        </w:rPr>
      </w:pPr>
    </w:p>
    <w:p w14:paraId="1F562361" w14:textId="77777777" w:rsidR="005A5957" w:rsidRPr="009F74EC" w:rsidRDefault="005A5957" w:rsidP="005A5957">
      <w:pPr>
        <w:rPr>
          <w:rFonts w:cs="Arial"/>
          <w:bCs/>
          <w:u w:val="single"/>
        </w:rPr>
      </w:pPr>
      <w:r w:rsidRPr="009F74EC">
        <w:rPr>
          <w:rFonts w:cs="Arial"/>
          <w:bCs/>
          <w:u w:val="single"/>
        </w:rPr>
        <w:t>1)</w:t>
      </w:r>
      <w:r w:rsidRPr="009F74EC">
        <w:rPr>
          <w:rFonts w:cs="Arial"/>
          <w:bCs/>
          <w:u w:val="single"/>
        </w:rPr>
        <w:tab/>
        <w:t>Legislación</w:t>
      </w:r>
    </w:p>
    <w:p w14:paraId="4698016D" w14:textId="77777777" w:rsidR="005A5957" w:rsidRPr="009F74EC" w:rsidRDefault="005A5957" w:rsidP="005A5957">
      <w:pPr>
        <w:rPr>
          <w:rFonts w:cs="Arial"/>
          <w:bCs/>
          <w:u w:val="single"/>
        </w:rPr>
      </w:pPr>
    </w:p>
    <w:p w14:paraId="507B8D7C" w14:textId="77777777" w:rsidR="005A5957" w:rsidRPr="009F74EC" w:rsidRDefault="005A5957" w:rsidP="005A5957">
      <w:pPr>
        <w:pStyle w:val="ListBullet"/>
        <w:numPr>
          <w:ilvl w:val="0"/>
          <w:numId w:val="0"/>
        </w:numPr>
        <w:tabs>
          <w:tab w:val="left" w:pos="720"/>
        </w:tabs>
        <w:spacing w:after="0" w:line="240" w:lineRule="auto"/>
        <w:ind w:firstLine="1"/>
        <w:jc w:val="both"/>
        <w:rPr>
          <w:rFonts w:ascii="Arial" w:hAnsi="Arial" w:cs="Arial"/>
          <w:b/>
          <w:sz w:val="20"/>
          <w:szCs w:val="20"/>
          <w:u w:val="single"/>
          <w:lang w:val="es-ES_tradnl"/>
        </w:rPr>
      </w:pPr>
      <w:r w:rsidRPr="009F74EC">
        <w:rPr>
          <w:rFonts w:ascii="Arial" w:hAnsi="Arial" w:cs="Arial"/>
          <w:sz w:val="20"/>
          <w:szCs w:val="20"/>
          <w:u w:val="single"/>
          <w:lang w:val="es-ES_tradnl"/>
        </w:rPr>
        <w:t>General</w:t>
      </w:r>
    </w:p>
    <w:p w14:paraId="2EEFB48D" w14:textId="77777777" w:rsidR="005A5957" w:rsidRPr="009F74EC" w:rsidRDefault="005A5957" w:rsidP="005A5957">
      <w:pPr>
        <w:rPr>
          <w:rFonts w:cs="Arial"/>
          <w:u w:val="single"/>
        </w:rPr>
      </w:pPr>
    </w:p>
    <w:p w14:paraId="3CEE4B48" w14:textId="77777777" w:rsidR="005A5957" w:rsidRPr="009F74EC" w:rsidRDefault="005A5957" w:rsidP="005A5957">
      <w:pPr>
        <w:rPr>
          <w:rFonts w:cs="Arial"/>
          <w:u w:val="single"/>
        </w:rPr>
      </w:pPr>
      <w:r w:rsidRPr="009F74EC">
        <w:rPr>
          <w:rFonts w:cs="Arial"/>
          <w:u w:val="single"/>
        </w:rPr>
        <w:t xml:space="preserve">1.1 Modificación de la ley y de los Reglamentos de aplicación: </w:t>
      </w:r>
    </w:p>
    <w:p w14:paraId="1CCADCA1" w14:textId="77777777" w:rsidR="005A5957" w:rsidRPr="009F74EC" w:rsidRDefault="005A5957" w:rsidP="005A5957">
      <w:pPr>
        <w:rPr>
          <w:rFonts w:cs="Arial"/>
        </w:rPr>
      </w:pPr>
    </w:p>
    <w:p w14:paraId="2D7ECD4D" w14:textId="77777777" w:rsidR="005A5957" w:rsidRPr="009F74EC" w:rsidRDefault="005A5957" w:rsidP="005A5957">
      <w:pPr>
        <w:rPr>
          <w:rFonts w:cs="Arial"/>
          <w:shd w:val="clear" w:color="auto" w:fill="FFFFFF"/>
        </w:rPr>
      </w:pPr>
      <w:r w:rsidRPr="009F74EC">
        <w:rPr>
          <w:rFonts w:cs="Arial"/>
        </w:rPr>
        <w:t xml:space="preserve">El </w:t>
      </w:r>
      <w:r w:rsidRPr="009F74EC">
        <w:rPr>
          <w:rFonts w:cs="Arial"/>
          <w:shd w:val="clear" w:color="auto" w:fill="FFFFFF"/>
        </w:rPr>
        <w:t xml:space="preserve">Reglamento (CE) </w:t>
      </w:r>
      <w:proofErr w:type="spellStart"/>
      <w:r w:rsidRPr="009F74EC">
        <w:rPr>
          <w:rFonts w:cs="Arial"/>
          <w:shd w:val="clear" w:color="auto" w:fill="FFFFFF"/>
        </w:rPr>
        <w:t>nº</w:t>
      </w:r>
      <w:proofErr w:type="spellEnd"/>
      <w:r w:rsidRPr="009F74EC">
        <w:rPr>
          <w:rFonts w:cs="Arial"/>
          <w:shd w:val="clear" w:color="auto" w:fill="FFFFFF"/>
        </w:rPr>
        <w:t xml:space="preserve"> 1238/95 de la Comisión por el que se establecen disposiciones de aplicación del Reglamento (CE) </w:t>
      </w:r>
      <w:proofErr w:type="spellStart"/>
      <w:r w:rsidRPr="009F74EC">
        <w:rPr>
          <w:rFonts w:cs="Arial"/>
          <w:shd w:val="clear" w:color="auto" w:fill="FFFFFF"/>
        </w:rPr>
        <w:t>nº</w:t>
      </w:r>
      <w:proofErr w:type="spellEnd"/>
      <w:r w:rsidRPr="009F74EC">
        <w:rPr>
          <w:rFonts w:cs="Arial"/>
          <w:shd w:val="clear" w:color="auto" w:fill="FFFFFF"/>
        </w:rPr>
        <w:t xml:space="preserve"> 2100/94 del Consejo en lo que respecta a las tasas que deben pagarse a la Oficina Comunitaria de Variedades Vegetales se ha actualizado en lo que respecta a las tasas de examen, la tasa anual y algunas tasas administrativas.</w:t>
      </w:r>
    </w:p>
    <w:p w14:paraId="7496E161" w14:textId="77777777" w:rsidR="005A5957" w:rsidRPr="009F74EC" w:rsidRDefault="005A5957" w:rsidP="005A5957">
      <w:pPr>
        <w:rPr>
          <w:rFonts w:cs="Arial"/>
        </w:rPr>
      </w:pPr>
    </w:p>
    <w:p w14:paraId="5B514158" w14:textId="77777777" w:rsidR="005A5957" w:rsidRPr="009F74EC" w:rsidRDefault="005A5957" w:rsidP="005A5957">
      <w:pPr>
        <w:rPr>
          <w:rFonts w:cs="Arial"/>
          <w:u w:val="single"/>
        </w:rPr>
      </w:pPr>
      <w:r w:rsidRPr="009F74EC">
        <w:rPr>
          <w:rFonts w:cs="Arial"/>
          <w:u w:val="single"/>
        </w:rPr>
        <w:t xml:space="preserve">1.2 Jurisprudencia </w:t>
      </w:r>
    </w:p>
    <w:p w14:paraId="5744B797" w14:textId="77777777" w:rsidR="005A5957" w:rsidRPr="009F74EC" w:rsidRDefault="005A5957" w:rsidP="005A5957">
      <w:pPr>
        <w:rPr>
          <w:rFonts w:cs="Arial"/>
          <w:b/>
          <w:bCs/>
        </w:rPr>
      </w:pPr>
    </w:p>
    <w:p w14:paraId="024407E8" w14:textId="77777777" w:rsidR="005A5957" w:rsidRPr="009F74EC" w:rsidRDefault="005A5957" w:rsidP="005A5957">
      <w:pPr>
        <w:rPr>
          <w:rFonts w:cs="Arial"/>
          <w:i/>
          <w:iCs/>
        </w:rPr>
      </w:pPr>
      <w:r w:rsidRPr="009F74EC">
        <w:rPr>
          <w:rFonts w:cs="Arial"/>
          <w:i/>
          <w:iCs/>
        </w:rPr>
        <w:t xml:space="preserve">Resolución de la Sala de Recurso de la OCVV de 1 de julio de 2022 en el asunto </w:t>
      </w:r>
      <w:proofErr w:type="spellStart"/>
      <w:r w:rsidRPr="009F74EC">
        <w:rPr>
          <w:rFonts w:cs="Arial"/>
          <w:i/>
          <w:iCs/>
        </w:rPr>
        <w:t>nº</w:t>
      </w:r>
      <w:proofErr w:type="spellEnd"/>
      <w:r w:rsidRPr="009F74EC">
        <w:rPr>
          <w:rFonts w:cs="Arial"/>
          <w:i/>
          <w:iCs/>
        </w:rPr>
        <w:t xml:space="preserve"> A018/2021 "SK20</w:t>
      </w:r>
    </w:p>
    <w:p w14:paraId="06EFFFEA" w14:textId="77777777" w:rsidR="005A5957" w:rsidRPr="009F74EC" w:rsidRDefault="005A5957" w:rsidP="005A5957">
      <w:pPr>
        <w:rPr>
          <w:rFonts w:cs="Arial"/>
        </w:rPr>
      </w:pPr>
    </w:p>
    <w:p w14:paraId="40396311" w14:textId="77777777" w:rsidR="005A5957" w:rsidRPr="009F74EC" w:rsidRDefault="005A5957" w:rsidP="005A5957">
      <w:pPr>
        <w:rPr>
          <w:rFonts w:cs="Arial"/>
        </w:rPr>
      </w:pPr>
      <w:r w:rsidRPr="009F74EC">
        <w:rPr>
          <w:rFonts w:cs="Arial"/>
        </w:rPr>
        <w:t xml:space="preserve">El 18 de diciembre de 2017, el recurrente, House </w:t>
      </w:r>
      <w:proofErr w:type="spellStart"/>
      <w:r w:rsidRPr="009F74EC">
        <w:rPr>
          <w:rFonts w:cs="Arial"/>
        </w:rPr>
        <w:t>Foods</w:t>
      </w:r>
      <w:proofErr w:type="spellEnd"/>
      <w:r w:rsidRPr="009F74EC">
        <w:rPr>
          <w:rFonts w:cs="Arial"/>
        </w:rPr>
        <w:t xml:space="preserve"> </w:t>
      </w:r>
      <w:proofErr w:type="spellStart"/>
      <w:r w:rsidRPr="009F74EC">
        <w:rPr>
          <w:rFonts w:cs="Arial"/>
        </w:rPr>
        <w:t>Group</w:t>
      </w:r>
      <w:proofErr w:type="spellEnd"/>
      <w:r w:rsidRPr="009F74EC">
        <w:rPr>
          <w:rFonts w:cs="Arial"/>
        </w:rPr>
        <w:t xml:space="preserve"> </w:t>
      </w:r>
      <w:proofErr w:type="spellStart"/>
      <w:r w:rsidRPr="009F74EC">
        <w:rPr>
          <w:rFonts w:cs="Arial"/>
        </w:rPr>
        <w:t>Inc</w:t>
      </w:r>
      <w:proofErr w:type="spellEnd"/>
      <w:r w:rsidRPr="009F74EC">
        <w:rPr>
          <w:rFonts w:cs="Arial"/>
        </w:rPr>
        <w:t xml:space="preserve">, presentó una solicitud de protección de una variedad vegetal de la especie </w:t>
      </w:r>
      <w:proofErr w:type="spellStart"/>
      <w:r w:rsidRPr="009F74EC">
        <w:rPr>
          <w:rFonts w:cs="Arial"/>
        </w:rPr>
        <w:t>Allum</w:t>
      </w:r>
      <w:proofErr w:type="spellEnd"/>
      <w:r w:rsidRPr="009F74EC">
        <w:rPr>
          <w:rFonts w:cs="Arial"/>
        </w:rPr>
        <w:t xml:space="preserve"> cepa (grupo Cepa) con la denominación "SK20". La solicitud de protección comunitaria de obtenciones vegetales ("OCVV") recibió el número de expediente 2017/3314. La OCVV consideró que la variedad satisfacía los requisitos DHE y compartió un informe positivo con el recurrente. Este último, sin embargo, solicitó que se añadiera a la descripción de la variedad un carácter no incluido en el protocolo técnico. </w:t>
      </w:r>
    </w:p>
    <w:p w14:paraId="749A5057" w14:textId="77777777" w:rsidR="005A5957" w:rsidRPr="009F74EC" w:rsidRDefault="005A5957" w:rsidP="005A5957">
      <w:pPr>
        <w:rPr>
          <w:rFonts w:cs="Arial"/>
        </w:rPr>
      </w:pPr>
    </w:p>
    <w:p w14:paraId="5F090DF8" w14:textId="77777777" w:rsidR="005A5957" w:rsidRPr="009F74EC" w:rsidRDefault="005A5957" w:rsidP="005A5957">
      <w:pPr>
        <w:rPr>
          <w:rFonts w:cs="Arial"/>
        </w:rPr>
      </w:pPr>
      <w:r w:rsidRPr="009F74EC">
        <w:rPr>
          <w:rFonts w:cs="Arial"/>
        </w:rPr>
        <w:t xml:space="preserve">La Oficina se negó explicando que la variedad ya era distinta de la notoriamente conocida sobre la base de otras características morfológicas que formaban parte del protocolo pertinente. El derecho se concedió inmediatamente después de dicha denegación. </w:t>
      </w:r>
    </w:p>
    <w:p w14:paraId="7969C060" w14:textId="77777777" w:rsidR="005A5957" w:rsidRPr="009F74EC" w:rsidRDefault="005A5957" w:rsidP="005A5957">
      <w:pPr>
        <w:rPr>
          <w:rFonts w:cs="Arial"/>
        </w:rPr>
      </w:pPr>
    </w:p>
    <w:p w14:paraId="6906288B" w14:textId="77777777" w:rsidR="005A5957" w:rsidRPr="009F74EC" w:rsidRDefault="005A5957" w:rsidP="005A5957">
      <w:pPr>
        <w:rPr>
          <w:rFonts w:cs="Arial"/>
        </w:rPr>
      </w:pPr>
      <w:r w:rsidRPr="009F74EC">
        <w:rPr>
          <w:rFonts w:cs="Arial"/>
        </w:rPr>
        <w:t>La recurrente alegó ante la Sala de Recurso ("</w:t>
      </w:r>
      <w:proofErr w:type="spellStart"/>
      <w:r w:rsidRPr="009F74EC">
        <w:rPr>
          <w:rFonts w:cs="Arial"/>
        </w:rPr>
        <w:t>SdR</w:t>
      </w:r>
      <w:proofErr w:type="spellEnd"/>
      <w:r w:rsidRPr="009F74EC">
        <w:rPr>
          <w:rFonts w:cs="Arial"/>
        </w:rPr>
        <w:t xml:space="preserve">") que la decisión de la OCVV de denegar la modificación de la descripción de la variedad afectaba al alcance de la protección del derecho concedido. La Sala estableció que el recurso era inadmisible con arreglo al artículo 49, apartado 1, del Reglamento (CE) </w:t>
      </w:r>
      <w:proofErr w:type="spellStart"/>
      <w:r w:rsidRPr="009F74EC">
        <w:rPr>
          <w:rFonts w:cs="Arial"/>
        </w:rPr>
        <w:t>nº</w:t>
      </w:r>
      <w:proofErr w:type="spellEnd"/>
      <w:r w:rsidRPr="009F74EC">
        <w:rPr>
          <w:rFonts w:cs="Arial"/>
        </w:rPr>
        <w:t xml:space="preserve"> 874/2009 ("RP") en relación con el artículo 81 del Reglamento (CE) </w:t>
      </w:r>
      <w:proofErr w:type="spellStart"/>
      <w:r w:rsidRPr="009F74EC">
        <w:rPr>
          <w:rFonts w:cs="Arial"/>
        </w:rPr>
        <w:t>nº</w:t>
      </w:r>
      <w:proofErr w:type="spellEnd"/>
      <w:r w:rsidRPr="009F74EC">
        <w:rPr>
          <w:rFonts w:cs="Arial"/>
        </w:rPr>
        <w:t xml:space="preserve"> 2100/94 relativo a la protección comunitaria de las obtenciones vegetales ("Reglamento de base"), ya que la recurrente no cumplía los requisitos para ser parte perdedora. En efecto, la recurrente no impugnó la decisión de conceder una CPVR a la variedad "SK20", sino sólo una parte de la descripción de la variedad relativa a la lista de características. Además, la CPVR fue concedida.</w:t>
      </w:r>
    </w:p>
    <w:p w14:paraId="2C4E5E80" w14:textId="77777777" w:rsidR="005A5957" w:rsidRPr="009F74EC" w:rsidRDefault="005A5957" w:rsidP="005A5957">
      <w:pPr>
        <w:rPr>
          <w:rFonts w:cs="Arial"/>
        </w:rPr>
      </w:pPr>
    </w:p>
    <w:p w14:paraId="558C0D98" w14:textId="77777777" w:rsidR="005A5957" w:rsidRPr="009F74EC" w:rsidRDefault="005A5957" w:rsidP="005A5957">
      <w:pPr>
        <w:rPr>
          <w:rFonts w:cs="Arial"/>
        </w:rPr>
      </w:pPr>
      <w:r w:rsidRPr="009F74EC">
        <w:rPr>
          <w:rFonts w:cs="Arial"/>
        </w:rPr>
        <w:t xml:space="preserve">La </w:t>
      </w:r>
      <w:proofErr w:type="spellStart"/>
      <w:r w:rsidRPr="009F74EC">
        <w:rPr>
          <w:rFonts w:cs="Arial"/>
        </w:rPr>
        <w:t>SdR</w:t>
      </w:r>
      <w:proofErr w:type="spellEnd"/>
      <w:r w:rsidRPr="009F74EC">
        <w:rPr>
          <w:rFonts w:cs="Arial"/>
        </w:rPr>
        <w:t xml:space="preserve"> también se pronunció sobre el fondo en aras de la exhaustividad. La </w:t>
      </w:r>
      <w:proofErr w:type="spellStart"/>
      <w:r w:rsidRPr="009F74EC">
        <w:rPr>
          <w:rFonts w:cs="Arial"/>
        </w:rPr>
        <w:t>SdR</w:t>
      </w:r>
      <w:proofErr w:type="spellEnd"/>
      <w:r w:rsidRPr="009F74EC">
        <w:rPr>
          <w:rFonts w:cs="Arial"/>
        </w:rPr>
        <w:t xml:space="preserve"> recordó que la variedad candidata deberá ser distinta de la notoriamente conocida en al menos un carácter. Una vez encontrado al menos un carácter distinto, la Oficina no tenía obligación de examinar caracteres adicionales. Cuando un solicitante sugiere una característica adicional, el </w:t>
      </w:r>
      <w:proofErr w:type="gramStart"/>
      <w:r w:rsidRPr="009F74EC">
        <w:rPr>
          <w:rFonts w:cs="Arial"/>
        </w:rPr>
        <w:t>Presidente</w:t>
      </w:r>
      <w:proofErr w:type="gramEnd"/>
      <w:r w:rsidRPr="009F74EC">
        <w:rPr>
          <w:rFonts w:cs="Arial"/>
        </w:rPr>
        <w:t xml:space="preserve"> de la Oficina tampoco está obligado a invocar el procedimiento establecido en los artículos 22 y 23 RP cuando no hay necesidad de hacerlo, en particular una vez que ya se ha establecido la distinción de la variedad. Este principio también se refleja en las sentencias del Tribunal de Justicia C-625/15P y C-534/10P que precisan el margen de apreciación de la OCVV dado por el carácter científico de los trabajos que lleva a cabo.</w:t>
      </w:r>
    </w:p>
    <w:p w14:paraId="78F269CA" w14:textId="77777777" w:rsidR="005A5957" w:rsidRPr="009F74EC" w:rsidRDefault="005A5957" w:rsidP="005A5957">
      <w:pPr>
        <w:rPr>
          <w:rFonts w:cs="Arial"/>
        </w:rPr>
      </w:pPr>
    </w:p>
    <w:p w14:paraId="06D167F7" w14:textId="77777777" w:rsidR="005A5957" w:rsidRPr="009F74EC" w:rsidRDefault="005A5957" w:rsidP="005A5957">
      <w:pPr>
        <w:rPr>
          <w:rFonts w:cs="Arial"/>
        </w:rPr>
      </w:pPr>
      <w:r w:rsidRPr="009F74EC">
        <w:rPr>
          <w:rFonts w:cs="Arial"/>
        </w:rPr>
        <w:lastRenderedPageBreak/>
        <w:t xml:space="preserve">En conclusión, la </w:t>
      </w:r>
      <w:proofErr w:type="spellStart"/>
      <w:r w:rsidRPr="009F74EC">
        <w:rPr>
          <w:rFonts w:cs="Arial"/>
        </w:rPr>
        <w:t>SdR</w:t>
      </w:r>
      <w:proofErr w:type="spellEnd"/>
      <w:r w:rsidRPr="009F74EC">
        <w:rPr>
          <w:rFonts w:cs="Arial"/>
        </w:rPr>
        <w:t xml:space="preserve"> rechazó el recurso por inadmisible, declarándolo infundado y condenando a la recurrente a cubrir las costas del procedimiento de recurso con arreglo al artículo 85, apartado 1, del Reglamento de base. </w:t>
      </w:r>
    </w:p>
    <w:p w14:paraId="2A8E32B1" w14:textId="77777777" w:rsidR="005A5957" w:rsidRPr="009F74EC" w:rsidRDefault="005A5957" w:rsidP="005A5957">
      <w:pPr>
        <w:rPr>
          <w:rFonts w:cs="Arial"/>
        </w:rPr>
      </w:pPr>
    </w:p>
    <w:p w14:paraId="2C3B807A" w14:textId="77777777" w:rsidR="005A5957" w:rsidRPr="009F74EC" w:rsidRDefault="005A5957" w:rsidP="005A5957">
      <w:pPr>
        <w:rPr>
          <w:rFonts w:cs="Arial"/>
          <w:i/>
          <w:iCs/>
        </w:rPr>
      </w:pPr>
      <w:r w:rsidRPr="009F74EC">
        <w:rPr>
          <w:rFonts w:cs="Arial"/>
          <w:i/>
          <w:iCs/>
        </w:rPr>
        <w:t xml:space="preserve">Resolución de la Sala de Recurso de la OCVV de 14 de diciembre de 2022 en el asunto </w:t>
      </w:r>
      <w:proofErr w:type="spellStart"/>
      <w:r w:rsidRPr="009F74EC">
        <w:rPr>
          <w:rFonts w:cs="Arial"/>
          <w:i/>
          <w:iCs/>
        </w:rPr>
        <w:t>nº</w:t>
      </w:r>
      <w:proofErr w:type="spellEnd"/>
      <w:r w:rsidRPr="009F74EC">
        <w:rPr>
          <w:rFonts w:cs="Arial"/>
          <w:i/>
          <w:iCs/>
        </w:rPr>
        <w:t xml:space="preserve"> A021/2021 "</w:t>
      </w:r>
      <w:proofErr w:type="spellStart"/>
      <w:r w:rsidRPr="009F74EC">
        <w:rPr>
          <w:rFonts w:cs="Arial"/>
          <w:i/>
          <w:iCs/>
        </w:rPr>
        <w:t>Vineta</w:t>
      </w:r>
      <w:proofErr w:type="spellEnd"/>
    </w:p>
    <w:p w14:paraId="01BC8970" w14:textId="77777777" w:rsidR="005A5957" w:rsidRPr="009F74EC" w:rsidRDefault="005A5957" w:rsidP="005A5957">
      <w:pPr>
        <w:rPr>
          <w:rFonts w:cs="Arial"/>
        </w:rPr>
      </w:pPr>
    </w:p>
    <w:p w14:paraId="38F13B3F" w14:textId="77777777" w:rsidR="005A5957" w:rsidRPr="009F74EC" w:rsidRDefault="005A5957" w:rsidP="005A5957">
      <w:pPr>
        <w:rPr>
          <w:rFonts w:cs="Arial"/>
        </w:rPr>
      </w:pPr>
      <w:r w:rsidRPr="009F74EC">
        <w:rPr>
          <w:rFonts w:cs="Arial"/>
        </w:rPr>
        <w:t>En agosto de 1995, la recurrente presentó una solicitud de CPVR para la variedad "</w:t>
      </w:r>
      <w:proofErr w:type="spellStart"/>
      <w:r w:rsidRPr="009F74EC">
        <w:rPr>
          <w:rFonts w:cs="Arial"/>
        </w:rPr>
        <w:t>Vineta</w:t>
      </w:r>
      <w:proofErr w:type="spellEnd"/>
      <w:r w:rsidRPr="009F74EC">
        <w:rPr>
          <w:rFonts w:cs="Arial"/>
        </w:rPr>
        <w:t xml:space="preserve">" de </w:t>
      </w:r>
      <w:proofErr w:type="spellStart"/>
      <w:r w:rsidRPr="009F74EC">
        <w:rPr>
          <w:rFonts w:cs="Arial"/>
        </w:rPr>
        <w:t>Solanum</w:t>
      </w:r>
      <w:proofErr w:type="spellEnd"/>
      <w:r w:rsidRPr="009F74EC">
        <w:rPr>
          <w:rFonts w:cs="Arial"/>
        </w:rPr>
        <w:t xml:space="preserve"> </w:t>
      </w:r>
      <w:proofErr w:type="spellStart"/>
      <w:r w:rsidRPr="009F74EC">
        <w:rPr>
          <w:rFonts w:cs="Arial"/>
        </w:rPr>
        <w:t>Tuberosum</w:t>
      </w:r>
      <w:proofErr w:type="spellEnd"/>
      <w:r w:rsidRPr="009F74EC">
        <w:rPr>
          <w:rFonts w:cs="Arial"/>
        </w:rPr>
        <w:t xml:space="preserve"> L., que le fue concedida en agosto de 1996 con una fecha de expiración incorrecta: 1 de septiembre de 2026. En octubre de 2021, la Oficina identificó el error debido a la necesidad de que la fecha de expiración coincidiera con el 31 de diciembre, de conformidad con el artículo 19 del Reglamento de base. El 1 de octubre de 2021 se publicó un </w:t>
      </w:r>
      <w:proofErr w:type="spellStart"/>
      <w:r w:rsidRPr="009F74EC">
        <w:rPr>
          <w:rFonts w:cs="Arial"/>
        </w:rPr>
        <w:t>corrigendum</w:t>
      </w:r>
      <w:proofErr w:type="spellEnd"/>
      <w:r w:rsidRPr="009F74EC">
        <w:rPr>
          <w:rFonts w:cs="Arial"/>
        </w:rPr>
        <w:t>, cambiando la fecha de expiración al 31 de diciembre de 2024. La recurrente afirmó que la fecha incorrecta no podía modificarse debido a la seguridad jurídica.</w:t>
      </w:r>
    </w:p>
    <w:p w14:paraId="197AA427" w14:textId="77777777" w:rsidR="005A5957" w:rsidRPr="009F74EC" w:rsidRDefault="005A5957" w:rsidP="005A5957">
      <w:pPr>
        <w:rPr>
          <w:rFonts w:cs="Arial"/>
        </w:rPr>
      </w:pPr>
    </w:p>
    <w:p w14:paraId="10F8227F" w14:textId="77777777" w:rsidR="005A5957" w:rsidRPr="009F74EC" w:rsidRDefault="005A5957" w:rsidP="005A5957">
      <w:pPr>
        <w:rPr>
          <w:rFonts w:cs="Arial"/>
        </w:rPr>
      </w:pPr>
      <w:r w:rsidRPr="009F74EC">
        <w:rPr>
          <w:rFonts w:cs="Arial"/>
        </w:rPr>
        <w:t xml:space="preserve">La </w:t>
      </w:r>
      <w:proofErr w:type="spellStart"/>
      <w:r w:rsidRPr="009F74EC">
        <w:rPr>
          <w:rFonts w:cs="Arial"/>
        </w:rPr>
        <w:t>SdR</w:t>
      </w:r>
      <w:proofErr w:type="spellEnd"/>
      <w:r w:rsidRPr="009F74EC">
        <w:rPr>
          <w:rFonts w:cs="Arial"/>
        </w:rPr>
        <w:t xml:space="preserve"> consideró el recurso admisible y fundado. La </w:t>
      </w:r>
      <w:proofErr w:type="spellStart"/>
      <w:r w:rsidRPr="009F74EC">
        <w:rPr>
          <w:rFonts w:cs="Arial"/>
        </w:rPr>
        <w:t>SdR</w:t>
      </w:r>
      <w:proofErr w:type="spellEnd"/>
      <w:r w:rsidRPr="009F74EC">
        <w:rPr>
          <w:rFonts w:cs="Arial"/>
        </w:rPr>
        <w:t xml:space="preserve"> se remitió a la sentencia "Siberia" (T-737/18), en la que se establecía que el error de la Oficina no era un error patente con arreglo al artículo 53, apartado 4, del Reglamento de base y no podía ser objeto de corrección. Dicha corrección no era de naturaleza administrativa, ya que afectaba a la esencia de un derecho concedido.</w:t>
      </w:r>
    </w:p>
    <w:p w14:paraId="1A5009B4" w14:textId="77777777" w:rsidR="005A5957" w:rsidRPr="009F74EC" w:rsidRDefault="005A5957" w:rsidP="005A5957">
      <w:pPr>
        <w:rPr>
          <w:rFonts w:cs="Arial"/>
        </w:rPr>
      </w:pPr>
    </w:p>
    <w:p w14:paraId="0B90EE46" w14:textId="77777777" w:rsidR="005A5957" w:rsidRPr="009F74EC" w:rsidRDefault="005A5957" w:rsidP="005A5957">
      <w:pPr>
        <w:rPr>
          <w:rFonts w:cs="Arial"/>
        </w:rPr>
      </w:pPr>
      <w:r w:rsidRPr="009F74EC">
        <w:rPr>
          <w:rFonts w:cs="Arial"/>
        </w:rPr>
        <w:t xml:space="preserve">La </w:t>
      </w:r>
      <w:proofErr w:type="spellStart"/>
      <w:r w:rsidRPr="009F74EC">
        <w:rPr>
          <w:rFonts w:cs="Arial"/>
        </w:rPr>
        <w:t>SdR</w:t>
      </w:r>
      <w:proofErr w:type="spellEnd"/>
      <w:r w:rsidRPr="009F74EC">
        <w:rPr>
          <w:rFonts w:cs="Arial"/>
        </w:rPr>
        <w:t xml:space="preserve"> declaró que el </w:t>
      </w:r>
      <w:proofErr w:type="spellStart"/>
      <w:r w:rsidRPr="009F74EC">
        <w:rPr>
          <w:rFonts w:cs="Arial"/>
        </w:rPr>
        <w:t>corrigendum</w:t>
      </w:r>
      <w:proofErr w:type="spellEnd"/>
      <w:r w:rsidRPr="009F74EC">
        <w:rPr>
          <w:rFonts w:cs="Arial"/>
        </w:rPr>
        <w:t xml:space="preserve"> 2021 y las explicaciones de la Oficina eran las medidas recurridas, por lo que podían considerarse una decisión recurrible. El órgano decisorio vinculó el recurso al artículo 67 del Reglamento de base junto con el artículo 87, clasificando el </w:t>
      </w:r>
      <w:proofErr w:type="spellStart"/>
      <w:r w:rsidRPr="009F74EC">
        <w:rPr>
          <w:rFonts w:cs="Arial"/>
        </w:rPr>
        <w:t>corrigendum</w:t>
      </w:r>
      <w:proofErr w:type="spellEnd"/>
      <w:r w:rsidRPr="009F74EC">
        <w:rPr>
          <w:rFonts w:cs="Arial"/>
        </w:rPr>
        <w:t xml:space="preserve"> como una adición al Registro.</w:t>
      </w:r>
    </w:p>
    <w:p w14:paraId="5211A987" w14:textId="77777777" w:rsidR="005A5957" w:rsidRPr="009F74EC" w:rsidRDefault="005A5957" w:rsidP="005A5957">
      <w:pPr>
        <w:rPr>
          <w:rFonts w:cs="Arial"/>
        </w:rPr>
      </w:pPr>
    </w:p>
    <w:p w14:paraId="0AA17F6E" w14:textId="77777777" w:rsidR="005A5957" w:rsidRPr="009F74EC" w:rsidRDefault="005A5957" w:rsidP="005A5957">
      <w:pPr>
        <w:rPr>
          <w:rFonts w:cs="Arial"/>
        </w:rPr>
      </w:pPr>
      <w:r w:rsidRPr="009F74EC">
        <w:rPr>
          <w:rFonts w:cs="Arial"/>
        </w:rPr>
        <w:t xml:space="preserve">En cuanto al fondo del recurso, la </w:t>
      </w:r>
      <w:proofErr w:type="spellStart"/>
      <w:r w:rsidRPr="009F74EC">
        <w:rPr>
          <w:rFonts w:cs="Arial"/>
        </w:rPr>
        <w:t>SdR</w:t>
      </w:r>
      <w:proofErr w:type="spellEnd"/>
      <w:r w:rsidRPr="009F74EC">
        <w:rPr>
          <w:rFonts w:cs="Arial"/>
        </w:rPr>
        <w:t xml:space="preserve"> subrayó que ninguna disposición del Reglamento de base permitía a la Oficina modificar un CPVR concedido. Debido a que el error se produjo más de veinte años antes y teniendo en cuenta el principio de seguridad jurídica, la Oficina no estaba en condiciones de modificar la duración del derecho, de acuerdo con las expectativas legítimas del recurrente.</w:t>
      </w:r>
    </w:p>
    <w:p w14:paraId="70A25B33" w14:textId="77777777" w:rsidR="005A5957" w:rsidRPr="009F74EC" w:rsidRDefault="005A5957" w:rsidP="005A5957">
      <w:pPr>
        <w:rPr>
          <w:rFonts w:cs="Arial"/>
        </w:rPr>
      </w:pPr>
    </w:p>
    <w:p w14:paraId="1F91B53B" w14:textId="77777777" w:rsidR="005A5957" w:rsidRPr="009F74EC" w:rsidRDefault="005A5957" w:rsidP="005A5957">
      <w:pPr>
        <w:rPr>
          <w:rFonts w:cs="Arial"/>
        </w:rPr>
      </w:pPr>
      <w:r w:rsidRPr="009F74EC">
        <w:rPr>
          <w:rFonts w:cs="Arial"/>
        </w:rPr>
        <w:t xml:space="preserve">En conclusión, la </w:t>
      </w:r>
      <w:proofErr w:type="spellStart"/>
      <w:r w:rsidRPr="009F74EC">
        <w:rPr>
          <w:rFonts w:cs="Arial"/>
        </w:rPr>
        <w:t>SdR</w:t>
      </w:r>
      <w:proofErr w:type="spellEnd"/>
      <w:r w:rsidRPr="009F74EC">
        <w:rPr>
          <w:rFonts w:cs="Arial"/>
        </w:rPr>
        <w:t xml:space="preserve"> anuló la resolución de la OCVV y ordenó a la Oficina que sufragara los costes asociados con arreglo al artículo 85, apartado 1, del Reglamento de base. </w:t>
      </w:r>
    </w:p>
    <w:p w14:paraId="33E25C18" w14:textId="77777777" w:rsidR="005A5957" w:rsidRPr="009F74EC" w:rsidRDefault="005A5957" w:rsidP="005A5957">
      <w:pPr>
        <w:rPr>
          <w:rFonts w:cs="Arial"/>
        </w:rPr>
      </w:pPr>
    </w:p>
    <w:p w14:paraId="0DF3DF63" w14:textId="77777777" w:rsidR="005A5957" w:rsidRPr="009F74EC" w:rsidRDefault="005A5957" w:rsidP="005A5957">
      <w:pPr>
        <w:rPr>
          <w:rFonts w:cs="Arial"/>
          <w:i/>
          <w:iCs/>
        </w:rPr>
      </w:pPr>
      <w:r w:rsidRPr="009F74EC">
        <w:rPr>
          <w:rFonts w:cs="Arial"/>
          <w:i/>
          <w:iCs/>
        </w:rPr>
        <w:t xml:space="preserve">Resolución de la Sala de Recurso de la OCVV de 9 de noviembre de 2022 en el asunto </w:t>
      </w:r>
      <w:proofErr w:type="spellStart"/>
      <w:r w:rsidRPr="009F74EC">
        <w:rPr>
          <w:rFonts w:cs="Arial"/>
          <w:i/>
          <w:iCs/>
        </w:rPr>
        <w:t>nº</w:t>
      </w:r>
      <w:proofErr w:type="spellEnd"/>
      <w:r w:rsidRPr="009F74EC">
        <w:rPr>
          <w:rFonts w:cs="Arial"/>
          <w:i/>
          <w:iCs/>
        </w:rPr>
        <w:t xml:space="preserve"> A014/2020 P "</w:t>
      </w:r>
      <w:proofErr w:type="spellStart"/>
      <w:r w:rsidRPr="009F74EC">
        <w:rPr>
          <w:rFonts w:cs="Arial"/>
          <w:i/>
          <w:iCs/>
        </w:rPr>
        <w:t>Braeburn</w:t>
      </w:r>
      <w:proofErr w:type="spellEnd"/>
      <w:r w:rsidRPr="009F74EC">
        <w:rPr>
          <w:rFonts w:cs="Arial"/>
          <w:i/>
          <w:iCs/>
        </w:rPr>
        <w:t xml:space="preserve"> 78</w:t>
      </w:r>
    </w:p>
    <w:p w14:paraId="5FCD8432" w14:textId="77777777" w:rsidR="005A5957" w:rsidRPr="009F74EC" w:rsidRDefault="005A5957" w:rsidP="005A5957">
      <w:pPr>
        <w:rPr>
          <w:rFonts w:cs="Arial"/>
        </w:rPr>
      </w:pPr>
    </w:p>
    <w:p w14:paraId="6A556AF2" w14:textId="77777777" w:rsidR="005A5957" w:rsidRPr="009F74EC" w:rsidRDefault="005A5957" w:rsidP="005A5957">
      <w:pPr>
        <w:rPr>
          <w:rFonts w:cs="Arial"/>
        </w:rPr>
      </w:pPr>
      <w:r w:rsidRPr="009F74EC">
        <w:rPr>
          <w:rFonts w:cs="Arial"/>
        </w:rPr>
        <w:t xml:space="preserve">El 16 de mayo de 2022, en el marco del procedimiento de recurso </w:t>
      </w:r>
      <w:proofErr w:type="spellStart"/>
      <w:r w:rsidRPr="009F74EC">
        <w:rPr>
          <w:rFonts w:cs="Arial"/>
        </w:rPr>
        <w:t>nº</w:t>
      </w:r>
      <w:proofErr w:type="spellEnd"/>
      <w:r w:rsidRPr="009F74EC">
        <w:rPr>
          <w:rFonts w:cs="Arial"/>
        </w:rPr>
        <w:t xml:space="preserve"> A014/2020, la recurrente formuló una objeción contra la imparcialidad del miembro de la </w:t>
      </w:r>
      <w:proofErr w:type="spellStart"/>
      <w:r w:rsidRPr="009F74EC">
        <w:rPr>
          <w:rFonts w:cs="Arial"/>
        </w:rPr>
        <w:t>SdR</w:t>
      </w:r>
      <w:proofErr w:type="spellEnd"/>
      <w:r w:rsidRPr="009F74EC">
        <w:rPr>
          <w:rFonts w:cs="Arial"/>
        </w:rPr>
        <w:t xml:space="preserve"> designado con arreglo al artículo 48 del Reglamento de base.  </w:t>
      </w:r>
    </w:p>
    <w:p w14:paraId="69F4BE9F" w14:textId="77777777" w:rsidR="005A5957" w:rsidRPr="009F74EC" w:rsidRDefault="005A5957" w:rsidP="005A5957">
      <w:pPr>
        <w:rPr>
          <w:rFonts w:cs="Arial"/>
        </w:rPr>
      </w:pPr>
    </w:p>
    <w:p w14:paraId="6D41CB80" w14:textId="77777777" w:rsidR="005A5957" w:rsidRPr="009F74EC" w:rsidRDefault="005A5957" w:rsidP="005A5957">
      <w:pPr>
        <w:rPr>
          <w:rFonts w:cs="Arial"/>
        </w:rPr>
      </w:pPr>
      <w:r w:rsidRPr="009F74EC">
        <w:rPr>
          <w:rFonts w:cs="Arial"/>
        </w:rPr>
        <w:t xml:space="preserve">El 9 de noviembre de 2022, una </w:t>
      </w:r>
      <w:proofErr w:type="spellStart"/>
      <w:r w:rsidRPr="009F74EC">
        <w:rPr>
          <w:rFonts w:cs="Arial"/>
        </w:rPr>
        <w:t>SdR</w:t>
      </w:r>
      <w:proofErr w:type="spellEnd"/>
      <w:r w:rsidRPr="009F74EC">
        <w:rPr>
          <w:rFonts w:cs="Arial"/>
        </w:rPr>
        <w:t xml:space="preserve"> alternativa compuesta por el Sr. Marcus </w:t>
      </w:r>
      <w:proofErr w:type="spellStart"/>
      <w:r w:rsidRPr="009F74EC">
        <w:rPr>
          <w:rFonts w:cs="Arial"/>
        </w:rPr>
        <w:t>Navin</w:t>
      </w:r>
      <w:proofErr w:type="spellEnd"/>
      <w:r w:rsidRPr="009F74EC">
        <w:rPr>
          <w:rFonts w:cs="Arial"/>
        </w:rPr>
        <w:t xml:space="preserve">-Jones como </w:t>
      </w:r>
      <w:proofErr w:type="gramStart"/>
      <w:r w:rsidRPr="009F74EC">
        <w:rPr>
          <w:rFonts w:cs="Arial"/>
        </w:rPr>
        <w:t>Presidente</w:t>
      </w:r>
      <w:proofErr w:type="gramEnd"/>
      <w:r w:rsidRPr="009F74EC">
        <w:rPr>
          <w:rFonts w:cs="Arial"/>
        </w:rPr>
        <w:t xml:space="preserve"> Suplente, el Sr. </w:t>
      </w:r>
      <w:proofErr w:type="spellStart"/>
      <w:r w:rsidRPr="009F74EC">
        <w:rPr>
          <w:rFonts w:cs="Arial"/>
        </w:rPr>
        <w:t>Hidde</w:t>
      </w:r>
      <w:proofErr w:type="spellEnd"/>
      <w:r w:rsidRPr="009F74EC">
        <w:rPr>
          <w:rFonts w:cs="Arial"/>
        </w:rPr>
        <w:t xml:space="preserve"> </w:t>
      </w:r>
      <w:proofErr w:type="spellStart"/>
      <w:r w:rsidRPr="009F74EC">
        <w:rPr>
          <w:rFonts w:cs="Arial"/>
        </w:rPr>
        <w:t>Koenraad</w:t>
      </w:r>
      <w:proofErr w:type="spellEnd"/>
      <w:r w:rsidRPr="009F74EC">
        <w:rPr>
          <w:rFonts w:cs="Arial"/>
        </w:rPr>
        <w:t xml:space="preserve"> como Miembro Jurídicamente Habilitado y el Sr. </w:t>
      </w:r>
      <w:proofErr w:type="spellStart"/>
      <w:r w:rsidRPr="009F74EC">
        <w:rPr>
          <w:rFonts w:cs="Arial"/>
        </w:rPr>
        <w:t>Dirk</w:t>
      </w:r>
      <w:proofErr w:type="spellEnd"/>
      <w:r w:rsidRPr="009F74EC">
        <w:rPr>
          <w:rFonts w:cs="Arial"/>
        </w:rPr>
        <w:t xml:space="preserve"> </w:t>
      </w:r>
      <w:proofErr w:type="spellStart"/>
      <w:r w:rsidRPr="009F74EC">
        <w:rPr>
          <w:rFonts w:cs="Arial"/>
        </w:rPr>
        <w:t>Reheul</w:t>
      </w:r>
      <w:proofErr w:type="spellEnd"/>
      <w:r w:rsidRPr="009F74EC">
        <w:rPr>
          <w:rFonts w:cs="Arial"/>
        </w:rPr>
        <w:t xml:space="preserve"> como Miembro Técnicamente Habilitado, mediante decisión procesal, desestimó la objeción planteada por el recurrente en relación con la exclusión del Presidente de la resolución del asunto pertinente.</w:t>
      </w:r>
    </w:p>
    <w:p w14:paraId="1028E35E" w14:textId="77777777" w:rsidR="005A5957" w:rsidRPr="009F74EC" w:rsidRDefault="005A5957" w:rsidP="005A5957">
      <w:pPr>
        <w:rPr>
          <w:rFonts w:cs="Arial"/>
        </w:rPr>
      </w:pPr>
    </w:p>
    <w:p w14:paraId="0BA735FD" w14:textId="77777777" w:rsidR="005A5957" w:rsidRPr="009F74EC" w:rsidRDefault="005A5957" w:rsidP="005A5957">
      <w:pPr>
        <w:rPr>
          <w:rFonts w:cs="Arial"/>
          <w:i/>
          <w:iCs/>
        </w:rPr>
      </w:pPr>
      <w:r w:rsidRPr="009F74EC">
        <w:rPr>
          <w:rFonts w:cs="Arial"/>
          <w:i/>
          <w:iCs/>
        </w:rPr>
        <w:t xml:space="preserve">Resolución de la Sala de Recurso de la OCVV de 16 de diciembre de 2022 en el asunto </w:t>
      </w:r>
      <w:proofErr w:type="spellStart"/>
      <w:r w:rsidRPr="009F74EC">
        <w:rPr>
          <w:rFonts w:cs="Arial"/>
          <w:i/>
          <w:iCs/>
        </w:rPr>
        <w:t>nº</w:t>
      </w:r>
      <w:proofErr w:type="spellEnd"/>
      <w:r w:rsidRPr="009F74EC">
        <w:rPr>
          <w:rFonts w:cs="Arial"/>
          <w:i/>
          <w:iCs/>
        </w:rPr>
        <w:t xml:space="preserve"> A024/2021 "Belsemred1</w:t>
      </w:r>
    </w:p>
    <w:p w14:paraId="28CEDE2A" w14:textId="77777777" w:rsidR="005A5957" w:rsidRPr="009F74EC" w:rsidRDefault="005A5957" w:rsidP="005A5957">
      <w:pPr>
        <w:rPr>
          <w:rFonts w:cs="Arial"/>
        </w:rPr>
      </w:pPr>
    </w:p>
    <w:p w14:paraId="232DAE07" w14:textId="77777777" w:rsidR="005A5957" w:rsidRPr="009F74EC" w:rsidRDefault="005A5957" w:rsidP="005A5957">
      <w:pPr>
        <w:rPr>
          <w:rFonts w:cs="Arial"/>
        </w:rPr>
      </w:pPr>
      <w:r w:rsidRPr="009F74EC">
        <w:rPr>
          <w:rFonts w:cs="Arial"/>
        </w:rPr>
        <w:t xml:space="preserve">En noviembre de 2015, </w:t>
      </w:r>
      <w:proofErr w:type="spellStart"/>
      <w:r w:rsidRPr="009F74EC">
        <w:rPr>
          <w:rFonts w:cs="Arial"/>
        </w:rPr>
        <w:t>Belgicactus</w:t>
      </w:r>
      <w:proofErr w:type="spellEnd"/>
      <w:r w:rsidRPr="009F74EC">
        <w:rPr>
          <w:rFonts w:cs="Arial"/>
        </w:rPr>
        <w:t xml:space="preserve"> BVBA solicitó una CPVR para la variedad </w:t>
      </w:r>
      <w:proofErr w:type="spellStart"/>
      <w:r w:rsidRPr="009F74EC">
        <w:rPr>
          <w:rFonts w:cs="Arial"/>
        </w:rPr>
        <w:t>Sempervivum</w:t>
      </w:r>
      <w:proofErr w:type="spellEnd"/>
      <w:r w:rsidRPr="009F74EC">
        <w:rPr>
          <w:rFonts w:cs="Arial"/>
        </w:rPr>
        <w:t xml:space="preserve"> </w:t>
      </w:r>
      <w:proofErr w:type="spellStart"/>
      <w:r w:rsidRPr="009F74EC">
        <w:rPr>
          <w:rFonts w:cs="Arial"/>
        </w:rPr>
        <w:t>arachnoideum</w:t>
      </w:r>
      <w:proofErr w:type="spellEnd"/>
      <w:r w:rsidRPr="009F74EC">
        <w:rPr>
          <w:rFonts w:cs="Arial"/>
        </w:rPr>
        <w:t xml:space="preserve"> L. 'Belsemred1'. El derecho se concedió en 2018. En 2019, mediante una petición de nulidad, el recurrente impugnó la CPVR, alegando cuestiones de distinción y novedad. La OCVV desestimó la impugnación en 2021. El recurrente solicitó a las </w:t>
      </w:r>
      <w:proofErr w:type="spellStart"/>
      <w:r w:rsidRPr="009F74EC">
        <w:rPr>
          <w:rFonts w:cs="Arial"/>
        </w:rPr>
        <w:t>SdR</w:t>
      </w:r>
      <w:proofErr w:type="spellEnd"/>
      <w:r w:rsidRPr="009F74EC">
        <w:rPr>
          <w:rFonts w:cs="Arial"/>
        </w:rPr>
        <w:t xml:space="preserve"> un nuevo examen DHE y audiencias con testigos, alegando mala actuación de la Oficina, y reiterando la falta de novedad y distinción. La OCVV defendió su actuación, alegando insuficiencia de pruebas.</w:t>
      </w:r>
    </w:p>
    <w:p w14:paraId="2A7A01EF" w14:textId="77777777" w:rsidR="005A5957" w:rsidRPr="009F74EC" w:rsidRDefault="005A5957" w:rsidP="005A5957">
      <w:pPr>
        <w:rPr>
          <w:rFonts w:cs="Arial"/>
        </w:rPr>
      </w:pPr>
    </w:p>
    <w:p w14:paraId="25A8FAED" w14:textId="77777777" w:rsidR="005A5957" w:rsidRPr="009F74EC" w:rsidRDefault="005A5957" w:rsidP="005A5957">
      <w:pPr>
        <w:rPr>
          <w:rFonts w:cs="Arial"/>
        </w:rPr>
      </w:pPr>
      <w:r w:rsidRPr="009F74EC">
        <w:rPr>
          <w:rFonts w:cs="Arial"/>
        </w:rPr>
        <w:t xml:space="preserve">La </w:t>
      </w:r>
      <w:proofErr w:type="spellStart"/>
      <w:r w:rsidRPr="009F74EC">
        <w:rPr>
          <w:rFonts w:cs="Arial"/>
        </w:rPr>
        <w:t>SdR</w:t>
      </w:r>
      <w:proofErr w:type="spellEnd"/>
      <w:r w:rsidRPr="009F74EC">
        <w:rPr>
          <w:rFonts w:cs="Arial"/>
        </w:rPr>
        <w:t xml:space="preserve"> desestimó el recurso, centrándose en la falta de argumentos y pruebas sólidas del recurrente en apoyo de la necesidad de un nuevo examen DHE. Estableció que la OCVV no abusó de su discrecionalidad al denegar las actividades de obtención de pruebas, sopesando su pertinencia para el caso. </w:t>
      </w:r>
    </w:p>
    <w:p w14:paraId="5EAF2C6A" w14:textId="77777777" w:rsidR="005A5957" w:rsidRPr="009F74EC" w:rsidRDefault="005A5957" w:rsidP="005A5957">
      <w:pPr>
        <w:rPr>
          <w:rFonts w:cs="Arial"/>
        </w:rPr>
      </w:pPr>
    </w:p>
    <w:p w14:paraId="0147C1F1" w14:textId="77777777" w:rsidR="005A5957" w:rsidRPr="009F74EC" w:rsidRDefault="005A5957" w:rsidP="005A5957">
      <w:pPr>
        <w:rPr>
          <w:rFonts w:cs="Arial"/>
        </w:rPr>
      </w:pPr>
      <w:r w:rsidRPr="009F74EC">
        <w:rPr>
          <w:rFonts w:cs="Arial"/>
        </w:rPr>
        <w:t xml:space="preserve">La </w:t>
      </w:r>
      <w:proofErr w:type="spellStart"/>
      <w:r w:rsidRPr="009F74EC">
        <w:rPr>
          <w:rFonts w:cs="Arial"/>
        </w:rPr>
        <w:t>SdR</w:t>
      </w:r>
      <w:proofErr w:type="spellEnd"/>
      <w:r w:rsidRPr="009F74EC">
        <w:rPr>
          <w:rFonts w:cs="Arial"/>
        </w:rPr>
        <w:t xml:space="preserve"> abordó las cuestiones de procedimiento, considerando que la OCVV equilibraba sus obligaciones proactivas con los principios de practicidad y buena administración. La </w:t>
      </w:r>
      <w:proofErr w:type="spellStart"/>
      <w:r w:rsidRPr="009F74EC">
        <w:rPr>
          <w:rFonts w:cs="Arial"/>
        </w:rPr>
        <w:t>SdR</w:t>
      </w:r>
      <w:proofErr w:type="spellEnd"/>
      <w:r w:rsidRPr="009F74EC">
        <w:rPr>
          <w:rFonts w:cs="Arial"/>
        </w:rPr>
        <w:t xml:space="preserve"> también especificó que el deber de la Oficina no implicaba abordar las lagunas argumentales del recurrente. </w:t>
      </w:r>
    </w:p>
    <w:p w14:paraId="38E7EF73" w14:textId="77777777" w:rsidR="005A5957" w:rsidRPr="009F74EC" w:rsidRDefault="005A5957" w:rsidP="005A5957">
      <w:pPr>
        <w:rPr>
          <w:rFonts w:cs="Arial"/>
        </w:rPr>
      </w:pPr>
    </w:p>
    <w:p w14:paraId="34D9F1C3" w14:textId="77777777" w:rsidR="005A5957" w:rsidRPr="009F74EC" w:rsidRDefault="005A5957" w:rsidP="005A5957">
      <w:pPr>
        <w:rPr>
          <w:rFonts w:cs="Arial"/>
        </w:rPr>
      </w:pPr>
      <w:r w:rsidRPr="009F74EC">
        <w:rPr>
          <w:rFonts w:cs="Arial"/>
        </w:rPr>
        <w:t xml:space="preserve">En cuanto a las pruebas, la </w:t>
      </w:r>
      <w:proofErr w:type="spellStart"/>
      <w:r w:rsidRPr="009F74EC">
        <w:rPr>
          <w:rFonts w:cs="Arial"/>
        </w:rPr>
        <w:t>SdR</w:t>
      </w:r>
      <w:proofErr w:type="spellEnd"/>
      <w:r w:rsidRPr="009F74EC">
        <w:rPr>
          <w:rFonts w:cs="Arial"/>
        </w:rPr>
        <w:t xml:space="preserve"> consideró insuficientes y poco fiables las alegaciones del recurrente, analizándolas documento por documento y en su conjunto. </w:t>
      </w:r>
    </w:p>
    <w:p w14:paraId="281C82C2" w14:textId="77777777" w:rsidR="005A5957" w:rsidRPr="009F74EC" w:rsidRDefault="005A5957" w:rsidP="005A5957">
      <w:pPr>
        <w:rPr>
          <w:rFonts w:cs="Arial"/>
        </w:rPr>
      </w:pPr>
    </w:p>
    <w:p w14:paraId="68D119CD" w14:textId="77777777" w:rsidR="005A5957" w:rsidRPr="009F74EC" w:rsidRDefault="005A5957" w:rsidP="005A5957">
      <w:pPr>
        <w:rPr>
          <w:rFonts w:cs="Arial"/>
        </w:rPr>
      </w:pPr>
      <w:r w:rsidRPr="009F74EC">
        <w:rPr>
          <w:rFonts w:cs="Arial"/>
        </w:rPr>
        <w:lastRenderedPageBreak/>
        <w:t xml:space="preserve">En conclusión, la </w:t>
      </w:r>
      <w:proofErr w:type="spellStart"/>
      <w:r w:rsidRPr="009F74EC">
        <w:rPr>
          <w:rFonts w:cs="Arial"/>
        </w:rPr>
        <w:t>SdR</w:t>
      </w:r>
      <w:proofErr w:type="spellEnd"/>
      <w:r w:rsidRPr="009F74EC">
        <w:rPr>
          <w:rFonts w:cs="Arial"/>
        </w:rPr>
        <w:t xml:space="preserve"> desestimó el recurso, declarándolo infundado y condenando a la recurrente a cubrir las costas del procedimiento de recurso con arreglo al artículo 85, apartado 1, del Reglamento de base.</w:t>
      </w:r>
    </w:p>
    <w:p w14:paraId="38D7B8B2" w14:textId="77777777" w:rsidR="005A5957" w:rsidRPr="009F74EC" w:rsidRDefault="005A5957" w:rsidP="005A5957">
      <w:pPr>
        <w:rPr>
          <w:rFonts w:cs="Arial"/>
        </w:rPr>
      </w:pPr>
    </w:p>
    <w:p w14:paraId="46D55BBB" w14:textId="77777777" w:rsidR="005A5957" w:rsidRPr="009F74EC" w:rsidRDefault="005A5957" w:rsidP="005A5957">
      <w:pPr>
        <w:rPr>
          <w:rFonts w:cs="Arial"/>
          <w:i/>
          <w:iCs/>
        </w:rPr>
      </w:pPr>
      <w:r w:rsidRPr="009F74EC">
        <w:rPr>
          <w:rFonts w:cs="Arial"/>
          <w:i/>
          <w:iCs/>
        </w:rPr>
        <w:t xml:space="preserve">Resolución de la Sala de Recurso de la OCVV de 2 de enero de 2023 en el asunto </w:t>
      </w:r>
      <w:proofErr w:type="spellStart"/>
      <w:r w:rsidRPr="009F74EC">
        <w:rPr>
          <w:rFonts w:cs="Arial"/>
          <w:i/>
          <w:iCs/>
        </w:rPr>
        <w:t>nº</w:t>
      </w:r>
      <w:proofErr w:type="spellEnd"/>
      <w:r w:rsidRPr="009F74EC">
        <w:rPr>
          <w:rFonts w:cs="Arial"/>
          <w:i/>
          <w:iCs/>
        </w:rPr>
        <w:t xml:space="preserve"> A002/2020 "</w:t>
      </w:r>
      <w:proofErr w:type="spellStart"/>
      <w:r w:rsidRPr="009F74EC">
        <w:rPr>
          <w:rFonts w:cs="Arial"/>
          <w:i/>
          <w:iCs/>
        </w:rPr>
        <w:t>Nadorcott</w:t>
      </w:r>
      <w:proofErr w:type="spellEnd"/>
      <w:r w:rsidRPr="009F74EC">
        <w:rPr>
          <w:rFonts w:cs="Arial"/>
          <w:i/>
          <w:iCs/>
        </w:rPr>
        <w:t>".</w:t>
      </w:r>
    </w:p>
    <w:p w14:paraId="022CF153" w14:textId="77777777" w:rsidR="005A5957" w:rsidRPr="009F74EC" w:rsidRDefault="005A5957" w:rsidP="005A5957">
      <w:pPr>
        <w:rPr>
          <w:rFonts w:cs="Arial"/>
        </w:rPr>
      </w:pPr>
    </w:p>
    <w:p w14:paraId="1132AF35" w14:textId="77777777" w:rsidR="005A5957" w:rsidRPr="009F74EC" w:rsidRDefault="005A5957" w:rsidP="005A5957">
      <w:pPr>
        <w:rPr>
          <w:rFonts w:cs="Arial"/>
        </w:rPr>
      </w:pPr>
      <w:r w:rsidRPr="009F74EC">
        <w:rPr>
          <w:rFonts w:cs="Arial"/>
        </w:rPr>
        <w:t xml:space="preserve">En agosto de 1995, el Sr. De Maistre presentó una solicitud de CPVR para la variedad de cítricos </w:t>
      </w:r>
      <w:proofErr w:type="spellStart"/>
      <w:r w:rsidRPr="009F74EC">
        <w:rPr>
          <w:rFonts w:cs="Arial"/>
        </w:rPr>
        <w:t>Nadorcott</w:t>
      </w:r>
      <w:proofErr w:type="spellEnd"/>
      <w:r w:rsidRPr="009F74EC">
        <w:rPr>
          <w:rFonts w:cs="Arial"/>
        </w:rPr>
        <w:t xml:space="preserve">. La titularidad se transfirió posteriormente a </w:t>
      </w:r>
      <w:proofErr w:type="spellStart"/>
      <w:r w:rsidRPr="009F74EC">
        <w:rPr>
          <w:rFonts w:cs="Arial"/>
        </w:rPr>
        <w:t>Nadorcott</w:t>
      </w:r>
      <w:proofErr w:type="spellEnd"/>
      <w:r w:rsidRPr="009F74EC">
        <w:rPr>
          <w:rFonts w:cs="Arial"/>
        </w:rPr>
        <w:t xml:space="preserve"> </w:t>
      </w:r>
      <w:proofErr w:type="spellStart"/>
      <w:r w:rsidRPr="009F74EC">
        <w:rPr>
          <w:rFonts w:cs="Arial"/>
        </w:rPr>
        <w:t>Protection</w:t>
      </w:r>
      <w:proofErr w:type="spellEnd"/>
      <w:r w:rsidRPr="009F74EC">
        <w:rPr>
          <w:rFonts w:cs="Arial"/>
        </w:rPr>
        <w:t xml:space="preserve"> S.A.R.L. En octubre de 2004, se concedió la CPVR para la variedad </w:t>
      </w:r>
      <w:proofErr w:type="spellStart"/>
      <w:r w:rsidRPr="009F74EC">
        <w:rPr>
          <w:rFonts w:cs="Arial"/>
        </w:rPr>
        <w:t>Nadorcott</w:t>
      </w:r>
      <w:proofErr w:type="spellEnd"/>
      <w:r w:rsidRPr="009F74EC">
        <w:rPr>
          <w:rFonts w:cs="Arial"/>
        </w:rPr>
        <w:t xml:space="preserve">. En mayo de 2016, </w:t>
      </w:r>
      <w:proofErr w:type="spellStart"/>
      <w:r w:rsidRPr="009F74EC">
        <w:rPr>
          <w:rFonts w:cs="Arial"/>
        </w:rPr>
        <w:t>Eurosemillas</w:t>
      </w:r>
      <w:proofErr w:type="spellEnd"/>
      <w:r w:rsidRPr="009F74EC">
        <w:rPr>
          <w:rFonts w:cs="Arial"/>
        </w:rPr>
        <w:t xml:space="preserve"> S.A. presentó una solicitud de nulidad contra la CPVR, alegando falta de derecho y novedad. Carpa Dorada, SL solicitó adherirse al procedimiento de nulidad. En diciembre de 2019, la Oficina desestimó la petición de nulidad. </w:t>
      </w:r>
      <w:proofErr w:type="spellStart"/>
      <w:r w:rsidRPr="009F74EC">
        <w:rPr>
          <w:rFonts w:cs="Arial"/>
        </w:rPr>
        <w:t>Eurosemillas</w:t>
      </w:r>
      <w:proofErr w:type="spellEnd"/>
      <w:r w:rsidRPr="009F74EC">
        <w:rPr>
          <w:rFonts w:cs="Arial"/>
        </w:rPr>
        <w:t xml:space="preserve"> recurrió esta resolución en enero de 2020 cuestionando el fondo de la resolución de la </w:t>
      </w:r>
      <w:proofErr w:type="gramStart"/>
      <w:r w:rsidRPr="009F74EC">
        <w:rPr>
          <w:rFonts w:cs="Arial"/>
        </w:rPr>
        <w:t>Oficina</w:t>
      </w:r>
      <w:proofErr w:type="gramEnd"/>
      <w:r w:rsidRPr="009F74EC">
        <w:rPr>
          <w:rFonts w:cs="Arial"/>
        </w:rPr>
        <w:t xml:space="preserve"> así como invocando la vulneración de principios fundamentales.</w:t>
      </w:r>
    </w:p>
    <w:p w14:paraId="6078449E" w14:textId="77777777" w:rsidR="005A5957" w:rsidRPr="009F74EC" w:rsidRDefault="005A5957" w:rsidP="005A5957">
      <w:pPr>
        <w:rPr>
          <w:rFonts w:cs="Arial"/>
        </w:rPr>
      </w:pPr>
    </w:p>
    <w:p w14:paraId="00ED535E" w14:textId="77777777" w:rsidR="005A5957" w:rsidRPr="009F74EC" w:rsidRDefault="005A5957" w:rsidP="005A5957">
      <w:pPr>
        <w:rPr>
          <w:rFonts w:cs="Arial"/>
        </w:rPr>
      </w:pPr>
      <w:r w:rsidRPr="009F74EC">
        <w:rPr>
          <w:rFonts w:cs="Arial"/>
        </w:rPr>
        <w:t xml:space="preserve">La </w:t>
      </w:r>
      <w:proofErr w:type="spellStart"/>
      <w:r w:rsidRPr="009F74EC">
        <w:rPr>
          <w:rFonts w:cs="Arial"/>
        </w:rPr>
        <w:t>SdR</w:t>
      </w:r>
      <w:proofErr w:type="spellEnd"/>
      <w:r w:rsidRPr="009F74EC">
        <w:rPr>
          <w:rFonts w:cs="Arial"/>
        </w:rPr>
        <w:t xml:space="preserve"> reconoció la discrecionalidad de la Oficina en el examen de las peticiones de nulidad y la carga de la prueba del solicitante. La variedad "</w:t>
      </w:r>
      <w:proofErr w:type="spellStart"/>
      <w:r w:rsidRPr="009F74EC">
        <w:rPr>
          <w:rFonts w:cs="Arial"/>
        </w:rPr>
        <w:t>Nadorcott</w:t>
      </w:r>
      <w:proofErr w:type="spellEnd"/>
      <w:r w:rsidRPr="009F74EC">
        <w:rPr>
          <w:rFonts w:cs="Arial"/>
        </w:rPr>
        <w:t xml:space="preserve">" fue examinada durante la solicitud, otros procedimientos y el caso actual. La </w:t>
      </w:r>
      <w:proofErr w:type="spellStart"/>
      <w:r w:rsidRPr="009F74EC">
        <w:rPr>
          <w:rFonts w:cs="Arial"/>
        </w:rPr>
        <w:t>SdR</w:t>
      </w:r>
      <w:proofErr w:type="spellEnd"/>
      <w:r w:rsidRPr="009F74EC">
        <w:rPr>
          <w:rFonts w:cs="Arial"/>
        </w:rPr>
        <w:t xml:space="preserve"> consideró que no se habían vulnerado los derechos fundamentales, ya que la Oficina disponía de pruebas suficientes y había examinado el expediente con imparcialidad. La </w:t>
      </w:r>
      <w:proofErr w:type="spellStart"/>
      <w:r w:rsidRPr="009F74EC">
        <w:rPr>
          <w:rFonts w:cs="Arial"/>
        </w:rPr>
        <w:t>SdR</w:t>
      </w:r>
      <w:proofErr w:type="spellEnd"/>
      <w:r w:rsidRPr="009F74EC">
        <w:rPr>
          <w:rFonts w:cs="Arial"/>
        </w:rPr>
        <w:t xml:space="preserve"> señaló su obligación de analizar imparcialmente los hechos y pruebas aportados, y no de realizar investigaciones para conocer los argumentos de las partes. La decisión de la Oficina de basar su veredicto en las pruebas existentes era válida, ya que el recurrente no rebatió las conclusiones iniciales de la Oficina.</w:t>
      </w:r>
    </w:p>
    <w:p w14:paraId="2BA3FB31" w14:textId="77777777" w:rsidR="005A5957" w:rsidRPr="009F74EC" w:rsidRDefault="005A5957" w:rsidP="005A5957">
      <w:pPr>
        <w:rPr>
          <w:rFonts w:cs="Arial"/>
        </w:rPr>
      </w:pPr>
    </w:p>
    <w:p w14:paraId="4CE84990" w14:textId="77777777" w:rsidR="005A5957" w:rsidRPr="009F74EC" w:rsidRDefault="005A5957" w:rsidP="005A5957">
      <w:pPr>
        <w:rPr>
          <w:rFonts w:cs="Arial"/>
        </w:rPr>
      </w:pPr>
      <w:r w:rsidRPr="009F74EC">
        <w:rPr>
          <w:rFonts w:cs="Arial"/>
        </w:rPr>
        <w:t xml:space="preserve">La </w:t>
      </w:r>
      <w:proofErr w:type="spellStart"/>
      <w:r w:rsidRPr="009F74EC">
        <w:rPr>
          <w:rFonts w:cs="Arial"/>
        </w:rPr>
        <w:t>SdR</w:t>
      </w:r>
      <w:proofErr w:type="spellEnd"/>
      <w:r w:rsidRPr="009F74EC">
        <w:rPr>
          <w:rFonts w:cs="Arial"/>
        </w:rPr>
        <w:t xml:space="preserve"> concluyó que la variedad "</w:t>
      </w:r>
      <w:proofErr w:type="spellStart"/>
      <w:r w:rsidRPr="009F74EC">
        <w:rPr>
          <w:rFonts w:cs="Arial"/>
        </w:rPr>
        <w:t>Nadorcott</w:t>
      </w:r>
      <w:proofErr w:type="spellEnd"/>
      <w:r w:rsidRPr="009F74EC">
        <w:rPr>
          <w:rFonts w:cs="Arial"/>
        </w:rPr>
        <w:t xml:space="preserve">" fue objeto de obtención y desarrollo, refutando la alegación de descubrimiento del recurrente. El recurrente alegó que el obtentor inicial, el Sr. </w:t>
      </w:r>
      <w:proofErr w:type="spellStart"/>
      <w:r w:rsidRPr="009F74EC">
        <w:rPr>
          <w:rFonts w:cs="Arial"/>
        </w:rPr>
        <w:t>Nadori</w:t>
      </w:r>
      <w:proofErr w:type="spellEnd"/>
      <w:r w:rsidRPr="009F74EC">
        <w:rPr>
          <w:rFonts w:cs="Arial"/>
        </w:rPr>
        <w:t xml:space="preserve">, carecía de capacidad para transferir derechos de CPVR. La </w:t>
      </w:r>
      <w:proofErr w:type="spellStart"/>
      <w:r w:rsidRPr="009F74EC">
        <w:rPr>
          <w:rFonts w:cs="Arial"/>
        </w:rPr>
        <w:t>SdR</w:t>
      </w:r>
      <w:proofErr w:type="spellEnd"/>
      <w:r w:rsidRPr="009F74EC">
        <w:rPr>
          <w:rFonts w:cs="Arial"/>
        </w:rPr>
        <w:t xml:space="preserve"> dictaminó que el Sr. </w:t>
      </w:r>
      <w:proofErr w:type="spellStart"/>
      <w:r w:rsidRPr="009F74EC">
        <w:rPr>
          <w:rFonts w:cs="Arial"/>
        </w:rPr>
        <w:t>Nadori</w:t>
      </w:r>
      <w:proofErr w:type="spellEnd"/>
      <w:r w:rsidRPr="009F74EC">
        <w:rPr>
          <w:rFonts w:cs="Arial"/>
        </w:rPr>
        <w:t xml:space="preserve"> tenía esta capacidad, rechazando la reclamación del recurrente basándose en la presentación tardía del dictamen jurídico y en la falta de legitimación para impugnar el derecho. A pesar de que el criador no era ciudadano de la UPOV, la solicitud, presentada por un ciudadano francés, cumplía los requisitos de la CPVR. </w:t>
      </w:r>
    </w:p>
    <w:p w14:paraId="065AF896" w14:textId="77777777" w:rsidR="005A5957" w:rsidRPr="009F74EC" w:rsidRDefault="005A5957" w:rsidP="005A5957">
      <w:pPr>
        <w:rPr>
          <w:rFonts w:cs="Arial"/>
        </w:rPr>
      </w:pPr>
    </w:p>
    <w:p w14:paraId="6AFF576D" w14:textId="77777777" w:rsidR="005A5957" w:rsidRPr="009F74EC" w:rsidRDefault="005A5957" w:rsidP="005A5957">
      <w:pPr>
        <w:rPr>
          <w:rFonts w:cs="Arial"/>
        </w:rPr>
      </w:pPr>
      <w:r w:rsidRPr="009F74EC">
        <w:rPr>
          <w:rFonts w:cs="Arial"/>
        </w:rPr>
        <w:t xml:space="preserve">La </w:t>
      </w:r>
      <w:proofErr w:type="spellStart"/>
      <w:r w:rsidRPr="009F74EC">
        <w:rPr>
          <w:rFonts w:cs="Arial"/>
        </w:rPr>
        <w:t>SdR</w:t>
      </w:r>
      <w:proofErr w:type="spellEnd"/>
      <w:r w:rsidRPr="009F74EC">
        <w:rPr>
          <w:rFonts w:cs="Arial"/>
        </w:rPr>
        <w:t xml:space="preserve"> también abordó las alegaciones de novedad del recurrente, aclarando la transferencia de material experimental y la novedad con arreglo al artículo 10 del Reglamento de base.</w:t>
      </w:r>
    </w:p>
    <w:p w14:paraId="60C9CEA2" w14:textId="77777777" w:rsidR="005A5957" w:rsidRPr="009F74EC" w:rsidRDefault="005A5957" w:rsidP="005A5957">
      <w:pPr>
        <w:rPr>
          <w:rFonts w:cs="Arial"/>
        </w:rPr>
      </w:pPr>
    </w:p>
    <w:p w14:paraId="3908F531" w14:textId="77777777" w:rsidR="005A5957" w:rsidRPr="009F74EC" w:rsidRDefault="005A5957" w:rsidP="005A5957">
      <w:pPr>
        <w:rPr>
          <w:rFonts w:cs="Arial"/>
        </w:rPr>
      </w:pPr>
      <w:r w:rsidRPr="009F74EC">
        <w:rPr>
          <w:rFonts w:cs="Arial"/>
        </w:rPr>
        <w:t xml:space="preserve">En conclusión, el recurso fue declarado admisible pero no fundado. Se condenó a la recurrente a cubrir las costas del procedimiento, de conformidad con el artículo 85, apartado 1, del Reglamento de base. </w:t>
      </w:r>
    </w:p>
    <w:p w14:paraId="27B33890" w14:textId="77777777" w:rsidR="005A5957" w:rsidRPr="009F74EC" w:rsidRDefault="005A5957" w:rsidP="005A5957">
      <w:pPr>
        <w:rPr>
          <w:rFonts w:cs="Arial"/>
        </w:rPr>
      </w:pPr>
    </w:p>
    <w:p w14:paraId="218DA509" w14:textId="1ADCE09A" w:rsidR="005A5957" w:rsidRPr="009F74EC" w:rsidRDefault="005A5957" w:rsidP="005A5957">
      <w:pPr>
        <w:rPr>
          <w:rFonts w:cs="Arial"/>
          <w:i/>
          <w:iCs/>
        </w:rPr>
      </w:pPr>
      <w:r w:rsidRPr="009F74EC">
        <w:rPr>
          <w:rFonts w:cs="Arial"/>
          <w:i/>
          <w:iCs/>
        </w:rPr>
        <w:t xml:space="preserve">Resolución de la Sala de Recurso de la OCVV de 23 de enero de 2023 en el asunto </w:t>
      </w:r>
      <w:proofErr w:type="spellStart"/>
      <w:r w:rsidRPr="009F74EC">
        <w:rPr>
          <w:rFonts w:cs="Arial"/>
          <w:i/>
          <w:iCs/>
        </w:rPr>
        <w:t>nº</w:t>
      </w:r>
      <w:proofErr w:type="spellEnd"/>
      <w:r w:rsidRPr="009F74EC">
        <w:rPr>
          <w:rFonts w:cs="Arial"/>
          <w:i/>
          <w:iCs/>
        </w:rPr>
        <w:t xml:space="preserve"> A014/2020 "</w:t>
      </w:r>
      <w:proofErr w:type="spellStart"/>
      <w:r w:rsidRPr="009F74EC">
        <w:rPr>
          <w:rFonts w:cs="Arial"/>
          <w:i/>
          <w:iCs/>
        </w:rPr>
        <w:t>Braeburn</w:t>
      </w:r>
      <w:proofErr w:type="spellEnd"/>
      <w:r w:rsidR="00965DC9">
        <w:rPr>
          <w:rFonts w:cs="Arial"/>
          <w:i/>
          <w:iCs/>
        </w:rPr>
        <w:t> </w:t>
      </w:r>
      <w:r w:rsidRPr="009F74EC">
        <w:rPr>
          <w:rFonts w:cs="Arial"/>
          <w:i/>
          <w:iCs/>
        </w:rPr>
        <w:t>78".</w:t>
      </w:r>
    </w:p>
    <w:p w14:paraId="52011100" w14:textId="77777777" w:rsidR="005A5957" w:rsidRPr="009F74EC" w:rsidRDefault="005A5957" w:rsidP="005A5957">
      <w:pPr>
        <w:rPr>
          <w:rFonts w:cs="Arial"/>
        </w:rPr>
      </w:pPr>
    </w:p>
    <w:p w14:paraId="0DF618D3" w14:textId="77777777" w:rsidR="005A5957" w:rsidRPr="009F74EC" w:rsidRDefault="005A5957" w:rsidP="005A5957">
      <w:pPr>
        <w:rPr>
          <w:rFonts w:cs="Arial"/>
        </w:rPr>
      </w:pPr>
      <w:r w:rsidRPr="009F74EC">
        <w:rPr>
          <w:rFonts w:cs="Arial"/>
        </w:rPr>
        <w:t>El 20 de mayo de 2009, la Oficina admitió a trámite la solicitud de protección comunitaria para la variedad de manzana "</w:t>
      </w:r>
      <w:proofErr w:type="spellStart"/>
      <w:r w:rsidRPr="009F74EC">
        <w:rPr>
          <w:rFonts w:cs="Arial"/>
        </w:rPr>
        <w:t>Braeburn</w:t>
      </w:r>
      <w:proofErr w:type="spellEnd"/>
      <w:r w:rsidRPr="009F74EC">
        <w:rPr>
          <w:rFonts w:cs="Arial"/>
        </w:rPr>
        <w:t xml:space="preserve"> 78" (</w:t>
      </w:r>
      <w:proofErr w:type="spellStart"/>
      <w:r w:rsidRPr="009F74EC">
        <w:rPr>
          <w:rFonts w:cs="Arial"/>
        </w:rPr>
        <w:t>Malus</w:t>
      </w:r>
      <w:proofErr w:type="spellEnd"/>
      <w:r w:rsidRPr="009F74EC">
        <w:rPr>
          <w:rFonts w:cs="Arial"/>
        </w:rPr>
        <w:t xml:space="preserve"> domestica </w:t>
      </w:r>
      <w:proofErr w:type="spellStart"/>
      <w:r w:rsidRPr="009F74EC">
        <w:rPr>
          <w:rFonts w:cs="Arial"/>
        </w:rPr>
        <w:t>Borkh</w:t>
      </w:r>
      <w:proofErr w:type="spellEnd"/>
      <w:r w:rsidRPr="009F74EC">
        <w:rPr>
          <w:rFonts w:cs="Arial"/>
        </w:rPr>
        <w:t xml:space="preserve">). La solicitud recibió el número de expediente 2009/0954. El derecho no se concedió por falta de distinción y el 18 de diciembre de 2014 se dictó una resolución denegatoria. </w:t>
      </w:r>
    </w:p>
    <w:p w14:paraId="352318BD" w14:textId="77777777" w:rsidR="005A5957" w:rsidRPr="009F74EC" w:rsidRDefault="005A5957" w:rsidP="005A5957">
      <w:pPr>
        <w:rPr>
          <w:rFonts w:cs="Arial"/>
        </w:rPr>
      </w:pPr>
    </w:p>
    <w:p w14:paraId="1E78EC72" w14:textId="77777777" w:rsidR="005A5957" w:rsidRPr="009F74EC" w:rsidRDefault="005A5957" w:rsidP="005A5957">
      <w:pPr>
        <w:rPr>
          <w:rFonts w:cs="Arial"/>
        </w:rPr>
      </w:pPr>
      <w:r w:rsidRPr="009F74EC">
        <w:rPr>
          <w:rFonts w:cs="Arial"/>
        </w:rPr>
        <w:t xml:space="preserve">La decisión de denegación fue recurrida ante la </w:t>
      </w:r>
      <w:proofErr w:type="spellStart"/>
      <w:r w:rsidRPr="009F74EC">
        <w:rPr>
          <w:rFonts w:cs="Arial"/>
        </w:rPr>
        <w:t>SdR</w:t>
      </w:r>
      <w:proofErr w:type="spellEnd"/>
      <w:r w:rsidRPr="009F74EC">
        <w:rPr>
          <w:rFonts w:cs="Arial"/>
        </w:rPr>
        <w:t xml:space="preserve"> y posteriormente ante el Tribunal General. Este último devolvió el asunto al órgano competente de la Oficina para un nuevo examen. Tras dicho examen adicional, la Oficina dictó una segunda resolución denegatoria con fecha de 19 de octubre de 2020, que es el objeto del presente recurso de casación. La recurrente se quejó de no haber podido permitir la audiencia de un perito, de que la Oficina no cumplió con su deber de investigación de oficio. También se refirió a supuestos errores en el examen de la variedad de candidatos.</w:t>
      </w:r>
    </w:p>
    <w:p w14:paraId="20138677" w14:textId="77777777" w:rsidR="005A5957" w:rsidRPr="009F74EC" w:rsidRDefault="005A5957" w:rsidP="005A5957">
      <w:pPr>
        <w:rPr>
          <w:rFonts w:cs="Arial"/>
        </w:rPr>
      </w:pPr>
    </w:p>
    <w:p w14:paraId="281A4DC9" w14:textId="77777777" w:rsidR="005A5957" w:rsidRPr="009F74EC" w:rsidRDefault="005A5957" w:rsidP="005A5957">
      <w:pPr>
        <w:rPr>
          <w:rFonts w:cs="Arial"/>
        </w:rPr>
      </w:pPr>
      <w:r w:rsidRPr="009F74EC">
        <w:rPr>
          <w:rFonts w:cs="Arial"/>
        </w:rPr>
        <w:t xml:space="preserve">La </w:t>
      </w:r>
      <w:proofErr w:type="spellStart"/>
      <w:r w:rsidRPr="009F74EC">
        <w:rPr>
          <w:rFonts w:cs="Arial"/>
        </w:rPr>
        <w:t>SdR</w:t>
      </w:r>
      <w:proofErr w:type="spellEnd"/>
      <w:r w:rsidRPr="009F74EC">
        <w:rPr>
          <w:rFonts w:cs="Arial"/>
        </w:rPr>
        <w:t xml:space="preserve"> consideró que, de conformidad con el artículo 75 del Reglamento de base, las resoluciones de la Oficina pueden adoptarse únicamente sobre la base de documentos escritos, sin que exista obligación alguna para la Oficina en relación con las solicitudes de organizar una audiencia oral. Además, el art. 78(3) del Reglamento de base reconoce la facultad discrecional de la Oficina para organizar dicha vista oral ("si la Oficina lo considera necesario"). </w:t>
      </w:r>
    </w:p>
    <w:p w14:paraId="1426E799" w14:textId="77777777" w:rsidR="005A5957" w:rsidRPr="009F74EC" w:rsidRDefault="005A5957" w:rsidP="005A5957">
      <w:pPr>
        <w:rPr>
          <w:rFonts w:cs="Arial"/>
        </w:rPr>
      </w:pPr>
    </w:p>
    <w:p w14:paraId="338F8850" w14:textId="77777777" w:rsidR="005A5957" w:rsidRPr="009F74EC" w:rsidRDefault="005A5957" w:rsidP="005A5957">
      <w:pPr>
        <w:rPr>
          <w:rFonts w:cs="Arial"/>
        </w:rPr>
      </w:pPr>
      <w:r w:rsidRPr="009F74EC">
        <w:rPr>
          <w:rFonts w:cs="Arial"/>
        </w:rPr>
        <w:t xml:space="preserve">La </w:t>
      </w:r>
      <w:proofErr w:type="spellStart"/>
      <w:r w:rsidRPr="009F74EC">
        <w:rPr>
          <w:rFonts w:cs="Arial"/>
        </w:rPr>
        <w:t>SdR</w:t>
      </w:r>
      <w:proofErr w:type="spellEnd"/>
      <w:r w:rsidRPr="009F74EC">
        <w:rPr>
          <w:rFonts w:cs="Arial"/>
        </w:rPr>
        <w:t xml:space="preserve"> razonó en el mismo sentido en relación con la alegación del recurrente de que la Oficina debería haber aceptado su solicitud de citar al profesor </w:t>
      </w:r>
      <w:proofErr w:type="spellStart"/>
      <w:r w:rsidRPr="009F74EC">
        <w:rPr>
          <w:rFonts w:cs="Arial"/>
        </w:rPr>
        <w:t>Bergamini</w:t>
      </w:r>
      <w:proofErr w:type="spellEnd"/>
      <w:r w:rsidRPr="009F74EC">
        <w:rPr>
          <w:rFonts w:cs="Arial"/>
        </w:rPr>
        <w:t xml:space="preserve"> como prueba pericial. Una vez más, la </w:t>
      </w:r>
      <w:proofErr w:type="spellStart"/>
      <w:r w:rsidRPr="009F74EC">
        <w:rPr>
          <w:rFonts w:cs="Arial"/>
        </w:rPr>
        <w:t>SdR</w:t>
      </w:r>
      <w:proofErr w:type="spellEnd"/>
      <w:r w:rsidRPr="009F74EC">
        <w:rPr>
          <w:rFonts w:cs="Arial"/>
        </w:rPr>
        <w:t xml:space="preserve"> reconoció la facultad discrecional de la Oficina con arreglo al artículo 78, apartado 3, del Reglamento de base. 78, apartado 3, del Reglamento de base y observa que el recurrente no justificó por qué era necesaria la audiencia del experto para adoptar la resolución pertinente. La </w:t>
      </w:r>
      <w:proofErr w:type="spellStart"/>
      <w:r w:rsidRPr="009F74EC">
        <w:rPr>
          <w:rFonts w:cs="Arial"/>
        </w:rPr>
        <w:t>SdR</w:t>
      </w:r>
      <w:proofErr w:type="spellEnd"/>
      <w:r w:rsidRPr="009F74EC">
        <w:rPr>
          <w:rFonts w:cs="Arial"/>
        </w:rPr>
        <w:t xml:space="preserve"> observó además que la recurrente dispuso de numerosas oportunidades a lo largo de la tramitación de la solicitud y tras el procedimiento judicial para presentar observaciones por parte de dicho experto. </w:t>
      </w:r>
    </w:p>
    <w:p w14:paraId="246D3397" w14:textId="77777777" w:rsidR="005A5957" w:rsidRPr="009F74EC" w:rsidRDefault="005A5957" w:rsidP="005A5957">
      <w:pPr>
        <w:rPr>
          <w:rFonts w:cs="Arial"/>
        </w:rPr>
      </w:pPr>
    </w:p>
    <w:p w14:paraId="0C60E91F" w14:textId="77777777" w:rsidR="005A5957" w:rsidRPr="009F74EC" w:rsidRDefault="005A5957" w:rsidP="005A5957">
      <w:pPr>
        <w:rPr>
          <w:rFonts w:cs="Arial"/>
        </w:rPr>
      </w:pPr>
      <w:r w:rsidRPr="009F74EC">
        <w:rPr>
          <w:rFonts w:cs="Arial"/>
        </w:rPr>
        <w:lastRenderedPageBreak/>
        <w:t xml:space="preserve">La </w:t>
      </w:r>
      <w:proofErr w:type="spellStart"/>
      <w:r w:rsidRPr="009F74EC">
        <w:rPr>
          <w:rFonts w:cs="Arial"/>
        </w:rPr>
        <w:t>SdR</w:t>
      </w:r>
      <w:proofErr w:type="spellEnd"/>
      <w:r w:rsidRPr="009F74EC">
        <w:rPr>
          <w:rFonts w:cs="Arial"/>
        </w:rPr>
        <w:t xml:space="preserve"> consideró contradictorio el hecho de que el recurrente se quejara de que la Oficina declinara su solicitud de organizar una vista oral y de convocar al Prof. </w:t>
      </w:r>
      <w:proofErr w:type="spellStart"/>
      <w:r w:rsidRPr="009F74EC">
        <w:rPr>
          <w:rFonts w:cs="Arial"/>
        </w:rPr>
        <w:t>Bergamini</w:t>
      </w:r>
      <w:proofErr w:type="spellEnd"/>
      <w:r w:rsidRPr="009F74EC">
        <w:rPr>
          <w:rFonts w:cs="Arial"/>
        </w:rPr>
        <w:t xml:space="preserve"> (en primera instancia), mientras que cuando se le concedió la oportunidad de ser oído oralmente ante la </w:t>
      </w:r>
      <w:proofErr w:type="spellStart"/>
      <w:r w:rsidRPr="009F74EC">
        <w:rPr>
          <w:rFonts w:cs="Arial"/>
        </w:rPr>
        <w:t>SdR</w:t>
      </w:r>
      <w:proofErr w:type="spellEnd"/>
      <w:r w:rsidRPr="009F74EC">
        <w:rPr>
          <w:rFonts w:cs="Arial"/>
        </w:rPr>
        <w:t xml:space="preserve"> (en segunda instancia) renunció a esta posibilidad en el último momento. </w:t>
      </w:r>
    </w:p>
    <w:p w14:paraId="7CDC05C0" w14:textId="77777777" w:rsidR="005A5957" w:rsidRPr="009F74EC" w:rsidRDefault="005A5957" w:rsidP="005A5957">
      <w:pPr>
        <w:rPr>
          <w:rFonts w:cs="Arial"/>
        </w:rPr>
      </w:pPr>
    </w:p>
    <w:p w14:paraId="1FD59F7F" w14:textId="77777777" w:rsidR="005A5957" w:rsidRPr="009F74EC" w:rsidRDefault="005A5957" w:rsidP="005A5957">
      <w:pPr>
        <w:rPr>
          <w:rFonts w:cs="Arial"/>
        </w:rPr>
      </w:pPr>
      <w:r w:rsidRPr="009F74EC">
        <w:rPr>
          <w:rFonts w:cs="Arial"/>
        </w:rPr>
        <w:t xml:space="preserve">Por último, la </w:t>
      </w:r>
      <w:proofErr w:type="spellStart"/>
      <w:r w:rsidRPr="009F74EC">
        <w:rPr>
          <w:rFonts w:cs="Arial"/>
        </w:rPr>
        <w:t>SdR</w:t>
      </w:r>
      <w:proofErr w:type="spellEnd"/>
      <w:r w:rsidRPr="009F74EC">
        <w:rPr>
          <w:rFonts w:cs="Arial"/>
        </w:rPr>
        <w:t xml:space="preserve"> reconoció la dilatada experiencia de los examinadores de la OE y considera que sus conclusiones son fiables por este motivo.</w:t>
      </w:r>
    </w:p>
    <w:p w14:paraId="615491A4" w14:textId="77777777" w:rsidR="005A5957" w:rsidRPr="009F74EC" w:rsidRDefault="005A5957" w:rsidP="005A5957">
      <w:pPr>
        <w:rPr>
          <w:rFonts w:cs="Arial"/>
        </w:rPr>
      </w:pPr>
    </w:p>
    <w:p w14:paraId="04643DDD" w14:textId="77777777" w:rsidR="005A5957" w:rsidRPr="009F74EC" w:rsidRDefault="005A5957" w:rsidP="005A5957">
      <w:pPr>
        <w:rPr>
          <w:rFonts w:cs="Arial"/>
        </w:rPr>
      </w:pPr>
      <w:r w:rsidRPr="009F74EC">
        <w:rPr>
          <w:rFonts w:cs="Arial"/>
        </w:rPr>
        <w:t>En conclusión, el recurso fue declarado admisible pero no fundado. Se condenó en costas a la recurrente, de conformidad con el artículo 85, apartado 1, del Reglamento de base.</w:t>
      </w:r>
    </w:p>
    <w:p w14:paraId="14A5EF60" w14:textId="77777777" w:rsidR="005A5957" w:rsidRPr="009F74EC" w:rsidRDefault="005A5957" w:rsidP="005A5957">
      <w:pPr>
        <w:rPr>
          <w:rFonts w:eastAsia="Cambria" w:cs="Arial"/>
          <w:b/>
          <w:spacing w:val="-3"/>
        </w:rPr>
      </w:pPr>
    </w:p>
    <w:p w14:paraId="3CDCF02B" w14:textId="77777777" w:rsidR="005A5957" w:rsidRPr="009F74EC" w:rsidRDefault="005A5957" w:rsidP="005A5957">
      <w:pPr>
        <w:rPr>
          <w:rFonts w:eastAsia="Cambria" w:cs="Arial"/>
          <w:b/>
          <w:spacing w:val="-3"/>
        </w:rPr>
      </w:pPr>
    </w:p>
    <w:p w14:paraId="02F6879A" w14:textId="77777777" w:rsidR="005A5957" w:rsidRPr="009F74EC" w:rsidRDefault="005A5957" w:rsidP="005A5957">
      <w:pPr>
        <w:rPr>
          <w:rFonts w:cs="Arial"/>
          <w:bCs/>
          <w:u w:val="single"/>
        </w:rPr>
      </w:pPr>
      <w:r w:rsidRPr="009F74EC">
        <w:rPr>
          <w:rFonts w:cs="Arial"/>
          <w:bCs/>
          <w:u w:val="single"/>
        </w:rPr>
        <w:t>2)</w:t>
      </w:r>
      <w:r w:rsidRPr="009F74EC">
        <w:rPr>
          <w:rFonts w:cs="Arial"/>
          <w:bCs/>
          <w:u w:val="single"/>
        </w:rPr>
        <w:tab/>
        <w:t xml:space="preserve">Cooperación en el examen  </w:t>
      </w:r>
    </w:p>
    <w:p w14:paraId="46BCDA97" w14:textId="77777777" w:rsidR="005A5957" w:rsidRPr="009F74EC" w:rsidRDefault="005A5957" w:rsidP="005A5957">
      <w:pPr>
        <w:rPr>
          <w:rFonts w:cs="Arial"/>
          <w:u w:val="single"/>
        </w:rPr>
      </w:pPr>
    </w:p>
    <w:p w14:paraId="561A9CD0" w14:textId="77777777" w:rsidR="005A5957" w:rsidRPr="009F74EC" w:rsidRDefault="005A5957" w:rsidP="005A5957">
      <w:pPr>
        <w:rPr>
          <w:rFonts w:cs="Arial"/>
        </w:rPr>
      </w:pPr>
      <w:r w:rsidRPr="009F74EC">
        <w:rPr>
          <w:rFonts w:cs="Arial"/>
          <w:u w:val="single"/>
        </w:rPr>
        <w:t>2.1 Celebración de nuevos acuerdos</w:t>
      </w:r>
      <w:r w:rsidRPr="009F74EC">
        <w:rPr>
          <w:rFonts w:cs="Arial"/>
        </w:rPr>
        <w:t>:  Nada que comunicar.</w:t>
      </w:r>
    </w:p>
    <w:p w14:paraId="55FEACC1" w14:textId="77777777" w:rsidR="005A5957" w:rsidRPr="009F74EC" w:rsidRDefault="005A5957" w:rsidP="005A5957">
      <w:pPr>
        <w:rPr>
          <w:rFonts w:cs="Arial"/>
        </w:rPr>
      </w:pPr>
    </w:p>
    <w:p w14:paraId="2636561C" w14:textId="77777777" w:rsidR="005A5957" w:rsidRPr="009F74EC" w:rsidRDefault="005A5957" w:rsidP="005A5957">
      <w:pPr>
        <w:rPr>
          <w:rFonts w:cs="Arial"/>
        </w:rPr>
      </w:pPr>
      <w:r w:rsidRPr="009F74EC">
        <w:rPr>
          <w:rFonts w:cs="Arial"/>
          <w:u w:val="single"/>
        </w:rPr>
        <w:t>2.2 Modificación de los acuerdos existentes</w:t>
      </w:r>
      <w:r w:rsidRPr="009F74EC">
        <w:rPr>
          <w:rFonts w:cs="Arial"/>
        </w:rPr>
        <w:t>:  Nada que comunicar.</w:t>
      </w:r>
    </w:p>
    <w:p w14:paraId="0D923C87" w14:textId="77777777" w:rsidR="005A5957" w:rsidRPr="009F74EC" w:rsidRDefault="005A5957" w:rsidP="005A5957">
      <w:pPr>
        <w:rPr>
          <w:rFonts w:cs="Arial"/>
        </w:rPr>
      </w:pPr>
    </w:p>
    <w:p w14:paraId="3E28BE0A" w14:textId="77777777" w:rsidR="005A5957" w:rsidRPr="009F74EC" w:rsidRDefault="005A5957" w:rsidP="005A5957">
      <w:pPr>
        <w:rPr>
          <w:rFonts w:cs="Arial"/>
        </w:rPr>
      </w:pPr>
      <w:r w:rsidRPr="009F74EC">
        <w:rPr>
          <w:rFonts w:cs="Arial"/>
          <w:u w:val="single"/>
        </w:rPr>
        <w:t>2.3 Memorándum de acuerdo con terceros países</w:t>
      </w:r>
      <w:r w:rsidRPr="009F74EC">
        <w:rPr>
          <w:rFonts w:cs="Arial"/>
        </w:rPr>
        <w:t>:  Nada que comunicar.</w:t>
      </w:r>
    </w:p>
    <w:p w14:paraId="3C0F6BE9" w14:textId="77777777" w:rsidR="005A5957" w:rsidRPr="009F74EC" w:rsidRDefault="005A5957" w:rsidP="005A5957">
      <w:pPr>
        <w:rPr>
          <w:rFonts w:cs="Arial"/>
          <w:u w:val="single"/>
        </w:rPr>
      </w:pPr>
    </w:p>
    <w:p w14:paraId="36ABA129" w14:textId="77777777" w:rsidR="005A5957" w:rsidRPr="009F74EC" w:rsidRDefault="005A5957" w:rsidP="005A5957">
      <w:pPr>
        <w:rPr>
          <w:rFonts w:cs="Arial"/>
          <w:b/>
          <w:u w:val="single"/>
        </w:rPr>
      </w:pPr>
    </w:p>
    <w:p w14:paraId="715281BA" w14:textId="77777777" w:rsidR="005A5957" w:rsidRPr="009F74EC" w:rsidRDefault="005A5957" w:rsidP="005A5957">
      <w:pPr>
        <w:rPr>
          <w:rFonts w:cs="Arial"/>
        </w:rPr>
      </w:pPr>
      <w:r w:rsidRPr="009F74EC">
        <w:rPr>
          <w:rFonts w:cs="Arial"/>
          <w:bCs/>
          <w:u w:val="single"/>
        </w:rPr>
        <w:t>3)</w:t>
      </w:r>
      <w:r w:rsidRPr="009F74EC">
        <w:rPr>
          <w:rFonts w:cs="Arial"/>
          <w:bCs/>
          <w:u w:val="single"/>
        </w:rPr>
        <w:tab/>
        <w:t>Situación en el ámbito administrativo</w:t>
      </w:r>
      <w:r w:rsidRPr="009F74EC">
        <w:rPr>
          <w:rFonts w:cs="Arial"/>
          <w:bCs/>
        </w:rPr>
        <w:t xml:space="preserve">:  </w:t>
      </w:r>
      <w:r w:rsidRPr="009F74EC">
        <w:rPr>
          <w:rFonts w:cs="Arial"/>
        </w:rPr>
        <w:t>Nada que informar.</w:t>
      </w:r>
    </w:p>
    <w:p w14:paraId="0547A2A0" w14:textId="77777777" w:rsidR="005A5957" w:rsidRPr="009F74EC" w:rsidRDefault="005A5957" w:rsidP="005A5957">
      <w:pPr>
        <w:autoSpaceDE w:val="0"/>
        <w:autoSpaceDN w:val="0"/>
        <w:adjustRightInd w:val="0"/>
        <w:rPr>
          <w:rFonts w:cs="Arial"/>
        </w:rPr>
      </w:pPr>
    </w:p>
    <w:p w14:paraId="283696E3" w14:textId="77777777" w:rsidR="005A5957" w:rsidRPr="009F74EC" w:rsidRDefault="005A5957" w:rsidP="005A5957">
      <w:pPr>
        <w:autoSpaceDE w:val="0"/>
        <w:autoSpaceDN w:val="0"/>
        <w:adjustRightInd w:val="0"/>
        <w:rPr>
          <w:rFonts w:cs="Arial"/>
        </w:rPr>
      </w:pPr>
    </w:p>
    <w:p w14:paraId="5147563C" w14:textId="77777777" w:rsidR="005A5957" w:rsidRPr="009F74EC" w:rsidRDefault="005A5957" w:rsidP="005A5957">
      <w:pPr>
        <w:keepNext/>
        <w:rPr>
          <w:rFonts w:cs="Arial"/>
          <w:bCs/>
          <w:u w:val="single"/>
        </w:rPr>
      </w:pPr>
      <w:r w:rsidRPr="009F74EC">
        <w:rPr>
          <w:rFonts w:cs="Arial"/>
          <w:bCs/>
          <w:u w:val="single"/>
        </w:rPr>
        <w:t>4)</w:t>
      </w:r>
      <w:r w:rsidRPr="009F74EC">
        <w:rPr>
          <w:rFonts w:cs="Arial"/>
          <w:bCs/>
          <w:u w:val="single"/>
        </w:rPr>
        <w:tab/>
        <w:t>Situación en el ámbito técnico</w:t>
      </w:r>
    </w:p>
    <w:p w14:paraId="38C4187C" w14:textId="77777777" w:rsidR="005A5957" w:rsidRPr="009F74EC" w:rsidRDefault="005A5957" w:rsidP="005A5957">
      <w:pPr>
        <w:keepNext/>
        <w:rPr>
          <w:rFonts w:cs="Arial"/>
          <w:bCs/>
          <w:u w:val="single"/>
        </w:rPr>
      </w:pPr>
    </w:p>
    <w:p w14:paraId="55EC1AF9" w14:textId="77777777" w:rsidR="005A5957" w:rsidRPr="009F74EC" w:rsidRDefault="005A5957" w:rsidP="005A5957">
      <w:pPr>
        <w:keepNext/>
        <w:rPr>
          <w:rFonts w:cs="Arial"/>
          <w:u w:val="single"/>
        </w:rPr>
      </w:pPr>
      <w:r w:rsidRPr="009F74EC">
        <w:rPr>
          <w:rFonts w:cs="Arial"/>
          <w:u w:val="single"/>
        </w:rPr>
        <w:t xml:space="preserve">4.1 Información sobre el funcionamiento de la protección comunitaria de las obtenciones vegetales </w:t>
      </w:r>
    </w:p>
    <w:p w14:paraId="5DD398B3" w14:textId="77777777" w:rsidR="005A5957" w:rsidRPr="009F74EC" w:rsidRDefault="005A5957" w:rsidP="005A5957">
      <w:pPr>
        <w:keepNext/>
        <w:rPr>
          <w:rFonts w:cs="Arial"/>
          <w:bCs/>
          <w:u w:val="single"/>
        </w:rPr>
      </w:pPr>
    </w:p>
    <w:p w14:paraId="1995E77E" w14:textId="77777777" w:rsidR="005A5957" w:rsidRPr="009F74EC" w:rsidRDefault="005A5957" w:rsidP="005A5957">
      <w:pPr>
        <w:keepNext/>
        <w:rPr>
          <w:rFonts w:cs="Arial"/>
          <w:bCs/>
          <w:u w:val="single"/>
        </w:rPr>
      </w:pPr>
      <w:r w:rsidRPr="009F74EC">
        <w:rPr>
          <w:rFonts w:cs="Arial"/>
          <w:bCs/>
          <w:u w:val="single"/>
        </w:rPr>
        <w:t>a. Relación con las oficinas de examen (</w:t>
      </w:r>
      <w:proofErr w:type="spellStart"/>
      <w:r w:rsidRPr="009F74EC">
        <w:rPr>
          <w:rFonts w:cs="Arial"/>
          <w:bCs/>
          <w:u w:val="single"/>
        </w:rPr>
        <w:t>Eos</w:t>
      </w:r>
      <w:proofErr w:type="spellEnd"/>
      <w:r w:rsidRPr="009F74EC">
        <w:rPr>
          <w:rFonts w:cs="Arial"/>
          <w:bCs/>
          <w:u w:val="single"/>
        </w:rPr>
        <w:t>)</w:t>
      </w:r>
    </w:p>
    <w:p w14:paraId="26DE85CC" w14:textId="77777777" w:rsidR="005A5957" w:rsidRPr="009F74EC" w:rsidRDefault="005A5957" w:rsidP="005A5957">
      <w:pPr>
        <w:keepNext/>
        <w:rPr>
          <w:rFonts w:cs="Arial"/>
        </w:rPr>
      </w:pPr>
    </w:p>
    <w:p w14:paraId="41BF9F5A" w14:textId="5EC973E0" w:rsidR="005A5957" w:rsidRPr="009F74EC" w:rsidRDefault="005A5957" w:rsidP="005A5957">
      <w:pPr>
        <w:rPr>
          <w:rFonts w:cs="Arial"/>
        </w:rPr>
      </w:pPr>
      <w:r w:rsidRPr="009F74EC">
        <w:rPr>
          <w:rFonts w:cs="Arial"/>
        </w:rPr>
        <w:t xml:space="preserve">En diciembre de 2022, la OCVV celebró su 26 reunión anual con sus OE de los Estados miembros de la UE, a la que también asistieron representantes de la Comisión Europea, la oficina de la UPOV y las organizaciones de obtentores (CIOPORA, </w:t>
      </w:r>
      <w:proofErr w:type="spellStart"/>
      <w:r w:rsidRPr="009F74EC">
        <w:rPr>
          <w:rFonts w:cs="Arial"/>
        </w:rPr>
        <w:t>Euroseeds</w:t>
      </w:r>
      <w:proofErr w:type="spellEnd"/>
      <w:r w:rsidRPr="009F74EC">
        <w:rPr>
          <w:rFonts w:cs="Arial"/>
        </w:rPr>
        <w:t xml:space="preserve">, </w:t>
      </w:r>
      <w:proofErr w:type="spellStart"/>
      <w:r w:rsidRPr="009F74EC">
        <w:rPr>
          <w:rFonts w:cs="Arial"/>
        </w:rPr>
        <w:t>Plantum</w:t>
      </w:r>
      <w:proofErr w:type="spellEnd"/>
      <w:r w:rsidRPr="009F74EC">
        <w:rPr>
          <w:rFonts w:cs="Arial"/>
        </w:rPr>
        <w:t xml:space="preserve"> y ECO-PB), así como representantes de Suiza y Noruega en calidad de Oficinas de la OCVV no pertenecientes a la UE. La reunión se celebró por videoconferencia. Los principales temas de debate fueron los siguientes</w:t>
      </w:r>
    </w:p>
    <w:p w14:paraId="6F511B08" w14:textId="77777777" w:rsidR="005A5957" w:rsidRPr="009F74EC" w:rsidRDefault="005A5957" w:rsidP="005A5957">
      <w:pPr>
        <w:rPr>
          <w:rFonts w:cs="Arial"/>
        </w:rPr>
      </w:pPr>
    </w:p>
    <w:p w14:paraId="1586EBDC" w14:textId="77777777" w:rsidR="005A5957" w:rsidRPr="009F74EC" w:rsidRDefault="005A5957" w:rsidP="005A5957">
      <w:pPr>
        <w:numPr>
          <w:ilvl w:val="0"/>
          <w:numId w:val="31"/>
        </w:numPr>
        <w:shd w:val="clear" w:color="auto" w:fill="FFFFFF"/>
        <w:autoSpaceDE w:val="0"/>
        <w:autoSpaceDN w:val="0"/>
        <w:adjustRightInd w:val="0"/>
        <w:spacing w:after="40"/>
        <w:ind w:left="357" w:hanging="357"/>
        <w:textAlignment w:val="center"/>
        <w:rPr>
          <w:rFonts w:cs="Arial"/>
          <w:color w:val="000000"/>
        </w:rPr>
      </w:pPr>
      <w:r w:rsidRPr="009F74EC">
        <w:rPr>
          <w:rFonts w:cs="Arial"/>
          <w:color w:val="000000"/>
        </w:rPr>
        <w:t>Información y presentación de los informes de examen</w:t>
      </w:r>
    </w:p>
    <w:p w14:paraId="74130467" w14:textId="77777777" w:rsidR="005A5957" w:rsidRPr="009F74EC" w:rsidRDefault="005A5957" w:rsidP="005A5957">
      <w:pPr>
        <w:numPr>
          <w:ilvl w:val="0"/>
          <w:numId w:val="31"/>
        </w:numPr>
        <w:shd w:val="clear" w:color="auto" w:fill="FFFFFF"/>
        <w:autoSpaceDE w:val="0"/>
        <w:autoSpaceDN w:val="0"/>
        <w:adjustRightInd w:val="0"/>
        <w:spacing w:after="40"/>
        <w:ind w:left="357" w:hanging="357"/>
        <w:textAlignment w:val="center"/>
        <w:rPr>
          <w:rFonts w:cs="Arial"/>
          <w:color w:val="000000"/>
        </w:rPr>
      </w:pPr>
      <w:r w:rsidRPr="009F74EC">
        <w:rPr>
          <w:rFonts w:cs="Arial"/>
          <w:color w:val="000000"/>
        </w:rPr>
        <w:t>Cuestionarios técnicos</w:t>
      </w:r>
    </w:p>
    <w:p w14:paraId="189CC713" w14:textId="77777777" w:rsidR="005A5957" w:rsidRPr="009F74EC" w:rsidRDefault="005A5957" w:rsidP="005A5957">
      <w:pPr>
        <w:numPr>
          <w:ilvl w:val="0"/>
          <w:numId w:val="31"/>
        </w:numPr>
        <w:shd w:val="clear" w:color="auto" w:fill="FFFFFF"/>
        <w:autoSpaceDE w:val="0"/>
        <w:autoSpaceDN w:val="0"/>
        <w:adjustRightInd w:val="0"/>
        <w:spacing w:after="40"/>
        <w:ind w:left="357" w:hanging="357"/>
        <w:textAlignment w:val="center"/>
        <w:rPr>
          <w:rFonts w:cs="Arial"/>
          <w:color w:val="000000"/>
        </w:rPr>
      </w:pPr>
      <w:r w:rsidRPr="009F74EC">
        <w:rPr>
          <w:rFonts w:cs="Arial"/>
        </w:rPr>
        <w:t>No disponibilidad de variedades de referencia</w:t>
      </w:r>
    </w:p>
    <w:p w14:paraId="518DEDDB" w14:textId="77777777" w:rsidR="005A5957" w:rsidRPr="009F74EC" w:rsidRDefault="005A5957" w:rsidP="005A5957">
      <w:pPr>
        <w:numPr>
          <w:ilvl w:val="0"/>
          <w:numId w:val="31"/>
        </w:numPr>
        <w:shd w:val="clear" w:color="auto" w:fill="FFFFFF"/>
        <w:autoSpaceDE w:val="0"/>
        <w:autoSpaceDN w:val="0"/>
        <w:adjustRightInd w:val="0"/>
        <w:spacing w:after="40"/>
        <w:ind w:left="357" w:hanging="357"/>
        <w:textAlignment w:val="center"/>
        <w:rPr>
          <w:rFonts w:cs="Arial"/>
          <w:color w:val="000000"/>
        </w:rPr>
      </w:pPr>
      <w:r w:rsidRPr="009F74EC">
        <w:rPr>
          <w:rFonts w:cs="Arial"/>
        </w:rPr>
        <w:t>Observaciones individuales en pruebas plurianuales</w:t>
      </w:r>
    </w:p>
    <w:p w14:paraId="4CEACF1D" w14:textId="77777777" w:rsidR="005A5957" w:rsidRPr="009F74EC" w:rsidRDefault="005A5957" w:rsidP="005A5957">
      <w:pPr>
        <w:numPr>
          <w:ilvl w:val="0"/>
          <w:numId w:val="31"/>
        </w:numPr>
        <w:shd w:val="clear" w:color="auto" w:fill="FFFFFF"/>
        <w:autoSpaceDE w:val="0"/>
        <w:autoSpaceDN w:val="0"/>
        <w:adjustRightInd w:val="0"/>
        <w:spacing w:after="40"/>
        <w:ind w:left="357" w:hanging="357"/>
        <w:textAlignment w:val="center"/>
        <w:rPr>
          <w:rFonts w:cs="Arial"/>
          <w:color w:val="000000"/>
        </w:rPr>
      </w:pPr>
      <w:r w:rsidRPr="009F74EC">
        <w:rPr>
          <w:rFonts w:cs="Arial"/>
        </w:rPr>
        <w:t>Orientación sobre la aplicación de las directrices de examen de la UPOV en los protocolos técnicos de la OCVV</w:t>
      </w:r>
    </w:p>
    <w:p w14:paraId="67185C3B" w14:textId="77777777" w:rsidR="005A5957" w:rsidRPr="009F74EC" w:rsidRDefault="005A5957" w:rsidP="005A5957">
      <w:pPr>
        <w:numPr>
          <w:ilvl w:val="0"/>
          <w:numId w:val="31"/>
        </w:numPr>
        <w:shd w:val="clear" w:color="auto" w:fill="FFFFFF"/>
        <w:autoSpaceDE w:val="0"/>
        <w:autoSpaceDN w:val="0"/>
        <w:adjustRightInd w:val="0"/>
        <w:spacing w:after="40"/>
        <w:ind w:left="357" w:hanging="357"/>
        <w:textAlignment w:val="center"/>
        <w:rPr>
          <w:rFonts w:cs="Arial"/>
          <w:color w:val="000000"/>
        </w:rPr>
      </w:pPr>
      <w:r w:rsidRPr="009F74EC">
        <w:rPr>
          <w:rFonts w:cs="Arial"/>
        </w:rPr>
        <w:t>Muestras de ADN</w:t>
      </w:r>
    </w:p>
    <w:p w14:paraId="2C973553" w14:textId="77777777" w:rsidR="005A5957" w:rsidRPr="009F74EC" w:rsidRDefault="005A5957" w:rsidP="005A5957">
      <w:pPr>
        <w:numPr>
          <w:ilvl w:val="0"/>
          <w:numId w:val="31"/>
        </w:numPr>
        <w:shd w:val="clear" w:color="auto" w:fill="FFFFFF"/>
        <w:autoSpaceDE w:val="0"/>
        <w:autoSpaceDN w:val="0"/>
        <w:adjustRightInd w:val="0"/>
        <w:spacing w:after="40"/>
        <w:ind w:left="357" w:hanging="357"/>
        <w:textAlignment w:val="center"/>
        <w:rPr>
          <w:rFonts w:cs="Arial"/>
          <w:color w:val="000000"/>
        </w:rPr>
      </w:pPr>
      <w:r w:rsidRPr="009F74EC">
        <w:rPr>
          <w:rFonts w:cs="Arial"/>
        </w:rPr>
        <w:t>Requisitos de presentación relacionados con el Pasaporte Fitosanitario</w:t>
      </w:r>
    </w:p>
    <w:p w14:paraId="3FE58E97" w14:textId="77777777" w:rsidR="005A5957" w:rsidRPr="009F74EC" w:rsidRDefault="005A5957" w:rsidP="005A5957">
      <w:pPr>
        <w:numPr>
          <w:ilvl w:val="0"/>
          <w:numId w:val="31"/>
        </w:numPr>
        <w:shd w:val="clear" w:color="auto" w:fill="FFFFFF"/>
        <w:autoSpaceDE w:val="0"/>
        <w:autoSpaceDN w:val="0"/>
        <w:adjustRightInd w:val="0"/>
        <w:textAlignment w:val="center"/>
        <w:rPr>
          <w:rFonts w:cs="Arial"/>
          <w:color w:val="000000"/>
        </w:rPr>
      </w:pPr>
      <w:r w:rsidRPr="009F74EC">
        <w:rPr>
          <w:rFonts w:cs="Arial"/>
        </w:rPr>
        <w:t>Diversas cuestiones relacionadas con el Servicio de Evaluación de la Calidad</w:t>
      </w:r>
    </w:p>
    <w:p w14:paraId="649BFDBC" w14:textId="77777777" w:rsidR="005A5957" w:rsidRPr="009F74EC" w:rsidRDefault="005A5957" w:rsidP="005A5957">
      <w:pPr>
        <w:shd w:val="clear" w:color="auto" w:fill="FFFFFF"/>
        <w:tabs>
          <w:tab w:val="left" w:pos="567"/>
          <w:tab w:val="left" w:pos="9072"/>
          <w:tab w:val="left" w:pos="9214"/>
        </w:tabs>
        <w:rPr>
          <w:rFonts w:cs="Arial"/>
        </w:rPr>
      </w:pPr>
    </w:p>
    <w:p w14:paraId="4F620F0E" w14:textId="77777777" w:rsidR="005A5957" w:rsidRPr="009F74EC" w:rsidRDefault="005A5957" w:rsidP="005A5957">
      <w:pPr>
        <w:shd w:val="clear" w:color="auto" w:fill="FFFFFF"/>
        <w:tabs>
          <w:tab w:val="left" w:pos="567"/>
          <w:tab w:val="left" w:pos="9072"/>
          <w:tab w:val="left" w:pos="9214"/>
        </w:tabs>
        <w:rPr>
          <w:rFonts w:cs="Arial"/>
        </w:rPr>
      </w:pPr>
      <w:r w:rsidRPr="009F74EC">
        <w:rPr>
          <w:rFonts w:cs="Arial"/>
        </w:rPr>
        <w:t>Además, se informó a los participantes sobre la jurisprudencia, la situación de los proyectos de I+D, los proyectos informáticos y el cálculo de los costes por parte de las OE.</w:t>
      </w:r>
    </w:p>
    <w:p w14:paraId="7FE86C4A" w14:textId="77777777" w:rsidR="005A5957" w:rsidRPr="009F74EC" w:rsidRDefault="005A5957" w:rsidP="005A5957">
      <w:pPr>
        <w:shd w:val="clear" w:color="auto" w:fill="FFFFFF"/>
        <w:tabs>
          <w:tab w:val="left" w:pos="567"/>
          <w:tab w:val="left" w:pos="9072"/>
          <w:tab w:val="left" w:pos="9214"/>
        </w:tabs>
        <w:rPr>
          <w:rFonts w:cs="Arial"/>
        </w:rPr>
      </w:pPr>
    </w:p>
    <w:p w14:paraId="128F5BC8" w14:textId="77777777" w:rsidR="005A5957" w:rsidRPr="009F74EC" w:rsidRDefault="005A5957" w:rsidP="005A5957">
      <w:pPr>
        <w:rPr>
          <w:rFonts w:cs="Arial"/>
          <w:u w:val="single"/>
        </w:rPr>
      </w:pPr>
      <w:r w:rsidRPr="009F74EC">
        <w:rPr>
          <w:rFonts w:cs="Arial"/>
          <w:u w:val="single"/>
        </w:rPr>
        <w:t xml:space="preserve">b. Preparación de los protocolos de la OCVV  </w:t>
      </w:r>
    </w:p>
    <w:p w14:paraId="20C0B5BD" w14:textId="77777777" w:rsidR="005A5957" w:rsidRPr="009F74EC" w:rsidRDefault="005A5957" w:rsidP="005A5957">
      <w:pPr>
        <w:ind w:right="43"/>
        <w:rPr>
          <w:rFonts w:cs="Arial"/>
        </w:rPr>
      </w:pPr>
    </w:p>
    <w:p w14:paraId="1C08E256" w14:textId="77777777" w:rsidR="005A5957" w:rsidRPr="009F74EC" w:rsidRDefault="005A5957" w:rsidP="005A5957">
      <w:pPr>
        <w:ind w:right="43"/>
        <w:rPr>
          <w:rFonts w:cs="Arial"/>
        </w:rPr>
      </w:pPr>
      <w:r w:rsidRPr="009F74EC">
        <w:rPr>
          <w:rFonts w:cs="Arial"/>
        </w:rPr>
        <w:t>En 2022, se invitó a expertos de las oficinas de examen de los Estados miembros de la UE a participar en la elaboración o revisión de protocolos técnicos para el examen DHE que, o bien fueron aprobados posteriormente por el Consejo de Administración, o bien cabe esperar que se aprueben en 2023. Se celebraron reuniones de expertos para debatir los protocolos técnicos de:</w:t>
      </w:r>
    </w:p>
    <w:p w14:paraId="1BDFCC72" w14:textId="77777777" w:rsidR="005A5957" w:rsidRPr="009F74EC" w:rsidRDefault="005A5957" w:rsidP="005A5957">
      <w:pPr>
        <w:ind w:right="43"/>
        <w:rPr>
          <w:rFonts w:cs="Arial"/>
        </w:rPr>
      </w:pPr>
    </w:p>
    <w:p w14:paraId="73B2E4AA" w14:textId="77777777" w:rsidR="005A5957" w:rsidRPr="009F74EC" w:rsidRDefault="005A5957" w:rsidP="005A5957">
      <w:pPr>
        <w:numPr>
          <w:ilvl w:val="0"/>
          <w:numId w:val="31"/>
        </w:numPr>
        <w:shd w:val="clear" w:color="auto" w:fill="FFFFFF"/>
        <w:autoSpaceDE w:val="0"/>
        <w:autoSpaceDN w:val="0"/>
        <w:adjustRightInd w:val="0"/>
        <w:spacing w:after="40"/>
        <w:ind w:left="357" w:hanging="357"/>
        <w:textAlignment w:val="center"/>
        <w:rPr>
          <w:rFonts w:cs="Arial"/>
        </w:rPr>
      </w:pPr>
      <w:r w:rsidRPr="009F74EC">
        <w:rPr>
          <w:rFonts w:cs="Arial"/>
        </w:rPr>
        <w:t xml:space="preserve">Cultivos agrícolas: </w:t>
      </w:r>
      <w:r w:rsidRPr="009F74EC">
        <w:rPr>
          <w:rFonts w:cs="Arial"/>
          <w:color w:val="000000"/>
        </w:rPr>
        <w:t xml:space="preserve">cáñamo, </w:t>
      </w:r>
      <w:proofErr w:type="spellStart"/>
      <w:r w:rsidRPr="009F74EC">
        <w:rPr>
          <w:rFonts w:cs="Arial"/>
          <w:color w:val="000000"/>
        </w:rPr>
        <w:t>triticale</w:t>
      </w:r>
      <w:proofErr w:type="spellEnd"/>
      <w:r w:rsidRPr="009F74EC">
        <w:rPr>
          <w:rFonts w:cs="Arial"/>
          <w:color w:val="000000"/>
        </w:rPr>
        <w:t xml:space="preserve"> y centeno</w:t>
      </w:r>
    </w:p>
    <w:p w14:paraId="30FB30E4" w14:textId="77777777" w:rsidR="005A5957" w:rsidRPr="009F74EC" w:rsidRDefault="005A5957" w:rsidP="005A5957">
      <w:pPr>
        <w:numPr>
          <w:ilvl w:val="0"/>
          <w:numId w:val="31"/>
        </w:numPr>
        <w:shd w:val="clear" w:color="auto" w:fill="FFFFFF"/>
        <w:autoSpaceDE w:val="0"/>
        <w:autoSpaceDN w:val="0"/>
        <w:adjustRightInd w:val="0"/>
        <w:spacing w:after="40"/>
        <w:ind w:left="357" w:hanging="357"/>
        <w:textAlignment w:val="center"/>
        <w:rPr>
          <w:rFonts w:cs="Arial"/>
        </w:rPr>
      </w:pPr>
      <w:r w:rsidRPr="009F74EC">
        <w:rPr>
          <w:rFonts w:cs="Arial"/>
        </w:rPr>
        <w:t xml:space="preserve">Cultivos hortícolas: rúcula silvestre, rúcula de jardín, achicoria de hoja, </w:t>
      </w:r>
      <w:r w:rsidRPr="009F74EC">
        <w:rPr>
          <w:rFonts w:cs="Arial"/>
          <w:color w:val="000000"/>
        </w:rPr>
        <w:t xml:space="preserve">sandía, </w:t>
      </w:r>
      <w:proofErr w:type="spellStart"/>
      <w:r w:rsidRPr="009F74EC">
        <w:rPr>
          <w:rFonts w:cs="Arial"/>
          <w:color w:val="000000"/>
        </w:rPr>
        <w:t>colirrábano</w:t>
      </w:r>
      <w:proofErr w:type="spellEnd"/>
      <w:r w:rsidRPr="009F74EC">
        <w:rPr>
          <w:rFonts w:cs="Arial"/>
          <w:color w:val="000000"/>
        </w:rPr>
        <w:t xml:space="preserve"> y ajo.</w:t>
      </w:r>
    </w:p>
    <w:p w14:paraId="2F8F5A4B" w14:textId="77777777" w:rsidR="005A5957" w:rsidRPr="009F74EC" w:rsidRDefault="005A5957" w:rsidP="005A5957">
      <w:pPr>
        <w:numPr>
          <w:ilvl w:val="0"/>
          <w:numId w:val="31"/>
        </w:numPr>
        <w:shd w:val="clear" w:color="auto" w:fill="FFFFFF"/>
        <w:autoSpaceDE w:val="0"/>
        <w:autoSpaceDN w:val="0"/>
        <w:adjustRightInd w:val="0"/>
        <w:spacing w:after="40"/>
        <w:ind w:left="357" w:hanging="357"/>
        <w:textAlignment w:val="center"/>
        <w:rPr>
          <w:rFonts w:cs="Arial"/>
          <w:i/>
          <w:iCs/>
          <w:u w:val="single"/>
        </w:rPr>
      </w:pPr>
      <w:r w:rsidRPr="009F74EC">
        <w:rPr>
          <w:rFonts w:cs="Arial"/>
        </w:rPr>
        <w:t xml:space="preserve">Cultivos ornamentales: </w:t>
      </w:r>
      <w:bookmarkStart w:id="5" w:name="_Toc25329854"/>
      <w:proofErr w:type="spellStart"/>
      <w:r w:rsidRPr="009F74EC">
        <w:rPr>
          <w:rFonts w:cs="Arial"/>
          <w:i/>
          <w:iCs/>
          <w:color w:val="000000"/>
        </w:rPr>
        <w:t>Eustoma</w:t>
      </w:r>
      <w:proofErr w:type="spellEnd"/>
      <w:r w:rsidRPr="009F74EC">
        <w:rPr>
          <w:rFonts w:cs="Arial"/>
          <w:i/>
          <w:iCs/>
          <w:color w:val="000000"/>
        </w:rPr>
        <w:t xml:space="preserve"> </w:t>
      </w:r>
      <w:proofErr w:type="spellStart"/>
      <w:r w:rsidRPr="009F74EC">
        <w:rPr>
          <w:rFonts w:cs="Arial"/>
          <w:i/>
          <w:iCs/>
          <w:color w:val="000000"/>
        </w:rPr>
        <w:t>exaltatum</w:t>
      </w:r>
      <w:proofErr w:type="spellEnd"/>
      <w:r w:rsidRPr="009F74EC">
        <w:rPr>
          <w:rFonts w:cs="Arial"/>
          <w:i/>
          <w:iCs/>
          <w:color w:val="000000"/>
        </w:rPr>
        <w:t xml:space="preserve"> </w:t>
      </w:r>
      <w:r w:rsidRPr="009F74EC">
        <w:rPr>
          <w:rFonts w:cs="Arial"/>
          <w:i/>
          <w:color w:val="000000"/>
        </w:rPr>
        <w:t xml:space="preserve">(L.) </w:t>
      </w:r>
      <w:proofErr w:type="spellStart"/>
      <w:r w:rsidRPr="009F74EC">
        <w:rPr>
          <w:rFonts w:cs="Arial"/>
          <w:i/>
          <w:color w:val="000000"/>
        </w:rPr>
        <w:t>Salisb</w:t>
      </w:r>
      <w:proofErr w:type="spellEnd"/>
      <w:r w:rsidRPr="009F74EC">
        <w:rPr>
          <w:rFonts w:cs="Arial"/>
          <w:i/>
          <w:color w:val="000000"/>
        </w:rPr>
        <w:t xml:space="preserve">. ex G. Don </w:t>
      </w:r>
      <w:proofErr w:type="spellStart"/>
      <w:r w:rsidRPr="009F74EC">
        <w:rPr>
          <w:rFonts w:cs="Arial"/>
          <w:i/>
          <w:color w:val="000000"/>
        </w:rPr>
        <w:t>subsp</w:t>
      </w:r>
      <w:proofErr w:type="spellEnd"/>
      <w:r w:rsidRPr="009F74EC">
        <w:rPr>
          <w:rFonts w:cs="Arial"/>
          <w:i/>
          <w:color w:val="000000"/>
        </w:rPr>
        <w:t xml:space="preserve">. </w:t>
      </w:r>
      <w:proofErr w:type="spellStart"/>
      <w:r w:rsidRPr="009F74EC">
        <w:rPr>
          <w:rFonts w:cs="Arial"/>
          <w:i/>
          <w:iCs/>
          <w:color w:val="000000"/>
        </w:rPr>
        <w:t>russellianum</w:t>
      </w:r>
      <w:proofErr w:type="spellEnd"/>
      <w:r w:rsidRPr="009F74EC">
        <w:rPr>
          <w:rFonts w:cs="Arial"/>
          <w:i/>
          <w:iCs/>
          <w:color w:val="000000"/>
        </w:rPr>
        <w:t xml:space="preserve"> </w:t>
      </w:r>
      <w:r w:rsidRPr="009F74EC">
        <w:rPr>
          <w:rFonts w:cs="Arial"/>
          <w:i/>
          <w:color w:val="000000"/>
        </w:rPr>
        <w:t xml:space="preserve">(Hook.) </w:t>
      </w:r>
      <w:proofErr w:type="spellStart"/>
      <w:r w:rsidRPr="009F74EC">
        <w:rPr>
          <w:rFonts w:cs="Arial"/>
          <w:i/>
          <w:color w:val="000000"/>
        </w:rPr>
        <w:t>Kartesz</w:t>
      </w:r>
      <w:proofErr w:type="spellEnd"/>
      <w:r w:rsidRPr="009F74EC">
        <w:rPr>
          <w:rFonts w:cs="Arial"/>
          <w:color w:val="000000"/>
        </w:rPr>
        <w:t xml:space="preserve">, </w:t>
      </w:r>
      <w:proofErr w:type="spellStart"/>
      <w:r w:rsidRPr="009F74EC">
        <w:rPr>
          <w:rFonts w:cs="Arial"/>
          <w:i/>
          <w:iCs/>
          <w:color w:val="000000"/>
        </w:rPr>
        <w:t>Echinacea</w:t>
      </w:r>
      <w:proofErr w:type="spellEnd"/>
      <w:r w:rsidRPr="009F74EC">
        <w:rPr>
          <w:rFonts w:cs="Arial"/>
          <w:i/>
          <w:iCs/>
          <w:color w:val="000000"/>
        </w:rPr>
        <w:t xml:space="preserve"> </w:t>
      </w:r>
      <w:r w:rsidRPr="009F74EC">
        <w:rPr>
          <w:rFonts w:cs="Arial"/>
          <w:i/>
          <w:color w:val="000000"/>
        </w:rPr>
        <w:t xml:space="preserve">Moench </w:t>
      </w:r>
      <w:r w:rsidRPr="009F74EC">
        <w:rPr>
          <w:rFonts w:cs="Arial"/>
          <w:bCs/>
        </w:rPr>
        <w:t xml:space="preserve">y </w:t>
      </w:r>
      <w:proofErr w:type="spellStart"/>
      <w:r w:rsidRPr="009F74EC">
        <w:rPr>
          <w:rFonts w:cs="Arial"/>
          <w:bCs/>
          <w:i/>
          <w:iCs/>
        </w:rPr>
        <w:t>Lagerstroemia</w:t>
      </w:r>
      <w:proofErr w:type="spellEnd"/>
      <w:r w:rsidRPr="009F74EC">
        <w:rPr>
          <w:rFonts w:cs="Arial"/>
          <w:bCs/>
          <w:i/>
          <w:iCs/>
        </w:rPr>
        <w:t xml:space="preserve"> </w:t>
      </w:r>
      <w:r w:rsidRPr="009F74EC">
        <w:rPr>
          <w:rFonts w:cs="Arial"/>
          <w:bCs/>
          <w:i/>
        </w:rPr>
        <w:t>L.</w:t>
      </w:r>
      <w:bookmarkEnd w:id="5"/>
    </w:p>
    <w:p w14:paraId="2987C351" w14:textId="77777777" w:rsidR="005A5957" w:rsidRPr="009F74EC" w:rsidRDefault="005A5957" w:rsidP="005A5957">
      <w:pPr>
        <w:numPr>
          <w:ilvl w:val="0"/>
          <w:numId w:val="31"/>
        </w:numPr>
        <w:shd w:val="clear" w:color="auto" w:fill="FFFFFF"/>
        <w:autoSpaceDE w:val="0"/>
        <w:autoSpaceDN w:val="0"/>
        <w:adjustRightInd w:val="0"/>
        <w:textAlignment w:val="center"/>
        <w:rPr>
          <w:rFonts w:cs="Arial"/>
        </w:rPr>
      </w:pPr>
      <w:r w:rsidRPr="009F74EC">
        <w:rPr>
          <w:rFonts w:cs="Arial"/>
        </w:rPr>
        <w:t xml:space="preserve">Fruticultura: </w:t>
      </w:r>
      <w:r w:rsidRPr="009F74EC">
        <w:rPr>
          <w:rFonts w:cs="Arial"/>
          <w:color w:val="000000"/>
        </w:rPr>
        <w:t>albaricoque</w:t>
      </w:r>
    </w:p>
    <w:p w14:paraId="585CCC9F" w14:textId="77777777" w:rsidR="005A5957" w:rsidRPr="009F74EC" w:rsidRDefault="005A5957" w:rsidP="005A5957"/>
    <w:p w14:paraId="7B22D390" w14:textId="77777777" w:rsidR="005A5957" w:rsidRPr="009F74EC" w:rsidRDefault="005A5957" w:rsidP="005A5957">
      <w:pPr>
        <w:rPr>
          <w:rFonts w:cs="Arial"/>
          <w:u w:val="single"/>
        </w:rPr>
      </w:pPr>
      <w:r w:rsidRPr="009F74EC">
        <w:rPr>
          <w:rFonts w:cs="Arial"/>
          <w:u w:val="single"/>
        </w:rPr>
        <w:t xml:space="preserve">c. Perfeccionamiento del buscador de variedades de la OCVV </w:t>
      </w:r>
    </w:p>
    <w:p w14:paraId="021B396C" w14:textId="77777777" w:rsidR="005A5957" w:rsidRPr="009F74EC" w:rsidRDefault="005A5957" w:rsidP="005A5957">
      <w:pPr>
        <w:rPr>
          <w:rFonts w:cs="Arial"/>
          <w:color w:val="222222"/>
        </w:rPr>
      </w:pPr>
    </w:p>
    <w:p w14:paraId="69768C52" w14:textId="77777777" w:rsidR="005A5957" w:rsidRPr="009F74EC" w:rsidRDefault="005A5957" w:rsidP="005A5957">
      <w:pPr>
        <w:rPr>
          <w:rFonts w:cs="Arial"/>
          <w:color w:val="222222"/>
        </w:rPr>
      </w:pPr>
      <w:r w:rsidRPr="009F74EC">
        <w:rPr>
          <w:rFonts w:cs="Arial"/>
          <w:color w:val="222222"/>
        </w:rPr>
        <w:t xml:space="preserve">El buscador de variedades de la OCVV es una aplicación web que contiene información sobre registros de más de 70 países con una herramienta de búsqueda general. </w:t>
      </w:r>
    </w:p>
    <w:p w14:paraId="03F20674" w14:textId="77777777" w:rsidR="005A5957" w:rsidRPr="009F74EC" w:rsidRDefault="005A5957" w:rsidP="005A5957">
      <w:pPr>
        <w:rPr>
          <w:rFonts w:cs="Arial"/>
          <w:color w:val="222222"/>
        </w:rPr>
      </w:pPr>
    </w:p>
    <w:p w14:paraId="76EE4064" w14:textId="77777777" w:rsidR="005A5957" w:rsidRPr="009F74EC" w:rsidRDefault="005A5957" w:rsidP="005A5957">
      <w:pPr>
        <w:rPr>
          <w:rFonts w:eastAsia="Calibri" w:cs="Arial"/>
          <w:color w:val="222222"/>
        </w:rPr>
      </w:pPr>
      <w:r w:rsidRPr="009F74EC">
        <w:rPr>
          <w:rFonts w:cs="Arial"/>
          <w:color w:val="222222"/>
        </w:rPr>
        <w:t xml:space="preserve">La OCVV centraliza los datos de varios registros, como las oficinas de derechos de obtentor (incluido el registro de la OCVV), los listados nacionales de variedades vegetales, los registros de patentes vegetales, el registro de marcas de la EUIPO (marcas registradas en la clase 31) y los registros comerciales. </w:t>
      </w:r>
    </w:p>
    <w:p w14:paraId="2D293BA2" w14:textId="77777777" w:rsidR="005A5957" w:rsidRPr="009F74EC" w:rsidRDefault="005A5957" w:rsidP="005A5957">
      <w:pPr>
        <w:rPr>
          <w:rFonts w:cs="Arial"/>
          <w:color w:val="222222"/>
        </w:rPr>
      </w:pPr>
    </w:p>
    <w:p w14:paraId="21E180B5" w14:textId="77777777" w:rsidR="005A5957" w:rsidRPr="009F74EC" w:rsidRDefault="005A5957" w:rsidP="005A5957">
      <w:pPr>
        <w:rPr>
          <w:rFonts w:cs="Arial"/>
          <w:color w:val="222222"/>
        </w:rPr>
      </w:pPr>
      <w:r w:rsidRPr="009F74EC">
        <w:rPr>
          <w:rFonts w:cs="Arial"/>
          <w:color w:val="222222"/>
        </w:rPr>
        <w:t xml:space="preserve">El objetivo es ofrecer un servicio de búsqueda centralizado a los ganaderos, las Autoridades Nacionales y el público en general. </w:t>
      </w:r>
    </w:p>
    <w:p w14:paraId="631364D6" w14:textId="77777777" w:rsidR="005A5957" w:rsidRPr="009F74EC" w:rsidRDefault="005A5957" w:rsidP="005A5957">
      <w:pPr>
        <w:rPr>
          <w:rFonts w:cs="Arial"/>
          <w:color w:val="222222"/>
        </w:rPr>
      </w:pPr>
    </w:p>
    <w:p w14:paraId="7A1051B6" w14:textId="77777777" w:rsidR="005A5957" w:rsidRPr="009F74EC" w:rsidRDefault="005A5957" w:rsidP="005A5957">
      <w:pPr>
        <w:rPr>
          <w:rFonts w:cs="Arial"/>
          <w:color w:val="222222"/>
        </w:rPr>
      </w:pPr>
      <w:r w:rsidRPr="009F74EC">
        <w:rPr>
          <w:rFonts w:cs="Arial"/>
          <w:color w:val="222222"/>
        </w:rPr>
        <w:t xml:space="preserve">Se pone a su disposición una eficaz herramienta de búsqueda de similitudes para comprobar la idoneidad de las denominaciones de las variedades. </w:t>
      </w:r>
    </w:p>
    <w:p w14:paraId="5F1BA981" w14:textId="77777777" w:rsidR="005A5957" w:rsidRPr="009F74EC" w:rsidRDefault="005A5957" w:rsidP="005A5957">
      <w:pPr>
        <w:autoSpaceDE w:val="0"/>
        <w:autoSpaceDN w:val="0"/>
        <w:adjustRightInd w:val="0"/>
        <w:textAlignment w:val="center"/>
        <w:rPr>
          <w:rFonts w:cs="Arial"/>
        </w:rPr>
      </w:pPr>
    </w:p>
    <w:p w14:paraId="43429367" w14:textId="77777777" w:rsidR="005A5957" w:rsidRPr="009F74EC" w:rsidRDefault="005A5957" w:rsidP="005A5957">
      <w:pPr>
        <w:autoSpaceDE w:val="0"/>
        <w:autoSpaceDN w:val="0"/>
        <w:adjustRightInd w:val="0"/>
        <w:textAlignment w:val="center"/>
        <w:rPr>
          <w:rFonts w:cs="Arial"/>
          <w:lang w:eastAsia="zh-CN"/>
        </w:rPr>
      </w:pPr>
      <w:r w:rsidRPr="009F74EC">
        <w:rPr>
          <w:rFonts w:cs="Arial"/>
        </w:rPr>
        <w:t xml:space="preserve">Los distintos colaboradores actualizan la base de datos en cuanto se publican oficialmente los datos, y se </w:t>
      </w:r>
      <w:r w:rsidRPr="009F74EC">
        <w:rPr>
          <w:rFonts w:cs="Arial"/>
          <w:lang w:eastAsia="zh-CN"/>
        </w:rPr>
        <w:t xml:space="preserve">ha firmado un memorando de acuerdo con la Oficina de la UPOV para compartir la tarea de recopilar datos de los Estados miembros de la UE y de países no pertenecientes a la UE y garantizar un intercambio periódico de datos. </w:t>
      </w:r>
    </w:p>
    <w:p w14:paraId="6C1DB294" w14:textId="77777777" w:rsidR="005A5957" w:rsidRPr="009F74EC" w:rsidRDefault="005A5957" w:rsidP="005A5957">
      <w:pPr>
        <w:autoSpaceDE w:val="0"/>
        <w:autoSpaceDN w:val="0"/>
        <w:adjustRightInd w:val="0"/>
        <w:textAlignment w:val="center"/>
        <w:rPr>
          <w:rFonts w:cs="Arial"/>
          <w:color w:val="000000"/>
        </w:rPr>
      </w:pPr>
    </w:p>
    <w:p w14:paraId="4A58C1A4" w14:textId="77777777" w:rsidR="005A5957" w:rsidRPr="009F74EC" w:rsidRDefault="005A5957" w:rsidP="005A5957">
      <w:pPr>
        <w:autoSpaceDE w:val="0"/>
        <w:autoSpaceDN w:val="0"/>
        <w:adjustRightInd w:val="0"/>
        <w:textAlignment w:val="center"/>
        <w:rPr>
          <w:rFonts w:cs="Arial"/>
        </w:rPr>
      </w:pPr>
      <w:r w:rsidRPr="009F74EC">
        <w:rPr>
          <w:rFonts w:cs="Arial"/>
          <w:color w:val="000000"/>
        </w:rPr>
        <w:t xml:space="preserve">En total, hasta ahora se </w:t>
      </w:r>
      <w:r w:rsidRPr="009F74EC">
        <w:rPr>
          <w:rFonts w:eastAsia="Tahoma" w:cs="Arial"/>
        </w:rPr>
        <w:t xml:space="preserve">han incluido en el </w:t>
      </w:r>
      <w:proofErr w:type="spellStart"/>
      <w:r w:rsidRPr="009F74EC">
        <w:rPr>
          <w:rFonts w:eastAsia="Tahoma" w:cs="Arial"/>
        </w:rPr>
        <w:t>Variety</w:t>
      </w:r>
      <w:proofErr w:type="spellEnd"/>
      <w:r w:rsidRPr="009F74EC">
        <w:rPr>
          <w:rFonts w:eastAsia="Tahoma" w:cs="Arial"/>
        </w:rPr>
        <w:t xml:space="preserve"> Finder </w:t>
      </w:r>
      <w:r w:rsidRPr="009F74EC">
        <w:rPr>
          <w:rFonts w:cs="Arial"/>
          <w:color w:val="000000"/>
        </w:rPr>
        <w:t xml:space="preserve">más de 1,3 millones de </w:t>
      </w:r>
      <w:r w:rsidRPr="009F74EC">
        <w:rPr>
          <w:rFonts w:eastAsia="Tahoma" w:cs="Arial"/>
        </w:rPr>
        <w:t>registros procedentes de países de la UE y de fuera de ella</w:t>
      </w:r>
      <w:r w:rsidRPr="009F74EC">
        <w:rPr>
          <w:rFonts w:cs="Arial"/>
        </w:rPr>
        <w:t xml:space="preserve">. </w:t>
      </w:r>
    </w:p>
    <w:p w14:paraId="4A097D61" w14:textId="77777777" w:rsidR="005A5957" w:rsidRPr="009F74EC" w:rsidRDefault="005A5957" w:rsidP="005A5957">
      <w:pPr>
        <w:autoSpaceDE w:val="0"/>
        <w:autoSpaceDN w:val="0"/>
        <w:adjustRightInd w:val="0"/>
        <w:textAlignment w:val="center"/>
        <w:rPr>
          <w:rFonts w:cs="Arial"/>
          <w:lang w:eastAsia="zh-CN"/>
        </w:rPr>
      </w:pPr>
    </w:p>
    <w:p w14:paraId="691BD30B" w14:textId="77777777" w:rsidR="005A5957" w:rsidRPr="009F74EC" w:rsidRDefault="005A5957" w:rsidP="005A5957">
      <w:pPr>
        <w:autoSpaceDE w:val="0"/>
        <w:autoSpaceDN w:val="0"/>
        <w:adjustRightInd w:val="0"/>
        <w:textAlignment w:val="center"/>
        <w:rPr>
          <w:rFonts w:cs="Arial"/>
        </w:rPr>
      </w:pPr>
      <w:r w:rsidRPr="009F74EC">
        <w:rPr>
          <w:rFonts w:cs="Arial"/>
          <w:lang w:eastAsia="zh-CN"/>
        </w:rPr>
        <w:t xml:space="preserve">El uso del buscador de variedades ha aumentado constantemente en los últimos años. Los solicitantes y titulares de la OCVV representan el mayor grupo de usuarios, con más del 50 % de las pruebas de similitud lanzadas. </w:t>
      </w:r>
    </w:p>
    <w:p w14:paraId="6B7C40E8" w14:textId="77777777" w:rsidR="005A5957" w:rsidRPr="009F74EC" w:rsidRDefault="005A5957" w:rsidP="005A5957">
      <w:pPr>
        <w:autoSpaceDE w:val="0"/>
        <w:autoSpaceDN w:val="0"/>
        <w:adjustRightInd w:val="0"/>
        <w:textAlignment w:val="center"/>
        <w:rPr>
          <w:rFonts w:cs="Arial"/>
        </w:rPr>
      </w:pPr>
    </w:p>
    <w:p w14:paraId="18D30469" w14:textId="77777777" w:rsidR="005A5957" w:rsidRPr="009F74EC" w:rsidRDefault="005A5957" w:rsidP="005A5957">
      <w:pPr>
        <w:autoSpaceDE w:val="0"/>
        <w:autoSpaceDN w:val="0"/>
        <w:adjustRightInd w:val="0"/>
        <w:textAlignment w:val="center"/>
        <w:rPr>
          <w:rFonts w:cs="Arial"/>
        </w:rPr>
      </w:pPr>
      <w:r w:rsidRPr="009F74EC">
        <w:rPr>
          <w:rFonts w:cs="Arial"/>
        </w:rPr>
        <w:t xml:space="preserve">La OCVV y la Dirección General de Salud y Seguridad Alimentaria (DG SANTE) han trabajado intensamente en 2022 y 2023 en el proyecto conjunto denominado "Portal de Variedades Vegetales de la UE (EUPVP)". </w:t>
      </w:r>
    </w:p>
    <w:p w14:paraId="725CFAFF" w14:textId="77777777" w:rsidR="005A5957" w:rsidRPr="009F74EC" w:rsidRDefault="005A5957" w:rsidP="005A5957">
      <w:pPr>
        <w:autoSpaceDE w:val="0"/>
        <w:autoSpaceDN w:val="0"/>
        <w:adjustRightInd w:val="0"/>
        <w:textAlignment w:val="center"/>
        <w:rPr>
          <w:rFonts w:cs="Arial"/>
        </w:rPr>
      </w:pPr>
    </w:p>
    <w:p w14:paraId="7415F415" w14:textId="77777777" w:rsidR="005A5957" w:rsidRPr="009F74EC" w:rsidRDefault="005A5957" w:rsidP="005A5957">
      <w:pPr>
        <w:autoSpaceDE w:val="0"/>
        <w:autoSpaceDN w:val="0"/>
        <w:adjustRightInd w:val="0"/>
        <w:textAlignment w:val="center"/>
        <w:rPr>
          <w:rFonts w:cs="Arial"/>
        </w:rPr>
      </w:pPr>
      <w:r w:rsidRPr="009F74EC">
        <w:rPr>
          <w:rFonts w:cs="Arial"/>
        </w:rPr>
        <w:t xml:space="preserve">El portal está en funcionamiento y, por el momento, sólo se utiliza para los catálogos comunes de </w:t>
      </w:r>
      <w:r w:rsidRPr="009F74EC">
        <w:rPr>
          <w:rFonts w:cs="Arial"/>
          <w:color w:val="404040"/>
        </w:rPr>
        <w:t>variedades de plantas agrícolas y hortalizas que pueden comercializarse en la UE.</w:t>
      </w:r>
      <w:r w:rsidRPr="009F74EC">
        <w:rPr>
          <w:rFonts w:cs="Arial"/>
        </w:rPr>
        <w:t xml:space="preserve"> Los próximos pasos deberían ser la ampliación del contenido a otras especies y registros para cubrir las necesidades de la OCVV para el </w:t>
      </w:r>
      <w:proofErr w:type="spellStart"/>
      <w:r w:rsidRPr="009F74EC">
        <w:rPr>
          <w:rFonts w:cs="Arial"/>
        </w:rPr>
        <w:t>Variety</w:t>
      </w:r>
      <w:proofErr w:type="spellEnd"/>
      <w:r w:rsidRPr="009F74EC">
        <w:rPr>
          <w:rFonts w:cs="Arial"/>
        </w:rPr>
        <w:t xml:space="preserve"> Finder.</w:t>
      </w:r>
    </w:p>
    <w:p w14:paraId="0941B5C1" w14:textId="77777777" w:rsidR="005A5957" w:rsidRPr="009F74EC" w:rsidRDefault="005A5957" w:rsidP="005A5957">
      <w:pPr>
        <w:autoSpaceDE w:val="0"/>
        <w:autoSpaceDN w:val="0"/>
        <w:adjustRightInd w:val="0"/>
        <w:textAlignment w:val="center"/>
        <w:rPr>
          <w:rFonts w:cs="Arial"/>
        </w:rPr>
      </w:pPr>
    </w:p>
    <w:p w14:paraId="38E664C9" w14:textId="77777777" w:rsidR="005A5957" w:rsidRPr="009F74EC" w:rsidRDefault="005A5957" w:rsidP="005A5957">
      <w:pPr>
        <w:autoSpaceDE w:val="0"/>
        <w:autoSpaceDN w:val="0"/>
        <w:adjustRightInd w:val="0"/>
        <w:textAlignment w:val="center"/>
        <w:rPr>
          <w:rFonts w:cs="Arial"/>
        </w:rPr>
      </w:pPr>
      <w:r w:rsidRPr="009F74EC">
        <w:rPr>
          <w:rFonts w:cs="Arial"/>
        </w:rPr>
        <w:t>El objetivo del proyecto es que los Estados miembros presenten una única solicitud que incluya información para contribuir a las distintas bases de datos (</w:t>
      </w:r>
      <w:proofErr w:type="spellStart"/>
      <w:r w:rsidRPr="009F74EC">
        <w:rPr>
          <w:rFonts w:cs="Arial"/>
        </w:rPr>
        <w:t>Variety</w:t>
      </w:r>
      <w:proofErr w:type="spellEnd"/>
      <w:r w:rsidRPr="009F74EC">
        <w:rPr>
          <w:rFonts w:cs="Arial"/>
        </w:rPr>
        <w:t xml:space="preserve"> Finder de la OCVV y bases de datos de la Comisión). </w:t>
      </w:r>
    </w:p>
    <w:p w14:paraId="79B54B48" w14:textId="77777777" w:rsidR="005A5957" w:rsidRPr="009F74EC" w:rsidRDefault="005A5957" w:rsidP="005A5957">
      <w:pPr>
        <w:rPr>
          <w:rFonts w:cs="Arial"/>
        </w:rPr>
      </w:pPr>
    </w:p>
    <w:p w14:paraId="3B16084F" w14:textId="77777777" w:rsidR="005A5957" w:rsidRPr="009F74EC" w:rsidRDefault="005A5957" w:rsidP="005A5957">
      <w:pPr>
        <w:tabs>
          <w:tab w:val="left" w:pos="142"/>
        </w:tabs>
        <w:autoSpaceDE w:val="0"/>
        <w:autoSpaceDN w:val="0"/>
        <w:adjustRightInd w:val="0"/>
        <w:rPr>
          <w:rFonts w:cs="Arial"/>
          <w:u w:val="single"/>
        </w:rPr>
      </w:pPr>
      <w:r w:rsidRPr="009F74EC">
        <w:rPr>
          <w:rFonts w:cs="Arial"/>
          <w:u w:val="single"/>
        </w:rPr>
        <w:t xml:space="preserve">d. Cooperación en las pruebas de denominación con los Estados miembros de la UE </w:t>
      </w:r>
    </w:p>
    <w:p w14:paraId="5749A1FA" w14:textId="77777777" w:rsidR="005A5957" w:rsidRPr="009F74EC" w:rsidRDefault="005A5957" w:rsidP="005A5957">
      <w:pPr>
        <w:rPr>
          <w:rFonts w:cs="Arial"/>
        </w:rPr>
      </w:pPr>
    </w:p>
    <w:p w14:paraId="3ED7E783" w14:textId="77777777" w:rsidR="005A5957" w:rsidRPr="009F74EC" w:rsidRDefault="005A5957" w:rsidP="005A5957">
      <w:pPr>
        <w:rPr>
          <w:rFonts w:cs="Arial"/>
        </w:rPr>
      </w:pPr>
      <w:r w:rsidRPr="009F74EC">
        <w:rPr>
          <w:rFonts w:cs="Arial"/>
        </w:rPr>
        <w:t>La colaboración entre los Estados miembros de la UE es esencial para garantizar un enfoque unificado y una interpretación coherente del artículo 63 del Reglamento de base, que se basa en el Convenio de la UPOV de 1991. El servicio de cooperación en materia de examen de denominaciones encarna esta colaboración fomentando los intercambios regulares entre los 27 países participantes y la Oficina, lo que se traduce en unos 7000 dictámenes emitidos cada año. Estos dictámenes permiten mantenerse al día de las novedades, tendencias y cambios. Se trata de una herramienta de seguimiento en colaboración que no sólo proporciona información en las primeras fases de las propuestas de denominación, sino que también identifica de forma proactiva determinadas cuestiones. Este enfoque permite tomar medidas transparentes y coordinadas para evitar cargas administrativas que puedan afectar negativamente a los obtentores.</w:t>
      </w:r>
    </w:p>
    <w:p w14:paraId="7BD95172" w14:textId="77777777" w:rsidR="005A5957" w:rsidRPr="009F74EC" w:rsidRDefault="005A5957" w:rsidP="005A5957">
      <w:pPr>
        <w:rPr>
          <w:rFonts w:cs="Arial"/>
        </w:rPr>
      </w:pPr>
    </w:p>
    <w:p w14:paraId="5B167FD8" w14:textId="77777777" w:rsidR="005A5957" w:rsidRPr="009F74EC" w:rsidRDefault="005A5957" w:rsidP="005A5957">
      <w:pPr>
        <w:rPr>
          <w:rFonts w:cs="Arial"/>
        </w:rPr>
      </w:pPr>
      <w:r w:rsidRPr="009F74EC">
        <w:rPr>
          <w:rFonts w:cs="Arial"/>
        </w:rPr>
        <w:t>Además, el servicio de cooperación pretende poner de relieve los aspectos normativos que pueden dar lugar a interpretaciones divergentes y garantiza la aportación de las aclaraciones necesarias.</w:t>
      </w:r>
    </w:p>
    <w:p w14:paraId="09335E02" w14:textId="77777777" w:rsidR="005A5957" w:rsidRPr="009F74EC" w:rsidRDefault="005A5957" w:rsidP="005A5957">
      <w:pPr>
        <w:rPr>
          <w:rFonts w:cs="Arial"/>
        </w:rPr>
      </w:pPr>
    </w:p>
    <w:p w14:paraId="12AA32B8" w14:textId="77777777" w:rsidR="005A5957" w:rsidRPr="009F74EC" w:rsidRDefault="005A5957" w:rsidP="005A5957">
      <w:pPr>
        <w:rPr>
          <w:rFonts w:cs="Arial"/>
        </w:rPr>
      </w:pPr>
      <w:r w:rsidRPr="009F74EC">
        <w:rPr>
          <w:rFonts w:cs="Arial"/>
        </w:rPr>
        <w:t>Desde la creación del servicio de cooperación para el examen de denominaciones en 2010, las directrices para las denominaciones de variedades y sus notas explicativas han evolucionado considerablemente. Estos cambios son el resultado directo de las interacciones diarias entre los usuarios del servicio y la Oficina. La versión más reciente de las directrices y notas explicativas, en vigor desde enero de 2022, ha introducido cambios notables, cuyo impacto se evaluó durante su año inaugural. A lo largo de 2022, algunos aspectos, relacionados o no con las recientes modificaciones, han suscitado dudas sobre su comprensión y aplicación práctica. Entre ellos cabe citar la gestión de las oposiciones relativas a derechos anteriores y la regla de espera de diez años aplicada por la Oficina en relación con la reutilización de denominaciones.</w:t>
      </w:r>
    </w:p>
    <w:p w14:paraId="266874F8" w14:textId="77777777" w:rsidR="005A5957" w:rsidRPr="009F74EC" w:rsidRDefault="005A5957" w:rsidP="005A5957">
      <w:pPr>
        <w:tabs>
          <w:tab w:val="left" w:pos="142"/>
        </w:tabs>
        <w:autoSpaceDE w:val="0"/>
        <w:autoSpaceDN w:val="0"/>
        <w:adjustRightInd w:val="0"/>
        <w:rPr>
          <w:rFonts w:cs="Arial"/>
        </w:rPr>
      </w:pPr>
    </w:p>
    <w:p w14:paraId="105C0372" w14:textId="77777777" w:rsidR="005A5957" w:rsidRPr="009F74EC" w:rsidRDefault="005A5957" w:rsidP="005A5957">
      <w:pPr>
        <w:tabs>
          <w:tab w:val="left" w:pos="142"/>
        </w:tabs>
        <w:autoSpaceDE w:val="0"/>
        <w:autoSpaceDN w:val="0"/>
        <w:adjustRightInd w:val="0"/>
        <w:rPr>
          <w:rFonts w:cs="Arial"/>
        </w:rPr>
      </w:pPr>
      <w:r w:rsidRPr="009F74EC">
        <w:rPr>
          <w:rFonts w:cs="Arial"/>
        </w:rPr>
        <w:lastRenderedPageBreak/>
        <w:t>En consecuencia, en febrero de 2023, la Oficina convocó al grupo de trabajo de la denominación para debatir estas cuestiones e iniciar un proceso continuo de revisión.</w:t>
      </w:r>
    </w:p>
    <w:p w14:paraId="34FCEC7B" w14:textId="77777777" w:rsidR="005A5957" w:rsidRPr="009F74EC" w:rsidRDefault="005A5957" w:rsidP="005A5957">
      <w:pPr>
        <w:tabs>
          <w:tab w:val="left" w:pos="142"/>
        </w:tabs>
        <w:autoSpaceDE w:val="0"/>
        <w:autoSpaceDN w:val="0"/>
        <w:adjustRightInd w:val="0"/>
        <w:rPr>
          <w:rFonts w:cs="Arial"/>
        </w:rPr>
      </w:pPr>
    </w:p>
    <w:p w14:paraId="6608E9C5" w14:textId="77777777" w:rsidR="005A5957" w:rsidRPr="009F74EC" w:rsidRDefault="005A5957" w:rsidP="005A5957">
      <w:pPr>
        <w:rPr>
          <w:rFonts w:cs="Arial"/>
          <w:u w:val="single"/>
        </w:rPr>
      </w:pPr>
      <w:r w:rsidRPr="009F74EC">
        <w:rPr>
          <w:rFonts w:cs="Arial"/>
          <w:u w:val="single"/>
        </w:rPr>
        <w:t>4.2 Reunión de expertos en cultivos</w:t>
      </w:r>
    </w:p>
    <w:p w14:paraId="7EFD2884" w14:textId="77777777" w:rsidR="005A5957" w:rsidRPr="009F74EC" w:rsidRDefault="005A5957" w:rsidP="005A5957">
      <w:pPr>
        <w:autoSpaceDE w:val="0"/>
        <w:autoSpaceDN w:val="0"/>
        <w:adjustRightInd w:val="0"/>
        <w:rPr>
          <w:rFonts w:cs="Arial"/>
          <w:color w:val="000000"/>
          <w:lang w:eastAsia="en-GB"/>
        </w:rPr>
      </w:pPr>
    </w:p>
    <w:p w14:paraId="51085D1E" w14:textId="77777777" w:rsidR="005A5957" w:rsidRPr="009F74EC" w:rsidRDefault="005A5957" w:rsidP="005A5957">
      <w:pPr>
        <w:autoSpaceDE w:val="0"/>
        <w:autoSpaceDN w:val="0"/>
        <w:adjustRightInd w:val="0"/>
        <w:rPr>
          <w:rFonts w:cs="Arial"/>
          <w:webHidden/>
          <w:color w:val="000000"/>
          <w:lang w:eastAsia="en-GB"/>
        </w:rPr>
      </w:pPr>
      <w:r w:rsidRPr="009F74EC">
        <w:rPr>
          <w:rFonts w:cs="Arial"/>
          <w:color w:val="000000"/>
          <w:lang w:eastAsia="en-GB"/>
        </w:rPr>
        <w:t>En septiembre de 2022 se celebró una reunión de expertos agrícolas para debatir:</w:t>
      </w:r>
    </w:p>
    <w:p w14:paraId="48E929D4" w14:textId="77777777" w:rsidR="005A5957" w:rsidRPr="009F74EC" w:rsidRDefault="005A5957" w:rsidP="005A5957">
      <w:pPr>
        <w:autoSpaceDE w:val="0"/>
        <w:autoSpaceDN w:val="0"/>
        <w:adjustRightInd w:val="0"/>
        <w:rPr>
          <w:rFonts w:cs="Arial"/>
          <w:color w:val="000000"/>
          <w:lang w:eastAsia="en-GB"/>
        </w:rPr>
      </w:pPr>
    </w:p>
    <w:p w14:paraId="33F6935E" w14:textId="77777777" w:rsidR="005A5957" w:rsidRPr="009F74EC" w:rsidRDefault="005A5957" w:rsidP="005A5957">
      <w:pPr>
        <w:numPr>
          <w:ilvl w:val="0"/>
          <w:numId w:val="31"/>
        </w:numPr>
        <w:shd w:val="clear" w:color="auto" w:fill="FFFFFF"/>
        <w:autoSpaceDE w:val="0"/>
        <w:autoSpaceDN w:val="0"/>
        <w:adjustRightInd w:val="0"/>
        <w:spacing w:after="40"/>
        <w:ind w:left="567" w:hanging="357"/>
        <w:textAlignment w:val="center"/>
        <w:rPr>
          <w:rFonts w:cs="Arial"/>
          <w:color w:val="000000"/>
          <w:lang w:eastAsia="en-GB"/>
        </w:rPr>
      </w:pPr>
      <w:r w:rsidRPr="009F74EC">
        <w:rPr>
          <w:rFonts w:cs="Arial"/>
          <w:color w:val="000000"/>
          <w:lang w:eastAsia="en-GB"/>
        </w:rPr>
        <w:t>observar en las pruebas plurianuales determinadas características una sola vez</w:t>
      </w:r>
    </w:p>
    <w:p w14:paraId="15803F77" w14:textId="77777777" w:rsidR="005A5957" w:rsidRPr="009F74EC" w:rsidRDefault="005A5957" w:rsidP="005A5957">
      <w:pPr>
        <w:numPr>
          <w:ilvl w:val="0"/>
          <w:numId w:val="31"/>
        </w:numPr>
        <w:shd w:val="clear" w:color="auto" w:fill="FFFFFF"/>
        <w:autoSpaceDE w:val="0"/>
        <w:autoSpaceDN w:val="0"/>
        <w:adjustRightInd w:val="0"/>
        <w:spacing w:after="40"/>
        <w:ind w:left="567" w:hanging="357"/>
        <w:textAlignment w:val="center"/>
        <w:rPr>
          <w:rFonts w:cs="Arial"/>
          <w:color w:val="000000"/>
          <w:lang w:eastAsia="en-GB"/>
        </w:rPr>
      </w:pPr>
      <w:r w:rsidRPr="009F74EC">
        <w:rPr>
          <w:rFonts w:cs="Arial"/>
          <w:color w:val="000000"/>
          <w:lang w:eastAsia="en-GB"/>
        </w:rPr>
        <w:t>variedades verdaderas de semillas de patata y maíz en sistemas de ensayo con participación de obtentores en Francia e Italia</w:t>
      </w:r>
    </w:p>
    <w:p w14:paraId="740F6230" w14:textId="77777777" w:rsidR="005A5957" w:rsidRPr="009F74EC" w:rsidRDefault="005A5957" w:rsidP="005A5957">
      <w:pPr>
        <w:numPr>
          <w:ilvl w:val="0"/>
          <w:numId w:val="31"/>
        </w:numPr>
        <w:shd w:val="clear" w:color="auto" w:fill="FFFFFF"/>
        <w:autoSpaceDE w:val="0"/>
        <w:autoSpaceDN w:val="0"/>
        <w:adjustRightInd w:val="0"/>
        <w:spacing w:after="40"/>
        <w:ind w:left="567" w:hanging="357"/>
        <w:textAlignment w:val="center"/>
        <w:rPr>
          <w:rFonts w:cs="Arial"/>
          <w:color w:val="000000"/>
          <w:lang w:eastAsia="en-GB"/>
        </w:rPr>
      </w:pPr>
      <w:r w:rsidRPr="009F74EC">
        <w:rPr>
          <w:rFonts w:cs="Arial"/>
          <w:color w:val="000000"/>
          <w:lang w:eastAsia="en-GB"/>
        </w:rPr>
        <w:t>trigo: ensayo de híbridos de trigo, variedades sintéticas de trigo</w:t>
      </w:r>
    </w:p>
    <w:p w14:paraId="0D36C0DB" w14:textId="77777777" w:rsidR="005A5957" w:rsidRPr="009F74EC" w:rsidRDefault="005A5957" w:rsidP="005A5957">
      <w:pPr>
        <w:numPr>
          <w:ilvl w:val="0"/>
          <w:numId w:val="31"/>
        </w:numPr>
        <w:shd w:val="clear" w:color="auto" w:fill="FFFFFF"/>
        <w:autoSpaceDE w:val="0"/>
        <w:autoSpaceDN w:val="0"/>
        <w:adjustRightInd w:val="0"/>
        <w:spacing w:after="40"/>
        <w:ind w:left="567" w:hanging="357"/>
        <w:textAlignment w:val="center"/>
        <w:rPr>
          <w:rFonts w:cs="Arial"/>
          <w:color w:val="000000"/>
          <w:lang w:eastAsia="en-GB"/>
        </w:rPr>
      </w:pPr>
      <w:r w:rsidRPr="009F74EC">
        <w:rPr>
          <w:rFonts w:cs="Arial"/>
          <w:color w:val="000000"/>
          <w:lang w:eastAsia="en-GB"/>
        </w:rPr>
        <w:t>cebada de primavera: problemas con la observación de la distinción</w:t>
      </w:r>
    </w:p>
    <w:p w14:paraId="089136F4" w14:textId="77777777" w:rsidR="005A5957" w:rsidRPr="009F74EC" w:rsidRDefault="005A5957" w:rsidP="005A5957">
      <w:pPr>
        <w:numPr>
          <w:ilvl w:val="0"/>
          <w:numId w:val="31"/>
        </w:numPr>
        <w:shd w:val="clear" w:color="auto" w:fill="FFFFFF"/>
        <w:autoSpaceDE w:val="0"/>
        <w:autoSpaceDN w:val="0"/>
        <w:adjustRightInd w:val="0"/>
        <w:spacing w:after="40"/>
        <w:ind w:left="567" w:hanging="357"/>
        <w:textAlignment w:val="center"/>
        <w:rPr>
          <w:rFonts w:cs="Arial"/>
          <w:color w:val="000000"/>
          <w:lang w:eastAsia="en-GB"/>
        </w:rPr>
      </w:pPr>
      <w:r w:rsidRPr="009F74EC">
        <w:rPr>
          <w:rFonts w:cs="Arial"/>
          <w:color w:val="000000"/>
          <w:lang w:eastAsia="en-GB"/>
        </w:rPr>
        <w:t>cuestiones relacionadas con la no disponibilidad de material de referencia</w:t>
      </w:r>
    </w:p>
    <w:p w14:paraId="45F5D441" w14:textId="77777777" w:rsidR="005A5957" w:rsidRPr="009F74EC" w:rsidRDefault="005A5957" w:rsidP="005A5957">
      <w:pPr>
        <w:numPr>
          <w:ilvl w:val="0"/>
          <w:numId w:val="31"/>
        </w:numPr>
        <w:shd w:val="clear" w:color="auto" w:fill="FFFFFF"/>
        <w:autoSpaceDE w:val="0"/>
        <w:autoSpaceDN w:val="0"/>
        <w:adjustRightInd w:val="0"/>
        <w:spacing w:after="40"/>
        <w:ind w:left="567" w:hanging="357"/>
        <w:textAlignment w:val="center"/>
        <w:rPr>
          <w:rFonts w:cs="Arial"/>
          <w:color w:val="000000"/>
          <w:lang w:eastAsia="en-GB"/>
        </w:rPr>
      </w:pPr>
      <w:r w:rsidRPr="009F74EC">
        <w:rPr>
          <w:rFonts w:cs="Arial"/>
          <w:color w:val="000000"/>
          <w:lang w:eastAsia="en-GB"/>
        </w:rPr>
        <w:t>talleres técnicos que se organizarán en 2023</w:t>
      </w:r>
    </w:p>
    <w:p w14:paraId="02DCA280" w14:textId="77777777" w:rsidR="005A5957" w:rsidRPr="009F74EC" w:rsidRDefault="005A5957" w:rsidP="005A5957">
      <w:pPr>
        <w:numPr>
          <w:ilvl w:val="0"/>
          <w:numId w:val="31"/>
        </w:numPr>
        <w:shd w:val="clear" w:color="auto" w:fill="FFFFFF"/>
        <w:autoSpaceDE w:val="0"/>
        <w:autoSpaceDN w:val="0"/>
        <w:adjustRightInd w:val="0"/>
        <w:ind w:left="567"/>
        <w:textAlignment w:val="center"/>
        <w:rPr>
          <w:rFonts w:cs="Arial"/>
          <w:color w:val="000000"/>
          <w:lang w:eastAsia="en-GB"/>
        </w:rPr>
      </w:pPr>
      <w:r w:rsidRPr="009F74EC">
        <w:rPr>
          <w:rFonts w:cs="Arial"/>
          <w:color w:val="000000"/>
          <w:lang w:eastAsia="en-GB"/>
        </w:rPr>
        <w:t>revisiones de varios protocolos técnicos y nuevos protocolos técnicos</w:t>
      </w:r>
    </w:p>
    <w:p w14:paraId="6552B6A7" w14:textId="77777777" w:rsidR="005A5957" w:rsidRPr="009F74EC" w:rsidRDefault="005A5957" w:rsidP="005A5957"/>
    <w:p w14:paraId="313620AE" w14:textId="77777777" w:rsidR="005A5957" w:rsidRPr="009F74EC" w:rsidRDefault="005A5957" w:rsidP="005A5957">
      <w:pPr>
        <w:autoSpaceDE w:val="0"/>
        <w:autoSpaceDN w:val="0"/>
        <w:adjustRightInd w:val="0"/>
        <w:rPr>
          <w:rFonts w:cs="Arial"/>
          <w:color w:val="000000"/>
          <w:lang w:eastAsia="en-GB"/>
        </w:rPr>
      </w:pPr>
      <w:r w:rsidRPr="009F74EC">
        <w:rPr>
          <w:rFonts w:cs="Arial"/>
          <w:color w:val="000000"/>
          <w:lang w:eastAsia="en-GB"/>
        </w:rPr>
        <w:t>El 10 de noviembre de 2022 se celebró una reunión de expertos en hortalizas para debatir, entre otras cosas:</w:t>
      </w:r>
    </w:p>
    <w:p w14:paraId="04906EEF" w14:textId="77777777" w:rsidR="005A5957" w:rsidRPr="009F74EC" w:rsidRDefault="005A5957" w:rsidP="005A5957">
      <w:pPr>
        <w:autoSpaceDE w:val="0"/>
        <w:autoSpaceDN w:val="0"/>
        <w:adjustRightInd w:val="0"/>
        <w:rPr>
          <w:rFonts w:cs="Arial"/>
          <w:color w:val="000000"/>
          <w:lang w:eastAsia="en-GB"/>
        </w:rPr>
      </w:pPr>
    </w:p>
    <w:p w14:paraId="33FC7162" w14:textId="77777777" w:rsidR="005A5957" w:rsidRPr="009F74EC" w:rsidRDefault="005A5957" w:rsidP="005A5957">
      <w:pPr>
        <w:numPr>
          <w:ilvl w:val="0"/>
          <w:numId w:val="31"/>
        </w:numPr>
        <w:shd w:val="clear" w:color="auto" w:fill="FFFFFF"/>
        <w:autoSpaceDE w:val="0"/>
        <w:autoSpaceDN w:val="0"/>
        <w:adjustRightInd w:val="0"/>
        <w:spacing w:after="40"/>
        <w:ind w:left="567" w:hanging="357"/>
        <w:textAlignment w:val="center"/>
        <w:rPr>
          <w:rFonts w:cs="Arial"/>
          <w:color w:val="000000"/>
          <w:lang w:eastAsia="en-GB"/>
        </w:rPr>
      </w:pPr>
      <w:r w:rsidRPr="009F74EC">
        <w:rPr>
          <w:rFonts w:cs="Arial"/>
          <w:color w:val="000000"/>
          <w:lang w:eastAsia="en-GB"/>
        </w:rPr>
        <w:t>el nuevo procedimiento sobre los caracteres con una sola observación en variedades examinadas durante más de un ciclo de cultivo</w:t>
      </w:r>
    </w:p>
    <w:p w14:paraId="76969D08" w14:textId="77777777" w:rsidR="005A5957" w:rsidRPr="009F74EC" w:rsidRDefault="005A5957" w:rsidP="005A5957">
      <w:pPr>
        <w:numPr>
          <w:ilvl w:val="0"/>
          <w:numId w:val="31"/>
        </w:numPr>
        <w:shd w:val="clear" w:color="auto" w:fill="FFFFFF"/>
        <w:autoSpaceDE w:val="0"/>
        <w:autoSpaceDN w:val="0"/>
        <w:adjustRightInd w:val="0"/>
        <w:spacing w:after="40"/>
        <w:ind w:left="567" w:hanging="357"/>
        <w:textAlignment w:val="center"/>
        <w:rPr>
          <w:rFonts w:cs="Arial"/>
          <w:color w:val="000000"/>
          <w:lang w:eastAsia="en-GB"/>
        </w:rPr>
      </w:pPr>
      <w:r w:rsidRPr="009F74EC">
        <w:rPr>
          <w:rFonts w:cs="Arial"/>
          <w:color w:val="000000"/>
          <w:lang w:eastAsia="en-GB"/>
        </w:rPr>
        <w:t>la organización de los debates sobre los caracteres de las enfermedades a nivel de la OCVV y de la UPOV</w:t>
      </w:r>
    </w:p>
    <w:p w14:paraId="0B133358" w14:textId="77777777" w:rsidR="005A5957" w:rsidRPr="009F74EC" w:rsidRDefault="005A5957" w:rsidP="005A5957">
      <w:pPr>
        <w:numPr>
          <w:ilvl w:val="0"/>
          <w:numId w:val="31"/>
        </w:numPr>
        <w:shd w:val="clear" w:color="auto" w:fill="FFFFFF"/>
        <w:autoSpaceDE w:val="0"/>
        <w:autoSpaceDN w:val="0"/>
        <w:adjustRightInd w:val="0"/>
        <w:spacing w:after="40"/>
        <w:ind w:left="567" w:hanging="357"/>
        <w:textAlignment w:val="center"/>
        <w:rPr>
          <w:rFonts w:cs="Arial"/>
          <w:color w:val="000000"/>
          <w:lang w:eastAsia="en-GB"/>
        </w:rPr>
      </w:pPr>
      <w:r w:rsidRPr="009F74EC">
        <w:rPr>
          <w:rFonts w:cs="Arial"/>
          <w:color w:val="000000"/>
          <w:lang w:eastAsia="en-GB"/>
        </w:rPr>
        <w:t>cómo armonizar la forma de recoger y controlar las existencias de semillas para las colecciones de referencia</w:t>
      </w:r>
    </w:p>
    <w:p w14:paraId="7AA57F1F" w14:textId="77777777" w:rsidR="005A5957" w:rsidRPr="009F74EC" w:rsidRDefault="005A5957" w:rsidP="005A5957">
      <w:pPr>
        <w:numPr>
          <w:ilvl w:val="0"/>
          <w:numId w:val="31"/>
        </w:numPr>
        <w:shd w:val="clear" w:color="auto" w:fill="FFFFFF"/>
        <w:autoSpaceDE w:val="0"/>
        <w:autoSpaceDN w:val="0"/>
        <w:adjustRightInd w:val="0"/>
        <w:ind w:left="567"/>
        <w:textAlignment w:val="center"/>
        <w:rPr>
          <w:rFonts w:cs="Arial"/>
          <w:color w:val="000000"/>
          <w:lang w:eastAsia="en-GB"/>
        </w:rPr>
      </w:pPr>
      <w:r w:rsidRPr="009F74EC">
        <w:rPr>
          <w:rFonts w:cs="Arial"/>
          <w:color w:val="000000"/>
          <w:lang w:eastAsia="en-GB"/>
        </w:rPr>
        <w:t>las revisiones de varios protocolos técnicos vegetales</w:t>
      </w:r>
    </w:p>
    <w:p w14:paraId="3A0AC565" w14:textId="77777777" w:rsidR="005A5957" w:rsidRPr="009F74EC" w:rsidRDefault="005A5957" w:rsidP="005A5957">
      <w:pPr>
        <w:autoSpaceDE w:val="0"/>
        <w:autoSpaceDN w:val="0"/>
        <w:adjustRightInd w:val="0"/>
        <w:ind w:left="720"/>
        <w:rPr>
          <w:rFonts w:cs="Arial"/>
          <w:color w:val="000000"/>
          <w:lang w:eastAsia="en-GB"/>
        </w:rPr>
      </w:pPr>
    </w:p>
    <w:p w14:paraId="4A43745B" w14:textId="77777777" w:rsidR="005A5957" w:rsidRPr="009F74EC" w:rsidRDefault="005A5957" w:rsidP="005A5957">
      <w:pPr>
        <w:rPr>
          <w:rFonts w:cs="Arial"/>
          <w:color w:val="000000"/>
          <w:lang w:eastAsia="en-GB"/>
        </w:rPr>
      </w:pPr>
      <w:r w:rsidRPr="009F74EC">
        <w:rPr>
          <w:rFonts w:cs="Arial"/>
          <w:color w:val="000000"/>
          <w:lang w:eastAsia="en-GB"/>
        </w:rPr>
        <w:t>El 8 de noviembre de 2022 se celebró una reunión de expertos en fruta (que continuó el 13 de enero de 2023) para debatir, entre otras cosas:</w:t>
      </w:r>
    </w:p>
    <w:p w14:paraId="18D39789" w14:textId="77777777" w:rsidR="005A5957" w:rsidRPr="009F74EC" w:rsidRDefault="005A5957" w:rsidP="005A5957"/>
    <w:p w14:paraId="08691965" w14:textId="77777777" w:rsidR="005A5957" w:rsidRPr="009F74EC" w:rsidRDefault="005A5957" w:rsidP="005A5957">
      <w:pPr>
        <w:numPr>
          <w:ilvl w:val="0"/>
          <w:numId w:val="31"/>
        </w:numPr>
        <w:shd w:val="clear" w:color="auto" w:fill="FFFFFF"/>
        <w:autoSpaceDE w:val="0"/>
        <w:autoSpaceDN w:val="0"/>
        <w:adjustRightInd w:val="0"/>
        <w:spacing w:after="40"/>
        <w:ind w:left="567" w:hanging="357"/>
        <w:textAlignment w:val="center"/>
        <w:rPr>
          <w:rFonts w:cs="Arial"/>
          <w:color w:val="000000"/>
          <w:lang w:eastAsia="en-GB"/>
        </w:rPr>
      </w:pPr>
      <w:r w:rsidRPr="009F74EC">
        <w:rPr>
          <w:rFonts w:cs="Arial"/>
          <w:color w:val="000000"/>
          <w:lang w:eastAsia="en-GB"/>
        </w:rPr>
        <w:t>pruebas de grupos de mutación de la manzana</w:t>
      </w:r>
    </w:p>
    <w:p w14:paraId="42FFFB21" w14:textId="77777777" w:rsidR="005A5957" w:rsidRPr="009F74EC" w:rsidRDefault="005A5957" w:rsidP="005A5957">
      <w:pPr>
        <w:numPr>
          <w:ilvl w:val="0"/>
          <w:numId w:val="31"/>
        </w:numPr>
        <w:shd w:val="clear" w:color="auto" w:fill="FFFFFF"/>
        <w:autoSpaceDE w:val="0"/>
        <w:autoSpaceDN w:val="0"/>
        <w:adjustRightInd w:val="0"/>
        <w:spacing w:after="40"/>
        <w:ind w:left="567" w:hanging="357"/>
        <w:textAlignment w:val="center"/>
        <w:rPr>
          <w:rFonts w:cs="Arial"/>
          <w:color w:val="000000"/>
          <w:lang w:eastAsia="en-GB"/>
        </w:rPr>
      </w:pPr>
      <w:r w:rsidRPr="009F74EC">
        <w:rPr>
          <w:rFonts w:cs="Arial"/>
          <w:color w:val="000000"/>
          <w:lang w:eastAsia="en-GB"/>
        </w:rPr>
        <w:t>presentación de muestras</w:t>
      </w:r>
    </w:p>
    <w:p w14:paraId="7151E6BE" w14:textId="77777777" w:rsidR="005A5957" w:rsidRPr="009F74EC" w:rsidRDefault="005A5957" w:rsidP="005A5957">
      <w:pPr>
        <w:numPr>
          <w:ilvl w:val="0"/>
          <w:numId w:val="31"/>
        </w:numPr>
        <w:shd w:val="clear" w:color="auto" w:fill="FFFFFF"/>
        <w:autoSpaceDE w:val="0"/>
        <w:autoSpaceDN w:val="0"/>
        <w:adjustRightInd w:val="0"/>
        <w:spacing w:after="40"/>
        <w:ind w:left="567" w:hanging="357"/>
        <w:textAlignment w:val="center"/>
        <w:rPr>
          <w:rFonts w:cs="Arial"/>
          <w:color w:val="000000"/>
          <w:lang w:eastAsia="en-GB"/>
        </w:rPr>
      </w:pPr>
      <w:r w:rsidRPr="009F74EC">
        <w:rPr>
          <w:rFonts w:cs="Arial"/>
          <w:color w:val="000000"/>
          <w:lang w:eastAsia="en-GB"/>
        </w:rPr>
        <w:t>requisitos fitosanitarios</w:t>
      </w:r>
    </w:p>
    <w:p w14:paraId="6E0E0B58" w14:textId="77777777" w:rsidR="005A5957" w:rsidRPr="009F74EC" w:rsidRDefault="005A5957" w:rsidP="005A5957">
      <w:pPr>
        <w:numPr>
          <w:ilvl w:val="0"/>
          <w:numId w:val="31"/>
        </w:numPr>
        <w:shd w:val="clear" w:color="auto" w:fill="FFFFFF"/>
        <w:autoSpaceDE w:val="0"/>
        <w:autoSpaceDN w:val="0"/>
        <w:adjustRightInd w:val="0"/>
        <w:spacing w:after="40"/>
        <w:ind w:left="567" w:hanging="357"/>
        <w:textAlignment w:val="center"/>
        <w:rPr>
          <w:rFonts w:cs="Arial"/>
          <w:color w:val="000000"/>
          <w:lang w:eastAsia="en-GB"/>
        </w:rPr>
      </w:pPr>
      <w:r w:rsidRPr="009F74EC">
        <w:rPr>
          <w:rFonts w:cs="Arial"/>
          <w:color w:val="000000"/>
          <w:lang w:eastAsia="en-GB"/>
        </w:rPr>
        <w:t>ensayos sobre peras afectadas por el declive del peral</w:t>
      </w:r>
    </w:p>
    <w:p w14:paraId="2BD626C8" w14:textId="77777777" w:rsidR="005A5957" w:rsidRPr="009F74EC" w:rsidRDefault="005A5957" w:rsidP="005A5957">
      <w:pPr>
        <w:numPr>
          <w:ilvl w:val="0"/>
          <w:numId w:val="31"/>
        </w:numPr>
        <w:shd w:val="clear" w:color="auto" w:fill="FFFFFF"/>
        <w:autoSpaceDE w:val="0"/>
        <w:autoSpaceDN w:val="0"/>
        <w:adjustRightInd w:val="0"/>
        <w:spacing w:after="40"/>
        <w:ind w:left="567" w:hanging="357"/>
        <w:textAlignment w:val="center"/>
        <w:rPr>
          <w:rFonts w:cs="Arial"/>
          <w:color w:val="000000"/>
          <w:lang w:eastAsia="en-GB"/>
        </w:rPr>
      </w:pPr>
      <w:r w:rsidRPr="009F74EC">
        <w:rPr>
          <w:rFonts w:cs="Arial"/>
        </w:rPr>
        <w:t xml:space="preserve">duración de la prueba para portainjertos de </w:t>
      </w:r>
      <w:proofErr w:type="spellStart"/>
      <w:r w:rsidRPr="009F74EC">
        <w:rPr>
          <w:rFonts w:cs="Arial"/>
          <w:i/>
          <w:iCs/>
        </w:rPr>
        <w:t>Prunus</w:t>
      </w:r>
      <w:proofErr w:type="spellEnd"/>
    </w:p>
    <w:p w14:paraId="519A8B37" w14:textId="77777777" w:rsidR="005A5957" w:rsidRPr="009F74EC" w:rsidRDefault="005A5957" w:rsidP="005A5957">
      <w:pPr>
        <w:numPr>
          <w:ilvl w:val="0"/>
          <w:numId w:val="31"/>
        </w:numPr>
        <w:shd w:val="clear" w:color="auto" w:fill="FFFFFF"/>
        <w:autoSpaceDE w:val="0"/>
        <w:autoSpaceDN w:val="0"/>
        <w:adjustRightInd w:val="0"/>
        <w:spacing w:after="40"/>
        <w:ind w:left="567" w:hanging="357"/>
        <w:textAlignment w:val="center"/>
        <w:rPr>
          <w:rFonts w:cs="Arial"/>
        </w:rPr>
      </w:pPr>
      <w:r w:rsidRPr="009F74EC">
        <w:rPr>
          <w:rFonts w:cs="Arial"/>
        </w:rPr>
        <w:t>información adicional vinculada al código UPOV para agrupar variedades</w:t>
      </w:r>
    </w:p>
    <w:p w14:paraId="30DB9E8A" w14:textId="77777777" w:rsidR="005A5957" w:rsidRPr="009F74EC" w:rsidRDefault="005A5957" w:rsidP="005A5957">
      <w:pPr>
        <w:numPr>
          <w:ilvl w:val="0"/>
          <w:numId w:val="31"/>
        </w:numPr>
        <w:shd w:val="clear" w:color="auto" w:fill="FFFFFF"/>
        <w:autoSpaceDE w:val="0"/>
        <w:autoSpaceDN w:val="0"/>
        <w:adjustRightInd w:val="0"/>
        <w:spacing w:after="40"/>
        <w:ind w:left="567" w:hanging="357"/>
        <w:textAlignment w:val="center"/>
        <w:rPr>
          <w:rFonts w:cs="Arial"/>
        </w:rPr>
      </w:pPr>
      <w:r w:rsidRPr="009F74EC">
        <w:rPr>
          <w:rFonts w:cs="Arial"/>
        </w:rPr>
        <w:t>Sistema neerlandés de certificación de la fresa</w:t>
      </w:r>
    </w:p>
    <w:p w14:paraId="745DDAA3" w14:textId="77777777" w:rsidR="005A5957" w:rsidRPr="009F74EC" w:rsidRDefault="005A5957" w:rsidP="005A5957">
      <w:pPr>
        <w:numPr>
          <w:ilvl w:val="0"/>
          <w:numId w:val="31"/>
        </w:numPr>
        <w:shd w:val="clear" w:color="auto" w:fill="FFFFFF"/>
        <w:autoSpaceDE w:val="0"/>
        <w:autoSpaceDN w:val="0"/>
        <w:adjustRightInd w:val="0"/>
        <w:spacing w:after="40"/>
        <w:ind w:left="567" w:hanging="357"/>
        <w:textAlignment w:val="center"/>
        <w:rPr>
          <w:rFonts w:cs="Arial"/>
        </w:rPr>
      </w:pPr>
      <w:r w:rsidRPr="009F74EC">
        <w:rPr>
          <w:rFonts w:cs="Arial"/>
        </w:rPr>
        <w:t>Proyectos de I+D en el sector frutícola</w:t>
      </w:r>
    </w:p>
    <w:p w14:paraId="4F999C7F" w14:textId="77777777" w:rsidR="005A5957" w:rsidRPr="009F74EC" w:rsidRDefault="005A5957" w:rsidP="005A5957">
      <w:pPr>
        <w:numPr>
          <w:ilvl w:val="0"/>
          <w:numId w:val="31"/>
        </w:numPr>
        <w:shd w:val="clear" w:color="auto" w:fill="FFFFFF"/>
        <w:autoSpaceDE w:val="0"/>
        <w:autoSpaceDN w:val="0"/>
        <w:adjustRightInd w:val="0"/>
        <w:spacing w:after="40"/>
        <w:ind w:left="567" w:hanging="357"/>
        <w:textAlignment w:val="center"/>
        <w:rPr>
          <w:rFonts w:cs="Arial"/>
        </w:rPr>
      </w:pPr>
      <w:r w:rsidRPr="009F74EC">
        <w:rPr>
          <w:rFonts w:cs="Arial"/>
        </w:rPr>
        <w:t>actualización de los avances en fenotipado automatizado</w:t>
      </w:r>
    </w:p>
    <w:p w14:paraId="53158296" w14:textId="77777777" w:rsidR="005A5957" w:rsidRPr="009F74EC" w:rsidRDefault="005A5957" w:rsidP="005A5957">
      <w:pPr>
        <w:numPr>
          <w:ilvl w:val="0"/>
          <w:numId w:val="31"/>
        </w:numPr>
        <w:shd w:val="clear" w:color="auto" w:fill="FFFFFF"/>
        <w:autoSpaceDE w:val="0"/>
        <w:autoSpaceDN w:val="0"/>
        <w:adjustRightInd w:val="0"/>
        <w:spacing w:after="40"/>
        <w:ind w:left="567" w:hanging="357"/>
        <w:textAlignment w:val="center"/>
        <w:rPr>
          <w:rFonts w:cs="Arial"/>
        </w:rPr>
      </w:pPr>
      <w:r w:rsidRPr="009F74EC">
        <w:rPr>
          <w:rFonts w:cs="Arial"/>
        </w:rPr>
        <w:t>Cuestiones informáticas</w:t>
      </w:r>
    </w:p>
    <w:p w14:paraId="7B3F9525" w14:textId="77777777" w:rsidR="005A5957" w:rsidRPr="009F74EC" w:rsidRDefault="005A5957" w:rsidP="005A5957">
      <w:pPr>
        <w:numPr>
          <w:ilvl w:val="0"/>
          <w:numId w:val="31"/>
        </w:numPr>
        <w:shd w:val="clear" w:color="auto" w:fill="FFFFFF"/>
        <w:autoSpaceDE w:val="0"/>
        <w:autoSpaceDN w:val="0"/>
        <w:adjustRightInd w:val="0"/>
        <w:ind w:left="567"/>
        <w:textAlignment w:val="center"/>
        <w:rPr>
          <w:rFonts w:cs="Arial"/>
        </w:rPr>
      </w:pPr>
      <w:r w:rsidRPr="009F74EC">
        <w:rPr>
          <w:rFonts w:cs="Arial"/>
        </w:rPr>
        <w:t>fondos para ayudar a las PYME</w:t>
      </w:r>
    </w:p>
    <w:p w14:paraId="5149B8C8" w14:textId="77777777" w:rsidR="005A5957" w:rsidRPr="009F74EC" w:rsidRDefault="005A5957" w:rsidP="005A5957"/>
    <w:p w14:paraId="1442B2BE" w14:textId="77777777" w:rsidR="005A5957" w:rsidRPr="009F74EC" w:rsidRDefault="005A5957" w:rsidP="005A5957">
      <w:pPr>
        <w:autoSpaceDE w:val="0"/>
        <w:autoSpaceDN w:val="0"/>
        <w:adjustRightInd w:val="0"/>
        <w:rPr>
          <w:rFonts w:cs="Arial"/>
          <w:color w:val="000000"/>
          <w:lang w:eastAsia="en-GB"/>
        </w:rPr>
      </w:pPr>
      <w:r w:rsidRPr="009F74EC">
        <w:rPr>
          <w:rFonts w:cs="Arial"/>
          <w:color w:val="000000"/>
          <w:lang w:eastAsia="en-GB"/>
        </w:rPr>
        <w:t>El 13 de septiembre de 2022 se celebró una reunión de expertos en ornamentación para debatir o facilitar información sobre una serie de temas, entre otros:</w:t>
      </w:r>
    </w:p>
    <w:p w14:paraId="5DCFCD95" w14:textId="77777777" w:rsidR="005A5957" w:rsidRPr="009F74EC" w:rsidRDefault="005A5957" w:rsidP="005A5957">
      <w:pPr>
        <w:autoSpaceDE w:val="0"/>
        <w:autoSpaceDN w:val="0"/>
        <w:adjustRightInd w:val="0"/>
        <w:rPr>
          <w:rFonts w:cs="Arial"/>
          <w:color w:val="000000"/>
          <w:lang w:eastAsia="en-GB"/>
        </w:rPr>
      </w:pPr>
    </w:p>
    <w:p w14:paraId="080EAD91" w14:textId="77777777" w:rsidR="005A5957" w:rsidRPr="009F74EC" w:rsidRDefault="005A5957" w:rsidP="005A5957">
      <w:pPr>
        <w:numPr>
          <w:ilvl w:val="0"/>
          <w:numId w:val="31"/>
        </w:numPr>
        <w:shd w:val="clear" w:color="auto" w:fill="FFFFFF"/>
        <w:autoSpaceDE w:val="0"/>
        <w:autoSpaceDN w:val="0"/>
        <w:adjustRightInd w:val="0"/>
        <w:spacing w:after="40"/>
        <w:ind w:left="567" w:hanging="357"/>
        <w:textAlignment w:val="center"/>
        <w:rPr>
          <w:rFonts w:cs="Arial"/>
        </w:rPr>
      </w:pPr>
      <w:r w:rsidRPr="009F74EC">
        <w:rPr>
          <w:rFonts w:cs="Arial"/>
        </w:rPr>
        <w:t xml:space="preserve">información </w:t>
      </w:r>
      <w:r w:rsidRPr="009F74EC">
        <w:rPr>
          <w:rFonts w:cs="Arial"/>
          <w:color w:val="000000"/>
        </w:rPr>
        <w:t>y presentación de los informes de examen</w:t>
      </w:r>
    </w:p>
    <w:p w14:paraId="36253E63" w14:textId="77777777" w:rsidR="005A5957" w:rsidRPr="009F74EC" w:rsidRDefault="005A5957" w:rsidP="005A5957">
      <w:pPr>
        <w:numPr>
          <w:ilvl w:val="0"/>
          <w:numId w:val="31"/>
        </w:numPr>
        <w:shd w:val="clear" w:color="auto" w:fill="FFFFFF"/>
        <w:autoSpaceDE w:val="0"/>
        <w:autoSpaceDN w:val="0"/>
        <w:adjustRightInd w:val="0"/>
        <w:spacing w:after="40"/>
        <w:ind w:left="567" w:hanging="357"/>
        <w:textAlignment w:val="center"/>
        <w:rPr>
          <w:rFonts w:cs="Arial"/>
        </w:rPr>
      </w:pPr>
      <w:r w:rsidRPr="009F74EC">
        <w:rPr>
          <w:rFonts w:cs="Arial"/>
        </w:rPr>
        <w:t>la posibilidad de que los solicitantes indiquen las variedades de referencia y las mediciones brutas en el TQ</w:t>
      </w:r>
    </w:p>
    <w:p w14:paraId="4DD723F8" w14:textId="77777777" w:rsidR="005A5957" w:rsidRPr="009F74EC" w:rsidRDefault="005A5957" w:rsidP="005A5957">
      <w:pPr>
        <w:numPr>
          <w:ilvl w:val="0"/>
          <w:numId w:val="31"/>
        </w:numPr>
        <w:shd w:val="clear" w:color="auto" w:fill="FFFFFF"/>
        <w:autoSpaceDE w:val="0"/>
        <w:autoSpaceDN w:val="0"/>
        <w:adjustRightInd w:val="0"/>
        <w:spacing w:after="40"/>
        <w:ind w:left="567" w:hanging="357"/>
        <w:textAlignment w:val="center"/>
        <w:rPr>
          <w:rFonts w:cs="Arial"/>
        </w:rPr>
      </w:pPr>
      <w:r w:rsidRPr="009F74EC">
        <w:rPr>
          <w:rFonts w:cs="Arial"/>
        </w:rPr>
        <w:t>requisitos de presentación en relación con el Pasaporte Fitosanitario</w:t>
      </w:r>
    </w:p>
    <w:p w14:paraId="518BD049" w14:textId="77777777" w:rsidR="005A5957" w:rsidRPr="009F74EC" w:rsidRDefault="005A5957" w:rsidP="005A5957">
      <w:pPr>
        <w:numPr>
          <w:ilvl w:val="0"/>
          <w:numId w:val="31"/>
        </w:numPr>
        <w:shd w:val="clear" w:color="auto" w:fill="FFFFFF"/>
        <w:autoSpaceDE w:val="0"/>
        <w:autoSpaceDN w:val="0"/>
        <w:adjustRightInd w:val="0"/>
        <w:spacing w:after="40"/>
        <w:ind w:left="567" w:hanging="357"/>
        <w:textAlignment w:val="center"/>
        <w:rPr>
          <w:rFonts w:cs="Arial"/>
        </w:rPr>
      </w:pPr>
      <w:proofErr w:type="spellStart"/>
      <w:r w:rsidRPr="009F74EC">
        <w:rPr>
          <w:rFonts w:cs="Arial"/>
        </w:rPr>
        <w:t>fitoplasma</w:t>
      </w:r>
      <w:proofErr w:type="spellEnd"/>
      <w:r w:rsidRPr="009F74EC">
        <w:rPr>
          <w:rFonts w:cs="Arial"/>
        </w:rPr>
        <w:t xml:space="preserve"> en variedades de </w:t>
      </w:r>
      <w:proofErr w:type="spellStart"/>
      <w:r w:rsidRPr="009F74EC">
        <w:rPr>
          <w:rFonts w:cs="Arial"/>
          <w:i/>
          <w:iCs/>
        </w:rPr>
        <w:t>Euphorbia</w:t>
      </w:r>
      <w:proofErr w:type="spellEnd"/>
      <w:r w:rsidRPr="009F74EC">
        <w:rPr>
          <w:rFonts w:cs="Arial"/>
          <w:i/>
          <w:iCs/>
        </w:rPr>
        <w:t xml:space="preserve"> </w:t>
      </w:r>
      <w:proofErr w:type="spellStart"/>
      <w:r w:rsidRPr="009F74EC">
        <w:rPr>
          <w:rFonts w:cs="Arial"/>
          <w:i/>
          <w:iCs/>
        </w:rPr>
        <w:t>pulcherrima</w:t>
      </w:r>
      <w:proofErr w:type="spellEnd"/>
    </w:p>
    <w:p w14:paraId="7BC26FA3" w14:textId="77777777" w:rsidR="005A5957" w:rsidRPr="009F74EC" w:rsidRDefault="005A5957" w:rsidP="005A5957">
      <w:pPr>
        <w:numPr>
          <w:ilvl w:val="0"/>
          <w:numId w:val="31"/>
        </w:numPr>
        <w:shd w:val="clear" w:color="auto" w:fill="FFFFFF"/>
        <w:autoSpaceDE w:val="0"/>
        <w:autoSpaceDN w:val="0"/>
        <w:adjustRightInd w:val="0"/>
        <w:spacing w:after="40"/>
        <w:ind w:left="567" w:hanging="357"/>
        <w:textAlignment w:val="center"/>
        <w:rPr>
          <w:rFonts w:cs="Arial"/>
        </w:rPr>
      </w:pPr>
      <w:r w:rsidRPr="009F74EC">
        <w:rPr>
          <w:rFonts w:cs="Arial"/>
        </w:rPr>
        <w:t>umbrales de uniformidad para secciones de color con pequeñas desviaciones</w:t>
      </w:r>
    </w:p>
    <w:p w14:paraId="6D41A85D" w14:textId="77777777" w:rsidR="005A5957" w:rsidRPr="009F74EC" w:rsidRDefault="005A5957" w:rsidP="005A5957">
      <w:pPr>
        <w:numPr>
          <w:ilvl w:val="0"/>
          <w:numId w:val="31"/>
        </w:numPr>
        <w:shd w:val="clear" w:color="auto" w:fill="FFFFFF"/>
        <w:autoSpaceDE w:val="0"/>
        <w:autoSpaceDN w:val="0"/>
        <w:adjustRightInd w:val="0"/>
        <w:spacing w:after="40"/>
        <w:ind w:left="567" w:hanging="357"/>
        <w:textAlignment w:val="center"/>
        <w:rPr>
          <w:rFonts w:cs="Arial"/>
        </w:rPr>
      </w:pPr>
      <w:r w:rsidRPr="009F74EC">
        <w:rPr>
          <w:rFonts w:cs="Arial"/>
        </w:rPr>
        <w:t>dificultades para obtener variedades de referencia</w:t>
      </w:r>
    </w:p>
    <w:p w14:paraId="0AE4E436" w14:textId="77777777" w:rsidR="005A5957" w:rsidRPr="009F74EC" w:rsidRDefault="005A5957" w:rsidP="005A5957">
      <w:pPr>
        <w:numPr>
          <w:ilvl w:val="0"/>
          <w:numId w:val="31"/>
        </w:numPr>
        <w:shd w:val="clear" w:color="auto" w:fill="FFFFFF"/>
        <w:autoSpaceDE w:val="0"/>
        <w:autoSpaceDN w:val="0"/>
        <w:adjustRightInd w:val="0"/>
        <w:ind w:left="567"/>
        <w:textAlignment w:val="center"/>
        <w:rPr>
          <w:rFonts w:cs="Arial"/>
        </w:rPr>
      </w:pPr>
      <w:r w:rsidRPr="009F74EC">
        <w:rPr>
          <w:rFonts w:cs="Arial"/>
        </w:rPr>
        <w:t xml:space="preserve">Protocolos técnicos nuevos o revisados de </w:t>
      </w:r>
      <w:proofErr w:type="spellStart"/>
      <w:r w:rsidRPr="009F74EC">
        <w:rPr>
          <w:rFonts w:cs="Arial"/>
        </w:rPr>
        <w:t>Lagerstroemia</w:t>
      </w:r>
      <w:proofErr w:type="spellEnd"/>
      <w:r w:rsidRPr="009F74EC">
        <w:rPr>
          <w:rFonts w:cs="Arial"/>
        </w:rPr>
        <w:t xml:space="preserve">, </w:t>
      </w:r>
      <w:proofErr w:type="spellStart"/>
      <w:r w:rsidRPr="009F74EC">
        <w:rPr>
          <w:rFonts w:cs="Arial"/>
        </w:rPr>
        <w:t>Eustoma</w:t>
      </w:r>
      <w:proofErr w:type="spellEnd"/>
      <w:r w:rsidRPr="009F74EC">
        <w:rPr>
          <w:rFonts w:cs="Arial"/>
        </w:rPr>
        <w:t xml:space="preserve">, </w:t>
      </w:r>
      <w:proofErr w:type="spellStart"/>
      <w:r w:rsidRPr="009F74EC">
        <w:rPr>
          <w:rFonts w:cs="Arial"/>
        </w:rPr>
        <w:t>Echinacea</w:t>
      </w:r>
      <w:proofErr w:type="spellEnd"/>
    </w:p>
    <w:p w14:paraId="0A1398CD" w14:textId="77777777" w:rsidR="005A5957" w:rsidRPr="009F74EC" w:rsidRDefault="005A5957" w:rsidP="005A5957">
      <w:pPr>
        <w:rPr>
          <w:rFonts w:cs="Arial"/>
          <w:u w:val="single"/>
        </w:rPr>
      </w:pPr>
    </w:p>
    <w:p w14:paraId="2CD9B841" w14:textId="77777777" w:rsidR="005A5957" w:rsidRPr="009F74EC" w:rsidRDefault="005A5957" w:rsidP="005A5957">
      <w:pPr>
        <w:rPr>
          <w:rFonts w:cs="Arial"/>
          <w:u w:val="single"/>
        </w:rPr>
      </w:pPr>
      <w:r w:rsidRPr="009F74EC">
        <w:rPr>
          <w:rFonts w:cs="Arial"/>
          <w:u w:val="single"/>
        </w:rPr>
        <w:t>4.3 Servicio de Auditoría de Calidad (QAS)</w:t>
      </w:r>
    </w:p>
    <w:p w14:paraId="377E6FE7" w14:textId="77777777" w:rsidR="005A5957" w:rsidRPr="009F74EC" w:rsidRDefault="005A5957" w:rsidP="005A5957">
      <w:pPr>
        <w:autoSpaceDE w:val="0"/>
        <w:autoSpaceDN w:val="0"/>
        <w:adjustRightInd w:val="0"/>
        <w:rPr>
          <w:rFonts w:cs="Arial"/>
        </w:rPr>
      </w:pPr>
    </w:p>
    <w:p w14:paraId="0897C60A" w14:textId="77777777" w:rsidR="005A5957" w:rsidRPr="009F74EC" w:rsidRDefault="005A5957" w:rsidP="005A5957">
      <w:pPr>
        <w:autoSpaceDE w:val="0"/>
        <w:autoSpaceDN w:val="0"/>
        <w:adjustRightInd w:val="0"/>
        <w:rPr>
          <w:rFonts w:cs="Arial"/>
        </w:rPr>
      </w:pPr>
      <w:r w:rsidRPr="009F74EC">
        <w:rPr>
          <w:rFonts w:cs="Arial"/>
        </w:rPr>
        <w:t xml:space="preserve">En los doce meses transcurridos hasta julio de 2023, el QAS llevó a cabo un total de nueve evaluaciones in situ de las oficinas de examen encargadas en la UE. Las cuatro evaluaciones llevadas a cabo en el segundo semestre de 2022 se realizaron con arreglo a los "antiguos" requisitos de la OCVV, mientras que las cinco </w:t>
      </w:r>
      <w:r w:rsidRPr="009F74EC">
        <w:rPr>
          <w:rFonts w:cs="Arial"/>
        </w:rPr>
        <w:lastRenderedPageBreak/>
        <w:t>realizadas en el primer semestre de 2023 se realizaron de acuerdo con los requisitos de la OCVV recientemente revisados.</w:t>
      </w:r>
    </w:p>
    <w:p w14:paraId="41952E4C" w14:textId="77777777" w:rsidR="005A5957" w:rsidRPr="009F74EC" w:rsidRDefault="005A5957" w:rsidP="005A5957">
      <w:pPr>
        <w:autoSpaceDE w:val="0"/>
        <w:autoSpaceDN w:val="0"/>
        <w:adjustRightInd w:val="0"/>
        <w:rPr>
          <w:rFonts w:cs="Arial"/>
        </w:rPr>
      </w:pPr>
    </w:p>
    <w:p w14:paraId="131DEA16" w14:textId="77777777" w:rsidR="005A5957" w:rsidRPr="009F74EC" w:rsidRDefault="005A5957" w:rsidP="005A5957">
      <w:pPr>
        <w:autoSpaceDE w:val="0"/>
        <w:autoSpaceDN w:val="0"/>
        <w:adjustRightInd w:val="0"/>
        <w:rPr>
          <w:rFonts w:cs="Arial"/>
        </w:rPr>
      </w:pPr>
      <w:r w:rsidRPr="009F74EC">
        <w:rPr>
          <w:rFonts w:cs="Arial"/>
        </w:rPr>
        <w:t>Tras un proceso de consulta de dos años de duración con las partes interesadas, los requisitos revisados de la OCVV en materia de atribución de funciones entraron en vigor el 1 de enero de 2023, coincidiendo con el inicio del nuevo ciclo de evaluación QAS 2023-2025. Las principales mejoras de los requisitos de atribución en relación con la versión anterior se refieren a la formación, el mantenimiento de registros, los avances en los procesos de examen DHE, la actualización de las colecciones de variedades y las medidas que debe adoptar la oficina de examen de la UE para mitigar los efectos del cambio climático en los ensayos DHE.</w:t>
      </w:r>
    </w:p>
    <w:p w14:paraId="7DAA049D" w14:textId="77777777" w:rsidR="005A5957" w:rsidRPr="009F74EC" w:rsidRDefault="005A5957" w:rsidP="005A5957">
      <w:pPr>
        <w:autoSpaceDE w:val="0"/>
        <w:autoSpaceDN w:val="0"/>
        <w:adjustRightInd w:val="0"/>
        <w:rPr>
          <w:rFonts w:cs="Arial"/>
        </w:rPr>
      </w:pPr>
    </w:p>
    <w:p w14:paraId="7E7FE4D5" w14:textId="77777777" w:rsidR="005A5957" w:rsidRPr="009F74EC" w:rsidRDefault="005A5957" w:rsidP="005A5957">
      <w:pPr>
        <w:autoSpaceDE w:val="0"/>
        <w:autoSpaceDN w:val="0"/>
        <w:adjustRightInd w:val="0"/>
        <w:rPr>
          <w:rFonts w:cs="Arial"/>
        </w:rPr>
      </w:pPr>
      <w:r w:rsidRPr="009F74EC">
        <w:rPr>
          <w:rFonts w:cs="Arial"/>
        </w:rPr>
        <w:t>En febrero de 2023, el Consejo de Administración de la OCVV aprobó la selección de 32 nuevos expertos técnicos del QAS de toda la UE para participar en el ciclo de evaluación 2023-2025. Con el fin de poner al día a los expertos del QAS sobre las novedades en los requisitos revisados de Encomienda, se celebró una Asamblea General del QAS junto con una formación especializada sobre técnicas de auditoría en París los días 16 y 17 de marzo de 2023.</w:t>
      </w:r>
    </w:p>
    <w:p w14:paraId="0B7AAB81" w14:textId="77777777" w:rsidR="005A5957" w:rsidRPr="009F74EC" w:rsidRDefault="005A5957" w:rsidP="005A5957">
      <w:pPr>
        <w:autoSpaceDE w:val="0"/>
        <w:autoSpaceDN w:val="0"/>
        <w:adjustRightInd w:val="0"/>
        <w:rPr>
          <w:rFonts w:cs="Arial"/>
        </w:rPr>
      </w:pPr>
    </w:p>
    <w:p w14:paraId="7C122B88" w14:textId="77777777" w:rsidR="005A5957" w:rsidRPr="009F74EC" w:rsidRDefault="005A5957" w:rsidP="005A5957">
      <w:pPr>
        <w:rPr>
          <w:rFonts w:cs="Arial"/>
          <w:bCs/>
          <w:u w:val="single"/>
        </w:rPr>
      </w:pPr>
      <w:r w:rsidRPr="009F74EC">
        <w:rPr>
          <w:rFonts w:cs="Arial"/>
          <w:bCs/>
          <w:u w:val="single"/>
        </w:rPr>
        <w:t xml:space="preserve">5) Actividades de fomento de la protección de las obtenciones vegetales </w:t>
      </w:r>
    </w:p>
    <w:p w14:paraId="601CFF09" w14:textId="77777777" w:rsidR="005A5957" w:rsidRPr="009F74EC" w:rsidRDefault="005A5957" w:rsidP="005A5957">
      <w:pPr>
        <w:rPr>
          <w:rFonts w:cs="Arial"/>
          <w:bCs/>
          <w:u w:val="single"/>
        </w:rPr>
      </w:pPr>
    </w:p>
    <w:p w14:paraId="5370D535" w14:textId="77777777" w:rsidR="005A5957" w:rsidRPr="009F74EC" w:rsidRDefault="005A5957" w:rsidP="005A5957">
      <w:pPr>
        <w:pStyle w:val="NormalWeb"/>
        <w:spacing w:before="0" w:beforeAutospacing="0" w:after="0" w:afterAutospacing="0" w:line="240" w:lineRule="auto"/>
        <w:jc w:val="both"/>
        <w:rPr>
          <w:rFonts w:ascii="Arial" w:hAnsi="Arial" w:cs="Arial"/>
          <w:sz w:val="20"/>
          <w:szCs w:val="20"/>
          <w:u w:val="single"/>
          <w:lang w:val="es-ES_tradnl"/>
        </w:rPr>
      </w:pPr>
      <w:r w:rsidRPr="009F74EC">
        <w:rPr>
          <w:rFonts w:ascii="Arial" w:hAnsi="Arial" w:cs="Arial"/>
          <w:sz w:val="20"/>
          <w:szCs w:val="20"/>
          <w:u w:val="single"/>
          <w:lang w:val="es-ES_tradnl"/>
        </w:rPr>
        <w:t>5.1 Cooperación internacional</w:t>
      </w:r>
    </w:p>
    <w:p w14:paraId="2AB04366" w14:textId="77777777" w:rsidR="005A5957" w:rsidRPr="009F74EC" w:rsidRDefault="005A5957" w:rsidP="005A5957">
      <w:pPr>
        <w:pStyle w:val="NormalWeb"/>
        <w:spacing w:before="0" w:beforeAutospacing="0" w:after="0" w:afterAutospacing="0" w:line="240" w:lineRule="auto"/>
        <w:jc w:val="both"/>
        <w:rPr>
          <w:rFonts w:ascii="Arial" w:hAnsi="Arial" w:cs="Arial"/>
          <w:sz w:val="20"/>
          <w:szCs w:val="20"/>
          <w:lang w:val="es-ES_tradnl"/>
        </w:rPr>
      </w:pPr>
    </w:p>
    <w:p w14:paraId="47165E2C" w14:textId="77777777" w:rsidR="005A5957" w:rsidRPr="009F74EC" w:rsidRDefault="005A5957" w:rsidP="005A5957">
      <w:pPr>
        <w:pStyle w:val="NormalWeb"/>
        <w:spacing w:before="0" w:beforeAutospacing="0" w:after="0" w:afterAutospacing="0" w:line="240" w:lineRule="auto"/>
        <w:jc w:val="both"/>
        <w:rPr>
          <w:rFonts w:ascii="Arial" w:hAnsi="Arial" w:cs="Arial"/>
          <w:sz w:val="20"/>
          <w:szCs w:val="20"/>
          <w:lang w:val="es-ES_tradnl"/>
        </w:rPr>
      </w:pPr>
      <w:r w:rsidRPr="009F74EC">
        <w:rPr>
          <w:rFonts w:ascii="Arial" w:hAnsi="Arial" w:cs="Arial"/>
          <w:sz w:val="20"/>
          <w:szCs w:val="20"/>
          <w:lang w:val="es-ES_tradnl"/>
        </w:rPr>
        <w:t xml:space="preserve">El alcance de la cooperación de la Oficina se ha ampliado considerablemente en los últimos años, para seguir el ritmo de las políticas comerciales y de protección intelectual de la UE, en constante evolución, que también abarcan el sector del fitomejoramiento. </w:t>
      </w:r>
    </w:p>
    <w:p w14:paraId="402787B7" w14:textId="77777777" w:rsidR="005A5957" w:rsidRPr="009F74EC" w:rsidRDefault="005A5957" w:rsidP="005A5957">
      <w:pPr>
        <w:rPr>
          <w:rFonts w:cs="Arial"/>
        </w:rPr>
      </w:pPr>
    </w:p>
    <w:p w14:paraId="478E4721" w14:textId="77777777" w:rsidR="005A5957" w:rsidRPr="009F74EC" w:rsidRDefault="005A5957" w:rsidP="005A5957">
      <w:pPr>
        <w:rPr>
          <w:rFonts w:cs="Arial"/>
        </w:rPr>
      </w:pPr>
      <w:r w:rsidRPr="009F74EC">
        <w:rPr>
          <w:rFonts w:cs="Arial"/>
        </w:rPr>
        <w:t xml:space="preserve">La OCVV sigue aportando sus conocimientos especializados a través de la cooperación bilateral y multilateral (con socios estratégicos, como la Oficina de Propiedad Intelectual de la Unión Europea (EUIPO), la Oficina Europea de Patentes (OEP) y la UPOV, las oficinas de examen de los Estados miembros de la UE, organizaciones sectoriales), sin perjuicio de las relaciones bilaterales en curso con países destinatarios clave y organizaciones regionales, como los diálogos de larga data con China, Japón, </w:t>
      </w:r>
      <w:r w:rsidRPr="009F74EC">
        <w:rPr>
          <w:rFonts w:cs="Arial"/>
          <w:i/>
          <w:iCs/>
        </w:rPr>
        <w:t xml:space="preserve">la </w:t>
      </w:r>
      <w:proofErr w:type="spellStart"/>
      <w:r w:rsidRPr="009F74EC">
        <w:rPr>
          <w:rFonts w:cs="Arial"/>
          <w:i/>
          <w:iCs/>
        </w:rPr>
        <w:t>Organisation</w:t>
      </w:r>
      <w:proofErr w:type="spellEnd"/>
      <w:r w:rsidRPr="009F74EC">
        <w:rPr>
          <w:rFonts w:cs="Arial"/>
          <w:i/>
          <w:iCs/>
        </w:rPr>
        <w:t xml:space="preserve"> </w:t>
      </w:r>
      <w:proofErr w:type="spellStart"/>
      <w:r w:rsidRPr="009F74EC">
        <w:rPr>
          <w:rFonts w:cs="Arial"/>
          <w:i/>
          <w:iCs/>
        </w:rPr>
        <w:t>Africaine</w:t>
      </w:r>
      <w:proofErr w:type="spellEnd"/>
      <w:r w:rsidRPr="009F74EC">
        <w:rPr>
          <w:rFonts w:cs="Arial"/>
          <w:i/>
          <w:iCs/>
        </w:rPr>
        <w:t xml:space="preserve"> de la </w:t>
      </w:r>
      <w:proofErr w:type="spellStart"/>
      <w:r w:rsidRPr="009F74EC">
        <w:rPr>
          <w:rFonts w:cs="Arial"/>
          <w:i/>
          <w:iCs/>
        </w:rPr>
        <w:t>Propriété</w:t>
      </w:r>
      <w:proofErr w:type="spellEnd"/>
      <w:r w:rsidRPr="009F74EC">
        <w:rPr>
          <w:rFonts w:cs="Arial"/>
          <w:i/>
          <w:iCs/>
        </w:rPr>
        <w:t xml:space="preserve"> </w:t>
      </w:r>
      <w:proofErr w:type="spellStart"/>
      <w:r w:rsidRPr="009F74EC">
        <w:rPr>
          <w:rFonts w:cs="Arial"/>
          <w:i/>
          <w:iCs/>
        </w:rPr>
        <w:t>Intellectuelle</w:t>
      </w:r>
      <w:proofErr w:type="spellEnd"/>
      <w:r w:rsidRPr="009F74EC">
        <w:rPr>
          <w:rFonts w:cs="Arial"/>
          <w:i/>
          <w:iCs/>
        </w:rPr>
        <w:t xml:space="preserve"> </w:t>
      </w:r>
      <w:r w:rsidRPr="009F74EC">
        <w:rPr>
          <w:rFonts w:cs="Arial"/>
        </w:rPr>
        <w:t xml:space="preserve">(OAPI) y la </w:t>
      </w:r>
      <w:r w:rsidRPr="009F74EC">
        <w:rPr>
          <w:rStyle w:val="Emphasis"/>
          <w:rFonts w:cs="Arial"/>
          <w:i w:val="0"/>
          <w:iCs w:val="0"/>
          <w:shd w:val="clear" w:color="auto" w:fill="FFFFFF"/>
        </w:rPr>
        <w:t xml:space="preserve">Organización Regional </w:t>
      </w:r>
      <w:r w:rsidRPr="00965DC9">
        <w:rPr>
          <w:rFonts w:cs="Arial"/>
        </w:rPr>
        <w:t>Africana de la</w:t>
      </w:r>
      <w:r w:rsidRPr="009F74EC">
        <w:rPr>
          <w:rFonts w:cs="Arial"/>
          <w:i/>
          <w:iCs/>
        </w:rPr>
        <w:t xml:space="preserve"> </w:t>
      </w:r>
      <w:r w:rsidRPr="009F74EC">
        <w:rPr>
          <w:rStyle w:val="Emphasis"/>
          <w:rFonts w:cs="Arial"/>
          <w:i w:val="0"/>
          <w:iCs w:val="0"/>
          <w:shd w:val="clear" w:color="auto" w:fill="FFFFFF"/>
        </w:rPr>
        <w:t xml:space="preserve">Propiedad Intelectual </w:t>
      </w:r>
      <w:r w:rsidRPr="009F74EC">
        <w:rPr>
          <w:rFonts w:cs="Arial"/>
        </w:rPr>
        <w:t>(ARIPO).</w:t>
      </w:r>
    </w:p>
    <w:p w14:paraId="384B9A0D" w14:textId="77777777" w:rsidR="005A5957" w:rsidRPr="009F74EC" w:rsidRDefault="005A5957" w:rsidP="005A5957">
      <w:pPr>
        <w:pStyle w:val="NormalWeb"/>
        <w:spacing w:before="0" w:beforeAutospacing="0" w:after="0" w:afterAutospacing="0" w:line="240" w:lineRule="auto"/>
        <w:jc w:val="both"/>
        <w:rPr>
          <w:rFonts w:ascii="Arial" w:hAnsi="Arial" w:cs="Arial"/>
          <w:sz w:val="20"/>
          <w:szCs w:val="20"/>
          <w:lang w:val="es-ES_tradnl"/>
        </w:rPr>
      </w:pPr>
    </w:p>
    <w:p w14:paraId="4761AF20" w14:textId="77777777" w:rsidR="005A5957" w:rsidRPr="009F74EC" w:rsidRDefault="005A5957" w:rsidP="005A5957">
      <w:pPr>
        <w:pStyle w:val="NormalWeb"/>
        <w:spacing w:before="0" w:beforeAutospacing="0" w:after="0" w:afterAutospacing="0" w:line="240" w:lineRule="auto"/>
        <w:jc w:val="both"/>
        <w:rPr>
          <w:rFonts w:ascii="Arial" w:hAnsi="Arial" w:cs="Arial"/>
          <w:sz w:val="20"/>
          <w:szCs w:val="20"/>
          <w:lang w:val="es-ES_tradnl"/>
        </w:rPr>
      </w:pPr>
      <w:r w:rsidRPr="009F74EC">
        <w:rPr>
          <w:rFonts w:ascii="Arial" w:hAnsi="Arial" w:cs="Arial"/>
          <w:sz w:val="20"/>
          <w:szCs w:val="20"/>
          <w:lang w:val="es-ES_tradnl"/>
        </w:rPr>
        <w:t>Los proyectos de cooperación internacional IP Key están dirigidos por la Comisión Europea y se ejecutan en colaboración con la EUIPO para reforzar la protección intelectual en China, América Latina y los países de la ASEAN. Además de los proyectos IP Key, la EUIPO ejecuta en nombre de la Comisión Europea un proyecto en el Caribe (</w:t>
      </w:r>
      <w:proofErr w:type="spellStart"/>
      <w:r w:rsidRPr="009F74EC">
        <w:rPr>
          <w:rFonts w:ascii="Arial" w:hAnsi="Arial" w:cs="Arial"/>
          <w:sz w:val="20"/>
          <w:szCs w:val="20"/>
          <w:lang w:val="es-ES_tradnl"/>
        </w:rPr>
        <w:t>CarIPI</w:t>
      </w:r>
      <w:proofErr w:type="spellEnd"/>
      <w:r w:rsidRPr="009F74EC">
        <w:rPr>
          <w:rFonts w:ascii="Arial" w:hAnsi="Arial" w:cs="Arial"/>
          <w:sz w:val="20"/>
          <w:szCs w:val="20"/>
          <w:lang w:val="es-ES_tradnl"/>
        </w:rPr>
        <w:t>), otro en África (</w:t>
      </w:r>
      <w:proofErr w:type="spellStart"/>
      <w:r w:rsidRPr="009F74EC">
        <w:rPr>
          <w:rFonts w:ascii="Arial" w:hAnsi="Arial" w:cs="Arial"/>
          <w:sz w:val="20"/>
          <w:szCs w:val="20"/>
          <w:lang w:val="es-ES_tradnl"/>
        </w:rPr>
        <w:t>AfrIPI</w:t>
      </w:r>
      <w:proofErr w:type="spellEnd"/>
      <w:r w:rsidRPr="009F74EC">
        <w:rPr>
          <w:rFonts w:ascii="Arial" w:hAnsi="Arial" w:cs="Arial"/>
          <w:sz w:val="20"/>
          <w:szCs w:val="20"/>
          <w:lang w:val="es-ES_tradnl"/>
        </w:rPr>
        <w:t>) y otro en los países del Mercosur (AL-INVEST PI). Las actividades realizadas en el marco de estos proyectos incluyen la organización de seminarios y formaciones mutuas, así como la realización de estudios y la prestación de apoyo jurídico a los países beneficiarios.</w:t>
      </w:r>
    </w:p>
    <w:p w14:paraId="098846A1" w14:textId="77777777" w:rsidR="005A5957" w:rsidRPr="009F74EC" w:rsidRDefault="005A5957" w:rsidP="005A5957">
      <w:pPr>
        <w:pStyle w:val="NormalWeb"/>
        <w:spacing w:before="0" w:beforeAutospacing="0" w:after="0" w:afterAutospacing="0" w:line="240" w:lineRule="auto"/>
        <w:jc w:val="both"/>
        <w:rPr>
          <w:rFonts w:ascii="Arial" w:hAnsi="Arial" w:cs="Arial"/>
          <w:sz w:val="20"/>
          <w:szCs w:val="20"/>
          <w:lang w:val="es-ES_tradnl"/>
        </w:rPr>
      </w:pPr>
    </w:p>
    <w:p w14:paraId="4C0A4676" w14:textId="77777777" w:rsidR="005A5957" w:rsidRPr="009F74EC" w:rsidRDefault="005A5957" w:rsidP="005A5957">
      <w:pPr>
        <w:pStyle w:val="NormalWeb"/>
        <w:spacing w:before="0" w:beforeAutospacing="0" w:after="0" w:afterAutospacing="0" w:line="240" w:lineRule="auto"/>
        <w:jc w:val="both"/>
        <w:rPr>
          <w:rFonts w:ascii="Arial" w:hAnsi="Arial" w:cs="Arial"/>
          <w:bCs/>
          <w:sz w:val="20"/>
          <w:szCs w:val="20"/>
          <w:lang w:val="es-ES_tradnl"/>
        </w:rPr>
      </w:pPr>
      <w:proofErr w:type="spellStart"/>
      <w:r w:rsidRPr="009F74EC">
        <w:rPr>
          <w:rFonts w:ascii="Arial" w:hAnsi="Arial" w:cs="Arial"/>
          <w:bCs/>
          <w:sz w:val="20"/>
          <w:szCs w:val="20"/>
          <w:lang w:val="es-ES_tradnl"/>
        </w:rPr>
        <w:t>IPKey</w:t>
      </w:r>
      <w:proofErr w:type="spellEnd"/>
      <w:r w:rsidRPr="009F74EC">
        <w:rPr>
          <w:rFonts w:ascii="Arial" w:hAnsi="Arial" w:cs="Arial"/>
          <w:bCs/>
          <w:sz w:val="20"/>
          <w:szCs w:val="20"/>
          <w:lang w:val="es-ES_tradnl"/>
        </w:rPr>
        <w:t xml:space="preserve"> </w:t>
      </w:r>
      <w:r w:rsidRPr="009F74EC">
        <w:rPr>
          <w:rFonts w:ascii="Arial" w:hAnsi="Arial" w:cs="Arial"/>
          <w:b/>
          <w:sz w:val="20"/>
          <w:szCs w:val="20"/>
          <w:lang w:val="es-ES_tradnl"/>
        </w:rPr>
        <w:t xml:space="preserve">China: </w:t>
      </w:r>
      <w:r w:rsidRPr="009F74EC">
        <w:rPr>
          <w:rFonts w:ascii="Arial" w:hAnsi="Arial" w:cs="Arial"/>
          <w:bCs/>
          <w:sz w:val="20"/>
          <w:szCs w:val="20"/>
          <w:lang w:val="es-ES_tradnl"/>
        </w:rPr>
        <w:t xml:space="preserve">no se llevaron a cabo actividades entre julio de 2022 y julio de 2023 en el marco del proyecto </w:t>
      </w:r>
      <w:proofErr w:type="spellStart"/>
      <w:r w:rsidRPr="009F74EC">
        <w:rPr>
          <w:rFonts w:ascii="Arial" w:hAnsi="Arial" w:cs="Arial"/>
          <w:bCs/>
          <w:sz w:val="20"/>
          <w:szCs w:val="20"/>
          <w:lang w:val="es-ES_tradnl"/>
        </w:rPr>
        <w:t>IPKey</w:t>
      </w:r>
      <w:proofErr w:type="spellEnd"/>
      <w:r w:rsidRPr="009F74EC">
        <w:rPr>
          <w:rFonts w:ascii="Arial" w:hAnsi="Arial" w:cs="Arial"/>
          <w:bCs/>
          <w:sz w:val="20"/>
          <w:szCs w:val="20"/>
          <w:lang w:val="es-ES_tradnl"/>
        </w:rPr>
        <w:t xml:space="preserve"> China.</w:t>
      </w:r>
    </w:p>
    <w:p w14:paraId="413DEAA5" w14:textId="77777777" w:rsidR="005A5957" w:rsidRPr="009F74EC" w:rsidRDefault="005A5957" w:rsidP="005A5957">
      <w:pPr>
        <w:pStyle w:val="NormalWeb"/>
        <w:spacing w:before="0" w:beforeAutospacing="0" w:after="0" w:afterAutospacing="0" w:line="240" w:lineRule="auto"/>
        <w:jc w:val="both"/>
        <w:rPr>
          <w:rFonts w:ascii="Arial" w:hAnsi="Arial" w:cs="Arial"/>
          <w:bCs/>
          <w:sz w:val="20"/>
          <w:szCs w:val="20"/>
          <w:lang w:val="es-ES_tradnl"/>
        </w:rPr>
      </w:pPr>
    </w:p>
    <w:p w14:paraId="7F5F843E" w14:textId="77777777" w:rsidR="005A5957" w:rsidRPr="009F74EC" w:rsidRDefault="005A5957" w:rsidP="005A5957">
      <w:pPr>
        <w:pStyle w:val="NormalWeb"/>
        <w:spacing w:before="0" w:beforeAutospacing="0" w:after="0" w:afterAutospacing="0" w:line="240" w:lineRule="auto"/>
        <w:jc w:val="both"/>
        <w:rPr>
          <w:rFonts w:ascii="Arial" w:hAnsi="Arial" w:cs="Arial"/>
          <w:bCs/>
          <w:sz w:val="20"/>
          <w:szCs w:val="20"/>
          <w:lang w:val="es-ES_tradnl"/>
        </w:rPr>
      </w:pPr>
      <w:proofErr w:type="spellStart"/>
      <w:r w:rsidRPr="009F74EC">
        <w:rPr>
          <w:rFonts w:ascii="Arial" w:hAnsi="Arial" w:cs="Arial"/>
          <w:bCs/>
          <w:sz w:val="20"/>
          <w:szCs w:val="20"/>
          <w:lang w:val="es-ES_tradnl"/>
        </w:rPr>
        <w:t>IPKey</w:t>
      </w:r>
      <w:proofErr w:type="spellEnd"/>
      <w:r w:rsidRPr="009F74EC">
        <w:rPr>
          <w:rFonts w:ascii="Arial" w:hAnsi="Arial" w:cs="Arial"/>
          <w:bCs/>
          <w:sz w:val="20"/>
          <w:szCs w:val="20"/>
          <w:lang w:val="es-ES_tradnl"/>
        </w:rPr>
        <w:t xml:space="preserve"> </w:t>
      </w:r>
      <w:r w:rsidRPr="009F74EC">
        <w:rPr>
          <w:rFonts w:ascii="Arial" w:hAnsi="Arial" w:cs="Arial"/>
          <w:b/>
          <w:sz w:val="20"/>
          <w:szCs w:val="20"/>
          <w:lang w:val="es-ES_tradnl"/>
        </w:rPr>
        <w:t xml:space="preserve">Sudeste Asiático: </w:t>
      </w:r>
      <w:r w:rsidRPr="009F74EC">
        <w:rPr>
          <w:rFonts w:ascii="Arial" w:hAnsi="Arial" w:cs="Arial"/>
          <w:bCs/>
          <w:sz w:val="20"/>
          <w:szCs w:val="20"/>
          <w:lang w:val="es-ES_tradnl"/>
        </w:rPr>
        <w:t xml:space="preserve">en el marco del proyecto </w:t>
      </w:r>
      <w:proofErr w:type="spellStart"/>
      <w:r w:rsidRPr="009F74EC">
        <w:rPr>
          <w:rFonts w:ascii="Arial" w:hAnsi="Arial" w:cs="Arial"/>
          <w:bCs/>
          <w:sz w:val="20"/>
          <w:szCs w:val="20"/>
          <w:lang w:val="es-ES_tradnl"/>
        </w:rPr>
        <w:t>IPKey</w:t>
      </w:r>
      <w:proofErr w:type="spellEnd"/>
      <w:r w:rsidRPr="009F74EC">
        <w:rPr>
          <w:rFonts w:ascii="Arial" w:hAnsi="Arial" w:cs="Arial"/>
          <w:bCs/>
          <w:sz w:val="20"/>
          <w:szCs w:val="20"/>
          <w:lang w:val="es-ES_tradnl"/>
        </w:rPr>
        <w:t xml:space="preserve"> SEA para 2022 se aprobaron dos actividades realizadas en enero de 2022 en el marco de la ampliación del plan de trabajo anual de 2021.</w:t>
      </w:r>
    </w:p>
    <w:p w14:paraId="0E614998" w14:textId="77777777" w:rsidR="005A5957" w:rsidRPr="009F74EC" w:rsidRDefault="005A5957" w:rsidP="005A5957">
      <w:pPr>
        <w:pStyle w:val="NormalWeb"/>
        <w:spacing w:before="0" w:beforeAutospacing="0" w:after="0" w:afterAutospacing="0" w:line="240" w:lineRule="auto"/>
        <w:jc w:val="both"/>
        <w:rPr>
          <w:rFonts w:ascii="Arial" w:hAnsi="Arial" w:cs="Arial"/>
          <w:bCs/>
          <w:sz w:val="20"/>
          <w:szCs w:val="20"/>
          <w:lang w:val="es-ES_tradnl"/>
        </w:rPr>
      </w:pPr>
    </w:p>
    <w:p w14:paraId="4551047D" w14:textId="77777777" w:rsidR="005A5957" w:rsidRPr="009F74EC" w:rsidRDefault="005A5957" w:rsidP="005A5957">
      <w:pPr>
        <w:pStyle w:val="NormalWeb"/>
        <w:spacing w:before="0" w:beforeAutospacing="0" w:after="0" w:afterAutospacing="0" w:line="240" w:lineRule="auto"/>
        <w:jc w:val="both"/>
        <w:rPr>
          <w:rFonts w:ascii="Arial" w:hAnsi="Arial" w:cs="Arial"/>
          <w:bCs/>
          <w:sz w:val="20"/>
          <w:szCs w:val="20"/>
          <w:lang w:val="es-ES_tradnl"/>
        </w:rPr>
      </w:pPr>
      <w:proofErr w:type="spellStart"/>
      <w:r w:rsidRPr="009F74EC">
        <w:rPr>
          <w:rFonts w:ascii="Arial" w:hAnsi="Arial" w:cs="Arial"/>
          <w:b/>
          <w:sz w:val="20"/>
          <w:szCs w:val="20"/>
          <w:lang w:val="es-ES_tradnl"/>
        </w:rPr>
        <w:t>IPKey</w:t>
      </w:r>
      <w:proofErr w:type="spellEnd"/>
      <w:r w:rsidRPr="009F74EC">
        <w:rPr>
          <w:rFonts w:ascii="Arial" w:hAnsi="Arial" w:cs="Arial"/>
          <w:b/>
          <w:sz w:val="20"/>
          <w:szCs w:val="20"/>
          <w:lang w:val="es-ES_tradnl"/>
        </w:rPr>
        <w:t xml:space="preserve"> América Latina</w:t>
      </w:r>
      <w:r w:rsidRPr="009F74EC">
        <w:rPr>
          <w:rFonts w:ascii="Arial" w:hAnsi="Arial" w:cs="Arial"/>
          <w:bCs/>
          <w:sz w:val="20"/>
          <w:szCs w:val="20"/>
          <w:lang w:val="es-ES_tradnl"/>
        </w:rPr>
        <w:t xml:space="preserve">. El 20 de octubre de 2022, en cooperación con el proyecto AL-INVEST Verde, el proyecto organizó un seminario web sobre la concesión de licencias de derechos de obtención vegetal. El evento fue seguido por casi 500 personas. El </w:t>
      </w:r>
      <w:proofErr w:type="spellStart"/>
      <w:r w:rsidRPr="009F74EC">
        <w:rPr>
          <w:rFonts w:ascii="Arial" w:hAnsi="Arial" w:cs="Arial"/>
          <w:bCs/>
          <w:sz w:val="20"/>
          <w:szCs w:val="20"/>
          <w:lang w:val="es-ES_tradnl"/>
        </w:rPr>
        <w:t>webinar</w:t>
      </w:r>
      <w:proofErr w:type="spellEnd"/>
      <w:r w:rsidRPr="009F74EC">
        <w:rPr>
          <w:rFonts w:ascii="Arial" w:hAnsi="Arial" w:cs="Arial"/>
          <w:bCs/>
          <w:sz w:val="20"/>
          <w:szCs w:val="20"/>
          <w:lang w:val="es-ES_tradnl"/>
        </w:rPr>
        <w:t xml:space="preserve"> se tradujo posteriormente en un curso disponible con certificado en el Portal de Aprendizaje de la Academia de la EUIPO (aquí el enlace para información. Vídeo en español: </w:t>
      </w:r>
      <w:hyperlink r:id="rId51" w:history="1">
        <w:r w:rsidRPr="009F74EC">
          <w:rPr>
            <w:rStyle w:val="Hyperlink"/>
            <w:rFonts w:cs="Arial"/>
            <w:bCs/>
            <w:sz w:val="20"/>
            <w:szCs w:val="20"/>
            <w:lang w:val="es-ES_tradnl"/>
          </w:rPr>
          <w:t>https:</w:t>
        </w:r>
      </w:hyperlink>
      <w:r w:rsidRPr="009F74EC">
        <w:rPr>
          <w:rFonts w:ascii="Arial" w:hAnsi="Arial" w:cs="Arial"/>
          <w:bCs/>
          <w:sz w:val="20"/>
          <w:szCs w:val="20"/>
          <w:lang w:val="es-ES_tradnl"/>
        </w:rPr>
        <w:t xml:space="preserve">//euipo.europa.eu/knowledge/course/view.php?id=4849). </w:t>
      </w:r>
    </w:p>
    <w:p w14:paraId="5026190F" w14:textId="77777777" w:rsidR="005A5957" w:rsidRPr="009F74EC" w:rsidRDefault="005A5957" w:rsidP="005A5957">
      <w:pPr>
        <w:pStyle w:val="NormalWeb"/>
        <w:spacing w:before="0" w:beforeAutospacing="0" w:after="0" w:afterAutospacing="0" w:line="240" w:lineRule="auto"/>
        <w:jc w:val="both"/>
        <w:rPr>
          <w:rFonts w:ascii="Arial" w:hAnsi="Arial" w:cs="Arial"/>
          <w:bCs/>
          <w:sz w:val="20"/>
          <w:szCs w:val="20"/>
          <w:lang w:val="es-ES_tradnl"/>
        </w:rPr>
      </w:pPr>
    </w:p>
    <w:p w14:paraId="609C32A2" w14:textId="77777777" w:rsidR="005A5957" w:rsidRPr="009F74EC" w:rsidRDefault="005A5957" w:rsidP="005A5957">
      <w:pPr>
        <w:pStyle w:val="NormalWeb"/>
        <w:spacing w:before="0" w:beforeAutospacing="0" w:after="0" w:afterAutospacing="0" w:line="240" w:lineRule="auto"/>
        <w:jc w:val="both"/>
        <w:rPr>
          <w:rFonts w:ascii="Arial" w:hAnsi="Arial" w:cs="Arial"/>
          <w:sz w:val="20"/>
          <w:szCs w:val="20"/>
          <w:lang w:val="es-ES_tradnl"/>
        </w:rPr>
      </w:pPr>
      <w:proofErr w:type="spellStart"/>
      <w:r w:rsidRPr="009F74EC">
        <w:rPr>
          <w:rFonts w:ascii="Arial" w:hAnsi="Arial" w:cs="Arial"/>
          <w:b/>
          <w:sz w:val="20"/>
          <w:szCs w:val="20"/>
          <w:lang w:val="es-ES_tradnl"/>
        </w:rPr>
        <w:t>CarIPI</w:t>
      </w:r>
      <w:proofErr w:type="spellEnd"/>
      <w:r w:rsidRPr="009F74EC">
        <w:rPr>
          <w:rFonts w:ascii="Arial" w:hAnsi="Arial" w:cs="Arial"/>
          <w:sz w:val="20"/>
          <w:szCs w:val="20"/>
          <w:lang w:val="es-ES_tradnl"/>
        </w:rPr>
        <w:t xml:space="preserve">: El 20 de septiembre de 2022, la OCVV participó en el evento en línea organizado por el </w:t>
      </w:r>
      <w:proofErr w:type="spellStart"/>
      <w:r w:rsidRPr="009F74EC">
        <w:rPr>
          <w:rFonts w:ascii="Arial" w:hAnsi="Arial" w:cs="Arial"/>
          <w:sz w:val="20"/>
          <w:szCs w:val="20"/>
          <w:lang w:val="es-ES_tradnl"/>
        </w:rPr>
        <w:t>CarIPI</w:t>
      </w:r>
      <w:proofErr w:type="spellEnd"/>
      <w:r w:rsidRPr="009F74EC">
        <w:rPr>
          <w:rFonts w:ascii="Arial" w:hAnsi="Arial" w:cs="Arial"/>
          <w:sz w:val="20"/>
          <w:szCs w:val="20"/>
          <w:lang w:val="es-ES_tradnl"/>
        </w:rPr>
        <w:t xml:space="preserve"> relativo al "Intercambio de prácticas óptimas sobre la protección de los recursos fitogenéticos, los conocimientos tradicionales y el folclore". En 2023, a raíz de la iniciativa de la </w:t>
      </w:r>
      <w:r w:rsidRPr="009F74EC">
        <w:rPr>
          <w:rFonts w:ascii="Arial" w:hAnsi="Arial" w:cs="Arial"/>
          <w:sz w:val="20"/>
          <w:szCs w:val="20"/>
          <w:shd w:val="clear" w:color="auto" w:fill="FFFFFF"/>
          <w:lang w:val="es-ES_tradnl"/>
        </w:rPr>
        <w:t xml:space="preserve">Comunidad del Caribe </w:t>
      </w:r>
      <w:r w:rsidRPr="009F74EC">
        <w:rPr>
          <w:rFonts w:ascii="Arial" w:hAnsi="Arial" w:cs="Arial"/>
          <w:sz w:val="20"/>
          <w:szCs w:val="20"/>
          <w:lang w:val="es-ES_tradnl"/>
        </w:rPr>
        <w:t>(CARICOM),</w:t>
      </w:r>
      <w:bookmarkStart w:id="6" w:name="_Hlk145946042"/>
      <w:r w:rsidRPr="009F74EC">
        <w:rPr>
          <w:rFonts w:ascii="Arial" w:hAnsi="Arial" w:cs="Arial"/>
          <w:sz w:val="20"/>
          <w:szCs w:val="20"/>
          <w:lang w:val="es-ES_tradnl"/>
        </w:rPr>
        <w:t xml:space="preserve"> , la OCVV y la UPOV están cooperando en un proyecto para elaborar una política regional de semillas que abarque a los Estados de la CARICOM.</w:t>
      </w:r>
      <w:bookmarkStart w:id="7" w:name="_Hlk145946108"/>
      <w:bookmarkEnd w:id="6"/>
    </w:p>
    <w:p w14:paraId="634F570D" w14:textId="77777777" w:rsidR="005A5957" w:rsidRPr="009F74EC" w:rsidRDefault="005A5957" w:rsidP="005A5957">
      <w:pPr>
        <w:pStyle w:val="NormalWeb"/>
        <w:spacing w:before="0" w:beforeAutospacing="0" w:after="0" w:afterAutospacing="0" w:line="240" w:lineRule="auto"/>
        <w:jc w:val="both"/>
        <w:rPr>
          <w:rFonts w:ascii="Arial" w:hAnsi="Arial" w:cs="Arial"/>
          <w:bCs/>
          <w:sz w:val="20"/>
          <w:szCs w:val="20"/>
          <w:lang w:val="es-ES_tradnl"/>
        </w:rPr>
      </w:pPr>
    </w:p>
    <w:p w14:paraId="75CB84A2" w14:textId="77777777" w:rsidR="005A5957" w:rsidRPr="009F74EC" w:rsidRDefault="005A5957" w:rsidP="005A5957">
      <w:pPr>
        <w:pStyle w:val="NormalWeb"/>
        <w:spacing w:before="0" w:beforeAutospacing="0" w:after="0" w:afterAutospacing="0" w:line="240" w:lineRule="auto"/>
        <w:jc w:val="both"/>
        <w:rPr>
          <w:rFonts w:ascii="Arial" w:hAnsi="Arial" w:cs="Arial"/>
          <w:sz w:val="20"/>
          <w:szCs w:val="20"/>
          <w:lang w:val="es-ES_tradnl" w:eastAsia="en-IE"/>
        </w:rPr>
      </w:pPr>
      <w:r w:rsidRPr="009F74EC">
        <w:rPr>
          <w:rFonts w:ascii="Arial" w:hAnsi="Arial" w:cs="Arial"/>
          <w:bCs/>
          <w:sz w:val="20"/>
          <w:szCs w:val="20"/>
          <w:lang w:val="es-ES_tradnl"/>
        </w:rPr>
        <w:t xml:space="preserve">En el marco del </w:t>
      </w:r>
      <w:r w:rsidRPr="009F74EC">
        <w:rPr>
          <w:rFonts w:ascii="Arial" w:hAnsi="Arial" w:cs="Arial"/>
          <w:sz w:val="20"/>
          <w:szCs w:val="20"/>
          <w:lang w:val="es-ES_tradnl"/>
        </w:rPr>
        <w:t xml:space="preserve">proyecto </w:t>
      </w:r>
      <w:proofErr w:type="spellStart"/>
      <w:r w:rsidRPr="009F74EC">
        <w:rPr>
          <w:rFonts w:ascii="Arial" w:hAnsi="Arial" w:cs="Arial"/>
          <w:b/>
          <w:sz w:val="20"/>
          <w:szCs w:val="20"/>
          <w:lang w:val="es-ES_tradnl"/>
        </w:rPr>
        <w:t>AfrIPI</w:t>
      </w:r>
      <w:proofErr w:type="spellEnd"/>
      <w:r w:rsidRPr="009F74EC">
        <w:rPr>
          <w:rFonts w:ascii="Arial" w:hAnsi="Arial" w:cs="Arial"/>
          <w:b/>
          <w:sz w:val="20"/>
          <w:szCs w:val="20"/>
          <w:lang w:val="es-ES_tradnl"/>
        </w:rPr>
        <w:t xml:space="preserve">, </w:t>
      </w:r>
      <w:r w:rsidRPr="009F74EC">
        <w:rPr>
          <w:rFonts w:ascii="Arial" w:hAnsi="Arial" w:cs="Arial"/>
          <w:sz w:val="20"/>
          <w:szCs w:val="20"/>
          <w:lang w:val="es-ES_tradnl"/>
        </w:rPr>
        <w:t xml:space="preserve">la OCVV, junto con expertos nacionales, apoyó en 2022 el proyecto para llevar a cabo actividades de apoyo técnico. Concretamente, las actividades que continúan en 2023 son una continuación de los resultados del proyecto de la OAPI sobre el </w:t>
      </w:r>
      <w:hyperlink r:id="rId52" w:history="1">
        <w:r w:rsidRPr="009F74EC">
          <w:rPr>
            <w:rStyle w:val="Hyperlink"/>
            <w:rFonts w:cs="Arial"/>
            <w:sz w:val="20"/>
            <w:szCs w:val="20"/>
            <w:lang w:val="es-ES_tradnl"/>
          </w:rPr>
          <w:t>"</w:t>
        </w:r>
        <w:proofErr w:type="spellStart"/>
        <w:r w:rsidRPr="009F74EC">
          <w:rPr>
            <w:rStyle w:val="Hyperlink"/>
            <w:rFonts w:cs="Arial"/>
            <w:sz w:val="20"/>
            <w:szCs w:val="20"/>
            <w:lang w:val="es-ES_tradnl"/>
          </w:rPr>
          <w:t>Projet</w:t>
        </w:r>
        <w:proofErr w:type="spellEnd"/>
        <w:r w:rsidRPr="009F74EC">
          <w:rPr>
            <w:rStyle w:val="Hyperlink"/>
            <w:rFonts w:cs="Arial"/>
            <w:sz w:val="20"/>
            <w:szCs w:val="20"/>
            <w:lang w:val="es-ES_tradnl"/>
          </w:rPr>
          <w:t xml:space="preserve"> de </w:t>
        </w:r>
        <w:proofErr w:type="spellStart"/>
        <w:r w:rsidRPr="009F74EC">
          <w:rPr>
            <w:rStyle w:val="Hyperlink"/>
            <w:rFonts w:cs="Arial"/>
            <w:sz w:val="20"/>
            <w:szCs w:val="20"/>
            <w:lang w:val="es-ES_tradnl"/>
          </w:rPr>
          <w:t>Renforcement</w:t>
        </w:r>
        <w:proofErr w:type="spellEnd"/>
        <w:r w:rsidRPr="009F74EC">
          <w:rPr>
            <w:rStyle w:val="Hyperlink"/>
            <w:rFonts w:cs="Arial"/>
            <w:sz w:val="20"/>
            <w:szCs w:val="20"/>
            <w:lang w:val="es-ES_tradnl"/>
          </w:rPr>
          <w:t xml:space="preserve"> et </w:t>
        </w:r>
        <w:proofErr w:type="spellStart"/>
        <w:r w:rsidRPr="009F74EC">
          <w:rPr>
            <w:rStyle w:val="Hyperlink"/>
            <w:rFonts w:cs="Arial"/>
            <w:sz w:val="20"/>
            <w:szCs w:val="20"/>
            <w:lang w:val="es-ES_tradnl"/>
          </w:rPr>
          <w:t>Promotion</w:t>
        </w:r>
        <w:proofErr w:type="spellEnd"/>
        <w:r w:rsidRPr="009F74EC">
          <w:rPr>
            <w:rStyle w:val="Hyperlink"/>
            <w:rFonts w:cs="Arial"/>
            <w:sz w:val="20"/>
            <w:szCs w:val="20"/>
            <w:lang w:val="es-ES_tradnl"/>
          </w:rPr>
          <w:t xml:space="preserve"> du </w:t>
        </w:r>
        <w:proofErr w:type="spellStart"/>
        <w:r w:rsidRPr="009F74EC">
          <w:rPr>
            <w:rStyle w:val="Hyperlink"/>
            <w:rFonts w:cs="Arial"/>
            <w:sz w:val="20"/>
            <w:szCs w:val="20"/>
            <w:lang w:val="es-ES_tradnl"/>
          </w:rPr>
          <w:t>Système</w:t>
        </w:r>
        <w:proofErr w:type="spellEnd"/>
        <w:r w:rsidRPr="009F74EC">
          <w:rPr>
            <w:rStyle w:val="Hyperlink"/>
            <w:rFonts w:cs="Arial"/>
            <w:sz w:val="20"/>
            <w:szCs w:val="20"/>
            <w:lang w:val="es-ES_tradnl"/>
          </w:rPr>
          <w:t xml:space="preserve"> de </w:t>
        </w:r>
        <w:proofErr w:type="spellStart"/>
        <w:r w:rsidRPr="009F74EC">
          <w:rPr>
            <w:rStyle w:val="Hyperlink"/>
            <w:rFonts w:cs="Arial"/>
            <w:sz w:val="20"/>
            <w:szCs w:val="20"/>
            <w:lang w:val="es-ES_tradnl"/>
          </w:rPr>
          <w:t>Protection</w:t>
        </w:r>
        <w:proofErr w:type="spellEnd"/>
        <w:r w:rsidRPr="009F74EC">
          <w:rPr>
            <w:rStyle w:val="Hyperlink"/>
            <w:rFonts w:cs="Arial"/>
            <w:sz w:val="20"/>
            <w:szCs w:val="20"/>
            <w:lang w:val="es-ES_tradnl"/>
          </w:rPr>
          <w:t xml:space="preserve"> des </w:t>
        </w:r>
        <w:proofErr w:type="spellStart"/>
        <w:r w:rsidRPr="009F74EC">
          <w:rPr>
            <w:rStyle w:val="Hyperlink"/>
            <w:rFonts w:cs="Arial"/>
            <w:sz w:val="20"/>
            <w:szCs w:val="20"/>
            <w:lang w:val="es-ES_tradnl"/>
          </w:rPr>
          <w:t>Obtentions</w:t>
        </w:r>
        <w:proofErr w:type="spellEnd"/>
        <w:r w:rsidRPr="009F74EC">
          <w:rPr>
            <w:rStyle w:val="Hyperlink"/>
            <w:rFonts w:cs="Arial"/>
            <w:sz w:val="20"/>
            <w:szCs w:val="20"/>
            <w:lang w:val="es-ES_tradnl"/>
          </w:rPr>
          <w:t xml:space="preserve"> </w:t>
        </w:r>
        <w:proofErr w:type="spellStart"/>
        <w:r w:rsidRPr="009F74EC">
          <w:rPr>
            <w:rStyle w:val="Hyperlink"/>
            <w:rFonts w:cs="Arial"/>
            <w:sz w:val="20"/>
            <w:szCs w:val="20"/>
            <w:lang w:val="es-ES_tradnl"/>
          </w:rPr>
          <w:t>Végétales</w:t>
        </w:r>
        <w:proofErr w:type="spellEnd"/>
        <w:r w:rsidRPr="009F74EC">
          <w:rPr>
            <w:rStyle w:val="Hyperlink"/>
            <w:rFonts w:cs="Arial"/>
            <w:sz w:val="20"/>
            <w:szCs w:val="20"/>
            <w:lang w:val="es-ES_tradnl"/>
          </w:rPr>
          <w:t>" (</w:t>
        </w:r>
        <w:r w:rsidRPr="009F74EC">
          <w:rPr>
            <w:rStyle w:val="Hyperlink"/>
            <w:rFonts w:cs="Arial"/>
            <w:b/>
            <w:bCs/>
            <w:sz w:val="20"/>
            <w:szCs w:val="20"/>
            <w:lang w:val="es-ES_tradnl"/>
          </w:rPr>
          <w:t xml:space="preserve">PPOV </w:t>
        </w:r>
      </w:hyperlink>
      <w:hyperlink r:id="rId53" w:history="1">
        <w:r w:rsidRPr="009F74EC">
          <w:rPr>
            <w:rStyle w:val="Hyperlink"/>
            <w:rFonts w:cs="Arial"/>
            <w:sz w:val="20"/>
            <w:szCs w:val="20"/>
            <w:lang w:val="es-ES_tradnl"/>
          </w:rPr>
          <w:t xml:space="preserve">) </w:t>
        </w:r>
      </w:hyperlink>
      <w:r w:rsidRPr="009F74EC">
        <w:rPr>
          <w:rFonts w:ascii="Arial" w:hAnsi="Arial" w:cs="Arial"/>
          <w:sz w:val="20"/>
          <w:szCs w:val="20"/>
          <w:lang w:val="es-ES_tradnl"/>
        </w:rPr>
        <w:t xml:space="preserve">y se refieren a la colección de referencia de centros acreditados y centros de examen en los países de la OAPI. El proyecto PPOV con la OAPI se cerró en diciembre de 2022. </w:t>
      </w:r>
    </w:p>
    <w:bookmarkEnd w:id="7"/>
    <w:p w14:paraId="1BAC1ECF" w14:textId="77777777" w:rsidR="005A5957" w:rsidRPr="009F74EC" w:rsidRDefault="005A5957" w:rsidP="005A5957">
      <w:pPr>
        <w:pStyle w:val="NormalWeb"/>
        <w:spacing w:before="0" w:beforeAutospacing="0" w:after="0" w:afterAutospacing="0" w:line="240" w:lineRule="auto"/>
        <w:jc w:val="both"/>
        <w:rPr>
          <w:rFonts w:ascii="Arial" w:hAnsi="Arial" w:cs="Arial"/>
          <w:sz w:val="20"/>
          <w:szCs w:val="20"/>
          <w:lang w:val="es-ES_tradnl"/>
        </w:rPr>
      </w:pPr>
    </w:p>
    <w:p w14:paraId="3526AAAA" w14:textId="77777777" w:rsidR="005A5957" w:rsidRPr="009F74EC" w:rsidRDefault="005A5957" w:rsidP="005A5957">
      <w:pPr>
        <w:pStyle w:val="NormalWeb"/>
        <w:spacing w:before="0" w:beforeAutospacing="0" w:after="0" w:afterAutospacing="0" w:line="240" w:lineRule="auto"/>
        <w:jc w:val="both"/>
        <w:rPr>
          <w:rFonts w:ascii="Arial" w:hAnsi="Arial" w:cs="Arial"/>
          <w:sz w:val="20"/>
          <w:szCs w:val="20"/>
          <w:lang w:val="es-ES_tradnl"/>
        </w:rPr>
      </w:pPr>
      <w:r w:rsidRPr="009F74EC">
        <w:rPr>
          <w:rFonts w:ascii="Arial" w:hAnsi="Arial" w:cs="Arial"/>
          <w:sz w:val="20"/>
          <w:szCs w:val="20"/>
          <w:lang w:val="es-ES_tradnl"/>
        </w:rPr>
        <w:lastRenderedPageBreak/>
        <w:t xml:space="preserve">La OCVV siguió realizando las siguientes actividades en el marco del instrumento </w:t>
      </w:r>
      <w:r w:rsidRPr="009F74EC">
        <w:rPr>
          <w:rFonts w:ascii="Arial" w:hAnsi="Arial" w:cs="Arial"/>
          <w:b/>
          <w:bCs/>
          <w:sz w:val="20"/>
          <w:szCs w:val="20"/>
          <w:lang w:val="es-ES_tradnl"/>
        </w:rPr>
        <w:t>TAIEX</w:t>
      </w:r>
      <w:r w:rsidRPr="009F74EC">
        <w:rPr>
          <w:rFonts w:ascii="Arial" w:hAnsi="Arial" w:cs="Arial"/>
          <w:sz w:val="20"/>
          <w:szCs w:val="20"/>
          <w:lang w:val="es-ES_tradnl"/>
        </w:rPr>
        <w:t>:</w:t>
      </w:r>
    </w:p>
    <w:p w14:paraId="276E0FD4" w14:textId="77777777" w:rsidR="005A5957" w:rsidRPr="009F74EC" w:rsidRDefault="005A5957" w:rsidP="005A5957">
      <w:pPr>
        <w:pStyle w:val="NormalWeb"/>
        <w:spacing w:before="0" w:beforeAutospacing="0" w:after="0" w:afterAutospacing="0" w:line="240" w:lineRule="auto"/>
        <w:jc w:val="both"/>
        <w:rPr>
          <w:rFonts w:ascii="Arial" w:hAnsi="Arial" w:cs="Arial"/>
          <w:sz w:val="20"/>
          <w:szCs w:val="20"/>
          <w:lang w:val="es-ES_tradnl"/>
        </w:rPr>
      </w:pPr>
    </w:p>
    <w:p w14:paraId="44620A36" w14:textId="77777777" w:rsidR="005A5957" w:rsidRPr="009F74EC" w:rsidRDefault="005A5957" w:rsidP="005A5957">
      <w:pPr>
        <w:pStyle w:val="NormalWeb"/>
        <w:numPr>
          <w:ilvl w:val="0"/>
          <w:numId w:val="30"/>
        </w:numPr>
        <w:spacing w:before="0" w:beforeAutospacing="0" w:after="120" w:afterAutospacing="0" w:line="240" w:lineRule="auto"/>
        <w:ind w:left="714" w:hanging="357"/>
        <w:jc w:val="both"/>
        <w:rPr>
          <w:rFonts w:ascii="Arial" w:hAnsi="Arial" w:cs="Arial"/>
          <w:sz w:val="20"/>
          <w:szCs w:val="20"/>
          <w:lang w:val="es-ES_tradnl"/>
        </w:rPr>
      </w:pPr>
      <w:r w:rsidRPr="009F74EC">
        <w:rPr>
          <w:rFonts w:ascii="Arial" w:hAnsi="Arial" w:cs="Arial"/>
          <w:sz w:val="20"/>
          <w:szCs w:val="20"/>
          <w:lang w:val="es-ES_tradnl"/>
        </w:rPr>
        <w:t xml:space="preserve">14-15 de noviembre de 2022: Misión de expertos sobre la aplicación del sistema de protección de las obtenciones vegetales basado en la UPOV en San Vicente y las </w:t>
      </w:r>
      <w:proofErr w:type="gramStart"/>
      <w:r w:rsidRPr="009F74EC">
        <w:rPr>
          <w:rFonts w:ascii="Arial" w:hAnsi="Arial" w:cs="Arial"/>
          <w:sz w:val="20"/>
          <w:szCs w:val="20"/>
          <w:lang w:val="es-ES_tradnl"/>
        </w:rPr>
        <w:t>Granadinas</w:t>
      </w:r>
      <w:proofErr w:type="gramEnd"/>
      <w:r w:rsidRPr="009F74EC">
        <w:rPr>
          <w:rFonts w:ascii="Arial" w:hAnsi="Arial" w:cs="Arial"/>
          <w:sz w:val="20"/>
          <w:szCs w:val="20"/>
          <w:lang w:val="es-ES_tradnl"/>
        </w:rPr>
        <w:t>, seguida de un seminario regional el 16 de noviembre.</w:t>
      </w:r>
    </w:p>
    <w:p w14:paraId="002E9D6D" w14:textId="77777777" w:rsidR="005A5957" w:rsidRPr="009F74EC" w:rsidRDefault="005A5957" w:rsidP="005A5957">
      <w:pPr>
        <w:pStyle w:val="NormalWeb"/>
        <w:numPr>
          <w:ilvl w:val="0"/>
          <w:numId w:val="29"/>
        </w:numPr>
        <w:spacing w:before="0" w:beforeAutospacing="0" w:after="0" w:afterAutospacing="0" w:line="240" w:lineRule="auto"/>
        <w:jc w:val="both"/>
        <w:rPr>
          <w:rFonts w:ascii="Arial" w:hAnsi="Arial" w:cs="Arial"/>
          <w:sz w:val="20"/>
          <w:szCs w:val="20"/>
          <w:lang w:val="es-ES_tradnl"/>
        </w:rPr>
      </w:pPr>
      <w:r w:rsidRPr="009F74EC">
        <w:rPr>
          <w:rFonts w:ascii="Arial" w:hAnsi="Arial" w:cs="Arial"/>
          <w:sz w:val="20"/>
          <w:szCs w:val="20"/>
          <w:lang w:val="es-ES_tradnl"/>
        </w:rPr>
        <w:t>3-7 de octubre de 2022: Misión de expertos a Chile para el desarrollo de capacidades de la Oficina Chilena de Protección de Variedades Vegetales.</w:t>
      </w:r>
    </w:p>
    <w:p w14:paraId="175A0FFA" w14:textId="77777777" w:rsidR="005A5957" w:rsidRPr="009F74EC" w:rsidRDefault="005A5957" w:rsidP="005A5957">
      <w:pPr>
        <w:pStyle w:val="NormalWeb"/>
        <w:spacing w:before="0" w:beforeAutospacing="0" w:after="0" w:afterAutospacing="0" w:line="240" w:lineRule="auto"/>
        <w:jc w:val="both"/>
        <w:rPr>
          <w:rFonts w:ascii="Arial" w:hAnsi="Arial" w:cs="Arial"/>
          <w:sz w:val="20"/>
          <w:szCs w:val="20"/>
          <w:lang w:val="es-ES_tradnl"/>
        </w:rPr>
      </w:pPr>
    </w:p>
    <w:p w14:paraId="7523B832" w14:textId="77777777" w:rsidR="005A5957" w:rsidRPr="009F74EC" w:rsidRDefault="005A5957" w:rsidP="005A5957">
      <w:pPr>
        <w:pStyle w:val="NormalWeb"/>
        <w:spacing w:before="0" w:beforeAutospacing="0" w:after="0" w:afterAutospacing="0" w:line="240" w:lineRule="auto"/>
        <w:jc w:val="both"/>
        <w:rPr>
          <w:rFonts w:ascii="Arial" w:hAnsi="Arial" w:cs="Arial"/>
          <w:sz w:val="20"/>
          <w:szCs w:val="20"/>
          <w:lang w:val="es-ES_tradnl"/>
        </w:rPr>
      </w:pPr>
      <w:r w:rsidRPr="009F74EC">
        <w:rPr>
          <w:rFonts w:ascii="Arial" w:hAnsi="Arial" w:cs="Arial"/>
          <w:sz w:val="20"/>
          <w:szCs w:val="20"/>
          <w:lang w:val="es-ES_tradnl"/>
        </w:rPr>
        <w:t>Otras iniciativas TAIEX fueron aprobadas en 2023 y se llevarán a cabo durante el año, los países implicados son: Japón, Bosnia y Herzegovina, Colombia, actividades de seguimiento de las misiones de 2022 a Chile y también expresaron su interés Egipto, Albania y Serbia para actividades de apoyo y desarrollo de capacidades.</w:t>
      </w:r>
    </w:p>
    <w:p w14:paraId="765E3E38" w14:textId="77777777" w:rsidR="005A5957" w:rsidRPr="009F74EC" w:rsidRDefault="005A5957" w:rsidP="005A5957">
      <w:pPr>
        <w:autoSpaceDE w:val="0"/>
        <w:autoSpaceDN w:val="0"/>
        <w:adjustRightInd w:val="0"/>
        <w:rPr>
          <w:rFonts w:cs="Arial"/>
        </w:rPr>
      </w:pPr>
    </w:p>
    <w:p w14:paraId="1885D784" w14:textId="77777777" w:rsidR="005A5957" w:rsidRPr="009F74EC" w:rsidRDefault="005A5957" w:rsidP="005A5957">
      <w:pPr>
        <w:autoSpaceDE w:val="0"/>
        <w:autoSpaceDN w:val="0"/>
        <w:adjustRightInd w:val="0"/>
        <w:rPr>
          <w:rFonts w:cs="Arial"/>
          <w:b/>
          <w:bCs/>
        </w:rPr>
      </w:pPr>
      <w:r w:rsidRPr="009F74EC">
        <w:rPr>
          <w:rFonts w:cs="Arial"/>
          <w:b/>
          <w:bCs/>
        </w:rPr>
        <w:t>Reuniones de la UPOV</w:t>
      </w:r>
    </w:p>
    <w:p w14:paraId="61A9AF74" w14:textId="77777777" w:rsidR="005A5957" w:rsidRPr="009F74EC" w:rsidRDefault="005A5957" w:rsidP="005A5957">
      <w:pPr>
        <w:pStyle w:val="NormalWeb"/>
        <w:spacing w:before="0" w:beforeAutospacing="0" w:after="0" w:afterAutospacing="0" w:line="240" w:lineRule="auto"/>
        <w:jc w:val="both"/>
        <w:rPr>
          <w:rFonts w:ascii="Arial" w:hAnsi="Arial" w:cs="Arial"/>
          <w:sz w:val="20"/>
          <w:szCs w:val="20"/>
          <w:lang w:val="es-ES_tradnl"/>
        </w:rPr>
      </w:pPr>
      <w:r w:rsidRPr="009F74EC">
        <w:rPr>
          <w:rFonts w:ascii="Arial" w:hAnsi="Arial" w:cs="Arial"/>
          <w:sz w:val="20"/>
          <w:szCs w:val="20"/>
          <w:lang w:val="es-ES_tradnl"/>
        </w:rPr>
        <w:t>La Comisión y los representantes de la OCVV que formaban parte de la delegación de la UE asistieron a las reuniones del Consejo de la UPOV, del Comité Consultivo, del Comité Jurídico y Administrativo y del Comité Técnico. La OCVV asistió a todos los TWP. Además, la Comisión y/o la OCVV asistieron y contribuyeron a los grupos de trabajo sobre el formulario electrónico de solicitud, sobre asistencia en materia de DHE (WG-DUS), sobre el producto de la cosecha y la utilización no autorizada de material de reproducción o de multiplicación (WG-HRV), sobre orientaciones relativas a los agricultores a pequeña escala en relación con el uso privado y con fines no comerciales (WG-SHF), así como sobre Variedades Esencialmente Derivadas (WG-EDV).</w:t>
      </w:r>
    </w:p>
    <w:p w14:paraId="45BCE070" w14:textId="77777777" w:rsidR="005A5957" w:rsidRPr="009F74EC" w:rsidRDefault="005A5957" w:rsidP="005A5957">
      <w:pPr>
        <w:autoSpaceDE w:val="0"/>
        <w:autoSpaceDN w:val="0"/>
        <w:adjustRightInd w:val="0"/>
        <w:rPr>
          <w:rFonts w:cs="Arial"/>
        </w:rPr>
      </w:pPr>
    </w:p>
    <w:p w14:paraId="79FB06B8" w14:textId="77777777" w:rsidR="005A5957" w:rsidRPr="009F74EC" w:rsidRDefault="005A5957" w:rsidP="005A5957">
      <w:pPr>
        <w:autoSpaceDE w:val="0"/>
        <w:autoSpaceDN w:val="0"/>
        <w:adjustRightInd w:val="0"/>
        <w:rPr>
          <w:rFonts w:cs="Arial"/>
          <w:b/>
          <w:bCs/>
        </w:rPr>
      </w:pPr>
      <w:r w:rsidRPr="009F74EC">
        <w:rPr>
          <w:rFonts w:cs="Arial"/>
          <w:b/>
          <w:bCs/>
        </w:rPr>
        <w:t>EAPVP</w:t>
      </w:r>
    </w:p>
    <w:p w14:paraId="2E3DBF79" w14:textId="716F2F84" w:rsidR="005A5957" w:rsidRPr="009F74EC" w:rsidRDefault="005A5957" w:rsidP="005A5957">
      <w:pPr>
        <w:rPr>
          <w:rFonts w:cs="Arial"/>
        </w:rPr>
      </w:pPr>
      <w:r w:rsidRPr="009F74EC">
        <w:rPr>
          <w:rFonts w:cs="Arial"/>
        </w:rPr>
        <w:t xml:space="preserve">Participación en el "Seminario sobre las ventajas del sistema de la UPOV de protección de las variedades vegetales para los agricultores y los cultivadores" del Foro de Asia Oriental para la Protección de las Variedades Vegetales (EAPVP), celebrado el 28 de marzo de 2023, en el que la OCVV presentó el tema "Estructura y ventajas del sistema regional de protección de las variedades vegetales" (16 reunión celebrada el 2 de agosto de 2023 y seguida en línea por la OCVV). La reunión anual de la EAPVP tiene por objeto informar sobre las actividades del año anterior y planificar futuras iniciativas de cooperación, incluida la actualización del proyecto piloto de la EAPVP sobre el establecimiento de una plataforma electrónica de protección de las obtenciones vegetales.  </w:t>
      </w:r>
    </w:p>
    <w:p w14:paraId="11E75DE6" w14:textId="77777777" w:rsidR="005A5957" w:rsidRPr="009F74EC" w:rsidRDefault="005A5957" w:rsidP="005A5957">
      <w:pPr>
        <w:autoSpaceDE w:val="0"/>
        <w:autoSpaceDN w:val="0"/>
        <w:adjustRightInd w:val="0"/>
        <w:rPr>
          <w:rFonts w:cs="Arial"/>
        </w:rPr>
      </w:pPr>
    </w:p>
    <w:p w14:paraId="740A0B55" w14:textId="77777777" w:rsidR="005A5957" w:rsidRPr="009F74EC" w:rsidRDefault="005A5957" w:rsidP="005A5957">
      <w:pPr>
        <w:autoSpaceDE w:val="0"/>
        <w:autoSpaceDN w:val="0"/>
        <w:adjustRightInd w:val="0"/>
        <w:rPr>
          <w:rFonts w:cs="Arial"/>
          <w:b/>
          <w:bCs/>
        </w:rPr>
      </w:pPr>
      <w:proofErr w:type="spellStart"/>
      <w:r w:rsidRPr="009F74EC">
        <w:rPr>
          <w:rFonts w:cs="Arial"/>
          <w:b/>
          <w:bCs/>
        </w:rPr>
        <w:t>European</w:t>
      </w:r>
      <w:proofErr w:type="spellEnd"/>
      <w:r w:rsidRPr="009F74EC">
        <w:rPr>
          <w:rFonts w:cs="Arial"/>
          <w:b/>
          <w:bCs/>
        </w:rPr>
        <w:t xml:space="preserve"> </w:t>
      </w:r>
      <w:proofErr w:type="spellStart"/>
      <w:r w:rsidRPr="009F74EC">
        <w:rPr>
          <w:rFonts w:cs="Arial"/>
          <w:b/>
          <w:bCs/>
        </w:rPr>
        <w:t>Patent</w:t>
      </w:r>
      <w:proofErr w:type="spellEnd"/>
      <w:r w:rsidRPr="009F74EC">
        <w:rPr>
          <w:rFonts w:cs="Arial"/>
          <w:b/>
          <w:bCs/>
        </w:rPr>
        <w:t xml:space="preserve"> Office (EPO) (Oficina Europea de Patentes)  </w:t>
      </w:r>
    </w:p>
    <w:p w14:paraId="4061A05C" w14:textId="77777777" w:rsidR="005A5957" w:rsidRPr="009F74EC" w:rsidRDefault="005A5957" w:rsidP="005A5957">
      <w:pPr>
        <w:pStyle w:val="NormalWeb"/>
        <w:spacing w:before="0" w:beforeAutospacing="0" w:after="0" w:afterAutospacing="0" w:line="240" w:lineRule="auto"/>
        <w:jc w:val="both"/>
        <w:rPr>
          <w:rFonts w:ascii="Arial" w:hAnsi="Arial" w:cs="Arial"/>
          <w:sz w:val="20"/>
          <w:szCs w:val="20"/>
          <w:lang w:val="es-ES_tradnl"/>
        </w:rPr>
      </w:pPr>
      <w:r w:rsidRPr="009F74EC">
        <w:rPr>
          <w:rFonts w:ascii="Arial" w:hAnsi="Arial" w:cs="Arial"/>
          <w:sz w:val="20"/>
          <w:szCs w:val="20"/>
          <w:lang w:val="es-ES_tradnl"/>
        </w:rPr>
        <w:t xml:space="preserve">El 31 de marzo de 2022, la OCVV renovó su acuerdo de cooperación por una duración de cinco años con la OEP mediante el "Acuerdo administrativo </w:t>
      </w:r>
      <w:proofErr w:type="spellStart"/>
      <w:r w:rsidRPr="009F74EC">
        <w:rPr>
          <w:rFonts w:ascii="Arial" w:hAnsi="Arial" w:cs="Arial"/>
          <w:sz w:val="20"/>
          <w:szCs w:val="20"/>
          <w:lang w:val="es-ES_tradnl"/>
        </w:rPr>
        <w:t>nº</w:t>
      </w:r>
      <w:proofErr w:type="spellEnd"/>
      <w:r w:rsidRPr="009F74EC">
        <w:rPr>
          <w:rFonts w:ascii="Arial" w:hAnsi="Arial" w:cs="Arial"/>
          <w:sz w:val="20"/>
          <w:szCs w:val="20"/>
          <w:lang w:val="es-ES_tradnl"/>
        </w:rPr>
        <w:t xml:space="preserve"> 2022/01373 sobre cooperación bilateral entre la OEP y la OCVV", que incluye dos plantas de ejecución. </w:t>
      </w:r>
    </w:p>
    <w:p w14:paraId="7C51B339" w14:textId="77777777" w:rsidR="005A5957" w:rsidRPr="009F74EC" w:rsidRDefault="005A5957" w:rsidP="005A5957">
      <w:pPr>
        <w:pStyle w:val="NormalWeb"/>
        <w:spacing w:before="0" w:beforeAutospacing="0" w:after="0" w:afterAutospacing="0" w:line="240" w:lineRule="auto"/>
        <w:jc w:val="both"/>
        <w:rPr>
          <w:rFonts w:ascii="Arial" w:hAnsi="Arial" w:cs="Arial"/>
          <w:sz w:val="20"/>
          <w:szCs w:val="20"/>
          <w:lang w:val="es-ES_tradnl"/>
        </w:rPr>
      </w:pPr>
    </w:p>
    <w:p w14:paraId="65558EAF" w14:textId="77777777" w:rsidR="005A5957" w:rsidRPr="009F74EC" w:rsidRDefault="005A5957" w:rsidP="005A5957">
      <w:pPr>
        <w:pStyle w:val="NormalWeb"/>
        <w:spacing w:before="0" w:beforeAutospacing="0" w:after="0" w:afterAutospacing="0" w:line="240" w:lineRule="auto"/>
        <w:jc w:val="both"/>
        <w:rPr>
          <w:rFonts w:ascii="Arial" w:hAnsi="Arial" w:cs="Arial"/>
          <w:sz w:val="20"/>
          <w:szCs w:val="20"/>
          <w:lang w:val="es-ES_tradnl"/>
        </w:rPr>
      </w:pPr>
      <w:r w:rsidRPr="009F74EC">
        <w:rPr>
          <w:rFonts w:ascii="Arial" w:hAnsi="Arial" w:cs="Arial"/>
          <w:sz w:val="20"/>
          <w:szCs w:val="20"/>
          <w:lang w:val="es-ES_tradnl"/>
        </w:rPr>
        <w:t>El Acuerdo administrativo n.º 2022/01373 da continuidad así al anterior (y primer) Acuerdo administrativo de cooperación entre la OCVV y la OEP (Acuerdo administrativo n.º 2016/0009), que se firmó en febrero de 2016 y permitió una mayor transparencia e intercambio de conocimientos entre ambas organizaciones en el ámbito de las patentes relacionadas con plantas y los derechos de obtención vegetal, respectivamente.</w:t>
      </w:r>
    </w:p>
    <w:p w14:paraId="1E4FCEE1" w14:textId="77777777" w:rsidR="005A5957" w:rsidRPr="009F74EC" w:rsidRDefault="005A5957" w:rsidP="005A5957">
      <w:pPr>
        <w:pStyle w:val="NormalWeb"/>
        <w:spacing w:before="0" w:beforeAutospacing="0" w:after="0" w:afterAutospacing="0" w:line="240" w:lineRule="auto"/>
        <w:jc w:val="both"/>
        <w:rPr>
          <w:rFonts w:ascii="Arial" w:hAnsi="Arial" w:cs="Arial"/>
          <w:sz w:val="20"/>
          <w:szCs w:val="20"/>
          <w:lang w:val="es-ES_tradnl"/>
        </w:rPr>
      </w:pPr>
    </w:p>
    <w:p w14:paraId="76C05884" w14:textId="77777777" w:rsidR="005A5957" w:rsidRPr="009F74EC" w:rsidRDefault="005A5957" w:rsidP="005A5957">
      <w:pPr>
        <w:pStyle w:val="NormalWeb"/>
        <w:spacing w:before="0" w:beforeAutospacing="0" w:after="0" w:afterAutospacing="0" w:line="240" w:lineRule="auto"/>
        <w:jc w:val="both"/>
        <w:rPr>
          <w:rFonts w:ascii="Arial" w:hAnsi="Arial" w:cs="Arial"/>
          <w:sz w:val="20"/>
          <w:szCs w:val="20"/>
          <w:lang w:val="es-ES_tradnl"/>
        </w:rPr>
      </w:pPr>
      <w:r w:rsidRPr="009F74EC">
        <w:rPr>
          <w:rFonts w:ascii="Arial" w:hAnsi="Arial" w:cs="Arial"/>
          <w:sz w:val="20"/>
          <w:szCs w:val="20"/>
          <w:lang w:val="es-ES_tradnl"/>
        </w:rPr>
        <w:t xml:space="preserve">Los planes de cooperación reflejados en el nuevo Acuerdo Administrativo </w:t>
      </w:r>
      <w:proofErr w:type="spellStart"/>
      <w:r w:rsidRPr="009F74EC">
        <w:rPr>
          <w:rFonts w:ascii="Arial" w:hAnsi="Arial" w:cs="Arial"/>
          <w:sz w:val="20"/>
          <w:szCs w:val="20"/>
          <w:lang w:val="es-ES_tradnl"/>
        </w:rPr>
        <w:t>nº</w:t>
      </w:r>
      <w:proofErr w:type="spellEnd"/>
      <w:r w:rsidRPr="009F74EC">
        <w:rPr>
          <w:rFonts w:ascii="Arial" w:hAnsi="Arial" w:cs="Arial"/>
          <w:sz w:val="20"/>
          <w:szCs w:val="20"/>
          <w:lang w:val="es-ES_tradnl"/>
        </w:rPr>
        <w:t xml:space="preserve"> 2022/01373 se centran en el intercambio de datos y en compartir prácticas de trabajo relativas al uso de bases de datos y otras herramientas de trabajo. El intercambio de datos permite a los examinadores buscar variedades vegetales protegidas por certificado, aumentando así la validez de las patentes europeas. Las bases de datos pertinentes también se han puesto a disposición de los Estados miembros de la Organización Europea de Patentes.</w:t>
      </w:r>
    </w:p>
    <w:p w14:paraId="4C10A46E" w14:textId="77777777" w:rsidR="005A5957" w:rsidRPr="009F74EC" w:rsidRDefault="005A5957" w:rsidP="005A5957">
      <w:pPr>
        <w:pStyle w:val="NormalWeb"/>
        <w:spacing w:before="0" w:beforeAutospacing="0" w:after="0" w:afterAutospacing="0" w:line="240" w:lineRule="auto"/>
        <w:jc w:val="both"/>
        <w:rPr>
          <w:rFonts w:ascii="Arial" w:hAnsi="Arial" w:cs="Arial"/>
          <w:sz w:val="20"/>
          <w:szCs w:val="20"/>
          <w:lang w:val="es-ES_tradnl"/>
        </w:rPr>
      </w:pPr>
    </w:p>
    <w:p w14:paraId="35810021" w14:textId="77777777" w:rsidR="005A5957" w:rsidRPr="009F74EC" w:rsidRDefault="005A5957" w:rsidP="005A5957">
      <w:pPr>
        <w:pStyle w:val="NormalWeb"/>
        <w:spacing w:before="0" w:beforeAutospacing="0" w:after="0" w:afterAutospacing="0" w:line="240" w:lineRule="auto"/>
        <w:jc w:val="both"/>
        <w:rPr>
          <w:rFonts w:ascii="Arial" w:hAnsi="Arial" w:cs="Arial"/>
          <w:sz w:val="20"/>
          <w:szCs w:val="20"/>
          <w:lang w:val="es-ES_tradnl"/>
        </w:rPr>
      </w:pPr>
      <w:r w:rsidRPr="009F74EC">
        <w:rPr>
          <w:rFonts w:ascii="Arial" w:hAnsi="Arial" w:cs="Arial"/>
          <w:sz w:val="20"/>
          <w:szCs w:val="20"/>
          <w:lang w:val="es-ES_tradnl"/>
        </w:rPr>
        <w:t xml:space="preserve">El 9 de marzo de 2023 tuvo lugar un primer taller entre la OEP y la OCVV. Los debates abarcaron varios temas relevantes, como los intercambios de datos, el sistema de patente unitaria y su repercusión en los titulares de derechos, así como la relación entre las patentes y las CPVR. </w:t>
      </w:r>
    </w:p>
    <w:p w14:paraId="30EEC89B" w14:textId="77777777" w:rsidR="005A5957" w:rsidRPr="009F74EC" w:rsidRDefault="005A5957" w:rsidP="005A5957">
      <w:pPr>
        <w:autoSpaceDE w:val="0"/>
        <w:autoSpaceDN w:val="0"/>
        <w:adjustRightInd w:val="0"/>
        <w:rPr>
          <w:rFonts w:cs="Arial"/>
        </w:rPr>
      </w:pPr>
    </w:p>
    <w:p w14:paraId="5392BB3F" w14:textId="77777777" w:rsidR="005A5957" w:rsidRPr="009F74EC" w:rsidRDefault="005A5957" w:rsidP="005A5957">
      <w:pPr>
        <w:autoSpaceDE w:val="0"/>
        <w:autoSpaceDN w:val="0"/>
        <w:adjustRightInd w:val="0"/>
        <w:rPr>
          <w:rFonts w:cs="Arial"/>
          <w:b/>
          <w:bCs/>
        </w:rPr>
      </w:pPr>
      <w:r w:rsidRPr="009F74EC">
        <w:rPr>
          <w:rFonts w:cs="Arial"/>
          <w:b/>
          <w:bCs/>
        </w:rPr>
        <w:t>OAPI</w:t>
      </w:r>
    </w:p>
    <w:p w14:paraId="3F265107" w14:textId="77777777" w:rsidR="005A5957" w:rsidRPr="009F74EC" w:rsidRDefault="005A5957" w:rsidP="005A5957">
      <w:pPr>
        <w:pStyle w:val="NormalWeb"/>
        <w:spacing w:before="0" w:beforeAutospacing="0" w:after="0" w:afterAutospacing="0" w:line="240" w:lineRule="auto"/>
        <w:jc w:val="both"/>
        <w:rPr>
          <w:rFonts w:ascii="Arial" w:hAnsi="Arial" w:cs="Arial"/>
          <w:sz w:val="20"/>
          <w:szCs w:val="20"/>
          <w:lang w:val="es-ES_tradnl"/>
        </w:rPr>
      </w:pPr>
      <w:r w:rsidRPr="009F74EC">
        <w:rPr>
          <w:rFonts w:ascii="Arial" w:hAnsi="Arial" w:cs="Arial"/>
          <w:sz w:val="20"/>
          <w:szCs w:val="20"/>
          <w:lang w:val="es-ES_tradnl"/>
        </w:rPr>
        <w:t xml:space="preserve">A principios de julio de 2019, la Comisión de la UE firmó un contrato con la Oficina Africana de la Propiedad Intelectual (OAPI) en Ginebra por el que se aportan fondos para la denominada Hoja de Ruta, cuyo objetivo es la promoción de la propiedad intelectual para fomentar la creación de nuevas variedades adaptadas al mercado africano e incentivar la puesta a disposición de la zona OAPI de variedades superiores existentes en otros lugares. </w:t>
      </w:r>
    </w:p>
    <w:p w14:paraId="3BFF5E06" w14:textId="77777777" w:rsidR="005A5957" w:rsidRPr="009F74EC" w:rsidRDefault="005A5957" w:rsidP="005A5957">
      <w:pPr>
        <w:pStyle w:val="NormalWeb"/>
        <w:spacing w:before="0" w:beforeAutospacing="0" w:after="0" w:afterAutospacing="0" w:line="240" w:lineRule="auto"/>
        <w:jc w:val="both"/>
        <w:rPr>
          <w:rFonts w:ascii="Arial" w:hAnsi="Arial" w:cs="Arial"/>
          <w:sz w:val="20"/>
          <w:szCs w:val="20"/>
          <w:lang w:val="es-ES_tradnl"/>
        </w:rPr>
      </w:pPr>
    </w:p>
    <w:p w14:paraId="4EC6D5E9" w14:textId="77777777" w:rsidR="005A5957" w:rsidRPr="009F74EC" w:rsidRDefault="005A5957" w:rsidP="005A5957">
      <w:pPr>
        <w:pStyle w:val="NormalWeb"/>
        <w:spacing w:before="0" w:beforeAutospacing="0" w:after="0" w:afterAutospacing="0" w:line="240" w:lineRule="auto"/>
        <w:jc w:val="both"/>
        <w:rPr>
          <w:rFonts w:ascii="Arial" w:hAnsi="Arial" w:cs="Arial"/>
          <w:sz w:val="20"/>
          <w:szCs w:val="20"/>
          <w:lang w:val="es-ES_tradnl"/>
        </w:rPr>
      </w:pPr>
      <w:r w:rsidRPr="009F74EC">
        <w:rPr>
          <w:rFonts w:ascii="Arial" w:hAnsi="Arial" w:cs="Arial"/>
          <w:sz w:val="20"/>
          <w:szCs w:val="20"/>
          <w:lang w:val="es-ES_tradnl"/>
        </w:rPr>
        <w:lastRenderedPageBreak/>
        <w:t xml:space="preserve">El proyecto está gestionado por la OAPI y la OCVV es, junto con la UPOV, GEVES, GNIS y Naktuinbouw, uno de los socios. </w:t>
      </w:r>
    </w:p>
    <w:p w14:paraId="3D091B4B" w14:textId="77777777" w:rsidR="005A5957" w:rsidRPr="009F74EC" w:rsidRDefault="005A5957" w:rsidP="005A5957">
      <w:pPr>
        <w:pStyle w:val="NormalWeb"/>
        <w:spacing w:before="0" w:beforeAutospacing="0" w:after="0" w:afterAutospacing="0" w:line="240" w:lineRule="auto"/>
        <w:jc w:val="both"/>
        <w:rPr>
          <w:rFonts w:ascii="Arial" w:hAnsi="Arial" w:cs="Arial"/>
          <w:sz w:val="20"/>
          <w:szCs w:val="20"/>
          <w:lang w:val="es-ES_tradnl"/>
        </w:rPr>
      </w:pPr>
    </w:p>
    <w:p w14:paraId="2168E94F" w14:textId="77777777" w:rsidR="005A5957" w:rsidRPr="009F74EC" w:rsidRDefault="005A5957" w:rsidP="005A5957">
      <w:pPr>
        <w:pStyle w:val="NormalWeb"/>
        <w:spacing w:before="0" w:beforeAutospacing="0" w:after="0" w:afterAutospacing="0" w:line="240" w:lineRule="auto"/>
        <w:jc w:val="both"/>
        <w:rPr>
          <w:rFonts w:ascii="Arial" w:hAnsi="Arial" w:cs="Arial"/>
          <w:sz w:val="20"/>
          <w:szCs w:val="20"/>
          <w:lang w:val="es-ES_tradnl"/>
        </w:rPr>
      </w:pPr>
      <w:r w:rsidRPr="009F74EC">
        <w:rPr>
          <w:rFonts w:ascii="Arial" w:hAnsi="Arial" w:cs="Arial"/>
          <w:sz w:val="20"/>
          <w:szCs w:val="20"/>
          <w:lang w:val="es-ES_tradnl"/>
        </w:rPr>
        <w:t xml:space="preserve">El proyecto finalizó en diciembre de 2022 con una actividad final los días 13 y 15 de diciembre de 2022 en la sede de la OAPI en Yaundé (Camerún). La finalidad de esta actividad era evaluar el seguimiento dado a la evaluación inicial realizada y a las recomendaciones formuladas en 2019 y formular tareas para seguir mejorando el sistema. Como ya se ha mencionado, las actividades relativas a los centros de examen DHE de los países de la OAPI se llevarán a cabo en el marco del proyecto </w:t>
      </w:r>
      <w:proofErr w:type="spellStart"/>
      <w:r w:rsidRPr="009F74EC">
        <w:rPr>
          <w:rFonts w:ascii="Arial" w:hAnsi="Arial" w:cs="Arial"/>
          <w:sz w:val="20"/>
          <w:szCs w:val="20"/>
          <w:lang w:val="es-ES_tradnl"/>
        </w:rPr>
        <w:t>AfrIPI</w:t>
      </w:r>
      <w:proofErr w:type="spellEnd"/>
      <w:r w:rsidRPr="009F74EC">
        <w:rPr>
          <w:rFonts w:ascii="Arial" w:hAnsi="Arial" w:cs="Arial"/>
          <w:sz w:val="20"/>
          <w:szCs w:val="20"/>
          <w:lang w:val="es-ES_tradnl"/>
        </w:rPr>
        <w:t>.</w:t>
      </w:r>
    </w:p>
    <w:p w14:paraId="50CB461A" w14:textId="77777777" w:rsidR="005A5957" w:rsidRPr="009F74EC" w:rsidRDefault="005A5957" w:rsidP="005A5957">
      <w:pPr>
        <w:autoSpaceDE w:val="0"/>
        <w:autoSpaceDN w:val="0"/>
        <w:adjustRightInd w:val="0"/>
        <w:rPr>
          <w:rFonts w:cs="Arial"/>
        </w:rPr>
      </w:pPr>
    </w:p>
    <w:p w14:paraId="214D3B73" w14:textId="77777777" w:rsidR="005A5957" w:rsidRPr="009F74EC" w:rsidRDefault="005A5957" w:rsidP="005A5957">
      <w:pPr>
        <w:autoSpaceDE w:val="0"/>
        <w:autoSpaceDN w:val="0"/>
        <w:adjustRightInd w:val="0"/>
        <w:rPr>
          <w:rFonts w:cs="Arial"/>
          <w:u w:val="single"/>
        </w:rPr>
      </w:pPr>
      <w:r w:rsidRPr="009F74EC">
        <w:rPr>
          <w:rFonts w:cs="Arial"/>
          <w:u w:val="single"/>
        </w:rPr>
        <w:t>5.2 Formación</w:t>
      </w:r>
    </w:p>
    <w:p w14:paraId="2AEE62C0" w14:textId="77777777" w:rsidR="005A5957" w:rsidRPr="009F74EC" w:rsidRDefault="005A5957" w:rsidP="005A5957">
      <w:pPr>
        <w:autoSpaceDE w:val="0"/>
        <w:autoSpaceDN w:val="0"/>
        <w:adjustRightInd w:val="0"/>
        <w:rPr>
          <w:rFonts w:cs="Arial"/>
        </w:rPr>
      </w:pPr>
    </w:p>
    <w:p w14:paraId="164F2D87" w14:textId="77777777" w:rsidR="005A5957" w:rsidRPr="009F74EC" w:rsidRDefault="005A5957" w:rsidP="005A5957">
      <w:pPr>
        <w:autoSpaceDE w:val="0"/>
        <w:autoSpaceDN w:val="0"/>
        <w:adjustRightInd w:val="0"/>
        <w:rPr>
          <w:rFonts w:cs="Arial"/>
        </w:rPr>
      </w:pPr>
      <w:r w:rsidRPr="009F74EC">
        <w:rPr>
          <w:rFonts w:cs="Arial"/>
        </w:rPr>
        <w:t xml:space="preserve">Durante el año 2022-2023, la OCVV ha reanudado algunos actos presenciales, pero también ha seguido ofreciendo presentaciones en línea, seminarios web y clases magistrales para diferentes centros educativos y partes </w:t>
      </w:r>
      <w:proofErr w:type="gramStart"/>
      <w:r w:rsidRPr="009F74EC">
        <w:rPr>
          <w:rFonts w:cs="Arial"/>
        </w:rPr>
        <w:t>interesadas..</w:t>
      </w:r>
      <w:proofErr w:type="gramEnd"/>
      <w:r w:rsidRPr="009F74EC">
        <w:rPr>
          <w:rFonts w:cs="Arial"/>
        </w:rPr>
        <w:t xml:space="preserve">: </w:t>
      </w:r>
    </w:p>
    <w:p w14:paraId="76925C59" w14:textId="77777777" w:rsidR="005A5957" w:rsidRPr="009F74EC" w:rsidRDefault="005A5957" w:rsidP="005A5957">
      <w:pPr>
        <w:autoSpaceDE w:val="0"/>
        <w:autoSpaceDN w:val="0"/>
        <w:adjustRightInd w:val="0"/>
        <w:rPr>
          <w:rFonts w:cs="Arial"/>
        </w:rPr>
      </w:pPr>
    </w:p>
    <w:p w14:paraId="67EDA709" w14:textId="77777777" w:rsidR="005A5957" w:rsidRPr="009F74EC" w:rsidRDefault="005A5957" w:rsidP="005A5957">
      <w:pPr>
        <w:numPr>
          <w:ilvl w:val="0"/>
          <w:numId w:val="28"/>
        </w:numPr>
        <w:autoSpaceDE w:val="0"/>
        <w:autoSpaceDN w:val="0"/>
        <w:adjustRightInd w:val="0"/>
        <w:spacing w:after="40"/>
        <w:ind w:left="714" w:hanging="357"/>
        <w:rPr>
          <w:rFonts w:cs="Arial"/>
        </w:rPr>
      </w:pPr>
      <w:r w:rsidRPr="009F74EC">
        <w:rPr>
          <w:rFonts w:cs="Arial"/>
        </w:rPr>
        <w:t xml:space="preserve">Presentación a los estudiantes de Fitomejoramiento de </w:t>
      </w:r>
      <w:proofErr w:type="spellStart"/>
      <w:r w:rsidRPr="009F74EC">
        <w:rPr>
          <w:rFonts w:cs="Arial"/>
        </w:rPr>
        <w:t>UniLaSalle</w:t>
      </w:r>
      <w:proofErr w:type="spellEnd"/>
      <w:r w:rsidRPr="009F74EC">
        <w:rPr>
          <w:rFonts w:cs="Arial"/>
        </w:rPr>
        <w:t xml:space="preserve"> sobre el sistema de protección comunitaria de las obtenciones vegetales el 31 de marzo de 2022</w:t>
      </w:r>
    </w:p>
    <w:p w14:paraId="232DE2E8" w14:textId="77777777" w:rsidR="005A5957" w:rsidRPr="009F74EC" w:rsidRDefault="005A5957" w:rsidP="005A5957">
      <w:pPr>
        <w:numPr>
          <w:ilvl w:val="0"/>
          <w:numId w:val="28"/>
        </w:numPr>
        <w:autoSpaceDE w:val="0"/>
        <w:autoSpaceDN w:val="0"/>
        <w:adjustRightInd w:val="0"/>
        <w:spacing w:after="40"/>
        <w:ind w:left="714" w:hanging="357"/>
        <w:rPr>
          <w:rFonts w:cs="Arial"/>
          <w:color w:val="000000"/>
        </w:rPr>
      </w:pPr>
      <w:r w:rsidRPr="009F74EC">
        <w:rPr>
          <w:rFonts w:cs="Arial"/>
          <w:color w:val="000000"/>
        </w:rPr>
        <w:t>Conferencia sobre jurisprudencia en materia de PI en la EUIPO los días 7 y 8 de julio de 2022</w:t>
      </w:r>
    </w:p>
    <w:p w14:paraId="3266A191" w14:textId="77777777" w:rsidR="005A5957" w:rsidRPr="009F74EC" w:rsidRDefault="005A5957" w:rsidP="005A5957">
      <w:pPr>
        <w:numPr>
          <w:ilvl w:val="0"/>
          <w:numId w:val="28"/>
        </w:numPr>
        <w:autoSpaceDE w:val="0"/>
        <w:autoSpaceDN w:val="0"/>
        <w:adjustRightInd w:val="0"/>
        <w:spacing w:after="40"/>
        <w:ind w:left="714" w:hanging="357"/>
        <w:rPr>
          <w:rFonts w:cs="Arial"/>
          <w:color w:val="000000"/>
        </w:rPr>
      </w:pPr>
      <w:r w:rsidRPr="009F74EC">
        <w:rPr>
          <w:rFonts w:cs="Arial"/>
          <w:color w:val="000000"/>
        </w:rPr>
        <w:t>Formación para la Cámara de Comercio de Milán sobre las NGT - 19 de julio de 2022</w:t>
      </w:r>
    </w:p>
    <w:p w14:paraId="265115DD" w14:textId="77777777" w:rsidR="005A5957" w:rsidRPr="009F74EC" w:rsidRDefault="005A5957" w:rsidP="005A5957">
      <w:pPr>
        <w:numPr>
          <w:ilvl w:val="0"/>
          <w:numId w:val="28"/>
        </w:numPr>
        <w:autoSpaceDE w:val="0"/>
        <w:autoSpaceDN w:val="0"/>
        <w:adjustRightInd w:val="0"/>
        <w:spacing w:after="40"/>
        <w:ind w:left="714" w:hanging="357"/>
        <w:rPr>
          <w:rFonts w:cs="Arial"/>
          <w:color w:val="000000"/>
        </w:rPr>
      </w:pPr>
      <w:r w:rsidRPr="009F74EC">
        <w:rPr>
          <w:rFonts w:cs="Arial"/>
          <w:color w:val="000000"/>
        </w:rPr>
        <w:t>El sistema de la UE y la OCVV - presentación en COBORU (Polonia) el 10 de agosto de 2022</w:t>
      </w:r>
    </w:p>
    <w:p w14:paraId="0FC07F21" w14:textId="77777777" w:rsidR="005A5957" w:rsidRPr="009F74EC" w:rsidRDefault="005A5957" w:rsidP="005A5957">
      <w:pPr>
        <w:numPr>
          <w:ilvl w:val="0"/>
          <w:numId w:val="28"/>
        </w:numPr>
        <w:autoSpaceDE w:val="0"/>
        <w:autoSpaceDN w:val="0"/>
        <w:adjustRightInd w:val="0"/>
        <w:spacing w:after="40"/>
        <w:ind w:left="714" w:hanging="357"/>
        <w:rPr>
          <w:rFonts w:cs="Arial"/>
          <w:color w:val="000000"/>
        </w:rPr>
      </w:pPr>
      <w:r w:rsidRPr="009F74EC">
        <w:rPr>
          <w:rFonts w:cs="Arial"/>
          <w:color w:val="000000"/>
        </w:rPr>
        <w:t>Estudio de la EUIPO sobre el impacto socioeconómico de la CPVR en la UE en el marco del congreso IHC 2022 - 16 de agosto de 2022</w:t>
      </w:r>
    </w:p>
    <w:p w14:paraId="66D9BF2C" w14:textId="77777777" w:rsidR="005A5957" w:rsidRPr="009F74EC" w:rsidRDefault="005A5957" w:rsidP="005A5957">
      <w:pPr>
        <w:numPr>
          <w:ilvl w:val="0"/>
          <w:numId w:val="28"/>
        </w:numPr>
        <w:autoSpaceDE w:val="0"/>
        <w:autoSpaceDN w:val="0"/>
        <w:adjustRightInd w:val="0"/>
        <w:spacing w:after="40"/>
        <w:ind w:left="714" w:hanging="357"/>
        <w:rPr>
          <w:rFonts w:cs="Arial"/>
          <w:color w:val="000000"/>
        </w:rPr>
      </w:pPr>
      <w:r w:rsidRPr="009F74EC">
        <w:rPr>
          <w:rFonts w:cs="Arial"/>
          <w:color w:val="000000"/>
        </w:rPr>
        <w:t>Seminario web sobre la CPVR y las patentes en colaboración con IPR Helpdesk - 8 de septiembre de 2022</w:t>
      </w:r>
    </w:p>
    <w:p w14:paraId="4A87DEF0" w14:textId="77777777" w:rsidR="005A5957" w:rsidRPr="009F74EC" w:rsidRDefault="005A5957" w:rsidP="005A5957">
      <w:pPr>
        <w:numPr>
          <w:ilvl w:val="0"/>
          <w:numId w:val="28"/>
        </w:numPr>
        <w:autoSpaceDE w:val="0"/>
        <w:autoSpaceDN w:val="0"/>
        <w:adjustRightInd w:val="0"/>
        <w:spacing w:after="40"/>
        <w:ind w:left="714" w:hanging="357"/>
        <w:rPr>
          <w:rFonts w:cs="Arial"/>
          <w:color w:val="000000"/>
        </w:rPr>
      </w:pPr>
      <w:r w:rsidRPr="009F74EC">
        <w:rPr>
          <w:rFonts w:cs="Arial"/>
          <w:color w:val="000000"/>
        </w:rPr>
        <w:t xml:space="preserve">Presentación a los estudiantes de Fitomejoramiento de </w:t>
      </w:r>
      <w:proofErr w:type="spellStart"/>
      <w:r w:rsidRPr="009F74EC">
        <w:rPr>
          <w:rFonts w:cs="Arial"/>
          <w:color w:val="000000"/>
        </w:rPr>
        <w:t>UniLaSalle</w:t>
      </w:r>
      <w:proofErr w:type="spellEnd"/>
      <w:r w:rsidRPr="009F74EC">
        <w:rPr>
          <w:rFonts w:cs="Arial"/>
          <w:color w:val="000000"/>
        </w:rPr>
        <w:t xml:space="preserve"> sobre el sistema de protección comunitaria de las obtenciones vegetales el 29 de septiembre de 2022</w:t>
      </w:r>
    </w:p>
    <w:p w14:paraId="598082DD" w14:textId="77777777" w:rsidR="005A5957" w:rsidRPr="009F74EC" w:rsidRDefault="005A5957" w:rsidP="005A5957">
      <w:pPr>
        <w:numPr>
          <w:ilvl w:val="0"/>
          <w:numId w:val="28"/>
        </w:numPr>
        <w:autoSpaceDE w:val="0"/>
        <w:autoSpaceDN w:val="0"/>
        <w:adjustRightInd w:val="0"/>
        <w:spacing w:after="40"/>
        <w:ind w:left="714" w:hanging="357"/>
        <w:rPr>
          <w:rFonts w:cs="Arial"/>
          <w:color w:val="000000"/>
        </w:rPr>
      </w:pPr>
      <w:r w:rsidRPr="009F74EC">
        <w:rPr>
          <w:rFonts w:cs="Arial"/>
          <w:color w:val="000000"/>
        </w:rPr>
        <w:t>Presentación sobre la organización de exámenes en la UE desde la perspectiva de CH el 5 de octubre de 2022 - visitante de la Oficina Australiana de Derechos de Obtentor</w:t>
      </w:r>
    </w:p>
    <w:p w14:paraId="322944C8" w14:textId="77777777" w:rsidR="005A5957" w:rsidRPr="009F74EC" w:rsidRDefault="005A5957" w:rsidP="005A5957">
      <w:pPr>
        <w:numPr>
          <w:ilvl w:val="0"/>
          <w:numId w:val="28"/>
        </w:numPr>
        <w:autoSpaceDE w:val="0"/>
        <w:autoSpaceDN w:val="0"/>
        <w:adjustRightInd w:val="0"/>
        <w:spacing w:after="40"/>
        <w:ind w:left="714" w:hanging="357"/>
        <w:rPr>
          <w:rFonts w:cs="Arial"/>
          <w:color w:val="000000"/>
        </w:rPr>
      </w:pPr>
      <w:r w:rsidRPr="009F74EC">
        <w:rPr>
          <w:rFonts w:cs="Arial"/>
          <w:color w:val="000000"/>
        </w:rPr>
        <w:t>CPVR y cambio climático en el seminario de la UPOV - 12 de octubre de 2022</w:t>
      </w:r>
    </w:p>
    <w:p w14:paraId="74408718" w14:textId="77777777" w:rsidR="005A5957" w:rsidRPr="009F74EC" w:rsidRDefault="005A5957" w:rsidP="005A5957">
      <w:pPr>
        <w:numPr>
          <w:ilvl w:val="0"/>
          <w:numId w:val="28"/>
        </w:numPr>
        <w:autoSpaceDE w:val="0"/>
        <w:autoSpaceDN w:val="0"/>
        <w:adjustRightInd w:val="0"/>
        <w:spacing w:after="40"/>
        <w:ind w:left="714" w:hanging="357"/>
        <w:rPr>
          <w:rFonts w:cs="Arial"/>
          <w:color w:val="000000"/>
        </w:rPr>
      </w:pPr>
      <w:r w:rsidRPr="009F74EC">
        <w:rPr>
          <w:rFonts w:cs="Arial"/>
          <w:color w:val="000000"/>
        </w:rPr>
        <w:t>Presentación de la OCVV y del sistema de protección de las obtenciones vegetales de la UE a la delegación coreana el 16 de noviembre de 2022</w:t>
      </w:r>
    </w:p>
    <w:p w14:paraId="6A8B86C6" w14:textId="77777777" w:rsidR="005A5957" w:rsidRPr="009F74EC" w:rsidRDefault="005A5957" w:rsidP="005A5957">
      <w:pPr>
        <w:numPr>
          <w:ilvl w:val="0"/>
          <w:numId w:val="28"/>
        </w:numPr>
        <w:autoSpaceDE w:val="0"/>
        <w:autoSpaceDN w:val="0"/>
        <w:adjustRightInd w:val="0"/>
        <w:spacing w:after="40"/>
        <w:ind w:left="714" w:hanging="357"/>
        <w:rPr>
          <w:rFonts w:cs="Arial"/>
          <w:color w:val="000000"/>
        </w:rPr>
      </w:pPr>
      <w:proofErr w:type="spellStart"/>
      <w:r w:rsidRPr="009F74EC">
        <w:rPr>
          <w:rFonts w:cs="Arial"/>
          <w:color w:val="000000"/>
        </w:rPr>
        <w:t>Webinar</w:t>
      </w:r>
      <w:proofErr w:type="spellEnd"/>
      <w:r w:rsidRPr="009F74EC">
        <w:rPr>
          <w:rFonts w:cs="Arial"/>
          <w:color w:val="000000"/>
        </w:rPr>
        <w:t xml:space="preserve"> sobre el Estudio de la EUIPO sobre el impacto socioeconómico de la RPCV en la UE en colaboración con IPR Helpdesk - 6 de diciembre de 2022</w:t>
      </w:r>
    </w:p>
    <w:p w14:paraId="05BE38DE" w14:textId="77777777" w:rsidR="005A5957" w:rsidRPr="009F74EC" w:rsidRDefault="005A5957" w:rsidP="005A5957">
      <w:pPr>
        <w:numPr>
          <w:ilvl w:val="0"/>
          <w:numId w:val="28"/>
        </w:numPr>
        <w:autoSpaceDE w:val="0"/>
        <w:autoSpaceDN w:val="0"/>
        <w:adjustRightInd w:val="0"/>
        <w:spacing w:after="40"/>
        <w:ind w:left="714" w:hanging="357"/>
        <w:rPr>
          <w:rFonts w:cs="Arial"/>
          <w:color w:val="000000"/>
        </w:rPr>
      </w:pPr>
      <w:r w:rsidRPr="009F74EC">
        <w:rPr>
          <w:rFonts w:cs="Arial"/>
          <w:color w:val="000000"/>
        </w:rPr>
        <w:t>Clase a los estudiantes de la ESSCA - 23 de noviembre de 2022 y 6 de diciembre de 2022</w:t>
      </w:r>
    </w:p>
    <w:p w14:paraId="6D985571" w14:textId="77777777" w:rsidR="005A5957" w:rsidRPr="009F74EC" w:rsidRDefault="005A5957" w:rsidP="005A5957">
      <w:pPr>
        <w:numPr>
          <w:ilvl w:val="0"/>
          <w:numId w:val="28"/>
        </w:numPr>
        <w:autoSpaceDE w:val="0"/>
        <w:autoSpaceDN w:val="0"/>
        <w:adjustRightInd w:val="0"/>
        <w:spacing w:after="40"/>
        <w:ind w:left="714" w:hanging="357"/>
        <w:rPr>
          <w:rFonts w:cs="Arial"/>
          <w:color w:val="000000"/>
        </w:rPr>
      </w:pPr>
      <w:bookmarkStart w:id="8" w:name="_Hlk146022638"/>
      <w:r w:rsidRPr="009F74EC">
        <w:rPr>
          <w:rFonts w:cs="Arial"/>
          <w:color w:val="000000"/>
        </w:rPr>
        <w:t xml:space="preserve">Presentación del sistema CPVR dentro del </w:t>
      </w:r>
      <w:proofErr w:type="gramStart"/>
      <w:r w:rsidRPr="009F74EC">
        <w:rPr>
          <w:rFonts w:cs="Arial"/>
          <w:color w:val="000000"/>
        </w:rPr>
        <w:t>Master</w:t>
      </w:r>
      <w:proofErr w:type="gramEnd"/>
      <w:r w:rsidRPr="009F74EC">
        <w:rPr>
          <w:rFonts w:cs="Arial"/>
          <w:color w:val="000000"/>
        </w:rPr>
        <w:t xml:space="preserve"> of </w:t>
      </w:r>
      <w:proofErr w:type="spellStart"/>
      <w:r w:rsidRPr="009F74EC">
        <w:rPr>
          <w:rFonts w:cs="Arial"/>
          <w:color w:val="000000"/>
        </w:rPr>
        <w:t>Law</w:t>
      </w:r>
      <w:proofErr w:type="spellEnd"/>
      <w:r w:rsidRPr="009F74EC">
        <w:rPr>
          <w:rFonts w:cs="Arial"/>
          <w:color w:val="000000"/>
        </w:rPr>
        <w:t xml:space="preserve"> (LLM) en Propiedad Intelectual de la Universidad de Maastricht el 17 de enero de 2023</w:t>
      </w:r>
    </w:p>
    <w:bookmarkEnd w:id="8"/>
    <w:p w14:paraId="0812C41E" w14:textId="77777777" w:rsidR="005A5957" w:rsidRPr="009F74EC" w:rsidRDefault="005A5957" w:rsidP="005A5957">
      <w:pPr>
        <w:numPr>
          <w:ilvl w:val="0"/>
          <w:numId w:val="28"/>
        </w:numPr>
        <w:autoSpaceDE w:val="0"/>
        <w:autoSpaceDN w:val="0"/>
        <w:adjustRightInd w:val="0"/>
        <w:spacing w:after="40"/>
        <w:ind w:left="714" w:hanging="357"/>
        <w:rPr>
          <w:rFonts w:cs="Arial"/>
          <w:color w:val="000000"/>
        </w:rPr>
      </w:pPr>
      <w:r w:rsidRPr="009F74EC">
        <w:rPr>
          <w:rFonts w:cs="Arial"/>
          <w:color w:val="000000"/>
        </w:rPr>
        <w:t xml:space="preserve">Presentación del sistema CPVR al </w:t>
      </w:r>
      <w:proofErr w:type="gramStart"/>
      <w:r w:rsidRPr="009F74EC">
        <w:rPr>
          <w:rFonts w:cs="Arial"/>
          <w:color w:val="000000"/>
        </w:rPr>
        <w:t>Master</w:t>
      </w:r>
      <w:proofErr w:type="gramEnd"/>
      <w:r w:rsidRPr="009F74EC">
        <w:rPr>
          <w:rFonts w:cs="Arial"/>
          <w:color w:val="000000"/>
        </w:rPr>
        <w:t xml:space="preserve"> en Derecho Alimentario, Universidad LUISS, Roma - 31 de marzo de 2023</w:t>
      </w:r>
    </w:p>
    <w:p w14:paraId="52FA744F" w14:textId="77777777" w:rsidR="005A5957" w:rsidRPr="009F74EC" w:rsidRDefault="005A5957" w:rsidP="005A5957">
      <w:pPr>
        <w:numPr>
          <w:ilvl w:val="0"/>
          <w:numId w:val="28"/>
        </w:numPr>
        <w:autoSpaceDE w:val="0"/>
        <w:autoSpaceDN w:val="0"/>
        <w:adjustRightInd w:val="0"/>
        <w:spacing w:after="40"/>
        <w:ind w:left="714" w:hanging="357"/>
        <w:rPr>
          <w:rFonts w:cs="Arial"/>
          <w:color w:val="000000"/>
        </w:rPr>
      </w:pPr>
      <w:r w:rsidRPr="009F74EC">
        <w:rPr>
          <w:rFonts w:cs="Arial"/>
          <w:color w:val="000000"/>
        </w:rPr>
        <w:t xml:space="preserve">Presentación del sistema CPVR dentro del Magister </w:t>
      </w:r>
      <w:proofErr w:type="spellStart"/>
      <w:r w:rsidRPr="009F74EC">
        <w:rPr>
          <w:rFonts w:cs="Arial"/>
          <w:color w:val="000000"/>
        </w:rPr>
        <w:t>Lvcentinvs</w:t>
      </w:r>
      <w:proofErr w:type="spellEnd"/>
      <w:r w:rsidRPr="009F74EC">
        <w:rPr>
          <w:rFonts w:cs="Arial"/>
          <w:color w:val="000000"/>
        </w:rPr>
        <w:t xml:space="preserve"> (IP LLM) de la Universidad de Alicante - 5 de mayo de 2023</w:t>
      </w:r>
    </w:p>
    <w:p w14:paraId="6D4CEA7D" w14:textId="77777777" w:rsidR="005A5957" w:rsidRPr="009F74EC" w:rsidRDefault="005A5957" w:rsidP="005A5957">
      <w:pPr>
        <w:numPr>
          <w:ilvl w:val="0"/>
          <w:numId w:val="28"/>
        </w:numPr>
        <w:autoSpaceDE w:val="0"/>
        <w:autoSpaceDN w:val="0"/>
        <w:adjustRightInd w:val="0"/>
        <w:spacing w:after="40"/>
        <w:ind w:left="714" w:hanging="357"/>
        <w:rPr>
          <w:rFonts w:cs="Arial"/>
          <w:color w:val="000000"/>
        </w:rPr>
      </w:pPr>
      <w:r w:rsidRPr="009F74EC">
        <w:rPr>
          <w:rFonts w:cs="Arial"/>
          <w:color w:val="000000"/>
        </w:rPr>
        <w:t xml:space="preserve">Clase magistral en la </w:t>
      </w:r>
      <w:proofErr w:type="spellStart"/>
      <w:r w:rsidRPr="009F74EC">
        <w:rPr>
          <w:rFonts w:cs="Arial"/>
          <w:color w:val="000000"/>
        </w:rPr>
        <w:t>Scuola</w:t>
      </w:r>
      <w:proofErr w:type="spellEnd"/>
      <w:r w:rsidRPr="009F74EC">
        <w:rPr>
          <w:rFonts w:cs="Arial"/>
          <w:color w:val="000000"/>
        </w:rPr>
        <w:t xml:space="preserve"> Superiore </w:t>
      </w:r>
      <w:proofErr w:type="spellStart"/>
      <w:r w:rsidRPr="009F74EC">
        <w:rPr>
          <w:rFonts w:cs="Arial"/>
          <w:color w:val="000000"/>
        </w:rPr>
        <w:t>Sant'Anna</w:t>
      </w:r>
      <w:proofErr w:type="spellEnd"/>
      <w:r w:rsidRPr="009F74EC">
        <w:rPr>
          <w:rFonts w:cs="Arial"/>
          <w:color w:val="000000"/>
        </w:rPr>
        <w:t xml:space="preserve"> (Pisa) sobre </w:t>
      </w:r>
      <w:r w:rsidRPr="009F74EC">
        <w:rPr>
          <w:rFonts w:cs="Arial"/>
          <w:i/>
          <w:iCs/>
          <w:color w:val="000000"/>
        </w:rPr>
        <w:t>El papel del fitomejoramiento para reforzar las herramientas de los agricultores y apoyar sistemas alimentarios más resistentes y sostenibles en Europa Estudio de caso - El sistema de protección comunitaria de las obtenciones vegetales como incentivo para la innovación vegetal</w:t>
      </w:r>
    </w:p>
    <w:p w14:paraId="3ACCBDEA" w14:textId="77777777" w:rsidR="005A5957" w:rsidRPr="009F74EC" w:rsidRDefault="005A5957" w:rsidP="005A5957">
      <w:pPr>
        <w:keepNext/>
        <w:numPr>
          <w:ilvl w:val="0"/>
          <w:numId w:val="28"/>
        </w:numPr>
        <w:autoSpaceDE w:val="0"/>
        <w:autoSpaceDN w:val="0"/>
        <w:adjustRightInd w:val="0"/>
        <w:spacing w:after="40"/>
        <w:ind w:left="714" w:hanging="357"/>
        <w:rPr>
          <w:rFonts w:cs="Arial"/>
          <w:color w:val="000000"/>
        </w:rPr>
      </w:pPr>
      <w:r w:rsidRPr="009F74EC">
        <w:rPr>
          <w:rFonts w:cs="Arial"/>
          <w:color w:val="000000"/>
        </w:rPr>
        <w:t>Seminario en la Universidad de Calabria sobre la RVP, 3 de julio de 2023</w:t>
      </w:r>
    </w:p>
    <w:p w14:paraId="5B9E8143" w14:textId="77777777" w:rsidR="005A5957" w:rsidRPr="009F74EC" w:rsidRDefault="005A5957" w:rsidP="005A5957">
      <w:pPr>
        <w:numPr>
          <w:ilvl w:val="0"/>
          <w:numId w:val="28"/>
        </w:numPr>
        <w:autoSpaceDE w:val="0"/>
        <w:autoSpaceDN w:val="0"/>
        <w:adjustRightInd w:val="0"/>
        <w:rPr>
          <w:rFonts w:cs="Arial"/>
          <w:color w:val="000000"/>
        </w:rPr>
      </w:pPr>
      <w:r w:rsidRPr="009F74EC">
        <w:rPr>
          <w:rFonts w:cs="Arial"/>
          <w:color w:val="000000"/>
        </w:rPr>
        <w:t xml:space="preserve">Seminario con </w:t>
      </w:r>
      <w:proofErr w:type="spellStart"/>
      <w:r w:rsidRPr="009F74EC">
        <w:rPr>
          <w:rFonts w:cs="Arial"/>
          <w:color w:val="000000"/>
        </w:rPr>
        <w:t>Assosementi</w:t>
      </w:r>
      <w:proofErr w:type="spellEnd"/>
      <w:r w:rsidRPr="009F74EC">
        <w:rPr>
          <w:rFonts w:cs="Arial"/>
          <w:color w:val="000000"/>
        </w:rPr>
        <w:t xml:space="preserve"> (en Angers y en línea) sobre la iniciativa </w:t>
      </w:r>
      <w:proofErr w:type="spellStart"/>
      <w:r w:rsidRPr="009F74EC">
        <w:rPr>
          <w:rFonts w:cs="Arial"/>
          <w:color w:val="000000"/>
        </w:rPr>
        <w:t>Smartseed</w:t>
      </w:r>
      <w:proofErr w:type="spellEnd"/>
      <w:r w:rsidRPr="009F74EC">
        <w:rPr>
          <w:rFonts w:cs="Arial"/>
          <w:color w:val="000000"/>
        </w:rPr>
        <w:t xml:space="preserve"> y la RVP, 15 de diciembre de 2022</w:t>
      </w:r>
    </w:p>
    <w:p w14:paraId="6AD1DD93" w14:textId="77777777" w:rsidR="005A5957" w:rsidRPr="009F74EC" w:rsidRDefault="005A5957" w:rsidP="005A5957"/>
    <w:p w14:paraId="102E425F" w14:textId="77777777" w:rsidR="005A5957" w:rsidRPr="009F74EC" w:rsidRDefault="005A5957" w:rsidP="005A5957">
      <w:pPr>
        <w:autoSpaceDE w:val="0"/>
        <w:autoSpaceDN w:val="0"/>
        <w:adjustRightInd w:val="0"/>
        <w:rPr>
          <w:rFonts w:cs="Arial"/>
          <w:u w:val="single"/>
        </w:rPr>
      </w:pPr>
      <w:r w:rsidRPr="009F74EC">
        <w:rPr>
          <w:rFonts w:cs="Arial"/>
          <w:u w:val="single"/>
        </w:rPr>
        <w:t>5.3 Reuniones con las partes interesadas</w:t>
      </w:r>
    </w:p>
    <w:p w14:paraId="59B4F4A0" w14:textId="77777777" w:rsidR="005A5957" w:rsidRPr="009F74EC" w:rsidRDefault="005A5957" w:rsidP="005A5957">
      <w:pPr>
        <w:autoSpaceDE w:val="0"/>
        <w:autoSpaceDN w:val="0"/>
        <w:adjustRightInd w:val="0"/>
        <w:rPr>
          <w:rFonts w:cs="Arial"/>
        </w:rPr>
      </w:pPr>
    </w:p>
    <w:p w14:paraId="0E198E39" w14:textId="77777777" w:rsidR="005A5957" w:rsidRPr="009F74EC" w:rsidRDefault="005A5957" w:rsidP="005A5957">
      <w:pPr>
        <w:autoSpaceDE w:val="0"/>
        <w:autoSpaceDN w:val="0"/>
        <w:adjustRightInd w:val="0"/>
        <w:rPr>
          <w:rFonts w:cs="Arial"/>
        </w:rPr>
      </w:pPr>
      <w:r w:rsidRPr="009F74EC">
        <w:rPr>
          <w:rFonts w:cs="Arial"/>
        </w:rPr>
        <w:t xml:space="preserve">La OCVV asistió a la reunión anual de </w:t>
      </w:r>
      <w:proofErr w:type="spellStart"/>
      <w:r w:rsidRPr="009F74EC">
        <w:rPr>
          <w:rFonts w:cs="Arial"/>
        </w:rPr>
        <w:t>Euroseeds</w:t>
      </w:r>
      <w:proofErr w:type="spellEnd"/>
      <w:r w:rsidRPr="009F74EC">
        <w:rPr>
          <w:rFonts w:cs="Arial"/>
        </w:rPr>
        <w:t xml:space="preserve"> en Berlín en octubre de 2022.</w:t>
      </w:r>
    </w:p>
    <w:p w14:paraId="0571C9FF" w14:textId="77777777" w:rsidR="005A5957" w:rsidRPr="009F74EC" w:rsidRDefault="005A5957" w:rsidP="005A5957">
      <w:pPr>
        <w:autoSpaceDE w:val="0"/>
        <w:autoSpaceDN w:val="0"/>
        <w:adjustRightInd w:val="0"/>
        <w:rPr>
          <w:rFonts w:cs="Arial"/>
        </w:rPr>
      </w:pPr>
    </w:p>
    <w:p w14:paraId="795EF255" w14:textId="77777777" w:rsidR="005A5957" w:rsidRPr="009F74EC" w:rsidRDefault="005A5957" w:rsidP="005A5957">
      <w:pPr>
        <w:autoSpaceDE w:val="0"/>
        <w:autoSpaceDN w:val="0"/>
        <w:adjustRightInd w:val="0"/>
        <w:rPr>
          <w:rFonts w:cs="Arial"/>
        </w:rPr>
      </w:pPr>
      <w:r w:rsidRPr="009F74EC">
        <w:rPr>
          <w:rFonts w:cs="Arial"/>
        </w:rPr>
        <w:t xml:space="preserve">La OCVV también se reunió bilateralmente con las organizaciones de ganaderos: </w:t>
      </w:r>
    </w:p>
    <w:p w14:paraId="4A8397A5" w14:textId="77777777" w:rsidR="005A5957" w:rsidRPr="009F74EC" w:rsidRDefault="005A5957" w:rsidP="005A5957">
      <w:pPr>
        <w:autoSpaceDE w:val="0"/>
        <w:autoSpaceDN w:val="0"/>
        <w:adjustRightInd w:val="0"/>
        <w:rPr>
          <w:rFonts w:cs="Arial"/>
        </w:rPr>
      </w:pPr>
    </w:p>
    <w:p w14:paraId="355D7D05" w14:textId="77777777" w:rsidR="005A5957" w:rsidRPr="009F74EC" w:rsidRDefault="005A5957" w:rsidP="005A5957">
      <w:pPr>
        <w:numPr>
          <w:ilvl w:val="0"/>
          <w:numId w:val="24"/>
        </w:numPr>
        <w:autoSpaceDE w:val="0"/>
        <w:autoSpaceDN w:val="0"/>
        <w:adjustRightInd w:val="0"/>
        <w:ind w:left="426"/>
        <w:rPr>
          <w:rFonts w:cs="Arial"/>
        </w:rPr>
      </w:pPr>
      <w:proofErr w:type="spellStart"/>
      <w:r w:rsidRPr="009F74EC">
        <w:rPr>
          <w:rFonts w:cs="Arial"/>
        </w:rPr>
        <w:t>Euroseeds</w:t>
      </w:r>
      <w:proofErr w:type="spellEnd"/>
      <w:r w:rsidRPr="009F74EC">
        <w:rPr>
          <w:rFonts w:cs="Arial"/>
        </w:rPr>
        <w:t xml:space="preserve"> &amp; </w:t>
      </w:r>
      <w:proofErr w:type="spellStart"/>
      <w:r w:rsidRPr="009F74EC">
        <w:rPr>
          <w:rFonts w:cs="Arial"/>
        </w:rPr>
        <w:t>Plantum</w:t>
      </w:r>
      <w:proofErr w:type="spellEnd"/>
      <w:r w:rsidRPr="009F74EC">
        <w:rPr>
          <w:rFonts w:cs="Arial"/>
        </w:rPr>
        <w:t xml:space="preserve"> 13/03/2023;</w:t>
      </w:r>
    </w:p>
    <w:p w14:paraId="5E91E7C1" w14:textId="77777777" w:rsidR="005A5957" w:rsidRPr="009F74EC" w:rsidRDefault="005A5957" w:rsidP="005A5957">
      <w:pPr>
        <w:numPr>
          <w:ilvl w:val="0"/>
          <w:numId w:val="24"/>
        </w:numPr>
        <w:autoSpaceDE w:val="0"/>
        <w:autoSpaceDN w:val="0"/>
        <w:adjustRightInd w:val="0"/>
        <w:ind w:left="426"/>
        <w:rPr>
          <w:rFonts w:cs="Arial"/>
        </w:rPr>
      </w:pPr>
      <w:r w:rsidRPr="009F74EC">
        <w:rPr>
          <w:rFonts w:cs="Arial"/>
        </w:rPr>
        <w:t>CIOPORA 15/05/2023</w:t>
      </w:r>
    </w:p>
    <w:p w14:paraId="1E74C722" w14:textId="77777777" w:rsidR="005A5957" w:rsidRPr="009F74EC" w:rsidRDefault="005A5957" w:rsidP="005A5957">
      <w:pPr>
        <w:autoSpaceDE w:val="0"/>
        <w:autoSpaceDN w:val="0"/>
        <w:adjustRightInd w:val="0"/>
        <w:rPr>
          <w:rFonts w:cs="Arial"/>
        </w:rPr>
      </w:pPr>
    </w:p>
    <w:p w14:paraId="01082C09" w14:textId="77777777" w:rsidR="005A5957" w:rsidRPr="009F74EC" w:rsidRDefault="005A5957" w:rsidP="005A5957">
      <w:pPr>
        <w:autoSpaceDE w:val="0"/>
        <w:autoSpaceDN w:val="0"/>
        <w:adjustRightInd w:val="0"/>
        <w:rPr>
          <w:rFonts w:cs="Arial"/>
        </w:rPr>
      </w:pPr>
      <w:r w:rsidRPr="009F74EC">
        <w:rPr>
          <w:rFonts w:cs="Arial"/>
        </w:rPr>
        <w:lastRenderedPageBreak/>
        <w:t xml:space="preserve">Además, durante el periodo del informe se realizaron las siguientes visitas de estudio a los Estados miembros de la UE: República Checa en noviembre de 2022, Polonia (abril de 2023) y Austria en junio de 2023). </w:t>
      </w:r>
    </w:p>
    <w:p w14:paraId="318E1017" w14:textId="77777777" w:rsidR="005A5957" w:rsidRPr="009F74EC" w:rsidRDefault="005A5957" w:rsidP="005A5957">
      <w:pPr>
        <w:autoSpaceDE w:val="0"/>
        <w:autoSpaceDN w:val="0"/>
        <w:adjustRightInd w:val="0"/>
        <w:rPr>
          <w:rFonts w:cs="Arial"/>
        </w:rPr>
      </w:pPr>
    </w:p>
    <w:p w14:paraId="320C0C63" w14:textId="77777777" w:rsidR="005A5957" w:rsidRPr="009F74EC" w:rsidRDefault="005A5957" w:rsidP="005A5957">
      <w:pPr>
        <w:ind w:left="720" w:hanging="720"/>
        <w:rPr>
          <w:rFonts w:cs="Arial"/>
          <w:u w:val="single"/>
        </w:rPr>
      </w:pPr>
      <w:r w:rsidRPr="009F74EC">
        <w:rPr>
          <w:rFonts w:cs="Arial"/>
          <w:u w:val="single"/>
        </w:rPr>
        <w:t>5.4 Participación en ferias internacionales y jornadas de puertas abiertas</w:t>
      </w:r>
    </w:p>
    <w:p w14:paraId="134402A1" w14:textId="77777777" w:rsidR="005A5957" w:rsidRPr="009F74EC" w:rsidRDefault="005A5957" w:rsidP="005A5957">
      <w:pPr>
        <w:pStyle w:val="ListParagraph"/>
        <w:ind w:left="0"/>
        <w:contextualSpacing w:val="0"/>
        <w:rPr>
          <w:rFonts w:cs="Arial"/>
          <w:szCs w:val="20"/>
          <w:lang w:val="es-ES_tradnl"/>
        </w:rPr>
      </w:pPr>
    </w:p>
    <w:p w14:paraId="33258F5A" w14:textId="77777777" w:rsidR="005A5957" w:rsidRPr="009F74EC" w:rsidRDefault="005A5957" w:rsidP="005A5957">
      <w:pPr>
        <w:pStyle w:val="ListParagraph"/>
        <w:ind w:left="0"/>
        <w:contextualSpacing w:val="0"/>
        <w:rPr>
          <w:rFonts w:cs="Arial"/>
          <w:szCs w:val="20"/>
          <w:lang w:val="es-ES_tradnl"/>
        </w:rPr>
      </w:pPr>
      <w:r w:rsidRPr="009F74EC">
        <w:rPr>
          <w:rFonts w:cs="Arial"/>
          <w:szCs w:val="20"/>
          <w:lang w:val="es-ES_tradnl"/>
        </w:rPr>
        <w:t>La OCVV considera que su participación en ferias internacionales y jornadas de puertas abiertas en las oficinas de examen es una herramienta útil para promover el sistema de la OCVV, tener contacto directo con los solicitantes y proporcionar información a los cultivadores. Sin embargo, debido a las restricciones sanitarias relacionadas con la pandemia de Covid-19, la IPM de Essen (DE) fue cancelada. El "</w:t>
      </w:r>
      <w:proofErr w:type="spellStart"/>
      <w:r w:rsidRPr="009F74EC">
        <w:rPr>
          <w:rFonts w:cs="Arial"/>
          <w:szCs w:val="20"/>
          <w:lang w:val="es-ES_tradnl"/>
        </w:rPr>
        <w:t>Salon</w:t>
      </w:r>
      <w:proofErr w:type="spellEnd"/>
      <w:r w:rsidRPr="009F74EC">
        <w:rPr>
          <w:rFonts w:cs="Arial"/>
          <w:szCs w:val="20"/>
          <w:lang w:val="es-ES_tradnl"/>
        </w:rPr>
        <w:t xml:space="preserve"> </w:t>
      </w:r>
      <w:proofErr w:type="spellStart"/>
      <w:r w:rsidRPr="009F74EC">
        <w:rPr>
          <w:rFonts w:cs="Arial"/>
          <w:szCs w:val="20"/>
          <w:lang w:val="es-ES_tradnl"/>
        </w:rPr>
        <w:t>Sival</w:t>
      </w:r>
      <w:proofErr w:type="spellEnd"/>
      <w:r w:rsidRPr="009F74EC">
        <w:rPr>
          <w:rFonts w:cs="Arial"/>
          <w:szCs w:val="20"/>
          <w:lang w:val="es-ES_tradnl"/>
        </w:rPr>
        <w:t xml:space="preserve">" de Angers (FR) se mantuvo y la OCVV presentó el sistema de RCPV en la zona del foro.  La OCVV también visitó la </w:t>
      </w:r>
      <w:proofErr w:type="spellStart"/>
      <w:r w:rsidRPr="009F74EC">
        <w:rPr>
          <w:rFonts w:cs="Arial"/>
          <w:szCs w:val="20"/>
          <w:lang w:val="es-ES_tradnl"/>
        </w:rPr>
        <w:t>Fruitlogistica</w:t>
      </w:r>
      <w:proofErr w:type="spellEnd"/>
      <w:r w:rsidRPr="009F74EC">
        <w:rPr>
          <w:rFonts w:cs="Arial"/>
          <w:szCs w:val="20"/>
          <w:lang w:val="es-ES_tradnl"/>
        </w:rPr>
        <w:t xml:space="preserve"> en abril en Berlín-Alemania, así como la </w:t>
      </w:r>
      <w:proofErr w:type="spellStart"/>
      <w:r w:rsidRPr="009F74EC">
        <w:rPr>
          <w:rFonts w:cs="Arial"/>
          <w:szCs w:val="20"/>
          <w:lang w:val="es-ES_tradnl"/>
        </w:rPr>
        <w:t>Floriade</w:t>
      </w:r>
      <w:proofErr w:type="spellEnd"/>
      <w:r w:rsidRPr="009F74EC">
        <w:rPr>
          <w:rFonts w:cs="Arial"/>
          <w:szCs w:val="20"/>
          <w:lang w:val="es-ES_tradnl"/>
        </w:rPr>
        <w:t xml:space="preserve"> Expo en los Países Bajos en mayo de 2022.</w:t>
      </w:r>
    </w:p>
    <w:p w14:paraId="42F93C03" w14:textId="77777777" w:rsidR="005A5957" w:rsidRPr="009F74EC" w:rsidRDefault="005A5957" w:rsidP="005A5957">
      <w:pPr>
        <w:pStyle w:val="ListParagraph"/>
        <w:ind w:left="0"/>
        <w:contextualSpacing w:val="0"/>
        <w:rPr>
          <w:rFonts w:cs="Arial"/>
          <w:szCs w:val="20"/>
          <w:lang w:val="es-ES_tradnl"/>
        </w:rPr>
      </w:pPr>
    </w:p>
    <w:p w14:paraId="6E8005C8" w14:textId="77777777" w:rsidR="005A5957" w:rsidRPr="009F74EC" w:rsidRDefault="005A5957" w:rsidP="005A5957">
      <w:pPr>
        <w:rPr>
          <w:rFonts w:cs="Arial"/>
          <w:u w:val="single"/>
        </w:rPr>
      </w:pPr>
      <w:r w:rsidRPr="009F74EC">
        <w:rPr>
          <w:rFonts w:cs="Arial"/>
          <w:u w:val="single"/>
        </w:rPr>
        <w:t xml:space="preserve">5.5 Desarrollos informáticos </w:t>
      </w:r>
    </w:p>
    <w:p w14:paraId="406AC523" w14:textId="77777777" w:rsidR="005A5957" w:rsidRPr="009F74EC" w:rsidRDefault="005A5957" w:rsidP="005A5957">
      <w:pPr>
        <w:rPr>
          <w:rFonts w:cs="Arial"/>
        </w:rPr>
      </w:pPr>
      <w:bookmarkStart w:id="9" w:name="content"/>
      <w:bookmarkEnd w:id="9"/>
    </w:p>
    <w:p w14:paraId="5B19B6BD" w14:textId="77777777" w:rsidR="005A5957" w:rsidRPr="009F74EC" w:rsidRDefault="005A5957" w:rsidP="005A5957">
      <w:pPr>
        <w:rPr>
          <w:rFonts w:cs="Arial"/>
        </w:rPr>
      </w:pPr>
      <w:r w:rsidRPr="009F74EC">
        <w:rPr>
          <w:rFonts w:cs="Arial"/>
        </w:rPr>
        <w:t xml:space="preserve">Las plataformas de gestión de aplicaciones de la OCVV (en particular, la aplicación en línea) han sido objeto de una importante revisión para mejorar su mantenimiento, facilitar el desarrollo de nuevas funciones, adaptarlas mejor a los entornos en nube y hacerlas más resistentes a las </w:t>
      </w:r>
      <w:proofErr w:type="spellStart"/>
      <w:r w:rsidRPr="009F74EC">
        <w:rPr>
          <w:rFonts w:cs="Arial"/>
        </w:rPr>
        <w:t>ciberamenazas</w:t>
      </w:r>
      <w:proofErr w:type="spellEnd"/>
      <w:r w:rsidRPr="009F74EC">
        <w:rPr>
          <w:rFonts w:cs="Arial"/>
        </w:rPr>
        <w:t xml:space="preserve">. Sigue siendo posible una mayor integración de otros Estados miembros de la UE a medida que avanza la armonización de los cuestionarios técnicos en la UE. </w:t>
      </w:r>
    </w:p>
    <w:p w14:paraId="04846780" w14:textId="77777777" w:rsidR="005A5957" w:rsidRPr="009F74EC" w:rsidRDefault="005A5957" w:rsidP="005A5957">
      <w:pPr>
        <w:rPr>
          <w:rFonts w:cs="Arial"/>
        </w:rPr>
      </w:pPr>
    </w:p>
    <w:p w14:paraId="6683501F" w14:textId="77777777" w:rsidR="005A5957" w:rsidRPr="009F74EC" w:rsidRDefault="005A5957" w:rsidP="005A5957">
      <w:pPr>
        <w:rPr>
          <w:rFonts w:cs="Arial"/>
        </w:rPr>
      </w:pPr>
      <w:r w:rsidRPr="009F74EC">
        <w:rPr>
          <w:rFonts w:cs="Arial"/>
        </w:rPr>
        <w:t>La OCVV ha reforzado su cooperación con UPOV PRISMA, y ya ha entregado dos de los cuatro proyectos originales que abordaban varias limitaciones identificadas en la cooperación inicial.</w:t>
      </w:r>
    </w:p>
    <w:p w14:paraId="56A59F0F" w14:textId="77777777" w:rsidR="005A5957" w:rsidRPr="009F74EC" w:rsidRDefault="005A5957" w:rsidP="005A5957">
      <w:pPr>
        <w:rPr>
          <w:rFonts w:cs="Arial"/>
        </w:rPr>
      </w:pPr>
    </w:p>
    <w:p w14:paraId="2AD3EE93" w14:textId="77777777" w:rsidR="005A5957" w:rsidRPr="009F74EC" w:rsidRDefault="005A5957" w:rsidP="005A5957">
      <w:pPr>
        <w:rPr>
          <w:rFonts w:cs="Arial"/>
        </w:rPr>
      </w:pPr>
      <w:r w:rsidRPr="009F74EC">
        <w:rPr>
          <w:rFonts w:cs="Arial"/>
        </w:rPr>
        <w:t>Se han identificado y aprobado recientemente mejoras en el intercambio de datos con la plataforma de gestión de denominaciones de la OCVV. El objetivo es pasar de la carga manual a la UPOV de las actualizaciones del catálogo de derechos de obtentor y de las contribuciones nacionales a una integración de máquina a máquina que garantice actualizaciones prácticamente en tiempo real y un procesamiento más eficaz.</w:t>
      </w:r>
    </w:p>
    <w:p w14:paraId="1F743500" w14:textId="77777777" w:rsidR="005A5957" w:rsidRPr="009F74EC" w:rsidRDefault="005A5957" w:rsidP="005A5957">
      <w:pPr>
        <w:rPr>
          <w:rFonts w:cs="Arial"/>
        </w:rPr>
      </w:pPr>
    </w:p>
    <w:p w14:paraId="4822124C" w14:textId="77777777" w:rsidR="005A5957" w:rsidRPr="009F74EC" w:rsidRDefault="005A5957" w:rsidP="005A5957">
      <w:pPr>
        <w:rPr>
          <w:rFonts w:cs="Arial"/>
        </w:rPr>
      </w:pPr>
      <w:r w:rsidRPr="009F74EC">
        <w:rPr>
          <w:rFonts w:cs="Arial"/>
        </w:rPr>
        <w:t>Con el mismo espíritu, se ha iniciado un proyecto piloto para intercambiar datos estructurados entre la OCVV y las oficinas de examen de los Estados miembros de la UE en el marco del examen técnico. Esto abarca los datos iniciales de la solicitud, los informes provisionales y finales y la descripción de variedades. Esta comunicación de máquina a máquina mejorará la eficacia general del proceso de concesión de derechos de obtentor.</w:t>
      </w:r>
    </w:p>
    <w:p w14:paraId="5E24CA85" w14:textId="77777777" w:rsidR="005A5957" w:rsidRPr="009F74EC" w:rsidRDefault="005A5957" w:rsidP="005A5957">
      <w:pPr>
        <w:rPr>
          <w:rFonts w:cs="Arial"/>
        </w:rPr>
      </w:pPr>
    </w:p>
    <w:p w14:paraId="447A3326" w14:textId="77777777" w:rsidR="005A5957" w:rsidRPr="009F74EC" w:rsidRDefault="005A5957" w:rsidP="005A5957">
      <w:pPr>
        <w:rPr>
          <w:u w:val="single"/>
        </w:rPr>
      </w:pPr>
      <w:r w:rsidRPr="009F74EC">
        <w:rPr>
          <w:u w:val="single"/>
        </w:rPr>
        <w:t xml:space="preserve">6. I+D </w:t>
      </w:r>
    </w:p>
    <w:p w14:paraId="1F0902B0" w14:textId="77777777" w:rsidR="005A5957" w:rsidRPr="009F74EC" w:rsidRDefault="005A5957" w:rsidP="005A5957">
      <w:pPr>
        <w:rPr>
          <w:u w:val="single"/>
        </w:rPr>
      </w:pPr>
    </w:p>
    <w:p w14:paraId="37B8D129" w14:textId="77777777" w:rsidR="005A5957" w:rsidRPr="009F74EC" w:rsidRDefault="005A5957" w:rsidP="005A5957">
      <w:pPr>
        <w:pStyle w:val="ListBullet"/>
        <w:numPr>
          <w:ilvl w:val="0"/>
          <w:numId w:val="0"/>
        </w:numPr>
        <w:tabs>
          <w:tab w:val="left" w:pos="720"/>
        </w:tabs>
        <w:spacing w:after="0" w:line="240" w:lineRule="auto"/>
        <w:ind w:left="283" w:hanging="283"/>
        <w:jc w:val="both"/>
        <w:rPr>
          <w:rFonts w:ascii="Arial" w:hAnsi="Arial" w:cs="Arial"/>
          <w:sz w:val="20"/>
          <w:szCs w:val="20"/>
          <w:u w:val="single"/>
          <w:lang w:val="es-ES_tradnl"/>
        </w:rPr>
      </w:pPr>
      <w:r w:rsidRPr="009F74EC">
        <w:rPr>
          <w:rFonts w:ascii="Arial" w:hAnsi="Arial" w:cs="Arial"/>
          <w:sz w:val="20"/>
          <w:szCs w:val="20"/>
          <w:u w:val="single"/>
          <w:lang w:val="es-ES_tradnl"/>
        </w:rPr>
        <w:t>6.1 Grupo de trabajo ad hoc IMODDUS</w:t>
      </w:r>
    </w:p>
    <w:p w14:paraId="483CE6B7" w14:textId="77777777" w:rsidR="005A5957" w:rsidRPr="009F74EC" w:rsidRDefault="005A5957" w:rsidP="005A5957">
      <w:pPr>
        <w:rPr>
          <w:rFonts w:cs="Arial"/>
        </w:rPr>
      </w:pPr>
    </w:p>
    <w:p w14:paraId="636BC5A2" w14:textId="77777777" w:rsidR="005A5957" w:rsidRPr="009F74EC" w:rsidRDefault="005A5957" w:rsidP="005A5957">
      <w:pPr>
        <w:rPr>
          <w:rFonts w:cs="Arial"/>
        </w:rPr>
      </w:pPr>
      <w:r w:rsidRPr="009F74EC">
        <w:rPr>
          <w:rFonts w:cs="Arial"/>
        </w:rPr>
        <w:t>Como parte de la estrategia de I+D de la OCVV, el Consejo de Administración creó en 2016 (confirmado en 2021) el grupo de trabajo ad hoc de la OCVV sobre técnicas biomoleculares. Este grupo de trabajo se denomina IMODDUS, que significa "Integración de datos moleculares en el examen DHE". El objetivo del grupo es seguir y debatir el desarrollo de las técnicas biomoleculares y evaluar los proyectos de I+D para la aplicación de estas técnicas en los exámenes DHE de todos los sectores de cultivos en los que podrían contribuir a mejorar la eficacia y la calidad de los exámenes.</w:t>
      </w:r>
    </w:p>
    <w:p w14:paraId="3889B8CF" w14:textId="77777777" w:rsidR="005A5957" w:rsidRPr="009F74EC" w:rsidRDefault="005A5957" w:rsidP="005A5957">
      <w:pPr>
        <w:rPr>
          <w:rFonts w:cs="Arial"/>
        </w:rPr>
      </w:pPr>
    </w:p>
    <w:p w14:paraId="1683B8B1" w14:textId="77777777" w:rsidR="005A5957" w:rsidRPr="009F74EC" w:rsidRDefault="005A5957" w:rsidP="005A5957">
      <w:pPr>
        <w:rPr>
          <w:rFonts w:cs="Arial"/>
        </w:rPr>
      </w:pPr>
      <w:r w:rsidRPr="009F74EC">
        <w:rPr>
          <w:rFonts w:cs="Arial"/>
        </w:rPr>
        <w:t xml:space="preserve">El grupo está compuesto por expertos en BMT de las oficinas de examen y organizaciones de obtentores interesadas. La participación se limita a expertos que puedan contribuir activamente en términos de preparación de documentos y presentaciones. El </w:t>
      </w:r>
      <w:proofErr w:type="gramStart"/>
      <w:r w:rsidRPr="009F74EC">
        <w:rPr>
          <w:rFonts w:cs="Arial"/>
        </w:rPr>
        <w:t>Presidente</w:t>
      </w:r>
      <w:proofErr w:type="gramEnd"/>
      <w:r w:rsidRPr="009F74EC">
        <w:rPr>
          <w:rFonts w:cs="Arial"/>
        </w:rPr>
        <w:t xml:space="preserve"> del grupo de trabajo también puede invitar a expertos de laboratorios, universidades, la industria, etc.</w:t>
      </w:r>
    </w:p>
    <w:p w14:paraId="56510975" w14:textId="77777777" w:rsidR="005A5957" w:rsidRPr="009F74EC" w:rsidRDefault="005A5957" w:rsidP="005A5957">
      <w:pPr>
        <w:rPr>
          <w:rFonts w:cs="Arial"/>
        </w:rPr>
      </w:pPr>
    </w:p>
    <w:p w14:paraId="7DE4BF51" w14:textId="77777777" w:rsidR="005A5957" w:rsidRPr="009F74EC" w:rsidRDefault="005A5957" w:rsidP="005A5957">
      <w:pPr>
        <w:rPr>
          <w:rFonts w:cs="Arial"/>
        </w:rPr>
      </w:pPr>
      <w:r w:rsidRPr="009F74EC">
        <w:rPr>
          <w:rFonts w:cs="Arial"/>
        </w:rPr>
        <w:t>En mayo de 2023 se organizó una reunión en línea. El orden del día incluía presentaciones y debates sobre los siguientes temas:</w:t>
      </w:r>
    </w:p>
    <w:p w14:paraId="4B8C8342" w14:textId="77777777" w:rsidR="005A5957" w:rsidRPr="009F74EC" w:rsidRDefault="005A5957" w:rsidP="005A5957">
      <w:pPr>
        <w:rPr>
          <w:rFonts w:cs="Arial"/>
        </w:rPr>
      </w:pPr>
    </w:p>
    <w:p w14:paraId="68944621" w14:textId="77777777" w:rsidR="005A5957" w:rsidRPr="009F74EC" w:rsidRDefault="005A5957" w:rsidP="005A5957">
      <w:pPr>
        <w:ind w:left="567" w:hanging="283"/>
        <w:rPr>
          <w:rFonts w:cs="Arial"/>
        </w:rPr>
      </w:pPr>
      <w:r w:rsidRPr="009F74EC">
        <w:rPr>
          <w:rFonts w:cs="Arial"/>
        </w:rPr>
        <w:t>-</w:t>
      </w:r>
      <w:r w:rsidRPr="009F74EC">
        <w:rPr>
          <w:rFonts w:cs="Arial"/>
        </w:rPr>
        <w:tab/>
        <w:t>Proyectos de I+D IMODDUS finalizados y en curso</w:t>
      </w:r>
    </w:p>
    <w:p w14:paraId="1B5340F3" w14:textId="26A13788" w:rsidR="005A5957" w:rsidRPr="009F74EC" w:rsidRDefault="005A5957" w:rsidP="005A5957">
      <w:pPr>
        <w:ind w:left="567" w:hanging="283"/>
        <w:rPr>
          <w:rFonts w:cs="Arial"/>
        </w:rPr>
      </w:pPr>
      <w:r w:rsidRPr="009F74EC">
        <w:rPr>
          <w:rFonts w:cs="Arial"/>
        </w:rPr>
        <w:t>-</w:t>
      </w:r>
      <w:r w:rsidR="00965DC9">
        <w:rPr>
          <w:rFonts w:cs="Arial"/>
        </w:rPr>
        <w:tab/>
      </w:r>
      <w:r w:rsidRPr="009F74EC">
        <w:rPr>
          <w:rFonts w:cs="Arial"/>
        </w:rPr>
        <w:t>Desafíos de las bases de datos moleculares de DHE para el futuro</w:t>
      </w:r>
    </w:p>
    <w:p w14:paraId="63EF5F66" w14:textId="472E2B2A" w:rsidR="005A5957" w:rsidRPr="009F74EC" w:rsidRDefault="005A5957" w:rsidP="005A5957">
      <w:pPr>
        <w:ind w:left="567" w:hanging="283"/>
        <w:rPr>
          <w:rFonts w:cs="Arial"/>
        </w:rPr>
      </w:pPr>
      <w:r w:rsidRPr="009F74EC">
        <w:rPr>
          <w:rFonts w:cs="Arial"/>
        </w:rPr>
        <w:t>-</w:t>
      </w:r>
      <w:r w:rsidR="00965DC9">
        <w:rPr>
          <w:rFonts w:cs="Arial"/>
        </w:rPr>
        <w:tab/>
      </w:r>
      <w:r w:rsidRPr="009F74EC">
        <w:rPr>
          <w:rFonts w:cs="Arial"/>
        </w:rPr>
        <w:t>Trabajo molecular en INVITE (centrado en la evaluación de D y U basada en marcadores).</w:t>
      </w:r>
    </w:p>
    <w:p w14:paraId="712BC3F0" w14:textId="513ABC4E" w:rsidR="005A5957" w:rsidRPr="009F74EC" w:rsidRDefault="005A5957" w:rsidP="005A5957">
      <w:pPr>
        <w:ind w:left="567" w:hanging="283"/>
        <w:rPr>
          <w:rFonts w:cs="Arial"/>
        </w:rPr>
      </w:pPr>
      <w:r w:rsidRPr="009F74EC">
        <w:rPr>
          <w:rFonts w:cs="Arial"/>
        </w:rPr>
        <w:t>-</w:t>
      </w:r>
      <w:r w:rsidR="00965DC9">
        <w:rPr>
          <w:rFonts w:cs="Arial"/>
        </w:rPr>
        <w:tab/>
      </w:r>
      <w:r w:rsidRPr="009F74EC">
        <w:rPr>
          <w:rFonts w:cs="Arial"/>
        </w:rPr>
        <w:t>Genómica en apoyo del examen de variedades en Italia (2 contribuciones de las universidades de Udine y Padua).</w:t>
      </w:r>
    </w:p>
    <w:p w14:paraId="3708C001" w14:textId="77777777" w:rsidR="005A5957" w:rsidRPr="009F74EC" w:rsidRDefault="005A5957" w:rsidP="005A5957">
      <w:pPr>
        <w:ind w:left="567" w:hanging="283"/>
        <w:rPr>
          <w:rFonts w:cs="Arial"/>
        </w:rPr>
      </w:pPr>
      <w:r w:rsidRPr="009F74EC">
        <w:rPr>
          <w:rFonts w:cs="Arial"/>
        </w:rPr>
        <w:t>-</w:t>
      </w:r>
      <w:r w:rsidRPr="009F74EC">
        <w:rPr>
          <w:rFonts w:cs="Arial"/>
        </w:rPr>
        <w:tab/>
        <w:t>Nuevos programas sobre cebada y frambuesa en el Reino Unido</w:t>
      </w:r>
    </w:p>
    <w:p w14:paraId="65BABCE7" w14:textId="77777777" w:rsidR="005A5957" w:rsidRPr="009F74EC" w:rsidRDefault="005A5957" w:rsidP="005A5957">
      <w:pPr>
        <w:ind w:left="567" w:hanging="283"/>
        <w:rPr>
          <w:rFonts w:cs="Arial"/>
        </w:rPr>
      </w:pPr>
      <w:r w:rsidRPr="009F74EC">
        <w:rPr>
          <w:rFonts w:cs="Arial"/>
        </w:rPr>
        <w:t>-</w:t>
      </w:r>
      <w:r w:rsidRPr="009F74EC">
        <w:rPr>
          <w:rFonts w:cs="Arial"/>
        </w:rPr>
        <w:tab/>
        <w:t>Utilización de herramientas moleculares para el examen DHE en Canadá</w:t>
      </w:r>
    </w:p>
    <w:p w14:paraId="47EDE241" w14:textId="77777777" w:rsidR="005A5957" w:rsidRPr="009F74EC" w:rsidRDefault="005A5957" w:rsidP="005A5957">
      <w:pPr>
        <w:rPr>
          <w:rFonts w:cs="Arial"/>
        </w:rPr>
      </w:pPr>
    </w:p>
    <w:p w14:paraId="0C0DA684" w14:textId="77777777" w:rsidR="005A5957" w:rsidRPr="009F74EC" w:rsidRDefault="005A5957" w:rsidP="005A5957">
      <w:pPr>
        <w:rPr>
          <w:rFonts w:cs="Arial"/>
        </w:rPr>
      </w:pPr>
      <w:r w:rsidRPr="009F74EC">
        <w:rPr>
          <w:rFonts w:cs="Arial"/>
        </w:rPr>
        <w:t>En 2023, IMODDUS contribuyó a la evaluación de dos nuevas propuestas de proyectos de I+D.</w:t>
      </w:r>
    </w:p>
    <w:p w14:paraId="02B9D3B3" w14:textId="77777777" w:rsidR="005A5957" w:rsidRPr="009F74EC" w:rsidRDefault="005A5957" w:rsidP="005A5957">
      <w:pPr>
        <w:rPr>
          <w:rFonts w:cs="Arial"/>
        </w:rPr>
      </w:pPr>
    </w:p>
    <w:p w14:paraId="2DFB20EB" w14:textId="77777777" w:rsidR="005A5957" w:rsidRPr="009F74EC" w:rsidRDefault="005A5957" w:rsidP="005A5957">
      <w:pPr>
        <w:rPr>
          <w:rFonts w:cs="Arial"/>
        </w:rPr>
      </w:pPr>
      <w:r w:rsidRPr="009F74EC">
        <w:rPr>
          <w:rFonts w:cs="Arial"/>
        </w:rPr>
        <w:t>Se finalizó un proyecto de I+D previamente evaluado positivamente por IMODDUS y cofinanciado:</w:t>
      </w:r>
    </w:p>
    <w:p w14:paraId="162A9544" w14:textId="77777777" w:rsidR="005A5957" w:rsidRPr="009F74EC" w:rsidRDefault="005A5957" w:rsidP="005A5957">
      <w:pPr>
        <w:rPr>
          <w:rFonts w:cs="Arial"/>
        </w:rPr>
      </w:pPr>
    </w:p>
    <w:p w14:paraId="7AAD1D87" w14:textId="77777777" w:rsidR="005A5957" w:rsidRPr="009F74EC" w:rsidRDefault="005A5957" w:rsidP="005A5957">
      <w:pPr>
        <w:ind w:left="284"/>
        <w:rPr>
          <w:rFonts w:cs="Arial"/>
          <w:i/>
          <w:iCs/>
        </w:rPr>
      </w:pPr>
      <w:proofErr w:type="spellStart"/>
      <w:r w:rsidRPr="009F74EC">
        <w:rPr>
          <w:rFonts w:cs="Arial"/>
          <w:i/>
          <w:iCs/>
        </w:rPr>
        <w:t>DurdusTools</w:t>
      </w:r>
      <w:proofErr w:type="spellEnd"/>
    </w:p>
    <w:p w14:paraId="5E52BD5A" w14:textId="77777777" w:rsidR="005A5957" w:rsidRPr="009F74EC" w:rsidRDefault="005A5957" w:rsidP="005A5957">
      <w:pPr>
        <w:ind w:left="284"/>
        <w:rPr>
          <w:rFonts w:cs="Arial"/>
        </w:rPr>
      </w:pPr>
      <w:r w:rsidRPr="009F74EC">
        <w:rPr>
          <w:rFonts w:cs="Arial"/>
        </w:rPr>
        <w:t>"Integración de datos moleculares en el examen DHE del trigo duro - desarrollo de una base de datos molecular común en línea y de una herramienta de cálculo de distancias genéticas".</w:t>
      </w:r>
    </w:p>
    <w:p w14:paraId="27370289" w14:textId="77777777" w:rsidR="005A5957" w:rsidRPr="009F74EC" w:rsidRDefault="005A5957" w:rsidP="005A5957">
      <w:pPr>
        <w:ind w:left="284"/>
        <w:rPr>
          <w:rFonts w:cs="Arial"/>
        </w:rPr>
      </w:pPr>
    </w:p>
    <w:p w14:paraId="0468F746" w14:textId="77777777" w:rsidR="005A5957" w:rsidRPr="009F74EC" w:rsidRDefault="005A5957" w:rsidP="005A5957">
      <w:pPr>
        <w:rPr>
          <w:rFonts w:cs="Arial"/>
        </w:rPr>
      </w:pPr>
      <w:r w:rsidRPr="009F74EC">
        <w:rPr>
          <w:rFonts w:cs="Arial"/>
        </w:rPr>
        <w:t>Otros tres proyectos de I+D validados por IMODDUS avanzaron a buen ritmo durante el periodo:</w:t>
      </w:r>
    </w:p>
    <w:p w14:paraId="49E2E011" w14:textId="77777777" w:rsidR="005A5957" w:rsidRPr="009F74EC" w:rsidRDefault="005A5957" w:rsidP="005A5957">
      <w:pPr>
        <w:rPr>
          <w:rFonts w:cs="Arial"/>
        </w:rPr>
      </w:pPr>
    </w:p>
    <w:p w14:paraId="1FBAC964" w14:textId="77777777" w:rsidR="005A5957" w:rsidRPr="009F74EC" w:rsidRDefault="005A5957" w:rsidP="005A5957">
      <w:pPr>
        <w:ind w:left="284"/>
        <w:rPr>
          <w:rFonts w:cs="Arial"/>
          <w:bCs/>
          <w:i/>
        </w:rPr>
      </w:pPr>
      <w:r w:rsidRPr="009F74EC">
        <w:rPr>
          <w:rFonts w:cs="Arial"/>
          <w:bCs/>
          <w:i/>
        </w:rPr>
        <w:t>Tomate</w:t>
      </w:r>
    </w:p>
    <w:p w14:paraId="5BCCB34E" w14:textId="77777777" w:rsidR="005A5957" w:rsidRPr="009F74EC" w:rsidRDefault="005A5957" w:rsidP="005A5957">
      <w:pPr>
        <w:ind w:left="284"/>
        <w:rPr>
          <w:rFonts w:cs="Arial"/>
        </w:rPr>
      </w:pPr>
      <w:r w:rsidRPr="009F74EC">
        <w:rPr>
          <w:rFonts w:cs="Arial"/>
        </w:rPr>
        <w:t>"Validación internacional de un conjunto de SNP para determinar distancias genéticas para la gestión de la colección de referencia de tomate"</w:t>
      </w:r>
    </w:p>
    <w:p w14:paraId="57079718" w14:textId="77777777" w:rsidR="005A5957" w:rsidRPr="009F74EC" w:rsidRDefault="005A5957" w:rsidP="005A5957">
      <w:pPr>
        <w:ind w:left="284"/>
        <w:rPr>
          <w:rFonts w:cs="Arial"/>
        </w:rPr>
      </w:pPr>
    </w:p>
    <w:p w14:paraId="593C52CD" w14:textId="77777777" w:rsidR="005A5957" w:rsidRPr="009F74EC" w:rsidRDefault="005A5957" w:rsidP="005A5957">
      <w:pPr>
        <w:ind w:left="284"/>
        <w:rPr>
          <w:rFonts w:cs="Arial"/>
          <w:bCs/>
          <w:i/>
        </w:rPr>
      </w:pPr>
      <w:r w:rsidRPr="009F74EC">
        <w:rPr>
          <w:rFonts w:cs="Arial"/>
          <w:bCs/>
          <w:i/>
        </w:rPr>
        <w:t>Hortensia</w:t>
      </w:r>
    </w:p>
    <w:p w14:paraId="7A416F91" w14:textId="77777777" w:rsidR="005A5957" w:rsidRPr="009F74EC" w:rsidRDefault="005A5957" w:rsidP="005A5957">
      <w:pPr>
        <w:ind w:left="284"/>
        <w:rPr>
          <w:rFonts w:cs="Arial"/>
        </w:rPr>
      </w:pPr>
      <w:r w:rsidRPr="009F74EC">
        <w:rPr>
          <w:rFonts w:cs="Arial"/>
        </w:rPr>
        <w:t xml:space="preserve">Aprovechamiento de los datos moleculares para apoyar el examen DHE en plantas ornamentales: estudio de caso sobre </w:t>
      </w:r>
      <w:proofErr w:type="spellStart"/>
      <w:r w:rsidRPr="009F74EC">
        <w:rPr>
          <w:rFonts w:cs="Arial"/>
        </w:rPr>
        <w:t>Hydrangea</w:t>
      </w:r>
      <w:proofErr w:type="spellEnd"/>
      <w:r w:rsidRPr="009F74EC">
        <w:rPr>
          <w:rFonts w:cs="Arial"/>
        </w:rPr>
        <w:t xml:space="preserve">. </w:t>
      </w:r>
    </w:p>
    <w:p w14:paraId="3B61F980" w14:textId="77777777" w:rsidR="005A5957" w:rsidRPr="009F74EC" w:rsidRDefault="005A5957" w:rsidP="005A5957">
      <w:pPr>
        <w:ind w:left="284"/>
        <w:rPr>
          <w:rFonts w:cs="Arial"/>
        </w:rPr>
      </w:pPr>
    </w:p>
    <w:p w14:paraId="38AD65AA" w14:textId="77777777" w:rsidR="005A5957" w:rsidRPr="009F74EC" w:rsidRDefault="005A5957" w:rsidP="005A5957">
      <w:pPr>
        <w:ind w:left="284"/>
        <w:rPr>
          <w:rFonts w:cs="Arial"/>
          <w:bCs/>
          <w:i/>
        </w:rPr>
      </w:pPr>
      <w:r w:rsidRPr="009F74EC">
        <w:rPr>
          <w:rFonts w:cs="Arial"/>
          <w:bCs/>
          <w:i/>
        </w:rPr>
        <w:t>Tomate - Pimiento -Melón</w:t>
      </w:r>
    </w:p>
    <w:p w14:paraId="6F21ED24" w14:textId="77777777" w:rsidR="005A5957" w:rsidRPr="009F74EC" w:rsidRDefault="005A5957" w:rsidP="005A5957">
      <w:pPr>
        <w:ind w:left="284"/>
        <w:rPr>
          <w:rFonts w:cs="Arial"/>
          <w:b/>
          <w:i/>
        </w:rPr>
      </w:pPr>
      <w:r w:rsidRPr="009F74EC">
        <w:rPr>
          <w:rFonts w:cs="Arial"/>
        </w:rPr>
        <w:t>Actualización de las pruebas de resistencia DHE en función de la evolución de las plagas:</w:t>
      </w:r>
    </w:p>
    <w:p w14:paraId="03937BBD" w14:textId="77777777" w:rsidR="005A5957" w:rsidRPr="009F74EC" w:rsidRDefault="005A5957" w:rsidP="005A5957">
      <w:pPr>
        <w:ind w:left="426"/>
        <w:rPr>
          <w:rFonts w:cs="Arial"/>
        </w:rPr>
      </w:pPr>
      <w:r w:rsidRPr="009F74EC">
        <w:rPr>
          <w:rFonts w:cs="Arial"/>
        </w:rPr>
        <w:t xml:space="preserve">- Realización de pruebas de resistencia al </w:t>
      </w:r>
      <w:proofErr w:type="spellStart"/>
      <w:r w:rsidRPr="009F74EC">
        <w:rPr>
          <w:rFonts w:cs="Arial"/>
        </w:rPr>
        <w:t>ToBRFV</w:t>
      </w:r>
      <w:proofErr w:type="spellEnd"/>
      <w:r w:rsidRPr="009F74EC">
        <w:rPr>
          <w:rFonts w:cs="Arial"/>
        </w:rPr>
        <w:t xml:space="preserve"> en tomate y pimiento</w:t>
      </w:r>
    </w:p>
    <w:p w14:paraId="4BFEA64D" w14:textId="77777777" w:rsidR="005A5957" w:rsidRPr="009F74EC" w:rsidRDefault="005A5957" w:rsidP="005A5957">
      <w:pPr>
        <w:ind w:left="426"/>
        <w:rPr>
          <w:rFonts w:cs="Arial"/>
        </w:rPr>
      </w:pPr>
      <w:r w:rsidRPr="009F74EC">
        <w:rPr>
          <w:rFonts w:cs="Arial"/>
        </w:rPr>
        <w:t>- Mejora de la prueba de resistencia 'melón/</w:t>
      </w:r>
      <w:proofErr w:type="spellStart"/>
      <w:r w:rsidRPr="009F74EC">
        <w:rPr>
          <w:rFonts w:cs="Arial"/>
        </w:rPr>
        <w:t>Aphis</w:t>
      </w:r>
      <w:proofErr w:type="spellEnd"/>
      <w:r w:rsidRPr="009F74EC">
        <w:rPr>
          <w:rFonts w:cs="Arial"/>
        </w:rPr>
        <w:t xml:space="preserve"> </w:t>
      </w:r>
      <w:proofErr w:type="spellStart"/>
      <w:r w:rsidRPr="009F74EC">
        <w:rPr>
          <w:rFonts w:cs="Arial"/>
        </w:rPr>
        <w:t>gossypii</w:t>
      </w:r>
      <w:proofErr w:type="spellEnd"/>
    </w:p>
    <w:p w14:paraId="033EAAFF" w14:textId="77777777" w:rsidR="005A5957" w:rsidRPr="009F74EC" w:rsidRDefault="005A5957" w:rsidP="005A5957">
      <w:pPr>
        <w:ind w:left="284"/>
        <w:rPr>
          <w:rFonts w:cs="Arial"/>
        </w:rPr>
      </w:pPr>
    </w:p>
    <w:p w14:paraId="1632B602" w14:textId="77777777" w:rsidR="005A5957" w:rsidRPr="009F74EC" w:rsidRDefault="005A5957" w:rsidP="005A5957">
      <w:pPr>
        <w:rPr>
          <w:rFonts w:cs="Arial"/>
        </w:rPr>
      </w:pPr>
      <w:r w:rsidRPr="009F74EC">
        <w:rPr>
          <w:rFonts w:cs="Arial"/>
          <w:u w:val="single"/>
        </w:rPr>
        <w:t>6.2 INVITA</w:t>
      </w:r>
    </w:p>
    <w:p w14:paraId="327D1524" w14:textId="77777777" w:rsidR="005A5957" w:rsidRPr="009F74EC" w:rsidRDefault="005A5957" w:rsidP="005A5957">
      <w:pPr>
        <w:rPr>
          <w:rFonts w:cs="Arial"/>
        </w:rPr>
      </w:pPr>
    </w:p>
    <w:p w14:paraId="03A0C938" w14:textId="77777777" w:rsidR="005A5957" w:rsidRPr="009F74EC" w:rsidRDefault="005A5957" w:rsidP="005A5957">
      <w:pPr>
        <w:rPr>
          <w:rFonts w:cs="Arial"/>
        </w:rPr>
      </w:pPr>
      <w:r w:rsidRPr="009F74EC">
        <w:rPr>
          <w:rFonts w:cs="Arial"/>
        </w:rPr>
        <w:t>INVITE son las siglas de "</w:t>
      </w:r>
      <w:proofErr w:type="spellStart"/>
      <w:r w:rsidRPr="009F74EC">
        <w:rPr>
          <w:rFonts w:cs="Arial"/>
        </w:rPr>
        <w:t>INnovations</w:t>
      </w:r>
      <w:proofErr w:type="spellEnd"/>
      <w:r w:rsidRPr="009F74EC">
        <w:rPr>
          <w:rFonts w:cs="Arial"/>
        </w:rPr>
        <w:t xml:space="preserve"> in </w:t>
      </w:r>
      <w:proofErr w:type="spellStart"/>
      <w:r w:rsidRPr="009F74EC">
        <w:rPr>
          <w:rFonts w:cs="Arial"/>
        </w:rPr>
        <w:t>plant</w:t>
      </w:r>
      <w:proofErr w:type="spellEnd"/>
      <w:r w:rsidRPr="009F74EC">
        <w:rPr>
          <w:rFonts w:cs="Arial"/>
        </w:rPr>
        <w:t xml:space="preserve"> </w:t>
      </w:r>
      <w:proofErr w:type="spellStart"/>
      <w:r w:rsidRPr="009F74EC">
        <w:rPr>
          <w:rFonts w:cs="Arial"/>
        </w:rPr>
        <w:t>VarIety</w:t>
      </w:r>
      <w:proofErr w:type="spellEnd"/>
      <w:r w:rsidRPr="009F74EC">
        <w:rPr>
          <w:rFonts w:cs="Arial"/>
        </w:rPr>
        <w:t xml:space="preserve"> </w:t>
      </w:r>
      <w:proofErr w:type="spellStart"/>
      <w:r w:rsidRPr="009F74EC">
        <w:rPr>
          <w:rFonts w:cs="Arial"/>
        </w:rPr>
        <w:t>Testing</w:t>
      </w:r>
      <w:proofErr w:type="spellEnd"/>
      <w:r w:rsidRPr="009F74EC">
        <w:rPr>
          <w:rFonts w:cs="Arial"/>
        </w:rPr>
        <w:t xml:space="preserve"> in </w:t>
      </w:r>
      <w:proofErr w:type="spellStart"/>
      <w:r w:rsidRPr="009F74EC">
        <w:rPr>
          <w:rFonts w:cs="Arial"/>
        </w:rPr>
        <w:t>Europe</w:t>
      </w:r>
      <w:proofErr w:type="spellEnd"/>
      <w:r w:rsidRPr="009F74EC">
        <w:rPr>
          <w:rFonts w:cs="Arial"/>
        </w:rPr>
        <w:t xml:space="preserve"> to </w:t>
      </w:r>
      <w:proofErr w:type="spellStart"/>
      <w:r w:rsidRPr="009F74EC">
        <w:rPr>
          <w:rFonts w:cs="Arial"/>
        </w:rPr>
        <w:t>foster</w:t>
      </w:r>
      <w:proofErr w:type="spellEnd"/>
      <w:r w:rsidRPr="009F74EC">
        <w:rPr>
          <w:rFonts w:cs="Arial"/>
        </w:rPr>
        <w:t xml:space="preserve"> </w:t>
      </w:r>
      <w:proofErr w:type="spellStart"/>
      <w:r w:rsidRPr="009F74EC">
        <w:rPr>
          <w:rFonts w:cs="Arial"/>
        </w:rPr>
        <w:t>the</w:t>
      </w:r>
      <w:proofErr w:type="spellEnd"/>
      <w:r w:rsidRPr="009F74EC">
        <w:rPr>
          <w:rFonts w:cs="Arial"/>
        </w:rPr>
        <w:t xml:space="preserve"> </w:t>
      </w:r>
      <w:proofErr w:type="spellStart"/>
      <w:r w:rsidRPr="009F74EC">
        <w:rPr>
          <w:rFonts w:cs="Arial"/>
        </w:rPr>
        <w:t>introduction</w:t>
      </w:r>
      <w:proofErr w:type="spellEnd"/>
      <w:r w:rsidRPr="009F74EC">
        <w:rPr>
          <w:rFonts w:cs="Arial"/>
        </w:rPr>
        <w:t xml:space="preserve"> of new </w:t>
      </w:r>
      <w:proofErr w:type="spellStart"/>
      <w:r w:rsidRPr="009F74EC">
        <w:rPr>
          <w:rFonts w:cs="Arial"/>
        </w:rPr>
        <w:t>varieties</w:t>
      </w:r>
      <w:proofErr w:type="spellEnd"/>
      <w:r w:rsidRPr="009F74EC">
        <w:rPr>
          <w:rFonts w:cs="Arial"/>
        </w:rPr>
        <w:t xml:space="preserve"> </w:t>
      </w:r>
      <w:proofErr w:type="spellStart"/>
      <w:r w:rsidRPr="009F74EC">
        <w:rPr>
          <w:rFonts w:cs="Arial"/>
        </w:rPr>
        <w:t>better</w:t>
      </w:r>
      <w:proofErr w:type="spellEnd"/>
      <w:r w:rsidRPr="009F74EC">
        <w:rPr>
          <w:rFonts w:cs="Arial"/>
        </w:rPr>
        <w:t xml:space="preserve"> </w:t>
      </w:r>
      <w:proofErr w:type="spellStart"/>
      <w:r w:rsidRPr="009F74EC">
        <w:rPr>
          <w:rFonts w:cs="Arial"/>
        </w:rPr>
        <w:t>adapted</w:t>
      </w:r>
      <w:proofErr w:type="spellEnd"/>
      <w:r w:rsidRPr="009F74EC">
        <w:rPr>
          <w:rFonts w:cs="Arial"/>
        </w:rPr>
        <w:t xml:space="preserve"> to </w:t>
      </w:r>
      <w:proofErr w:type="spellStart"/>
      <w:r w:rsidRPr="009F74EC">
        <w:rPr>
          <w:rFonts w:cs="Arial"/>
        </w:rPr>
        <w:t>varying</w:t>
      </w:r>
      <w:proofErr w:type="spellEnd"/>
      <w:r w:rsidRPr="009F74EC">
        <w:rPr>
          <w:rFonts w:cs="Arial"/>
        </w:rPr>
        <w:t xml:space="preserve"> </w:t>
      </w:r>
      <w:proofErr w:type="spellStart"/>
      <w:r w:rsidRPr="009F74EC">
        <w:rPr>
          <w:rFonts w:cs="Arial"/>
        </w:rPr>
        <w:t>biotic</w:t>
      </w:r>
      <w:proofErr w:type="spellEnd"/>
      <w:r w:rsidRPr="009F74EC">
        <w:rPr>
          <w:rFonts w:cs="Arial"/>
        </w:rPr>
        <w:t xml:space="preserve"> and </w:t>
      </w:r>
      <w:proofErr w:type="spellStart"/>
      <w:r w:rsidRPr="009F74EC">
        <w:rPr>
          <w:rFonts w:cs="Arial"/>
        </w:rPr>
        <w:t>abiotic</w:t>
      </w:r>
      <w:proofErr w:type="spellEnd"/>
      <w:r w:rsidRPr="009F74EC">
        <w:rPr>
          <w:rFonts w:cs="Arial"/>
        </w:rPr>
        <w:t xml:space="preserve"> </w:t>
      </w:r>
      <w:proofErr w:type="spellStart"/>
      <w:r w:rsidRPr="009F74EC">
        <w:rPr>
          <w:rFonts w:cs="Arial"/>
        </w:rPr>
        <w:t>conditions</w:t>
      </w:r>
      <w:proofErr w:type="spellEnd"/>
      <w:r w:rsidRPr="009F74EC">
        <w:rPr>
          <w:rFonts w:cs="Arial"/>
        </w:rPr>
        <w:t xml:space="preserve"> and to more </w:t>
      </w:r>
      <w:proofErr w:type="spellStart"/>
      <w:r w:rsidRPr="009F74EC">
        <w:rPr>
          <w:rFonts w:cs="Arial"/>
        </w:rPr>
        <w:t>sustainable</w:t>
      </w:r>
      <w:proofErr w:type="spellEnd"/>
      <w:r w:rsidRPr="009F74EC">
        <w:rPr>
          <w:rFonts w:cs="Arial"/>
        </w:rPr>
        <w:t xml:space="preserve"> </w:t>
      </w:r>
      <w:proofErr w:type="spellStart"/>
      <w:r w:rsidRPr="009F74EC">
        <w:rPr>
          <w:rFonts w:cs="Arial"/>
        </w:rPr>
        <w:t>crop</w:t>
      </w:r>
      <w:proofErr w:type="spellEnd"/>
      <w:r w:rsidRPr="009F74EC">
        <w:rPr>
          <w:rFonts w:cs="Arial"/>
        </w:rPr>
        <w:t xml:space="preserve"> </w:t>
      </w:r>
      <w:proofErr w:type="spellStart"/>
      <w:r w:rsidRPr="009F74EC">
        <w:rPr>
          <w:rFonts w:cs="Arial"/>
        </w:rPr>
        <w:t>management</w:t>
      </w:r>
      <w:proofErr w:type="spellEnd"/>
      <w:r w:rsidRPr="009F74EC">
        <w:rPr>
          <w:rFonts w:cs="Arial"/>
        </w:rPr>
        <w:t xml:space="preserve"> </w:t>
      </w:r>
      <w:proofErr w:type="spellStart"/>
      <w:r w:rsidRPr="009F74EC">
        <w:rPr>
          <w:rFonts w:cs="Arial"/>
        </w:rPr>
        <w:t>practices</w:t>
      </w:r>
      <w:proofErr w:type="spellEnd"/>
      <w:r w:rsidRPr="009F74EC">
        <w:rPr>
          <w:rFonts w:cs="Arial"/>
        </w:rPr>
        <w:t xml:space="preserve">" (Innovaciones en el examen de variedades vegetales en Europa para fomentar la introducción de nuevas variedades mejor adaptadas a condiciones bióticas y abióticas variables y a prácticas de gestión de cultivos más sostenibles). INVITE es uno de los dos proyectos galardonados de la convocatoria SFS-29-2018 "Innovaciones en el examen de variedades vegetales" del programa Horizonte 2020. Su objetivo es mejorar la eficiencia de los ensayos de variedades y la disponibilidad de información para las partes interesadas sobre el rendimiento de las variedades en condiciones de producción diversificadas y sobre el estrés biótico y abiótico para 10 cultivos (7 cultivos "modelo": maíz, trigo, </w:t>
      </w:r>
      <w:proofErr w:type="spellStart"/>
      <w:r w:rsidRPr="009F74EC">
        <w:rPr>
          <w:rFonts w:cs="Arial"/>
        </w:rPr>
        <w:t>rye</w:t>
      </w:r>
      <w:proofErr w:type="spellEnd"/>
      <w:r w:rsidRPr="009F74EC">
        <w:rPr>
          <w:rFonts w:cs="Arial"/>
        </w:rPr>
        <w:t xml:space="preserve"> </w:t>
      </w:r>
      <w:proofErr w:type="spellStart"/>
      <w:r w:rsidRPr="009F74EC">
        <w:rPr>
          <w:rFonts w:cs="Arial"/>
        </w:rPr>
        <w:t>grass</w:t>
      </w:r>
      <w:proofErr w:type="spellEnd"/>
      <w:r w:rsidRPr="009F74EC">
        <w:rPr>
          <w:rFonts w:cs="Arial"/>
        </w:rPr>
        <w:t xml:space="preserve">, girasol, patata, tomate, manzana y 3 "cultivos de aplicación": alfalfa, soja, colza). Aborda el DHE y los ensayos de rendimiento de forma equilibrada y pretende maximizar las sinergias entre ambos mediante actividades relacionadas basadas en el fenotipado, el </w:t>
      </w:r>
      <w:proofErr w:type="spellStart"/>
      <w:r w:rsidRPr="009F74EC">
        <w:rPr>
          <w:rFonts w:cs="Arial"/>
        </w:rPr>
        <w:t>genotipado</w:t>
      </w:r>
      <w:proofErr w:type="spellEnd"/>
      <w:r w:rsidRPr="009F74EC">
        <w:rPr>
          <w:rFonts w:cs="Arial"/>
        </w:rPr>
        <w:t>, la modelización y la gestión de bases de datos.</w:t>
      </w:r>
    </w:p>
    <w:p w14:paraId="4A54133A" w14:textId="77777777" w:rsidR="005A5957" w:rsidRPr="009F74EC" w:rsidRDefault="005A5957" w:rsidP="005A5957">
      <w:pPr>
        <w:rPr>
          <w:rFonts w:cs="Arial"/>
        </w:rPr>
      </w:pPr>
    </w:p>
    <w:p w14:paraId="16728684" w14:textId="77777777" w:rsidR="005A5957" w:rsidRPr="009F74EC" w:rsidRDefault="005A5957" w:rsidP="005A5957">
      <w:pPr>
        <w:rPr>
          <w:rFonts w:cs="Arial"/>
        </w:rPr>
      </w:pPr>
      <w:r w:rsidRPr="009F74EC">
        <w:rPr>
          <w:rFonts w:cs="Arial"/>
        </w:rPr>
        <w:t>El importe total concedido a los 29 socios es de unos 8 millones de euros que se gastarán en un periodo de 5 años a partir de julio de 2019. La OCVV no recibirá ninguna financiación.</w:t>
      </w:r>
    </w:p>
    <w:p w14:paraId="429F45C0" w14:textId="77777777" w:rsidR="005A5957" w:rsidRPr="009F74EC" w:rsidRDefault="005A5957" w:rsidP="005A5957">
      <w:pPr>
        <w:rPr>
          <w:rFonts w:cs="Arial"/>
        </w:rPr>
      </w:pPr>
    </w:p>
    <w:p w14:paraId="7343C1BF" w14:textId="517EBE4F" w:rsidR="005A5957" w:rsidRPr="009F74EC" w:rsidRDefault="005A5957" w:rsidP="005A5957">
      <w:pPr>
        <w:rPr>
          <w:rFonts w:cs="Arial"/>
        </w:rPr>
      </w:pPr>
      <w:r w:rsidRPr="009F74EC">
        <w:rPr>
          <w:rFonts w:cs="Arial"/>
        </w:rPr>
        <w:t>La OCVV se encarga de gestionar todas las cuestiones relacionadas con el acceso a los datos históricos y al material de referencia en poder de las oficinas de examen de los Estados miembros de la UE. Participa en reuniones técnicas, codirige el paquete de trabajo 5 dedicado al ensayo y la validación de las nuevas herramientas desarrolladas por todos los paquetes de trabajo y es miembro del comité ejecutivo del proyecto. En 2022, el trabajo técnico continuó de forma constante para todos los cultivos. La 4 reunión anual se organizó en Barcelona en junio de 2023. En esta ocasión, se organizaron talleres centrados en la definición de una estrategia de comunicación basada en los resultados obtenidos hasta el momento.</w:t>
      </w:r>
    </w:p>
    <w:p w14:paraId="096CA4EA" w14:textId="77777777" w:rsidR="005A5957" w:rsidRPr="009F74EC" w:rsidRDefault="005A5957" w:rsidP="005A5957">
      <w:pPr>
        <w:rPr>
          <w:rFonts w:cs="Arial"/>
        </w:rPr>
      </w:pPr>
    </w:p>
    <w:p w14:paraId="27FF6779" w14:textId="77777777" w:rsidR="005A5957" w:rsidRPr="009F74EC" w:rsidRDefault="005A5957" w:rsidP="005A5957">
      <w:pPr>
        <w:rPr>
          <w:rFonts w:cs="Arial"/>
        </w:rPr>
      </w:pPr>
      <w:r w:rsidRPr="009F74EC">
        <w:rPr>
          <w:rFonts w:cs="Arial"/>
        </w:rPr>
        <w:t>Continuó la colaboración con INNOVAR (segundo consorcio laureado de la convocatoria SFS-29-2018, centrado en la optimización de los ensayos de variedades en trigo). Se recogieron y analizaron datos en los ensayos de trigo blando. Se invitó a representantes a participar en la reunión de Barcelona.</w:t>
      </w:r>
    </w:p>
    <w:p w14:paraId="0C3144DB" w14:textId="77777777" w:rsidR="005A5957" w:rsidRPr="009F74EC" w:rsidRDefault="005A5957" w:rsidP="005A5957">
      <w:pPr>
        <w:rPr>
          <w:rFonts w:cs="Arial"/>
        </w:rPr>
      </w:pPr>
    </w:p>
    <w:p w14:paraId="4B210300" w14:textId="77777777" w:rsidR="00965DC9" w:rsidRDefault="00965DC9">
      <w:pPr>
        <w:jc w:val="left"/>
        <w:rPr>
          <w:rFonts w:cs="Arial"/>
          <w:u w:val="single"/>
          <w:lang w:eastAsia="fr-FR"/>
        </w:rPr>
      </w:pPr>
      <w:r>
        <w:rPr>
          <w:rFonts w:cs="Arial"/>
          <w:u w:val="single"/>
        </w:rPr>
        <w:br w:type="page"/>
      </w:r>
    </w:p>
    <w:p w14:paraId="6D1D7E93" w14:textId="7ECAF4DF" w:rsidR="005A5957" w:rsidRPr="009F74EC" w:rsidRDefault="005A5957" w:rsidP="005A5957">
      <w:pPr>
        <w:pStyle w:val="ListBullet"/>
        <w:numPr>
          <w:ilvl w:val="0"/>
          <w:numId w:val="0"/>
        </w:numPr>
        <w:tabs>
          <w:tab w:val="left" w:pos="720"/>
        </w:tabs>
        <w:spacing w:after="0" w:line="240" w:lineRule="auto"/>
        <w:ind w:left="283" w:hanging="283"/>
        <w:jc w:val="both"/>
        <w:rPr>
          <w:rFonts w:ascii="Arial" w:hAnsi="Arial" w:cs="Arial"/>
          <w:sz w:val="20"/>
          <w:szCs w:val="20"/>
          <w:u w:val="single"/>
          <w:lang w:val="es-ES_tradnl"/>
        </w:rPr>
      </w:pPr>
      <w:r w:rsidRPr="009F74EC">
        <w:rPr>
          <w:rFonts w:ascii="Arial" w:hAnsi="Arial" w:cs="Arial"/>
          <w:sz w:val="20"/>
          <w:szCs w:val="20"/>
          <w:u w:val="single"/>
          <w:lang w:val="es-ES_tradnl"/>
        </w:rPr>
        <w:lastRenderedPageBreak/>
        <w:t>6.3 Otros proyectos de I+D</w:t>
      </w:r>
    </w:p>
    <w:p w14:paraId="1F8DB1BC" w14:textId="77777777" w:rsidR="005A5957" w:rsidRPr="009F74EC" w:rsidRDefault="005A5957" w:rsidP="005A5957">
      <w:pPr>
        <w:rPr>
          <w:rFonts w:cs="Arial"/>
          <w:bCs/>
          <w:i/>
        </w:rPr>
      </w:pPr>
    </w:p>
    <w:p w14:paraId="19E8352B" w14:textId="77777777" w:rsidR="005A5957" w:rsidRPr="009F74EC" w:rsidRDefault="005A5957" w:rsidP="005A5957">
      <w:pPr>
        <w:rPr>
          <w:rFonts w:cs="Arial"/>
          <w:bCs/>
          <w:i/>
        </w:rPr>
      </w:pPr>
      <w:proofErr w:type="spellStart"/>
      <w:r w:rsidRPr="009F74EC">
        <w:rPr>
          <w:rFonts w:cs="Arial"/>
          <w:bCs/>
          <w:i/>
        </w:rPr>
        <w:t>Harmorescoll</w:t>
      </w:r>
      <w:proofErr w:type="spellEnd"/>
    </w:p>
    <w:p w14:paraId="7C4C6B1D" w14:textId="77777777" w:rsidR="005A5957" w:rsidRPr="009F74EC" w:rsidRDefault="005A5957" w:rsidP="005A5957">
      <w:pPr>
        <w:rPr>
          <w:rFonts w:cs="Arial"/>
        </w:rPr>
      </w:pPr>
      <w:r w:rsidRPr="009F74EC">
        <w:rPr>
          <w:rFonts w:cs="Arial"/>
        </w:rPr>
        <w:t xml:space="preserve">HARMORESCOLL tiene por objeto establecer, a escala europea, un sistema coordinado que permita acceder a material de referencia para realizar exámenes DHE de enfermedades de acuerdo con los protocolos de la OCVV y las directrices de la UPOV. En él participan oficinas de examen y empresas de semillas miembros de </w:t>
      </w:r>
      <w:proofErr w:type="spellStart"/>
      <w:r w:rsidRPr="009F74EC">
        <w:rPr>
          <w:rFonts w:cs="Arial"/>
        </w:rPr>
        <w:t>Euroseeds</w:t>
      </w:r>
      <w:proofErr w:type="spellEnd"/>
      <w:r w:rsidRPr="009F74EC">
        <w:rPr>
          <w:rFonts w:cs="Arial"/>
        </w:rPr>
        <w:t>. El proyecto está coordinado por GEVES y Naktuinbouw. Inicialmente estaba previsto que durara 3 años, pero se prorrogó un año más y ahora finalizará el 31 de diciembre de 2023.</w:t>
      </w:r>
    </w:p>
    <w:p w14:paraId="1AB63617" w14:textId="77777777" w:rsidR="005A5957" w:rsidRPr="009F74EC" w:rsidRDefault="005A5957" w:rsidP="005A5957">
      <w:pPr>
        <w:rPr>
          <w:rFonts w:cs="Arial"/>
        </w:rPr>
      </w:pPr>
    </w:p>
    <w:p w14:paraId="5B45E240" w14:textId="77777777" w:rsidR="005A5957" w:rsidRPr="009F74EC" w:rsidRDefault="005A5957" w:rsidP="005A5957">
      <w:pPr>
        <w:rPr>
          <w:rFonts w:cs="Arial"/>
        </w:rPr>
      </w:pPr>
    </w:p>
    <w:p w14:paraId="23059F8C" w14:textId="77777777" w:rsidR="005A5957" w:rsidRPr="009F74EC" w:rsidRDefault="005A5957" w:rsidP="005A5957">
      <w:pPr>
        <w:rPr>
          <w:rFonts w:cs="Arial"/>
        </w:rPr>
      </w:pPr>
    </w:p>
    <w:p w14:paraId="29C67FB9" w14:textId="77777777" w:rsidR="005A5957" w:rsidRPr="009F74EC" w:rsidRDefault="005A5957" w:rsidP="005A5957">
      <w:pPr>
        <w:jc w:val="left"/>
      </w:pPr>
    </w:p>
    <w:p w14:paraId="3F1EA915" w14:textId="77777777" w:rsidR="005A5957" w:rsidRPr="009F74EC" w:rsidRDefault="005A5957" w:rsidP="005A5957">
      <w:pPr>
        <w:jc w:val="center"/>
        <w:sectPr w:rsidR="005A5957" w:rsidRPr="009F74EC" w:rsidSect="00CE5C5C">
          <w:headerReference w:type="default" r:id="rId54"/>
          <w:pgSz w:w="11907" w:h="16840" w:code="9"/>
          <w:pgMar w:top="510" w:right="1134" w:bottom="1134" w:left="1134" w:header="510" w:footer="680" w:gutter="0"/>
          <w:pgNumType w:start="1"/>
          <w:cols w:space="720"/>
          <w:titlePg/>
          <w:docGrid w:linePitch="272"/>
        </w:sectPr>
      </w:pPr>
    </w:p>
    <w:p w14:paraId="16497268" w14:textId="77777777" w:rsidR="005A5957" w:rsidRPr="009F74EC" w:rsidRDefault="005A5957" w:rsidP="005A5957">
      <w:pPr>
        <w:jc w:val="center"/>
      </w:pPr>
      <w:r w:rsidRPr="009F74EC">
        <w:lastRenderedPageBreak/>
        <w:t>C/57/13</w:t>
      </w:r>
    </w:p>
    <w:p w14:paraId="1AB6C937" w14:textId="77777777" w:rsidR="005A5957" w:rsidRPr="009F74EC" w:rsidRDefault="005A5957" w:rsidP="005A5957">
      <w:pPr>
        <w:jc w:val="center"/>
      </w:pPr>
    </w:p>
    <w:p w14:paraId="7151F6C1" w14:textId="77777777" w:rsidR="005A5957" w:rsidRPr="009F74EC" w:rsidRDefault="005A5957" w:rsidP="005A5957">
      <w:pPr>
        <w:jc w:val="center"/>
      </w:pPr>
      <w:r w:rsidRPr="009F74EC">
        <w:t>ANEXO XIX</w:t>
      </w:r>
    </w:p>
    <w:p w14:paraId="707437A8" w14:textId="77777777" w:rsidR="005A5957" w:rsidRPr="009F74EC" w:rsidRDefault="005A5957" w:rsidP="005A5957">
      <w:pPr>
        <w:jc w:val="center"/>
      </w:pPr>
    </w:p>
    <w:p w14:paraId="35881773" w14:textId="77777777" w:rsidR="005A5957" w:rsidRPr="009F74EC" w:rsidRDefault="005A5957" w:rsidP="005A5957">
      <w:pPr>
        <w:jc w:val="center"/>
      </w:pPr>
    </w:p>
    <w:p w14:paraId="40F87483" w14:textId="77777777" w:rsidR="005A5957" w:rsidRPr="009F74EC" w:rsidRDefault="005A5957" w:rsidP="005A5957">
      <w:pPr>
        <w:jc w:val="center"/>
      </w:pPr>
      <w:r w:rsidRPr="009F74EC">
        <w:t>MYANMAR</w:t>
      </w:r>
    </w:p>
    <w:p w14:paraId="068BA350" w14:textId="77777777" w:rsidR="00633DB1" w:rsidRPr="009F74EC" w:rsidRDefault="00633DB1" w:rsidP="00633DB1">
      <w:pPr>
        <w:jc w:val="center"/>
      </w:pPr>
      <w:r w:rsidRPr="009F74EC">
        <w:t>(Idioma original: inglés)</w:t>
      </w:r>
    </w:p>
    <w:p w14:paraId="3604EA3D" w14:textId="77777777" w:rsidR="00633DB1" w:rsidRPr="009F74EC" w:rsidRDefault="00633DB1" w:rsidP="00633DB1"/>
    <w:p w14:paraId="759AE625" w14:textId="77777777" w:rsidR="00633DB1" w:rsidRPr="009F74EC" w:rsidRDefault="00633DB1" w:rsidP="00633DB1">
      <w:pPr>
        <w:pStyle w:val="Disclaimer"/>
        <w:spacing w:after="360"/>
        <w:jc w:val="center"/>
        <w:rPr>
          <w:sz w:val="18"/>
          <w:szCs w:val="18"/>
        </w:rPr>
      </w:pPr>
      <w:r w:rsidRPr="009F74EC">
        <w:rPr>
          <w:sz w:val="18"/>
          <w:szCs w:val="18"/>
        </w:rPr>
        <w:t xml:space="preserve">Esta traducción se ha generado mediante traducción automática y no puede garantizarse su exactitud. </w:t>
      </w:r>
      <w:r w:rsidRPr="009F74EC">
        <w:rPr>
          <w:sz w:val="18"/>
          <w:szCs w:val="18"/>
        </w:rPr>
        <w:br/>
        <w:t>Por lo tanto, el texto en el idioma original es la única versión auténtica.</w:t>
      </w:r>
    </w:p>
    <w:p w14:paraId="18BD293C" w14:textId="77777777" w:rsidR="005A5957" w:rsidRPr="009F74EC" w:rsidRDefault="005A5957" w:rsidP="005A5957">
      <w:r w:rsidRPr="009F74EC">
        <w:t>PROTECCIÓN DE LAS OBTENCIONES VEGETALES</w:t>
      </w:r>
    </w:p>
    <w:p w14:paraId="2BE390E1" w14:textId="77777777" w:rsidR="005A5957" w:rsidRPr="009F74EC" w:rsidRDefault="005A5957" w:rsidP="005A5957"/>
    <w:p w14:paraId="5439D669" w14:textId="77777777" w:rsidR="005A5957" w:rsidRPr="009F74EC" w:rsidRDefault="005A5957" w:rsidP="005A5957">
      <w:r w:rsidRPr="009F74EC">
        <w:t>1.</w:t>
      </w:r>
      <w:r w:rsidRPr="009F74EC">
        <w:tab/>
      </w:r>
      <w:r w:rsidRPr="009F74EC">
        <w:rPr>
          <w:u w:val="single"/>
        </w:rPr>
        <w:t>Situación en el ámbito legislativo</w:t>
      </w:r>
    </w:p>
    <w:p w14:paraId="49E36FB5" w14:textId="77777777" w:rsidR="005A5957" w:rsidRPr="009F74EC" w:rsidRDefault="005A5957" w:rsidP="005A5957"/>
    <w:p w14:paraId="35414C5E" w14:textId="7EFC7AAE" w:rsidR="005A5957" w:rsidRPr="009F74EC" w:rsidRDefault="005A5957" w:rsidP="005A5957">
      <w:r w:rsidRPr="009F74EC">
        <w:t>1.1</w:t>
      </w:r>
      <w:r w:rsidR="00AD5CA2">
        <w:tab/>
      </w:r>
      <w:r w:rsidRPr="009F74EC">
        <w:t>Modificaciones de la ley y de los reglamentos de aplicación</w:t>
      </w:r>
    </w:p>
    <w:p w14:paraId="251B9548" w14:textId="77777777" w:rsidR="005A5957" w:rsidRPr="009F74EC" w:rsidRDefault="005A5957" w:rsidP="005A5957"/>
    <w:p w14:paraId="2E3AAA8C" w14:textId="77777777" w:rsidR="005A5957" w:rsidRPr="009F74EC" w:rsidRDefault="005A5957" w:rsidP="005A5957">
      <w:r w:rsidRPr="009F74EC">
        <w:t>En 2016 se promulgó una nueva ley de protección de las obtenciones vegetales. Algunos artículos de la ley de protección de las obtenciones vegetales (2016) no estaban totalmente en consonancia con el Acta de 1991 del Convenio. Por lo tanto, se promulgó una nueva el 24 de septiembre de 2019. Procedimiento de PVP ley (2019) también se actuó en 24.9.2021.  La UPOV tomó una decisión positiva sobre la ley de protección de las obtenciones vegetales de Myanmar (2019) en la 53ª reunión del Consejo, celebrada el 1 de noviembre de 2019 en Ginebra (Suiza).</w:t>
      </w:r>
    </w:p>
    <w:p w14:paraId="1BAD89F7" w14:textId="77777777" w:rsidR="005A5957" w:rsidRPr="009F74EC" w:rsidRDefault="005A5957" w:rsidP="005A5957"/>
    <w:p w14:paraId="6B9278AF" w14:textId="36FB6796" w:rsidR="005A5957" w:rsidRPr="009F74EC" w:rsidRDefault="005A5957" w:rsidP="005A5957">
      <w:r w:rsidRPr="009F74EC">
        <w:t>1.2</w:t>
      </w:r>
      <w:r w:rsidR="00AD5CA2">
        <w:tab/>
      </w:r>
      <w:r w:rsidRPr="009F74EC">
        <w:t>Ampliación de la protección a otros géneros y especies (realizada o prevista)</w:t>
      </w:r>
    </w:p>
    <w:p w14:paraId="6D2CB500" w14:textId="77777777" w:rsidR="005A5957" w:rsidRPr="009F74EC" w:rsidRDefault="005A5957" w:rsidP="005A5957"/>
    <w:p w14:paraId="6728C2B3" w14:textId="77777777" w:rsidR="005A5957" w:rsidRPr="009F74EC" w:rsidRDefault="005A5957" w:rsidP="005A5957">
      <w:r w:rsidRPr="009F74EC">
        <w:t xml:space="preserve">El obtentor podrá solicitar la concesión del derecho de obtentor para todos los géneros y especies vegetales de conformidad con el artículo 16 de la Ley de protección de las obtenciones vegetales (2019). </w:t>
      </w:r>
    </w:p>
    <w:p w14:paraId="21C2370E" w14:textId="77777777" w:rsidR="005A5957" w:rsidRPr="009F74EC" w:rsidRDefault="005A5957" w:rsidP="005A5957"/>
    <w:p w14:paraId="32C6C863" w14:textId="77777777" w:rsidR="005A5957" w:rsidRPr="009F74EC" w:rsidRDefault="005A5957" w:rsidP="005A5957">
      <w:pPr>
        <w:rPr>
          <w:u w:val="single"/>
        </w:rPr>
      </w:pPr>
      <w:r w:rsidRPr="009F74EC">
        <w:t>2.</w:t>
      </w:r>
      <w:r w:rsidRPr="009F74EC">
        <w:tab/>
      </w:r>
      <w:r w:rsidRPr="009F74EC">
        <w:rPr>
          <w:u w:val="single"/>
        </w:rPr>
        <w:t>Cooperación en el examen</w:t>
      </w:r>
    </w:p>
    <w:p w14:paraId="0F024F91" w14:textId="77777777" w:rsidR="005A5957" w:rsidRPr="009F74EC" w:rsidRDefault="005A5957" w:rsidP="005A5957"/>
    <w:p w14:paraId="66B319BB" w14:textId="77777777" w:rsidR="005A5957" w:rsidRPr="009F74EC" w:rsidRDefault="005A5957" w:rsidP="005A5957">
      <w:r w:rsidRPr="009F74EC">
        <w:t>No se coopera en el examen con otros en virtud de acuerdos de memorándum de acuerdo.</w:t>
      </w:r>
    </w:p>
    <w:p w14:paraId="7FEF13A4" w14:textId="77777777" w:rsidR="005A5957" w:rsidRPr="009F74EC" w:rsidRDefault="005A5957" w:rsidP="005A5957"/>
    <w:p w14:paraId="11D16C53" w14:textId="77777777" w:rsidR="005A5957" w:rsidRPr="009F74EC" w:rsidRDefault="005A5957" w:rsidP="005A5957">
      <w:r w:rsidRPr="009F74EC">
        <w:t>3.</w:t>
      </w:r>
      <w:r w:rsidRPr="009F74EC">
        <w:tab/>
      </w:r>
      <w:r w:rsidRPr="009F74EC">
        <w:rPr>
          <w:u w:val="single"/>
        </w:rPr>
        <w:t>Situación en el ámbito administrativo</w:t>
      </w:r>
    </w:p>
    <w:p w14:paraId="2A355571" w14:textId="77777777" w:rsidR="005A5957" w:rsidRPr="009F74EC" w:rsidRDefault="005A5957" w:rsidP="005A5957"/>
    <w:p w14:paraId="5B1B86BF" w14:textId="77777777" w:rsidR="005A5957" w:rsidRPr="009F74EC" w:rsidRDefault="005A5957" w:rsidP="005A5957">
      <w:r w:rsidRPr="009F74EC">
        <w:t>No hay cambios en la estructura administrativa ni en los procedimientos y sistemas de oficina.</w:t>
      </w:r>
    </w:p>
    <w:p w14:paraId="4A0D3E27" w14:textId="77777777" w:rsidR="005A5957" w:rsidRPr="009F74EC" w:rsidRDefault="005A5957" w:rsidP="005A5957"/>
    <w:p w14:paraId="7916462A" w14:textId="77777777" w:rsidR="005A5957" w:rsidRPr="009F74EC" w:rsidRDefault="005A5957" w:rsidP="005A5957">
      <w:r w:rsidRPr="009F74EC">
        <w:t>4.</w:t>
      </w:r>
      <w:r w:rsidRPr="009F74EC">
        <w:tab/>
      </w:r>
      <w:r w:rsidRPr="009F74EC">
        <w:rPr>
          <w:u w:val="single"/>
        </w:rPr>
        <w:t>Situación en el ámbito técnico</w:t>
      </w:r>
    </w:p>
    <w:p w14:paraId="668EBDF4" w14:textId="77777777" w:rsidR="005A5957" w:rsidRPr="009F74EC" w:rsidRDefault="005A5957" w:rsidP="005A5957"/>
    <w:p w14:paraId="0D1A2DDC" w14:textId="77777777" w:rsidR="005A5957" w:rsidRPr="009F74EC" w:rsidRDefault="005A5957" w:rsidP="005A5957">
      <w:r w:rsidRPr="009F74EC">
        <w:t>De conformidad con los procedimientos de protección de las obtenciones vegetales, los exámenes DHE fueron realizados por examinadores DHE locales capacitados que son miembros del subcomité y del comité de examen técnico de protección de las obtenciones vegetales. Hasta la fecha se han solicitado 46 obtenciones vegetales y se han concedido derechos de obtentor a 8 variedades.</w:t>
      </w:r>
    </w:p>
    <w:p w14:paraId="405DF9D5" w14:textId="77777777" w:rsidR="005A5957" w:rsidRPr="009F74EC" w:rsidRDefault="005A5957" w:rsidP="005A5957"/>
    <w:p w14:paraId="704640F5" w14:textId="77777777" w:rsidR="005A5957" w:rsidRPr="009F74EC" w:rsidRDefault="005A5957" w:rsidP="005A5957">
      <w:pPr>
        <w:rPr>
          <w:u w:val="single"/>
        </w:rPr>
      </w:pPr>
      <w:r w:rsidRPr="009F74EC">
        <w:t>5.</w:t>
      </w:r>
      <w:r w:rsidRPr="009F74EC">
        <w:tab/>
      </w:r>
      <w:r w:rsidRPr="009F74EC">
        <w:rPr>
          <w:u w:val="single"/>
        </w:rPr>
        <w:t>Actividades de fomento de la protección de las obtenciones vegetales</w:t>
      </w:r>
    </w:p>
    <w:p w14:paraId="5236FC60" w14:textId="77777777" w:rsidR="005A5957" w:rsidRPr="009F74EC" w:rsidRDefault="005A5957" w:rsidP="005A5957"/>
    <w:p w14:paraId="227CD501" w14:textId="77777777" w:rsidR="005A5957" w:rsidRPr="009F74EC" w:rsidRDefault="005A5957" w:rsidP="005A5957">
      <w:r w:rsidRPr="009F74EC">
        <w:t>Antes de la crisis de COVID-19, se celebraron seminarios de sensibilización sobre las actividades del sistema de protección de las obtenciones vegetales y se impartió formación técnica en colaboración con la EAPVP, Japón, la UPOV y Naktuinbouw (Países Bajos).</w:t>
      </w:r>
    </w:p>
    <w:p w14:paraId="2A0450F2" w14:textId="77777777" w:rsidR="005A5957" w:rsidRPr="009F74EC" w:rsidRDefault="005A5957" w:rsidP="005A5957"/>
    <w:tbl>
      <w:tblPr>
        <w:tblStyle w:val="TableGrid"/>
        <w:tblW w:w="9918" w:type="dxa"/>
        <w:tblLayout w:type="fixed"/>
        <w:tblCellMar>
          <w:top w:w="28" w:type="dxa"/>
          <w:left w:w="57" w:type="dxa"/>
          <w:bottom w:w="28" w:type="dxa"/>
          <w:right w:w="57" w:type="dxa"/>
        </w:tblCellMar>
        <w:tblLook w:val="01E0" w:firstRow="1" w:lastRow="1" w:firstColumn="1" w:lastColumn="1" w:noHBand="0" w:noVBand="0"/>
      </w:tblPr>
      <w:tblGrid>
        <w:gridCol w:w="1413"/>
        <w:gridCol w:w="992"/>
        <w:gridCol w:w="1134"/>
        <w:gridCol w:w="1701"/>
        <w:gridCol w:w="2552"/>
        <w:gridCol w:w="2126"/>
      </w:tblGrid>
      <w:tr w:rsidR="005A5957" w:rsidRPr="009F74EC" w14:paraId="6885CC9B" w14:textId="77777777" w:rsidTr="00AD5CA2">
        <w:trPr>
          <w:tblHeader/>
        </w:trPr>
        <w:tc>
          <w:tcPr>
            <w:tcW w:w="1413" w:type="dxa"/>
          </w:tcPr>
          <w:p w14:paraId="02A215A1" w14:textId="77777777" w:rsidR="005A5957" w:rsidRPr="009F74EC" w:rsidRDefault="005A5957" w:rsidP="00C30F9D">
            <w:pPr>
              <w:jc w:val="left"/>
              <w:rPr>
                <w:rFonts w:cs="Arial"/>
                <w:bCs/>
                <w:sz w:val="16"/>
                <w:szCs w:val="16"/>
              </w:rPr>
            </w:pPr>
            <w:r w:rsidRPr="009F74EC">
              <w:rPr>
                <w:rFonts w:cs="Arial"/>
                <w:bCs/>
                <w:sz w:val="16"/>
                <w:szCs w:val="16"/>
              </w:rPr>
              <w:t>Título de la actividad</w:t>
            </w:r>
          </w:p>
        </w:tc>
        <w:tc>
          <w:tcPr>
            <w:tcW w:w="992" w:type="dxa"/>
          </w:tcPr>
          <w:p w14:paraId="1F24806E" w14:textId="77777777" w:rsidR="005A5957" w:rsidRPr="009F74EC" w:rsidRDefault="005A5957" w:rsidP="00C30F9D">
            <w:pPr>
              <w:jc w:val="left"/>
              <w:rPr>
                <w:rFonts w:cs="Arial"/>
                <w:bCs/>
                <w:sz w:val="16"/>
                <w:szCs w:val="16"/>
              </w:rPr>
            </w:pPr>
            <w:r w:rsidRPr="009F74EC">
              <w:rPr>
                <w:rFonts w:cs="Arial"/>
                <w:bCs/>
                <w:sz w:val="16"/>
                <w:szCs w:val="16"/>
              </w:rPr>
              <w:t>Fecha</w:t>
            </w:r>
          </w:p>
        </w:tc>
        <w:tc>
          <w:tcPr>
            <w:tcW w:w="1134" w:type="dxa"/>
          </w:tcPr>
          <w:p w14:paraId="565FC59E" w14:textId="77777777" w:rsidR="005A5957" w:rsidRPr="009F74EC" w:rsidRDefault="005A5957" w:rsidP="00C30F9D">
            <w:pPr>
              <w:jc w:val="left"/>
              <w:rPr>
                <w:rFonts w:cs="Arial"/>
                <w:bCs/>
                <w:sz w:val="16"/>
                <w:szCs w:val="16"/>
              </w:rPr>
            </w:pPr>
            <w:r w:rsidRPr="009F74EC">
              <w:rPr>
                <w:rFonts w:cs="Arial"/>
                <w:bCs/>
                <w:sz w:val="16"/>
                <w:szCs w:val="16"/>
              </w:rPr>
              <w:t>Ubicación</w:t>
            </w:r>
          </w:p>
        </w:tc>
        <w:tc>
          <w:tcPr>
            <w:tcW w:w="1701" w:type="dxa"/>
          </w:tcPr>
          <w:p w14:paraId="332D1E15" w14:textId="77777777" w:rsidR="005A5957" w:rsidRPr="009F74EC" w:rsidRDefault="005A5957" w:rsidP="00C30F9D">
            <w:pPr>
              <w:jc w:val="left"/>
              <w:rPr>
                <w:rFonts w:cs="Arial"/>
                <w:bCs/>
                <w:sz w:val="16"/>
                <w:szCs w:val="16"/>
              </w:rPr>
            </w:pPr>
            <w:r w:rsidRPr="009F74EC">
              <w:rPr>
                <w:rFonts w:cs="Arial"/>
                <w:bCs/>
                <w:sz w:val="16"/>
                <w:szCs w:val="16"/>
              </w:rPr>
              <w:t>Organizador(es)</w:t>
            </w:r>
          </w:p>
        </w:tc>
        <w:tc>
          <w:tcPr>
            <w:tcW w:w="2552" w:type="dxa"/>
          </w:tcPr>
          <w:p w14:paraId="64E7E3BE" w14:textId="77777777" w:rsidR="005A5957" w:rsidRPr="009F74EC" w:rsidRDefault="005A5957" w:rsidP="00C30F9D">
            <w:pPr>
              <w:jc w:val="left"/>
              <w:rPr>
                <w:rFonts w:cs="Arial"/>
                <w:bCs/>
                <w:sz w:val="16"/>
                <w:szCs w:val="16"/>
              </w:rPr>
            </w:pPr>
            <w:r w:rsidRPr="009F74EC">
              <w:rPr>
                <w:rFonts w:cs="Arial"/>
                <w:bCs/>
                <w:sz w:val="16"/>
                <w:szCs w:val="16"/>
              </w:rPr>
              <w:t>Objetivo de la actividad</w:t>
            </w:r>
          </w:p>
        </w:tc>
        <w:tc>
          <w:tcPr>
            <w:tcW w:w="2126" w:type="dxa"/>
          </w:tcPr>
          <w:p w14:paraId="2F18E13E" w14:textId="77777777" w:rsidR="005A5957" w:rsidRPr="009F74EC" w:rsidRDefault="005A5957" w:rsidP="00C30F9D">
            <w:pPr>
              <w:jc w:val="left"/>
              <w:rPr>
                <w:rFonts w:cs="Arial"/>
                <w:bCs/>
                <w:sz w:val="16"/>
                <w:szCs w:val="16"/>
              </w:rPr>
            </w:pPr>
            <w:r w:rsidRPr="009F74EC">
              <w:rPr>
                <w:rFonts w:cs="Arial"/>
                <w:bCs/>
                <w:sz w:val="16"/>
                <w:szCs w:val="16"/>
              </w:rPr>
              <w:t>Países/organizaciones participantes (número de participantes de cada uno)</w:t>
            </w:r>
          </w:p>
        </w:tc>
      </w:tr>
      <w:tr w:rsidR="005A5957" w:rsidRPr="009F74EC" w14:paraId="1C73B9A2" w14:textId="77777777" w:rsidTr="00AD5CA2">
        <w:tc>
          <w:tcPr>
            <w:tcW w:w="1413" w:type="dxa"/>
          </w:tcPr>
          <w:p w14:paraId="70074247" w14:textId="77777777" w:rsidR="005A5957" w:rsidRPr="009F74EC" w:rsidRDefault="005A5957" w:rsidP="00C30F9D">
            <w:pPr>
              <w:jc w:val="left"/>
              <w:rPr>
                <w:rFonts w:cs="Arial"/>
                <w:sz w:val="16"/>
                <w:szCs w:val="16"/>
              </w:rPr>
            </w:pPr>
            <w:r w:rsidRPr="009F74EC">
              <w:rPr>
                <w:rFonts w:cs="Arial"/>
                <w:sz w:val="16"/>
                <w:szCs w:val="16"/>
              </w:rPr>
              <w:t>1. Seminario de sensibilización sobre la protección de las obtenciones vegetales</w:t>
            </w:r>
          </w:p>
        </w:tc>
        <w:tc>
          <w:tcPr>
            <w:tcW w:w="992" w:type="dxa"/>
          </w:tcPr>
          <w:p w14:paraId="6186942E" w14:textId="77777777" w:rsidR="005A5957" w:rsidRPr="009F74EC" w:rsidRDefault="005A5957" w:rsidP="00C30F9D">
            <w:pPr>
              <w:jc w:val="left"/>
              <w:rPr>
                <w:rFonts w:cs="Arial"/>
                <w:sz w:val="16"/>
                <w:szCs w:val="16"/>
              </w:rPr>
            </w:pPr>
            <w:r w:rsidRPr="009F74EC">
              <w:rPr>
                <w:rFonts w:cs="Arial"/>
                <w:bCs/>
                <w:sz w:val="16"/>
                <w:szCs w:val="16"/>
              </w:rPr>
              <w:t>19.12.2012</w:t>
            </w:r>
          </w:p>
        </w:tc>
        <w:tc>
          <w:tcPr>
            <w:tcW w:w="1134" w:type="dxa"/>
          </w:tcPr>
          <w:p w14:paraId="02EF8241" w14:textId="77777777" w:rsidR="005A5957" w:rsidRPr="009F74EC" w:rsidRDefault="005A5957" w:rsidP="00C30F9D">
            <w:pPr>
              <w:jc w:val="left"/>
              <w:rPr>
                <w:rFonts w:cs="Arial"/>
                <w:sz w:val="16"/>
                <w:szCs w:val="16"/>
              </w:rPr>
            </w:pPr>
            <w:r w:rsidRPr="009F74EC">
              <w:rPr>
                <w:rFonts w:cs="Arial"/>
                <w:sz w:val="16"/>
                <w:szCs w:val="16"/>
              </w:rPr>
              <w:t xml:space="preserve">DAR, </w:t>
            </w:r>
            <w:proofErr w:type="spellStart"/>
            <w:r w:rsidRPr="009F74EC">
              <w:rPr>
                <w:rFonts w:cs="Arial"/>
                <w:sz w:val="16"/>
                <w:szCs w:val="16"/>
              </w:rPr>
              <w:t>Yezin</w:t>
            </w:r>
            <w:proofErr w:type="spellEnd"/>
            <w:r w:rsidRPr="009F74EC">
              <w:rPr>
                <w:rFonts w:cs="Arial"/>
                <w:sz w:val="16"/>
                <w:szCs w:val="16"/>
              </w:rPr>
              <w:t xml:space="preserve">, </w:t>
            </w:r>
            <w:proofErr w:type="spellStart"/>
            <w:r w:rsidRPr="009F74EC">
              <w:rPr>
                <w:rFonts w:cs="Arial"/>
                <w:sz w:val="16"/>
                <w:szCs w:val="16"/>
              </w:rPr>
              <w:t>Naypyitaw</w:t>
            </w:r>
            <w:proofErr w:type="spellEnd"/>
            <w:r w:rsidRPr="009F74EC">
              <w:rPr>
                <w:rFonts w:cs="Arial"/>
                <w:sz w:val="16"/>
                <w:szCs w:val="16"/>
              </w:rPr>
              <w:t>, Myanmar</w:t>
            </w:r>
          </w:p>
        </w:tc>
        <w:tc>
          <w:tcPr>
            <w:tcW w:w="1701" w:type="dxa"/>
          </w:tcPr>
          <w:p w14:paraId="3964AD6A" w14:textId="77777777" w:rsidR="005A5957" w:rsidRPr="009F74EC" w:rsidRDefault="005A5957" w:rsidP="00C30F9D">
            <w:pPr>
              <w:jc w:val="left"/>
              <w:rPr>
                <w:rFonts w:cs="Arial"/>
                <w:sz w:val="16"/>
                <w:szCs w:val="16"/>
              </w:rPr>
            </w:pPr>
            <w:r w:rsidRPr="009F74EC">
              <w:rPr>
                <w:rFonts w:cs="Arial"/>
                <w:bCs/>
                <w:sz w:val="16"/>
                <w:szCs w:val="16"/>
              </w:rPr>
              <w:t>organizado conjuntamente por la UPOV, MAFF Japón, MOAI Myanmar</w:t>
            </w:r>
          </w:p>
        </w:tc>
        <w:tc>
          <w:tcPr>
            <w:tcW w:w="2552" w:type="dxa"/>
          </w:tcPr>
          <w:p w14:paraId="665D7F05" w14:textId="77777777" w:rsidR="005A5957" w:rsidRPr="009F74EC" w:rsidRDefault="005A5957" w:rsidP="00C30F9D">
            <w:pPr>
              <w:jc w:val="left"/>
              <w:rPr>
                <w:rFonts w:cs="Arial"/>
                <w:sz w:val="16"/>
                <w:szCs w:val="16"/>
              </w:rPr>
            </w:pPr>
            <w:r w:rsidRPr="009F74EC">
              <w:rPr>
                <w:rFonts w:cs="Arial"/>
                <w:sz w:val="16"/>
                <w:szCs w:val="16"/>
              </w:rPr>
              <w:t>Dar a conocer el sistema de protección de las obtenciones vegetales a las distintas partes interesadas de Myanmar</w:t>
            </w:r>
          </w:p>
        </w:tc>
        <w:tc>
          <w:tcPr>
            <w:tcW w:w="2126" w:type="dxa"/>
          </w:tcPr>
          <w:p w14:paraId="2BDEC68C" w14:textId="77777777" w:rsidR="005A5957" w:rsidRPr="009F74EC" w:rsidRDefault="005A5957" w:rsidP="00C30F9D">
            <w:pPr>
              <w:jc w:val="left"/>
              <w:rPr>
                <w:rFonts w:cs="Arial"/>
                <w:sz w:val="16"/>
                <w:szCs w:val="16"/>
              </w:rPr>
            </w:pPr>
            <w:r w:rsidRPr="009F74EC">
              <w:rPr>
                <w:rFonts w:cs="Arial"/>
                <w:sz w:val="16"/>
                <w:szCs w:val="16"/>
              </w:rPr>
              <w:t>Japón, oficina de la UPOV y participantes locales (100)</w:t>
            </w:r>
          </w:p>
        </w:tc>
      </w:tr>
      <w:tr w:rsidR="005A5957" w:rsidRPr="009F74EC" w14:paraId="729BA764" w14:textId="77777777" w:rsidTr="00AD5CA2">
        <w:tc>
          <w:tcPr>
            <w:tcW w:w="1413" w:type="dxa"/>
          </w:tcPr>
          <w:p w14:paraId="1EA54E5A" w14:textId="77777777" w:rsidR="005A5957" w:rsidRPr="009F74EC" w:rsidRDefault="005A5957" w:rsidP="00C30F9D">
            <w:pPr>
              <w:jc w:val="left"/>
              <w:rPr>
                <w:rFonts w:cs="Arial"/>
                <w:sz w:val="16"/>
                <w:szCs w:val="16"/>
              </w:rPr>
            </w:pPr>
            <w:r w:rsidRPr="009F74EC">
              <w:rPr>
                <w:rFonts w:cs="Arial"/>
                <w:sz w:val="16"/>
                <w:szCs w:val="16"/>
              </w:rPr>
              <w:t>2. Seminario de sensibilización sobre la protección de las obtenciones vegetales</w:t>
            </w:r>
          </w:p>
        </w:tc>
        <w:tc>
          <w:tcPr>
            <w:tcW w:w="992" w:type="dxa"/>
          </w:tcPr>
          <w:p w14:paraId="46BB85A5" w14:textId="77777777" w:rsidR="005A5957" w:rsidRPr="009F74EC" w:rsidRDefault="005A5957" w:rsidP="00C30F9D">
            <w:pPr>
              <w:jc w:val="left"/>
              <w:rPr>
                <w:rFonts w:cs="Arial"/>
                <w:sz w:val="16"/>
                <w:szCs w:val="16"/>
              </w:rPr>
            </w:pPr>
            <w:r w:rsidRPr="009F74EC">
              <w:rPr>
                <w:rFonts w:cs="Arial"/>
                <w:bCs/>
                <w:sz w:val="16"/>
                <w:szCs w:val="16"/>
              </w:rPr>
              <w:t>5.12.2016</w:t>
            </w:r>
          </w:p>
        </w:tc>
        <w:tc>
          <w:tcPr>
            <w:tcW w:w="1134" w:type="dxa"/>
          </w:tcPr>
          <w:p w14:paraId="2302F890" w14:textId="77777777" w:rsidR="005A5957" w:rsidRPr="009F74EC" w:rsidRDefault="005A5957" w:rsidP="00C30F9D">
            <w:pPr>
              <w:jc w:val="left"/>
              <w:rPr>
                <w:rFonts w:cs="Arial"/>
                <w:sz w:val="16"/>
                <w:szCs w:val="16"/>
              </w:rPr>
            </w:pPr>
            <w:r w:rsidRPr="009F74EC">
              <w:rPr>
                <w:rFonts w:cs="Arial"/>
                <w:sz w:val="16"/>
                <w:szCs w:val="16"/>
              </w:rPr>
              <w:t xml:space="preserve">DAR, </w:t>
            </w:r>
            <w:proofErr w:type="spellStart"/>
            <w:r w:rsidRPr="009F74EC">
              <w:rPr>
                <w:rFonts w:cs="Arial"/>
                <w:sz w:val="16"/>
                <w:szCs w:val="16"/>
              </w:rPr>
              <w:t>Yezin</w:t>
            </w:r>
            <w:proofErr w:type="spellEnd"/>
            <w:r w:rsidRPr="009F74EC">
              <w:rPr>
                <w:rFonts w:cs="Arial"/>
                <w:sz w:val="16"/>
                <w:szCs w:val="16"/>
              </w:rPr>
              <w:t xml:space="preserve">, </w:t>
            </w:r>
            <w:proofErr w:type="spellStart"/>
            <w:r w:rsidRPr="009F74EC">
              <w:rPr>
                <w:rFonts w:cs="Arial"/>
                <w:sz w:val="16"/>
                <w:szCs w:val="16"/>
              </w:rPr>
              <w:t>Naypyitaw</w:t>
            </w:r>
            <w:proofErr w:type="spellEnd"/>
            <w:r w:rsidRPr="009F74EC">
              <w:rPr>
                <w:rFonts w:cs="Arial"/>
                <w:sz w:val="16"/>
                <w:szCs w:val="16"/>
              </w:rPr>
              <w:t>, Myanmar</w:t>
            </w:r>
          </w:p>
        </w:tc>
        <w:tc>
          <w:tcPr>
            <w:tcW w:w="1701" w:type="dxa"/>
          </w:tcPr>
          <w:p w14:paraId="44067C30" w14:textId="77777777" w:rsidR="005A5957" w:rsidRPr="009F74EC" w:rsidRDefault="005A5957" w:rsidP="00C30F9D">
            <w:pPr>
              <w:jc w:val="left"/>
              <w:rPr>
                <w:rFonts w:cs="Arial"/>
                <w:sz w:val="16"/>
                <w:szCs w:val="16"/>
              </w:rPr>
            </w:pPr>
            <w:r w:rsidRPr="009F74EC">
              <w:rPr>
                <w:rFonts w:cs="Arial"/>
                <w:bCs/>
                <w:sz w:val="16"/>
                <w:szCs w:val="16"/>
              </w:rPr>
              <w:t>organizado conjuntamente por la UPOV, MAFF Japón, MOAI Myanmar</w:t>
            </w:r>
          </w:p>
        </w:tc>
        <w:tc>
          <w:tcPr>
            <w:tcW w:w="2552" w:type="dxa"/>
          </w:tcPr>
          <w:p w14:paraId="47D7090A" w14:textId="77777777" w:rsidR="005A5957" w:rsidRPr="009F74EC" w:rsidRDefault="005A5957" w:rsidP="00C30F9D">
            <w:pPr>
              <w:jc w:val="left"/>
              <w:rPr>
                <w:rFonts w:cs="Arial"/>
                <w:sz w:val="16"/>
                <w:szCs w:val="16"/>
              </w:rPr>
            </w:pPr>
            <w:r w:rsidRPr="009F74EC">
              <w:rPr>
                <w:rFonts w:cs="Arial"/>
                <w:sz w:val="16"/>
                <w:szCs w:val="16"/>
              </w:rPr>
              <w:t>Dar a conocer el sistema de protección de las obtenciones vegetales a las distintas partes interesadas de Myanmar</w:t>
            </w:r>
          </w:p>
        </w:tc>
        <w:tc>
          <w:tcPr>
            <w:tcW w:w="2126" w:type="dxa"/>
          </w:tcPr>
          <w:p w14:paraId="1F82A90A" w14:textId="77777777" w:rsidR="005A5957" w:rsidRPr="009F74EC" w:rsidRDefault="005A5957" w:rsidP="00C30F9D">
            <w:pPr>
              <w:jc w:val="left"/>
              <w:rPr>
                <w:rFonts w:cs="Arial"/>
                <w:sz w:val="16"/>
                <w:szCs w:val="16"/>
              </w:rPr>
            </w:pPr>
            <w:r w:rsidRPr="009F74EC">
              <w:rPr>
                <w:rFonts w:cs="Arial"/>
                <w:sz w:val="16"/>
                <w:szCs w:val="16"/>
              </w:rPr>
              <w:t>Japón, oficina de la UPOV y participantes locales (100)</w:t>
            </w:r>
          </w:p>
        </w:tc>
      </w:tr>
      <w:tr w:rsidR="005A5957" w:rsidRPr="009F74EC" w14:paraId="7375FD4D" w14:textId="77777777" w:rsidTr="00AD5CA2">
        <w:tc>
          <w:tcPr>
            <w:tcW w:w="1413" w:type="dxa"/>
          </w:tcPr>
          <w:p w14:paraId="5871A176" w14:textId="77777777" w:rsidR="005A5957" w:rsidRPr="009F74EC" w:rsidRDefault="005A5957" w:rsidP="00C30F9D">
            <w:pPr>
              <w:jc w:val="left"/>
              <w:rPr>
                <w:rFonts w:cs="Arial"/>
                <w:sz w:val="16"/>
                <w:szCs w:val="16"/>
              </w:rPr>
            </w:pPr>
            <w:r w:rsidRPr="009F74EC">
              <w:rPr>
                <w:rFonts w:cs="Arial"/>
                <w:sz w:val="16"/>
                <w:szCs w:val="16"/>
              </w:rPr>
              <w:t>3. Décima reunión del foro EAPVP</w:t>
            </w:r>
          </w:p>
        </w:tc>
        <w:tc>
          <w:tcPr>
            <w:tcW w:w="992" w:type="dxa"/>
          </w:tcPr>
          <w:p w14:paraId="1A4C08B5" w14:textId="77777777" w:rsidR="005A5957" w:rsidRPr="009F74EC" w:rsidRDefault="005A5957" w:rsidP="00C30F9D">
            <w:pPr>
              <w:jc w:val="left"/>
              <w:rPr>
                <w:rFonts w:cs="Arial"/>
                <w:sz w:val="16"/>
                <w:szCs w:val="16"/>
              </w:rPr>
            </w:pPr>
            <w:r w:rsidRPr="009F74EC">
              <w:rPr>
                <w:rFonts w:cs="Arial"/>
                <w:bCs/>
                <w:sz w:val="16"/>
                <w:szCs w:val="16"/>
              </w:rPr>
              <w:t>10.9.2017</w:t>
            </w:r>
          </w:p>
        </w:tc>
        <w:tc>
          <w:tcPr>
            <w:tcW w:w="1134" w:type="dxa"/>
          </w:tcPr>
          <w:p w14:paraId="71F6BD40" w14:textId="77777777" w:rsidR="005A5957" w:rsidRPr="009F74EC" w:rsidRDefault="005A5957" w:rsidP="00C30F9D">
            <w:pPr>
              <w:jc w:val="left"/>
              <w:rPr>
                <w:rFonts w:cs="Arial"/>
                <w:sz w:val="16"/>
                <w:szCs w:val="16"/>
              </w:rPr>
            </w:pPr>
            <w:r w:rsidRPr="009F74EC">
              <w:rPr>
                <w:rFonts w:cs="Arial"/>
                <w:sz w:val="16"/>
                <w:szCs w:val="16"/>
              </w:rPr>
              <w:t xml:space="preserve">DAR, </w:t>
            </w:r>
            <w:proofErr w:type="spellStart"/>
            <w:r w:rsidRPr="009F74EC">
              <w:rPr>
                <w:rFonts w:cs="Arial"/>
                <w:sz w:val="16"/>
                <w:szCs w:val="16"/>
              </w:rPr>
              <w:t>Yezin</w:t>
            </w:r>
            <w:proofErr w:type="spellEnd"/>
            <w:r w:rsidRPr="009F74EC">
              <w:rPr>
                <w:rFonts w:cs="Arial"/>
                <w:sz w:val="16"/>
                <w:szCs w:val="16"/>
              </w:rPr>
              <w:t xml:space="preserve">, </w:t>
            </w:r>
            <w:proofErr w:type="spellStart"/>
            <w:r w:rsidRPr="009F74EC">
              <w:rPr>
                <w:rFonts w:cs="Arial"/>
                <w:sz w:val="16"/>
                <w:szCs w:val="16"/>
              </w:rPr>
              <w:t>Naypyitaw</w:t>
            </w:r>
            <w:proofErr w:type="spellEnd"/>
            <w:r w:rsidRPr="009F74EC">
              <w:rPr>
                <w:rFonts w:cs="Arial"/>
                <w:sz w:val="16"/>
                <w:szCs w:val="16"/>
              </w:rPr>
              <w:t>, Myanmar</w:t>
            </w:r>
          </w:p>
        </w:tc>
        <w:tc>
          <w:tcPr>
            <w:tcW w:w="1701" w:type="dxa"/>
          </w:tcPr>
          <w:p w14:paraId="21C7349E" w14:textId="77777777" w:rsidR="005A5957" w:rsidRPr="009F74EC" w:rsidRDefault="005A5957" w:rsidP="00C30F9D">
            <w:pPr>
              <w:jc w:val="left"/>
              <w:rPr>
                <w:rFonts w:cs="Arial"/>
                <w:sz w:val="16"/>
                <w:szCs w:val="16"/>
              </w:rPr>
            </w:pPr>
            <w:r w:rsidRPr="009F74EC">
              <w:rPr>
                <w:rFonts w:cs="Arial"/>
                <w:bCs/>
                <w:sz w:val="16"/>
                <w:szCs w:val="16"/>
              </w:rPr>
              <w:t>organizado conjuntamente por la UPOV, MAFF Japón, MOAI Myanmar</w:t>
            </w:r>
          </w:p>
        </w:tc>
        <w:tc>
          <w:tcPr>
            <w:tcW w:w="2552" w:type="dxa"/>
          </w:tcPr>
          <w:p w14:paraId="723A4851" w14:textId="0657B126" w:rsidR="005A5957" w:rsidRPr="009F74EC" w:rsidRDefault="005A5957" w:rsidP="00C30F9D">
            <w:pPr>
              <w:jc w:val="left"/>
              <w:rPr>
                <w:rFonts w:cs="Arial"/>
                <w:sz w:val="16"/>
                <w:szCs w:val="16"/>
              </w:rPr>
            </w:pPr>
            <w:r w:rsidRPr="009F74EC">
              <w:rPr>
                <w:rFonts w:cs="Arial"/>
                <w:sz w:val="16"/>
                <w:szCs w:val="16"/>
              </w:rPr>
              <w:t>10 Reunión del foro de la EAPVP como anfitrión</w:t>
            </w:r>
          </w:p>
          <w:p w14:paraId="40F55119" w14:textId="77777777" w:rsidR="005A5957" w:rsidRPr="009F74EC" w:rsidRDefault="005A5957" w:rsidP="00C30F9D">
            <w:pPr>
              <w:jc w:val="left"/>
              <w:rPr>
                <w:rFonts w:cs="Arial"/>
                <w:sz w:val="16"/>
                <w:szCs w:val="16"/>
              </w:rPr>
            </w:pPr>
          </w:p>
        </w:tc>
        <w:tc>
          <w:tcPr>
            <w:tcW w:w="2126" w:type="dxa"/>
          </w:tcPr>
          <w:p w14:paraId="1E3507B9" w14:textId="77777777" w:rsidR="005A5957" w:rsidRPr="009F74EC" w:rsidRDefault="005A5957" w:rsidP="00C30F9D">
            <w:pPr>
              <w:jc w:val="left"/>
              <w:rPr>
                <w:rFonts w:cs="Arial"/>
                <w:sz w:val="16"/>
                <w:szCs w:val="16"/>
              </w:rPr>
            </w:pPr>
            <w:r w:rsidRPr="009F74EC">
              <w:rPr>
                <w:rFonts w:cs="Arial"/>
                <w:sz w:val="16"/>
                <w:szCs w:val="16"/>
              </w:rPr>
              <w:t xml:space="preserve">Todos los delegados del EAPVP, UPOV, OCVV, Naktuinbouw y participantes locales (100) </w:t>
            </w:r>
          </w:p>
        </w:tc>
      </w:tr>
      <w:tr w:rsidR="005A5957" w:rsidRPr="009F74EC" w14:paraId="5E902BA4" w14:textId="77777777" w:rsidTr="00AD5CA2">
        <w:tc>
          <w:tcPr>
            <w:tcW w:w="1413" w:type="dxa"/>
          </w:tcPr>
          <w:p w14:paraId="10835C8D" w14:textId="77777777" w:rsidR="005A5957" w:rsidRPr="009F74EC" w:rsidRDefault="005A5957" w:rsidP="00C30F9D">
            <w:pPr>
              <w:jc w:val="left"/>
              <w:rPr>
                <w:rFonts w:cs="Arial"/>
                <w:sz w:val="16"/>
                <w:szCs w:val="16"/>
              </w:rPr>
            </w:pPr>
            <w:r w:rsidRPr="009F74EC">
              <w:rPr>
                <w:rFonts w:cs="Arial"/>
                <w:sz w:val="16"/>
                <w:szCs w:val="16"/>
              </w:rPr>
              <w:lastRenderedPageBreak/>
              <w:t>4. Seminario de sensibilización sobre la PVV</w:t>
            </w:r>
          </w:p>
        </w:tc>
        <w:tc>
          <w:tcPr>
            <w:tcW w:w="992" w:type="dxa"/>
          </w:tcPr>
          <w:p w14:paraId="1A823E27" w14:textId="77777777" w:rsidR="005A5957" w:rsidRPr="009F74EC" w:rsidRDefault="005A5957" w:rsidP="00C30F9D">
            <w:pPr>
              <w:jc w:val="left"/>
              <w:rPr>
                <w:rFonts w:cs="Arial"/>
                <w:sz w:val="16"/>
                <w:szCs w:val="16"/>
              </w:rPr>
            </w:pPr>
            <w:r w:rsidRPr="009F74EC">
              <w:rPr>
                <w:rFonts w:cs="Arial"/>
                <w:sz w:val="16"/>
                <w:szCs w:val="16"/>
              </w:rPr>
              <w:t>11.9.2017</w:t>
            </w:r>
          </w:p>
        </w:tc>
        <w:tc>
          <w:tcPr>
            <w:tcW w:w="1134" w:type="dxa"/>
          </w:tcPr>
          <w:p w14:paraId="11972919" w14:textId="77777777" w:rsidR="005A5957" w:rsidRPr="009F74EC" w:rsidRDefault="005A5957" w:rsidP="00C30F9D">
            <w:pPr>
              <w:jc w:val="left"/>
              <w:rPr>
                <w:rFonts w:cs="Arial"/>
                <w:sz w:val="16"/>
                <w:szCs w:val="16"/>
              </w:rPr>
            </w:pPr>
            <w:r w:rsidRPr="009F74EC">
              <w:rPr>
                <w:rFonts w:cs="Arial"/>
                <w:sz w:val="16"/>
                <w:szCs w:val="16"/>
              </w:rPr>
              <w:t xml:space="preserve">DAR, </w:t>
            </w:r>
            <w:proofErr w:type="spellStart"/>
            <w:r w:rsidRPr="009F74EC">
              <w:rPr>
                <w:rFonts w:cs="Arial"/>
                <w:sz w:val="16"/>
                <w:szCs w:val="16"/>
              </w:rPr>
              <w:t>Yezin</w:t>
            </w:r>
            <w:proofErr w:type="spellEnd"/>
            <w:r w:rsidRPr="009F74EC">
              <w:rPr>
                <w:rFonts w:cs="Arial"/>
                <w:sz w:val="16"/>
                <w:szCs w:val="16"/>
              </w:rPr>
              <w:t xml:space="preserve"> </w:t>
            </w:r>
            <w:proofErr w:type="spellStart"/>
            <w:r w:rsidRPr="009F74EC">
              <w:rPr>
                <w:rFonts w:cs="Arial"/>
                <w:sz w:val="16"/>
                <w:szCs w:val="16"/>
              </w:rPr>
              <w:t>Naypyitaw</w:t>
            </w:r>
            <w:proofErr w:type="spellEnd"/>
            <w:r w:rsidRPr="009F74EC">
              <w:rPr>
                <w:rFonts w:cs="Arial"/>
                <w:sz w:val="16"/>
                <w:szCs w:val="16"/>
              </w:rPr>
              <w:t>, Myanmar</w:t>
            </w:r>
          </w:p>
        </w:tc>
        <w:tc>
          <w:tcPr>
            <w:tcW w:w="1701" w:type="dxa"/>
          </w:tcPr>
          <w:p w14:paraId="6F107022" w14:textId="77777777" w:rsidR="005A5957" w:rsidRPr="009F74EC" w:rsidRDefault="005A5957" w:rsidP="00C30F9D">
            <w:pPr>
              <w:jc w:val="left"/>
              <w:rPr>
                <w:rFonts w:cs="Arial"/>
                <w:sz w:val="16"/>
                <w:szCs w:val="16"/>
              </w:rPr>
            </w:pPr>
            <w:r w:rsidRPr="009F74EC">
              <w:rPr>
                <w:rFonts w:cs="Arial"/>
                <w:bCs/>
                <w:sz w:val="16"/>
                <w:szCs w:val="16"/>
              </w:rPr>
              <w:t>organizado conjuntamente por la UPOV, MAFF Japón, MOAI Myanmar</w:t>
            </w:r>
          </w:p>
        </w:tc>
        <w:tc>
          <w:tcPr>
            <w:tcW w:w="2552" w:type="dxa"/>
          </w:tcPr>
          <w:p w14:paraId="64AAB033" w14:textId="77777777" w:rsidR="005A5957" w:rsidRPr="009F74EC" w:rsidRDefault="005A5957" w:rsidP="00C30F9D">
            <w:pPr>
              <w:jc w:val="left"/>
              <w:rPr>
                <w:rFonts w:cs="Arial"/>
                <w:sz w:val="16"/>
                <w:szCs w:val="16"/>
              </w:rPr>
            </w:pPr>
            <w:r w:rsidRPr="009F74EC">
              <w:rPr>
                <w:rFonts w:cs="Arial"/>
                <w:sz w:val="16"/>
                <w:szCs w:val="16"/>
              </w:rPr>
              <w:t>Dar a conocer el sistema de protección de las obtenciones vegetales a las distintas partes interesadas de Myanmar</w:t>
            </w:r>
          </w:p>
        </w:tc>
        <w:tc>
          <w:tcPr>
            <w:tcW w:w="2126" w:type="dxa"/>
          </w:tcPr>
          <w:p w14:paraId="03368B71" w14:textId="77777777" w:rsidR="005A5957" w:rsidRPr="009F74EC" w:rsidRDefault="005A5957" w:rsidP="00C30F9D">
            <w:pPr>
              <w:jc w:val="left"/>
              <w:rPr>
                <w:rFonts w:cs="Arial"/>
                <w:sz w:val="16"/>
                <w:szCs w:val="16"/>
              </w:rPr>
            </w:pPr>
            <w:r w:rsidRPr="009F74EC">
              <w:rPr>
                <w:rFonts w:cs="Arial"/>
                <w:sz w:val="16"/>
                <w:szCs w:val="16"/>
              </w:rPr>
              <w:t>Todos los delegados del EAPVP, UPOV, OCVV, Naktuinbouw y participantes locales (100)</w:t>
            </w:r>
          </w:p>
        </w:tc>
      </w:tr>
      <w:tr w:rsidR="005A5957" w:rsidRPr="009F74EC" w14:paraId="2B9AAB55" w14:textId="77777777" w:rsidTr="00AD5CA2">
        <w:tc>
          <w:tcPr>
            <w:tcW w:w="1413" w:type="dxa"/>
          </w:tcPr>
          <w:p w14:paraId="5BE71842" w14:textId="77777777" w:rsidR="005A5957" w:rsidRPr="009F74EC" w:rsidRDefault="005A5957" w:rsidP="00C30F9D">
            <w:pPr>
              <w:jc w:val="left"/>
              <w:rPr>
                <w:rFonts w:cs="Arial"/>
                <w:sz w:val="16"/>
                <w:szCs w:val="16"/>
              </w:rPr>
            </w:pPr>
            <w:r w:rsidRPr="009F74EC">
              <w:rPr>
                <w:rFonts w:cs="Arial"/>
                <w:sz w:val="16"/>
                <w:szCs w:val="16"/>
              </w:rPr>
              <w:t xml:space="preserve">5. </w:t>
            </w:r>
            <w:r w:rsidRPr="009F74EC">
              <w:rPr>
                <w:rFonts w:cs="Arial"/>
                <w:bCs/>
                <w:sz w:val="16"/>
                <w:szCs w:val="16"/>
              </w:rPr>
              <w:t>Curso de formación en el país sobre directrices técnicas para el maíz</w:t>
            </w:r>
          </w:p>
        </w:tc>
        <w:tc>
          <w:tcPr>
            <w:tcW w:w="992" w:type="dxa"/>
          </w:tcPr>
          <w:p w14:paraId="4B9A791D" w14:textId="77777777" w:rsidR="005A5957" w:rsidRPr="009F74EC" w:rsidRDefault="005A5957" w:rsidP="00C30F9D">
            <w:pPr>
              <w:jc w:val="left"/>
              <w:rPr>
                <w:rFonts w:cs="Arial"/>
                <w:bCs/>
                <w:sz w:val="16"/>
                <w:szCs w:val="16"/>
              </w:rPr>
            </w:pPr>
            <w:r w:rsidRPr="009F74EC">
              <w:rPr>
                <w:rFonts w:cs="Arial"/>
                <w:bCs/>
                <w:sz w:val="16"/>
                <w:szCs w:val="16"/>
              </w:rPr>
              <w:t>22.1.2018-</w:t>
            </w:r>
          </w:p>
          <w:p w14:paraId="00251EE9" w14:textId="77777777" w:rsidR="005A5957" w:rsidRPr="009F74EC" w:rsidRDefault="005A5957" w:rsidP="00C30F9D">
            <w:pPr>
              <w:jc w:val="left"/>
              <w:rPr>
                <w:rFonts w:cs="Arial"/>
                <w:sz w:val="16"/>
                <w:szCs w:val="16"/>
              </w:rPr>
            </w:pPr>
            <w:r w:rsidRPr="009F74EC">
              <w:rPr>
                <w:rFonts w:cs="Arial"/>
                <w:bCs/>
                <w:sz w:val="16"/>
                <w:szCs w:val="16"/>
              </w:rPr>
              <w:t>26.1.2018</w:t>
            </w:r>
          </w:p>
        </w:tc>
        <w:tc>
          <w:tcPr>
            <w:tcW w:w="1134" w:type="dxa"/>
          </w:tcPr>
          <w:p w14:paraId="2B1F8E2A" w14:textId="77777777" w:rsidR="005A5957" w:rsidRPr="009F74EC" w:rsidRDefault="005A5957" w:rsidP="00C30F9D">
            <w:pPr>
              <w:jc w:val="left"/>
              <w:rPr>
                <w:rFonts w:cs="Arial"/>
                <w:sz w:val="16"/>
                <w:szCs w:val="16"/>
              </w:rPr>
            </w:pPr>
            <w:r w:rsidRPr="009F74EC">
              <w:rPr>
                <w:rFonts w:cs="Arial"/>
                <w:bCs/>
                <w:sz w:val="16"/>
                <w:szCs w:val="16"/>
              </w:rPr>
              <w:t xml:space="preserve">DAR, </w:t>
            </w:r>
            <w:proofErr w:type="spellStart"/>
            <w:r w:rsidRPr="009F74EC">
              <w:rPr>
                <w:rFonts w:cs="Arial"/>
                <w:bCs/>
                <w:sz w:val="16"/>
                <w:szCs w:val="16"/>
              </w:rPr>
              <w:t>Yezin</w:t>
            </w:r>
            <w:proofErr w:type="spellEnd"/>
            <w:r w:rsidRPr="009F74EC">
              <w:rPr>
                <w:rFonts w:cs="Arial"/>
                <w:bCs/>
                <w:sz w:val="16"/>
                <w:szCs w:val="16"/>
              </w:rPr>
              <w:t xml:space="preserve">, </w:t>
            </w:r>
            <w:proofErr w:type="spellStart"/>
            <w:r w:rsidRPr="009F74EC">
              <w:rPr>
                <w:rFonts w:cs="Arial"/>
                <w:bCs/>
                <w:sz w:val="16"/>
                <w:szCs w:val="16"/>
              </w:rPr>
              <w:t>Naypyitaw</w:t>
            </w:r>
            <w:proofErr w:type="spellEnd"/>
            <w:r w:rsidRPr="009F74EC">
              <w:rPr>
                <w:rFonts w:cs="Arial"/>
                <w:bCs/>
                <w:sz w:val="16"/>
                <w:szCs w:val="16"/>
              </w:rPr>
              <w:t>, Myanmar</w:t>
            </w:r>
          </w:p>
        </w:tc>
        <w:tc>
          <w:tcPr>
            <w:tcW w:w="1701" w:type="dxa"/>
          </w:tcPr>
          <w:p w14:paraId="749D999A" w14:textId="77777777" w:rsidR="005A5957" w:rsidRPr="009F74EC" w:rsidRDefault="005A5957" w:rsidP="00C30F9D">
            <w:pPr>
              <w:jc w:val="left"/>
              <w:rPr>
                <w:rFonts w:cs="Arial"/>
                <w:sz w:val="16"/>
                <w:szCs w:val="16"/>
              </w:rPr>
            </w:pPr>
            <w:r w:rsidRPr="009F74EC">
              <w:rPr>
                <w:rFonts w:cs="Arial"/>
                <w:bCs/>
                <w:sz w:val="16"/>
                <w:szCs w:val="16"/>
              </w:rPr>
              <w:t xml:space="preserve">organizado por </w:t>
            </w:r>
            <w:r w:rsidRPr="009F74EC">
              <w:rPr>
                <w:rFonts w:cs="Arial"/>
                <w:bCs/>
                <w:sz w:val="16"/>
                <w:szCs w:val="16"/>
              </w:rPr>
              <w:br/>
              <w:t xml:space="preserve">DAR, MOALI, Myanmar </w:t>
            </w:r>
            <w:r w:rsidRPr="009F74EC">
              <w:rPr>
                <w:rFonts w:cs="Arial"/>
                <w:bCs/>
                <w:sz w:val="16"/>
                <w:szCs w:val="16"/>
              </w:rPr>
              <w:br/>
              <w:t xml:space="preserve">en cooperación con </w:t>
            </w:r>
            <w:r w:rsidRPr="009F74EC">
              <w:rPr>
                <w:rFonts w:cs="Arial"/>
                <w:bCs/>
                <w:sz w:val="16"/>
                <w:szCs w:val="16"/>
              </w:rPr>
              <w:br/>
              <w:t>(MAFF), Japón</w:t>
            </w:r>
          </w:p>
        </w:tc>
        <w:tc>
          <w:tcPr>
            <w:tcW w:w="2552" w:type="dxa"/>
          </w:tcPr>
          <w:p w14:paraId="5D1AA7F3" w14:textId="77777777" w:rsidR="005A5957" w:rsidRPr="009F74EC" w:rsidRDefault="005A5957" w:rsidP="00C30F9D">
            <w:pPr>
              <w:jc w:val="left"/>
              <w:rPr>
                <w:rFonts w:cs="Arial"/>
                <w:sz w:val="16"/>
                <w:szCs w:val="16"/>
              </w:rPr>
            </w:pPr>
            <w:r w:rsidRPr="009F74EC">
              <w:rPr>
                <w:rFonts w:cs="Arial"/>
                <w:sz w:val="16"/>
                <w:szCs w:val="16"/>
              </w:rPr>
              <w:t>Conocer la preparación de los TG para el examen DHE</w:t>
            </w:r>
          </w:p>
        </w:tc>
        <w:tc>
          <w:tcPr>
            <w:tcW w:w="2126" w:type="dxa"/>
          </w:tcPr>
          <w:p w14:paraId="62A9EA9E" w14:textId="77777777" w:rsidR="005A5957" w:rsidRPr="009F74EC" w:rsidRDefault="005A5957" w:rsidP="00C30F9D">
            <w:pPr>
              <w:jc w:val="left"/>
              <w:rPr>
                <w:rFonts w:cs="Arial"/>
                <w:sz w:val="16"/>
                <w:szCs w:val="16"/>
              </w:rPr>
            </w:pPr>
            <w:r w:rsidRPr="009F74EC">
              <w:rPr>
                <w:rFonts w:cs="Arial"/>
                <w:sz w:val="16"/>
                <w:szCs w:val="16"/>
              </w:rPr>
              <w:t xml:space="preserve">Expertos de Viet </w:t>
            </w:r>
            <w:proofErr w:type="spellStart"/>
            <w:r w:rsidRPr="009F74EC">
              <w:rPr>
                <w:rFonts w:cs="Arial"/>
                <w:sz w:val="16"/>
                <w:szCs w:val="16"/>
              </w:rPr>
              <w:t>Nam</w:t>
            </w:r>
            <w:proofErr w:type="spellEnd"/>
            <w:r w:rsidRPr="009F74EC">
              <w:rPr>
                <w:rFonts w:cs="Arial"/>
                <w:sz w:val="16"/>
                <w:szCs w:val="16"/>
              </w:rPr>
              <w:t xml:space="preserve"> y Japón y participantes locales (30)</w:t>
            </w:r>
          </w:p>
        </w:tc>
      </w:tr>
      <w:tr w:rsidR="005A5957" w:rsidRPr="009F74EC" w14:paraId="2457F9CD" w14:textId="77777777" w:rsidTr="00AD5CA2">
        <w:tc>
          <w:tcPr>
            <w:tcW w:w="1413" w:type="dxa"/>
          </w:tcPr>
          <w:p w14:paraId="67AB9FFD" w14:textId="77777777" w:rsidR="005A5957" w:rsidRPr="009F74EC" w:rsidRDefault="005A5957" w:rsidP="00C30F9D">
            <w:pPr>
              <w:jc w:val="left"/>
              <w:rPr>
                <w:rFonts w:cs="Arial"/>
                <w:sz w:val="16"/>
                <w:szCs w:val="16"/>
              </w:rPr>
            </w:pPr>
            <w:r w:rsidRPr="009F74EC">
              <w:rPr>
                <w:rFonts w:cs="Arial"/>
                <w:bCs/>
                <w:sz w:val="16"/>
                <w:szCs w:val="16"/>
              </w:rPr>
              <w:t xml:space="preserve">6. Formación sobre protección de las obtenciones vegetales </w:t>
            </w:r>
          </w:p>
        </w:tc>
        <w:tc>
          <w:tcPr>
            <w:tcW w:w="992" w:type="dxa"/>
          </w:tcPr>
          <w:p w14:paraId="3E258B05" w14:textId="77777777" w:rsidR="005A5957" w:rsidRPr="009F74EC" w:rsidRDefault="005A5957" w:rsidP="00C30F9D">
            <w:pPr>
              <w:jc w:val="left"/>
              <w:rPr>
                <w:rFonts w:cs="Arial"/>
                <w:bCs/>
                <w:sz w:val="16"/>
                <w:szCs w:val="16"/>
              </w:rPr>
            </w:pPr>
            <w:r w:rsidRPr="009F74EC">
              <w:rPr>
                <w:rFonts w:cs="Arial"/>
                <w:bCs/>
                <w:sz w:val="16"/>
                <w:szCs w:val="16"/>
              </w:rPr>
              <w:t>16.1.2017-</w:t>
            </w:r>
          </w:p>
          <w:p w14:paraId="41531E0D" w14:textId="77777777" w:rsidR="005A5957" w:rsidRPr="009F74EC" w:rsidRDefault="005A5957" w:rsidP="00C30F9D">
            <w:pPr>
              <w:jc w:val="left"/>
              <w:rPr>
                <w:rFonts w:cs="Arial"/>
                <w:bCs/>
                <w:sz w:val="16"/>
                <w:szCs w:val="16"/>
              </w:rPr>
            </w:pPr>
            <w:r w:rsidRPr="009F74EC">
              <w:rPr>
                <w:rFonts w:cs="Arial"/>
                <w:bCs/>
                <w:sz w:val="16"/>
                <w:szCs w:val="16"/>
              </w:rPr>
              <w:t>27.1.2027</w:t>
            </w:r>
          </w:p>
        </w:tc>
        <w:tc>
          <w:tcPr>
            <w:tcW w:w="1134" w:type="dxa"/>
          </w:tcPr>
          <w:p w14:paraId="2CB4AD65" w14:textId="77777777" w:rsidR="005A5957" w:rsidRPr="009F74EC" w:rsidRDefault="005A5957" w:rsidP="00C30F9D">
            <w:pPr>
              <w:jc w:val="left"/>
              <w:rPr>
                <w:rFonts w:cs="Arial"/>
                <w:bCs/>
                <w:sz w:val="16"/>
                <w:szCs w:val="16"/>
              </w:rPr>
            </w:pPr>
            <w:r w:rsidRPr="009F74EC">
              <w:rPr>
                <w:rFonts w:cs="Arial"/>
                <w:bCs/>
                <w:sz w:val="16"/>
                <w:szCs w:val="16"/>
              </w:rPr>
              <w:t xml:space="preserve">DAR, </w:t>
            </w:r>
            <w:proofErr w:type="spellStart"/>
            <w:r w:rsidRPr="009F74EC">
              <w:rPr>
                <w:rFonts w:cs="Arial"/>
                <w:bCs/>
                <w:sz w:val="16"/>
                <w:szCs w:val="16"/>
              </w:rPr>
              <w:t>Yezin</w:t>
            </w:r>
            <w:proofErr w:type="spellEnd"/>
            <w:r w:rsidRPr="009F74EC">
              <w:rPr>
                <w:rFonts w:cs="Arial"/>
                <w:bCs/>
                <w:sz w:val="16"/>
                <w:szCs w:val="16"/>
              </w:rPr>
              <w:t xml:space="preserve">, </w:t>
            </w:r>
            <w:proofErr w:type="spellStart"/>
            <w:r w:rsidRPr="009F74EC">
              <w:rPr>
                <w:rFonts w:cs="Arial"/>
                <w:bCs/>
                <w:sz w:val="16"/>
                <w:szCs w:val="16"/>
              </w:rPr>
              <w:t>Naypyiaw</w:t>
            </w:r>
            <w:proofErr w:type="spellEnd"/>
            <w:r w:rsidRPr="009F74EC">
              <w:rPr>
                <w:rFonts w:cs="Arial"/>
                <w:bCs/>
                <w:sz w:val="16"/>
                <w:szCs w:val="16"/>
              </w:rPr>
              <w:t>, Myanmar</w:t>
            </w:r>
          </w:p>
        </w:tc>
        <w:tc>
          <w:tcPr>
            <w:tcW w:w="1701" w:type="dxa"/>
          </w:tcPr>
          <w:p w14:paraId="2A6CB8E9" w14:textId="77777777" w:rsidR="005A5957" w:rsidRPr="009F74EC" w:rsidRDefault="005A5957" w:rsidP="00C30F9D">
            <w:pPr>
              <w:jc w:val="left"/>
              <w:rPr>
                <w:rFonts w:cs="Arial"/>
                <w:bCs/>
                <w:sz w:val="16"/>
                <w:szCs w:val="16"/>
              </w:rPr>
            </w:pPr>
            <w:r w:rsidRPr="009F74EC">
              <w:rPr>
                <w:rFonts w:cs="Arial"/>
                <w:bCs/>
                <w:sz w:val="16"/>
                <w:szCs w:val="16"/>
              </w:rPr>
              <w:t xml:space="preserve">organizado por </w:t>
            </w:r>
            <w:r w:rsidRPr="009F74EC">
              <w:rPr>
                <w:rFonts w:cs="Arial"/>
                <w:bCs/>
                <w:sz w:val="16"/>
                <w:szCs w:val="16"/>
              </w:rPr>
              <w:br/>
              <w:t xml:space="preserve">DAR, MOALI, Myanmar </w:t>
            </w:r>
            <w:r w:rsidRPr="009F74EC">
              <w:rPr>
                <w:rFonts w:cs="Arial"/>
                <w:bCs/>
                <w:sz w:val="16"/>
                <w:szCs w:val="16"/>
              </w:rPr>
              <w:br/>
              <w:t>en cooperación con Naktuinbouw (Países Bajos)</w:t>
            </w:r>
          </w:p>
        </w:tc>
        <w:tc>
          <w:tcPr>
            <w:tcW w:w="2552" w:type="dxa"/>
          </w:tcPr>
          <w:p w14:paraId="27FE857B" w14:textId="77777777" w:rsidR="005A5957" w:rsidRPr="009F74EC" w:rsidRDefault="005A5957" w:rsidP="00C30F9D">
            <w:pPr>
              <w:jc w:val="left"/>
              <w:rPr>
                <w:rFonts w:cs="Arial"/>
                <w:sz w:val="16"/>
                <w:szCs w:val="16"/>
              </w:rPr>
            </w:pPr>
            <w:r w:rsidRPr="009F74EC">
              <w:rPr>
                <w:rFonts w:cs="Arial"/>
                <w:sz w:val="16"/>
                <w:szCs w:val="16"/>
              </w:rPr>
              <w:t>Adquirir conocimientos administrativos y técnicos sobre el sistema de protección de las obtenciones vegetales</w:t>
            </w:r>
          </w:p>
        </w:tc>
        <w:tc>
          <w:tcPr>
            <w:tcW w:w="2126" w:type="dxa"/>
          </w:tcPr>
          <w:p w14:paraId="6A539A6B" w14:textId="77777777" w:rsidR="005A5957" w:rsidRPr="009F74EC" w:rsidRDefault="005A5957" w:rsidP="00C30F9D">
            <w:pPr>
              <w:jc w:val="left"/>
              <w:rPr>
                <w:rFonts w:cs="Arial"/>
                <w:sz w:val="16"/>
                <w:szCs w:val="16"/>
              </w:rPr>
            </w:pPr>
            <w:r w:rsidRPr="009F74EC">
              <w:rPr>
                <w:rFonts w:cs="Arial"/>
                <w:sz w:val="16"/>
                <w:szCs w:val="16"/>
              </w:rPr>
              <w:t>Países Bajos y expertos y participantes locales (25)</w:t>
            </w:r>
          </w:p>
        </w:tc>
      </w:tr>
      <w:tr w:rsidR="005A5957" w:rsidRPr="009F74EC" w14:paraId="141B0725" w14:textId="77777777" w:rsidTr="00AD5CA2">
        <w:tc>
          <w:tcPr>
            <w:tcW w:w="1413" w:type="dxa"/>
          </w:tcPr>
          <w:p w14:paraId="5E16FBC5" w14:textId="77777777" w:rsidR="005A5957" w:rsidRPr="009F74EC" w:rsidRDefault="005A5957" w:rsidP="00C30F9D">
            <w:pPr>
              <w:jc w:val="left"/>
              <w:rPr>
                <w:rFonts w:cs="Arial"/>
                <w:bCs/>
                <w:sz w:val="16"/>
                <w:szCs w:val="16"/>
              </w:rPr>
            </w:pPr>
            <w:r w:rsidRPr="009F74EC">
              <w:rPr>
                <w:rFonts w:cs="Arial"/>
                <w:bCs/>
                <w:sz w:val="16"/>
                <w:szCs w:val="16"/>
              </w:rPr>
              <w:t xml:space="preserve">7. Taller para aumentar la concienciación inclusiva de las partes interesadas sobre </w:t>
            </w:r>
            <w:r w:rsidRPr="009F74EC">
              <w:rPr>
                <w:rFonts w:cs="Arial"/>
                <w:bCs/>
                <w:sz w:val="16"/>
                <w:szCs w:val="16"/>
              </w:rPr>
              <w:br/>
              <w:t xml:space="preserve">la PVV - Avanzando en Myanmar </w:t>
            </w:r>
          </w:p>
        </w:tc>
        <w:tc>
          <w:tcPr>
            <w:tcW w:w="992" w:type="dxa"/>
          </w:tcPr>
          <w:p w14:paraId="32C5ADA7" w14:textId="77777777" w:rsidR="005A5957" w:rsidRPr="009F74EC" w:rsidRDefault="005A5957" w:rsidP="00C30F9D">
            <w:pPr>
              <w:jc w:val="left"/>
              <w:rPr>
                <w:rFonts w:cs="Arial"/>
                <w:bCs/>
                <w:sz w:val="16"/>
                <w:szCs w:val="16"/>
              </w:rPr>
            </w:pPr>
            <w:r w:rsidRPr="009F74EC">
              <w:rPr>
                <w:rFonts w:cs="Arial"/>
                <w:bCs/>
                <w:sz w:val="16"/>
                <w:szCs w:val="16"/>
              </w:rPr>
              <w:t>12.3.2019</w:t>
            </w:r>
          </w:p>
        </w:tc>
        <w:tc>
          <w:tcPr>
            <w:tcW w:w="1134" w:type="dxa"/>
          </w:tcPr>
          <w:p w14:paraId="64A3A786" w14:textId="77777777" w:rsidR="005A5957" w:rsidRPr="009F74EC" w:rsidRDefault="005A5957" w:rsidP="00C30F9D">
            <w:pPr>
              <w:jc w:val="left"/>
              <w:rPr>
                <w:rFonts w:cs="Arial"/>
                <w:bCs/>
                <w:sz w:val="16"/>
                <w:szCs w:val="16"/>
              </w:rPr>
            </w:pPr>
            <w:r w:rsidRPr="009F74EC">
              <w:rPr>
                <w:rFonts w:cs="Arial"/>
                <w:bCs/>
                <w:sz w:val="16"/>
                <w:szCs w:val="16"/>
              </w:rPr>
              <w:t xml:space="preserve">Hotel Royal </w:t>
            </w:r>
            <w:proofErr w:type="spellStart"/>
            <w:r w:rsidRPr="009F74EC">
              <w:rPr>
                <w:rFonts w:cs="Arial"/>
                <w:bCs/>
                <w:sz w:val="16"/>
                <w:szCs w:val="16"/>
              </w:rPr>
              <w:t>Classis</w:t>
            </w:r>
            <w:proofErr w:type="spellEnd"/>
            <w:r w:rsidRPr="009F74EC">
              <w:rPr>
                <w:rFonts w:cs="Arial"/>
                <w:bCs/>
                <w:sz w:val="16"/>
                <w:szCs w:val="16"/>
              </w:rPr>
              <w:t xml:space="preserve">, </w:t>
            </w:r>
            <w:proofErr w:type="spellStart"/>
            <w:r w:rsidRPr="009F74EC">
              <w:rPr>
                <w:rFonts w:cs="Arial"/>
                <w:bCs/>
                <w:sz w:val="16"/>
                <w:szCs w:val="16"/>
              </w:rPr>
              <w:t>Naypyitaw</w:t>
            </w:r>
            <w:proofErr w:type="spellEnd"/>
            <w:r w:rsidRPr="009F74EC">
              <w:rPr>
                <w:rFonts w:cs="Arial"/>
                <w:bCs/>
                <w:sz w:val="16"/>
                <w:szCs w:val="16"/>
              </w:rPr>
              <w:t>, Myanmar</w:t>
            </w:r>
          </w:p>
        </w:tc>
        <w:tc>
          <w:tcPr>
            <w:tcW w:w="1701" w:type="dxa"/>
          </w:tcPr>
          <w:p w14:paraId="755EA0EF" w14:textId="77777777" w:rsidR="005A5957" w:rsidRPr="009F74EC" w:rsidRDefault="005A5957" w:rsidP="00C30F9D">
            <w:pPr>
              <w:jc w:val="left"/>
              <w:rPr>
                <w:rFonts w:cs="Arial"/>
                <w:bCs/>
                <w:sz w:val="16"/>
                <w:szCs w:val="16"/>
              </w:rPr>
            </w:pPr>
            <w:r w:rsidRPr="009F74EC">
              <w:rPr>
                <w:rFonts w:cs="Arial"/>
                <w:bCs/>
                <w:sz w:val="16"/>
                <w:szCs w:val="16"/>
              </w:rPr>
              <w:t xml:space="preserve">organizado conjuntamente por DAR y la fundación </w:t>
            </w:r>
            <w:proofErr w:type="spellStart"/>
            <w:r w:rsidRPr="009F74EC">
              <w:rPr>
                <w:rFonts w:cs="Arial"/>
                <w:bCs/>
                <w:sz w:val="16"/>
                <w:szCs w:val="16"/>
              </w:rPr>
              <w:t>Singenta</w:t>
            </w:r>
            <w:proofErr w:type="spellEnd"/>
            <w:r w:rsidRPr="009F74EC">
              <w:rPr>
                <w:rFonts w:cs="Arial"/>
                <w:bCs/>
                <w:sz w:val="16"/>
                <w:szCs w:val="16"/>
              </w:rPr>
              <w:t xml:space="preserve"> </w:t>
            </w:r>
          </w:p>
        </w:tc>
        <w:tc>
          <w:tcPr>
            <w:tcW w:w="2552" w:type="dxa"/>
          </w:tcPr>
          <w:p w14:paraId="4A50E82F" w14:textId="77777777" w:rsidR="005A5957" w:rsidRPr="009F74EC" w:rsidRDefault="005A5957" w:rsidP="00C30F9D">
            <w:pPr>
              <w:jc w:val="left"/>
              <w:rPr>
                <w:rFonts w:cs="Arial"/>
                <w:sz w:val="16"/>
                <w:szCs w:val="16"/>
              </w:rPr>
            </w:pPr>
            <w:r w:rsidRPr="009F74EC">
              <w:rPr>
                <w:rFonts w:cs="Arial"/>
                <w:sz w:val="16"/>
                <w:szCs w:val="16"/>
              </w:rPr>
              <w:t>Dar a conocer el sistema de protección de las obtenciones vegetales a las distintas partes interesadas de Myanmar</w:t>
            </w:r>
          </w:p>
        </w:tc>
        <w:tc>
          <w:tcPr>
            <w:tcW w:w="2126" w:type="dxa"/>
          </w:tcPr>
          <w:p w14:paraId="1CE83A8D" w14:textId="77777777" w:rsidR="005A5957" w:rsidRPr="009F74EC" w:rsidRDefault="005A5957" w:rsidP="00C30F9D">
            <w:pPr>
              <w:jc w:val="left"/>
              <w:rPr>
                <w:rFonts w:cs="Arial"/>
                <w:sz w:val="16"/>
                <w:szCs w:val="16"/>
              </w:rPr>
            </w:pPr>
            <w:r w:rsidRPr="009F74EC">
              <w:rPr>
                <w:rFonts w:cs="Arial"/>
                <w:sz w:val="16"/>
                <w:szCs w:val="16"/>
              </w:rPr>
              <w:t>Expertos vietnamitas y locales y participantes locales (70)</w:t>
            </w:r>
          </w:p>
        </w:tc>
      </w:tr>
      <w:tr w:rsidR="005A5957" w:rsidRPr="009F74EC" w14:paraId="6CC51745" w14:textId="77777777" w:rsidTr="00AD5CA2">
        <w:tc>
          <w:tcPr>
            <w:tcW w:w="1413" w:type="dxa"/>
          </w:tcPr>
          <w:p w14:paraId="6BEDDAB3" w14:textId="77777777" w:rsidR="005A5957" w:rsidRPr="009F74EC" w:rsidRDefault="005A5957" w:rsidP="00C30F9D">
            <w:pPr>
              <w:jc w:val="left"/>
              <w:rPr>
                <w:rFonts w:cs="Arial"/>
                <w:bCs/>
                <w:sz w:val="16"/>
                <w:szCs w:val="16"/>
              </w:rPr>
            </w:pPr>
            <w:r w:rsidRPr="009F74EC">
              <w:rPr>
                <w:rFonts w:cs="Arial"/>
                <w:bCs/>
                <w:sz w:val="16"/>
                <w:szCs w:val="16"/>
              </w:rPr>
              <w:t>8. Formación en el país para la creación de variedades de referencia de 14 cultivos seleccionados en el marco del proyecto piloto EAPVP</w:t>
            </w:r>
          </w:p>
        </w:tc>
        <w:tc>
          <w:tcPr>
            <w:tcW w:w="992" w:type="dxa"/>
          </w:tcPr>
          <w:p w14:paraId="1EEBF114" w14:textId="77777777" w:rsidR="005A5957" w:rsidRPr="009F74EC" w:rsidRDefault="005A5957" w:rsidP="00C30F9D">
            <w:pPr>
              <w:jc w:val="left"/>
              <w:rPr>
                <w:rFonts w:cs="Arial"/>
                <w:bCs/>
                <w:sz w:val="16"/>
                <w:szCs w:val="16"/>
              </w:rPr>
            </w:pPr>
            <w:r w:rsidRPr="009F74EC">
              <w:rPr>
                <w:rFonts w:cs="Arial"/>
                <w:bCs/>
                <w:sz w:val="16"/>
                <w:szCs w:val="16"/>
              </w:rPr>
              <w:t>17.7. 2020-</w:t>
            </w:r>
          </w:p>
          <w:p w14:paraId="5C8C3D0B" w14:textId="77777777" w:rsidR="005A5957" w:rsidRPr="009F74EC" w:rsidRDefault="005A5957" w:rsidP="00C30F9D">
            <w:pPr>
              <w:jc w:val="left"/>
              <w:rPr>
                <w:rFonts w:cs="Arial"/>
                <w:bCs/>
                <w:sz w:val="16"/>
                <w:szCs w:val="16"/>
              </w:rPr>
            </w:pPr>
            <w:r w:rsidRPr="009F74EC">
              <w:rPr>
                <w:rFonts w:cs="Arial"/>
                <w:bCs/>
                <w:sz w:val="16"/>
                <w:szCs w:val="16"/>
              </w:rPr>
              <w:t>19.7.2020</w:t>
            </w:r>
          </w:p>
        </w:tc>
        <w:tc>
          <w:tcPr>
            <w:tcW w:w="1134" w:type="dxa"/>
          </w:tcPr>
          <w:p w14:paraId="0B0EB25B" w14:textId="77777777" w:rsidR="005A5957" w:rsidRPr="009F74EC" w:rsidRDefault="005A5957" w:rsidP="00C30F9D">
            <w:pPr>
              <w:jc w:val="left"/>
              <w:rPr>
                <w:rFonts w:cs="Arial"/>
                <w:bCs/>
                <w:sz w:val="16"/>
                <w:szCs w:val="16"/>
              </w:rPr>
            </w:pPr>
            <w:r w:rsidRPr="009F74EC">
              <w:rPr>
                <w:rFonts w:cs="Arial"/>
                <w:bCs/>
                <w:sz w:val="16"/>
                <w:szCs w:val="16"/>
              </w:rPr>
              <w:t xml:space="preserve">DAR, </w:t>
            </w:r>
            <w:proofErr w:type="spellStart"/>
            <w:r w:rsidRPr="009F74EC">
              <w:rPr>
                <w:rFonts w:cs="Arial"/>
                <w:bCs/>
                <w:sz w:val="16"/>
                <w:szCs w:val="16"/>
              </w:rPr>
              <w:t>Yezin</w:t>
            </w:r>
            <w:proofErr w:type="spellEnd"/>
            <w:r w:rsidRPr="009F74EC">
              <w:rPr>
                <w:rFonts w:cs="Arial"/>
                <w:bCs/>
                <w:sz w:val="16"/>
                <w:szCs w:val="16"/>
              </w:rPr>
              <w:t xml:space="preserve">, </w:t>
            </w:r>
            <w:proofErr w:type="spellStart"/>
            <w:r w:rsidRPr="009F74EC">
              <w:rPr>
                <w:rFonts w:cs="Arial"/>
                <w:bCs/>
                <w:sz w:val="16"/>
                <w:szCs w:val="16"/>
              </w:rPr>
              <w:t>Naypyiaw</w:t>
            </w:r>
            <w:proofErr w:type="spellEnd"/>
            <w:r w:rsidRPr="009F74EC">
              <w:rPr>
                <w:rFonts w:cs="Arial"/>
                <w:bCs/>
                <w:sz w:val="16"/>
                <w:szCs w:val="16"/>
              </w:rPr>
              <w:t>, Myanmar</w:t>
            </w:r>
          </w:p>
        </w:tc>
        <w:tc>
          <w:tcPr>
            <w:tcW w:w="1701" w:type="dxa"/>
          </w:tcPr>
          <w:p w14:paraId="4DDCFAFD" w14:textId="77777777" w:rsidR="005A5957" w:rsidRPr="009F74EC" w:rsidRDefault="005A5957" w:rsidP="00C30F9D">
            <w:pPr>
              <w:jc w:val="left"/>
              <w:rPr>
                <w:rFonts w:cs="Arial"/>
                <w:bCs/>
                <w:sz w:val="16"/>
                <w:szCs w:val="16"/>
              </w:rPr>
            </w:pPr>
            <w:r w:rsidRPr="009F74EC">
              <w:rPr>
                <w:rFonts w:cs="Arial"/>
                <w:bCs/>
                <w:sz w:val="16"/>
                <w:szCs w:val="16"/>
              </w:rPr>
              <w:t xml:space="preserve">organizado conjuntamente por DAR y la fundación </w:t>
            </w:r>
            <w:proofErr w:type="spellStart"/>
            <w:r w:rsidRPr="009F74EC">
              <w:rPr>
                <w:rFonts w:cs="Arial"/>
                <w:bCs/>
                <w:sz w:val="16"/>
                <w:szCs w:val="16"/>
              </w:rPr>
              <w:t>Singenta</w:t>
            </w:r>
            <w:proofErr w:type="spellEnd"/>
          </w:p>
        </w:tc>
        <w:tc>
          <w:tcPr>
            <w:tcW w:w="2552" w:type="dxa"/>
          </w:tcPr>
          <w:p w14:paraId="3195A303" w14:textId="77777777" w:rsidR="005A5957" w:rsidRPr="009F74EC" w:rsidRDefault="005A5957" w:rsidP="00C30F9D">
            <w:pPr>
              <w:jc w:val="left"/>
              <w:rPr>
                <w:rFonts w:cs="Arial"/>
                <w:sz w:val="16"/>
                <w:szCs w:val="16"/>
              </w:rPr>
            </w:pPr>
            <w:r w:rsidRPr="009F74EC">
              <w:rPr>
                <w:rFonts w:cs="Arial"/>
                <w:bCs/>
                <w:sz w:val="16"/>
                <w:szCs w:val="16"/>
              </w:rPr>
              <w:t>creación de variedades de referencia de 14 cultivos seleccionados u</w:t>
            </w:r>
          </w:p>
        </w:tc>
        <w:tc>
          <w:tcPr>
            <w:tcW w:w="2126" w:type="dxa"/>
          </w:tcPr>
          <w:p w14:paraId="549B8188" w14:textId="77777777" w:rsidR="005A5957" w:rsidRPr="009F74EC" w:rsidRDefault="005A5957" w:rsidP="00C30F9D">
            <w:pPr>
              <w:jc w:val="left"/>
              <w:rPr>
                <w:rFonts w:cs="Arial"/>
                <w:sz w:val="16"/>
                <w:szCs w:val="16"/>
              </w:rPr>
            </w:pPr>
            <w:proofErr w:type="gramStart"/>
            <w:r w:rsidRPr="009F74EC">
              <w:rPr>
                <w:rFonts w:cs="Arial"/>
                <w:sz w:val="16"/>
                <w:szCs w:val="16"/>
              </w:rPr>
              <w:t>Expertos locales y participantes locales</w:t>
            </w:r>
            <w:proofErr w:type="gramEnd"/>
            <w:r w:rsidRPr="009F74EC">
              <w:rPr>
                <w:rFonts w:cs="Arial"/>
                <w:sz w:val="16"/>
                <w:szCs w:val="16"/>
              </w:rPr>
              <w:t xml:space="preserve"> (50)</w:t>
            </w:r>
          </w:p>
        </w:tc>
      </w:tr>
    </w:tbl>
    <w:p w14:paraId="601A9C3D" w14:textId="77777777" w:rsidR="005A5957" w:rsidRPr="009F74EC" w:rsidRDefault="005A5957" w:rsidP="005A5957"/>
    <w:p w14:paraId="77E8B8D5" w14:textId="77777777" w:rsidR="005A5957" w:rsidRPr="009F74EC" w:rsidRDefault="005A5957" w:rsidP="005A5957">
      <w:pPr>
        <w:jc w:val="left"/>
      </w:pPr>
    </w:p>
    <w:p w14:paraId="3607BA11" w14:textId="77777777" w:rsidR="005A5957" w:rsidRPr="009F74EC" w:rsidRDefault="005A5957" w:rsidP="005A5957">
      <w:pPr>
        <w:jc w:val="left"/>
      </w:pPr>
    </w:p>
    <w:p w14:paraId="6179ED39" w14:textId="77777777" w:rsidR="005A5957" w:rsidRPr="009F74EC" w:rsidRDefault="005A5957" w:rsidP="005A5957">
      <w:pPr>
        <w:jc w:val="right"/>
      </w:pPr>
      <w:r w:rsidRPr="009F74EC">
        <w:t>[Sigue el Anexo XX]</w:t>
      </w:r>
    </w:p>
    <w:p w14:paraId="1D8E95C0" w14:textId="77777777" w:rsidR="005A5957" w:rsidRPr="009F74EC" w:rsidRDefault="005A5957" w:rsidP="005A5957">
      <w:pPr>
        <w:jc w:val="center"/>
        <w:sectPr w:rsidR="005A5957" w:rsidRPr="009F74EC" w:rsidSect="00ED43FD">
          <w:headerReference w:type="default" r:id="rId55"/>
          <w:pgSz w:w="11907" w:h="16840" w:code="9"/>
          <w:pgMar w:top="510" w:right="1134" w:bottom="709" w:left="1134" w:header="510" w:footer="680" w:gutter="0"/>
          <w:pgNumType w:start="1"/>
          <w:cols w:space="720"/>
          <w:titlePg/>
          <w:docGrid w:linePitch="272"/>
        </w:sectPr>
      </w:pPr>
    </w:p>
    <w:p w14:paraId="0213ABC3" w14:textId="77777777" w:rsidR="005A5957" w:rsidRPr="009F74EC" w:rsidRDefault="005A5957" w:rsidP="005A5957">
      <w:pPr>
        <w:jc w:val="center"/>
      </w:pPr>
      <w:r w:rsidRPr="009F74EC">
        <w:lastRenderedPageBreak/>
        <w:t>C/57/13</w:t>
      </w:r>
    </w:p>
    <w:p w14:paraId="47B1167B" w14:textId="77777777" w:rsidR="005A5957" w:rsidRPr="009F74EC" w:rsidRDefault="005A5957" w:rsidP="005A5957">
      <w:pPr>
        <w:jc w:val="center"/>
      </w:pPr>
    </w:p>
    <w:p w14:paraId="6FB840D4" w14:textId="77777777" w:rsidR="005A5957" w:rsidRPr="009F74EC" w:rsidRDefault="005A5957" w:rsidP="005A5957">
      <w:pPr>
        <w:jc w:val="center"/>
      </w:pPr>
      <w:r w:rsidRPr="009F74EC">
        <w:t>ANEXO XX</w:t>
      </w:r>
    </w:p>
    <w:p w14:paraId="0A9BF530" w14:textId="77777777" w:rsidR="005A5957" w:rsidRPr="009F74EC" w:rsidRDefault="005A5957" w:rsidP="005A5957">
      <w:pPr>
        <w:jc w:val="center"/>
      </w:pPr>
    </w:p>
    <w:p w14:paraId="1C19E2C5" w14:textId="77777777" w:rsidR="005A5957" w:rsidRPr="009F74EC" w:rsidRDefault="005A5957" w:rsidP="005A5957">
      <w:pPr>
        <w:jc w:val="center"/>
      </w:pPr>
    </w:p>
    <w:p w14:paraId="281D591D" w14:textId="77777777" w:rsidR="005A5957" w:rsidRPr="009F74EC" w:rsidRDefault="005A5957" w:rsidP="005A5957">
      <w:pPr>
        <w:jc w:val="center"/>
      </w:pPr>
      <w:r w:rsidRPr="009F74EC">
        <w:t>ZIMBABWE</w:t>
      </w:r>
    </w:p>
    <w:p w14:paraId="527C1E4A" w14:textId="77777777" w:rsidR="00633DB1" w:rsidRPr="009F74EC" w:rsidRDefault="00633DB1" w:rsidP="00633DB1">
      <w:pPr>
        <w:jc w:val="center"/>
      </w:pPr>
      <w:r w:rsidRPr="009F74EC">
        <w:t>(Idioma original: inglés)</w:t>
      </w:r>
    </w:p>
    <w:p w14:paraId="7EA2D8AB" w14:textId="77777777" w:rsidR="00633DB1" w:rsidRPr="009F74EC" w:rsidRDefault="00633DB1" w:rsidP="00633DB1"/>
    <w:p w14:paraId="485F0584" w14:textId="77777777" w:rsidR="00633DB1" w:rsidRPr="009F74EC" w:rsidRDefault="00633DB1" w:rsidP="00633DB1">
      <w:pPr>
        <w:pStyle w:val="Disclaimer"/>
        <w:spacing w:after="360"/>
        <w:jc w:val="center"/>
        <w:rPr>
          <w:sz w:val="18"/>
          <w:szCs w:val="18"/>
        </w:rPr>
      </w:pPr>
      <w:r w:rsidRPr="009F74EC">
        <w:rPr>
          <w:sz w:val="18"/>
          <w:szCs w:val="18"/>
        </w:rPr>
        <w:t xml:space="preserve">Esta traducción se ha generado mediante traducción automática y no puede garantizarse su exactitud. </w:t>
      </w:r>
      <w:r w:rsidRPr="009F74EC">
        <w:rPr>
          <w:sz w:val="18"/>
          <w:szCs w:val="18"/>
        </w:rPr>
        <w:br/>
        <w:t>Por lo tanto, el texto en el idioma original es la única versión auténtica.</w:t>
      </w:r>
    </w:p>
    <w:p w14:paraId="08D6D33E" w14:textId="77777777" w:rsidR="005A5957" w:rsidRPr="009F74EC" w:rsidRDefault="005A5957" w:rsidP="005A5957">
      <w:r w:rsidRPr="009F74EC">
        <w:t>PROTECCIÓN DE LAS OBTENCIONES VEGETALES</w:t>
      </w:r>
    </w:p>
    <w:p w14:paraId="3472AC91" w14:textId="77777777" w:rsidR="005A5957" w:rsidRPr="009F74EC" w:rsidRDefault="005A5957" w:rsidP="005A5957"/>
    <w:p w14:paraId="2E53159D" w14:textId="77777777" w:rsidR="005A5957" w:rsidRPr="009F74EC" w:rsidRDefault="005A5957" w:rsidP="005A5957">
      <w:pPr>
        <w:rPr>
          <w:u w:val="single"/>
        </w:rPr>
      </w:pPr>
      <w:r w:rsidRPr="009F74EC">
        <w:t>1.</w:t>
      </w:r>
      <w:r w:rsidRPr="009F74EC">
        <w:tab/>
      </w:r>
      <w:r w:rsidRPr="009F74EC">
        <w:rPr>
          <w:u w:val="single"/>
        </w:rPr>
        <w:t>Situación en el ámbito legislativo</w:t>
      </w:r>
    </w:p>
    <w:p w14:paraId="4470E0D5" w14:textId="77777777" w:rsidR="005A5957" w:rsidRPr="009F74EC" w:rsidRDefault="005A5957" w:rsidP="005A5957"/>
    <w:p w14:paraId="396E1915" w14:textId="77777777" w:rsidR="005A5957" w:rsidRPr="009F74EC" w:rsidRDefault="005A5957" w:rsidP="005A5957">
      <w:r w:rsidRPr="009F74EC">
        <w:t>1.1</w:t>
      </w:r>
      <w:r w:rsidRPr="009F74EC">
        <w:tab/>
        <w:t xml:space="preserve">Modificación de la ley y de los reglamentos de aplicación </w:t>
      </w:r>
    </w:p>
    <w:p w14:paraId="4FC4FBF7" w14:textId="77777777" w:rsidR="005A5957" w:rsidRPr="009F74EC" w:rsidRDefault="005A5957" w:rsidP="005A5957"/>
    <w:p w14:paraId="53031B8E" w14:textId="77777777" w:rsidR="005A5957" w:rsidRPr="009F74EC" w:rsidRDefault="005A5957" w:rsidP="005A5957">
      <w:pPr>
        <w:pStyle w:val="ListParagraph"/>
        <w:numPr>
          <w:ilvl w:val="0"/>
          <w:numId w:val="38"/>
        </w:numPr>
        <w:spacing w:after="120"/>
        <w:ind w:left="714" w:hanging="357"/>
        <w:contextualSpacing w:val="0"/>
        <w:rPr>
          <w:lang w:val="es-ES_tradnl"/>
        </w:rPr>
      </w:pPr>
      <w:r w:rsidRPr="009F74EC">
        <w:rPr>
          <w:lang w:val="es-ES_tradnl"/>
        </w:rPr>
        <w:t>La normativa de aplicación es la Ley de derechos de obtentor [Capítulo 18 :16].</w:t>
      </w:r>
    </w:p>
    <w:p w14:paraId="3944F4D9" w14:textId="77777777" w:rsidR="005A5957" w:rsidRPr="009F74EC" w:rsidRDefault="005A5957" w:rsidP="005A5957">
      <w:pPr>
        <w:pStyle w:val="ListParagraph"/>
        <w:numPr>
          <w:ilvl w:val="0"/>
          <w:numId w:val="38"/>
        </w:numPr>
        <w:spacing w:after="120"/>
        <w:ind w:left="714" w:hanging="357"/>
        <w:contextualSpacing w:val="0"/>
        <w:rPr>
          <w:lang w:val="es-ES_tradnl"/>
        </w:rPr>
      </w:pPr>
      <w:r w:rsidRPr="009F74EC">
        <w:rPr>
          <w:lang w:val="es-ES_tradnl"/>
        </w:rPr>
        <w:t xml:space="preserve">El Consejo de </w:t>
      </w:r>
      <w:proofErr w:type="gramStart"/>
      <w:r w:rsidRPr="009F74EC">
        <w:rPr>
          <w:lang w:val="es-ES_tradnl"/>
        </w:rPr>
        <w:t>Ministros</w:t>
      </w:r>
      <w:proofErr w:type="gramEnd"/>
      <w:r w:rsidRPr="009F74EC">
        <w:rPr>
          <w:lang w:val="es-ES_tradnl"/>
        </w:rPr>
        <w:t xml:space="preserve"> aprobó las enmiendas propuestas a la Ley de Derechos de los Obtentores de Variedades Vegetales [Capítulo 18: 16] para cumplir con el Convenio de la UPOV (Unión Internacional para la Protección de las Obtenciones Vegetales) de 1991. </w:t>
      </w:r>
    </w:p>
    <w:p w14:paraId="2571EFA4" w14:textId="77777777" w:rsidR="005A5957" w:rsidRPr="009F74EC" w:rsidRDefault="005A5957" w:rsidP="005A5957">
      <w:pPr>
        <w:pStyle w:val="ListParagraph"/>
        <w:numPr>
          <w:ilvl w:val="0"/>
          <w:numId w:val="38"/>
        </w:numPr>
        <w:spacing w:after="120"/>
        <w:ind w:left="714" w:hanging="357"/>
        <w:contextualSpacing w:val="0"/>
        <w:rPr>
          <w:lang w:val="es-ES_tradnl"/>
        </w:rPr>
      </w:pPr>
      <w:r w:rsidRPr="009F74EC">
        <w:rPr>
          <w:lang w:val="es-ES_tradnl"/>
        </w:rPr>
        <w:t xml:space="preserve">Está en curso la redacción de las enmiendas a la Ley de Derechos de Obtentor. </w:t>
      </w:r>
    </w:p>
    <w:p w14:paraId="1F033302" w14:textId="7F5D36F8" w:rsidR="005A5957" w:rsidRPr="009F74EC" w:rsidRDefault="005A5957" w:rsidP="005A5957">
      <w:pPr>
        <w:pStyle w:val="ListParagraph"/>
        <w:numPr>
          <w:ilvl w:val="0"/>
          <w:numId w:val="38"/>
        </w:numPr>
        <w:rPr>
          <w:lang w:val="es-ES_tradnl"/>
        </w:rPr>
      </w:pPr>
      <w:r w:rsidRPr="009F74EC">
        <w:rPr>
          <w:lang w:val="es-ES_tradnl"/>
        </w:rPr>
        <w:t xml:space="preserve">Las enmiendas a la Ley de Derechos de Obtentor permitirán a </w:t>
      </w:r>
      <w:proofErr w:type="spellStart"/>
      <w:r w:rsidR="00AD5CA2">
        <w:rPr>
          <w:lang w:val="es-ES_tradnl"/>
        </w:rPr>
        <w:t>Zimbabwe</w:t>
      </w:r>
      <w:proofErr w:type="spellEnd"/>
      <w:r w:rsidRPr="009F74EC">
        <w:rPr>
          <w:lang w:val="es-ES_tradnl"/>
        </w:rPr>
        <w:t xml:space="preserve"> adherirse al Convenio de la UPOV. </w:t>
      </w:r>
    </w:p>
    <w:p w14:paraId="58C891B1" w14:textId="77777777" w:rsidR="005A5957" w:rsidRPr="009F74EC" w:rsidRDefault="005A5957" w:rsidP="005A5957"/>
    <w:p w14:paraId="218A1576" w14:textId="77777777" w:rsidR="005A5957" w:rsidRPr="009F74EC" w:rsidRDefault="005A5957" w:rsidP="005A5957">
      <w:r w:rsidRPr="009F74EC">
        <w:t>1.2</w:t>
      </w:r>
      <w:r w:rsidRPr="009F74EC">
        <w:tab/>
        <w:t xml:space="preserve">Está previsto ampliar la protección a otros géneros y especies. </w:t>
      </w:r>
    </w:p>
    <w:p w14:paraId="49660165" w14:textId="77777777" w:rsidR="005A5957" w:rsidRPr="009F74EC" w:rsidRDefault="005A5957" w:rsidP="005A5957"/>
    <w:p w14:paraId="69505C00" w14:textId="77777777" w:rsidR="005A5957" w:rsidRPr="009F74EC" w:rsidRDefault="005A5957" w:rsidP="005A5957">
      <w:r w:rsidRPr="009F74EC">
        <w:t>Considerado como parte de las enmiendas.</w:t>
      </w:r>
    </w:p>
    <w:p w14:paraId="4AE663CF" w14:textId="77777777" w:rsidR="005A5957" w:rsidRPr="009F74EC" w:rsidRDefault="005A5957" w:rsidP="005A5957"/>
    <w:p w14:paraId="038FE70D" w14:textId="77777777" w:rsidR="005A5957" w:rsidRPr="009F74EC" w:rsidRDefault="005A5957" w:rsidP="005A5957"/>
    <w:p w14:paraId="429F91F3" w14:textId="77777777" w:rsidR="005A5957" w:rsidRPr="009F74EC" w:rsidRDefault="005A5957" w:rsidP="005A5957">
      <w:r w:rsidRPr="009F74EC">
        <w:t>2.</w:t>
      </w:r>
      <w:r w:rsidRPr="009F74EC">
        <w:tab/>
      </w:r>
      <w:r w:rsidRPr="009F74EC">
        <w:rPr>
          <w:u w:val="single"/>
        </w:rPr>
        <w:t>Cooperación en el examen</w:t>
      </w:r>
      <w:r w:rsidRPr="009F74EC">
        <w:t>: Nada que comunicar.</w:t>
      </w:r>
    </w:p>
    <w:p w14:paraId="7EAEE1E7" w14:textId="77777777" w:rsidR="005A5957" w:rsidRPr="009F74EC" w:rsidRDefault="005A5957" w:rsidP="005A5957"/>
    <w:p w14:paraId="161D57D4" w14:textId="77777777" w:rsidR="005A5957" w:rsidRPr="009F74EC" w:rsidRDefault="005A5957" w:rsidP="005A5957"/>
    <w:p w14:paraId="7EBF0BB2" w14:textId="77777777" w:rsidR="005A5957" w:rsidRPr="009F74EC" w:rsidRDefault="005A5957" w:rsidP="005A5957">
      <w:pPr>
        <w:rPr>
          <w:u w:val="single"/>
        </w:rPr>
      </w:pPr>
      <w:r w:rsidRPr="009F74EC">
        <w:t>3.</w:t>
      </w:r>
      <w:r w:rsidRPr="009F74EC">
        <w:tab/>
      </w:r>
      <w:r w:rsidRPr="009F74EC">
        <w:rPr>
          <w:u w:val="single"/>
        </w:rPr>
        <w:t>Situación en el ámbito administrativo</w:t>
      </w:r>
    </w:p>
    <w:p w14:paraId="0230A7E6" w14:textId="77777777" w:rsidR="005A5957" w:rsidRPr="009F74EC" w:rsidRDefault="005A5957" w:rsidP="005A5957"/>
    <w:p w14:paraId="1FA5DC54" w14:textId="77777777" w:rsidR="005A5957" w:rsidRPr="009F74EC" w:rsidRDefault="005A5957" w:rsidP="005A5957">
      <w:pPr>
        <w:rPr>
          <w:i/>
          <w:iCs/>
        </w:rPr>
      </w:pPr>
      <w:r w:rsidRPr="009F74EC">
        <w:rPr>
          <w:i/>
          <w:iCs/>
        </w:rPr>
        <w:t>Cambios en la estructura administrativa</w:t>
      </w:r>
    </w:p>
    <w:p w14:paraId="390237B8" w14:textId="77777777" w:rsidR="005A5957" w:rsidRPr="009F74EC" w:rsidRDefault="005A5957" w:rsidP="005A5957"/>
    <w:p w14:paraId="252056FA" w14:textId="77777777" w:rsidR="005A5957" w:rsidRPr="009F74EC" w:rsidRDefault="005A5957" w:rsidP="005A5957">
      <w:r w:rsidRPr="009F74EC">
        <w:t xml:space="preserve">El Dr. Claid Mujaju, nombrado </w:t>
      </w:r>
      <w:proofErr w:type="gramStart"/>
      <w:r w:rsidRPr="009F74EC">
        <w:t>Director</w:t>
      </w:r>
      <w:proofErr w:type="gramEnd"/>
      <w:r w:rsidRPr="009F74EC">
        <w:t xml:space="preserve"> del Departamento de Servicios de Investigación, sigue siendo Registrador de los Derechos de Obtentor.</w:t>
      </w:r>
    </w:p>
    <w:p w14:paraId="64B57315" w14:textId="77777777" w:rsidR="005A5957" w:rsidRPr="009F74EC" w:rsidRDefault="005A5957" w:rsidP="005A5957"/>
    <w:p w14:paraId="200CEAA9" w14:textId="77777777" w:rsidR="005A5957" w:rsidRPr="009F74EC" w:rsidRDefault="005A5957" w:rsidP="005A5957">
      <w:r w:rsidRPr="009F74EC">
        <w:t xml:space="preserve">El Sr. </w:t>
      </w:r>
      <w:proofErr w:type="spellStart"/>
      <w:r w:rsidRPr="009F74EC">
        <w:t>Edmore</w:t>
      </w:r>
      <w:proofErr w:type="spellEnd"/>
      <w:r w:rsidRPr="009F74EC">
        <w:t xml:space="preserve"> </w:t>
      </w:r>
      <w:proofErr w:type="spellStart"/>
      <w:r w:rsidRPr="009F74EC">
        <w:t>Mtetwa</w:t>
      </w:r>
      <w:proofErr w:type="spellEnd"/>
      <w:r w:rsidRPr="009F74EC">
        <w:t xml:space="preserve"> ha sido nombrado </w:t>
      </w:r>
      <w:proofErr w:type="gramStart"/>
      <w:r w:rsidRPr="009F74EC">
        <w:t>Jefe</w:t>
      </w:r>
      <w:proofErr w:type="gramEnd"/>
      <w:r w:rsidRPr="009F74EC">
        <w:t xml:space="preserve"> de los Servicios de Semillas con efecto a partir de julio de 2023 y asumirá el cargo de Registrador de los Derechos de Obtentor una vez que se hayan efectuado legalmente los cambios de nombre.</w:t>
      </w:r>
    </w:p>
    <w:p w14:paraId="2A931CCE" w14:textId="77777777" w:rsidR="005A5957" w:rsidRPr="009F74EC" w:rsidRDefault="005A5957" w:rsidP="005A5957"/>
    <w:p w14:paraId="68C4C248" w14:textId="77777777" w:rsidR="005A5957" w:rsidRPr="009F74EC" w:rsidRDefault="005A5957" w:rsidP="005A5957">
      <w:r w:rsidRPr="009F74EC">
        <w:t xml:space="preserve">Sra. </w:t>
      </w:r>
      <w:proofErr w:type="spellStart"/>
      <w:r w:rsidRPr="009F74EC">
        <w:t>Tambudzai</w:t>
      </w:r>
      <w:proofErr w:type="spellEnd"/>
      <w:r w:rsidRPr="009F74EC">
        <w:t xml:space="preserve"> </w:t>
      </w:r>
      <w:proofErr w:type="spellStart"/>
      <w:r w:rsidRPr="009F74EC">
        <w:t>Chikutuma</w:t>
      </w:r>
      <w:proofErr w:type="spellEnd"/>
      <w:r w:rsidRPr="009F74EC">
        <w:t xml:space="preserve"> - Responsable de Derechos de Obtentor.</w:t>
      </w:r>
    </w:p>
    <w:p w14:paraId="5F5E2DE1" w14:textId="77777777" w:rsidR="005A5957" w:rsidRPr="009F74EC" w:rsidRDefault="005A5957" w:rsidP="005A5957"/>
    <w:p w14:paraId="3B12F5E4" w14:textId="77777777" w:rsidR="005A5957" w:rsidRPr="009F74EC" w:rsidRDefault="005A5957" w:rsidP="005A5957">
      <w:pPr>
        <w:rPr>
          <w:i/>
          <w:iCs/>
        </w:rPr>
      </w:pPr>
      <w:r w:rsidRPr="009F74EC">
        <w:rPr>
          <w:i/>
          <w:iCs/>
        </w:rPr>
        <w:t>Cambios en los procedimientos y sistemas de oficina</w:t>
      </w:r>
    </w:p>
    <w:p w14:paraId="61700DE8" w14:textId="77777777" w:rsidR="005A5957" w:rsidRPr="009F74EC" w:rsidRDefault="005A5957" w:rsidP="005A5957"/>
    <w:p w14:paraId="22D27492" w14:textId="77777777" w:rsidR="005A5957" w:rsidRPr="009F74EC" w:rsidRDefault="005A5957" w:rsidP="005A5957">
      <w:r w:rsidRPr="009F74EC">
        <w:t>No se han introducido cambios, ya que se sigue aplicando la Ley y la normativa nacionales.</w:t>
      </w:r>
    </w:p>
    <w:p w14:paraId="7ECEBF1B" w14:textId="77777777" w:rsidR="005A5957" w:rsidRPr="009F74EC" w:rsidRDefault="005A5957" w:rsidP="005A5957"/>
    <w:p w14:paraId="5C86663E" w14:textId="77777777" w:rsidR="005A5957" w:rsidRPr="009F74EC" w:rsidRDefault="005A5957" w:rsidP="005A5957"/>
    <w:p w14:paraId="2B0D470B" w14:textId="77777777" w:rsidR="005A5957" w:rsidRPr="009F74EC" w:rsidRDefault="005A5957" w:rsidP="005A5957">
      <w:r w:rsidRPr="009F74EC">
        <w:t>4.</w:t>
      </w:r>
      <w:r w:rsidRPr="009F74EC">
        <w:tab/>
      </w:r>
      <w:r w:rsidRPr="009F74EC">
        <w:rPr>
          <w:u w:val="single"/>
        </w:rPr>
        <w:t>Situación en el ámbito técnico</w:t>
      </w:r>
    </w:p>
    <w:p w14:paraId="376B47C4" w14:textId="77777777" w:rsidR="005A5957" w:rsidRPr="009F74EC" w:rsidRDefault="005A5957" w:rsidP="005A5957"/>
    <w:p w14:paraId="29ACEAB8" w14:textId="08224E3A" w:rsidR="005A5957" w:rsidRPr="009F74EC" w:rsidRDefault="00AD5CA2" w:rsidP="005A5957">
      <w:proofErr w:type="spellStart"/>
      <w:r>
        <w:t>Zimbabwe</w:t>
      </w:r>
      <w:proofErr w:type="spellEnd"/>
      <w:r w:rsidR="005A5957" w:rsidRPr="009F74EC">
        <w:t xml:space="preserve"> cuenta con 3 formadores de la UPOV, a saber</w:t>
      </w:r>
    </w:p>
    <w:p w14:paraId="69B55761" w14:textId="77777777" w:rsidR="005A5957" w:rsidRPr="009F74EC" w:rsidRDefault="005A5957" w:rsidP="005A5957"/>
    <w:p w14:paraId="6CE60977" w14:textId="77777777" w:rsidR="005A5957" w:rsidRPr="009F74EC" w:rsidRDefault="005A5957" w:rsidP="005A5957">
      <w:r w:rsidRPr="009F74EC">
        <w:t>1. Dr. Claid Mujaju</w:t>
      </w:r>
    </w:p>
    <w:p w14:paraId="50060347" w14:textId="77777777" w:rsidR="005A5957" w:rsidRPr="009F74EC" w:rsidRDefault="005A5957" w:rsidP="005A5957">
      <w:r w:rsidRPr="009F74EC">
        <w:t xml:space="preserve">2. Sra. </w:t>
      </w:r>
      <w:proofErr w:type="spellStart"/>
      <w:r w:rsidRPr="009F74EC">
        <w:t>Tambudzai</w:t>
      </w:r>
      <w:proofErr w:type="spellEnd"/>
      <w:r w:rsidRPr="009F74EC">
        <w:t xml:space="preserve"> </w:t>
      </w:r>
      <w:proofErr w:type="spellStart"/>
      <w:r w:rsidRPr="009F74EC">
        <w:t>Chikutuma</w:t>
      </w:r>
      <w:proofErr w:type="spellEnd"/>
    </w:p>
    <w:p w14:paraId="11B8AE1C" w14:textId="77777777" w:rsidR="005A5957" w:rsidRPr="009F74EC" w:rsidRDefault="005A5957" w:rsidP="005A5957">
      <w:r w:rsidRPr="009F74EC">
        <w:t xml:space="preserve">3. Sr. Jonathan </w:t>
      </w:r>
      <w:proofErr w:type="spellStart"/>
      <w:r w:rsidRPr="009F74EC">
        <w:t>Chieza</w:t>
      </w:r>
      <w:proofErr w:type="spellEnd"/>
    </w:p>
    <w:p w14:paraId="74FC308D" w14:textId="77777777" w:rsidR="005A5957" w:rsidRPr="009F74EC" w:rsidRDefault="005A5957" w:rsidP="005A5957"/>
    <w:p w14:paraId="09DF7CE6" w14:textId="77777777" w:rsidR="005A5957" w:rsidRPr="009F74EC" w:rsidRDefault="005A5957" w:rsidP="005A5957"/>
    <w:p w14:paraId="5DC737C7" w14:textId="77777777" w:rsidR="005A5957" w:rsidRPr="009F74EC" w:rsidRDefault="005A5957" w:rsidP="005A5957">
      <w:r w:rsidRPr="009F74EC">
        <w:t>5.</w:t>
      </w:r>
      <w:r w:rsidRPr="009F74EC">
        <w:tab/>
      </w:r>
      <w:r w:rsidRPr="009F74EC">
        <w:rPr>
          <w:u w:val="single"/>
        </w:rPr>
        <w:t>Actividades de fomento de la protección de las obtenciones vegetales</w:t>
      </w:r>
    </w:p>
    <w:p w14:paraId="3EB3BE49" w14:textId="77777777" w:rsidR="005A5957" w:rsidRPr="009F74EC" w:rsidRDefault="005A5957" w:rsidP="005A5957"/>
    <w:p w14:paraId="1097CD11" w14:textId="77777777" w:rsidR="005A5957" w:rsidRPr="009F74EC" w:rsidRDefault="005A5957" w:rsidP="005A5957">
      <w:r w:rsidRPr="009F74EC">
        <w:t>Ninguna.</w:t>
      </w:r>
    </w:p>
    <w:p w14:paraId="2AA2B0C9" w14:textId="77777777" w:rsidR="005A5957" w:rsidRPr="009F74EC" w:rsidRDefault="005A5957" w:rsidP="005A5957"/>
    <w:p w14:paraId="3E64DDEB" w14:textId="77777777" w:rsidR="005A5957" w:rsidRPr="009F74EC" w:rsidRDefault="005A5957" w:rsidP="005A5957"/>
    <w:p w14:paraId="4BDB72E6" w14:textId="5A8B64F6" w:rsidR="00050E16" w:rsidRPr="009F74EC" w:rsidRDefault="005A5957" w:rsidP="00AD5CA2">
      <w:pPr>
        <w:jc w:val="right"/>
      </w:pPr>
      <w:r w:rsidRPr="009F74EC">
        <w:t>[Fin del anexo XX y del documento]</w:t>
      </w:r>
    </w:p>
    <w:sectPr w:rsidR="00050E16" w:rsidRPr="009F74EC" w:rsidSect="00AD5CA2">
      <w:headerReference w:type="default" r:id="rId56"/>
      <w:pgSz w:w="11907" w:h="16840" w:code="9"/>
      <w:pgMar w:top="510" w:right="1134" w:bottom="567"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78CA9" w14:textId="77777777" w:rsidR="004F3482" w:rsidRDefault="004F3482" w:rsidP="00965DC9">
      <w:pPr>
        <w:spacing w:after="120"/>
      </w:pPr>
      <w:r>
        <w:separator/>
      </w:r>
    </w:p>
  </w:endnote>
  <w:endnote w:type="continuationSeparator" w:id="0">
    <w:p w14:paraId="333C27E5" w14:textId="77777777" w:rsidR="004F3482" w:rsidRDefault="004F3482" w:rsidP="006655D3">
      <w:r>
        <w:separator/>
      </w:r>
    </w:p>
    <w:p w14:paraId="25D34B78" w14:textId="77777777" w:rsidR="004F3482" w:rsidRPr="00294751" w:rsidRDefault="004F3482">
      <w:pPr>
        <w:pStyle w:val="Footer"/>
        <w:spacing w:after="60"/>
        <w:rPr>
          <w:sz w:val="18"/>
          <w:lang w:val="fr-FR"/>
        </w:rPr>
      </w:pPr>
      <w:r w:rsidRPr="00294751">
        <w:rPr>
          <w:sz w:val="18"/>
          <w:lang w:val="fr-FR"/>
        </w:rPr>
        <w:t>[Suite de la note de la page précédente]</w:t>
      </w:r>
    </w:p>
    <w:p w14:paraId="3602F4D0" w14:textId="77777777" w:rsidR="004F3482" w:rsidRPr="00294751" w:rsidRDefault="004F3482" w:rsidP="006655D3">
      <w:pPr>
        <w:rPr>
          <w:lang w:val="fr-FR"/>
        </w:rPr>
      </w:pPr>
    </w:p>
    <w:p w14:paraId="2A76AE93" w14:textId="77777777" w:rsidR="004F3482" w:rsidRPr="00294751" w:rsidRDefault="004F3482" w:rsidP="006655D3">
      <w:pPr>
        <w:rPr>
          <w:lang w:val="fr-FR"/>
        </w:rPr>
      </w:pPr>
    </w:p>
  </w:endnote>
  <w:endnote w:type="continuationNotice" w:id="1">
    <w:p w14:paraId="67E42433" w14:textId="77777777" w:rsidR="004F3482" w:rsidRPr="00294751" w:rsidRDefault="004F3482" w:rsidP="006655D3">
      <w:pPr>
        <w:rPr>
          <w:lang w:val="fr-FR"/>
        </w:rPr>
      </w:pPr>
      <w:r w:rsidRPr="00294751">
        <w:rPr>
          <w:lang w:val="fr-FR"/>
        </w:rPr>
        <w:t>[Suite de la note page suivante]</w:t>
      </w:r>
    </w:p>
    <w:p w14:paraId="364DA09B" w14:textId="77777777" w:rsidR="004F3482" w:rsidRPr="00294751" w:rsidRDefault="004F3482" w:rsidP="006655D3">
      <w:pPr>
        <w:rPr>
          <w:lang w:val="fr-FR"/>
        </w:rPr>
      </w:pPr>
    </w:p>
    <w:p w14:paraId="5B17193F" w14:textId="77777777" w:rsidR="004F3482" w:rsidRPr="00294751" w:rsidRDefault="004F3482" w:rsidP="006655D3">
      <w:pPr>
        <w:rPr>
          <w:lang w:val="fr-FR"/>
        </w:rPr>
      </w:pPr>
    </w:p>
  </w:endnote>
  <w:endnote w:id="2">
    <w:p w14:paraId="5E933E5A" w14:textId="77777777" w:rsidR="005A5957" w:rsidRDefault="005A5957" w:rsidP="005A5957">
      <w:pPr>
        <w:pStyle w:val="EndnoteText"/>
        <w:tabs>
          <w:tab w:val="left" w:pos="284"/>
        </w:tabs>
        <w:rPr>
          <w:sz w:val="18"/>
          <w:szCs w:val="22"/>
        </w:rPr>
      </w:pPr>
      <w:r>
        <w:rPr>
          <w:rStyle w:val="EndnoteReference"/>
        </w:rPr>
        <w:endnoteRef/>
      </w:r>
      <w:r>
        <w:tab/>
      </w:r>
      <w:r w:rsidRPr="003E672A">
        <w:rPr>
          <w:sz w:val="18"/>
          <w:szCs w:val="22"/>
        </w:rPr>
        <w:t>Este informe utiliza la terminología de las Naciones Unidas.</w:t>
      </w:r>
    </w:p>
    <w:p w14:paraId="51CBF290" w14:textId="77777777" w:rsidR="005A5957" w:rsidRPr="00013F55" w:rsidRDefault="005A5957" w:rsidP="005A5957"/>
    <w:p w14:paraId="18255F6C" w14:textId="77777777" w:rsidR="005A5957" w:rsidRDefault="005A5957" w:rsidP="005A5957"/>
    <w:p w14:paraId="6CCA754B" w14:textId="77777777" w:rsidR="005A5957" w:rsidRPr="00013F55" w:rsidRDefault="005A5957" w:rsidP="005A5957"/>
    <w:p w14:paraId="2E02ADE4" w14:textId="5448CA08" w:rsidR="005A5957" w:rsidRDefault="005A5957" w:rsidP="005A5957">
      <w:pPr>
        <w:jc w:val="right"/>
      </w:pPr>
      <w:r>
        <w:t>[Sigue el Anexo XIX]</w:t>
      </w:r>
    </w:p>
    <w:p w14:paraId="37D5D02E" w14:textId="77777777" w:rsidR="005A5957" w:rsidRPr="00E53703" w:rsidRDefault="005A5957" w:rsidP="005A5957">
      <w:pPr>
        <w:pStyle w:val="EndnoteText"/>
        <w:tabs>
          <w:tab w:val="left" w:pos="284"/>
        </w:tabs>
        <w:spacing w:before="6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83485" w14:textId="77777777" w:rsidR="004F3482" w:rsidRDefault="004F3482" w:rsidP="006655D3">
      <w:r>
        <w:separator/>
      </w:r>
    </w:p>
  </w:footnote>
  <w:footnote w:type="continuationSeparator" w:id="0">
    <w:p w14:paraId="60B0D2FC" w14:textId="77777777" w:rsidR="004F3482" w:rsidRDefault="004F3482" w:rsidP="006655D3">
      <w:r>
        <w:separator/>
      </w:r>
    </w:p>
  </w:footnote>
  <w:footnote w:type="continuationNotice" w:id="1">
    <w:p w14:paraId="23E7EFEC" w14:textId="77777777" w:rsidR="004F3482" w:rsidRPr="00AB530F" w:rsidRDefault="004F3482"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80DF5" w14:textId="517CB94F" w:rsidR="00182B99" w:rsidRPr="000A23DC" w:rsidRDefault="008326C8" w:rsidP="000A23DC">
    <w:pPr>
      <w:pStyle w:val="Header"/>
      <w:rPr>
        <w:rStyle w:val="PageNumber"/>
      </w:rPr>
    </w:pPr>
    <w:r>
      <w:rPr>
        <w:rStyle w:val="PageNumber"/>
      </w:rPr>
      <w:t>C/57/13</w:t>
    </w:r>
  </w:p>
  <w:p w14:paraId="61AC778C" w14:textId="77777777" w:rsidR="00182B99" w:rsidRPr="00202E38" w:rsidRDefault="008B3D8D" w:rsidP="008B3D8D">
    <w:pPr>
      <w:pStyle w:val="Header"/>
      <w:rPr>
        <w:lang w:val="de-DE"/>
      </w:rPr>
    </w:pPr>
    <w:r w:rsidRPr="008B3D8D">
      <w:t>página</w:t>
    </w:r>
    <w:r w:rsidR="00182B99" w:rsidRPr="00202E38">
      <w:rPr>
        <w:lang w:val="de-DE"/>
      </w:rPr>
      <w:t xml:space="preserve"> </w:t>
    </w:r>
    <w:r w:rsidR="00182B99" w:rsidRPr="00202E38">
      <w:rPr>
        <w:rStyle w:val="PageNumber"/>
        <w:lang w:val="de-DE"/>
      </w:rPr>
      <w:fldChar w:fldCharType="begin"/>
    </w:r>
    <w:r w:rsidR="00182B99" w:rsidRPr="00202E38">
      <w:rPr>
        <w:rStyle w:val="PageNumber"/>
        <w:lang w:val="de-DE"/>
      </w:rPr>
      <w:instrText xml:space="preserve"> PAGE </w:instrText>
    </w:r>
    <w:r w:rsidR="00182B99" w:rsidRPr="00202E38">
      <w:rPr>
        <w:rStyle w:val="PageNumber"/>
        <w:lang w:val="de-DE"/>
      </w:rPr>
      <w:fldChar w:fldCharType="separate"/>
    </w:r>
    <w:r w:rsidR="003D5DCC">
      <w:rPr>
        <w:rStyle w:val="PageNumber"/>
        <w:noProof/>
        <w:lang w:val="de-DE"/>
      </w:rPr>
      <w:t>2</w:t>
    </w:r>
    <w:r w:rsidR="00182B99" w:rsidRPr="00202E38">
      <w:rPr>
        <w:rStyle w:val="PageNumber"/>
        <w:lang w:val="de-DE"/>
      </w:rPr>
      <w:fldChar w:fldCharType="end"/>
    </w:r>
  </w:p>
  <w:p w14:paraId="30732654" w14:textId="77777777" w:rsidR="00182B99" w:rsidRPr="00202E38" w:rsidRDefault="00182B99" w:rsidP="006655D3">
    <w:pPr>
      <w:rPr>
        <w:lang w:val="de-DE"/>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4EB6" w14:textId="77777777" w:rsidR="005A5957" w:rsidRDefault="005A5957">
    <w:pPr>
      <w:pStyle w:val="Header"/>
      <w:rPr>
        <w:rStyle w:val="PageNumber"/>
        <w:lang w:val="en-US"/>
      </w:rPr>
    </w:pPr>
    <w:r>
      <w:rPr>
        <w:rStyle w:val="PageNumber"/>
        <w:lang w:val="en-US"/>
      </w:rPr>
      <w:t>C/57/13</w:t>
    </w:r>
  </w:p>
  <w:p w14:paraId="07126CF8" w14:textId="77777777" w:rsidR="005A5957" w:rsidRDefault="005A5957">
    <w:pPr>
      <w:pStyle w:val="Header"/>
      <w:rPr>
        <w:lang w:val="en-US"/>
      </w:rPr>
    </w:pPr>
    <w:r>
      <w:rPr>
        <w:lang w:val="en-US"/>
      </w:rPr>
      <w:t xml:space="preserve">Anexo X, </w:t>
    </w:r>
    <w:proofErr w:type="spellStart"/>
    <w:r w:rsidRPr="00C5280D">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68EB1931" w14:textId="77777777" w:rsidR="005A5957" w:rsidRPr="00C5280D" w:rsidRDefault="005A5957" w:rsidP="006655D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590F" w14:textId="77777777" w:rsidR="005A5957" w:rsidRDefault="005A5957">
    <w:pPr>
      <w:pStyle w:val="Header"/>
      <w:rPr>
        <w:rStyle w:val="PageNumber"/>
        <w:lang w:val="en-US"/>
      </w:rPr>
    </w:pPr>
    <w:r>
      <w:rPr>
        <w:rStyle w:val="PageNumber"/>
        <w:lang w:val="en-US"/>
      </w:rPr>
      <w:t>C/57/13</w:t>
    </w:r>
  </w:p>
  <w:p w14:paraId="69973A70" w14:textId="77777777" w:rsidR="005A5957" w:rsidRDefault="005A5957">
    <w:pPr>
      <w:pStyle w:val="Header"/>
      <w:rPr>
        <w:lang w:val="en-US"/>
      </w:rPr>
    </w:pPr>
    <w:r>
      <w:rPr>
        <w:lang w:val="en-US"/>
      </w:rPr>
      <w:t xml:space="preserve">Anexo XII, </w:t>
    </w:r>
    <w:proofErr w:type="spellStart"/>
    <w:r w:rsidRPr="00C5280D">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69A9B80C" w14:textId="77777777" w:rsidR="005A5957" w:rsidRPr="00C5280D" w:rsidRDefault="005A5957" w:rsidP="006655D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66BC" w14:textId="77777777" w:rsidR="005A5957" w:rsidRDefault="005A5957">
    <w:pPr>
      <w:pStyle w:val="Header"/>
      <w:rPr>
        <w:rStyle w:val="PageNumber"/>
        <w:lang w:val="en-US"/>
      </w:rPr>
    </w:pPr>
    <w:r>
      <w:rPr>
        <w:rStyle w:val="PageNumber"/>
        <w:lang w:val="en-US"/>
      </w:rPr>
      <w:t>C/57/13</w:t>
    </w:r>
  </w:p>
  <w:p w14:paraId="35CEF3C5" w14:textId="77777777" w:rsidR="005A5957" w:rsidRDefault="005A5957">
    <w:pPr>
      <w:pStyle w:val="Header"/>
      <w:rPr>
        <w:lang w:val="en-US"/>
      </w:rPr>
    </w:pPr>
    <w:r>
      <w:rPr>
        <w:lang w:val="en-US"/>
      </w:rPr>
      <w:t xml:space="preserve">Anexo XIII, </w:t>
    </w:r>
    <w:proofErr w:type="spellStart"/>
    <w:r w:rsidRPr="00C5280D">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5F6A8C41" w14:textId="77777777" w:rsidR="005A5957" w:rsidRPr="00C5280D" w:rsidRDefault="005A5957" w:rsidP="006655D3"/>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A0B0" w14:textId="77777777" w:rsidR="005A5957" w:rsidRDefault="005A5957">
    <w:pPr>
      <w:pStyle w:val="Header"/>
      <w:rPr>
        <w:rStyle w:val="PageNumber"/>
        <w:lang w:val="en-US"/>
      </w:rPr>
    </w:pPr>
    <w:r>
      <w:rPr>
        <w:rStyle w:val="PageNumber"/>
        <w:lang w:val="en-US"/>
      </w:rPr>
      <w:t>C/57/13</w:t>
    </w:r>
  </w:p>
  <w:p w14:paraId="0DF264DF" w14:textId="77777777" w:rsidR="005A5957" w:rsidRDefault="005A5957">
    <w:pPr>
      <w:pStyle w:val="Header"/>
      <w:rPr>
        <w:lang w:val="en-US"/>
      </w:rPr>
    </w:pPr>
    <w:r>
      <w:rPr>
        <w:lang w:val="en-US"/>
      </w:rPr>
      <w:t xml:space="preserve">Anexo XIV, </w:t>
    </w:r>
    <w:proofErr w:type="spellStart"/>
    <w:r w:rsidRPr="00C5280D">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271465D4" w14:textId="77777777" w:rsidR="005A5957" w:rsidRPr="00C5280D" w:rsidRDefault="005A5957" w:rsidP="006655D3"/>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D27F" w14:textId="77777777" w:rsidR="005A5957" w:rsidRDefault="005A5957">
    <w:pPr>
      <w:pStyle w:val="Header"/>
      <w:rPr>
        <w:rStyle w:val="PageNumber"/>
        <w:lang w:val="en-US"/>
      </w:rPr>
    </w:pPr>
    <w:r>
      <w:rPr>
        <w:rStyle w:val="PageNumber"/>
        <w:lang w:val="en-US"/>
      </w:rPr>
      <w:t>C/57/13</w:t>
    </w:r>
  </w:p>
  <w:p w14:paraId="1EAB2DC7" w14:textId="77777777" w:rsidR="005A5957" w:rsidRDefault="005A5957">
    <w:pPr>
      <w:pStyle w:val="Header"/>
      <w:rPr>
        <w:lang w:val="en-US"/>
      </w:rPr>
    </w:pPr>
    <w:r>
      <w:rPr>
        <w:lang w:val="en-US"/>
      </w:rPr>
      <w:t xml:space="preserve">Anexo XV, </w:t>
    </w:r>
    <w:proofErr w:type="spellStart"/>
    <w:r w:rsidRPr="00C5280D">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2807E464" w14:textId="77777777" w:rsidR="005A5957" w:rsidRPr="00C5280D" w:rsidRDefault="005A5957" w:rsidP="006655D3"/>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EC59" w14:textId="77777777" w:rsidR="005A5957" w:rsidRDefault="005A5957">
    <w:pPr>
      <w:pStyle w:val="Header"/>
      <w:rPr>
        <w:rStyle w:val="PageNumber"/>
        <w:lang w:val="en-US"/>
      </w:rPr>
    </w:pPr>
    <w:r>
      <w:rPr>
        <w:rStyle w:val="PageNumber"/>
        <w:lang w:val="en-US"/>
      </w:rPr>
      <w:t>C/57/13</w:t>
    </w:r>
  </w:p>
  <w:p w14:paraId="1418FCA9" w14:textId="77777777" w:rsidR="005A5957" w:rsidRDefault="005A5957">
    <w:pPr>
      <w:pStyle w:val="Header"/>
      <w:rPr>
        <w:lang w:val="en-US"/>
      </w:rPr>
    </w:pPr>
    <w:r>
      <w:rPr>
        <w:lang w:val="en-US"/>
      </w:rPr>
      <w:t xml:space="preserve">Anexo XVII, </w:t>
    </w:r>
    <w:proofErr w:type="spellStart"/>
    <w:r w:rsidRPr="00C5280D">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1DA18948" w14:textId="77777777" w:rsidR="005A5957" w:rsidRPr="00C5280D" w:rsidRDefault="005A5957" w:rsidP="006655D3"/>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B8EF6" w14:textId="77777777" w:rsidR="005A5957" w:rsidRDefault="005A5957">
    <w:pPr>
      <w:pStyle w:val="Header"/>
      <w:rPr>
        <w:rStyle w:val="PageNumber"/>
        <w:lang w:val="en-US"/>
      </w:rPr>
    </w:pPr>
    <w:r>
      <w:rPr>
        <w:rStyle w:val="PageNumber"/>
        <w:lang w:val="en-US"/>
      </w:rPr>
      <w:t>C/57/13</w:t>
    </w:r>
  </w:p>
  <w:p w14:paraId="00B83801" w14:textId="77777777" w:rsidR="005A5957" w:rsidRDefault="005A5957">
    <w:pPr>
      <w:pStyle w:val="Header"/>
      <w:rPr>
        <w:lang w:val="en-US"/>
      </w:rPr>
    </w:pPr>
    <w:r>
      <w:rPr>
        <w:lang w:val="en-US"/>
      </w:rPr>
      <w:t xml:space="preserve">Anexo XVIII, </w:t>
    </w:r>
    <w:proofErr w:type="spellStart"/>
    <w:r w:rsidRPr="00C5280D">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36494087" w14:textId="77777777" w:rsidR="005A5957" w:rsidRPr="00C5280D" w:rsidRDefault="005A5957" w:rsidP="006655D3"/>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87B7" w14:textId="77777777" w:rsidR="005A5957" w:rsidRDefault="005A5957">
    <w:pPr>
      <w:pStyle w:val="Header"/>
      <w:rPr>
        <w:rStyle w:val="PageNumber"/>
        <w:lang w:val="en-US"/>
      </w:rPr>
    </w:pPr>
    <w:r>
      <w:rPr>
        <w:rStyle w:val="PageNumber"/>
        <w:lang w:val="en-US"/>
      </w:rPr>
      <w:t>C/57/13</w:t>
    </w:r>
  </w:p>
  <w:p w14:paraId="44E560C1" w14:textId="77777777" w:rsidR="005A5957" w:rsidRDefault="005A5957">
    <w:pPr>
      <w:pStyle w:val="Header"/>
      <w:rPr>
        <w:lang w:val="en-US"/>
      </w:rPr>
    </w:pPr>
    <w:r>
      <w:rPr>
        <w:lang w:val="en-US"/>
      </w:rPr>
      <w:t xml:space="preserve">Anexo XIX, </w:t>
    </w:r>
    <w:proofErr w:type="spellStart"/>
    <w:r w:rsidRPr="00C5280D">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2EBDADD2" w14:textId="77777777" w:rsidR="005A5957" w:rsidRPr="00C5280D" w:rsidRDefault="005A5957" w:rsidP="006655D3"/>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E6BF8" w14:textId="77777777" w:rsidR="00AE786B" w:rsidRDefault="00AD5CA2">
    <w:pPr>
      <w:pStyle w:val="Header"/>
      <w:rPr>
        <w:rStyle w:val="PageNumber"/>
        <w:lang w:val="en-US"/>
      </w:rPr>
    </w:pPr>
    <w:r>
      <w:rPr>
        <w:rStyle w:val="PageNumber"/>
        <w:lang w:val="en-US"/>
      </w:rPr>
      <w:t>C/57/13</w:t>
    </w:r>
  </w:p>
  <w:p w14:paraId="7BF0FEA7" w14:textId="77777777" w:rsidR="00AE786B" w:rsidRDefault="00AD5CA2">
    <w:pPr>
      <w:pStyle w:val="Header"/>
      <w:rPr>
        <w:lang w:val="en-US"/>
      </w:rPr>
    </w:pPr>
    <w:r>
      <w:rPr>
        <w:lang w:val="en-US"/>
      </w:rPr>
      <w:t xml:space="preserve">Anexo XX, </w:t>
    </w:r>
    <w:proofErr w:type="spellStart"/>
    <w:r w:rsidRPr="00C5280D">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67664CA5" w14:textId="77777777" w:rsidR="000C222E" w:rsidRPr="00C5280D" w:rsidRDefault="00AD5CA2"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05213" w14:textId="77777777" w:rsidR="005A5957" w:rsidRDefault="005A5957">
    <w:pPr>
      <w:pStyle w:val="Header"/>
      <w:rPr>
        <w:rStyle w:val="PageNumber"/>
        <w:lang w:val="en-US"/>
      </w:rPr>
    </w:pPr>
    <w:r>
      <w:rPr>
        <w:rStyle w:val="PageNumber"/>
        <w:lang w:val="en-US"/>
      </w:rPr>
      <w:t>C/57/13</w:t>
    </w:r>
  </w:p>
  <w:p w14:paraId="417962D1" w14:textId="77777777" w:rsidR="005A5957" w:rsidRDefault="005A5957">
    <w:pPr>
      <w:pStyle w:val="Header"/>
      <w:rPr>
        <w:lang w:val="en-US"/>
      </w:rPr>
    </w:pPr>
    <w:r>
      <w:rPr>
        <w:lang w:val="en-US"/>
      </w:rPr>
      <w:t xml:space="preserve">Anexo I, </w:t>
    </w:r>
    <w:proofErr w:type="spellStart"/>
    <w:r w:rsidRPr="00C5280D">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68D0C371" w14:textId="77777777" w:rsidR="005A5957" w:rsidRPr="00C5280D" w:rsidRDefault="005A5957"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B527" w14:textId="77777777" w:rsidR="005A5957" w:rsidRDefault="005A5957">
    <w:pPr>
      <w:pStyle w:val="Header"/>
      <w:rPr>
        <w:rStyle w:val="PageNumber"/>
        <w:lang w:val="en-US"/>
      </w:rPr>
    </w:pPr>
    <w:r>
      <w:rPr>
        <w:rStyle w:val="PageNumber"/>
        <w:lang w:val="en-US"/>
      </w:rPr>
      <w:t>C/57/13</w:t>
    </w:r>
  </w:p>
  <w:p w14:paraId="47108224" w14:textId="77777777" w:rsidR="005A5957" w:rsidRDefault="005A5957">
    <w:pPr>
      <w:pStyle w:val="Header"/>
      <w:rPr>
        <w:lang w:val="en-US"/>
      </w:rPr>
    </w:pPr>
    <w:r>
      <w:rPr>
        <w:lang w:val="en-US"/>
      </w:rPr>
      <w:t xml:space="preserve">Anexo II, </w:t>
    </w:r>
    <w:proofErr w:type="spellStart"/>
    <w:r w:rsidRPr="00C5280D">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5F5D8B46" w14:textId="77777777" w:rsidR="005A5957" w:rsidRPr="00C5280D" w:rsidRDefault="005A5957" w:rsidP="006655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539A" w14:textId="77777777" w:rsidR="005A5957" w:rsidRDefault="005A5957">
    <w:pPr>
      <w:pStyle w:val="Header"/>
      <w:rPr>
        <w:rStyle w:val="PageNumber"/>
        <w:lang w:val="en-US"/>
      </w:rPr>
    </w:pPr>
    <w:r>
      <w:rPr>
        <w:rStyle w:val="PageNumber"/>
        <w:lang w:val="en-US"/>
      </w:rPr>
      <w:t>C/57/13</w:t>
    </w:r>
  </w:p>
  <w:p w14:paraId="0F31F1DF" w14:textId="77777777" w:rsidR="005A5957" w:rsidRDefault="005A5957">
    <w:pPr>
      <w:pStyle w:val="Header"/>
      <w:rPr>
        <w:lang w:val="en-US"/>
      </w:rPr>
    </w:pPr>
    <w:r>
      <w:rPr>
        <w:lang w:val="en-US"/>
      </w:rPr>
      <w:t xml:space="preserve">Anexo III, </w:t>
    </w:r>
    <w:proofErr w:type="spellStart"/>
    <w:r w:rsidRPr="00C5280D">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0A18B0F6" w14:textId="77777777" w:rsidR="005A5957" w:rsidRPr="00C5280D" w:rsidRDefault="005A5957"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AD09" w14:textId="77777777" w:rsidR="005A5957" w:rsidRDefault="005A5957">
    <w:pPr>
      <w:pStyle w:val="Header"/>
      <w:rPr>
        <w:rStyle w:val="PageNumber"/>
        <w:lang w:val="en-US"/>
      </w:rPr>
    </w:pPr>
    <w:r>
      <w:rPr>
        <w:rStyle w:val="PageNumber"/>
        <w:lang w:val="en-US"/>
      </w:rPr>
      <w:t>C/57/13</w:t>
    </w:r>
  </w:p>
  <w:p w14:paraId="736C1BFE" w14:textId="77777777" w:rsidR="005A5957" w:rsidRDefault="005A5957">
    <w:pPr>
      <w:pStyle w:val="Header"/>
      <w:rPr>
        <w:lang w:val="en-US"/>
      </w:rPr>
    </w:pPr>
    <w:r>
      <w:rPr>
        <w:lang w:val="en-US"/>
      </w:rPr>
      <w:t xml:space="preserve">Anexo IV, </w:t>
    </w:r>
    <w:proofErr w:type="spellStart"/>
    <w:r w:rsidRPr="00C5280D">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157AC46E" w14:textId="77777777" w:rsidR="005A5957" w:rsidRPr="00C5280D" w:rsidRDefault="005A5957" w:rsidP="006655D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82E1" w14:textId="77777777" w:rsidR="005A5957" w:rsidRDefault="005A5957">
    <w:pPr>
      <w:pStyle w:val="Header"/>
      <w:rPr>
        <w:rStyle w:val="PageNumber"/>
        <w:lang w:val="en-US"/>
      </w:rPr>
    </w:pPr>
    <w:r>
      <w:rPr>
        <w:rStyle w:val="PageNumber"/>
        <w:lang w:val="en-US"/>
      </w:rPr>
      <w:t>C/57/13</w:t>
    </w:r>
  </w:p>
  <w:p w14:paraId="5FA8A390" w14:textId="77777777" w:rsidR="005A5957" w:rsidRDefault="005A5957">
    <w:pPr>
      <w:pStyle w:val="Header"/>
      <w:rPr>
        <w:lang w:val="en-US"/>
      </w:rPr>
    </w:pPr>
    <w:r>
      <w:rPr>
        <w:lang w:val="en-US"/>
      </w:rPr>
      <w:t xml:space="preserve">Anexo V, </w:t>
    </w:r>
    <w:proofErr w:type="spellStart"/>
    <w:r w:rsidRPr="00C5280D">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6397C37F" w14:textId="77777777" w:rsidR="005A5957" w:rsidRPr="00C5280D" w:rsidRDefault="005A5957" w:rsidP="006655D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8936" w14:textId="77777777" w:rsidR="005A5957" w:rsidRDefault="005A5957">
    <w:pPr>
      <w:pStyle w:val="Header"/>
      <w:rPr>
        <w:rStyle w:val="PageNumber"/>
        <w:lang w:val="en-US"/>
      </w:rPr>
    </w:pPr>
    <w:r>
      <w:rPr>
        <w:rStyle w:val="PageNumber"/>
        <w:lang w:val="en-US"/>
      </w:rPr>
      <w:t>C/57/13</w:t>
    </w:r>
  </w:p>
  <w:p w14:paraId="6C09CF7B" w14:textId="77777777" w:rsidR="005A5957" w:rsidRDefault="005A5957">
    <w:pPr>
      <w:pStyle w:val="Header"/>
      <w:rPr>
        <w:lang w:val="en-US"/>
      </w:rPr>
    </w:pPr>
    <w:r>
      <w:rPr>
        <w:lang w:val="en-US"/>
      </w:rPr>
      <w:t xml:space="preserve">Anexo VII, </w:t>
    </w:r>
    <w:proofErr w:type="spellStart"/>
    <w:r w:rsidRPr="00C5280D">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4F698D0E" w14:textId="77777777" w:rsidR="005A5957" w:rsidRPr="00C5280D" w:rsidRDefault="005A5957" w:rsidP="006655D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215F" w14:textId="77777777" w:rsidR="005A5957" w:rsidRDefault="005A5957">
    <w:pPr>
      <w:pStyle w:val="Header"/>
      <w:rPr>
        <w:rStyle w:val="PageNumber"/>
        <w:lang w:val="en-US"/>
      </w:rPr>
    </w:pPr>
    <w:r>
      <w:rPr>
        <w:rStyle w:val="PageNumber"/>
        <w:lang w:val="en-US"/>
      </w:rPr>
      <w:t>C/57/13</w:t>
    </w:r>
  </w:p>
  <w:p w14:paraId="55370E8E" w14:textId="77777777" w:rsidR="005A5957" w:rsidRDefault="005A5957">
    <w:pPr>
      <w:pStyle w:val="Header"/>
      <w:rPr>
        <w:lang w:val="en-US"/>
      </w:rPr>
    </w:pPr>
    <w:r>
      <w:rPr>
        <w:lang w:val="en-US"/>
      </w:rPr>
      <w:t xml:space="preserve">Anexo VIII, </w:t>
    </w:r>
    <w:proofErr w:type="spellStart"/>
    <w:r w:rsidRPr="00C5280D">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3C363DA5" w14:textId="77777777" w:rsidR="005A5957" w:rsidRPr="00C5280D" w:rsidRDefault="005A5957" w:rsidP="006655D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8DF61" w14:textId="77777777" w:rsidR="005A5957" w:rsidRDefault="005A5957">
    <w:pPr>
      <w:pStyle w:val="Header"/>
      <w:rPr>
        <w:rStyle w:val="PageNumber"/>
        <w:lang w:val="en-US"/>
      </w:rPr>
    </w:pPr>
    <w:r>
      <w:rPr>
        <w:rStyle w:val="PageNumber"/>
        <w:lang w:val="en-US"/>
      </w:rPr>
      <w:t>C/57/13</w:t>
    </w:r>
  </w:p>
  <w:p w14:paraId="3B1E798F" w14:textId="77777777" w:rsidR="005A5957" w:rsidRDefault="005A5957">
    <w:pPr>
      <w:pStyle w:val="Header"/>
      <w:rPr>
        <w:lang w:val="en-US"/>
      </w:rPr>
    </w:pPr>
    <w:r>
      <w:rPr>
        <w:lang w:val="en-US"/>
      </w:rPr>
      <w:t xml:space="preserve">Anexo IX, </w:t>
    </w:r>
    <w:proofErr w:type="spellStart"/>
    <w:r w:rsidRPr="00C5280D">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1B2A3D51" w14:textId="77777777" w:rsidR="005A5957" w:rsidRPr="00C5280D" w:rsidRDefault="005A5957"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1" type="#_x0000_t75" style="width:9.15pt;height:9.15pt" o:bullet="t">
        <v:imagedata r:id="rId1" o:title="j0115868"/>
      </v:shape>
    </w:pict>
  </w:numPicBullet>
  <w:abstractNum w:abstractNumId="0" w15:restartNumberingAfterBreak="0">
    <w:nsid w:val="00CF3A6C"/>
    <w:multiLevelType w:val="hybridMultilevel"/>
    <w:tmpl w:val="052CDFFC"/>
    <w:lvl w:ilvl="0" w:tplc="D098F610">
      <w:start w:val="1"/>
      <w:numFmt w:val="bullet"/>
      <w:lvlText w:val=""/>
      <w:lvlPicBulletId w:val="0"/>
      <w:lvlJc w:val="left"/>
      <w:pPr>
        <w:ind w:left="360" w:hanging="360"/>
      </w:pPr>
      <w:rPr>
        <w:rFonts w:ascii="Symbol" w:hAnsi="Symbol" w:hint="default"/>
        <w:color w:val="auto"/>
        <w:u w:color="00B050"/>
      </w:rPr>
    </w:lvl>
    <w:lvl w:ilvl="1" w:tplc="04090003" w:tentative="1">
      <w:start w:val="1"/>
      <w:numFmt w:val="bullet"/>
      <w:lvlText w:val="o"/>
      <w:lvlJc w:val="left"/>
      <w:pPr>
        <w:ind w:left="1079" w:hanging="360"/>
      </w:pPr>
      <w:rPr>
        <w:rFonts w:ascii="Courier New" w:hAnsi="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 w15:restartNumberingAfterBreak="0">
    <w:nsid w:val="016A7EDE"/>
    <w:multiLevelType w:val="hybridMultilevel"/>
    <w:tmpl w:val="AF04D544"/>
    <w:lvl w:ilvl="0" w:tplc="4CEEB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733173"/>
    <w:multiLevelType w:val="hybridMultilevel"/>
    <w:tmpl w:val="C36ECF76"/>
    <w:lvl w:ilvl="0" w:tplc="59CC7F5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805285"/>
    <w:multiLevelType w:val="hybridMultilevel"/>
    <w:tmpl w:val="7C1E29D4"/>
    <w:lvl w:ilvl="0" w:tplc="EDCA0E1A">
      <w:start w:val="1"/>
      <w:numFmt w:val="decimal"/>
      <w:lvlText w:val="%1."/>
      <w:lvlJc w:val="left"/>
      <w:pPr>
        <w:ind w:left="780" w:hanging="4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0E5A16"/>
    <w:multiLevelType w:val="hybridMultilevel"/>
    <w:tmpl w:val="0C86E46A"/>
    <w:lvl w:ilvl="0" w:tplc="51823D76">
      <w:numFmt w:val="bullet"/>
      <w:lvlText w:val=""/>
      <w:lvlJc w:val="left"/>
      <w:pPr>
        <w:ind w:left="783" w:hanging="360"/>
      </w:pPr>
      <w:rPr>
        <w:rFonts w:ascii="Symbol" w:hAnsi="Symbol" w:cs="Times New Roman" w:hint="default"/>
        <w:sz w:val="24"/>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 w15:restartNumberingAfterBreak="0">
    <w:nsid w:val="072720AE"/>
    <w:multiLevelType w:val="hybridMultilevel"/>
    <w:tmpl w:val="B57E51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B782E8A"/>
    <w:multiLevelType w:val="hybridMultilevel"/>
    <w:tmpl w:val="1EA6224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D1367"/>
    <w:multiLevelType w:val="hybridMultilevel"/>
    <w:tmpl w:val="79FE8DD2"/>
    <w:lvl w:ilvl="0" w:tplc="CDEC938A">
      <w:start w:val="2"/>
      <w:numFmt w:val="bullet"/>
      <w:lvlText w:val="-"/>
      <w:lvlJc w:val="left"/>
      <w:pPr>
        <w:ind w:left="720" w:hanging="360"/>
      </w:pPr>
      <w:rPr>
        <w:rFonts w:ascii="Calibri" w:eastAsiaTheme="minorHAnsi" w:hAnsi="Calibri" w:cs="Calibri"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15:restartNumberingAfterBreak="0">
    <w:nsid w:val="1466446C"/>
    <w:multiLevelType w:val="multilevel"/>
    <w:tmpl w:val="E6E6A6E0"/>
    <w:lvl w:ilvl="0">
      <w:start w:val="1"/>
      <w:numFmt w:val="decimal"/>
      <w:lvlText w:val="%1.0"/>
      <w:lvlJc w:val="left"/>
      <w:pPr>
        <w:ind w:left="360" w:hanging="360"/>
      </w:pPr>
      <w:rPr>
        <w:rFonts w:hint="default"/>
        <w:b/>
        <w:u w:val="none"/>
      </w:rPr>
    </w:lvl>
    <w:lvl w:ilvl="1">
      <w:start w:val="1"/>
      <w:numFmt w:val="decimal"/>
      <w:lvlText w:val="%1.%2"/>
      <w:lvlJc w:val="left"/>
      <w:pPr>
        <w:ind w:left="1080" w:hanging="360"/>
      </w:pPr>
      <w:rPr>
        <w:rFonts w:hint="default"/>
        <w:b/>
        <w:u w:val="none"/>
      </w:rPr>
    </w:lvl>
    <w:lvl w:ilvl="2">
      <w:start w:val="1"/>
      <w:numFmt w:val="decimal"/>
      <w:lvlText w:val="%1.%2.%3"/>
      <w:lvlJc w:val="left"/>
      <w:pPr>
        <w:ind w:left="2160" w:hanging="720"/>
      </w:pPr>
      <w:rPr>
        <w:rFonts w:hint="default"/>
        <w:b/>
        <w:u w:val="none"/>
      </w:rPr>
    </w:lvl>
    <w:lvl w:ilvl="3">
      <w:start w:val="1"/>
      <w:numFmt w:val="decimal"/>
      <w:lvlText w:val="%1.%2.%3.%4"/>
      <w:lvlJc w:val="left"/>
      <w:pPr>
        <w:ind w:left="2880" w:hanging="720"/>
      </w:pPr>
      <w:rPr>
        <w:rFonts w:hint="default"/>
        <w:b/>
        <w:u w:val="none"/>
      </w:rPr>
    </w:lvl>
    <w:lvl w:ilvl="4">
      <w:start w:val="1"/>
      <w:numFmt w:val="decimal"/>
      <w:lvlText w:val="%1.%2.%3.%4.%5"/>
      <w:lvlJc w:val="left"/>
      <w:pPr>
        <w:ind w:left="3960" w:hanging="1080"/>
      </w:pPr>
      <w:rPr>
        <w:rFonts w:hint="default"/>
        <w:b/>
        <w:u w:val="none"/>
      </w:rPr>
    </w:lvl>
    <w:lvl w:ilvl="5">
      <w:start w:val="1"/>
      <w:numFmt w:val="decimal"/>
      <w:lvlText w:val="%1.%2.%3.%4.%5.%6"/>
      <w:lvlJc w:val="left"/>
      <w:pPr>
        <w:ind w:left="4680" w:hanging="1080"/>
      </w:pPr>
      <w:rPr>
        <w:rFonts w:hint="default"/>
        <w:b/>
        <w:u w:val="none"/>
      </w:rPr>
    </w:lvl>
    <w:lvl w:ilvl="6">
      <w:start w:val="1"/>
      <w:numFmt w:val="decimal"/>
      <w:lvlText w:val="%1.%2.%3.%4.%5.%6.%7"/>
      <w:lvlJc w:val="left"/>
      <w:pPr>
        <w:ind w:left="5760" w:hanging="1440"/>
      </w:pPr>
      <w:rPr>
        <w:rFonts w:hint="default"/>
        <w:b/>
        <w:u w:val="none"/>
      </w:rPr>
    </w:lvl>
    <w:lvl w:ilvl="7">
      <w:start w:val="1"/>
      <w:numFmt w:val="decimal"/>
      <w:lvlText w:val="%1.%2.%3.%4.%5.%6.%7.%8"/>
      <w:lvlJc w:val="left"/>
      <w:pPr>
        <w:ind w:left="6480" w:hanging="1440"/>
      </w:pPr>
      <w:rPr>
        <w:rFonts w:hint="default"/>
        <w:b/>
        <w:u w:val="none"/>
      </w:rPr>
    </w:lvl>
    <w:lvl w:ilvl="8">
      <w:start w:val="1"/>
      <w:numFmt w:val="decimal"/>
      <w:lvlText w:val="%1.%2.%3.%4.%5.%6.%7.%8.%9"/>
      <w:lvlJc w:val="left"/>
      <w:pPr>
        <w:ind w:left="7200" w:hanging="1440"/>
      </w:pPr>
      <w:rPr>
        <w:rFonts w:hint="default"/>
        <w:b/>
        <w:u w:val="none"/>
      </w:rPr>
    </w:lvl>
  </w:abstractNum>
  <w:abstractNum w:abstractNumId="9" w15:restartNumberingAfterBreak="0">
    <w:nsid w:val="1AD926F1"/>
    <w:multiLevelType w:val="hybridMultilevel"/>
    <w:tmpl w:val="665A21F8"/>
    <w:lvl w:ilvl="0" w:tplc="572227A6">
      <w:start w:val="1"/>
      <w:numFmt w:val="bullet"/>
      <w:lvlText w:val="-"/>
      <w:lvlJc w:val="left"/>
      <w:pPr>
        <w:ind w:left="720" w:hanging="360"/>
      </w:pPr>
      <w:rPr>
        <w:rFonts w:ascii="Tahoma" w:eastAsia="Cambr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F465E9"/>
    <w:multiLevelType w:val="hybridMultilevel"/>
    <w:tmpl w:val="F022EBAC"/>
    <w:lvl w:ilvl="0" w:tplc="51823D76">
      <w:numFmt w:val="bullet"/>
      <w:lvlText w:val=""/>
      <w:lvlJc w:val="left"/>
      <w:pPr>
        <w:ind w:left="783" w:hanging="360"/>
      </w:pPr>
      <w:rPr>
        <w:rFonts w:ascii="Symbol" w:hAnsi="Symbol" w:cs="Times New Roman" w:hint="default"/>
        <w:sz w:val="24"/>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1" w15:restartNumberingAfterBreak="0">
    <w:nsid w:val="25EA41AC"/>
    <w:multiLevelType w:val="hybridMultilevel"/>
    <w:tmpl w:val="3F7600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7C904DD"/>
    <w:multiLevelType w:val="hybridMultilevel"/>
    <w:tmpl w:val="DB6AE96C"/>
    <w:lvl w:ilvl="0" w:tplc="04090001">
      <w:start w:val="1"/>
      <w:numFmt w:val="bullet"/>
      <w:lvlText w:val=""/>
      <w:lvlJc w:val="left"/>
      <w:pPr>
        <w:ind w:left="783" w:hanging="360"/>
      </w:pPr>
      <w:rPr>
        <w:rFonts w:ascii="Symbol" w:hAnsi="Symbol" w:hint="default"/>
        <w:sz w:val="24"/>
      </w:rPr>
    </w:lvl>
    <w:lvl w:ilvl="1" w:tplc="FFFFFFFF" w:tentative="1">
      <w:start w:val="1"/>
      <w:numFmt w:val="bullet"/>
      <w:lvlText w:val="o"/>
      <w:lvlJc w:val="left"/>
      <w:pPr>
        <w:ind w:left="1503" w:hanging="360"/>
      </w:pPr>
      <w:rPr>
        <w:rFonts w:ascii="Courier New" w:hAnsi="Courier New" w:cs="Courier New" w:hint="default"/>
      </w:rPr>
    </w:lvl>
    <w:lvl w:ilvl="2" w:tplc="FFFFFFFF" w:tentative="1">
      <w:start w:val="1"/>
      <w:numFmt w:val="bullet"/>
      <w:lvlText w:val=""/>
      <w:lvlJc w:val="left"/>
      <w:pPr>
        <w:ind w:left="2223" w:hanging="360"/>
      </w:pPr>
      <w:rPr>
        <w:rFonts w:ascii="Wingdings" w:hAnsi="Wingdings" w:hint="default"/>
      </w:rPr>
    </w:lvl>
    <w:lvl w:ilvl="3" w:tplc="FFFFFFFF" w:tentative="1">
      <w:start w:val="1"/>
      <w:numFmt w:val="bullet"/>
      <w:lvlText w:val=""/>
      <w:lvlJc w:val="left"/>
      <w:pPr>
        <w:ind w:left="2943" w:hanging="360"/>
      </w:pPr>
      <w:rPr>
        <w:rFonts w:ascii="Symbol" w:hAnsi="Symbol" w:hint="default"/>
      </w:rPr>
    </w:lvl>
    <w:lvl w:ilvl="4" w:tplc="FFFFFFFF" w:tentative="1">
      <w:start w:val="1"/>
      <w:numFmt w:val="bullet"/>
      <w:lvlText w:val="o"/>
      <w:lvlJc w:val="left"/>
      <w:pPr>
        <w:ind w:left="3663" w:hanging="360"/>
      </w:pPr>
      <w:rPr>
        <w:rFonts w:ascii="Courier New" w:hAnsi="Courier New" w:cs="Courier New" w:hint="default"/>
      </w:rPr>
    </w:lvl>
    <w:lvl w:ilvl="5" w:tplc="FFFFFFFF" w:tentative="1">
      <w:start w:val="1"/>
      <w:numFmt w:val="bullet"/>
      <w:lvlText w:val=""/>
      <w:lvlJc w:val="left"/>
      <w:pPr>
        <w:ind w:left="4383" w:hanging="360"/>
      </w:pPr>
      <w:rPr>
        <w:rFonts w:ascii="Wingdings" w:hAnsi="Wingdings" w:hint="default"/>
      </w:rPr>
    </w:lvl>
    <w:lvl w:ilvl="6" w:tplc="FFFFFFFF" w:tentative="1">
      <w:start w:val="1"/>
      <w:numFmt w:val="bullet"/>
      <w:lvlText w:val=""/>
      <w:lvlJc w:val="left"/>
      <w:pPr>
        <w:ind w:left="5103" w:hanging="360"/>
      </w:pPr>
      <w:rPr>
        <w:rFonts w:ascii="Symbol" w:hAnsi="Symbol" w:hint="default"/>
      </w:rPr>
    </w:lvl>
    <w:lvl w:ilvl="7" w:tplc="FFFFFFFF" w:tentative="1">
      <w:start w:val="1"/>
      <w:numFmt w:val="bullet"/>
      <w:lvlText w:val="o"/>
      <w:lvlJc w:val="left"/>
      <w:pPr>
        <w:ind w:left="5823" w:hanging="360"/>
      </w:pPr>
      <w:rPr>
        <w:rFonts w:ascii="Courier New" w:hAnsi="Courier New" w:cs="Courier New" w:hint="default"/>
      </w:rPr>
    </w:lvl>
    <w:lvl w:ilvl="8" w:tplc="FFFFFFFF" w:tentative="1">
      <w:start w:val="1"/>
      <w:numFmt w:val="bullet"/>
      <w:lvlText w:val=""/>
      <w:lvlJc w:val="left"/>
      <w:pPr>
        <w:ind w:left="6543" w:hanging="360"/>
      </w:pPr>
      <w:rPr>
        <w:rFonts w:ascii="Wingdings" w:hAnsi="Wingdings" w:hint="default"/>
      </w:rPr>
    </w:lvl>
  </w:abstractNum>
  <w:abstractNum w:abstractNumId="13" w15:restartNumberingAfterBreak="0">
    <w:nsid w:val="2BB50783"/>
    <w:multiLevelType w:val="hybridMultilevel"/>
    <w:tmpl w:val="105048A2"/>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B5870"/>
    <w:multiLevelType w:val="hybridMultilevel"/>
    <w:tmpl w:val="0D48DD82"/>
    <w:lvl w:ilvl="0" w:tplc="5712DD6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19F6BCA"/>
    <w:multiLevelType w:val="hybridMultilevel"/>
    <w:tmpl w:val="105AB652"/>
    <w:lvl w:ilvl="0" w:tplc="04090001">
      <w:start w:val="1"/>
      <w:numFmt w:val="bullet"/>
      <w:lvlText w:val=""/>
      <w:lvlJc w:val="left"/>
      <w:pPr>
        <w:ind w:left="783" w:hanging="360"/>
      </w:pPr>
      <w:rPr>
        <w:rFonts w:ascii="Symbol" w:hAnsi="Symbol" w:hint="default"/>
        <w:sz w:val="24"/>
      </w:rPr>
    </w:lvl>
    <w:lvl w:ilvl="1" w:tplc="FFFFFFFF" w:tentative="1">
      <w:start w:val="1"/>
      <w:numFmt w:val="bullet"/>
      <w:lvlText w:val="o"/>
      <w:lvlJc w:val="left"/>
      <w:pPr>
        <w:ind w:left="1503" w:hanging="360"/>
      </w:pPr>
      <w:rPr>
        <w:rFonts w:ascii="Courier New" w:hAnsi="Courier New" w:cs="Courier New" w:hint="default"/>
      </w:rPr>
    </w:lvl>
    <w:lvl w:ilvl="2" w:tplc="FFFFFFFF" w:tentative="1">
      <w:start w:val="1"/>
      <w:numFmt w:val="bullet"/>
      <w:lvlText w:val=""/>
      <w:lvlJc w:val="left"/>
      <w:pPr>
        <w:ind w:left="2223" w:hanging="360"/>
      </w:pPr>
      <w:rPr>
        <w:rFonts w:ascii="Wingdings" w:hAnsi="Wingdings" w:hint="default"/>
      </w:rPr>
    </w:lvl>
    <w:lvl w:ilvl="3" w:tplc="FFFFFFFF" w:tentative="1">
      <w:start w:val="1"/>
      <w:numFmt w:val="bullet"/>
      <w:lvlText w:val=""/>
      <w:lvlJc w:val="left"/>
      <w:pPr>
        <w:ind w:left="2943" w:hanging="360"/>
      </w:pPr>
      <w:rPr>
        <w:rFonts w:ascii="Symbol" w:hAnsi="Symbol" w:hint="default"/>
      </w:rPr>
    </w:lvl>
    <w:lvl w:ilvl="4" w:tplc="FFFFFFFF" w:tentative="1">
      <w:start w:val="1"/>
      <w:numFmt w:val="bullet"/>
      <w:lvlText w:val="o"/>
      <w:lvlJc w:val="left"/>
      <w:pPr>
        <w:ind w:left="3663" w:hanging="360"/>
      </w:pPr>
      <w:rPr>
        <w:rFonts w:ascii="Courier New" w:hAnsi="Courier New" w:cs="Courier New" w:hint="default"/>
      </w:rPr>
    </w:lvl>
    <w:lvl w:ilvl="5" w:tplc="FFFFFFFF" w:tentative="1">
      <w:start w:val="1"/>
      <w:numFmt w:val="bullet"/>
      <w:lvlText w:val=""/>
      <w:lvlJc w:val="left"/>
      <w:pPr>
        <w:ind w:left="4383" w:hanging="360"/>
      </w:pPr>
      <w:rPr>
        <w:rFonts w:ascii="Wingdings" w:hAnsi="Wingdings" w:hint="default"/>
      </w:rPr>
    </w:lvl>
    <w:lvl w:ilvl="6" w:tplc="FFFFFFFF" w:tentative="1">
      <w:start w:val="1"/>
      <w:numFmt w:val="bullet"/>
      <w:lvlText w:val=""/>
      <w:lvlJc w:val="left"/>
      <w:pPr>
        <w:ind w:left="5103" w:hanging="360"/>
      </w:pPr>
      <w:rPr>
        <w:rFonts w:ascii="Symbol" w:hAnsi="Symbol" w:hint="default"/>
      </w:rPr>
    </w:lvl>
    <w:lvl w:ilvl="7" w:tplc="FFFFFFFF" w:tentative="1">
      <w:start w:val="1"/>
      <w:numFmt w:val="bullet"/>
      <w:lvlText w:val="o"/>
      <w:lvlJc w:val="left"/>
      <w:pPr>
        <w:ind w:left="5823" w:hanging="360"/>
      </w:pPr>
      <w:rPr>
        <w:rFonts w:ascii="Courier New" w:hAnsi="Courier New" w:cs="Courier New" w:hint="default"/>
      </w:rPr>
    </w:lvl>
    <w:lvl w:ilvl="8" w:tplc="FFFFFFFF" w:tentative="1">
      <w:start w:val="1"/>
      <w:numFmt w:val="bullet"/>
      <w:lvlText w:val=""/>
      <w:lvlJc w:val="left"/>
      <w:pPr>
        <w:ind w:left="6543" w:hanging="360"/>
      </w:pPr>
      <w:rPr>
        <w:rFonts w:ascii="Wingdings" w:hAnsi="Wingdings" w:hint="default"/>
      </w:rPr>
    </w:lvl>
  </w:abstractNum>
  <w:abstractNum w:abstractNumId="16" w15:restartNumberingAfterBreak="0">
    <w:nsid w:val="32F81FDB"/>
    <w:multiLevelType w:val="multilevel"/>
    <w:tmpl w:val="69F2EBC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3667CC6"/>
    <w:multiLevelType w:val="hybridMultilevel"/>
    <w:tmpl w:val="17324FA4"/>
    <w:lvl w:ilvl="0" w:tplc="00FAED7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196199"/>
    <w:multiLevelType w:val="hybridMultilevel"/>
    <w:tmpl w:val="F08A75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1B230A"/>
    <w:multiLevelType w:val="hybridMultilevel"/>
    <w:tmpl w:val="D8025C12"/>
    <w:lvl w:ilvl="0" w:tplc="00FAED7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A75C69"/>
    <w:multiLevelType w:val="hybridMultilevel"/>
    <w:tmpl w:val="36D056E8"/>
    <w:lvl w:ilvl="0" w:tplc="83D887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065751"/>
    <w:multiLevelType w:val="hybridMultilevel"/>
    <w:tmpl w:val="243ED0D4"/>
    <w:lvl w:ilvl="0" w:tplc="20326618">
      <w:start w:val="1"/>
      <w:numFmt w:val="upp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2" w15:restartNumberingAfterBreak="0">
    <w:nsid w:val="417016FE"/>
    <w:multiLevelType w:val="hybridMultilevel"/>
    <w:tmpl w:val="722EDDA8"/>
    <w:lvl w:ilvl="0" w:tplc="4CEEB07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6C739D"/>
    <w:multiLevelType w:val="hybridMultilevel"/>
    <w:tmpl w:val="6E6ECCAC"/>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 w15:restartNumberingAfterBreak="0">
    <w:nsid w:val="47F66706"/>
    <w:multiLevelType w:val="hybridMultilevel"/>
    <w:tmpl w:val="2D60358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4E93105E"/>
    <w:multiLevelType w:val="hybridMultilevel"/>
    <w:tmpl w:val="2348C6F6"/>
    <w:lvl w:ilvl="0" w:tplc="00FAED7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7" w15:restartNumberingAfterBreak="0">
    <w:nsid w:val="54CC70D5"/>
    <w:multiLevelType w:val="hybridMultilevel"/>
    <w:tmpl w:val="D62ABCC0"/>
    <w:lvl w:ilvl="0" w:tplc="B9E86E7C">
      <w:start w:val="4"/>
      <w:numFmt w:val="decimal"/>
      <w:lvlText w:val="%1."/>
      <w:lvlJc w:val="left"/>
      <w:pPr>
        <w:tabs>
          <w:tab w:val="num" w:pos="1080"/>
        </w:tabs>
        <w:ind w:left="1080" w:hanging="360"/>
      </w:pPr>
      <w:rPr>
        <w:rFonts w:hint="default"/>
        <w:u w:val="none"/>
      </w:rPr>
    </w:lvl>
    <w:lvl w:ilvl="1" w:tplc="14090019" w:tentative="1">
      <w:start w:val="1"/>
      <w:numFmt w:val="lowerLetter"/>
      <w:lvlText w:val="%2."/>
      <w:lvlJc w:val="left"/>
      <w:pPr>
        <w:tabs>
          <w:tab w:val="num" w:pos="1800"/>
        </w:tabs>
        <w:ind w:left="1800" w:hanging="360"/>
      </w:pPr>
    </w:lvl>
    <w:lvl w:ilvl="2" w:tplc="1409001B" w:tentative="1">
      <w:start w:val="1"/>
      <w:numFmt w:val="lowerRoman"/>
      <w:lvlText w:val="%3."/>
      <w:lvlJc w:val="right"/>
      <w:pPr>
        <w:tabs>
          <w:tab w:val="num" w:pos="2520"/>
        </w:tabs>
        <w:ind w:left="2520" w:hanging="180"/>
      </w:pPr>
    </w:lvl>
    <w:lvl w:ilvl="3" w:tplc="1409000F" w:tentative="1">
      <w:start w:val="1"/>
      <w:numFmt w:val="decimal"/>
      <w:lvlText w:val="%4."/>
      <w:lvlJc w:val="left"/>
      <w:pPr>
        <w:tabs>
          <w:tab w:val="num" w:pos="3240"/>
        </w:tabs>
        <w:ind w:left="3240" w:hanging="360"/>
      </w:pPr>
    </w:lvl>
    <w:lvl w:ilvl="4" w:tplc="14090019" w:tentative="1">
      <w:start w:val="1"/>
      <w:numFmt w:val="lowerLetter"/>
      <w:lvlText w:val="%5."/>
      <w:lvlJc w:val="left"/>
      <w:pPr>
        <w:tabs>
          <w:tab w:val="num" w:pos="3960"/>
        </w:tabs>
        <w:ind w:left="3960" w:hanging="360"/>
      </w:pPr>
    </w:lvl>
    <w:lvl w:ilvl="5" w:tplc="1409001B" w:tentative="1">
      <w:start w:val="1"/>
      <w:numFmt w:val="lowerRoman"/>
      <w:lvlText w:val="%6."/>
      <w:lvlJc w:val="right"/>
      <w:pPr>
        <w:tabs>
          <w:tab w:val="num" w:pos="4680"/>
        </w:tabs>
        <w:ind w:left="4680" w:hanging="180"/>
      </w:pPr>
    </w:lvl>
    <w:lvl w:ilvl="6" w:tplc="1409000F" w:tentative="1">
      <w:start w:val="1"/>
      <w:numFmt w:val="decimal"/>
      <w:lvlText w:val="%7."/>
      <w:lvlJc w:val="left"/>
      <w:pPr>
        <w:tabs>
          <w:tab w:val="num" w:pos="5400"/>
        </w:tabs>
        <w:ind w:left="5400" w:hanging="360"/>
      </w:pPr>
    </w:lvl>
    <w:lvl w:ilvl="7" w:tplc="14090019" w:tentative="1">
      <w:start w:val="1"/>
      <w:numFmt w:val="lowerLetter"/>
      <w:lvlText w:val="%8."/>
      <w:lvlJc w:val="left"/>
      <w:pPr>
        <w:tabs>
          <w:tab w:val="num" w:pos="6120"/>
        </w:tabs>
        <w:ind w:left="6120" w:hanging="360"/>
      </w:pPr>
    </w:lvl>
    <w:lvl w:ilvl="8" w:tplc="1409001B" w:tentative="1">
      <w:start w:val="1"/>
      <w:numFmt w:val="lowerRoman"/>
      <w:lvlText w:val="%9."/>
      <w:lvlJc w:val="right"/>
      <w:pPr>
        <w:tabs>
          <w:tab w:val="num" w:pos="6840"/>
        </w:tabs>
        <w:ind w:left="6840" w:hanging="180"/>
      </w:pPr>
    </w:lvl>
  </w:abstractNum>
  <w:abstractNum w:abstractNumId="28" w15:restartNumberingAfterBreak="0">
    <w:nsid w:val="551C56EA"/>
    <w:multiLevelType w:val="hybridMultilevel"/>
    <w:tmpl w:val="21AC2A40"/>
    <w:lvl w:ilvl="0" w:tplc="F20C44F6">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5F14E9A"/>
    <w:multiLevelType w:val="hybridMultilevel"/>
    <w:tmpl w:val="70DE50A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791ECB"/>
    <w:multiLevelType w:val="hybridMultilevel"/>
    <w:tmpl w:val="F6FEF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75E7727"/>
    <w:multiLevelType w:val="multilevel"/>
    <w:tmpl w:val="E4401F0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CEF11C4"/>
    <w:multiLevelType w:val="hybridMultilevel"/>
    <w:tmpl w:val="1706A316"/>
    <w:lvl w:ilvl="0" w:tplc="EE0CECBE">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3545C64"/>
    <w:multiLevelType w:val="hybridMultilevel"/>
    <w:tmpl w:val="7C6CB9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38F2E5B"/>
    <w:multiLevelType w:val="hybridMultilevel"/>
    <w:tmpl w:val="0C4A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051C22"/>
    <w:multiLevelType w:val="hybridMultilevel"/>
    <w:tmpl w:val="E344537C"/>
    <w:lvl w:ilvl="0" w:tplc="33826668">
      <w:start w:val="1"/>
      <w:numFmt w:val="upperRoman"/>
      <w:lvlText w:val="%1."/>
      <w:lvlJc w:val="left"/>
      <w:pPr>
        <w:tabs>
          <w:tab w:val="num" w:pos="1080"/>
        </w:tabs>
        <w:ind w:left="1080" w:hanging="720"/>
      </w:pPr>
      <w:rPr>
        <w:rFonts w:hint="default"/>
      </w:rPr>
    </w:lvl>
    <w:lvl w:ilvl="1" w:tplc="1EE234E8">
      <w:numFmt w:val="none"/>
      <w:lvlText w:val=""/>
      <w:lvlJc w:val="left"/>
      <w:pPr>
        <w:tabs>
          <w:tab w:val="num" w:pos="360"/>
        </w:tabs>
      </w:pPr>
    </w:lvl>
    <w:lvl w:ilvl="2" w:tplc="2F0EB24A">
      <w:numFmt w:val="none"/>
      <w:lvlText w:val=""/>
      <w:lvlJc w:val="left"/>
      <w:pPr>
        <w:tabs>
          <w:tab w:val="num" w:pos="360"/>
        </w:tabs>
      </w:pPr>
    </w:lvl>
    <w:lvl w:ilvl="3" w:tplc="781C5C92">
      <w:numFmt w:val="none"/>
      <w:lvlText w:val=""/>
      <w:lvlJc w:val="left"/>
      <w:pPr>
        <w:tabs>
          <w:tab w:val="num" w:pos="360"/>
        </w:tabs>
      </w:pPr>
    </w:lvl>
    <w:lvl w:ilvl="4" w:tplc="AC40C842">
      <w:numFmt w:val="none"/>
      <w:lvlText w:val=""/>
      <w:lvlJc w:val="left"/>
      <w:pPr>
        <w:tabs>
          <w:tab w:val="num" w:pos="360"/>
        </w:tabs>
      </w:pPr>
    </w:lvl>
    <w:lvl w:ilvl="5" w:tplc="3A924C62">
      <w:numFmt w:val="none"/>
      <w:lvlText w:val=""/>
      <w:lvlJc w:val="left"/>
      <w:pPr>
        <w:tabs>
          <w:tab w:val="num" w:pos="360"/>
        </w:tabs>
      </w:pPr>
    </w:lvl>
    <w:lvl w:ilvl="6" w:tplc="AB740A62">
      <w:numFmt w:val="none"/>
      <w:lvlText w:val=""/>
      <w:lvlJc w:val="left"/>
      <w:pPr>
        <w:tabs>
          <w:tab w:val="num" w:pos="360"/>
        </w:tabs>
      </w:pPr>
    </w:lvl>
    <w:lvl w:ilvl="7" w:tplc="AFDE4A84">
      <w:numFmt w:val="none"/>
      <w:lvlText w:val=""/>
      <w:lvlJc w:val="left"/>
      <w:pPr>
        <w:tabs>
          <w:tab w:val="num" w:pos="360"/>
        </w:tabs>
      </w:pPr>
    </w:lvl>
    <w:lvl w:ilvl="8" w:tplc="3894F1F0">
      <w:numFmt w:val="none"/>
      <w:lvlText w:val=""/>
      <w:lvlJc w:val="left"/>
      <w:pPr>
        <w:tabs>
          <w:tab w:val="num" w:pos="360"/>
        </w:tabs>
      </w:pPr>
    </w:lvl>
  </w:abstractNum>
  <w:abstractNum w:abstractNumId="36" w15:restartNumberingAfterBreak="0">
    <w:nsid w:val="6D010D72"/>
    <w:multiLevelType w:val="hybridMultilevel"/>
    <w:tmpl w:val="D916E032"/>
    <w:lvl w:ilvl="0" w:tplc="040C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F60F33"/>
    <w:multiLevelType w:val="hybridMultilevel"/>
    <w:tmpl w:val="13C27262"/>
    <w:lvl w:ilvl="0" w:tplc="76507D3E">
      <w:start w:val="1"/>
      <w:numFmt w:val="decimal"/>
      <w:lvlText w:val="%1."/>
      <w:lvlJc w:val="left"/>
      <w:pPr>
        <w:ind w:left="442" w:hanging="360"/>
      </w:pPr>
      <w:rPr>
        <w:rFonts w:hint="default"/>
      </w:rPr>
    </w:lvl>
    <w:lvl w:ilvl="1" w:tplc="1C090019" w:tentative="1">
      <w:start w:val="1"/>
      <w:numFmt w:val="lowerLetter"/>
      <w:lvlText w:val="%2."/>
      <w:lvlJc w:val="left"/>
      <w:pPr>
        <w:ind w:left="1162" w:hanging="360"/>
      </w:pPr>
    </w:lvl>
    <w:lvl w:ilvl="2" w:tplc="1C09001B" w:tentative="1">
      <w:start w:val="1"/>
      <w:numFmt w:val="lowerRoman"/>
      <w:lvlText w:val="%3."/>
      <w:lvlJc w:val="right"/>
      <w:pPr>
        <w:ind w:left="1882" w:hanging="180"/>
      </w:pPr>
    </w:lvl>
    <w:lvl w:ilvl="3" w:tplc="1C09000F" w:tentative="1">
      <w:start w:val="1"/>
      <w:numFmt w:val="decimal"/>
      <w:lvlText w:val="%4."/>
      <w:lvlJc w:val="left"/>
      <w:pPr>
        <w:ind w:left="2602" w:hanging="360"/>
      </w:pPr>
    </w:lvl>
    <w:lvl w:ilvl="4" w:tplc="1C090019" w:tentative="1">
      <w:start w:val="1"/>
      <w:numFmt w:val="lowerLetter"/>
      <w:lvlText w:val="%5."/>
      <w:lvlJc w:val="left"/>
      <w:pPr>
        <w:ind w:left="3322" w:hanging="360"/>
      </w:pPr>
    </w:lvl>
    <w:lvl w:ilvl="5" w:tplc="1C09001B" w:tentative="1">
      <w:start w:val="1"/>
      <w:numFmt w:val="lowerRoman"/>
      <w:lvlText w:val="%6."/>
      <w:lvlJc w:val="right"/>
      <w:pPr>
        <w:ind w:left="4042" w:hanging="180"/>
      </w:pPr>
    </w:lvl>
    <w:lvl w:ilvl="6" w:tplc="1C09000F" w:tentative="1">
      <w:start w:val="1"/>
      <w:numFmt w:val="decimal"/>
      <w:lvlText w:val="%7."/>
      <w:lvlJc w:val="left"/>
      <w:pPr>
        <w:ind w:left="4762" w:hanging="360"/>
      </w:pPr>
    </w:lvl>
    <w:lvl w:ilvl="7" w:tplc="1C090019" w:tentative="1">
      <w:start w:val="1"/>
      <w:numFmt w:val="lowerLetter"/>
      <w:lvlText w:val="%8."/>
      <w:lvlJc w:val="left"/>
      <w:pPr>
        <w:ind w:left="5482" w:hanging="360"/>
      </w:pPr>
    </w:lvl>
    <w:lvl w:ilvl="8" w:tplc="1C09001B" w:tentative="1">
      <w:start w:val="1"/>
      <w:numFmt w:val="lowerRoman"/>
      <w:lvlText w:val="%9."/>
      <w:lvlJc w:val="right"/>
      <w:pPr>
        <w:ind w:left="6202" w:hanging="180"/>
      </w:pPr>
    </w:lvl>
  </w:abstractNum>
  <w:abstractNum w:abstractNumId="38" w15:restartNumberingAfterBreak="0">
    <w:nsid w:val="79976242"/>
    <w:multiLevelType w:val="hybridMultilevel"/>
    <w:tmpl w:val="BDECA16C"/>
    <w:lvl w:ilvl="0" w:tplc="CB8088D6">
      <w:start w:val="1"/>
      <w:numFmt w:val="bullet"/>
      <w:lvlText w:val="–"/>
      <w:lvlJc w:val="left"/>
      <w:pPr>
        <w:tabs>
          <w:tab w:val="num" w:pos="720"/>
        </w:tabs>
        <w:ind w:left="720"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DC1C71"/>
    <w:multiLevelType w:val="hybridMultilevel"/>
    <w:tmpl w:val="8B0004A4"/>
    <w:lvl w:ilvl="0" w:tplc="040C0001">
      <w:start w:val="1"/>
      <w:numFmt w:val="bullet"/>
      <w:lvlText w:val=""/>
      <w:lvlJc w:val="left"/>
      <w:pPr>
        <w:ind w:left="783" w:hanging="360"/>
      </w:pPr>
      <w:rPr>
        <w:rFonts w:ascii="Symbol" w:hAnsi="Symbol" w:hint="default"/>
        <w:sz w:val="24"/>
      </w:rPr>
    </w:lvl>
    <w:lvl w:ilvl="1" w:tplc="FFFFFFFF">
      <w:numFmt w:val="bullet"/>
      <w:lvlText w:val="-"/>
      <w:lvlJc w:val="left"/>
      <w:pPr>
        <w:ind w:left="1503" w:hanging="360"/>
      </w:pPr>
      <w:rPr>
        <w:rFonts w:ascii="Times New Roman" w:eastAsia="Times New Roman" w:hAnsi="Times New Roman" w:cs="Times New Roman" w:hint="default"/>
      </w:rPr>
    </w:lvl>
    <w:lvl w:ilvl="2" w:tplc="FFFFFFFF">
      <w:start w:val="1"/>
      <w:numFmt w:val="bullet"/>
      <w:lvlText w:val=""/>
      <w:lvlJc w:val="left"/>
      <w:pPr>
        <w:ind w:left="2223" w:hanging="360"/>
      </w:pPr>
      <w:rPr>
        <w:rFonts w:ascii="Wingdings" w:hAnsi="Wingdings" w:hint="default"/>
      </w:rPr>
    </w:lvl>
    <w:lvl w:ilvl="3" w:tplc="FFFFFFFF" w:tentative="1">
      <w:start w:val="1"/>
      <w:numFmt w:val="bullet"/>
      <w:lvlText w:val=""/>
      <w:lvlJc w:val="left"/>
      <w:pPr>
        <w:ind w:left="2943" w:hanging="360"/>
      </w:pPr>
      <w:rPr>
        <w:rFonts w:ascii="Symbol" w:hAnsi="Symbol" w:hint="default"/>
      </w:rPr>
    </w:lvl>
    <w:lvl w:ilvl="4" w:tplc="FFFFFFFF" w:tentative="1">
      <w:start w:val="1"/>
      <w:numFmt w:val="bullet"/>
      <w:lvlText w:val="o"/>
      <w:lvlJc w:val="left"/>
      <w:pPr>
        <w:ind w:left="3663" w:hanging="360"/>
      </w:pPr>
      <w:rPr>
        <w:rFonts w:ascii="Courier New" w:hAnsi="Courier New" w:cs="Courier New" w:hint="default"/>
      </w:rPr>
    </w:lvl>
    <w:lvl w:ilvl="5" w:tplc="FFFFFFFF" w:tentative="1">
      <w:start w:val="1"/>
      <w:numFmt w:val="bullet"/>
      <w:lvlText w:val=""/>
      <w:lvlJc w:val="left"/>
      <w:pPr>
        <w:ind w:left="4383" w:hanging="360"/>
      </w:pPr>
      <w:rPr>
        <w:rFonts w:ascii="Wingdings" w:hAnsi="Wingdings" w:hint="default"/>
      </w:rPr>
    </w:lvl>
    <w:lvl w:ilvl="6" w:tplc="FFFFFFFF" w:tentative="1">
      <w:start w:val="1"/>
      <w:numFmt w:val="bullet"/>
      <w:lvlText w:val=""/>
      <w:lvlJc w:val="left"/>
      <w:pPr>
        <w:ind w:left="5103" w:hanging="360"/>
      </w:pPr>
      <w:rPr>
        <w:rFonts w:ascii="Symbol" w:hAnsi="Symbol" w:hint="default"/>
      </w:rPr>
    </w:lvl>
    <w:lvl w:ilvl="7" w:tplc="FFFFFFFF" w:tentative="1">
      <w:start w:val="1"/>
      <w:numFmt w:val="bullet"/>
      <w:lvlText w:val="o"/>
      <w:lvlJc w:val="left"/>
      <w:pPr>
        <w:ind w:left="5823" w:hanging="360"/>
      </w:pPr>
      <w:rPr>
        <w:rFonts w:ascii="Courier New" w:hAnsi="Courier New" w:cs="Courier New" w:hint="default"/>
      </w:rPr>
    </w:lvl>
    <w:lvl w:ilvl="8" w:tplc="FFFFFFFF" w:tentative="1">
      <w:start w:val="1"/>
      <w:numFmt w:val="bullet"/>
      <w:lvlText w:val=""/>
      <w:lvlJc w:val="left"/>
      <w:pPr>
        <w:ind w:left="6543" w:hanging="360"/>
      </w:pPr>
      <w:rPr>
        <w:rFonts w:ascii="Wingdings" w:hAnsi="Wingdings" w:hint="default"/>
      </w:rPr>
    </w:lvl>
  </w:abstractNum>
  <w:abstractNum w:abstractNumId="40" w15:restartNumberingAfterBreak="0">
    <w:nsid w:val="7DC25E39"/>
    <w:multiLevelType w:val="hybridMultilevel"/>
    <w:tmpl w:val="DD12BC3A"/>
    <w:lvl w:ilvl="0" w:tplc="1409000F">
      <w:start w:val="2"/>
      <w:numFmt w:val="decimal"/>
      <w:lvlText w:val="%1."/>
      <w:lvlJc w:val="left"/>
      <w:pPr>
        <w:tabs>
          <w:tab w:val="num" w:pos="1062"/>
        </w:tabs>
        <w:ind w:left="1062" w:hanging="360"/>
      </w:pPr>
      <w:rPr>
        <w:rFonts w:hint="default"/>
        <w:u w:val="none"/>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41" w15:restartNumberingAfterBreak="0">
    <w:nsid w:val="7DC705A1"/>
    <w:multiLevelType w:val="hybridMultilevel"/>
    <w:tmpl w:val="AEF45F1A"/>
    <w:lvl w:ilvl="0" w:tplc="04090001">
      <w:start w:val="1"/>
      <w:numFmt w:val="bullet"/>
      <w:lvlText w:val=""/>
      <w:lvlJc w:val="left"/>
      <w:pPr>
        <w:ind w:left="360" w:hanging="360"/>
      </w:pPr>
      <w:rPr>
        <w:rFonts w:ascii="Symbol" w:hAnsi="Symbol" w:hint="default"/>
        <w:color w:val="auto"/>
        <w:u w:color="00B050"/>
      </w:rPr>
    </w:lvl>
    <w:lvl w:ilvl="1" w:tplc="FFFFFFFF">
      <w:start w:val="1"/>
      <w:numFmt w:val="bullet"/>
      <w:lvlText w:val="o"/>
      <w:lvlJc w:val="left"/>
      <w:pPr>
        <w:ind w:left="1079" w:hanging="360"/>
      </w:pPr>
      <w:rPr>
        <w:rFonts w:ascii="Courier New" w:hAnsi="Courier New" w:hint="default"/>
      </w:rPr>
    </w:lvl>
    <w:lvl w:ilvl="2" w:tplc="FFFFFFFF" w:tentative="1">
      <w:start w:val="1"/>
      <w:numFmt w:val="bullet"/>
      <w:lvlText w:val=""/>
      <w:lvlJc w:val="left"/>
      <w:pPr>
        <w:ind w:left="1799" w:hanging="360"/>
      </w:pPr>
      <w:rPr>
        <w:rFonts w:ascii="Wingdings" w:hAnsi="Wingdings" w:hint="default"/>
      </w:rPr>
    </w:lvl>
    <w:lvl w:ilvl="3" w:tplc="FFFFFFFF" w:tentative="1">
      <w:start w:val="1"/>
      <w:numFmt w:val="bullet"/>
      <w:lvlText w:val=""/>
      <w:lvlJc w:val="left"/>
      <w:pPr>
        <w:ind w:left="2519" w:hanging="360"/>
      </w:pPr>
      <w:rPr>
        <w:rFonts w:ascii="Symbol" w:hAnsi="Symbol" w:hint="default"/>
      </w:rPr>
    </w:lvl>
    <w:lvl w:ilvl="4" w:tplc="FFFFFFFF" w:tentative="1">
      <w:start w:val="1"/>
      <w:numFmt w:val="bullet"/>
      <w:lvlText w:val="o"/>
      <w:lvlJc w:val="left"/>
      <w:pPr>
        <w:ind w:left="3239" w:hanging="360"/>
      </w:pPr>
      <w:rPr>
        <w:rFonts w:ascii="Courier New" w:hAnsi="Courier New" w:hint="default"/>
      </w:rPr>
    </w:lvl>
    <w:lvl w:ilvl="5" w:tplc="FFFFFFFF" w:tentative="1">
      <w:start w:val="1"/>
      <w:numFmt w:val="bullet"/>
      <w:lvlText w:val=""/>
      <w:lvlJc w:val="left"/>
      <w:pPr>
        <w:ind w:left="3959" w:hanging="360"/>
      </w:pPr>
      <w:rPr>
        <w:rFonts w:ascii="Wingdings" w:hAnsi="Wingdings" w:hint="default"/>
      </w:rPr>
    </w:lvl>
    <w:lvl w:ilvl="6" w:tplc="FFFFFFFF" w:tentative="1">
      <w:start w:val="1"/>
      <w:numFmt w:val="bullet"/>
      <w:lvlText w:val=""/>
      <w:lvlJc w:val="left"/>
      <w:pPr>
        <w:ind w:left="4679" w:hanging="360"/>
      </w:pPr>
      <w:rPr>
        <w:rFonts w:ascii="Symbol" w:hAnsi="Symbol" w:hint="default"/>
      </w:rPr>
    </w:lvl>
    <w:lvl w:ilvl="7" w:tplc="FFFFFFFF" w:tentative="1">
      <w:start w:val="1"/>
      <w:numFmt w:val="bullet"/>
      <w:lvlText w:val="o"/>
      <w:lvlJc w:val="left"/>
      <w:pPr>
        <w:ind w:left="5399" w:hanging="360"/>
      </w:pPr>
      <w:rPr>
        <w:rFonts w:ascii="Courier New" w:hAnsi="Courier New" w:hint="default"/>
      </w:rPr>
    </w:lvl>
    <w:lvl w:ilvl="8" w:tplc="FFFFFFFF" w:tentative="1">
      <w:start w:val="1"/>
      <w:numFmt w:val="bullet"/>
      <w:lvlText w:val=""/>
      <w:lvlJc w:val="left"/>
      <w:pPr>
        <w:ind w:left="6119" w:hanging="360"/>
      </w:pPr>
      <w:rPr>
        <w:rFonts w:ascii="Wingdings" w:hAnsi="Wingdings" w:hint="default"/>
      </w:rPr>
    </w:lvl>
  </w:abstractNum>
  <w:abstractNum w:abstractNumId="42" w15:restartNumberingAfterBreak="0">
    <w:nsid w:val="7F553FC6"/>
    <w:multiLevelType w:val="hybridMultilevel"/>
    <w:tmpl w:val="C2E44858"/>
    <w:lvl w:ilvl="0" w:tplc="59CC7F5E">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36860591">
    <w:abstractNumId w:val="34"/>
  </w:num>
  <w:num w:numId="2" w16cid:durableId="1503816481">
    <w:abstractNumId w:val="37"/>
  </w:num>
  <w:num w:numId="3" w16cid:durableId="447049870">
    <w:abstractNumId w:val="35"/>
  </w:num>
  <w:num w:numId="4" w16cid:durableId="1048260204">
    <w:abstractNumId w:val="40"/>
  </w:num>
  <w:num w:numId="5" w16cid:durableId="671299815">
    <w:abstractNumId w:val="27"/>
  </w:num>
  <w:num w:numId="6" w16cid:durableId="800461996">
    <w:abstractNumId w:val="5"/>
  </w:num>
  <w:num w:numId="7" w16cid:durableId="914360286">
    <w:abstractNumId w:val="11"/>
  </w:num>
  <w:num w:numId="8" w16cid:durableId="148600086">
    <w:abstractNumId w:val="14"/>
  </w:num>
  <w:num w:numId="9" w16cid:durableId="783963973">
    <w:abstractNumId w:val="29"/>
  </w:num>
  <w:num w:numId="10" w16cid:durableId="937175173">
    <w:abstractNumId w:val="6"/>
  </w:num>
  <w:num w:numId="11" w16cid:durableId="1065303239">
    <w:abstractNumId w:val="1"/>
  </w:num>
  <w:num w:numId="12" w16cid:durableId="93579335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1501097">
    <w:abstractNumId w:val="22"/>
  </w:num>
  <w:num w:numId="14" w16cid:durableId="619729352">
    <w:abstractNumId w:val="17"/>
  </w:num>
  <w:num w:numId="15" w16cid:durableId="915944889">
    <w:abstractNumId w:val="20"/>
  </w:num>
  <w:num w:numId="16" w16cid:durableId="1066145839">
    <w:abstractNumId w:val="24"/>
  </w:num>
  <w:num w:numId="17" w16cid:durableId="1791852461">
    <w:abstractNumId w:val="19"/>
  </w:num>
  <w:num w:numId="18" w16cid:durableId="1595895889">
    <w:abstractNumId w:val="26"/>
  </w:num>
  <w:num w:numId="19" w16cid:durableId="836652746">
    <w:abstractNumId w:val="36"/>
  </w:num>
  <w:num w:numId="20" w16cid:durableId="1771317579">
    <w:abstractNumId w:val="10"/>
  </w:num>
  <w:num w:numId="21" w16cid:durableId="1739595172">
    <w:abstractNumId w:val="4"/>
  </w:num>
  <w:num w:numId="22" w16cid:durableId="1565720770">
    <w:abstractNumId w:val="18"/>
  </w:num>
  <w:num w:numId="23" w16cid:durableId="1329164664">
    <w:abstractNumId w:val="28"/>
  </w:num>
  <w:num w:numId="24" w16cid:durableId="1203177417">
    <w:abstractNumId w:val="9"/>
  </w:num>
  <w:num w:numId="25" w16cid:durableId="1722753086">
    <w:abstractNumId w:val="0"/>
  </w:num>
  <w:num w:numId="26" w16cid:durableId="1431391226">
    <w:abstractNumId w:val="33"/>
  </w:num>
  <w:num w:numId="27" w16cid:durableId="2129161565">
    <w:abstractNumId w:val="39"/>
  </w:num>
  <w:num w:numId="28" w16cid:durableId="1577591945">
    <w:abstractNumId w:val="13"/>
  </w:num>
  <w:num w:numId="29" w16cid:durableId="1594973446">
    <w:abstractNumId w:val="2"/>
  </w:num>
  <w:num w:numId="30" w16cid:durableId="1903447426">
    <w:abstractNumId w:val="42"/>
  </w:num>
  <w:num w:numId="31" w16cid:durableId="1054427196">
    <w:abstractNumId w:val="41"/>
  </w:num>
  <w:num w:numId="32" w16cid:durableId="1664775304">
    <w:abstractNumId w:val="15"/>
  </w:num>
  <w:num w:numId="33" w16cid:durableId="1609579583">
    <w:abstractNumId w:val="12"/>
  </w:num>
  <w:num w:numId="34" w16cid:durableId="105394057">
    <w:abstractNumId w:val="3"/>
  </w:num>
  <w:num w:numId="35" w16cid:durableId="1388723402">
    <w:abstractNumId w:val="23"/>
  </w:num>
  <w:num w:numId="36" w16cid:durableId="1350065771">
    <w:abstractNumId w:val="21"/>
  </w:num>
  <w:num w:numId="37" w16cid:durableId="1833331569">
    <w:abstractNumId w:val="7"/>
  </w:num>
  <w:num w:numId="38" w16cid:durableId="659962948">
    <w:abstractNumId w:val="25"/>
  </w:num>
  <w:num w:numId="39" w16cid:durableId="850341443">
    <w:abstractNumId w:val="30"/>
  </w:num>
  <w:num w:numId="40" w16cid:durableId="82655433">
    <w:abstractNumId w:val="32"/>
  </w:num>
  <w:num w:numId="41" w16cid:durableId="809173203">
    <w:abstractNumId w:val="16"/>
  </w:num>
  <w:num w:numId="42" w16cid:durableId="1587766219">
    <w:abstractNumId w:val="8"/>
  </w:num>
  <w:num w:numId="43" w16cid:durableId="47391469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82"/>
    <w:rsid w:val="00010CF3"/>
    <w:rsid w:val="00011E27"/>
    <w:rsid w:val="000148BC"/>
    <w:rsid w:val="00016719"/>
    <w:rsid w:val="00024AB8"/>
    <w:rsid w:val="00030854"/>
    <w:rsid w:val="00036028"/>
    <w:rsid w:val="00044642"/>
    <w:rsid w:val="000446B9"/>
    <w:rsid w:val="00047E21"/>
    <w:rsid w:val="00050E16"/>
    <w:rsid w:val="000638A9"/>
    <w:rsid w:val="00070514"/>
    <w:rsid w:val="00085505"/>
    <w:rsid w:val="000A014B"/>
    <w:rsid w:val="000A23DC"/>
    <w:rsid w:val="000A7839"/>
    <w:rsid w:val="000C4E25"/>
    <w:rsid w:val="000C7021"/>
    <w:rsid w:val="000D6BBC"/>
    <w:rsid w:val="000D7780"/>
    <w:rsid w:val="000E636A"/>
    <w:rsid w:val="000F2F11"/>
    <w:rsid w:val="00105929"/>
    <w:rsid w:val="00110C36"/>
    <w:rsid w:val="001131D5"/>
    <w:rsid w:val="00141DB8"/>
    <w:rsid w:val="001677A8"/>
    <w:rsid w:val="00172084"/>
    <w:rsid w:val="0017474A"/>
    <w:rsid w:val="001758C6"/>
    <w:rsid w:val="00182B99"/>
    <w:rsid w:val="001A18EE"/>
    <w:rsid w:val="001F64BF"/>
    <w:rsid w:val="00202E38"/>
    <w:rsid w:val="002130E5"/>
    <w:rsid w:val="0021332C"/>
    <w:rsid w:val="00213982"/>
    <w:rsid w:val="0024416D"/>
    <w:rsid w:val="002464A3"/>
    <w:rsid w:val="00271911"/>
    <w:rsid w:val="002800A0"/>
    <w:rsid w:val="002801B3"/>
    <w:rsid w:val="00281060"/>
    <w:rsid w:val="002940E8"/>
    <w:rsid w:val="00294751"/>
    <w:rsid w:val="002A6E50"/>
    <w:rsid w:val="002B4298"/>
    <w:rsid w:val="002C256A"/>
    <w:rsid w:val="002C63D4"/>
    <w:rsid w:val="002E5944"/>
    <w:rsid w:val="00305A7F"/>
    <w:rsid w:val="00313F48"/>
    <w:rsid w:val="003152FE"/>
    <w:rsid w:val="00327436"/>
    <w:rsid w:val="00344BD6"/>
    <w:rsid w:val="0035528D"/>
    <w:rsid w:val="00361821"/>
    <w:rsid w:val="00361E9E"/>
    <w:rsid w:val="003B031A"/>
    <w:rsid w:val="003C7946"/>
    <w:rsid w:val="003C7FBE"/>
    <w:rsid w:val="003D227C"/>
    <w:rsid w:val="003D2B4D"/>
    <w:rsid w:val="003D5DCC"/>
    <w:rsid w:val="00401DDB"/>
    <w:rsid w:val="0040557F"/>
    <w:rsid w:val="00405DF2"/>
    <w:rsid w:val="00417249"/>
    <w:rsid w:val="00436A1C"/>
    <w:rsid w:val="00444A88"/>
    <w:rsid w:val="00474DA4"/>
    <w:rsid w:val="00476B4D"/>
    <w:rsid w:val="004805FA"/>
    <w:rsid w:val="004935D2"/>
    <w:rsid w:val="004B1215"/>
    <w:rsid w:val="004D047D"/>
    <w:rsid w:val="004F1E9E"/>
    <w:rsid w:val="004F305A"/>
    <w:rsid w:val="004F3482"/>
    <w:rsid w:val="00512164"/>
    <w:rsid w:val="00520297"/>
    <w:rsid w:val="005338F9"/>
    <w:rsid w:val="0054281C"/>
    <w:rsid w:val="00544581"/>
    <w:rsid w:val="00545E42"/>
    <w:rsid w:val="0055268D"/>
    <w:rsid w:val="005655CC"/>
    <w:rsid w:val="00576BE4"/>
    <w:rsid w:val="005A400A"/>
    <w:rsid w:val="005A5957"/>
    <w:rsid w:val="005F7B92"/>
    <w:rsid w:val="00612379"/>
    <w:rsid w:val="006153B6"/>
    <w:rsid w:val="0061555F"/>
    <w:rsid w:val="00633DB1"/>
    <w:rsid w:val="00636CA6"/>
    <w:rsid w:val="00637EDD"/>
    <w:rsid w:val="00641200"/>
    <w:rsid w:val="00645CA8"/>
    <w:rsid w:val="006655D3"/>
    <w:rsid w:val="00667404"/>
    <w:rsid w:val="00687EB4"/>
    <w:rsid w:val="00695C56"/>
    <w:rsid w:val="006A32E5"/>
    <w:rsid w:val="006A5CDE"/>
    <w:rsid w:val="006A644A"/>
    <w:rsid w:val="006B17D2"/>
    <w:rsid w:val="006B46C1"/>
    <w:rsid w:val="006B5F7E"/>
    <w:rsid w:val="006C224E"/>
    <w:rsid w:val="006C394E"/>
    <w:rsid w:val="006D780A"/>
    <w:rsid w:val="0071271E"/>
    <w:rsid w:val="00732DEC"/>
    <w:rsid w:val="00735BD5"/>
    <w:rsid w:val="007457AD"/>
    <w:rsid w:val="00751613"/>
    <w:rsid w:val="007556F6"/>
    <w:rsid w:val="00760EEF"/>
    <w:rsid w:val="00777EE5"/>
    <w:rsid w:val="00783722"/>
    <w:rsid w:val="00784836"/>
    <w:rsid w:val="0079023E"/>
    <w:rsid w:val="007A2854"/>
    <w:rsid w:val="007C190D"/>
    <w:rsid w:val="007C1D92"/>
    <w:rsid w:val="007C4CB9"/>
    <w:rsid w:val="007D0B9D"/>
    <w:rsid w:val="007D19B0"/>
    <w:rsid w:val="007F498F"/>
    <w:rsid w:val="0080679D"/>
    <w:rsid w:val="008108B0"/>
    <w:rsid w:val="00811B20"/>
    <w:rsid w:val="008211B5"/>
    <w:rsid w:val="0082296E"/>
    <w:rsid w:val="00824099"/>
    <w:rsid w:val="008326C8"/>
    <w:rsid w:val="008364BE"/>
    <w:rsid w:val="00846D7C"/>
    <w:rsid w:val="008574A4"/>
    <w:rsid w:val="00864C55"/>
    <w:rsid w:val="00867AC1"/>
    <w:rsid w:val="00890DF8"/>
    <w:rsid w:val="008A743F"/>
    <w:rsid w:val="008B3D8D"/>
    <w:rsid w:val="008C0970"/>
    <w:rsid w:val="008D0BC5"/>
    <w:rsid w:val="008D2CF7"/>
    <w:rsid w:val="008D4758"/>
    <w:rsid w:val="00900C26"/>
    <w:rsid w:val="0090197F"/>
    <w:rsid w:val="00906DDC"/>
    <w:rsid w:val="00934E09"/>
    <w:rsid w:val="00936253"/>
    <w:rsid w:val="00940D46"/>
    <w:rsid w:val="00952DD4"/>
    <w:rsid w:val="009568B1"/>
    <w:rsid w:val="0096175D"/>
    <w:rsid w:val="00965AE7"/>
    <w:rsid w:val="00965DC9"/>
    <w:rsid w:val="00970FED"/>
    <w:rsid w:val="009838A4"/>
    <w:rsid w:val="00992D82"/>
    <w:rsid w:val="00997029"/>
    <w:rsid w:val="009A7339"/>
    <w:rsid w:val="009B440E"/>
    <w:rsid w:val="009D690D"/>
    <w:rsid w:val="009E65B6"/>
    <w:rsid w:val="009F74EC"/>
    <w:rsid w:val="00A02C96"/>
    <w:rsid w:val="00A20FB2"/>
    <w:rsid w:val="00A24C10"/>
    <w:rsid w:val="00A42AC3"/>
    <w:rsid w:val="00A430CF"/>
    <w:rsid w:val="00A47143"/>
    <w:rsid w:val="00A54309"/>
    <w:rsid w:val="00A706D3"/>
    <w:rsid w:val="00AB2B93"/>
    <w:rsid w:val="00AB530F"/>
    <w:rsid w:val="00AB7E5B"/>
    <w:rsid w:val="00AC2883"/>
    <w:rsid w:val="00AD5CA2"/>
    <w:rsid w:val="00AE0EF1"/>
    <w:rsid w:val="00AE2937"/>
    <w:rsid w:val="00AE3E00"/>
    <w:rsid w:val="00B06943"/>
    <w:rsid w:val="00B07301"/>
    <w:rsid w:val="00B11F3E"/>
    <w:rsid w:val="00B224DE"/>
    <w:rsid w:val="00B324D4"/>
    <w:rsid w:val="00B46575"/>
    <w:rsid w:val="00B61777"/>
    <w:rsid w:val="00B84BBD"/>
    <w:rsid w:val="00BA43FB"/>
    <w:rsid w:val="00BC0BD4"/>
    <w:rsid w:val="00BC127D"/>
    <w:rsid w:val="00BC1FE6"/>
    <w:rsid w:val="00C061B6"/>
    <w:rsid w:val="00C2446C"/>
    <w:rsid w:val="00C36AE5"/>
    <w:rsid w:val="00C41F17"/>
    <w:rsid w:val="00C50609"/>
    <w:rsid w:val="00C527FA"/>
    <w:rsid w:val="00C5280D"/>
    <w:rsid w:val="00C53EB3"/>
    <w:rsid w:val="00C5791C"/>
    <w:rsid w:val="00C66290"/>
    <w:rsid w:val="00C72B7A"/>
    <w:rsid w:val="00C938ED"/>
    <w:rsid w:val="00C973F2"/>
    <w:rsid w:val="00CA304C"/>
    <w:rsid w:val="00CA774A"/>
    <w:rsid w:val="00CC11B0"/>
    <w:rsid w:val="00CC2841"/>
    <w:rsid w:val="00CD004F"/>
    <w:rsid w:val="00CF1330"/>
    <w:rsid w:val="00CF7E36"/>
    <w:rsid w:val="00D3708D"/>
    <w:rsid w:val="00D40426"/>
    <w:rsid w:val="00D44D28"/>
    <w:rsid w:val="00D57C96"/>
    <w:rsid w:val="00D57D18"/>
    <w:rsid w:val="00D77B43"/>
    <w:rsid w:val="00D91203"/>
    <w:rsid w:val="00D95174"/>
    <w:rsid w:val="00D97BF8"/>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A65D2"/>
    <w:rsid w:val="00EB048E"/>
    <w:rsid w:val="00EB4E9C"/>
    <w:rsid w:val="00EB7224"/>
    <w:rsid w:val="00EC2265"/>
    <w:rsid w:val="00EE34DF"/>
    <w:rsid w:val="00EF2F89"/>
    <w:rsid w:val="00F03E98"/>
    <w:rsid w:val="00F11A21"/>
    <w:rsid w:val="00F1237A"/>
    <w:rsid w:val="00F22CBD"/>
    <w:rsid w:val="00F272F1"/>
    <w:rsid w:val="00F45372"/>
    <w:rsid w:val="00F5571D"/>
    <w:rsid w:val="00F560F7"/>
    <w:rsid w:val="00F6334D"/>
    <w:rsid w:val="00FA49AB"/>
    <w:rsid w:val="00FB4199"/>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AAF5F"/>
  <w15:docId w15:val="{5B554CD8-319D-481D-934F-4ED8B5C3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uiPriority w:val="9"/>
    <w:qFormat/>
    <w:rsid w:val="004805FA"/>
    <w:pPr>
      <w:keepNext/>
      <w:ind w:left="1134" w:hanging="567"/>
      <w:jc w:val="both"/>
      <w:outlineLvl w:val="4"/>
    </w:pPr>
    <w:rPr>
      <w:rFonts w:ascii="Arial" w:hAnsi="Arial"/>
      <w:i/>
    </w:rPr>
  </w:style>
  <w:style w:type="paragraph" w:styleId="Heading8">
    <w:name w:val="heading 8"/>
    <w:basedOn w:val="Normal"/>
    <w:next w:val="Normal"/>
    <w:link w:val="Heading8Char"/>
    <w:qFormat/>
    <w:rsid w:val="005A5957"/>
    <w:pPr>
      <w:keepNext/>
      <w:tabs>
        <w:tab w:val="left" w:pos="567"/>
        <w:tab w:val="left" w:pos="4962"/>
      </w:tabs>
      <w:jc w:val="center"/>
      <w:outlineLvl w:val="7"/>
    </w:pPr>
    <w:rPr>
      <w:rFonts w:ascii="Times New Roman" w:hAnsi="Times New Roman"/>
      <w:sz w:val="24"/>
      <w:u w:val="single"/>
      <w:lang w:val="en-GB" w:eastAsia="pl-P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401DD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401DDB"/>
    <w:pPr>
      <w:tabs>
        <w:tab w:val="right" w:leader="dot" w:pos="9639"/>
      </w:tabs>
      <w:spacing w:after="120"/>
      <w:jc w:val="center"/>
    </w:pPr>
    <w:rPr>
      <w:rFonts w:ascii="Arial" w:hAnsi="Arial"/>
      <w:caps/>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8Char">
    <w:name w:val="Heading 8 Char"/>
    <w:basedOn w:val="DefaultParagraphFont"/>
    <w:link w:val="Heading8"/>
    <w:rsid w:val="005A5957"/>
    <w:rPr>
      <w:sz w:val="24"/>
      <w:u w:val="single"/>
      <w:lang w:val="en-GB" w:eastAsia="pl-PL"/>
    </w:rPr>
  </w:style>
  <w:style w:type="table" w:styleId="TableGrid">
    <w:name w:val="Table Grid"/>
    <w:basedOn w:val="TableNormal"/>
    <w:qFormat/>
    <w:rsid w:val="005A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5957"/>
    <w:pPr>
      <w:ind w:left="720"/>
      <w:contextualSpacing/>
    </w:pPr>
    <w:rPr>
      <w:rFonts w:cs="Mangal"/>
      <w:szCs w:val="26"/>
      <w:lang w:val="en-US" w:bidi="ne-NP"/>
    </w:rPr>
  </w:style>
  <w:style w:type="character" w:styleId="Strong">
    <w:name w:val="Strong"/>
    <w:uiPriority w:val="22"/>
    <w:qFormat/>
    <w:rsid w:val="005A5957"/>
    <w:rPr>
      <w:b/>
      <w:bCs/>
    </w:rPr>
  </w:style>
  <w:style w:type="character" w:customStyle="1" w:styleId="Heading4Char">
    <w:name w:val="Heading 4 Char"/>
    <w:link w:val="Heading4"/>
    <w:rsid w:val="005A5957"/>
    <w:rPr>
      <w:rFonts w:ascii="Arial" w:hAnsi="Arial"/>
      <w:u w:val="single"/>
      <w:lang w:val="fr-FR"/>
    </w:rPr>
  </w:style>
  <w:style w:type="paragraph" w:styleId="BodyTextIndent2">
    <w:name w:val="Body Text Indent 2"/>
    <w:basedOn w:val="Normal"/>
    <w:link w:val="BodyTextIndent2Char"/>
    <w:rsid w:val="005A5957"/>
    <w:pPr>
      <w:ind w:left="851" w:hanging="425"/>
    </w:pPr>
    <w:rPr>
      <w:rFonts w:cs="Mangal"/>
      <w:sz w:val="22"/>
      <w:szCs w:val="22"/>
      <w:lang w:val="de-DE" w:bidi="ne-NP"/>
    </w:rPr>
  </w:style>
  <w:style w:type="character" w:customStyle="1" w:styleId="BodyTextIndent2Char">
    <w:name w:val="Body Text Indent 2 Char"/>
    <w:basedOn w:val="DefaultParagraphFont"/>
    <w:link w:val="BodyTextIndent2"/>
    <w:rsid w:val="005A5957"/>
    <w:rPr>
      <w:rFonts w:ascii="Arial" w:hAnsi="Arial" w:cs="Mangal"/>
      <w:sz w:val="22"/>
      <w:szCs w:val="22"/>
      <w:lang w:val="de-DE" w:bidi="ne-NP"/>
    </w:rPr>
  </w:style>
  <w:style w:type="paragraph" w:styleId="NoSpacing">
    <w:name w:val="No Spacing"/>
    <w:uiPriority w:val="1"/>
    <w:qFormat/>
    <w:rsid w:val="005A5957"/>
    <w:pPr>
      <w:overflowPunct w:val="0"/>
      <w:autoSpaceDE w:val="0"/>
      <w:autoSpaceDN w:val="0"/>
      <w:adjustRightInd w:val="0"/>
      <w:textAlignment w:val="baseline"/>
    </w:pPr>
    <w:rPr>
      <w:lang w:val="ro-RO" w:eastAsia="ru-RU"/>
    </w:rPr>
  </w:style>
  <w:style w:type="character" w:styleId="UnresolvedMention">
    <w:name w:val="Unresolved Mention"/>
    <w:basedOn w:val="DefaultParagraphFont"/>
    <w:uiPriority w:val="99"/>
    <w:semiHidden/>
    <w:unhideWhenUsed/>
    <w:rsid w:val="005A5957"/>
    <w:rPr>
      <w:color w:val="605E5C"/>
      <w:shd w:val="clear" w:color="auto" w:fill="E1DFDD"/>
    </w:rPr>
  </w:style>
  <w:style w:type="paragraph" w:styleId="BodyText3">
    <w:name w:val="Body Text 3"/>
    <w:basedOn w:val="Normal"/>
    <w:link w:val="BodyText3Char"/>
    <w:unhideWhenUsed/>
    <w:rsid w:val="005A5957"/>
    <w:pPr>
      <w:spacing w:after="120"/>
    </w:pPr>
    <w:rPr>
      <w:sz w:val="16"/>
      <w:szCs w:val="16"/>
      <w:lang w:val="en-US"/>
    </w:rPr>
  </w:style>
  <w:style w:type="character" w:customStyle="1" w:styleId="BodyText3Char">
    <w:name w:val="Body Text 3 Char"/>
    <w:basedOn w:val="DefaultParagraphFont"/>
    <w:link w:val="BodyText3"/>
    <w:rsid w:val="005A5957"/>
    <w:rPr>
      <w:rFonts w:ascii="Arial" w:hAnsi="Arial"/>
      <w:sz w:val="16"/>
      <w:szCs w:val="16"/>
    </w:rPr>
  </w:style>
  <w:style w:type="paragraph" w:styleId="BodyText2">
    <w:name w:val="Body Text 2"/>
    <w:basedOn w:val="Normal"/>
    <w:link w:val="BodyText2Char"/>
    <w:semiHidden/>
    <w:unhideWhenUsed/>
    <w:rsid w:val="005A5957"/>
    <w:pPr>
      <w:spacing w:after="120" w:line="480" w:lineRule="auto"/>
    </w:pPr>
    <w:rPr>
      <w:lang w:val="en-US"/>
    </w:rPr>
  </w:style>
  <w:style w:type="character" w:customStyle="1" w:styleId="BodyText2Char">
    <w:name w:val="Body Text 2 Char"/>
    <w:basedOn w:val="DefaultParagraphFont"/>
    <w:link w:val="BodyText2"/>
    <w:semiHidden/>
    <w:rsid w:val="005A5957"/>
    <w:rPr>
      <w:rFonts w:ascii="Arial" w:hAnsi="Arial"/>
    </w:rPr>
  </w:style>
  <w:style w:type="character" w:customStyle="1" w:styleId="FooterChar">
    <w:name w:val="Footer Char"/>
    <w:aliases w:val="doc_path_name Char"/>
    <w:basedOn w:val="DefaultParagraphFont"/>
    <w:link w:val="Footer"/>
    <w:uiPriority w:val="99"/>
    <w:rsid w:val="005A5957"/>
    <w:rPr>
      <w:rFonts w:ascii="Arial" w:hAnsi="Arial"/>
      <w:sz w:val="14"/>
    </w:rPr>
  </w:style>
  <w:style w:type="character" w:customStyle="1" w:styleId="BodyTextChar">
    <w:name w:val="Body Text Char"/>
    <w:basedOn w:val="DefaultParagraphFont"/>
    <w:link w:val="BodyText"/>
    <w:rsid w:val="005A5957"/>
    <w:rPr>
      <w:rFonts w:ascii="Arial" w:hAnsi="Arial"/>
      <w:lang w:val="es-ES_tradnl"/>
    </w:rPr>
  </w:style>
  <w:style w:type="character" w:customStyle="1" w:styleId="normaltextrun">
    <w:name w:val="normaltextrun"/>
    <w:basedOn w:val="DefaultParagraphFont"/>
    <w:rsid w:val="005A5957"/>
  </w:style>
  <w:style w:type="character" w:customStyle="1" w:styleId="eop">
    <w:name w:val="eop"/>
    <w:basedOn w:val="DefaultParagraphFont"/>
    <w:rsid w:val="005A5957"/>
  </w:style>
  <w:style w:type="paragraph" w:customStyle="1" w:styleId="paragraph">
    <w:name w:val="paragraph"/>
    <w:basedOn w:val="Normal"/>
    <w:rsid w:val="005A5957"/>
    <w:pPr>
      <w:spacing w:before="100" w:beforeAutospacing="1" w:after="100" w:afterAutospacing="1"/>
      <w:jc w:val="left"/>
    </w:pPr>
    <w:rPr>
      <w:rFonts w:ascii="Times New Roman" w:hAnsi="Times New Roman"/>
      <w:sz w:val="24"/>
      <w:szCs w:val="24"/>
      <w:lang w:val="en-GB" w:eastAsia="en-GB"/>
    </w:rPr>
  </w:style>
  <w:style w:type="paragraph" w:styleId="ListBullet">
    <w:name w:val="List Bullet"/>
    <w:basedOn w:val="Normal"/>
    <w:uiPriority w:val="99"/>
    <w:rsid w:val="005A5957"/>
    <w:pPr>
      <w:numPr>
        <w:numId w:val="18"/>
      </w:numPr>
      <w:spacing w:after="160" w:line="300" w:lineRule="auto"/>
      <w:jc w:val="left"/>
    </w:pPr>
    <w:rPr>
      <w:rFonts w:ascii="Calibri" w:hAnsi="Calibri"/>
      <w:sz w:val="21"/>
      <w:szCs w:val="21"/>
      <w:lang w:val="fr-FR" w:eastAsia="fr-FR"/>
    </w:rPr>
  </w:style>
  <w:style w:type="paragraph" w:styleId="NormalIndent">
    <w:name w:val="Normal Indent"/>
    <w:aliases w:val="Text Indent"/>
    <w:basedOn w:val="Normal"/>
    <w:link w:val="NormalIndentChar"/>
    <w:rsid w:val="005A5957"/>
    <w:pPr>
      <w:spacing w:after="160" w:line="300" w:lineRule="auto"/>
      <w:ind w:left="720"/>
      <w:jc w:val="left"/>
    </w:pPr>
    <w:rPr>
      <w:rFonts w:ascii="Calibri" w:hAnsi="Calibri"/>
      <w:sz w:val="21"/>
      <w:szCs w:val="21"/>
      <w:lang w:val="fr-FR" w:eastAsia="fr-FR"/>
    </w:rPr>
  </w:style>
  <w:style w:type="character" w:styleId="Emphasis">
    <w:name w:val="Emphasis"/>
    <w:uiPriority w:val="20"/>
    <w:qFormat/>
    <w:rsid w:val="005A5957"/>
    <w:rPr>
      <w:i/>
      <w:iCs/>
      <w:color w:val="000000"/>
    </w:rPr>
  </w:style>
  <w:style w:type="paragraph" w:styleId="NormalWeb">
    <w:name w:val="Normal (Web)"/>
    <w:basedOn w:val="Normal"/>
    <w:uiPriority w:val="99"/>
    <w:rsid w:val="005A5957"/>
    <w:pPr>
      <w:spacing w:before="100" w:beforeAutospacing="1" w:after="100" w:afterAutospacing="1" w:line="300" w:lineRule="auto"/>
      <w:jc w:val="left"/>
    </w:pPr>
    <w:rPr>
      <w:rFonts w:ascii="Calibri" w:eastAsia="Calibri" w:hAnsi="Calibri"/>
      <w:sz w:val="21"/>
      <w:szCs w:val="24"/>
      <w:lang w:val="en-US" w:eastAsia="fr-FR"/>
    </w:rPr>
  </w:style>
  <w:style w:type="character" w:customStyle="1" w:styleId="Heading5Char">
    <w:name w:val="Heading 5 Char"/>
    <w:link w:val="Heading5"/>
    <w:uiPriority w:val="9"/>
    <w:rsid w:val="005A5957"/>
    <w:rPr>
      <w:rFonts w:ascii="Arial" w:hAnsi="Arial"/>
      <w:i/>
    </w:rPr>
  </w:style>
  <w:style w:type="character" w:customStyle="1" w:styleId="NormalIndentChar">
    <w:name w:val="Normal Indent Char"/>
    <w:aliases w:val="Text Indent Char"/>
    <w:link w:val="NormalIndent"/>
    <w:rsid w:val="005A5957"/>
    <w:rPr>
      <w:rFonts w:ascii="Calibri" w:hAnsi="Calibri"/>
      <w:sz w:val="21"/>
      <w:szCs w:val="21"/>
      <w:lang w:val="fr-FR" w:eastAsia="fr-FR"/>
    </w:rPr>
  </w:style>
  <w:style w:type="table" w:customStyle="1" w:styleId="TableNormal1">
    <w:name w:val="Table Normal1"/>
    <w:uiPriority w:val="2"/>
    <w:semiHidden/>
    <w:unhideWhenUsed/>
    <w:qFormat/>
    <w:rsid w:val="00F11A21"/>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hyperlink" Target="mailto:director@kephis.org" TargetMode="External"/><Relationship Id="rId39" Type="http://schemas.openxmlformats.org/officeDocument/2006/relationships/hyperlink" Target="http://www.agepi.gov.md" TargetMode="External"/><Relationship Id="rId21" Type="http://schemas.openxmlformats.org/officeDocument/2006/relationships/hyperlink" Target="http://eapvp.org/report-data/thailand/meeting-to-intro-actual-info-about-the-upov-system/" TargetMode="External"/><Relationship Id="rId34" Type="http://schemas.openxmlformats.org/officeDocument/2006/relationships/hyperlink" Target="http://www.coboru.pl/Polska/Podstawy_prawne/DU20152166.pdf" TargetMode="External"/><Relationship Id="rId42" Type="http://schemas.openxmlformats.org/officeDocument/2006/relationships/hyperlink" Target="https://www.gov.uk/guidance/fees-for-national-listing-and-plant-breeders-rights" TargetMode="External"/><Relationship Id="rId47" Type="http://schemas.openxmlformats.org/officeDocument/2006/relationships/hyperlink" Target="https://sops.gov.ua/publication/buleten-3" TargetMode="External"/><Relationship Id="rId50" Type="http://schemas.openxmlformats.org/officeDocument/2006/relationships/hyperlink" Target="http://confer.uiesr.sops.gov.ua/3newagr/schedConf/presentations" TargetMode="External"/><Relationship Id="rId55" Type="http://schemas.openxmlformats.org/officeDocument/2006/relationships/header" Target="head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tiff"/><Relationship Id="rId29" Type="http://schemas.openxmlformats.org/officeDocument/2006/relationships/header" Target="header10.xml"/><Relationship Id="rId11" Type="http://schemas.openxmlformats.org/officeDocument/2006/relationships/header" Target="header3.xml"/><Relationship Id="rId24" Type="http://schemas.openxmlformats.org/officeDocument/2006/relationships/hyperlink" Target="http://eapvp.org/report-data/lao/international-seminar-held-in-lao-pdr/" TargetMode="External"/><Relationship Id="rId32" Type="http://schemas.openxmlformats.org/officeDocument/2006/relationships/header" Target="header11.xml"/><Relationship Id="rId37" Type="http://schemas.openxmlformats.org/officeDocument/2006/relationships/hyperlink" Target="http://www.coboru.gov.pl" TargetMode="External"/><Relationship Id="rId40" Type="http://schemas.openxmlformats.org/officeDocument/2006/relationships/hyperlink" Target="http://www.agepi.gov.md" TargetMode="External"/><Relationship Id="rId45" Type="http://schemas.openxmlformats.org/officeDocument/2006/relationships/header" Target="header15.xml"/><Relationship Id="rId53" Type="http://schemas.openxmlformats.org/officeDocument/2006/relationships/hyperlink" Target="https://urldefense.com/v3/__https:/oapippov.org/__;!!DOxrgLBm!GA10UI3y05h4tPoB5xuUfeMshnmOQdTuF3l__hamHxWinJZOgA7OtrQlJrB0z5qJm4dDyTu2DG6gWVyVDgOUi0_C4pAM$"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naro.go.jp/english/laboratory/ncss/dus_growing_test/index.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riigiteataja.ee/en/eli/530122021003/consolide" TargetMode="External"/><Relationship Id="rId22" Type="http://schemas.openxmlformats.org/officeDocument/2006/relationships/hyperlink" Target="http://eapvp.org/report-data/lao/lao-seminar/" TargetMode="External"/><Relationship Id="rId27" Type="http://schemas.openxmlformats.org/officeDocument/2006/relationships/hyperlink" Target="http://www.kephis.org" TargetMode="External"/><Relationship Id="rId30" Type="http://schemas.openxmlformats.org/officeDocument/2006/relationships/hyperlink" Target="http://www.legislation.govt.nz" TargetMode="External"/><Relationship Id="rId35" Type="http://schemas.openxmlformats.org/officeDocument/2006/relationships/image" Target="media/image5.png"/><Relationship Id="rId43" Type="http://schemas.openxmlformats.org/officeDocument/2006/relationships/header" Target="header14.xml"/><Relationship Id="rId48" Type="http://schemas.openxmlformats.org/officeDocument/2006/relationships/hyperlink" Target="http://confer.uiesr.sops.gov.ua/miron2022/schedConf/presentations" TargetMode="External"/><Relationship Id="rId56" Type="http://schemas.openxmlformats.org/officeDocument/2006/relationships/header" Target="header18.xml"/><Relationship Id="rId8" Type="http://schemas.openxmlformats.org/officeDocument/2006/relationships/image" Target="media/image2.png"/><Relationship Id="rId51" Type="http://schemas.openxmlformats.org/officeDocument/2006/relationships/hyperlink" Target="https://euipo.europa.eu/knowledge/course/view.php?id=4849" TargetMode="Externa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eader" Target="header8.xml"/><Relationship Id="rId33" Type="http://schemas.openxmlformats.org/officeDocument/2006/relationships/hyperlink" Target="http://www.coboru.pl/Polska/Podstawy_prawne/D20040567.pdf" TargetMode="External"/><Relationship Id="rId38" Type="http://schemas.openxmlformats.org/officeDocument/2006/relationships/header" Target="header12.xml"/><Relationship Id="rId46" Type="http://schemas.openxmlformats.org/officeDocument/2006/relationships/hyperlink" Target="http://journal.sops.gov.ua/issue/archive" TargetMode="External"/><Relationship Id="rId20" Type="http://schemas.openxmlformats.org/officeDocument/2006/relationships/hyperlink" Target="http://eapvp.org/report-data/indonesia/ministry-of-agriculture-of-indonesia-held-eapvpf-international-seminar-on-pvp-system/" TargetMode="External"/><Relationship Id="rId41" Type="http://schemas.openxmlformats.org/officeDocument/2006/relationships/header" Target="header13.xml"/><Relationship Id="rId54"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tiff"/><Relationship Id="rId23" Type="http://schemas.openxmlformats.org/officeDocument/2006/relationships/hyperlink" Target="http://eapvp.org/report-data/lao/the-16th-east-asia-plant-variety-protection-forum-meeting/" TargetMode="External"/><Relationship Id="rId28" Type="http://schemas.openxmlformats.org/officeDocument/2006/relationships/header" Target="header9.xml"/><Relationship Id="rId36" Type="http://schemas.openxmlformats.org/officeDocument/2006/relationships/hyperlink" Target="http://www.coboru.gov.pl" TargetMode="External"/><Relationship Id="rId49" Type="http://schemas.openxmlformats.org/officeDocument/2006/relationships/hyperlink" Target="https://conference.ukragroexpert.com.ua/" TargetMode="External"/><Relationship Id="rId57"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hyperlink" Target="https://www.iponz.govt.nz/about-ip/pvr/fees/" TargetMode="External"/><Relationship Id="rId44" Type="http://schemas.openxmlformats.org/officeDocument/2006/relationships/hyperlink" Target="mailto:upov.mail@upov.int" TargetMode="External"/><Relationship Id="rId52" Type="http://schemas.openxmlformats.org/officeDocument/2006/relationships/hyperlink" Target="https://urldefense.com/v3/__https:/oapippov.org/__;!!DOxrgLBm!GA10UI3y05h4tPoB5xuUfeMshnmOQdTuF3l__hamHxWinJZOgA7OtrQlJrB0z5qJm4dDyTu2DG6gWVyVDgOUi0_C4pA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7%20(2023)\templates\c_57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7DD30-DA49-481F-97D2-5A519FD7A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c_57_ES.dotx</Template>
  <TotalTime>44</TotalTime>
  <Pages>49</Pages>
  <Words>20166</Words>
  <Characters>111367</Characters>
  <Application>Microsoft Office Word</Application>
  <DocSecurity>0</DocSecurity>
  <Lines>928</Lines>
  <Paragraphs>262</Paragraphs>
  <ScaleCrop>false</ScaleCrop>
  <HeadingPairs>
    <vt:vector size="2" baseType="variant">
      <vt:variant>
        <vt:lpstr>Title</vt:lpstr>
      </vt:variant>
      <vt:variant>
        <vt:i4>1</vt:i4>
      </vt:variant>
    </vt:vector>
  </HeadingPairs>
  <TitlesOfParts>
    <vt:vector size="1" baseType="lpstr">
      <vt:lpstr>C/55</vt:lpstr>
    </vt:vector>
  </TitlesOfParts>
  <Company>UPOV</Company>
  <LinksUpToDate>false</LinksUpToDate>
  <CharactersWithSpaces>131271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C/57/13</dc:title>
  <dc:creator>SANCHEZ VIZCAINO GOMEZ Rosa Maria</dc:creator>
  <cp:lastModifiedBy>SANCHEZ VIZCAINO GOMEZ Rosa Maria</cp:lastModifiedBy>
  <cp:revision>33</cp:revision>
  <cp:lastPrinted>2016-11-22T15:41:00Z</cp:lastPrinted>
  <dcterms:created xsi:type="dcterms:W3CDTF">2023-10-04T11:20:00Z</dcterms:created>
  <dcterms:modified xsi:type="dcterms:W3CDTF">2023-10-04T14:41:00Z</dcterms:modified>
</cp:coreProperties>
</file>