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36B66" w:rsidTr="00EB4E9C">
        <w:tc>
          <w:tcPr>
            <w:tcW w:w="6522" w:type="dxa"/>
          </w:tcPr>
          <w:p w:rsidR="00DC3802" w:rsidRPr="00D36B66" w:rsidRDefault="00DC3802" w:rsidP="00AC2883">
            <w:r w:rsidRPr="00D36B66">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36B66" w:rsidRDefault="00D36B66" w:rsidP="00AC2883">
            <w:pPr>
              <w:pStyle w:val="Lettrine"/>
            </w:pPr>
            <w:r w:rsidRPr="00D36B66">
              <w:t>S</w:t>
            </w:r>
          </w:p>
        </w:tc>
      </w:tr>
      <w:tr w:rsidR="00DC3802" w:rsidRPr="00D36B66" w:rsidTr="00645CA8">
        <w:trPr>
          <w:trHeight w:val="219"/>
        </w:trPr>
        <w:tc>
          <w:tcPr>
            <w:tcW w:w="6522" w:type="dxa"/>
          </w:tcPr>
          <w:p w:rsidR="00DC3802" w:rsidRPr="00D36B66" w:rsidRDefault="00D36B66" w:rsidP="00AC2883">
            <w:pPr>
              <w:pStyle w:val="upove"/>
            </w:pPr>
            <w:r w:rsidRPr="00D36B66">
              <w:t>Unión Internacional para la Protección de las Obtenciones Vegetales</w:t>
            </w:r>
          </w:p>
        </w:tc>
        <w:tc>
          <w:tcPr>
            <w:tcW w:w="3117" w:type="dxa"/>
          </w:tcPr>
          <w:p w:rsidR="00DC3802" w:rsidRPr="00D36B66" w:rsidRDefault="00DC3802" w:rsidP="00DA4973"/>
        </w:tc>
      </w:tr>
    </w:tbl>
    <w:p w:rsidR="00DC3802" w:rsidRPr="00D36B66" w:rsidRDefault="00DC3802" w:rsidP="00DC3802"/>
    <w:p w:rsidR="00D36B66" w:rsidRPr="00D36B66" w:rsidRDefault="00D36B66" w:rsidP="00D36B6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36B66" w:rsidRPr="00D36B66" w:rsidTr="00F76EE7">
        <w:tc>
          <w:tcPr>
            <w:tcW w:w="6512" w:type="dxa"/>
          </w:tcPr>
          <w:p w:rsidR="00D36B66" w:rsidRPr="00DD09F6" w:rsidRDefault="00D36B66" w:rsidP="00F76EE7">
            <w:pPr>
              <w:pStyle w:val="Sessiontc"/>
              <w:spacing w:line="240" w:lineRule="auto"/>
            </w:pPr>
            <w:r w:rsidRPr="00DD09F6">
              <w:t>Consejo</w:t>
            </w:r>
          </w:p>
          <w:p w:rsidR="00D36B66" w:rsidRPr="00DD09F6" w:rsidRDefault="00D36B66" w:rsidP="00D36B66">
            <w:pPr>
              <w:pStyle w:val="Sessiontcplacedate"/>
              <w:rPr>
                <w:sz w:val="22"/>
              </w:rPr>
            </w:pPr>
            <w:r w:rsidRPr="00DD09F6">
              <w:t>Quincuagésima sexta sesión ordinaria</w:t>
            </w:r>
            <w:r w:rsidRPr="00DD09F6">
              <w:br/>
              <w:t>Ginebra, 28 de octubre de 2022</w:t>
            </w:r>
          </w:p>
        </w:tc>
        <w:tc>
          <w:tcPr>
            <w:tcW w:w="3127" w:type="dxa"/>
          </w:tcPr>
          <w:p w:rsidR="00D36B66" w:rsidRPr="00DD09F6" w:rsidRDefault="00D36B66" w:rsidP="00F76EE7">
            <w:pPr>
              <w:pStyle w:val="Doccode"/>
              <w:rPr>
                <w:lang w:val="es-ES_tradnl"/>
              </w:rPr>
            </w:pPr>
            <w:r w:rsidRPr="00DD09F6">
              <w:rPr>
                <w:lang w:val="es-ES_tradnl"/>
              </w:rPr>
              <w:t>C/5</w:t>
            </w:r>
            <w:r w:rsidR="00DD09F6">
              <w:rPr>
                <w:lang w:val="es-ES_tradnl"/>
              </w:rPr>
              <w:t>6</w:t>
            </w:r>
            <w:r w:rsidRPr="00DD09F6">
              <w:rPr>
                <w:lang w:val="es-ES_tradnl"/>
              </w:rPr>
              <w:t>/INF/4</w:t>
            </w:r>
          </w:p>
          <w:p w:rsidR="00D36B66" w:rsidRPr="00DD09F6" w:rsidRDefault="00D36B66" w:rsidP="00F76EE7">
            <w:pPr>
              <w:pStyle w:val="Docoriginal"/>
            </w:pPr>
            <w:r w:rsidRPr="00DD09F6">
              <w:t>Original:</w:t>
            </w:r>
            <w:r w:rsidRPr="00DD09F6">
              <w:rPr>
                <w:b w:val="0"/>
                <w:spacing w:val="0"/>
              </w:rPr>
              <w:t xml:space="preserve">  Inglés/alemán/español</w:t>
            </w:r>
          </w:p>
          <w:p w:rsidR="00D36B66" w:rsidRPr="00D36B66" w:rsidRDefault="00D36B66" w:rsidP="006D23D0">
            <w:pPr>
              <w:pStyle w:val="Docoriginal"/>
            </w:pPr>
            <w:r w:rsidRPr="00DD09F6">
              <w:t>Fecha:</w:t>
            </w:r>
            <w:r w:rsidRPr="00DD09F6">
              <w:rPr>
                <w:b w:val="0"/>
                <w:spacing w:val="0"/>
              </w:rPr>
              <w:t xml:space="preserve">  </w:t>
            </w:r>
            <w:r w:rsidR="006D23D0" w:rsidRPr="00DD09F6">
              <w:rPr>
                <w:b w:val="0"/>
                <w:spacing w:val="0"/>
              </w:rPr>
              <w:t>22</w:t>
            </w:r>
            <w:r w:rsidRPr="00DD09F6">
              <w:rPr>
                <w:b w:val="0"/>
                <w:spacing w:val="0"/>
              </w:rPr>
              <w:t xml:space="preserve"> de septiembre de 2022</w:t>
            </w:r>
          </w:p>
        </w:tc>
      </w:tr>
    </w:tbl>
    <w:p w:rsidR="00D36B66" w:rsidRPr="00D36B66" w:rsidRDefault="00D36B66" w:rsidP="00D36B66">
      <w:pPr>
        <w:pStyle w:val="Titleofdoc0"/>
      </w:pPr>
      <w:r w:rsidRPr="00D36B66">
        <w:t>INFORMES DE REPRESENTANTES DE MIEMBROS Y OBSERVADORES SOBRE LOS ÁMBITOS LEGISLATIVO, ADMINISTRATIVO Y TÉCNICO</w:t>
      </w:r>
    </w:p>
    <w:p w:rsidR="00D36B66" w:rsidRPr="00D36B66" w:rsidRDefault="00D36B66" w:rsidP="00D36B66">
      <w:pPr>
        <w:pStyle w:val="preparedby1"/>
        <w:jc w:val="left"/>
      </w:pPr>
      <w:r w:rsidRPr="00D36B66">
        <w:t>Documento preparado por la Oficina de la Unión</w:t>
      </w:r>
    </w:p>
    <w:p w:rsidR="00D36B66" w:rsidRPr="00D36B66" w:rsidRDefault="00D36B66" w:rsidP="00D36B66">
      <w:pPr>
        <w:pStyle w:val="Disclaimer"/>
        <w:rPr>
          <w:lang w:val="es-ES_tradnl"/>
        </w:rPr>
      </w:pPr>
      <w:r w:rsidRPr="00D36B66">
        <w:rPr>
          <w:lang w:val="es-ES_tradnl"/>
        </w:rPr>
        <w:t>Descargo de responsabilidad: el presente documento no constituye un documento de política u orientación de la UPOV</w:t>
      </w:r>
    </w:p>
    <w:p w:rsidR="00D36B66" w:rsidRPr="00D36B66" w:rsidRDefault="00D36B66" w:rsidP="00D36B66">
      <w:r w:rsidRPr="00D36B66">
        <w:fldChar w:fldCharType="begin"/>
      </w:r>
      <w:r w:rsidRPr="00D36B66">
        <w:instrText xml:space="preserve"> AUTONUM  </w:instrText>
      </w:r>
      <w:r w:rsidRPr="00D36B66">
        <w:fldChar w:fldCharType="end"/>
      </w:r>
      <w:r w:rsidRPr="00D36B66">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D36B66" w:rsidRPr="00D36B66" w:rsidRDefault="00D36B66" w:rsidP="00D36B66">
      <w:pPr>
        <w:widowControl w:val="0"/>
      </w:pPr>
    </w:p>
    <w:p w:rsidR="00D36B66" w:rsidRPr="00D36B66" w:rsidRDefault="00D36B66" w:rsidP="00D36B66">
      <w:pPr>
        <w:widowControl w:val="0"/>
      </w:pPr>
      <w:r w:rsidRPr="00D36B66">
        <w:fldChar w:fldCharType="begin"/>
      </w:r>
      <w:r w:rsidRPr="00D36B66">
        <w:instrText xml:space="preserve"> AUTONUM  </w:instrText>
      </w:r>
      <w:r w:rsidRPr="00D36B66">
        <w:fldChar w:fldCharType="end"/>
      </w:r>
      <w:r w:rsidRPr="00D36B66">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D36B66" w:rsidRPr="00D36B66" w:rsidRDefault="00D36B66" w:rsidP="00D36B66">
      <w:pPr>
        <w:widowControl w:val="0"/>
      </w:pPr>
    </w:p>
    <w:p w:rsidR="00D36B66" w:rsidRPr="00D36B66" w:rsidRDefault="00D36B66" w:rsidP="00D36B66">
      <w:pPr>
        <w:ind w:left="567"/>
        <w:rPr>
          <w:szCs w:val="24"/>
        </w:rPr>
      </w:pPr>
      <w:r w:rsidRPr="00D36B66">
        <w:rPr>
          <w:spacing w:val="-2"/>
          <w:szCs w:val="24"/>
          <w:u w:val="single"/>
        </w:rPr>
        <w:t>Miembros</w:t>
      </w:r>
      <w:r w:rsidRPr="00D36B66">
        <w:rPr>
          <w:spacing w:val="-2"/>
          <w:szCs w:val="24"/>
        </w:rPr>
        <w:t>:  Anexos I a X</w:t>
      </w:r>
      <w:r w:rsidR="003D54DF">
        <w:rPr>
          <w:spacing w:val="-2"/>
          <w:szCs w:val="24"/>
        </w:rPr>
        <w:t>I</w:t>
      </w:r>
      <w:r w:rsidR="004B3B03">
        <w:rPr>
          <w:spacing w:val="-2"/>
          <w:szCs w:val="24"/>
        </w:rPr>
        <w:t>X</w:t>
      </w:r>
      <w:r w:rsidRPr="00D36B66">
        <w:rPr>
          <w:spacing w:val="-2"/>
          <w:szCs w:val="24"/>
        </w:rPr>
        <w:t xml:space="preserve">:  </w:t>
      </w:r>
      <w:r w:rsidR="003D54DF" w:rsidRPr="00D528F0">
        <w:rPr>
          <w:szCs w:val="24"/>
        </w:rPr>
        <w:t>Sudáfrica</w:t>
      </w:r>
      <w:r w:rsidR="003D54DF">
        <w:rPr>
          <w:szCs w:val="24"/>
        </w:rPr>
        <w:t xml:space="preserve">, </w:t>
      </w:r>
      <w:r w:rsidR="003D54DF" w:rsidRPr="00D528F0">
        <w:rPr>
          <w:szCs w:val="24"/>
        </w:rPr>
        <w:t>Alemania</w:t>
      </w:r>
      <w:r w:rsidR="003D54DF">
        <w:rPr>
          <w:szCs w:val="24"/>
        </w:rPr>
        <w:t xml:space="preserve">, </w:t>
      </w:r>
      <w:r w:rsidR="003D54DF" w:rsidRPr="00D528F0">
        <w:rPr>
          <w:szCs w:val="24"/>
        </w:rPr>
        <w:t>Bosnia y Herzegovina</w:t>
      </w:r>
      <w:r w:rsidR="003D54DF">
        <w:rPr>
          <w:szCs w:val="24"/>
        </w:rPr>
        <w:t xml:space="preserve">, </w:t>
      </w:r>
      <w:r w:rsidR="003D54DF" w:rsidRPr="00D528F0">
        <w:rPr>
          <w:szCs w:val="24"/>
        </w:rPr>
        <w:t>China</w:t>
      </w:r>
      <w:r w:rsidR="003D54DF">
        <w:rPr>
          <w:szCs w:val="24"/>
        </w:rPr>
        <w:t xml:space="preserve">, </w:t>
      </w:r>
      <w:r w:rsidR="003D54DF" w:rsidRPr="00D528F0">
        <w:rPr>
          <w:szCs w:val="24"/>
        </w:rPr>
        <w:t>Dinamarca</w:t>
      </w:r>
      <w:r w:rsidR="003D54DF">
        <w:rPr>
          <w:szCs w:val="24"/>
        </w:rPr>
        <w:t xml:space="preserve">, </w:t>
      </w:r>
      <w:r w:rsidR="003D54DF" w:rsidRPr="00D528F0">
        <w:rPr>
          <w:szCs w:val="24"/>
        </w:rPr>
        <w:t>Egipto</w:t>
      </w:r>
      <w:r w:rsidR="003D54DF">
        <w:rPr>
          <w:szCs w:val="24"/>
        </w:rPr>
        <w:t>, Ghana,</w:t>
      </w:r>
      <w:r w:rsidR="003D54DF" w:rsidRPr="00D528F0">
        <w:rPr>
          <w:szCs w:val="24"/>
        </w:rPr>
        <w:t xml:space="preserve"> Japón</w:t>
      </w:r>
      <w:r w:rsidR="003D54DF">
        <w:rPr>
          <w:szCs w:val="24"/>
        </w:rPr>
        <w:t xml:space="preserve">, </w:t>
      </w:r>
      <w:proofErr w:type="spellStart"/>
      <w:r w:rsidR="00846BB6">
        <w:rPr>
          <w:szCs w:val="24"/>
        </w:rPr>
        <w:t>Kenya</w:t>
      </w:r>
      <w:proofErr w:type="spellEnd"/>
      <w:r w:rsidR="00846BB6">
        <w:rPr>
          <w:szCs w:val="24"/>
        </w:rPr>
        <w:t xml:space="preserve">, </w:t>
      </w:r>
      <w:r w:rsidR="003D54DF" w:rsidRPr="00D528F0">
        <w:rPr>
          <w:szCs w:val="24"/>
        </w:rPr>
        <w:t>México</w:t>
      </w:r>
      <w:r w:rsidR="003D54DF">
        <w:rPr>
          <w:szCs w:val="24"/>
        </w:rPr>
        <w:t>, Nueva </w:t>
      </w:r>
      <w:r w:rsidR="003D54DF" w:rsidRPr="00D528F0">
        <w:rPr>
          <w:szCs w:val="24"/>
        </w:rPr>
        <w:t>Zelandia</w:t>
      </w:r>
      <w:r w:rsidR="003D54DF">
        <w:rPr>
          <w:szCs w:val="24"/>
        </w:rPr>
        <w:t xml:space="preserve">, </w:t>
      </w:r>
      <w:r w:rsidR="003D54DF" w:rsidRPr="00D528F0">
        <w:rPr>
          <w:szCs w:val="24"/>
        </w:rPr>
        <w:t>Polonia</w:t>
      </w:r>
      <w:r w:rsidR="003D54DF">
        <w:rPr>
          <w:szCs w:val="24"/>
        </w:rPr>
        <w:t xml:space="preserve">, </w:t>
      </w:r>
      <w:r w:rsidR="003D54DF" w:rsidRPr="00735B6F">
        <w:rPr>
          <w:szCs w:val="24"/>
        </w:rPr>
        <w:t>República de Corea, R</w:t>
      </w:r>
      <w:r w:rsidR="003D54DF" w:rsidRPr="00D528F0">
        <w:rPr>
          <w:szCs w:val="24"/>
        </w:rPr>
        <w:t xml:space="preserve">epública de </w:t>
      </w:r>
      <w:proofErr w:type="spellStart"/>
      <w:r w:rsidR="003D54DF" w:rsidRPr="00D528F0">
        <w:rPr>
          <w:szCs w:val="24"/>
        </w:rPr>
        <w:t>Moldova</w:t>
      </w:r>
      <w:proofErr w:type="spellEnd"/>
      <w:r w:rsidR="003D54DF">
        <w:rPr>
          <w:szCs w:val="24"/>
        </w:rPr>
        <w:t xml:space="preserve">, </w:t>
      </w:r>
      <w:r w:rsidR="003D54DF" w:rsidRPr="00CA3DE9">
        <w:rPr>
          <w:szCs w:val="24"/>
        </w:rPr>
        <w:t>República Checa</w:t>
      </w:r>
      <w:r w:rsidR="003D54DF">
        <w:rPr>
          <w:szCs w:val="24"/>
        </w:rPr>
        <w:t xml:space="preserve">, </w:t>
      </w:r>
      <w:r w:rsidR="003D54DF" w:rsidRPr="00D528F0">
        <w:rPr>
          <w:szCs w:val="24"/>
        </w:rPr>
        <w:t>Serbia</w:t>
      </w:r>
      <w:r w:rsidR="003D54DF">
        <w:rPr>
          <w:szCs w:val="24"/>
        </w:rPr>
        <w:t xml:space="preserve">, </w:t>
      </w:r>
      <w:r w:rsidR="003D54DF" w:rsidRPr="0041195B">
        <w:rPr>
          <w:szCs w:val="24"/>
        </w:rPr>
        <w:t>Singapur</w:t>
      </w:r>
      <w:r w:rsidR="003D54DF">
        <w:rPr>
          <w:szCs w:val="24"/>
        </w:rPr>
        <w:t xml:space="preserve">, </w:t>
      </w:r>
      <w:r w:rsidR="003D54DF" w:rsidRPr="00D528F0">
        <w:rPr>
          <w:szCs w:val="24"/>
        </w:rPr>
        <w:t>Ucrania</w:t>
      </w:r>
      <w:r w:rsidR="004B3B03">
        <w:rPr>
          <w:szCs w:val="24"/>
        </w:rPr>
        <w:t xml:space="preserve"> y</w:t>
      </w:r>
      <w:r w:rsidR="003D54DF">
        <w:rPr>
          <w:szCs w:val="24"/>
        </w:rPr>
        <w:t xml:space="preserve"> </w:t>
      </w:r>
      <w:r w:rsidR="003D54DF" w:rsidRPr="00AF4D84">
        <w:rPr>
          <w:szCs w:val="24"/>
        </w:rPr>
        <w:t>Unión Europea</w:t>
      </w:r>
    </w:p>
    <w:p w:rsidR="00D36B66" w:rsidRPr="00D36B66" w:rsidRDefault="00D36B66" w:rsidP="00D36B66">
      <w:pPr>
        <w:widowControl w:val="0"/>
        <w:ind w:right="567"/>
      </w:pPr>
    </w:p>
    <w:p w:rsidR="00D36B66" w:rsidRPr="00D36B66" w:rsidRDefault="00D36B66" w:rsidP="00D36B66">
      <w:r w:rsidRPr="00DD09F6">
        <w:fldChar w:fldCharType="begin"/>
      </w:r>
      <w:r w:rsidRPr="00DD09F6">
        <w:instrText xml:space="preserve"> AUTONUM  </w:instrText>
      </w:r>
      <w:r w:rsidRPr="00DD09F6">
        <w:fldChar w:fldCharType="end"/>
      </w:r>
      <w:r w:rsidRPr="00DD09F6">
        <w:tab/>
        <w:t xml:space="preserve">Los informes recibidos después del </w:t>
      </w:r>
      <w:r w:rsidR="004B3B03" w:rsidRPr="00DD09F6">
        <w:t>12</w:t>
      </w:r>
      <w:r w:rsidRPr="00DD09F6">
        <w:t xml:space="preserve"> de septiembre de 202</w:t>
      </w:r>
      <w:r w:rsidR="003D54DF" w:rsidRPr="00DD09F6">
        <w:t>2</w:t>
      </w:r>
      <w:r w:rsidRPr="00DD09F6">
        <w:t xml:space="preserve"> se incluirán como adenda a este</w:t>
      </w:r>
      <w:r w:rsidRPr="00D36B66">
        <w:t xml:space="preserve"> documento y se publicarán después de la sesión del Consejo.</w:t>
      </w:r>
    </w:p>
    <w:p w:rsidR="00D36B66" w:rsidRPr="00D36B66" w:rsidRDefault="00D36B66" w:rsidP="00D36B66"/>
    <w:p w:rsidR="00D36B66" w:rsidRPr="00D36B66" w:rsidRDefault="00D36B66" w:rsidP="00D36B66"/>
    <w:p w:rsidR="00D36B66" w:rsidRPr="00D36B66" w:rsidRDefault="00D36B66" w:rsidP="00D36B66"/>
    <w:p w:rsidR="00D36B66" w:rsidRPr="00D36B66" w:rsidRDefault="00D36B66" w:rsidP="00D36B66">
      <w:pPr>
        <w:jc w:val="right"/>
      </w:pPr>
      <w:r w:rsidRPr="00D36B66">
        <w:t>[Siguen los Anexos]</w:t>
      </w:r>
    </w:p>
    <w:p w:rsidR="000362AD" w:rsidRPr="00D36B66" w:rsidRDefault="000362AD" w:rsidP="000362AD">
      <w:pPr>
        <w:jc w:val="left"/>
      </w:pPr>
    </w:p>
    <w:p w:rsidR="000362AD" w:rsidRPr="00D36B66" w:rsidRDefault="000362AD" w:rsidP="000362AD">
      <w:pPr>
        <w:sectPr w:rsidR="000362AD" w:rsidRPr="00D36B66" w:rsidSect="00906DDC">
          <w:headerReference w:type="default" r:id="rId9"/>
          <w:pgSz w:w="11907" w:h="16840" w:code="9"/>
          <w:pgMar w:top="510" w:right="1134" w:bottom="1134" w:left="1134" w:header="510" w:footer="680" w:gutter="0"/>
          <w:cols w:space="720"/>
          <w:titlePg/>
        </w:sectPr>
      </w:pPr>
    </w:p>
    <w:p w:rsidR="00F86A05" w:rsidRPr="00D36B66" w:rsidRDefault="00F86A05" w:rsidP="00F86A05">
      <w:pPr>
        <w:jc w:val="center"/>
      </w:pPr>
      <w:r w:rsidRPr="00D36B66">
        <w:lastRenderedPageBreak/>
        <w:t>C/56/INF/4</w:t>
      </w:r>
    </w:p>
    <w:p w:rsidR="00F86A05" w:rsidRPr="00D36B66" w:rsidRDefault="00F86A05" w:rsidP="00F86A05">
      <w:pPr>
        <w:jc w:val="center"/>
      </w:pPr>
    </w:p>
    <w:p w:rsidR="00F86A05" w:rsidRPr="00D36B66" w:rsidRDefault="000A2928" w:rsidP="00F86A05">
      <w:pPr>
        <w:jc w:val="center"/>
      </w:pPr>
      <w:r>
        <w:t>ANEXO</w:t>
      </w:r>
      <w:r w:rsidR="00F86A05" w:rsidRPr="00D36B66">
        <w:t xml:space="preserve"> I</w:t>
      </w:r>
    </w:p>
    <w:p w:rsidR="00F86A05" w:rsidRPr="00D36B66" w:rsidRDefault="00F86A05" w:rsidP="00F86A05">
      <w:pPr>
        <w:jc w:val="center"/>
      </w:pPr>
    </w:p>
    <w:p w:rsidR="00F86A05" w:rsidRPr="00D36B66" w:rsidRDefault="00F86A05" w:rsidP="00F86A05">
      <w:pPr>
        <w:jc w:val="center"/>
      </w:pPr>
    </w:p>
    <w:p w:rsidR="00F86A05" w:rsidRPr="00D36B66" w:rsidRDefault="000A2928" w:rsidP="00F86A05">
      <w:pPr>
        <w:jc w:val="center"/>
      </w:pPr>
      <w:r w:rsidRPr="00D528F0">
        <w:rPr>
          <w:szCs w:val="24"/>
        </w:rPr>
        <w:t>SUDÁFRICA</w:t>
      </w:r>
    </w:p>
    <w:p w:rsidR="00F86A05" w:rsidRPr="00D36B66" w:rsidRDefault="00F86A05" w:rsidP="00F86A05"/>
    <w:p w:rsidR="00F86A05" w:rsidRPr="00D36B66" w:rsidRDefault="00F86A05" w:rsidP="00F86A05"/>
    <w:p w:rsidR="00186F4C" w:rsidRPr="0075789D" w:rsidRDefault="00186F4C" w:rsidP="00186F4C">
      <w:pPr>
        <w:rPr>
          <w:lang w:val="es-419"/>
        </w:rPr>
      </w:pPr>
      <w:r w:rsidRPr="0075789D">
        <w:rPr>
          <w:lang w:val="es-419"/>
        </w:rPr>
        <w:t>I.</w:t>
      </w:r>
      <w:r w:rsidRPr="0075789D">
        <w:rPr>
          <w:lang w:val="es-419"/>
        </w:rPr>
        <w:tab/>
        <w:t>PROTECCIÓN DE LAS OBTENCIONES VEGETALES</w:t>
      </w:r>
    </w:p>
    <w:p w:rsidR="00186F4C" w:rsidRPr="0075789D" w:rsidRDefault="00186F4C" w:rsidP="00186F4C">
      <w:pPr>
        <w:rPr>
          <w:lang w:val="es-419"/>
        </w:rPr>
      </w:pPr>
    </w:p>
    <w:p w:rsidR="00186F4C" w:rsidRPr="0075789D" w:rsidRDefault="00186F4C" w:rsidP="00186F4C">
      <w:pPr>
        <w:rPr>
          <w:lang w:val="es-419"/>
        </w:rPr>
      </w:pPr>
      <w:r w:rsidRPr="0075789D">
        <w:rPr>
          <w:lang w:val="es-419"/>
        </w:rPr>
        <w:t xml:space="preserve">1. </w:t>
      </w:r>
      <w:r w:rsidRPr="0075789D">
        <w:rPr>
          <w:lang w:val="es-419"/>
        </w:rPr>
        <w:tab/>
      </w:r>
      <w:r w:rsidRPr="0075789D">
        <w:rPr>
          <w:u w:val="single"/>
          <w:lang w:val="es-419"/>
        </w:rPr>
        <w:t>Situación en el ámbito legislativo</w:t>
      </w:r>
    </w:p>
    <w:p w:rsidR="00186F4C" w:rsidRPr="0075789D" w:rsidRDefault="00186F4C" w:rsidP="00186F4C">
      <w:pPr>
        <w:rPr>
          <w:lang w:val="es-419"/>
        </w:rPr>
      </w:pPr>
    </w:p>
    <w:p w:rsidR="00186F4C" w:rsidRPr="0075789D" w:rsidRDefault="00186F4C" w:rsidP="00186F4C">
      <w:pPr>
        <w:rPr>
          <w:lang w:val="es-419"/>
        </w:rPr>
      </w:pPr>
      <w:r w:rsidRPr="0075789D">
        <w:rPr>
          <w:lang w:val="es-419"/>
        </w:rPr>
        <w:t>1.1</w:t>
      </w:r>
      <w:r w:rsidRPr="0075789D">
        <w:rPr>
          <w:lang w:val="es-419"/>
        </w:rPr>
        <w:tab/>
        <w:t>Modificaciones de la ley y de los reglamentos</w:t>
      </w:r>
    </w:p>
    <w:p w:rsidR="00186F4C" w:rsidRPr="0075789D" w:rsidRDefault="00186F4C" w:rsidP="00186F4C">
      <w:pPr>
        <w:rPr>
          <w:lang w:val="es-419"/>
        </w:rPr>
      </w:pPr>
    </w:p>
    <w:p w:rsidR="00186F4C" w:rsidRPr="0075789D" w:rsidRDefault="00186F4C" w:rsidP="00186F4C">
      <w:pPr>
        <w:rPr>
          <w:i/>
          <w:iCs/>
          <w:lang w:val="es-419"/>
        </w:rPr>
      </w:pPr>
      <w:r w:rsidRPr="0075789D">
        <w:rPr>
          <w:i/>
          <w:lang w:val="es-419"/>
        </w:rPr>
        <w:t>Reglamento de la Ley de Derechos de Obtentor N.º 12 de 2018 publicado en la Gaceta Oficial del Gobierno de Sudáfrica N.º 46543 el 10 de junio de 2022 a los fines de recabar comentarios del público.</w:t>
      </w:r>
    </w:p>
    <w:p w:rsidR="00186F4C" w:rsidRPr="0075789D" w:rsidRDefault="00186F4C" w:rsidP="00186F4C">
      <w:pPr>
        <w:rPr>
          <w:i/>
          <w:iCs/>
          <w:lang w:val="es-419"/>
        </w:rPr>
      </w:pPr>
    </w:p>
    <w:p w:rsidR="00186F4C" w:rsidRPr="0075789D" w:rsidRDefault="00186F4C" w:rsidP="00186F4C">
      <w:pPr>
        <w:ind w:left="284" w:hanging="284"/>
        <w:rPr>
          <w:lang w:val="es-419"/>
        </w:rPr>
      </w:pPr>
      <w:bookmarkStart w:id="0" w:name="_Hlk112671344"/>
      <w:r w:rsidRPr="0075789D">
        <w:rPr>
          <w:lang w:val="es-419"/>
        </w:rPr>
        <w:t>-</w:t>
      </w:r>
      <w:bookmarkEnd w:id="0"/>
      <w:r w:rsidRPr="0075789D">
        <w:rPr>
          <w:lang w:val="es-419"/>
        </w:rPr>
        <w:tab/>
        <w:t xml:space="preserve">Adaptación al Acta de 1991 del Convenio: </w:t>
      </w:r>
    </w:p>
    <w:p w:rsidR="00186F4C" w:rsidRPr="0075789D" w:rsidRDefault="00186F4C" w:rsidP="00186F4C">
      <w:pPr>
        <w:ind w:left="284" w:hanging="284"/>
        <w:rPr>
          <w:iCs/>
          <w:lang w:val="es-419"/>
        </w:rPr>
      </w:pPr>
      <w:r w:rsidRPr="0075789D">
        <w:rPr>
          <w:lang w:val="es-419"/>
        </w:rPr>
        <w:t>Ninguna reseñable.</w:t>
      </w:r>
    </w:p>
    <w:p w:rsidR="00186F4C" w:rsidRPr="0075789D" w:rsidRDefault="00186F4C" w:rsidP="00186F4C">
      <w:pPr>
        <w:ind w:left="284" w:hanging="284"/>
        <w:rPr>
          <w:lang w:val="es-419"/>
        </w:rPr>
      </w:pPr>
    </w:p>
    <w:p w:rsidR="00186F4C" w:rsidRPr="0075789D" w:rsidRDefault="00186F4C" w:rsidP="00186F4C">
      <w:pPr>
        <w:ind w:left="284" w:hanging="284"/>
        <w:rPr>
          <w:lang w:val="es-419"/>
        </w:rPr>
      </w:pPr>
      <w:r w:rsidRPr="0075789D">
        <w:rPr>
          <w:lang w:val="es-419"/>
        </w:rPr>
        <w:t>-</w:t>
      </w:r>
      <w:r w:rsidRPr="0075789D">
        <w:rPr>
          <w:lang w:val="es-419"/>
        </w:rPr>
        <w:tab/>
        <w:t>Otras modificaciones, incluidas las que atañen a las tasas:</w:t>
      </w:r>
    </w:p>
    <w:p w:rsidR="00186F4C" w:rsidRPr="0075789D" w:rsidRDefault="00186F4C" w:rsidP="00186F4C">
      <w:pPr>
        <w:rPr>
          <w:i/>
          <w:iCs/>
          <w:lang w:val="es-419"/>
        </w:rPr>
      </w:pPr>
      <w:r w:rsidRPr="0075789D">
        <w:rPr>
          <w:i/>
          <w:lang w:val="es-419"/>
        </w:rPr>
        <w:t>Las tasas sobre los derechos de obtentor para el ejercicio fiscal 2022-2023, que finaliza el 31 de marzo de 2023, se publicaron en la Gaceta Oficial del Gobierno de Sudáfrica N.º 46242, de 14 de abril de 2022.</w:t>
      </w:r>
    </w:p>
    <w:p w:rsidR="00186F4C" w:rsidRPr="0075789D" w:rsidRDefault="00186F4C" w:rsidP="00186F4C">
      <w:pPr>
        <w:rPr>
          <w:lang w:val="es-419"/>
        </w:rPr>
      </w:pPr>
    </w:p>
    <w:p w:rsidR="00186F4C" w:rsidRPr="0075789D" w:rsidRDefault="00186F4C" w:rsidP="00186F4C">
      <w:pPr>
        <w:rPr>
          <w:lang w:val="es-419"/>
        </w:rPr>
      </w:pPr>
      <w:r w:rsidRPr="0075789D">
        <w:rPr>
          <w:lang w:val="es-419"/>
        </w:rPr>
        <w:t>1.2</w:t>
      </w:r>
      <w:r w:rsidRPr="0075789D">
        <w:rPr>
          <w:lang w:val="es-419"/>
        </w:rPr>
        <w:tab/>
        <w:t>Extensión de la protección a otros géneros y especies (realizada o prevista)</w:t>
      </w:r>
    </w:p>
    <w:p w:rsidR="00186F4C" w:rsidRPr="0075789D" w:rsidRDefault="00186F4C" w:rsidP="00186F4C">
      <w:pPr>
        <w:rPr>
          <w:lang w:val="es-419"/>
        </w:rPr>
      </w:pPr>
    </w:p>
    <w:p w:rsidR="00186F4C" w:rsidRPr="0075789D" w:rsidRDefault="00186F4C" w:rsidP="00186F4C">
      <w:pPr>
        <w:rPr>
          <w:i/>
          <w:iCs/>
          <w:lang w:val="es-419"/>
        </w:rPr>
      </w:pPr>
      <w:r w:rsidRPr="0075789D">
        <w:rPr>
          <w:i/>
          <w:lang w:val="es-419"/>
        </w:rPr>
        <w:t>Declaración respecto de Cannabis L. [</w:t>
      </w:r>
      <w:proofErr w:type="spellStart"/>
      <w:r w:rsidRPr="0075789D">
        <w:rPr>
          <w:i/>
          <w:lang w:val="es-419"/>
        </w:rPr>
        <w:t>Hemp</w:t>
      </w:r>
      <w:proofErr w:type="spellEnd"/>
      <w:r w:rsidRPr="0075789D">
        <w:rPr>
          <w:i/>
          <w:lang w:val="es-419"/>
        </w:rPr>
        <w:t>] publicada en la Gaceta Oficial del Gobierno de Sudáfrica N.º 46382 el 10 de junio de 2022.</w:t>
      </w:r>
    </w:p>
    <w:p w:rsidR="00186F4C" w:rsidRPr="0075789D" w:rsidRDefault="00186F4C" w:rsidP="00186F4C">
      <w:pPr>
        <w:rPr>
          <w:lang w:val="es-419"/>
        </w:rPr>
      </w:pPr>
    </w:p>
    <w:p w:rsidR="00186F4C" w:rsidRPr="0075789D" w:rsidRDefault="00186F4C" w:rsidP="00186F4C">
      <w:pPr>
        <w:rPr>
          <w:lang w:val="es-419"/>
        </w:rPr>
      </w:pPr>
    </w:p>
    <w:p w:rsidR="00186F4C" w:rsidRPr="0075789D" w:rsidRDefault="00186F4C" w:rsidP="00186F4C">
      <w:pPr>
        <w:rPr>
          <w:lang w:val="es-419"/>
        </w:rPr>
      </w:pPr>
      <w:r w:rsidRPr="0075789D">
        <w:rPr>
          <w:lang w:val="es-419"/>
        </w:rPr>
        <w:t>2.</w:t>
      </w:r>
      <w:r w:rsidRPr="0075789D">
        <w:rPr>
          <w:lang w:val="es-419"/>
        </w:rPr>
        <w:tab/>
      </w:r>
      <w:r w:rsidRPr="0075789D">
        <w:rPr>
          <w:u w:val="single"/>
          <w:lang w:val="es-419"/>
        </w:rPr>
        <w:t>Cooperación en el examen</w:t>
      </w:r>
    </w:p>
    <w:p w:rsidR="00186F4C" w:rsidRPr="0075789D" w:rsidRDefault="00186F4C" w:rsidP="00186F4C">
      <w:pPr>
        <w:rPr>
          <w:lang w:val="es-419"/>
        </w:rPr>
      </w:pPr>
    </w:p>
    <w:p w:rsidR="00186F4C" w:rsidRPr="0075789D" w:rsidRDefault="00186F4C" w:rsidP="00186F4C">
      <w:pPr>
        <w:rPr>
          <w:iCs/>
          <w:lang w:val="es-419"/>
        </w:rPr>
      </w:pPr>
      <w:r w:rsidRPr="0075789D">
        <w:rPr>
          <w:lang w:val="es-419"/>
        </w:rPr>
        <w:t>Ninguna reseñable.</w:t>
      </w:r>
    </w:p>
    <w:p w:rsidR="00186F4C" w:rsidRPr="0075789D" w:rsidRDefault="00186F4C" w:rsidP="00186F4C">
      <w:pPr>
        <w:rPr>
          <w:i/>
          <w:iCs/>
          <w:lang w:val="es-419"/>
        </w:rPr>
      </w:pPr>
    </w:p>
    <w:p w:rsidR="00186F4C" w:rsidRPr="0075789D" w:rsidRDefault="00186F4C" w:rsidP="00186F4C">
      <w:pPr>
        <w:rPr>
          <w:lang w:val="es-419"/>
        </w:rPr>
      </w:pPr>
    </w:p>
    <w:p w:rsidR="00186F4C" w:rsidRPr="0075789D" w:rsidRDefault="00186F4C" w:rsidP="00186F4C">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186F4C" w:rsidRPr="0075789D" w:rsidRDefault="00186F4C" w:rsidP="00186F4C">
      <w:pPr>
        <w:rPr>
          <w:lang w:val="es-419"/>
        </w:rPr>
      </w:pPr>
    </w:p>
    <w:p w:rsidR="00186F4C" w:rsidRPr="0075789D" w:rsidRDefault="00186F4C" w:rsidP="00186F4C">
      <w:pPr>
        <w:rPr>
          <w:lang w:val="es-419"/>
        </w:rPr>
      </w:pPr>
      <w:r w:rsidRPr="0075789D">
        <w:rPr>
          <w:lang w:val="es-419"/>
        </w:rPr>
        <w:t>No hay modificaciones reseñables</w:t>
      </w:r>
    </w:p>
    <w:p w:rsidR="00186F4C" w:rsidRPr="0075789D" w:rsidRDefault="00186F4C" w:rsidP="00186F4C">
      <w:pPr>
        <w:rPr>
          <w:lang w:val="es-419"/>
        </w:rPr>
      </w:pPr>
    </w:p>
    <w:p w:rsidR="00186F4C" w:rsidRPr="0075789D" w:rsidRDefault="00186F4C" w:rsidP="00186F4C">
      <w:pPr>
        <w:rPr>
          <w:lang w:val="es-419"/>
        </w:rPr>
      </w:pPr>
    </w:p>
    <w:p w:rsidR="00186F4C" w:rsidRPr="0075789D" w:rsidRDefault="00186F4C" w:rsidP="00186F4C">
      <w:pPr>
        <w:rPr>
          <w:lang w:val="es-419"/>
        </w:rPr>
      </w:pPr>
      <w:r w:rsidRPr="0075789D">
        <w:rPr>
          <w:lang w:val="es-419"/>
        </w:rPr>
        <w:t>4.</w:t>
      </w:r>
      <w:r w:rsidRPr="0075789D">
        <w:rPr>
          <w:lang w:val="es-419"/>
        </w:rPr>
        <w:tab/>
      </w:r>
      <w:r w:rsidRPr="0075789D">
        <w:rPr>
          <w:u w:val="single"/>
          <w:lang w:val="es-419"/>
        </w:rPr>
        <w:t>Situación en el ámbito técnico entre enero y diciembre de 2021</w:t>
      </w:r>
    </w:p>
    <w:p w:rsidR="00186F4C" w:rsidRPr="0075789D" w:rsidRDefault="00186F4C" w:rsidP="00186F4C">
      <w:pPr>
        <w:rPr>
          <w:lang w:val="es-419"/>
        </w:rPr>
      </w:pPr>
    </w:p>
    <w:p w:rsidR="00186F4C" w:rsidRPr="0075789D" w:rsidRDefault="00186F4C" w:rsidP="00186F4C">
      <w:pPr>
        <w:rPr>
          <w:rFonts w:eastAsia="Calibri" w:cs="Arial"/>
          <w:lang w:val="es-419"/>
        </w:rPr>
      </w:pPr>
      <w:r w:rsidRPr="0075789D">
        <w:rPr>
          <w:lang w:val="es-419"/>
        </w:rPr>
        <w:t xml:space="preserve">Se ha declarado un taxón adicional sujeto a la Ley de Derechos de Obtentor. </w:t>
      </w:r>
    </w:p>
    <w:p w:rsidR="00186F4C" w:rsidRPr="0075789D" w:rsidRDefault="00186F4C" w:rsidP="00186F4C">
      <w:pPr>
        <w:rPr>
          <w:rFonts w:eastAsia="Calibri" w:cs="Arial"/>
          <w:lang w:val="es-419"/>
        </w:rPr>
      </w:pPr>
    </w:p>
    <w:p w:rsidR="00186F4C" w:rsidRPr="0075789D" w:rsidRDefault="00186F4C" w:rsidP="00186F4C">
      <w:pPr>
        <w:rPr>
          <w:rFonts w:eastAsia="Calibri" w:cs="Arial"/>
          <w:lang w:val="es-419"/>
        </w:rPr>
      </w:pPr>
      <w:r w:rsidRPr="0075789D">
        <w:rPr>
          <w:lang w:val="es-419"/>
        </w:rPr>
        <w:t xml:space="preserve">Se recibieron 308 solicitudes de derechos de obtentor, de las cuales el 44% (137) corresponden a plantas agrícolas, el 12% (35) a plantas ornamentales, el 40% (123) a plantas frutales y el 4% (13) a plantas hortícolas. </w:t>
      </w:r>
    </w:p>
    <w:p w:rsidR="00186F4C" w:rsidRPr="0075789D" w:rsidRDefault="00186F4C" w:rsidP="00186F4C">
      <w:pPr>
        <w:rPr>
          <w:rFonts w:eastAsia="Calibri" w:cs="Arial"/>
          <w:lang w:val="es-419"/>
        </w:rPr>
      </w:pPr>
    </w:p>
    <w:p w:rsidR="00186F4C" w:rsidRPr="0075789D" w:rsidRDefault="00186F4C" w:rsidP="00186F4C">
      <w:pPr>
        <w:rPr>
          <w:rFonts w:eastAsia="Calibri" w:cs="Arial"/>
          <w:lang w:val="es-419"/>
        </w:rPr>
      </w:pPr>
      <w:r w:rsidRPr="0075789D">
        <w:rPr>
          <w:lang w:val="es-419"/>
        </w:rPr>
        <w:t>Se concedieron 325 derechos de obtentor entre enero y diciembre de 2021, según el siguiente detalle:</w:t>
      </w:r>
    </w:p>
    <w:p w:rsidR="00186F4C" w:rsidRPr="0075789D" w:rsidRDefault="00186F4C" w:rsidP="00186F4C">
      <w:pPr>
        <w:rPr>
          <w:rFonts w:eastAsia="Calibri" w:cs="Arial"/>
          <w:lang w:val="es-419"/>
        </w:rPr>
      </w:pPr>
    </w:p>
    <w:p w:rsidR="00186F4C" w:rsidRPr="0075789D" w:rsidRDefault="00186F4C" w:rsidP="00186F4C">
      <w:pPr>
        <w:tabs>
          <w:tab w:val="right" w:pos="2268"/>
        </w:tabs>
        <w:rPr>
          <w:rFonts w:eastAsia="Calibri" w:cs="Arial"/>
          <w:bCs/>
          <w:lang w:val="es-419"/>
        </w:rPr>
      </w:pPr>
      <w:r w:rsidRPr="0075789D">
        <w:rPr>
          <w:lang w:val="es-419"/>
        </w:rPr>
        <w:t>Plantas agrícolas</w:t>
      </w:r>
      <w:r w:rsidRPr="0075789D">
        <w:rPr>
          <w:lang w:val="es-419"/>
        </w:rPr>
        <w:tab/>
        <w:t>127</w:t>
      </w:r>
    </w:p>
    <w:p w:rsidR="00186F4C" w:rsidRPr="0075789D" w:rsidRDefault="00186F4C" w:rsidP="00186F4C">
      <w:pPr>
        <w:tabs>
          <w:tab w:val="right" w:pos="2268"/>
        </w:tabs>
        <w:rPr>
          <w:rFonts w:eastAsia="Calibri" w:cs="Arial"/>
          <w:bCs/>
          <w:lang w:val="es-419"/>
        </w:rPr>
      </w:pPr>
      <w:r w:rsidRPr="0075789D">
        <w:rPr>
          <w:lang w:val="es-419"/>
        </w:rPr>
        <w:t>Plantas hortícolas</w:t>
      </w:r>
      <w:r w:rsidRPr="0075789D">
        <w:rPr>
          <w:lang w:val="es-419"/>
        </w:rPr>
        <w:tab/>
        <w:t>15</w:t>
      </w:r>
    </w:p>
    <w:p w:rsidR="00186F4C" w:rsidRPr="0075789D" w:rsidRDefault="00186F4C" w:rsidP="00186F4C">
      <w:pPr>
        <w:tabs>
          <w:tab w:val="right" w:pos="2268"/>
        </w:tabs>
        <w:rPr>
          <w:rFonts w:eastAsia="Calibri" w:cs="Arial"/>
          <w:bCs/>
          <w:lang w:val="es-419"/>
        </w:rPr>
      </w:pPr>
      <w:r w:rsidRPr="0075789D">
        <w:rPr>
          <w:lang w:val="es-419"/>
        </w:rPr>
        <w:t>Plantas frutales</w:t>
      </w:r>
      <w:r w:rsidRPr="0075789D">
        <w:rPr>
          <w:lang w:val="es-419"/>
        </w:rPr>
        <w:tab/>
        <w:t>108</w:t>
      </w:r>
    </w:p>
    <w:p w:rsidR="00186F4C" w:rsidRPr="0075789D" w:rsidRDefault="00186F4C" w:rsidP="00186F4C">
      <w:pPr>
        <w:tabs>
          <w:tab w:val="right" w:pos="2268"/>
        </w:tabs>
        <w:rPr>
          <w:rFonts w:eastAsia="Calibri" w:cs="Arial"/>
          <w:bCs/>
          <w:lang w:val="es-419"/>
        </w:rPr>
      </w:pPr>
      <w:r w:rsidRPr="0075789D">
        <w:rPr>
          <w:lang w:val="es-419"/>
        </w:rPr>
        <w:t>Plantas ornamentales 75</w:t>
      </w:r>
    </w:p>
    <w:p w:rsidR="00186F4C" w:rsidRPr="0075789D" w:rsidRDefault="00186F4C" w:rsidP="00186F4C">
      <w:pPr>
        <w:rPr>
          <w:rFonts w:eastAsia="Calibri" w:cs="Arial"/>
          <w:bCs/>
          <w:lang w:val="es-419"/>
        </w:rPr>
      </w:pPr>
    </w:p>
    <w:p w:rsidR="00186F4C" w:rsidRPr="0075789D" w:rsidRDefault="00186F4C" w:rsidP="00186F4C">
      <w:pPr>
        <w:rPr>
          <w:rFonts w:eastAsia="Calibri" w:cs="Arial"/>
          <w:lang w:val="es-419"/>
        </w:rPr>
      </w:pPr>
      <w:r w:rsidRPr="0075789D">
        <w:rPr>
          <w:lang w:val="es-419"/>
        </w:rPr>
        <w:t xml:space="preserve">A diciembre de 2021, un total de 3.482 variedades estaban protegidas por un título de derechos de obtentor en vigor en Sudáfrica, de las que el 29% corresponden a plantas ornamentales, el 36% a plantas agrícolas, el 28% a plantas frutales y el 7% a plantas hortícolas. </w:t>
      </w:r>
    </w:p>
    <w:p w:rsidR="00186F4C" w:rsidRPr="0075789D" w:rsidRDefault="00186F4C" w:rsidP="00186F4C">
      <w:pPr>
        <w:rPr>
          <w:lang w:val="es-419"/>
        </w:rPr>
      </w:pPr>
    </w:p>
    <w:p w:rsidR="00186F4C" w:rsidRPr="0075789D" w:rsidRDefault="00186F4C" w:rsidP="00186F4C">
      <w:pPr>
        <w:rPr>
          <w:lang w:val="es-419"/>
        </w:rPr>
      </w:pPr>
    </w:p>
    <w:p w:rsidR="00186F4C" w:rsidRPr="0075789D" w:rsidRDefault="00186F4C" w:rsidP="00186F4C">
      <w:pPr>
        <w:jc w:val="left"/>
        <w:rPr>
          <w:lang w:val="es-419"/>
        </w:rPr>
      </w:pPr>
      <w:r w:rsidRPr="0075789D">
        <w:rPr>
          <w:lang w:val="es-419"/>
        </w:rPr>
        <w:br w:type="page"/>
      </w:r>
    </w:p>
    <w:p w:rsidR="00186F4C" w:rsidRPr="0075789D" w:rsidRDefault="00186F4C" w:rsidP="00186F4C">
      <w:pPr>
        <w:rPr>
          <w:u w:val="single"/>
          <w:lang w:val="es-419"/>
        </w:rPr>
      </w:pPr>
      <w:r w:rsidRPr="0075789D">
        <w:rPr>
          <w:lang w:val="es-419"/>
        </w:rPr>
        <w:lastRenderedPageBreak/>
        <w:t>5.</w:t>
      </w:r>
      <w:r w:rsidRPr="0075789D">
        <w:rPr>
          <w:lang w:val="es-419"/>
        </w:rPr>
        <w:tab/>
      </w:r>
      <w:r w:rsidRPr="0075789D">
        <w:rPr>
          <w:u w:val="single"/>
          <w:lang w:val="es-419"/>
        </w:rPr>
        <w:t>Actividades para la promoción de las variedades vegetales</w:t>
      </w:r>
    </w:p>
    <w:p w:rsidR="00186F4C" w:rsidRPr="0075789D" w:rsidRDefault="00186F4C" w:rsidP="00186F4C">
      <w:pPr>
        <w:rPr>
          <w:lang w:val="es-419"/>
        </w:rPr>
      </w:pPr>
    </w:p>
    <w:tbl>
      <w:tblPr>
        <w:tblStyle w:val="TableGrid"/>
        <w:tblW w:w="10060" w:type="dxa"/>
        <w:tblLayout w:type="fixed"/>
        <w:tblCellMar>
          <w:top w:w="28" w:type="dxa"/>
          <w:left w:w="57" w:type="dxa"/>
          <w:bottom w:w="28" w:type="dxa"/>
          <w:right w:w="57" w:type="dxa"/>
        </w:tblCellMar>
        <w:tblLook w:val="01E0" w:firstRow="1" w:lastRow="1" w:firstColumn="1" w:lastColumn="1" w:noHBand="0" w:noVBand="0"/>
      </w:tblPr>
      <w:tblGrid>
        <w:gridCol w:w="1271"/>
        <w:gridCol w:w="851"/>
        <w:gridCol w:w="1275"/>
        <w:gridCol w:w="1418"/>
        <w:gridCol w:w="1559"/>
        <w:gridCol w:w="2410"/>
        <w:gridCol w:w="1276"/>
      </w:tblGrid>
      <w:tr w:rsidR="00186F4C" w:rsidRPr="0075789D" w:rsidTr="00186F4C">
        <w:tc>
          <w:tcPr>
            <w:tcW w:w="1271" w:type="dxa"/>
          </w:tcPr>
          <w:p w:rsidR="00186F4C" w:rsidRPr="00186F4C" w:rsidRDefault="00186F4C" w:rsidP="004D1E3E">
            <w:pPr>
              <w:jc w:val="left"/>
              <w:rPr>
                <w:sz w:val="18"/>
                <w:lang w:val="es-419"/>
              </w:rPr>
            </w:pPr>
            <w:r w:rsidRPr="00186F4C">
              <w:rPr>
                <w:sz w:val="18"/>
                <w:lang w:val="es-419"/>
              </w:rPr>
              <w:t>Título de la actividad</w:t>
            </w:r>
          </w:p>
        </w:tc>
        <w:tc>
          <w:tcPr>
            <w:tcW w:w="851" w:type="dxa"/>
          </w:tcPr>
          <w:p w:rsidR="00186F4C" w:rsidRPr="00186F4C" w:rsidRDefault="00186F4C" w:rsidP="004D1E3E">
            <w:pPr>
              <w:jc w:val="left"/>
              <w:rPr>
                <w:sz w:val="18"/>
                <w:lang w:val="es-419"/>
              </w:rPr>
            </w:pPr>
            <w:r w:rsidRPr="00186F4C">
              <w:rPr>
                <w:sz w:val="18"/>
                <w:lang w:val="es-419"/>
              </w:rPr>
              <w:t>Fecha</w:t>
            </w:r>
          </w:p>
        </w:tc>
        <w:tc>
          <w:tcPr>
            <w:tcW w:w="1275" w:type="dxa"/>
          </w:tcPr>
          <w:p w:rsidR="00186F4C" w:rsidRPr="00186F4C" w:rsidRDefault="00186F4C" w:rsidP="004D1E3E">
            <w:pPr>
              <w:jc w:val="left"/>
              <w:rPr>
                <w:sz w:val="18"/>
                <w:lang w:val="es-419"/>
              </w:rPr>
            </w:pPr>
            <w:r w:rsidRPr="00186F4C">
              <w:rPr>
                <w:sz w:val="18"/>
                <w:lang w:val="es-419"/>
              </w:rPr>
              <w:t>Lugar</w:t>
            </w:r>
          </w:p>
        </w:tc>
        <w:tc>
          <w:tcPr>
            <w:tcW w:w="1418" w:type="dxa"/>
          </w:tcPr>
          <w:p w:rsidR="00186F4C" w:rsidRPr="00186F4C" w:rsidRDefault="00186F4C" w:rsidP="004D1E3E">
            <w:pPr>
              <w:jc w:val="left"/>
              <w:rPr>
                <w:sz w:val="18"/>
                <w:lang w:val="es-419"/>
              </w:rPr>
            </w:pPr>
            <w:r w:rsidRPr="00186F4C">
              <w:rPr>
                <w:sz w:val="18"/>
                <w:lang w:val="es-419"/>
              </w:rPr>
              <w:t>Organizador(es)</w:t>
            </w:r>
          </w:p>
        </w:tc>
        <w:tc>
          <w:tcPr>
            <w:tcW w:w="1559" w:type="dxa"/>
          </w:tcPr>
          <w:p w:rsidR="00186F4C" w:rsidRPr="00186F4C" w:rsidRDefault="00186F4C" w:rsidP="004D1E3E">
            <w:pPr>
              <w:jc w:val="left"/>
              <w:rPr>
                <w:sz w:val="18"/>
                <w:lang w:val="es-419"/>
              </w:rPr>
            </w:pPr>
            <w:r w:rsidRPr="00186F4C">
              <w:rPr>
                <w:sz w:val="18"/>
                <w:lang w:val="es-419"/>
              </w:rPr>
              <w:t>Finalidad de la actividad</w:t>
            </w:r>
          </w:p>
        </w:tc>
        <w:tc>
          <w:tcPr>
            <w:tcW w:w="2410" w:type="dxa"/>
          </w:tcPr>
          <w:p w:rsidR="00186F4C" w:rsidRPr="00186F4C" w:rsidRDefault="00186F4C" w:rsidP="004D1E3E">
            <w:pPr>
              <w:jc w:val="left"/>
              <w:rPr>
                <w:sz w:val="18"/>
                <w:lang w:val="es-419"/>
              </w:rPr>
            </w:pPr>
            <w:r w:rsidRPr="00186F4C">
              <w:rPr>
                <w:sz w:val="18"/>
                <w:lang w:val="es-419"/>
              </w:rPr>
              <w:t>Países u organizaciones participantes (número de participantes en cada caso)</w:t>
            </w:r>
          </w:p>
        </w:tc>
        <w:tc>
          <w:tcPr>
            <w:tcW w:w="1276" w:type="dxa"/>
          </w:tcPr>
          <w:p w:rsidR="00186F4C" w:rsidRPr="00186F4C" w:rsidRDefault="00186F4C" w:rsidP="004D1E3E">
            <w:pPr>
              <w:jc w:val="left"/>
              <w:rPr>
                <w:sz w:val="18"/>
                <w:lang w:val="es-419"/>
              </w:rPr>
            </w:pPr>
            <w:r w:rsidRPr="00186F4C">
              <w:rPr>
                <w:sz w:val="18"/>
                <w:lang w:val="es-419"/>
              </w:rPr>
              <w:t>Comentarios</w:t>
            </w:r>
          </w:p>
        </w:tc>
      </w:tr>
      <w:tr w:rsidR="00186F4C" w:rsidRPr="0075789D" w:rsidTr="00186F4C">
        <w:tc>
          <w:tcPr>
            <w:tcW w:w="1271" w:type="dxa"/>
          </w:tcPr>
          <w:p w:rsidR="00186F4C" w:rsidRPr="00186F4C" w:rsidRDefault="00186F4C" w:rsidP="004D1E3E">
            <w:pPr>
              <w:jc w:val="left"/>
              <w:rPr>
                <w:sz w:val="18"/>
                <w:lang w:val="es-419"/>
              </w:rPr>
            </w:pPr>
            <w:r w:rsidRPr="00186F4C">
              <w:rPr>
                <w:sz w:val="18"/>
                <w:lang w:val="es-419"/>
              </w:rPr>
              <w:t>Reunión de NUMPRO (</w:t>
            </w:r>
            <w:r w:rsidRPr="00186F4C">
              <w:rPr>
                <w:i/>
                <w:iCs/>
                <w:sz w:val="18"/>
                <w:lang w:val="es-419"/>
              </w:rPr>
              <w:t xml:space="preserve">Nuclear Material </w:t>
            </w:r>
            <w:proofErr w:type="spellStart"/>
            <w:r w:rsidRPr="00186F4C">
              <w:rPr>
                <w:i/>
                <w:iCs/>
                <w:sz w:val="18"/>
                <w:lang w:val="es-419"/>
              </w:rPr>
              <w:t>Producers</w:t>
            </w:r>
            <w:proofErr w:type="spellEnd"/>
            <w:r w:rsidRPr="00186F4C">
              <w:rPr>
                <w:sz w:val="18"/>
                <w:lang w:val="es-419"/>
              </w:rPr>
              <w:t>)</w:t>
            </w:r>
          </w:p>
          <w:p w:rsidR="00186F4C" w:rsidRPr="00186F4C" w:rsidRDefault="00186F4C" w:rsidP="004D1E3E">
            <w:pPr>
              <w:jc w:val="left"/>
              <w:rPr>
                <w:sz w:val="18"/>
                <w:lang w:val="es-419"/>
              </w:rPr>
            </w:pPr>
          </w:p>
        </w:tc>
        <w:tc>
          <w:tcPr>
            <w:tcW w:w="851" w:type="dxa"/>
          </w:tcPr>
          <w:p w:rsidR="00186F4C" w:rsidRPr="00186F4C" w:rsidRDefault="00186F4C" w:rsidP="004D1E3E">
            <w:pPr>
              <w:jc w:val="left"/>
              <w:rPr>
                <w:sz w:val="18"/>
                <w:lang w:val="es-419"/>
              </w:rPr>
            </w:pPr>
            <w:r w:rsidRPr="00186F4C">
              <w:rPr>
                <w:sz w:val="18"/>
                <w:lang w:val="es-419"/>
              </w:rPr>
              <w:t>17 de mayo de 2022</w:t>
            </w:r>
          </w:p>
        </w:tc>
        <w:tc>
          <w:tcPr>
            <w:tcW w:w="1275" w:type="dxa"/>
          </w:tcPr>
          <w:p w:rsidR="00186F4C" w:rsidRPr="00186F4C" w:rsidRDefault="00186F4C" w:rsidP="004D1E3E">
            <w:pPr>
              <w:jc w:val="left"/>
              <w:rPr>
                <w:sz w:val="18"/>
                <w:lang w:val="es-419"/>
              </w:rPr>
            </w:pPr>
            <w:proofErr w:type="spellStart"/>
            <w:r w:rsidRPr="00186F4C">
              <w:rPr>
                <w:i/>
                <w:iCs/>
                <w:sz w:val="18"/>
                <w:lang w:val="es-419"/>
              </w:rPr>
              <w:t>Willows</w:t>
            </w:r>
            <w:proofErr w:type="spellEnd"/>
            <w:r w:rsidRPr="00186F4C">
              <w:rPr>
                <w:i/>
                <w:iCs/>
                <w:sz w:val="18"/>
                <w:lang w:val="es-419"/>
              </w:rPr>
              <w:t xml:space="preserve"> Country </w:t>
            </w:r>
            <w:proofErr w:type="spellStart"/>
            <w:r w:rsidRPr="00186F4C">
              <w:rPr>
                <w:i/>
                <w:iCs/>
                <w:sz w:val="18"/>
                <w:lang w:val="es-419"/>
              </w:rPr>
              <w:t>Lodge</w:t>
            </w:r>
            <w:proofErr w:type="spellEnd"/>
            <w:r w:rsidRPr="00186F4C">
              <w:rPr>
                <w:i/>
                <w:iCs/>
                <w:sz w:val="18"/>
                <w:lang w:val="es-419"/>
              </w:rPr>
              <w:t xml:space="preserve"> and </w:t>
            </w:r>
            <w:proofErr w:type="spellStart"/>
            <w:r w:rsidRPr="00186F4C">
              <w:rPr>
                <w:i/>
                <w:iCs/>
                <w:sz w:val="18"/>
                <w:lang w:val="es-419"/>
              </w:rPr>
              <w:t>Conference</w:t>
            </w:r>
            <w:proofErr w:type="spellEnd"/>
            <w:r w:rsidRPr="00186F4C">
              <w:rPr>
                <w:i/>
                <w:iCs/>
                <w:sz w:val="18"/>
                <w:lang w:val="es-419"/>
              </w:rPr>
              <w:t xml:space="preserve"> Centre</w:t>
            </w:r>
            <w:r w:rsidRPr="00186F4C">
              <w:rPr>
                <w:sz w:val="18"/>
                <w:lang w:val="es-419"/>
              </w:rPr>
              <w:t>, Pretoria (Sudáfrica)</w:t>
            </w:r>
          </w:p>
        </w:tc>
        <w:tc>
          <w:tcPr>
            <w:tcW w:w="1418" w:type="dxa"/>
          </w:tcPr>
          <w:p w:rsidR="00186F4C" w:rsidRPr="00186F4C" w:rsidRDefault="00186F4C" w:rsidP="004D1E3E">
            <w:pPr>
              <w:jc w:val="left"/>
              <w:rPr>
                <w:sz w:val="18"/>
                <w:lang w:val="es-419"/>
              </w:rPr>
            </w:pPr>
            <w:r w:rsidRPr="00186F4C">
              <w:rPr>
                <w:sz w:val="18"/>
                <w:lang w:val="es-419"/>
              </w:rPr>
              <w:t>Servicio de Certificación de la Papa/Patata</w:t>
            </w:r>
          </w:p>
        </w:tc>
        <w:tc>
          <w:tcPr>
            <w:tcW w:w="1559" w:type="dxa"/>
          </w:tcPr>
          <w:p w:rsidR="00186F4C" w:rsidRPr="00186F4C" w:rsidRDefault="00186F4C" w:rsidP="004D1E3E">
            <w:pPr>
              <w:jc w:val="left"/>
              <w:rPr>
                <w:sz w:val="18"/>
                <w:lang w:val="es-419"/>
              </w:rPr>
            </w:pPr>
            <w:r w:rsidRPr="00186F4C">
              <w:rPr>
                <w:sz w:val="18"/>
                <w:lang w:val="es-419"/>
              </w:rPr>
              <w:t>Informe sobre derechos de obtentor de variedades de papa/patata</w:t>
            </w:r>
          </w:p>
        </w:tc>
        <w:tc>
          <w:tcPr>
            <w:tcW w:w="2410" w:type="dxa"/>
          </w:tcPr>
          <w:p w:rsidR="00186F4C" w:rsidRPr="00186F4C" w:rsidRDefault="00186F4C" w:rsidP="004D1E3E">
            <w:pPr>
              <w:jc w:val="left"/>
              <w:rPr>
                <w:sz w:val="18"/>
                <w:lang w:val="es-419"/>
              </w:rPr>
            </w:pPr>
            <w:r w:rsidRPr="00186F4C">
              <w:rPr>
                <w:sz w:val="18"/>
                <w:lang w:val="es-419"/>
              </w:rPr>
              <w:t>Industria sudafricana de la papa/patata</w:t>
            </w:r>
          </w:p>
          <w:p w:rsidR="00186F4C" w:rsidRPr="00186F4C" w:rsidRDefault="00186F4C" w:rsidP="004D1E3E">
            <w:pPr>
              <w:jc w:val="left"/>
              <w:rPr>
                <w:sz w:val="18"/>
                <w:lang w:val="es-419"/>
              </w:rPr>
            </w:pPr>
            <w:r w:rsidRPr="00186F4C">
              <w:rPr>
                <w:sz w:val="18"/>
                <w:u w:val="single"/>
                <w:lang w:val="es-419"/>
              </w:rPr>
              <w:t>+</w:t>
            </w:r>
            <w:r w:rsidRPr="00186F4C">
              <w:rPr>
                <w:sz w:val="18"/>
                <w:lang w:val="es-419"/>
              </w:rPr>
              <w:t> 60 participantes</w:t>
            </w:r>
          </w:p>
        </w:tc>
        <w:tc>
          <w:tcPr>
            <w:tcW w:w="1276" w:type="dxa"/>
          </w:tcPr>
          <w:p w:rsidR="00186F4C" w:rsidRPr="00186F4C" w:rsidRDefault="00186F4C" w:rsidP="004D1E3E">
            <w:pPr>
              <w:jc w:val="left"/>
              <w:rPr>
                <w:sz w:val="18"/>
                <w:lang w:val="es-419"/>
              </w:rPr>
            </w:pPr>
          </w:p>
        </w:tc>
      </w:tr>
    </w:tbl>
    <w:p w:rsidR="00186F4C" w:rsidRPr="0075789D" w:rsidRDefault="00186F4C" w:rsidP="00186F4C">
      <w:pPr>
        <w:rPr>
          <w:lang w:val="es-419"/>
        </w:rPr>
      </w:pPr>
    </w:p>
    <w:p w:rsidR="00186F4C" w:rsidRPr="0075789D" w:rsidRDefault="00186F4C" w:rsidP="00186F4C">
      <w:pPr>
        <w:rPr>
          <w:lang w:val="es-419"/>
        </w:rPr>
      </w:pPr>
    </w:p>
    <w:p w:rsidR="00186F4C" w:rsidRPr="0075789D" w:rsidRDefault="00186F4C" w:rsidP="00186F4C">
      <w:pPr>
        <w:rPr>
          <w:lang w:val="es-419"/>
        </w:rPr>
      </w:pPr>
      <w:r w:rsidRPr="0075789D">
        <w:rPr>
          <w:lang w:val="es-419"/>
        </w:rPr>
        <w:t>II.</w:t>
      </w:r>
      <w:r w:rsidRPr="0075789D">
        <w:rPr>
          <w:lang w:val="es-419"/>
        </w:rPr>
        <w:tab/>
        <w:t>OTRAS NOVEDADES DE INTERÉS PARA LA UPOV</w:t>
      </w:r>
    </w:p>
    <w:p w:rsidR="00186F4C" w:rsidRPr="0075789D" w:rsidRDefault="00186F4C" w:rsidP="00186F4C">
      <w:pPr>
        <w:rPr>
          <w:lang w:val="es-419"/>
        </w:rPr>
      </w:pPr>
    </w:p>
    <w:p w:rsidR="00186F4C" w:rsidRPr="0075789D" w:rsidRDefault="00186F4C" w:rsidP="00186F4C">
      <w:pPr>
        <w:rPr>
          <w:lang w:val="es-419"/>
        </w:rPr>
      </w:pPr>
      <w:r w:rsidRPr="0075789D">
        <w:rPr>
          <w:lang w:val="es-419"/>
        </w:rPr>
        <w:t>Ninguna reseñable.</w:t>
      </w:r>
    </w:p>
    <w:p w:rsidR="00186F4C" w:rsidRPr="00186F4C" w:rsidRDefault="00186F4C" w:rsidP="00186F4C"/>
    <w:p w:rsidR="00F86A05" w:rsidRPr="00186F4C" w:rsidRDefault="00F86A05" w:rsidP="00186F4C"/>
    <w:p w:rsidR="00186F4C" w:rsidRDefault="00186F4C" w:rsidP="00F86A05">
      <w:pPr>
        <w:jc w:val="right"/>
      </w:pPr>
    </w:p>
    <w:p w:rsidR="00F86A05" w:rsidRPr="00D36B66" w:rsidRDefault="000A2928" w:rsidP="00F86A05">
      <w:pPr>
        <w:jc w:val="right"/>
      </w:pPr>
      <w:r>
        <w:t>[Sigue el Anexo</w:t>
      </w:r>
      <w:r w:rsidR="00F86A05" w:rsidRPr="00D36B66">
        <w:t xml:space="preserve"> II</w:t>
      </w:r>
      <w:r>
        <w:t>]</w:t>
      </w:r>
    </w:p>
    <w:p w:rsidR="00F86A05" w:rsidRPr="00D36B66" w:rsidRDefault="00F86A05" w:rsidP="00F86A05"/>
    <w:p w:rsidR="00F86A05" w:rsidRPr="00D36B66" w:rsidRDefault="00F86A05" w:rsidP="00F86A05">
      <w:pPr>
        <w:sectPr w:rsidR="00F86A05" w:rsidRPr="00D36B66" w:rsidSect="0049108C">
          <w:headerReference w:type="default" r:id="rId10"/>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I</w:t>
      </w:r>
      <w:r w:rsidR="00032BF0" w:rsidRPr="00D36B66">
        <w:t>I</w:t>
      </w:r>
    </w:p>
    <w:p w:rsidR="000362AD" w:rsidRPr="00D36B66" w:rsidRDefault="000362AD" w:rsidP="000362AD">
      <w:pPr>
        <w:jc w:val="center"/>
      </w:pPr>
    </w:p>
    <w:p w:rsidR="000362AD" w:rsidRPr="00D36B66" w:rsidRDefault="000362AD" w:rsidP="000362AD">
      <w:pPr>
        <w:jc w:val="center"/>
      </w:pPr>
    </w:p>
    <w:p w:rsidR="007B1027" w:rsidRPr="00D36B66" w:rsidRDefault="000A2928" w:rsidP="000A2928">
      <w:pPr>
        <w:jc w:val="center"/>
      </w:pPr>
      <w:r w:rsidRPr="00D528F0">
        <w:rPr>
          <w:szCs w:val="24"/>
        </w:rPr>
        <w:t>ALEMANIA</w:t>
      </w:r>
    </w:p>
    <w:p w:rsidR="007B1027" w:rsidRDefault="007B1027" w:rsidP="007B1027"/>
    <w:p w:rsidR="000A2928" w:rsidRDefault="000A2928" w:rsidP="007B1027"/>
    <w:p w:rsidR="00A14934" w:rsidRPr="00086D52" w:rsidRDefault="00A14934" w:rsidP="00A14934">
      <w:pPr>
        <w:rPr>
          <w:lang w:val="es-419"/>
        </w:rPr>
      </w:pPr>
      <w:r>
        <w:rPr>
          <w:lang w:val="es-419"/>
        </w:rPr>
        <w:t>I.</w:t>
      </w:r>
      <w:r>
        <w:rPr>
          <w:lang w:val="es-419"/>
        </w:rPr>
        <w:tab/>
      </w:r>
      <w:r w:rsidRPr="00086D52">
        <w:rPr>
          <w:lang w:val="es-419"/>
        </w:rPr>
        <w:t>PROTECCIÓN DE LAS OBTENCIONES VEGETALES</w:t>
      </w:r>
    </w:p>
    <w:p w:rsidR="00A14934" w:rsidRPr="00086D52" w:rsidRDefault="00A14934" w:rsidP="00A14934">
      <w:pPr>
        <w:rPr>
          <w:lang w:val="es-419"/>
        </w:rPr>
      </w:pPr>
    </w:p>
    <w:p w:rsidR="00A14934" w:rsidRPr="00086D52" w:rsidRDefault="00A14934" w:rsidP="00A14934">
      <w:pPr>
        <w:rPr>
          <w:u w:val="single"/>
          <w:lang w:val="es-419"/>
        </w:rPr>
      </w:pPr>
      <w:r w:rsidRPr="00086D52">
        <w:rPr>
          <w:lang w:val="es-419"/>
        </w:rPr>
        <w:t>1.</w:t>
      </w:r>
      <w:r w:rsidRPr="00086D52">
        <w:rPr>
          <w:lang w:val="es-419"/>
        </w:rPr>
        <w:tab/>
      </w:r>
      <w:r w:rsidRPr="00086D52">
        <w:rPr>
          <w:u w:val="single"/>
          <w:lang w:val="es-419"/>
        </w:rPr>
        <w:t>Situación en el campo legislativo</w:t>
      </w:r>
    </w:p>
    <w:p w:rsidR="00A14934" w:rsidRPr="00086D52" w:rsidRDefault="00A14934" w:rsidP="00A14934">
      <w:pPr>
        <w:rPr>
          <w:lang w:val="es-419"/>
        </w:rPr>
      </w:pPr>
    </w:p>
    <w:p w:rsidR="00A14934" w:rsidRPr="00086D52" w:rsidRDefault="00A14934" w:rsidP="00A14934">
      <w:pPr>
        <w:ind w:left="567"/>
        <w:rPr>
          <w:lang w:val="es-419"/>
        </w:rPr>
      </w:pPr>
      <w:r w:rsidRPr="00086D52">
        <w:rPr>
          <w:lang w:val="es-419"/>
        </w:rPr>
        <w:t>No hay novedades reseñables</w:t>
      </w:r>
    </w:p>
    <w:p w:rsidR="00A14934" w:rsidRPr="00086D52" w:rsidRDefault="00A14934" w:rsidP="00A14934">
      <w:pPr>
        <w:rPr>
          <w:lang w:val="es-419"/>
        </w:rPr>
      </w:pPr>
    </w:p>
    <w:p w:rsidR="00A14934" w:rsidRPr="00086D52" w:rsidRDefault="00A14934" w:rsidP="00A14934">
      <w:pPr>
        <w:rPr>
          <w:lang w:val="es-419"/>
        </w:rPr>
      </w:pPr>
    </w:p>
    <w:p w:rsidR="00A14934" w:rsidRPr="00086D52" w:rsidRDefault="00A14934" w:rsidP="00A14934">
      <w:pPr>
        <w:rPr>
          <w:u w:val="single"/>
          <w:lang w:val="es-419"/>
        </w:rPr>
      </w:pPr>
      <w:r w:rsidRPr="00086D52">
        <w:rPr>
          <w:lang w:val="es-419"/>
        </w:rPr>
        <w:t>2.</w:t>
      </w:r>
      <w:r w:rsidRPr="00086D52">
        <w:rPr>
          <w:lang w:val="es-419"/>
        </w:rPr>
        <w:tab/>
      </w:r>
      <w:r w:rsidRPr="00086D52">
        <w:rPr>
          <w:u w:val="single"/>
          <w:lang w:val="es-419"/>
        </w:rPr>
        <w:t>Cooperación en el examen</w:t>
      </w:r>
    </w:p>
    <w:p w:rsidR="00A14934" w:rsidRPr="00086D52" w:rsidRDefault="00A14934" w:rsidP="00A14934">
      <w:pPr>
        <w:rPr>
          <w:lang w:val="es-419"/>
        </w:rPr>
      </w:pPr>
    </w:p>
    <w:p w:rsidR="00A14934" w:rsidRPr="00086D52" w:rsidRDefault="00A14934" w:rsidP="00A14934">
      <w:pPr>
        <w:ind w:left="567"/>
        <w:rPr>
          <w:lang w:val="es-419"/>
        </w:rPr>
      </w:pPr>
      <w:r w:rsidRPr="00086D52">
        <w:rPr>
          <w:lang w:val="es-419"/>
        </w:rPr>
        <w:t>No hay novedades reseñables</w:t>
      </w:r>
    </w:p>
    <w:p w:rsidR="00A14934" w:rsidRPr="00086D52" w:rsidRDefault="00A14934" w:rsidP="00A14934">
      <w:pPr>
        <w:rPr>
          <w:lang w:val="es-419"/>
        </w:rPr>
      </w:pPr>
    </w:p>
    <w:p w:rsidR="00A14934" w:rsidRPr="00086D52" w:rsidRDefault="00A14934" w:rsidP="00A14934">
      <w:pPr>
        <w:rPr>
          <w:lang w:val="es-419"/>
        </w:rPr>
      </w:pPr>
    </w:p>
    <w:p w:rsidR="00A14934" w:rsidRPr="00086D52" w:rsidRDefault="00A14934" w:rsidP="00A14934">
      <w:pPr>
        <w:rPr>
          <w:u w:val="single"/>
          <w:lang w:val="es-419"/>
        </w:rPr>
      </w:pPr>
      <w:r w:rsidRPr="00086D52">
        <w:rPr>
          <w:lang w:val="es-419"/>
        </w:rPr>
        <w:t>3.</w:t>
      </w:r>
      <w:r w:rsidRPr="00086D52">
        <w:rPr>
          <w:lang w:val="es-419"/>
        </w:rPr>
        <w:tab/>
      </w:r>
      <w:r w:rsidRPr="00086D52">
        <w:rPr>
          <w:u w:val="single"/>
          <w:lang w:val="es-419"/>
        </w:rPr>
        <w:t>Situación en el campo administrativo</w:t>
      </w:r>
    </w:p>
    <w:p w:rsidR="00A14934" w:rsidRPr="00086D52" w:rsidRDefault="00A14934" w:rsidP="00A14934">
      <w:pPr>
        <w:rPr>
          <w:lang w:val="es-419"/>
        </w:rPr>
      </w:pPr>
    </w:p>
    <w:p w:rsidR="00A14934" w:rsidRPr="00086D52" w:rsidRDefault="00A14934" w:rsidP="00A14934">
      <w:pPr>
        <w:ind w:left="567"/>
        <w:rPr>
          <w:lang w:val="es-419"/>
        </w:rPr>
      </w:pPr>
      <w:r w:rsidRPr="00086D52">
        <w:rPr>
          <w:lang w:val="es-419"/>
        </w:rPr>
        <w:t>La Oficina Federal de Obtenciones Vegetales está cumpliendo con la aplicación de las disposiciones de la Ley de Acceso por Internet según los plazos establecidos. Una de las etapas fundamentales del proceso, la creación de buzones individuales para los obtentores, que permitiría mandarles por Internet información sobre las tasas, debería estar finalizada en octubre.</w:t>
      </w:r>
    </w:p>
    <w:p w:rsidR="00A14934" w:rsidRPr="00086D52" w:rsidRDefault="00A14934" w:rsidP="00A14934">
      <w:pPr>
        <w:rPr>
          <w:lang w:val="es-419"/>
        </w:rPr>
      </w:pPr>
    </w:p>
    <w:p w:rsidR="00A14934" w:rsidRPr="00086D52" w:rsidRDefault="00A14934" w:rsidP="00A14934">
      <w:pPr>
        <w:rPr>
          <w:lang w:val="es-419"/>
        </w:rPr>
      </w:pPr>
    </w:p>
    <w:p w:rsidR="00A14934" w:rsidRPr="00086D52" w:rsidRDefault="00A14934" w:rsidP="00A14934">
      <w:pPr>
        <w:rPr>
          <w:u w:val="single"/>
          <w:lang w:val="es-419"/>
        </w:rPr>
      </w:pPr>
      <w:r w:rsidRPr="00086D52">
        <w:rPr>
          <w:lang w:val="es-419"/>
        </w:rPr>
        <w:t>4.</w:t>
      </w:r>
      <w:r w:rsidRPr="00086D52">
        <w:rPr>
          <w:lang w:val="es-419"/>
        </w:rPr>
        <w:tab/>
      </w:r>
      <w:r w:rsidRPr="00086D52">
        <w:rPr>
          <w:u w:val="single"/>
          <w:lang w:val="es-419"/>
        </w:rPr>
        <w:t>Situación en el campo técnico</w:t>
      </w:r>
    </w:p>
    <w:p w:rsidR="00A14934" w:rsidRPr="00086D52" w:rsidRDefault="00A14934" w:rsidP="00A14934">
      <w:pPr>
        <w:rPr>
          <w:lang w:val="es-419"/>
        </w:rPr>
      </w:pPr>
    </w:p>
    <w:p w:rsidR="00A14934" w:rsidRPr="00086D52" w:rsidRDefault="00A14934" w:rsidP="00A14934">
      <w:pPr>
        <w:ind w:left="567"/>
        <w:rPr>
          <w:lang w:val="es-419"/>
        </w:rPr>
      </w:pPr>
      <w:r w:rsidRPr="00086D52">
        <w:rPr>
          <w:lang w:val="es-419"/>
        </w:rPr>
        <w:t>No hay novedades reseñables</w:t>
      </w:r>
    </w:p>
    <w:p w:rsidR="000A2928" w:rsidRDefault="000A2928" w:rsidP="007B1027"/>
    <w:p w:rsidR="00A14934" w:rsidRDefault="00A14934" w:rsidP="007B1027">
      <w:pPr>
        <w:sectPr w:rsidR="00A14934" w:rsidSect="0049108C">
          <w:pgSz w:w="11907" w:h="16840" w:code="9"/>
          <w:pgMar w:top="510" w:right="1134" w:bottom="1134" w:left="1134" w:header="510" w:footer="680" w:gutter="0"/>
          <w:pgNumType w:start="1"/>
          <w:cols w:space="720"/>
          <w:titlePg/>
        </w:sectPr>
      </w:pPr>
    </w:p>
    <w:p w:rsidR="00A14934" w:rsidRPr="00086D52" w:rsidRDefault="00A14934" w:rsidP="00A14934">
      <w:pPr>
        <w:rPr>
          <w:u w:val="single"/>
          <w:lang w:val="es-419"/>
        </w:rPr>
      </w:pPr>
      <w:r w:rsidRPr="00086D52">
        <w:rPr>
          <w:lang w:val="es-419"/>
        </w:rPr>
        <w:lastRenderedPageBreak/>
        <w:t>5.</w:t>
      </w:r>
      <w:r w:rsidRPr="00086D52">
        <w:rPr>
          <w:lang w:val="es-419"/>
        </w:rPr>
        <w:tab/>
      </w:r>
      <w:r w:rsidRPr="00086D52">
        <w:rPr>
          <w:u w:val="single"/>
          <w:lang w:val="es-419"/>
        </w:rPr>
        <w:t>Actividades para la promoción de la protección de las obtenciones vegetales</w:t>
      </w:r>
    </w:p>
    <w:p w:rsidR="00A14934" w:rsidRPr="00086D52" w:rsidRDefault="00A14934" w:rsidP="00A14934">
      <w:pPr>
        <w:rPr>
          <w:lang w:val="es-419"/>
        </w:rPr>
      </w:pPr>
    </w:p>
    <w:tbl>
      <w:tblPr>
        <w:tblStyle w:val="TableNormal1"/>
        <w:tblW w:w="14489" w:type="dxa"/>
        <w:tblLayout w:type="fixed"/>
        <w:tblCellMar>
          <w:top w:w="28" w:type="dxa"/>
          <w:left w:w="57" w:type="dxa"/>
          <w:bottom w:w="28" w:type="dxa"/>
          <w:right w:w="57" w:type="dxa"/>
        </w:tblCellMar>
        <w:tblLook w:val="01E0" w:firstRow="1" w:lastRow="1" w:firstColumn="1" w:lastColumn="1" w:noHBand="0" w:noVBand="0"/>
      </w:tblPr>
      <w:tblGrid>
        <w:gridCol w:w="2187"/>
        <w:gridCol w:w="1066"/>
        <w:gridCol w:w="922"/>
        <w:gridCol w:w="1697"/>
        <w:gridCol w:w="3692"/>
        <w:gridCol w:w="2572"/>
        <w:gridCol w:w="2353"/>
      </w:tblGrid>
      <w:tr w:rsidR="00A14934" w:rsidRPr="00086D52" w:rsidTr="004D1E3E">
        <w:trPr>
          <w:trHeight w:val="824"/>
        </w:trPr>
        <w:tc>
          <w:tcPr>
            <w:tcW w:w="2187" w:type="dxa"/>
            <w:tcBorders>
              <w:top w:val="single" w:sz="6" w:space="0" w:color="000000"/>
              <w:left w:val="single" w:sz="6" w:space="0" w:color="000000"/>
              <w:right w:val="single" w:sz="6"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Título de la actividad</w:t>
            </w:r>
          </w:p>
        </w:tc>
        <w:tc>
          <w:tcPr>
            <w:tcW w:w="1066" w:type="dxa"/>
            <w:tcBorders>
              <w:top w:val="single" w:sz="6" w:space="0" w:color="000000"/>
              <w:left w:val="single" w:sz="6" w:space="0" w:color="000000"/>
              <w:right w:val="single" w:sz="6"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Fecha</w:t>
            </w:r>
          </w:p>
        </w:tc>
        <w:tc>
          <w:tcPr>
            <w:tcW w:w="922" w:type="dxa"/>
            <w:tcBorders>
              <w:top w:val="single" w:sz="6" w:space="0" w:color="000000"/>
              <w:left w:val="single" w:sz="6" w:space="0" w:color="000000"/>
              <w:right w:val="single" w:sz="6"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Lugar</w:t>
            </w:r>
          </w:p>
        </w:tc>
        <w:tc>
          <w:tcPr>
            <w:tcW w:w="1697" w:type="dxa"/>
            <w:tcBorders>
              <w:top w:val="single" w:sz="6" w:space="0" w:color="000000"/>
              <w:left w:val="single" w:sz="6" w:space="0" w:color="000000"/>
              <w:right w:val="single" w:sz="6"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Organizadores</w:t>
            </w:r>
          </w:p>
        </w:tc>
        <w:tc>
          <w:tcPr>
            <w:tcW w:w="3692" w:type="dxa"/>
            <w:tcBorders>
              <w:top w:val="single" w:sz="6" w:space="0" w:color="000000"/>
              <w:left w:val="single" w:sz="6" w:space="0" w:color="000000"/>
              <w:right w:val="single" w:sz="4" w:space="0" w:color="auto"/>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Finalidad de la actividad</w:t>
            </w:r>
          </w:p>
        </w:tc>
        <w:tc>
          <w:tcPr>
            <w:tcW w:w="2572" w:type="dxa"/>
            <w:tcBorders>
              <w:top w:val="single" w:sz="6" w:space="0" w:color="000000"/>
              <w:left w:val="single" w:sz="4" w:space="0" w:color="auto"/>
              <w:right w:val="single" w:sz="6" w:space="0" w:color="000000"/>
            </w:tcBorders>
          </w:tcPr>
          <w:p w:rsidR="00A14934" w:rsidRPr="00086D52" w:rsidRDefault="00A14934" w:rsidP="004D1E3E">
            <w:pPr>
              <w:pStyle w:val="TableParagraph"/>
              <w:spacing w:line="196" w:lineRule="exact"/>
              <w:ind w:left="0"/>
              <w:rPr>
                <w:sz w:val="18"/>
                <w:szCs w:val="18"/>
                <w:lang w:val="es-419"/>
              </w:rPr>
            </w:pPr>
            <w:r>
              <w:rPr>
                <w:sz w:val="18"/>
                <w:lang w:val="es-419"/>
              </w:rPr>
              <w:t>P</w:t>
            </w:r>
            <w:r w:rsidRPr="00086D52">
              <w:rPr>
                <w:sz w:val="18"/>
                <w:lang w:val="es-419"/>
              </w:rPr>
              <w:t>articipantes</w:t>
            </w:r>
          </w:p>
          <w:p w:rsidR="00A14934" w:rsidRPr="00086D52" w:rsidRDefault="00A14934" w:rsidP="00A14934">
            <w:pPr>
              <w:pStyle w:val="TableParagraph"/>
              <w:spacing w:line="235" w:lineRule="auto"/>
              <w:ind w:left="0" w:hanging="15"/>
              <w:rPr>
                <w:sz w:val="18"/>
                <w:szCs w:val="18"/>
                <w:lang w:val="es-419"/>
              </w:rPr>
            </w:pPr>
            <w:r w:rsidRPr="00086D52">
              <w:rPr>
                <w:sz w:val="18"/>
                <w:lang w:val="es-419"/>
              </w:rPr>
              <w:t>(número de participantes de cada)</w:t>
            </w:r>
          </w:p>
        </w:tc>
        <w:tc>
          <w:tcPr>
            <w:tcW w:w="2353" w:type="dxa"/>
            <w:tcBorders>
              <w:top w:val="single" w:sz="6" w:space="0" w:color="000000"/>
              <w:left w:val="single" w:sz="6" w:space="0" w:color="000000"/>
              <w:right w:val="single" w:sz="4"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Comentarios</w:t>
            </w:r>
          </w:p>
        </w:tc>
      </w:tr>
      <w:tr w:rsidR="00A14934" w:rsidRPr="00086D52" w:rsidTr="004D1E3E">
        <w:trPr>
          <w:trHeight w:hRule="exact" w:val="1302"/>
        </w:trPr>
        <w:tc>
          <w:tcPr>
            <w:tcW w:w="2187"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1"/>
              <w:ind w:left="0"/>
              <w:rPr>
                <w:sz w:val="18"/>
                <w:szCs w:val="18"/>
                <w:lang w:val="es-419"/>
              </w:rPr>
            </w:pPr>
            <w:r w:rsidRPr="00086D52">
              <w:rPr>
                <w:sz w:val="18"/>
                <w:lang w:val="es-419"/>
              </w:rPr>
              <w:t xml:space="preserve">Visita de estudio del Instrumento de asistencia técnica e intercambio de información (TAIEX) </w:t>
            </w:r>
          </w:p>
        </w:tc>
        <w:tc>
          <w:tcPr>
            <w:tcW w:w="1066"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line="211" w:lineRule="exact"/>
              <w:ind w:left="0"/>
              <w:rPr>
                <w:rFonts w:eastAsia="Times New Roman"/>
                <w:sz w:val="18"/>
                <w:szCs w:val="18"/>
                <w:lang w:val="es-419"/>
              </w:rPr>
            </w:pPr>
            <w:r w:rsidRPr="00086D52">
              <w:rPr>
                <w:sz w:val="18"/>
                <w:lang w:val="es-419"/>
              </w:rPr>
              <w:t>Junio de 2022</w:t>
            </w:r>
          </w:p>
        </w:tc>
        <w:tc>
          <w:tcPr>
            <w:tcW w:w="922"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5"/>
              <w:ind w:left="0"/>
              <w:rPr>
                <w:sz w:val="18"/>
                <w:szCs w:val="18"/>
                <w:lang w:val="es-419"/>
              </w:rPr>
            </w:pPr>
            <w:r w:rsidRPr="00086D52">
              <w:rPr>
                <w:sz w:val="18"/>
                <w:lang w:val="es-419"/>
              </w:rPr>
              <w:t>Alemania</w:t>
            </w:r>
          </w:p>
        </w:tc>
        <w:tc>
          <w:tcPr>
            <w:tcW w:w="1697"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1" w:line="244" w:lineRule="auto"/>
              <w:ind w:left="0" w:hanging="5"/>
              <w:rPr>
                <w:sz w:val="18"/>
                <w:szCs w:val="18"/>
                <w:lang w:val="es-419"/>
              </w:rPr>
            </w:pPr>
            <w:r w:rsidRPr="00086D52">
              <w:rPr>
                <w:sz w:val="18"/>
                <w:lang w:val="es-419"/>
              </w:rPr>
              <w:t>Departamento de TAIEX de la Comisión Europea</w:t>
            </w:r>
          </w:p>
          <w:p w:rsidR="00A14934" w:rsidRPr="00086D52" w:rsidRDefault="00A14934" w:rsidP="004D1E3E">
            <w:pPr>
              <w:pStyle w:val="TableParagraph"/>
              <w:spacing w:before="10"/>
              <w:ind w:left="0"/>
              <w:rPr>
                <w:sz w:val="18"/>
                <w:szCs w:val="18"/>
                <w:lang w:val="es-419"/>
              </w:rPr>
            </w:pPr>
          </w:p>
          <w:p w:rsidR="00A14934" w:rsidRPr="00086D52" w:rsidRDefault="00A14934" w:rsidP="004D1E3E">
            <w:pPr>
              <w:pStyle w:val="TableParagraph"/>
              <w:spacing w:line="200" w:lineRule="exact"/>
              <w:ind w:left="0"/>
              <w:rPr>
                <w:sz w:val="18"/>
                <w:szCs w:val="18"/>
                <w:lang w:val="es-419"/>
              </w:rPr>
            </w:pPr>
            <w:r w:rsidRPr="00086D52">
              <w:rPr>
                <w:sz w:val="18"/>
                <w:lang w:val="es-419"/>
              </w:rPr>
              <w:t>Oficina Federal de Obtenciones Vegetales</w:t>
            </w:r>
          </w:p>
        </w:tc>
        <w:tc>
          <w:tcPr>
            <w:tcW w:w="3692" w:type="dxa"/>
            <w:tcBorders>
              <w:top w:val="single" w:sz="6" w:space="0" w:color="000000"/>
              <w:left w:val="single" w:sz="6" w:space="0" w:color="000000"/>
              <w:bottom w:val="single" w:sz="6" w:space="0" w:color="000000"/>
              <w:right w:val="single" w:sz="4" w:space="0" w:color="000000"/>
            </w:tcBorders>
          </w:tcPr>
          <w:p w:rsidR="00A14934" w:rsidRPr="00086D52" w:rsidRDefault="00A14934" w:rsidP="004D1E3E">
            <w:pPr>
              <w:pStyle w:val="TableParagraph"/>
              <w:spacing w:before="1" w:line="247" w:lineRule="auto"/>
              <w:ind w:left="0" w:hanging="5"/>
              <w:rPr>
                <w:sz w:val="18"/>
                <w:szCs w:val="18"/>
                <w:lang w:val="es-419"/>
              </w:rPr>
            </w:pPr>
            <w:r w:rsidRPr="00086D52">
              <w:rPr>
                <w:sz w:val="18"/>
                <w:lang w:val="es-419"/>
              </w:rPr>
              <w:t>Asistencia para la elaboración de un sistema de examen de la distinción, la homogeneidad y la estabilidad (DHE)</w:t>
            </w:r>
          </w:p>
        </w:tc>
        <w:tc>
          <w:tcPr>
            <w:tcW w:w="2572" w:type="dxa"/>
            <w:tcBorders>
              <w:top w:val="single" w:sz="6" w:space="0" w:color="000000"/>
              <w:left w:val="single" w:sz="4" w:space="0" w:color="000000"/>
              <w:bottom w:val="single" w:sz="6" w:space="0" w:color="000000"/>
              <w:right w:val="single" w:sz="6" w:space="0" w:color="000000"/>
            </w:tcBorders>
          </w:tcPr>
          <w:p w:rsidR="00A14934" w:rsidRPr="00A14934" w:rsidRDefault="00A14934" w:rsidP="004D1E3E">
            <w:pPr>
              <w:pStyle w:val="TableParagraph"/>
              <w:spacing w:before="1"/>
              <w:ind w:left="0"/>
              <w:rPr>
                <w:sz w:val="18"/>
                <w:szCs w:val="18"/>
                <w:lang w:val="es-419"/>
              </w:rPr>
            </w:pPr>
            <w:r w:rsidRPr="00A14934">
              <w:rPr>
                <w:sz w:val="18"/>
                <w:lang w:val="es-419"/>
              </w:rPr>
              <w:t>Kosovo (3 participantes)</w:t>
            </w:r>
          </w:p>
        </w:tc>
        <w:tc>
          <w:tcPr>
            <w:tcW w:w="2353" w:type="dxa"/>
            <w:tcBorders>
              <w:top w:val="single" w:sz="6" w:space="0" w:color="000000"/>
              <w:left w:val="single" w:sz="6" w:space="0" w:color="000000"/>
              <w:bottom w:val="single" w:sz="6" w:space="0" w:color="000000"/>
              <w:right w:val="single" w:sz="4" w:space="0" w:color="000000"/>
            </w:tcBorders>
          </w:tcPr>
          <w:p w:rsidR="00A14934" w:rsidRPr="00086D52" w:rsidRDefault="00A14934" w:rsidP="004D1E3E">
            <w:pPr>
              <w:pStyle w:val="TableParagraph"/>
              <w:spacing w:before="1"/>
              <w:ind w:left="0" w:hanging="5"/>
              <w:rPr>
                <w:sz w:val="18"/>
                <w:szCs w:val="18"/>
                <w:lang w:val="es-419"/>
              </w:rPr>
            </w:pPr>
            <w:r w:rsidRPr="00086D52">
              <w:rPr>
                <w:sz w:val="18"/>
                <w:lang w:val="es-419"/>
              </w:rPr>
              <w:t>Programa TAIEX de la Comisión Europea</w:t>
            </w:r>
          </w:p>
        </w:tc>
      </w:tr>
      <w:tr w:rsidR="00A14934" w:rsidRPr="00086D52" w:rsidTr="004D1E3E">
        <w:trPr>
          <w:trHeight w:hRule="exact" w:val="633"/>
        </w:trPr>
        <w:tc>
          <w:tcPr>
            <w:tcW w:w="2187"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3"/>
              <w:ind w:left="0"/>
              <w:rPr>
                <w:sz w:val="18"/>
                <w:szCs w:val="18"/>
                <w:lang w:val="es-419"/>
              </w:rPr>
            </w:pPr>
            <w:r w:rsidRPr="00086D52">
              <w:rPr>
                <w:sz w:val="18"/>
                <w:lang w:val="es-419"/>
              </w:rPr>
              <w:t>Seminario sobre el uso de métodos biomoleculares</w:t>
            </w:r>
          </w:p>
        </w:tc>
        <w:tc>
          <w:tcPr>
            <w:tcW w:w="1066"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line="213" w:lineRule="exact"/>
              <w:ind w:left="0"/>
              <w:rPr>
                <w:rFonts w:eastAsia="Times New Roman"/>
                <w:sz w:val="18"/>
                <w:szCs w:val="18"/>
                <w:lang w:val="es-419"/>
              </w:rPr>
            </w:pPr>
            <w:r w:rsidRPr="00086D52">
              <w:rPr>
                <w:sz w:val="18"/>
                <w:lang w:val="es-419"/>
              </w:rPr>
              <w:t>Diciembre de 2021</w:t>
            </w:r>
          </w:p>
        </w:tc>
        <w:tc>
          <w:tcPr>
            <w:tcW w:w="922"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3"/>
              <w:ind w:left="0"/>
              <w:rPr>
                <w:sz w:val="18"/>
                <w:szCs w:val="18"/>
                <w:lang w:val="es-419"/>
              </w:rPr>
            </w:pPr>
            <w:r w:rsidRPr="00086D52">
              <w:rPr>
                <w:sz w:val="18"/>
                <w:lang w:val="es-419"/>
              </w:rPr>
              <w:t>Por Internet</w:t>
            </w:r>
          </w:p>
        </w:tc>
        <w:tc>
          <w:tcPr>
            <w:tcW w:w="1697" w:type="dxa"/>
            <w:vMerge w:val="restart"/>
            <w:tcBorders>
              <w:top w:val="single" w:sz="6" w:space="0" w:color="000000"/>
              <w:left w:val="single" w:sz="6" w:space="0" w:color="000000"/>
              <w:right w:val="single" w:sz="6" w:space="0" w:color="000000"/>
            </w:tcBorders>
          </w:tcPr>
          <w:p w:rsidR="00A14934" w:rsidRPr="00086D52" w:rsidRDefault="00A14934" w:rsidP="004D1E3E">
            <w:pPr>
              <w:pStyle w:val="TableParagraph"/>
              <w:spacing w:before="3"/>
              <w:ind w:left="0" w:firstLine="9"/>
              <w:rPr>
                <w:sz w:val="18"/>
                <w:szCs w:val="18"/>
                <w:lang w:val="es-419"/>
              </w:rPr>
            </w:pPr>
            <w:r w:rsidRPr="00086D52">
              <w:rPr>
                <w:sz w:val="18"/>
                <w:lang w:val="es-419"/>
              </w:rPr>
              <w:t>Ministerio Federal de Alimentación y Agricultura</w:t>
            </w:r>
          </w:p>
          <w:p w:rsidR="00A14934" w:rsidRPr="00086D52" w:rsidRDefault="00A14934" w:rsidP="004D1E3E">
            <w:pPr>
              <w:pStyle w:val="TableParagraph"/>
              <w:spacing w:before="10"/>
              <w:ind w:left="0"/>
              <w:rPr>
                <w:sz w:val="18"/>
                <w:szCs w:val="18"/>
                <w:lang w:val="es-419"/>
              </w:rPr>
            </w:pPr>
          </w:p>
          <w:p w:rsidR="00A14934" w:rsidRPr="00086D52" w:rsidRDefault="00A14934" w:rsidP="004D1E3E">
            <w:pPr>
              <w:pStyle w:val="TableParagraph"/>
              <w:spacing w:line="200" w:lineRule="exact"/>
              <w:ind w:left="0"/>
              <w:rPr>
                <w:sz w:val="18"/>
                <w:szCs w:val="18"/>
                <w:lang w:val="es-419"/>
              </w:rPr>
            </w:pPr>
            <w:r w:rsidRPr="00086D52">
              <w:rPr>
                <w:sz w:val="18"/>
                <w:lang w:val="es-419"/>
              </w:rPr>
              <w:t>Oficina Federal de Obtenciones Vegetales</w:t>
            </w:r>
          </w:p>
        </w:tc>
        <w:tc>
          <w:tcPr>
            <w:tcW w:w="3692" w:type="dxa"/>
            <w:tcBorders>
              <w:top w:val="single" w:sz="6" w:space="0" w:color="000000"/>
              <w:left w:val="single" w:sz="6" w:space="0" w:color="000000"/>
              <w:bottom w:val="single" w:sz="6" w:space="0" w:color="000000"/>
              <w:right w:val="single" w:sz="4" w:space="0" w:color="000000"/>
            </w:tcBorders>
            <w:noWrap/>
          </w:tcPr>
          <w:p w:rsidR="00A14934" w:rsidRPr="00086D52" w:rsidRDefault="00A14934" w:rsidP="004D1E3E">
            <w:pPr>
              <w:pStyle w:val="TableParagraph"/>
              <w:ind w:left="0"/>
              <w:rPr>
                <w:sz w:val="18"/>
                <w:szCs w:val="18"/>
                <w:lang w:val="es-419"/>
              </w:rPr>
            </w:pPr>
            <w:r w:rsidRPr="00086D52">
              <w:rPr>
                <w:sz w:val="18"/>
                <w:lang w:val="es-419"/>
              </w:rPr>
              <w:t>Intercambio técnico sobre el uso de métodos biomoleculares en el examen de las obtenciones vegetales</w:t>
            </w:r>
          </w:p>
        </w:tc>
        <w:tc>
          <w:tcPr>
            <w:tcW w:w="2572" w:type="dxa"/>
            <w:tcBorders>
              <w:top w:val="single" w:sz="6" w:space="0" w:color="000000"/>
              <w:left w:val="single" w:sz="4" w:space="0" w:color="000000"/>
              <w:bottom w:val="single" w:sz="6" w:space="0" w:color="000000"/>
              <w:right w:val="single" w:sz="6" w:space="0" w:color="000000"/>
            </w:tcBorders>
          </w:tcPr>
          <w:p w:rsidR="00A14934" w:rsidRPr="00086D52" w:rsidRDefault="00A14934" w:rsidP="004D1E3E">
            <w:pPr>
              <w:pStyle w:val="TableParagraph"/>
              <w:spacing w:line="208" w:lineRule="exact"/>
              <w:ind w:left="0"/>
              <w:rPr>
                <w:sz w:val="18"/>
                <w:szCs w:val="18"/>
                <w:lang w:val="es-419"/>
              </w:rPr>
            </w:pPr>
            <w:r w:rsidRPr="00086D52">
              <w:rPr>
                <w:sz w:val="18"/>
                <w:lang w:val="es-419"/>
              </w:rPr>
              <w:t>India (aproximadamente 160 participantes)</w:t>
            </w:r>
          </w:p>
        </w:tc>
        <w:tc>
          <w:tcPr>
            <w:tcW w:w="2353" w:type="dxa"/>
            <w:vMerge w:val="restart"/>
            <w:tcBorders>
              <w:top w:val="single" w:sz="6" w:space="0" w:color="000000"/>
              <w:left w:val="single" w:sz="6" w:space="0" w:color="000000"/>
              <w:right w:val="single" w:sz="4" w:space="0" w:color="000000"/>
            </w:tcBorders>
            <w:noWrap/>
          </w:tcPr>
          <w:p w:rsidR="00A14934" w:rsidRPr="00086D52" w:rsidRDefault="00A14934" w:rsidP="004D1E3E">
            <w:pPr>
              <w:pStyle w:val="TableParagraph"/>
              <w:spacing w:line="202" w:lineRule="exact"/>
              <w:ind w:left="0"/>
              <w:rPr>
                <w:sz w:val="18"/>
                <w:szCs w:val="18"/>
                <w:lang w:val="es-419"/>
              </w:rPr>
            </w:pPr>
            <w:r w:rsidRPr="00086D52">
              <w:rPr>
                <w:sz w:val="18"/>
                <w:lang w:val="es-419"/>
              </w:rPr>
              <w:t>Proyecto germano-indio de cooperación</w:t>
            </w:r>
          </w:p>
          <w:p w:rsidR="00A14934" w:rsidRPr="00086D52" w:rsidRDefault="00A14934" w:rsidP="004D1E3E">
            <w:pPr>
              <w:pStyle w:val="TableParagraph"/>
              <w:spacing w:line="215" w:lineRule="exact"/>
              <w:ind w:left="0"/>
              <w:rPr>
                <w:rFonts w:eastAsia="Times New Roman"/>
                <w:sz w:val="18"/>
                <w:szCs w:val="18"/>
                <w:lang w:val="es-419"/>
              </w:rPr>
            </w:pPr>
            <w:r w:rsidRPr="00086D52">
              <w:rPr>
                <w:sz w:val="18"/>
                <w:lang w:val="es-419"/>
              </w:rPr>
              <w:t>(de Julio de 2019 a diciembre de 2022)</w:t>
            </w:r>
          </w:p>
        </w:tc>
      </w:tr>
      <w:tr w:rsidR="00A14934" w:rsidRPr="00086D52" w:rsidTr="004D1E3E">
        <w:trPr>
          <w:trHeight w:hRule="exact" w:val="834"/>
        </w:trPr>
        <w:tc>
          <w:tcPr>
            <w:tcW w:w="2187"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2" w:line="237" w:lineRule="auto"/>
              <w:ind w:left="0"/>
              <w:rPr>
                <w:sz w:val="18"/>
                <w:szCs w:val="18"/>
                <w:lang w:val="es-419"/>
              </w:rPr>
            </w:pPr>
            <w:r w:rsidRPr="00086D52">
              <w:rPr>
                <w:sz w:val="18"/>
                <w:lang w:val="es-419"/>
              </w:rPr>
              <w:t>Seminario sobre la realización de exámenes de obtenciones vegetales (DHE) en trigo y cebada</w:t>
            </w:r>
          </w:p>
        </w:tc>
        <w:tc>
          <w:tcPr>
            <w:tcW w:w="1066"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line="211" w:lineRule="exact"/>
              <w:ind w:left="0"/>
              <w:rPr>
                <w:rFonts w:eastAsia="Times New Roman"/>
                <w:sz w:val="18"/>
                <w:szCs w:val="18"/>
                <w:lang w:val="es-419"/>
              </w:rPr>
            </w:pPr>
            <w:r w:rsidRPr="00086D52">
              <w:rPr>
                <w:sz w:val="18"/>
                <w:lang w:val="es-419"/>
              </w:rPr>
              <w:t>Junio de 2022</w:t>
            </w:r>
          </w:p>
        </w:tc>
        <w:tc>
          <w:tcPr>
            <w:tcW w:w="922"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1"/>
              <w:ind w:left="0"/>
              <w:rPr>
                <w:sz w:val="18"/>
                <w:szCs w:val="18"/>
                <w:lang w:val="es-419"/>
              </w:rPr>
            </w:pPr>
            <w:r w:rsidRPr="00086D52">
              <w:rPr>
                <w:sz w:val="18"/>
                <w:lang w:val="es-419"/>
              </w:rPr>
              <w:t>Alemania</w:t>
            </w:r>
          </w:p>
        </w:tc>
        <w:tc>
          <w:tcPr>
            <w:tcW w:w="1697" w:type="dxa"/>
            <w:vMerge/>
            <w:tcBorders>
              <w:left w:val="single" w:sz="6" w:space="0" w:color="000000"/>
              <w:right w:val="single" w:sz="6" w:space="0" w:color="000000"/>
            </w:tcBorders>
          </w:tcPr>
          <w:p w:rsidR="00A14934" w:rsidRPr="00086D52" w:rsidRDefault="00A14934" w:rsidP="004D1E3E">
            <w:pPr>
              <w:pStyle w:val="TableParagraph"/>
              <w:spacing w:line="200" w:lineRule="exact"/>
              <w:ind w:left="0"/>
              <w:rPr>
                <w:sz w:val="18"/>
                <w:szCs w:val="18"/>
                <w:lang w:val="es-419"/>
              </w:rPr>
            </w:pPr>
          </w:p>
        </w:tc>
        <w:tc>
          <w:tcPr>
            <w:tcW w:w="3692" w:type="dxa"/>
            <w:tcBorders>
              <w:top w:val="single" w:sz="6" w:space="0" w:color="000000"/>
              <w:left w:val="single" w:sz="6" w:space="0" w:color="000000"/>
              <w:bottom w:val="single" w:sz="6" w:space="0" w:color="000000"/>
              <w:right w:val="single" w:sz="4" w:space="0" w:color="000000"/>
            </w:tcBorders>
          </w:tcPr>
          <w:p w:rsidR="00A14934" w:rsidRPr="00086D52" w:rsidRDefault="00A14934" w:rsidP="004D1E3E">
            <w:pPr>
              <w:pStyle w:val="TableParagraph"/>
              <w:spacing w:before="6" w:line="204" w:lineRule="exact"/>
              <w:ind w:left="0"/>
              <w:rPr>
                <w:sz w:val="18"/>
                <w:szCs w:val="18"/>
                <w:lang w:val="es-419"/>
              </w:rPr>
            </w:pPr>
            <w:r w:rsidRPr="00086D52">
              <w:rPr>
                <w:sz w:val="18"/>
                <w:lang w:val="es-419"/>
              </w:rPr>
              <w:t>Formación sobre la realización de exámenes de obtenciones vegetales, la aplicación de las directrices de examen y la evaluación de los ensayos</w:t>
            </w:r>
          </w:p>
        </w:tc>
        <w:tc>
          <w:tcPr>
            <w:tcW w:w="2572" w:type="dxa"/>
            <w:tcBorders>
              <w:top w:val="single" w:sz="6" w:space="0" w:color="000000"/>
              <w:left w:val="single" w:sz="4" w:space="0" w:color="000000"/>
              <w:bottom w:val="single" w:sz="6" w:space="0" w:color="000000"/>
              <w:right w:val="single" w:sz="6" w:space="0" w:color="000000"/>
            </w:tcBorders>
          </w:tcPr>
          <w:p w:rsidR="00A14934" w:rsidRPr="00086D52" w:rsidRDefault="00A14934" w:rsidP="004D1E3E">
            <w:pPr>
              <w:pStyle w:val="TableParagraph"/>
              <w:spacing w:before="1"/>
              <w:ind w:left="0"/>
              <w:rPr>
                <w:sz w:val="18"/>
                <w:szCs w:val="18"/>
                <w:lang w:val="es-419"/>
              </w:rPr>
            </w:pPr>
            <w:r w:rsidRPr="00086D52">
              <w:rPr>
                <w:sz w:val="18"/>
                <w:lang w:val="es-419"/>
              </w:rPr>
              <w:t>India (5 participantes)</w:t>
            </w:r>
          </w:p>
        </w:tc>
        <w:tc>
          <w:tcPr>
            <w:tcW w:w="2353" w:type="dxa"/>
            <w:vMerge/>
            <w:tcBorders>
              <w:left w:val="single" w:sz="6" w:space="0" w:color="000000"/>
              <w:right w:val="single" w:sz="4" w:space="0" w:color="000000"/>
            </w:tcBorders>
          </w:tcPr>
          <w:p w:rsidR="00A14934" w:rsidRPr="00086D52" w:rsidRDefault="00A14934" w:rsidP="004D1E3E">
            <w:pPr>
              <w:rPr>
                <w:rFonts w:cs="Arial"/>
                <w:sz w:val="18"/>
                <w:szCs w:val="18"/>
                <w:lang w:val="es-419"/>
              </w:rPr>
            </w:pPr>
          </w:p>
        </w:tc>
      </w:tr>
      <w:tr w:rsidR="00A14934" w:rsidRPr="00086D52" w:rsidTr="004D1E3E">
        <w:trPr>
          <w:trHeight w:hRule="exact" w:val="831"/>
        </w:trPr>
        <w:tc>
          <w:tcPr>
            <w:tcW w:w="2187"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4" w:line="235" w:lineRule="auto"/>
              <w:ind w:left="0" w:hanging="5"/>
              <w:rPr>
                <w:sz w:val="18"/>
                <w:szCs w:val="18"/>
                <w:lang w:val="es-419"/>
              </w:rPr>
            </w:pPr>
            <w:r w:rsidRPr="00086D52">
              <w:rPr>
                <w:sz w:val="18"/>
                <w:lang w:val="es-419"/>
              </w:rPr>
              <w:t>Seminario sobre la realización de exámenes de obtenciones vegetales (DHE) en colza y mostaza</w:t>
            </w:r>
          </w:p>
        </w:tc>
        <w:tc>
          <w:tcPr>
            <w:tcW w:w="1066"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line="211" w:lineRule="exact"/>
              <w:ind w:left="0"/>
              <w:rPr>
                <w:rFonts w:eastAsia="Times New Roman"/>
                <w:sz w:val="18"/>
                <w:szCs w:val="18"/>
                <w:lang w:val="es-419"/>
              </w:rPr>
            </w:pPr>
            <w:r w:rsidRPr="00086D52">
              <w:rPr>
                <w:sz w:val="18"/>
                <w:lang w:val="es-419"/>
              </w:rPr>
              <w:t>Junio de 2022</w:t>
            </w:r>
          </w:p>
        </w:tc>
        <w:tc>
          <w:tcPr>
            <w:tcW w:w="922" w:type="dxa"/>
            <w:tcBorders>
              <w:top w:val="single" w:sz="6" w:space="0" w:color="000000"/>
              <w:left w:val="single" w:sz="6" w:space="0" w:color="000000"/>
              <w:bottom w:val="single" w:sz="6" w:space="0" w:color="000000"/>
              <w:right w:val="single" w:sz="6" w:space="0" w:color="000000"/>
            </w:tcBorders>
          </w:tcPr>
          <w:p w:rsidR="00A14934" w:rsidRPr="00086D52" w:rsidRDefault="00A14934" w:rsidP="004D1E3E">
            <w:pPr>
              <w:pStyle w:val="TableParagraph"/>
              <w:spacing w:before="1"/>
              <w:ind w:left="0"/>
              <w:rPr>
                <w:sz w:val="18"/>
                <w:szCs w:val="18"/>
                <w:lang w:val="es-419"/>
              </w:rPr>
            </w:pPr>
            <w:r w:rsidRPr="00086D52">
              <w:rPr>
                <w:sz w:val="18"/>
                <w:lang w:val="es-419"/>
              </w:rPr>
              <w:t>Alemania</w:t>
            </w:r>
          </w:p>
        </w:tc>
        <w:tc>
          <w:tcPr>
            <w:tcW w:w="1697" w:type="dxa"/>
            <w:vMerge/>
            <w:tcBorders>
              <w:left w:val="single" w:sz="6" w:space="0" w:color="000000"/>
              <w:right w:val="single" w:sz="6" w:space="0" w:color="000000"/>
            </w:tcBorders>
          </w:tcPr>
          <w:p w:rsidR="00A14934" w:rsidRPr="00086D52" w:rsidRDefault="00A14934" w:rsidP="004D1E3E">
            <w:pPr>
              <w:pStyle w:val="TableParagraph"/>
              <w:spacing w:line="200" w:lineRule="exact"/>
              <w:ind w:left="0"/>
              <w:rPr>
                <w:sz w:val="18"/>
                <w:szCs w:val="18"/>
                <w:lang w:val="es-419"/>
              </w:rPr>
            </w:pPr>
          </w:p>
        </w:tc>
        <w:tc>
          <w:tcPr>
            <w:tcW w:w="3692" w:type="dxa"/>
            <w:tcBorders>
              <w:top w:val="single" w:sz="6" w:space="0" w:color="000000"/>
              <w:left w:val="single" w:sz="6" w:space="0" w:color="000000"/>
              <w:bottom w:val="single" w:sz="6" w:space="0" w:color="000000"/>
              <w:right w:val="single" w:sz="4" w:space="0" w:color="000000"/>
            </w:tcBorders>
          </w:tcPr>
          <w:p w:rsidR="00A14934" w:rsidRPr="00086D52" w:rsidRDefault="00A14934" w:rsidP="004D1E3E">
            <w:pPr>
              <w:pStyle w:val="TableParagraph"/>
              <w:ind w:left="0"/>
              <w:rPr>
                <w:sz w:val="18"/>
                <w:szCs w:val="18"/>
                <w:lang w:val="es-419"/>
              </w:rPr>
            </w:pPr>
            <w:r w:rsidRPr="00086D52">
              <w:rPr>
                <w:sz w:val="18"/>
                <w:lang w:val="es-419"/>
              </w:rPr>
              <w:t>Formación sobre la realización de exámenes de obtenciones vegetales, la aplicación de las directrices de examen y la evaluación de los ensayos</w:t>
            </w:r>
          </w:p>
        </w:tc>
        <w:tc>
          <w:tcPr>
            <w:tcW w:w="2572" w:type="dxa"/>
            <w:tcBorders>
              <w:top w:val="single" w:sz="6" w:space="0" w:color="000000"/>
              <w:left w:val="single" w:sz="4" w:space="0" w:color="000000"/>
              <w:bottom w:val="single" w:sz="6" w:space="0" w:color="000000"/>
              <w:right w:val="single" w:sz="6" w:space="0" w:color="000000"/>
            </w:tcBorders>
          </w:tcPr>
          <w:p w:rsidR="00A14934" w:rsidRPr="00086D52" w:rsidRDefault="00A14934" w:rsidP="004D1E3E">
            <w:pPr>
              <w:pStyle w:val="TableParagraph"/>
              <w:spacing w:line="203" w:lineRule="exact"/>
              <w:ind w:left="0"/>
              <w:rPr>
                <w:sz w:val="18"/>
                <w:szCs w:val="18"/>
                <w:lang w:val="es-419"/>
              </w:rPr>
            </w:pPr>
            <w:r w:rsidRPr="00086D52">
              <w:rPr>
                <w:sz w:val="18"/>
                <w:lang w:val="es-419"/>
              </w:rPr>
              <w:t>India (3 participantes)</w:t>
            </w:r>
          </w:p>
        </w:tc>
        <w:tc>
          <w:tcPr>
            <w:tcW w:w="2353" w:type="dxa"/>
            <w:vMerge/>
            <w:tcBorders>
              <w:left w:val="single" w:sz="6" w:space="0" w:color="000000"/>
              <w:bottom w:val="single" w:sz="6" w:space="0" w:color="000000"/>
              <w:right w:val="single" w:sz="4" w:space="0" w:color="000000"/>
            </w:tcBorders>
          </w:tcPr>
          <w:p w:rsidR="00A14934" w:rsidRPr="00086D52" w:rsidRDefault="00A14934" w:rsidP="004D1E3E">
            <w:pPr>
              <w:rPr>
                <w:rFonts w:cs="Arial"/>
                <w:sz w:val="18"/>
                <w:szCs w:val="18"/>
                <w:lang w:val="es-419"/>
              </w:rPr>
            </w:pPr>
          </w:p>
        </w:tc>
      </w:tr>
      <w:tr w:rsidR="00A14934" w:rsidRPr="00086D52" w:rsidTr="004D1E3E">
        <w:trPr>
          <w:trHeight w:hRule="exact" w:val="1255"/>
        </w:trPr>
        <w:tc>
          <w:tcPr>
            <w:tcW w:w="2187" w:type="dxa"/>
            <w:tcBorders>
              <w:top w:val="single" w:sz="6" w:space="0" w:color="000000"/>
              <w:left w:val="single" w:sz="6" w:space="0" w:color="000000"/>
              <w:bottom w:val="single" w:sz="4" w:space="0" w:color="auto"/>
              <w:right w:val="single" w:sz="6" w:space="0" w:color="000000"/>
            </w:tcBorders>
          </w:tcPr>
          <w:p w:rsidR="00A14934" w:rsidRPr="00086D52" w:rsidRDefault="00A14934" w:rsidP="004D1E3E">
            <w:pPr>
              <w:pStyle w:val="TableParagraph"/>
              <w:spacing w:line="205" w:lineRule="exact"/>
              <w:ind w:left="0"/>
              <w:rPr>
                <w:sz w:val="18"/>
                <w:szCs w:val="18"/>
                <w:lang w:val="es-419"/>
              </w:rPr>
            </w:pPr>
            <w:r w:rsidRPr="00086D52">
              <w:rPr>
                <w:sz w:val="18"/>
                <w:lang w:val="es-419"/>
              </w:rPr>
              <w:t>Pasantía</w:t>
            </w:r>
          </w:p>
        </w:tc>
        <w:tc>
          <w:tcPr>
            <w:tcW w:w="1066" w:type="dxa"/>
            <w:tcBorders>
              <w:top w:val="single" w:sz="6" w:space="0" w:color="000000"/>
              <w:left w:val="single" w:sz="6" w:space="0" w:color="000000"/>
              <w:bottom w:val="single" w:sz="4" w:space="0" w:color="auto"/>
              <w:right w:val="single" w:sz="6" w:space="0" w:color="000000"/>
            </w:tcBorders>
          </w:tcPr>
          <w:p w:rsidR="00A14934" w:rsidRPr="00086D52" w:rsidRDefault="00A14934" w:rsidP="004D1E3E">
            <w:pPr>
              <w:pStyle w:val="TableParagraph"/>
              <w:spacing w:line="208" w:lineRule="exact"/>
              <w:ind w:left="0"/>
              <w:rPr>
                <w:rFonts w:eastAsia="Times New Roman"/>
                <w:sz w:val="18"/>
                <w:szCs w:val="18"/>
                <w:lang w:val="es-419"/>
              </w:rPr>
            </w:pPr>
            <w:r w:rsidRPr="00086D52">
              <w:rPr>
                <w:sz w:val="18"/>
                <w:lang w:val="es-419"/>
              </w:rPr>
              <w:t>Julio de 2022</w:t>
            </w:r>
          </w:p>
        </w:tc>
        <w:tc>
          <w:tcPr>
            <w:tcW w:w="922" w:type="dxa"/>
            <w:tcBorders>
              <w:top w:val="single" w:sz="6" w:space="0" w:color="000000"/>
              <w:left w:val="single" w:sz="6" w:space="0" w:color="000000"/>
              <w:bottom w:val="single" w:sz="4" w:space="0" w:color="auto"/>
              <w:right w:val="single" w:sz="6" w:space="0" w:color="000000"/>
            </w:tcBorders>
          </w:tcPr>
          <w:p w:rsidR="00A14934" w:rsidRPr="00086D52" w:rsidRDefault="00A14934" w:rsidP="004D1E3E">
            <w:pPr>
              <w:pStyle w:val="TableParagraph"/>
              <w:spacing w:line="205" w:lineRule="exact"/>
              <w:ind w:left="0"/>
              <w:rPr>
                <w:sz w:val="18"/>
                <w:szCs w:val="18"/>
                <w:lang w:val="es-419"/>
              </w:rPr>
            </w:pPr>
            <w:r w:rsidRPr="00086D52">
              <w:rPr>
                <w:sz w:val="18"/>
                <w:lang w:val="es-419"/>
              </w:rPr>
              <w:t>Alemania</w:t>
            </w:r>
          </w:p>
        </w:tc>
        <w:tc>
          <w:tcPr>
            <w:tcW w:w="1697" w:type="dxa"/>
            <w:vMerge/>
            <w:tcBorders>
              <w:left w:val="single" w:sz="6" w:space="0" w:color="000000"/>
              <w:bottom w:val="single" w:sz="4" w:space="0" w:color="auto"/>
              <w:right w:val="single" w:sz="6" w:space="0" w:color="000000"/>
            </w:tcBorders>
          </w:tcPr>
          <w:p w:rsidR="00A14934" w:rsidRPr="00086D52" w:rsidRDefault="00A14934" w:rsidP="004D1E3E">
            <w:pPr>
              <w:pStyle w:val="TableParagraph"/>
              <w:spacing w:line="200" w:lineRule="exact"/>
              <w:ind w:left="0"/>
              <w:rPr>
                <w:sz w:val="18"/>
                <w:szCs w:val="18"/>
                <w:lang w:val="es-419"/>
              </w:rPr>
            </w:pPr>
          </w:p>
        </w:tc>
        <w:tc>
          <w:tcPr>
            <w:tcW w:w="3692" w:type="dxa"/>
            <w:tcBorders>
              <w:top w:val="single" w:sz="6" w:space="0" w:color="000000"/>
              <w:left w:val="single" w:sz="6" w:space="0" w:color="000000"/>
              <w:bottom w:val="single" w:sz="4" w:space="0" w:color="auto"/>
              <w:right w:val="single" w:sz="4" w:space="0" w:color="000000"/>
            </w:tcBorders>
          </w:tcPr>
          <w:p w:rsidR="00A14934" w:rsidRPr="00086D52" w:rsidRDefault="00A14934" w:rsidP="004D1E3E">
            <w:pPr>
              <w:pStyle w:val="TableParagraph"/>
              <w:spacing w:line="242" w:lineRule="auto"/>
              <w:ind w:left="0" w:firstLine="9"/>
              <w:rPr>
                <w:sz w:val="18"/>
                <w:szCs w:val="18"/>
                <w:lang w:val="es-419"/>
              </w:rPr>
            </w:pPr>
            <w:r w:rsidRPr="00086D52">
              <w:rPr>
                <w:sz w:val="18"/>
                <w:lang w:val="es-419"/>
              </w:rPr>
              <w:t>Asistencia para la elaboración de un sistema propio de examen para aprobar y proteger las obtenciones vegetales en Etiopía</w:t>
            </w:r>
          </w:p>
        </w:tc>
        <w:tc>
          <w:tcPr>
            <w:tcW w:w="2572" w:type="dxa"/>
            <w:tcBorders>
              <w:top w:val="single" w:sz="6" w:space="0" w:color="000000"/>
              <w:left w:val="single" w:sz="4" w:space="0" w:color="000000"/>
              <w:bottom w:val="single" w:sz="4" w:space="0" w:color="auto"/>
              <w:right w:val="single" w:sz="6" w:space="0" w:color="000000"/>
            </w:tcBorders>
          </w:tcPr>
          <w:p w:rsidR="00A14934" w:rsidRPr="00086D52" w:rsidRDefault="00A14934" w:rsidP="004D1E3E">
            <w:pPr>
              <w:pStyle w:val="TableParagraph"/>
              <w:spacing w:line="201" w:lineRule="exact"/>
              <w:ind w:left="0"/>
              <w:rPr>
                <w:sz w:val="18"/>
                <w:szCs w:val="18"/>
                <w:lang w:val="es-419"/>
              </w:rPr>
            </w:pPr>
            <w:r w:rsidRPr="00086D52">
              <w:rPr>
                <w:sz w:val="18"/>
                <w:lang w:val="es-419"/>
              </w:rPr>
              <w:t>Etiopía (1 participante)</w:t>
            </w:r>
          </w:p>
        </w:tc>
        <w:tc>
          <w:tcPr>
            <w:tcW w:w="2353" w:type="dxa"/>
            <w:tcBorders>
              <w:top w:val="single" w:sz="6" w:space="0" w:color="000000"/>
              <w:left w:val="single" w:sz="6" w:space="0" w:color="000000"/>
              <w:bottom w:val="single" w:sz="4" w:space="0" w:color="auto"/>
              <w:right w:val="single" w:sz="4" w:space="0" w:color="000000"/>
            </w:tcBorders>
            <w:noWrap/>
          </w:tcPr>
          <w:p w:rsidR="00A14934" w:rsidRPr="00086D52" w:rsidRDefault="00A14934" w:rsidP="004D1E3E">
            <w:pPr>
              <w:pStyle w:val="TableParagraph"/>
              <w:ind w:left="0"/>
              <w:rPr>
                <w:sz w:val="18"/>
                <w:szCs w:val="18"/>
                <w:lang w:val="es-419"/>
              </w:rPr>
            </w:pPr>
            <w:r w:rsidRPr="00086D52">
              <w:rPr>
                <w:sz w:val="18"/>
                <w:lang w:val="es-419"/>
              </w:rPr>
              <w:t>Proyecto del Ministerio Federal de Alimentación y Agricultura para fomentar la productividad agrícola sostenible en Etiopía</w:t>
            </w:r>
          </w:p>
        </w:tc>
      </w:tr>
    </w:tbl>
    <w:p w:rsidR="00A14934" w:rsidRPr="00086D52" w:rsidRDefault="00A14934" w:rsidP="00A14934">
      <w:pPr>
        <w:rPr>
          <w:lang w:val="es-419"/>
        </w:rPr>
      </w:pPr>
    </w:p>
    <w:p w:rsidR="00A14934" w:rsidRPr="00086D52" w:rsidRDefault="00A14934" w:rsidP="00A14934">
      <w:pPr>
        <w:rPr>
          <w:lang w:val="es-419"/>
        </w:rPr>
      </w:pPr>
    </w:p>
    <w:p w:rsidR="00A14934" w:rsidRPr="00086D52" w:rsidRDefault="00A14934" w:rsidP="00A14934">
      <w:pPr>
        <w:rPr>
          <w:lang w:val="es-419"/>
        </w:rPr>
      </w:pPr>
      <w:r w:rsidRPr="00086D52">
        <w:rPr>
          <w:lang w:val="es-419"/>
        </w:rPr>
        <w:t>II.</w:t>
      </w:r>
      <w:r w:rsidRPr="00086D52">
        <w:rPr>
          <w:lang w:val="es-419"/>
        </w:rPr>
        <w:tab/>
        <w:t>OTRAS NOVEDADES DE INTERÉS PARA LA UPOV</w:t>
      </w:r>
    </w:p>
    <w:p w:rsidR="00A14934" w:rsidRPr="00086D52" w:rsidRDefault="00A14934" w:rsidP="00A14934">
      <w:pPr>
        <w:rPr>
          <w:lang w:val="es-419"/>
        </w:rPr>
      </w:pPr>
    </w:p>
    <w:p w:rsidR="00A14934" w:rsidRPr="00086D52" w:rsidRDefault="00A14934" w:rsidP="00A14934">
      <w:pPr>
        <w:rPr>
          <w:lang w:val="es-419"/>
        </w:rPr>
      </w:pPr>
      <w:r w:rsidRPr="00086D52">
        <w:rPr>
          <w:lang w:val="es-419"/>
        </w:rPr>
        <w:tab/>
        <w:t>No hay novedades reseñables</w:t>
      </w:r>
    </w:p>
    <w:p w:rsidR="00A14934" w:rsidRPr="00086D52" w:rsidRDefault="00A14934" w:rsidP="00A14934">
      <w:pPr>
        <w:rPr>
          <w:lang w:val="es-419"/>
        </w:rPr>
      </w:pPr>
    </w:p>
    <w:p w:rsidR="00A14934" w:rsidRDefault="00A14934" w:rsidP="007B1027"/>
    <w:p w:rsidR="00DE3B38" w:rsidRPr="00D36B66" w:rsidRDefault="00DE3B38" w:rsidP="007B1027"/>
    <w:p w:rsidR="000362AD" w:rsidRPr="00D36B66" w:rsidRDefault="000A2928" w:rsidP="007B1027">
      <w:pPr>
        <w:jc w:val="right"/>
      </w:pPr>
      <w:r>
        <w:t>[Sigue el Anexo</w:t>
      </w:r>
      <w:r w:rsidR="000362AD" w:rsidRPr="00D36B66">
        <w:t xml:space="preserve"> </w:t>
      </w:r>
      <w:r w:rsidR="00032BF0" w:rsidRPr="00D36B66">
        <w:t>I</w:t>
      </w:r>
      <w:r w:rsidR="000362AD" w:rsidRPr="00D36B66">
        <w:t>II</w:t>
      </w:r>
      <w:r>
        <w:t>]</w:t>
      </w:r>
    </w:p>
    <w:p w:rsidR="000362AD" w:rsidRPr="00D36B66" w:rsidRDefault="000362AD" w:rsidP="000362AD">
      <w:pPr>
        <w:jc w:val="left"/>
        <w:sectPr w:rsidR="000362AD" w:rsidRPr="00D36B66" w:rsidSect="00A14934">
          <w:headerReference w:type="default" r:id="rId11"/>
          <w:pgSz w:w="16840" w:h="11907" w:orient="landscape" w:code="9"/>
          <w:pgMar w:top="510" w:right="1134" w:bottom="1134" w:left="1134" w:header="510" w:footer="680" w:gutter="0"/>
          <w:cols w:space="720"/>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II</w:t>
      </w:r>
      <w:r w:rsidR="00032BF0" w:rsidRPr="00D36B66">
        <w:t>I</w:t>
      </w:r>
    </w:p>
    <w:p w:rsidR="000362AD" w:rsidRPr="00D36B66" w:rsidRDefault="000362AD" w:rsidP="000362AD">
      <w:pPr>
        <w:jc w:val="center"/>
      </w:pPr>
    </w:p>
    <w:p w:rsidR="000362AD" w:rsidRPr="00D36B66" w:rsidRDefault="000362AD" w:rsidP="000362AD">
      <w:pPr>
        <w:jc w:val="center"/>
      </w:pPr>
    </w:p>
    <w:p w:rsidR="00D46C5A" w:rsidRPr="00D36B66" w:rsidRDefault="00032BF0" w:rsidP="00032BF0">
      <w:pPr>
        <w:jc w:val="center"/>
      </w:pPr>
      <w:r w:rsidRPr="00D36B66">
        <w:rPr>
          <w:szCs w:val="24"/>
        </w:rPr>
        <w:t xml:space="preserve">BOSNIA </w:t>
      </w:r>
      <w:r w:rsidR="000A2928">
        <w:rPr>
          <w:szCs w:val="24"/>
        </w:rPr>
        <w:t>Y</w:t>
      </w:r>
      <w:r w:rsidRPr="00D36B66">
        <w:rPr>
          <w:szCs w:val="24"/>
        </w:rPr>
        <w:t xml:space="preserve"> HERZEGOVINA</w:t>
      </w:r>
    </w:p>
    <w:p w:rsidR="00D46C5A" w:rsidRPr="00D36B66" w:rsidRDefault="00D46C5A" w:rsidP="00D46C5A">
      <w:pPr>
        <w:jc w:val="left"/>
      </w:pPr>
    </w:p>
    <w:p w:rsidR="00032BF0" w:rsidRPr="00D36B66" w:rsidRDefault="00032BF0" w:rsidP="00D46C5A">
      <w:pPr>
        <w:jc w:val="left"/>
      </w:pPr>
    </w:p>
    <w:p w:rsidR="00EB4042" w:rsidRPr="0075789D" w:rsidRDefault="00EB4042" w:rsidP="00EB4042">
      <w:pPr>
        <w:rPr>
          <w:lang w:val="es-419"/>
        </w:rPr>
      </w:pPr>
      <w:r w:rsidRPr="0075789D">
        <w:rPr>
          <w:lang w:val="es-419"/>
        </w:rPr>
        <w:t>I.</w:t>
      </w:r>
      <w:r w:rsidRPr="0075789D">
        <w:rPr>
          <w:lang w:val="es-419"/>
        </w:rPr>
        <w:tab/>
        <w:t>PROTECCIÓN DE LAS OBTENCIONES VEGETALES</w:t>
      </w:r>
    </w:p>
    <w:p w:rsidR="00EB4042" w:rsidRPr="0075789D" w:rsidRDefault="00EB4042" w:rsidP="00EB4042">
      <w:pPr>
        <w:rPr>
          <w:lang w:val="es-419"/>
        </w:rPr>
      </w:pPr>
    </w:p>
    <w:p w:rsidR="00EB4042" w:rsidRPr="0075789D" w:rsidRDefault="00EB4042" w:rsidP="00EB4042">
      <w:pPr>
        <w:rPr>
          <w:u w:val="single"/>
          <w:lang w:val="es-419"/>
        </w:rPr>
      </w:pPr>
      <w:r w:rsidRPr="0075789D">
        <w:rPr>
          <w:u w:val="single"/>
          <w:lang w:val="es-419"/>
        </w:rPr>
        <w:t>Actividades para la promoción de las variedades vegetales</w:t>
      </w:r>
    </w:p>
    <w:p w:rsidR="00EB4042" w:rsidRPr="0075789D" w:rsidRDefault="00EB4042" w:rsidP="00EB4042">
      <w:pPr>
        <w:rPr>
          <w:lang w:val="es-419"/>
        </w:rPr>
      </w:pPr>
    </w:p>
    <w:tbl>
      <w:tblPr>
        <w:tblStyle w:val="TableGrid"/>
        <w:tblW w:w="9889" w:type="dxa"/>
        <w:tblLayout w:type="fixed"/>
        <w:tblCellMar>
          <w:top w:w="28" w:type="dxa"/>
          <w:left w:w="57" w:type="dxa"/>
          <w:bottom w:w="28" w:type="dxa"/>
          <w:right w:w="57" w:type="dxa"/>
        </w:tblCellMar>
        <w:tblLook w:val="01E0" w:firstRow="1" w:lastRow="1" w:firstColumn="1" w:lastColumn="1" w:noHBand="0" w:noVBand="0"/>
      </w:tblPr>
      <w:tblGrid>
        <w:gridCol w:w="846"/>
        <w:gridCol w:w="709"/>
        <w:gridCol w:w="1134"/>
        <w:gridCol w:w="1417"/>
        <w:gridCol w:w="1276"/>
        <w:gridCol w:w="3118"/>
        <w:gridCol w:w="1389"/>
      </w:tblGrid>
      <w:tr w:rsidR="00EB4042" w:rsidRPr="0075789D" w:rsidTr="004D1E3E">
        <w:tc>
          <w:tcPr>
            <w:tcW w:w="846" w:type="dxa"/>
            <w:tcMar>
              <w:top w:w="17" w:type="dxa"/>
              <w:left w:w="28" w:type="dxa"/>
              <w:bottom w:w="17" w:type="dxa"/>
              <w:right w:w="28" w:type="dxa"/>
            </w:tcMar>
          </w:tcPr>
          <w:p w:rsidR="00EB4042" w:rsidRPr="0075789D" w:rsidRDefault="00EB4042" w:rsidP="00EB4042">
            <w:pPr>
              <w:jc w:val="left"/>
              <w:rPr>
                <w:sz w:val="18"/>
                <w:lang w:val="es-419"/>
              </w:rPr>
            </w:pPr>
            <w:r w:rsidRPr="0075789D">
              <w:rPr>
                <w:sz w:val="18"/>
                <w:lang w:val="es-419"/>
              </w:rPr>
              <w:t>Título de</w:t>
            </w:r>
            <w:r>
              <w:rPr>
                <w:sz w:val="18"/>
                <w:lang w:val="es-419"/>
              </w:rPr>
              <w:t> </w:t>
            </w:r>
            <w:r w:rsidRPr="0075789D">
              <w:rPr>
                <w:sz w:val="18"/>
                <w:lang w:val="es-419"/>
              </w:rPr>
              <w:t>la actividad</w:t>
            </w:r>
          </w:p>
        </w:tc>
        <w:tc>
          <w:tcPr>
            <w:tcW w:w="70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Fecha</w:t>
            </w:r>
          </w:p>
        </w:tc>
        <w:tc>
          <w:tcPr>
            <w:tcW w:w="1134"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Lugar</w:t>
            </w:r>
          </w:p>
        </w:tc>
        <w:tc>
          <w:tcPr>
            <w:tcW w:w="1417"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Organizador(es)</w:t>
            </w:r>
          </w:p>
        </w:tc>
        <w:tc>
          <w:tcPr>
            <w:tcW w:w="1276"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Finalidad de la actividad</w:t>
            </w:r>
          </w:p>
        </w:tc>
        <w:tc>
          <w:tcPr>
            <w:tcW w:w="3118"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Países u organizaciones participantes (número de participantes en cada caso)</w:t>
            </w:r>
          </w:p>
        </w:tc>
        <w:tc>
          <w:tcPr>
            <w:tcW w:w="138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Comentarios</w:t>
            </w:r>
          </w:p>
        </w:tc>
      </w:tr>
      <w:tr w:rsidR="00EB4042" w:rsidRPr="0075789D" w:rsidTr="004D1E3E">
        <w:tc>
          <w:tcPr>
            <w:tcW w:w="846"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1.</w:t>
            </w:r>
          </w:p>
          <w:p w:rsidR="00EB4042" w:rsidRPr="0075789D" w:rsidRDefault="00EB4042" w:rsidP="004D1E3E">
            <w:pPr>
              <w:jc w:val="left"/>
              <w:rPr>
                <w:sz w:val="18"/>
                <w:lang w:val="es-419"/>
              </w:rPr>
            </w:pPr>
          </w:p>
        </w:tc>
        <w:tc>
          <w:tcPr>
            <w:tcW w:w="70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8-12 de febrero de 2021</w:t>
            </w:r>
          </w:p>
        </w:tc>
        <w:tc>
          <w:tcPr>
            <w:tcW w:w="1134"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Actividades en línea</w:t>
            </w:r>
          </w:p>
        </w:tc>
        <w:tc>
          <w:tcPr>
            <w:tcW w:w="1417"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Hermanamiento BA 18 IPA AG 03 19</w:t>
            </w:r>
          </w:p>
        </w:tc>
        <w:tc>
          <w:tcPr>
            <w:tcW w:w="1276"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Capacidades en el ámbito de los derechos de obtentor</w:t>
            </w:r>
          </w:p>
        </w:tc>
        <w:tc>
          <w:tcPr>
            <w:tcW w:w="3118"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Administración de Protección Fitosanitaria (PHPA) de Bosnia y Herzegovina, Departamento de Sanidad Vegetal</w:t>
            </w:r>
          </w:p>
          <w:p w:rsidR="00EB4042" w:rsidRPr="0075789D" w:rsidRDefault="00EB4042" w:rsidP="004D1E3E">
            <w:pPr>
              <w:jc w:val="left"/>
              <w:rPr>
                <w:sz w:val="18"/>
                <w:lang w:val="es-419"/>
              </w:rPr>
            </w:pPr>
            <w:r w:rsidRPr="0075789D">
              <w:rPr>
                <w:sz w:val="18"/>
                <w:lang w:val="es-419"/>
              </w:rPr>
              <w:t xml:space="preserve">- Ministerio de Agricultura, Silvicultura y Recursos Hídricos de la República </w:t>
            </w:r>
            <w:proofErr w:type="spellStart"/>
            <w:r w:rsidRPr="0075789D">
              <w:rPr>
                <w:sz w:val="18"/>
                <w:lang w:val="es-419"/>
              </w:rPr>
              <w:t>Srpska</w:t>
            </w:r>
            <w:proofErr w:type="spellEnd"/>
          </w:p>
          <w:p w:rsidR="00EB4042" w:rsidRPr="0075789D" w:rsidRDefault="00EB4042" w:rsidP="004D1E3E">
            <w:pPr>
              <w:jc w:val="left"/>
              <w:rPr>
                <w:sz w:val="18"/>
                <w:lang w:val="es-419"/>
              </w:rPr>
            </w:pPr>
            <w:r w:rsidRPr="0075789D">
              <w:rPr>
                <w:sz w:val="18"/>
                <w:lang w:val="es-419"/>
              </w:rPr>
              <w:t>- Ministerio de Agricultura, Recursos Hídricos y Silvicultura de la Federación de Bosnia y Herzegovina</w:t>
            </w:r>
          </w:p>
          <w:p w:rsidR="00EB4042" w:rsidRPr="0075789D" w:rsidRDefault="00EB4042" w:rsidP="004D1E3E">
            <w:pPr>
              <w:jc w:val="left"/>
              <w:rPr>
                <w:sz w:val="18"/>
                <w:lang w:val="es-419"/>
              </w:rPr>
            </w:pPr>
            <w:r w:rsidRPr="0075789D">
              <w:rPr>
                <w:sz w:val="18"/>
                <w:lang w:val="es-419"/>
              </w:rPr>
              <w:t xml:space="preserve">- Departamento de Agricultura, Silvicultura y Recursos Hídricos del Distrito </w:t>
            </w:r>
            <w:proofErr w:type="spellStart"/>
            <w:r w:rsidRPr="0075789D">
              <w:rPr>
                <w:sz w:val="18"/>
                <w:lang w:val="es-419"/>
              </w:rPr>
              <w:t>Brčko</w:t>
            </w:r>
            <w:proofErr w:type="spellEnd"/>
            <w:r w:rsidRPr="0075789D">
              <w:rPr>
                <w:sz w:val="18"/>
                <w:lang w:val="es-419"/>
              </w:rPr>
              <w:t xml:space="preserve"> (Bosnia y Herzegovina)</w:t>
            </w:r>
          </w:p>
          <w:p w:rsidR="00EB4042" w:rsidRPr="0075789D" w:rsidRDefault="00EB4042" w:rsidP="004D1E3E">
            <w:pPr>
              <w:jc w:val="left"/>
              <w:rPr>
                <w:sz w:val="18"/>
                <w:lang w:val="es-419"/>
              </w:rPr>
            </w:pPr>
            <w:r w:rsidRPr="0075789D">
              <w:rPr>
                <w:sz w:val="18"/>
                <w:lang w:val="es-419"/>
              </w:rPr>
              <w:t xml:space="preserve">- Dirección Republicana de Inspección (República </w:t>
            </w:r>
            <w:proofErr w:type="spellStart"/>
            <w:r w:rsidRPr="0075789D">
              <w:rPr>
                <w:sz w:val="18"/>
                <w:lang w:val="es-419"/>
              </w:rPr>
              <w:t>Srpska</w:t>
            </w:r>
            <w:proofErr w:type="spellEnd"/>
            <w:r w:rsidRPr="0075789D">
              <w:rPr>
                <w:sz w:val="18"/>
                <w:lang w:val="es-419"/>
              </w:rPr>
              <w:t>)</w:t>
            </w:r>
          </w:p>
          <w:p w:rsidR="00EB4042" w:rsidRPr="0075789D" w:rsidRDefault="00EB4042" w:rsidP="004D1E3E">
            <w:pPr>
              <w:jc w:val="left"/>
              <w:rPr>
                <w:sz w:val="18"/>
                <w:lang w:val="es-419"/>
              </w:rPr>
            </w:pPr>
            <w:r w:rsidRPr="0075789D">
              <w:rPr>
                <w:sz w:val="18"/>
                <w:lang w:val="es-419"/>
              </w:rPr>
              <w:t>- Dirección Federal de Inspección</w:t>
            </w:r>
          </w:p>
          <w:p w:rsidR="00EB4042" w:rsidRPr="0075789D" w:rsidRDefault="00EB4042" w:rsidP="004D1E3E">
            <w:pPr>
              <w:jc w:val="left"/>
              <w:rPr>
                <w:sz w:val="18"/>
                <w:lang w:val="es-419"/>
              </w:rPr>
            </w:pPr>
            <w:r w:rsidRPr="0075789D">
              <w:rPr>
                <w:sz w:val="18"/>
                <w:lang w:val="es-419"/>
              </w:rPr>
              <w:t xml:space="preserve">- Servicio de Inspección del Distrito </w:t>
            </w:r>
            <w:proofErr w:type="spellStart"/>
            <w:r w:rsidRPr="0075789D">
              <w:rPr>
                <w:sz w:val="18"/>
                <w:lang w:val="es-419"/>
              </w:rPr>
              <w:t>Brčko</w:t>
            </w:r>
            <w:proofErr w:type="spellEnd"/>
            <w:r w:rsidRPr="0075789D">
              <w:rPr>
                <w:sz w:val="18"/>
                <w:lang w:val="es-419"/>
              </w:rPr>
              <w:t xml:space="preserve"> (Bosnia y Herzegovina)</w:t>
            </w:r>
          </w:p>
        </w:tc>
        <w:tc>
          <w:tcPr>
            <w:tcW w:w="138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Fortalecimiento de las capacidades administrativa y ejecutiva en el campo de los derechos de obtentor por la transferencia de una base de conocimientos y el perfeccionamiento de habilidades</w:t>
            </w:r>
          </w:p>
        </w:tc>
      </w:tr>
      <w:tr w:rsidR="00EB4042" w:rsidRPr="0075789D" w:rsidTr="004D1E3E">
        <w:tc>
          <w:tcPr>
            <w:tcW w:w="846"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2.</w:t>
            </w:r>
          </w:p>
          <w:p w:rsidR="00EB4042" w:rsidRPr="0075789D" w:rsidRDefault="00EB4042" w:rsidP="004D1E3E">
            <w:pPr>
              <w:jc w:val="left"/>
              <w:rPr>
                <w:sz w:val="18"/>
                <w:lang w:val="es-419"/>
              </w:rPr>
            </w:pPr>
          </w:p>
        </w:tc>
        <w:tc>
          <w:tcPr>
            <w:tcW w:w="70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26-30 de abril de 2021</w:t>
            </w:r>
          </w:p>
        </w:tc>
        <w:tc>
          <w:tcPr>
            <w:tcW w:w="1134"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Actividades en línea</w:t>
            </w:r>
          </w:p>
        </w:tc>
        <w:tc>
          <w:tcPr>
            <w:tcW w:w="1417"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Hermanamiento BA 18 IPA AG 03 19</w:t>
            </w:r>
          </w:p>
        </w:tc>
        <w:tc>
          <w:tcPr>
            <w:tcW w:w="1276" w:type="dxa"/>
            <w:tcMar>
              <w:top w:w="17" w:type="dxa"/>
              <w:left w:w="28" w:type="dxa"/>
              <w:bottom w:w="17" w:type="dxa"/>
              <w:right w:w="28" w:type="dxa"/>
            </w:tcMar>
          </w:tcPr>
          <w:p w:rsidR="00EB4042" w:rsidRPr="0075789D" w:rsidRDefault="00EB4042" w:rsidP="004D1E3E">
            <w:pPr>
              <w:jc w:val="left"/>
              <w:rPr>
                <w:sz w:val="18"/>
                <w:lang w:val="es-419"/>
              </w:rPr>
            </w:pPr>
          </w:p>
        </w:tc>
        <w:tc>
          <w:tcPr>
            <w:tcW w:w="3118"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Administración de Protección Fitosanitaria (PHPA) de Bosnia y Herzegovina, Departamento de Sanidad Vegetal</w:t>
            </w:r>
          </w:p>
          <w:p w:rsidR="00EB4042" w:rsidRPr="0075789D" w:rsidRDefault="00EB4042" w:rsidP="004D1E3E">
            <w:pPr>
              <w:jc w:val="left"/>
              <w:rPr>
                <w:sz w:val="18"/>
                <w:lang w:val="es-419"/>
              </w:rPr>
            </w:pPr>
            <w:r w:rsidRPr="0075789D">
              <w:rPr>
                <w:sz w:val="18"/>
                <w:lang w:val="es-419"/>
              </w:rPr>
              <w:t xml:space="preserve">- Ministerio de Agricultura, Silvicultura y Recursos Hídricos de la República </w:t>
            </w:r>
            <w:proofErr w:type="spellStart"/>
            <w:r w:rsidRPr="0075789D">
              <w:rPr>
                <w:sz w:val="18"/>
                <w:lang w:val="es-419"/>
              </w:rPr>
              <w:t>Srpska</w:t>
            </w:r>
            <w:proofErr w:type="spellEnd"/>
          </w:p>
          <w:p w:rsidR="00EB4042" w:rsidRPr="0075789D" w:rsidRDefault="00EB4042" w:rsidP="004D1E3E">
            <w:pPr>
              <w:jc w:val="left"/>
              <w:rPr>
                <w:sz w:val="18"/>
                <w:lang w:val="es-419"/>
              </w:rPr>
            </w:pPr>
            <w:r w:rsidRPr="0075789D">
              <w:rPr>
                <w:sz w:val="18"/>
                <w:lang w:val="es-419"/>
              </w:rPr>
              <w:t>- Ministerio de Agricultura, Recursos Hídricos y Silvicultura de la Federación de Bosnia y Herzegovina</w:t>
            </w:r>
          </w:p>
          <w:p w:rsidR="00EB4042" w:rsidRPr="0075789D" w:rsidRDefault="00EB4042" w:rsidP="004D1E3E">
            <w:pPr>
              <w:jc w:val="left"/>
              <w:rPr>
                <w:sz w:val="18"/>
                <w:lang w:val="es-419"/>
              </w:rPr>
            </w:pPr>
            <w:r w:rsidRPr="0075789D">
              <w:rPr>
                <w:sz w:val="18"/>
                <w:lang w:val="es-419"/>
              </w:rPr>
              <w:t xml:space="preserve">- Departamento de Agricultura, Silvicultura y Recursos Hídricos del Distrito </w:t>
            </w:r>
            <w:proofErr w:type="spellStart"/>
            <w:r w:rsidRPr="0075789D">
              <w:rPr>
                <w:sz w:val="18"/>
                <w:lang w:val="es-419"/>
              </w:rPr>
              <w:t>Brčko</w:t>
            </w:r>
            <w:proofErr w:type="spellEnd"/>
            <w:r w:rsidRPr="0075789D">
              <w:rPr>
                <w:sz w:val="18"/>
                <w:lang w:val="es-419"/>
              </w:rPr>
              <w:t xml:space="preserve"> (Bosnia y Herzegovina)</w:t>
            </w:r>
          </w:p>
          <w:p w:rsidR="00EB4042" w:rsidRPr="0075789D" w:rsidRDefault="00EB4042" w:rsidP="004D1E3E">
            <w:pPr>
              <w:jc w:val="left"/>
              <w:rPr>
                <w:sz w:val="18"/>
                <w:lang w:val="es-419"/>
              </w:rPr>
            </w:pPr>
            <w:r w:rsidRPr="0075789D">
              <w:rPr>
                <w:sz w:val="18"/>
                <w:lang w:val="es-419"/>
              </w:rPr>
              <w:t xml:space="preserve">- Dirección Republicana de Inspección (República </w:t>
            </w:r>
            <w:proofErr w:type="spellStart"/>
            <w:r w:rsidRPr="0075789D">
              <w:rPr>
                <w:sz w:val="18"/>
                <w:lang w:val="es-419"/>
              </w:rPr>
              <w:t>Srpska</w:t>
            </w:r>
            <w:proofErr w:type="spellEnd"/>
            <w:r w:rsidRPr="0075789D">
              <w:rPr>
                <w:sz w:val="18"/>
                <w:lang w:val="es-419"/>
              </w:rPr>
              <w:t>)</w:t>
            </w:r>
          </w:p>
          <w:p w:rsidR="00EB4042" w:rsidRPr="0075789D" w:rsidRDefault="00EB4042" w:rsidP="004D1E3E">
            <w:pPr>
              <w:jc w:val="left"/>
              <w:rPr>
                <w:sz w:val="18"/>
                <w:lang w:val="es-419"/>
              </w:rPr>
            </w:pPr>
            <w:r w:rsidRPr="0075789D">
              <w:rPr>
                <w:sz w:val="18"/>
                <w:lang w:val="es-419"/>
              </w:rPr>
              <w:t>- Dirección Federal de Inspección</w:t>
            </w:r>
          </w:p>
          <w:p w:rsidR="00EB4042" w:rsidRPr="0075789D" w:rsidRDefault="00EB4042" w:rsidP="004D1E3E">
            <w:pPr>
              <w:jc w:val="left"/>
              <w:rPr>
                <w:sz w:val="18"/>
                <w:lang w:val="es-419"/>
              </w:rPr>
            </w:pPr>
            <w:r w:rsidRPr="0075789D">
              <w:rPr>
                <w:sz w:val="18"/>
                <w:lang w:val="es-419"/>
              </w:rPr>
              <w:t xml:space="preserve">- Servicio de Inspección del Distrito </w:t>
            </w:r>
            <w:proofErr w:type="spellStart"/>
            <w:r w:rsidRPr="0075789D">
              <w:rPr>
                <w:sz w:val="18"/>
                <w:lang w:val="es-419"/>
              </w:rPr>
              <w:t>Brčko</w:t>
            </w:r>
            <w:proofErr w:type="spellEnd"/>
            <w:r w:rsidRPr="0075789D">
              <w:rPr>
                <w:sz w:val="18"/>
                <w:lang w:val="es-419"/>
              </w:rPr>
              <w:t xml:space="preserve"> (Bosnia y Herzegovina)</w:t>
            </w:r>
          </w:p>
        </w:tc>
        <w:tc>
          <w:tcPr>
            <w:tcW w:w="138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Armonización de la legislación principal vigente (ley) con una ley conforme al acervo de la Unión y el Convenio de la UPOV en el ámbito de los derechos de obtentor</w:t>
            </w:r>
          </w:p>
        </w:tc>
      </w:tr>
      <w:tr w:rsidR="00EB4042" w:rsidRPr="0075789D" w:rsidTr="004D1E3E">
        <w:tc>
          <w:tcPr>
            <w:tcW w:w="846"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3.</w:t>
            </w:r>
          </w:p>
        </w:tc>
        <w:tc>
          <w:tcPr>
            <w:tcW w:w="70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28 de junio a 2 de julio de 2021</w:t>
            </w:r>
          </w:p>
        </w:tc>
        <w:tc>
          <w:tcPr>
            <w:tcW w:w="1134"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Actividades en línea</w:t>
            </w:r>
          </w:p>
        </w:tc>
        <w:tc>
          <w:tcPr>
            <w:tcW w:w="1417"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Hermanamiento BA 18 IPA AG 03 19</w:t>
            </w:r>
          </w:p>
        </w:tc>
        <w:tc>
          <w:tcPr>
            <w:tcW w:w="1276" w:type="dxa"/>
            <w:tcMar>
              <w:top w:w="17" w:type="dxa"/>
              <w:left w:w="28" w:type="dxa"/>
              <w:bottom w:w="17" w:type="dxa"/>
              <w:right w:w="28" w:type="dxa"/>
            </w:tcMar>
          </w:tcPr>
          <w:p w:rsidR="00EB4042" w:rsidRPr="0075789D" w:rsidRDefault="00EB4042" w:rsidP="004D1E3E">
            <w:pPr>
              <w:jc w:val="left"/>
              <w:rPr>
                <w:sz w:val="18"/>
                <w:lang w:val="es-419"/>
              </w:rPr>
            </w:pPr>
          </w:p>
        </w:tc>
        <w:tc>
          <w:tcPr>
            <w:tcW w:w="3118"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Administración de Protección Fitosanitaria (PHPA) de Bosnia y Herzegovina, Departamento de Sanidad Vegetal</w:t>
            </w:r>
          </w:p>
          <w:p w:rsidR="00EB4042" w:rsidRPr="0075789D" w:rsidRDefault="00EB4042" w:rsidP="004D1E3E">
            <w:pPr>
              <w:jc w:val="left"/>
              <w:rPr>
                <w:sz w:val="18"/>
                <w:lang w:val="es-419"/>
              </w:rPr>
            </w:pPr>
            <w:r w:rsidRPr="0075789D">
              <w:rPr>
                <w:sz w:val="18"/>
                <w:lang w:val="es-419"/>
              </w:rPr>
              <w:t xml:space="preserve">- Ministerio de Agricultura, Silvicultura y Recursos Hídricos de la República </w:t>
            </w:r>
            <w:proofErr w:type="spellStart"/>
            <w:r w:rsidRPr="0075789D">
              <w:rPr>
                <w:sz w:val="18"/>
                <w:lang w:val="es-419"/>
              </w:rPr>
              <w:t>Srpska</w:t>
            </w:r>
            <w:proofErr w:type="spellEnd"/>
          </w:p>
          <w:p w:rsidR="00EB4042" w:rsidRPr="0075789D" w:rsidRDefault="00EB4042" w:rsidP="004D1E3E">
            <w:pPr>
              <w:jc w:val="left"/>
              <w:rPr>
                <w:sz w:val="18"/>
                <w:lang w:val="es-419"/>
              </w:rPr>
            </w:pPr>
            <w:r w:rsidRPr="0075789D">
              <w:rPr>
                <w:sz w:val="18"/>
                <w:lang w:val="es-419"/>
              </w:rPr>
              <w:t>- Ministerio de Agricultura, Recursos Hídricos y Silvicultura de la Federación de Bosnia y Herzegovina</w:t>
            </w:r>
          </w:p>
          <w:p w:rsidR="00EB4042" w:rsidRPr="0075789D" w:rsidRDefault="00EB4042" w:rsidP="004D1E3E">
            <w:pPr>
              <w:jc w:val="left"/>
              <w:rPr>
                <w:sz w:val="18"/>
                <w:lang w:val="es-419"/>
              </w:rPr>
            </w:pPr>
            <w:r w:rsidRPr="0075789D">
              <w:rPr>
                <w:sz w:val="18"/>
                <w:lang w:val="es-419"/>
              </w:rPr>
              <w:t xml:space="preserve">- Departamento de Agricultura, Silvicultura y Recursos Hídricos del Distrito </w:t>
            </w:r>
            <w:proofErr w:type="spellStart"/>
            <w:r w:rsidRPr="0075789D">
              <w:rPr>
                <w:sz w:val="18"/>
                <w:lang w:val="es-419"/>
              </w:rPr>
              <w:t>Brčko</w:t>
            </w:r>
            <w:proofErr w:type="spellEnd"/>
            <w:r w:rsidRPr="0075789D">
              <w:rPr>
                <w:sz w:val="18"/>
                <w:lang w:val="es-419"/>
              </w:rPr>
              <w:t xml:space="preserve"> (Bosnia y Herzegovina)</w:t>
            </w:r>
          </w:p>
          <w:p w:rsidR="00EB4042" w:rsidRPr="0075789D" w:rsidRDefault="00EB4042" w:rsidP="004D1E3E">
            <w:pPr>
              <w:jc w:val="left"/>
              <w:rPr>
                <w:sz w:val="18"/>
                <w:lang w:val="es-419"/>
              </w:rPr>
            </w:pPr>
            <w:r w:rsidRPr="0075789D">
              <w:rPr>
                <w:sz w:val="18"/>
                <w:lang w:val="es-419"/>
              </w:rPr>
              <w:t xml:space="preserve">- Dirección Republicana de Inspección (República </w:t>
            </w:r>
            <w:proofErr w:type="spellStart"/>
            <w:r w:rsidRPr="0075789D">
              <w:rPr>
                <w:sz w:val="18"/>
                <w:lang w:val="es-419"/>
              </w:rPr>
              <w:t>Srpska</w:t>
            </w:r>
            <w:proofErr w:type="spellEnd"/>
            <w:r w:rsidRPr="0075789D">
              <w:rPr>
                <w:sz w:val="18"/>
                <w:lang w:val="es-419"/>
              </w:rPr>
              <w:t>)</w:t>
            </w:r>
          </w:p>
          <w:p w:rsidR="00EB4042" w:rsidRPr="0075789D" w:rsidRDefault="00EB4042" w:rsidP="004D1E3E">
            <w:pPr>
              <w:jc w:val="left"/>
              <w:rPr>
                <w:sz w:val="18"/>
                <w:lang w:val="es-419"/>
              </w:rPr>
            </w:pPr>
            <w:r w:rsidRPr="0075789D">
              <w:rPr>
                <w:sz w:val="18"/>
                <w:lang w:val="es-419"/>
              </w:rPr>
              <w:t>- Dirección Federal de Inspección</w:t>
            </w:r>
          </w:p>
          <w:p w:rsidR="00EB4042" w:rsidRPr="0075789D" w:rsidRDefault="00EB4042" w:rsidP="004D1E3E">
            <w:pPr>
              <w:jc w:val="left"/>
              <w:rPr>
                <w:sz w:val="18"/>
                <w:lang w:val="es-419"/>
              </w:rPr>
            </w:pPr>
            <w:r w:rsidRPr="0075789D">
              <w:rPr>
                <w:sz w:val="18"/>
                <w:lang w:val="es-419"/>
              </w:rPr>
              <w:t xml:space="preserve">- Servicio de Inspección del Distrito </w:t>
            </w:r>
            <w:proofErr w:type="spellStart"/>
            <w:r w:rsidRPr="0075789D">
              <w:rPr>
                <w:sz w:val="18"/>
                <w:lang w:val="es-419"/>
              </w:rPr>
              <w:t>Brčko</w:t>
            </w:r>
            <w:proofErr w:type="spellEnd"/>
            <w:r w:rsidRPr="0075789D">
              <w:rPr>
                <w:sz w:val="18"/>
                <w:lang w:val="es-419"/>
              </w:rPr>
              <w:t xml:space="preserve"> (Bosnia y Herzegovina)</w:t>
            </w:r>
          </w:p>
        </w:tc>
        <w:tc>
          <w:tcPr>
            <w:tcW w:w="1389" w:type="dxa"/>
            <w:tcMar>
              <w:top w:w="17" w:type="dxa"/>
              <w:left w:w="28" w:type="dxa"/>
              <w:bottom w:w="17" w:type="dxa"/>
              <w:right w:w="28" w:type="dxa"/>
            </w:tcMar>
          </w:tcPr>
          <w:p w:rsidR="00EB4042" w:rsidRPr="0075789D" w:rsidRDefault="00EB4042" w:rsidP="004D1E3E">
            <w:pPr>
              <w:jc w:val="left"/>
              <w:rPr>
                <w:sz w:val="18"/>
                <w:lang w:val="es-419"/>
              </w:rPr>
            </w:pPr>
            <w:r w:rsidRPr="0075789D">
              <w:rPr>
                <w:sz w:val="18"/>
                <w:lang w:val="es-419"/>
              </w:rPr>
              <w:t>Armonización de la legislación principal vigente (ley) con una ley conforme al acervo de la Unión y el Convenio de la UPOV en el ámbito de los derechos de obtentor</w:t>
            </w:r>
          </w:p>
        </w:tc>
      </w:tr>
    </w:tbl>
    <w:p w:rsidR="00EB4042" w:rsidRPr="0075789D" w:rsidRDefault="00EB4042" w:rsidP="00EB4042">
      <w:pPr>
        <w:rPr>
          <w:lang w:val="es-419"/>
        </w:rPr>
      </w:pPr>
    </w:p>
    <w:p w:rsidR="00EB4042" w:rsidRPr="0075789D" w:rsidRDefault="00EB4042" w:rsidP="00EB4042">
      <w:pPr>
        <w:rPr>
          <w:lang w:val="es-419"/>
        </w:rPr>
      </w:pPr>
    </w:p>
    <w:p w:rsidR="00EB4042" w:rsidRPr="0075789D" w:rsidRDefault="00EB4042" w:rsidP="00EB4042">
      <w:pPr>
        <w:rPr>
          <w:lang w:val="es-419"/>
        </w:rPr>
      </w:pPr>
      <w:r w:rsidRPr="0075789D">
        <w:rPr>
          <w:lang w:val="es-419"/>
        </w:rPr>
        <w:t>II.</w:t>
      </w:r>
      <w:r w:rsidRPr="0075789D">
        <w:rPr>
          <w:lang w:val="es-419"/>
        </w:rPr>
        <w:tab/>
        <w:t>OTRAS NOVEDADES DE INTERÉS PARA LA UPOV</w:t>
      </w:r>
    </w:p>
    <w:p w:rsidR="00EB4042" w:rsidRPr="0075789D" w:rsidRDefault="00EB4042" w:rsidP="00EB4042">
      <w:pPr>
        <w:rPr>
          <w:lang w:val="es-419"/>
        </w:rPr>
      </w:pPr>
    </w:p>
    <w:p w:rsidR="00EB4042" w:rsidRPr="0075789D" w:rsidRDefault="00EB4042" w:rsidP="00EB4042">
      <w:pPr>
        <w:spacing w:after="120"/>
        <w:rPr>
          <w:rFonts w:cs="Arial"/>
          <w:lang w:val="es-419"/>
        </w:rPr>
      </w:pPr>
      <w:r w:rsidRPr="0075789D">
        <w:rPr>
          <w:lang w:val="es-419"/>
        </w:rPr>
        <w:t>El experto realizó y comentó el análisis de las carencias con los colegas bosnios y revisó y debatió el proyecto de código normativo de los agricultores a pequeña escala.</w:t>
      </w:r>
    </w:p>
    <w:p w:rsidR="00EB4042" w:rsidRPr="0075789D" w:rsidRDefault="00EB4042" w:rsidP="00EB4042">
      <w:pPr>
        <w:spacing w:after="120"/>
        <w:rPr>
          <w:rFonts w:cs="Arial"/>
          <w:lang w:val="es-419"/>
        </w:rPr>
      </w:pPr>
      <w:r w:rsidRPr="0075789D">
        <w:rPr>
          <w:lang w:val="es-419"/>
        </w:rPr>
        <w:t>En lo que se refiere al análisis de carencias, se puso una especial atención en los siguientes aspectos:</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Las disposiciones de aplicación de las tasas de concesión y mantenimiento de derechos de obtentor que han de redactarse</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La comisión para la protección de las obtenciones vegetales que ha de establecerse </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El comité de recurso que ha de establecerse</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El proyecto de código normativo del registro de derechos de obtentor</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El proyecto de código normativo de la definición de “agricultor a pequeña escala”</w:t>
      </w:r>
    </w:p>
    <w:p w:rsidR="00EB4042" w:rsidRPr="0075789D" w:rsidRDefault="00EB4042" w:rsidP="00EB4042">
      <w:pPr>
        <w:rPr>
          <w:rFonts w:cs="Arial"/>
          <w:lang w:val="es-419"/>
        </w:rPr>
      </w:pPr>
    </w:p>
    <w:p w:rsidR="00EB4042" w:rsidRPr="0075789D" w:rsidRDefault="00EB4042" w:rsidP="00EB4042">
      <w:pPr>
        <w:spacing w:after="120"/>
        <w:rPr>
          <w:rFonts w:cs="Arial"/>
          <w:lang w:val="es-419"/>
        </w:rPr>
      </w:pPr>
      <w:r w:rsidRPr="0075789D">
        <w:rPr>
          <w:lang w:val="es-419"/>
        </w:rPr>
        <w:t>En lo que se refiere al proyecto de código normativo de los agricultores a pequeña escala, el comentario más relevante es el vinculado a los criterios para establecer un límite de tres hectáreas. Esta superficie es el límite de tamaño de las explotaciones por debajo del cual los agricultores estarán exentos del pago de regalías inherentes a las obtenciones vegetales protegidas, conforme a la excepción facultativa prevista en el Convenio de la UPOV.</w:t>
      </w:r>
    </w:p>
    <w:p w:rsidR="00EB4042" w:rsidRPr="0075789D" w:rsidRDefault="00EB4042" w:rsidP="00EB4042">
      <w:pPr>
        <w:spacing w:after="120"/>
        <w:rPr>
          <w:rFonts w:cs="Arial"/>
          <w:lang w:val="es-419"/>
        </w:rPr>
      </w:pPr>
      <w:r w:rsidRPr="0075789D">
        <w:rPr>
          <w:lang w:val="es-419"/>
        </w:rPr>
        <w:t>Este límite debe establecerse teniendo en cuenta las características generales de la agricultura de Bosnia y Herzegovina, el tamaño medio de las explotaciones y los principales cultivos, a fin de encontrar un equilibrio justo entre los intereses legítimos del obtentor y el análisis de rentabilidad para recaudar regalías de los agricultores a pequeña escala definidos.</w:t>
      </w:r>
    </w:p>
    <w:p w:rsidR="00EB4042" w:rsidRPr="0075789D" w:rsidRDefault="00EB4042" w:rsidP="00EB4042">
      <w:pPr>
        <w:spacing w:after="120"/>
        <w:rPr>
          <w:rFonts w:cs="Arial"/>
          <w:lang w:val="es-419"/>
        </w:rPr>
      </w:pPr>
      <w:r w:rsidRPr="0075789D">
        <w:rPr>
          <w:lang w:val="es-419"/>
        </w:rPr>
        <w:t>En las ponencias se dieron ejemplos de la situación en Italia, los Países Bajos, Polonia, la República Checa y, en general, dentro de la Unión Europea (UE).</w:t>
      </w:r>
    </w:p>
    <w:p w:rsidR="00EB4042" w:rsidRPr="0075789D" w:rsidRDefault="00EB4042" w:rsidP="00EB4042">
      <w:pPr>
        <w:spacing w:after="120"/>
        <w:rPr>
          <w:rFonts w:cs="Arial"/>
          <w:lang w:val="es-419"/>
        </w:rPr>
      </w:pPr>
      <w:r w:rsidRPr="0075789D">
        <w:rPr>
          <w:lang w:val="es-419"/>
        </w:rPr>
        <w:t>Conforme al Reglamento (CE) 1768/95 de la Comisión (por el que se adopta el artículo 14 del reglamento de base 2100/94 sobre derechos de obtentor), el agricultor que produce menos de 92 toneladas de cereales o 185 toneladas de patata se considera un “pequeño agricultor” y, como tal, no está obligado a abonar regalías al obtentor.</w:t>
      </w:r>
    </w:p>
    <w:p w:rsidR="00EB4042" w:rsidRPr="0075789D" w:rsidRDefault="00EB4042" w:rsidP="00EB4042">
      <w:pPr>
        <w:spacing w:after="120"/>
        <w:rPr>
          <w:rFonts w:cs="Arial"/>
          <w:lang w:val="es-419"/>
        </w:rPr>
      </w:pPr>
      <w:r w:rsidRPr="0075789D">
        <w:rPr>
          <w:lang w:val="es-419"/>
        </w:rPr>
        <w:t>También se observó la necesidad de realizar algunas pequeñas correcciones de redacción y lingüísticas de la versión inglesa del proyecto de código normativo.</w:t>
      </w:r>
    </w:p>
    <w:p w:rsidR="00EB4042" w:rsidRPr="0075789D" w:rsidRDefault="00EB4042" w:rsidP="00EB4042">
      <w:pPr>
        <w:spacing w:after="120"/>
        <w:rPr>
          <w:rFonts w:cs="Arial"/>
          <w:lang w:val="es-419"/>
        </w:rPr>
      </w:pPr>
      <w:r w:rsidRPr="0075789D">
        <w:rPr>
          <w:lang w:val="es-419"/>
        </w:rPr>
        <w:t>Facilitó mucho esta tarea la colaboración de los colegas de la PHPA. Teniendo en cuenta las condiciones de trabajo por videoconferencia, no ha habido dificultades.</w:t>
      </w:r>
    </w:p>
    <w:p w:rsidR="00EB4042" w:rsidRPr="0075789D" w:rsidRDefault="00EB4042" w:rsidP="00EB4042">
      <w:pPr>
        <w:spacing w:after="120"/>
        <w:rPr>
          <w:rFonts w:cs="Arial"/>
          <w:lang w:val="es-419"/>
        </w:rPr>
      </w:pPr>
      <w:r w:rsidRPr="0075789D">
        <w:rPr>
          <w:lang w:val="es-419"/>
        </w:rPr>
        <w:t>Se recomienda lo siguiente:</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Iniciar el proceso de aprobación de la modificación del artículo 19 de la Ley.</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Iniciar el proceso de aprobación de la decisión de establecer una comisión conjunta para la concesión de derechos de obtentor y de protección, sin olvidar indicar el representante de las instituciones competentes.</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Comprobar la coherencia entre los artículos y los anexos del código normativo de los registros e iniciar el proceso de aprobación, incluido el proyecto de certificado.</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Iniciar el proceso de aprobación del proyecto de código normativo de los agricultores a pequeña escala</w:t>
      </w:r>
    </w:p>
    <w:p w:rsidR="00EB4042" w:rsidRPr="0075789D" w:rsidRDefault="00EB4042" w:rsidP="00EB4042">
      <w:pPr>
        <w:rPr>
          <w:rFonts w:cs="Arial"/>
          <w:lang w:val="es-419"/>
        </w:rPr>
      </w:pPr>
      <w:r w:rsidRPr="0075789D">
        <w:rPr>
          <w:rFonts w:ascii="Segoe UI Symbol" w:hAnsi="Segoe UI Symbol"/>
          <w:lang w:val="es-419"/>
        </w:rPr>
        <w:t>➢</w:t>
      </w:r>
      <w:r w:rsidRPr="0075789D">
        <w:rPr>
          <w:lang w:val="es-419"/>
        </w:rPr>
        <w:t xml:space="preserve"> Reflexionar sobre la modificación necesaria de los códigos normativos de la comisión y sobre las tasas de inclusión en listas que se han de utilizar también para los derechos de obtentor.</w:t>
      </w:r>
    </w:p>
    <w:p w:rsidR="00EB4042" w:rsidRPr="0075789D" w:rsidRDefault="00EB4042" w:rsidP="00EB4042">
      <w:pPr>
        <w:rPr>
          <w:rFonts w:cs="Arial"/>
          <w:lang w:val="es-419"/>
        </w:rPr>
      </w:pPr>
    </w:p>
    <w:p w:rsidR="00EB4042" w:rsidRPr="0075789D" w:rsidRDefault="00EB4042" w:rsidP="00EB4042">
      <w:pPr>
        <w:rPr>
          <w:rFonts w:cs="Arial"/>
          <w:lang w:val="es-419"/>
        </w:rPr>
      </w:pPr>
      <w:r w:rsidRPr="0075789D">
        <w:rPr>
          <w:lang w:val="es-419"/>
        </w:rPr>
        <w:t>RESULTADOS</w:t>
      </w:r>
    </w:p>
    <w:p w:rsidR="00EB4042" w:rsidRPr="0075789D" w:rsidRDefault="00EB4042" w:rsidP="00EB4042">
      <w:pPr>
        <w:rPr>
          <w:rFonts w:cs="Arial"/>
          <w:lang w:val="es-419"/>
        </w:rPr>
      </w:pPr>
    </w:p>
    <w:p w:rsidR="00EB4042" w:rsidRPr="0075789D" w:rsidRDefault="00EB4042" w:rsidP="00EB4042">
      <w:pPr>
        <w:rPr>
          <w:rFonts w:cs="Arial"/>
          <w:lang w:val="es-419"/>
        </w:rPr>
      </w:pPr>
      <w:r w:rsidRPr="0075789D">
        <w:rPr>
          <w:lang w:val="es-419"/>
        </w:rPr>
        <w:t>a. Texto modificado del artículo 19 de la ley</w:t>
      </w:r>
    </w:p>
    <w:p w:rsidR="00EB4042" w:rsidRPr="0075789D" w:rsidRDefault="00EB4042" w:rsidP="00EB4042">
      <w:pPr>
        <w:rPr>
          <w:rFonts w:cs="Arial"/>
          <w:lang w:val="es-419"/>
        </w:rPr>
      </w:pPr>
      <w:r w:rsidRPr="0075789D">
        <w:rPr>
          <w:lang w:val="es-419"/>
        </w:rPr>
        <w:t>b. Texto definitivo de la decisión sobre la comisión conjunta para la concesión de derechos de obtentor y la protección</w:t>
      </w:r>
    </w:p>
    <w:p w:rsidR="00EB4042" w:rsidRPr="0075789D" w:rsidRDefault="00EB4042" w:rsidP="00EB4042">
      <w:pPr>
        <w:rPr>
          <w:rFonts w:cs="Arial"/>
          <w:lang w:val="es-419"/>
        </w:rPr>
      </w:pPr>
      <w:r w:rsidRPr="0075789D">
        <w:rPr>
          <w:lang w:val="es-419"/>
        </w:rPr>
        <w:t>c. Certificado de concesión del derecho de obtentor</w:t>
      </w:r>
    </w:p>
    <w:p w:rsidR="00EB4042" w:rsidRPr="0075789D" w:rsidRDefault="00EB4042" w:rsidP="00EB4042">
      <w:pPr>
        <w:rPr>
          <w:rFonts w:cs="Arial"/>
          <w:lang w:val="es-419"/>
        </w:rPr>
      </w:pPr>
      <w:r w:rsidRPr="0075789D">
        <w:rPr>
          <w:lang w:val="es-419"/>
        </w:rPr>
        <w:t>d. Texto final del código normativo de los registros</w:t>
      </w:r>
    </w:p>
    <w:p w:rsidR="00EB4042" w:rsidRPr="0075789D" w:rsidRDefault="00EB4042" w:rsidP="00EB4042">
      <w:pPr>
        <w:rPr>
          <w:rFonts w:cs="Arial"/>
          <w:lang w:val="es-419"/>
        </w:rPr>
      </w:pPr>
      <w:r w:rsidRPr="0075789D">
        <w:rPr>
          <w:lang w:val="es-419"/>
        </w:rPr>
        <w:t>e. Texto final del código normativo de los agricultores a pequeña escala</w:t>
      </w:r>
    </w:p>
    <w:p w:rsidR="00EB4042" w:rsidRPr="0075789D" w:rsidRDefault="00EB4042" w:rsidP="00EB4042">
      <w:pPr>
        <w:rPr>
          <w:lang w:val="es-419"/>
        </w:rPr>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I</w:t>
      </w:r>
      <w:r w:rsidR="003B17C0" w:rsidRPr="00D36B66">
        <w:t>V</w:t>
      </w:r>
      <w:r>
        <w:t>]</w:t>
      </w:r>
    </w:p>
    <w:p w:rsidR="000362AD" w:rsidRPr="00D36B66" w:rsidRDefault="000362AD" w:rsidP="000362AD"/>
    <w:p w:rsidR="000362AD" w:rsidRPr="00D36B66" w:rsidRDefault="000362AD" w:rsidP="000362AD">
      <w:pPr>
        <w:jc w:val="left"/>
        <w:sectPr w:rsidR="000362AD" w:rsidRPr="00D36B66" w:rsidSect="0049108C">
          <w:headerReference w:type="default" r:id="rId12"/>
          <w:pgSz w:w="11907" w:h="16840" w:code="9"/>
          <w:pgMar w:top="510" w:right="1134" w:bottom="1134" w:left="1134" w:header="510" w:footer="680" w:gutter="0"/>
          <w:pgNumType w:start="1"/>
          <w:cols w:space="720"/>
          <w:titlePg/>
        </w:sectPr>
      </w:pPr>
    </w:p>
    <w:p w:rsidR="00B05301" w:rsidRPr="00D36B66" w:rsidRDefault="00B05301" w:rsidP="00B05301">
      <w:pPr>
        <w:jc w:val="center"/>
      </w:pPr>
      <w:r w:rsidRPr="00D36B66">
        <w:lastRenderedPageBreak/>
        <w:t>C/56/INF/4</w:t>
      </w:r>
    </w:p>
    <w:p w:rsidR="00B05301" w:rsidRPr="00D36B66" w:rsidRDefault="00B05301" w:rsidP="00B05301">
      <w:pPr>
        <w:jc w:val="center"/>
      </w:pPr>
    </w:p>
    <w:p w:rsidR="00B05301" w:rsidRPr="00D36B66" w:rsidRDefault="000A2928" w:rsidP="00B05301">
      <w:pPr>
        <w:jc w:val="center"/>
      </w:pPr>
      <w:r>
        <w:t>ANEXO</w:t>
      </w:r>
      <w:r w:rsidR="00B05301" w:rsidRPr="00D36B66">
        <w:t xml:space="preserve"> IV</w:t>
      </w:r>
    </w:p>
    <w:p w:rsidR="00B05301" w:rsidRPr="00D36B66" w:rsidRDefault="00B05301" w:rsidP="00B05301">
      <w:pPr>
        <w:jc w:val="center"/>
      </w:pPr>
    </w:p>
    <w:p w:rsidR="00B05301" w:rsidRPr="00D36B66" w:rsidRDefault="00B05301" w:rsidP="00B05301">
      <w:pPr>
        <w:jc w:val="center"/>
      </w:pPr>
    </w:p>
    <w:p w:rsidR="00B05301" w:rsidRPr="00D36B66" w:rsidRDefault="00B05301" w:rsidP="00B05301">
      <w:pPr>
        <w:jc w:val="center"/>
      </w:pPr>
      <w:r w:rsidRPr="00D36B66">
        <w:rPr>
          <w:szCs w:val="24"/>
        </w:rPr>
        <w:t>CHINA</w:t>
      </w:r>
    </w:p>
    <w:p w:rsidR="00B05301" w:rsidRPr="00D36B66" w:rsidRDefault="00B05301" w:rsidP="00B05301">
      <w:pPr>
        <w:jc w:val="left"/>
      </w:pPr>
    </w:p>
    <w:p w:rsidR="00B05301" w:rsidRPr="00D36B66" w:rsidRDefault="00B05301" w:rsidP="00B05301">
      <w:pPr>
        <w:jc w:val="left"/>
      </w:pPr>
    </w:p>
    <w:p w:rsidR="008D1FA9" w:rsidRPr="0075789D" w:rsidRDefault="008D1FA9" w:rsidP="008D1FA9">
      <w:pPr>
        <w:rPr>
          <w:lang w:val="es-419"/>
        </w:rPr>
      </w:pPr>
      <w:r w:rsidRPr="0075789D">
        <w:rPr>
          <w:lang w:val="es-419"/>
        </w:rPr>
        <w:t>I.</w:t>
      </w:r>
      <w:r w:rsidRPr="0075789D">
        <w:rPr>
          <w:lang w:val="es-419"/>
        </w:rPr>
        <w:tab/>
        <w:t>PROTECCIÓN DE LAS OBTENCIONES VEGETALES</w:t>
      </w:r>
    </w:p>
    <w:p w:rsidR="008D1FA9" w:rsidRPr="0075789D" w:rsidRDefault="008D1FA9" w:rsidP="008D1FA9">
      <w:pPr>
        <w:rPr>
          <w:lang w:val="es-419"/>
        </w:rPr>
      </w:pPr>
    </w:p>
    <w:p w:rsidR="008D1FA9" w:rsidRPr="0075789D" w:rsidRDefault="008D1FA9" w:rsidP="008D1FA9">
      <w:pPr>
        <w:rPr>
          <w:lang w:val="es-419"/>
        </w:rPr>
      </w:pPr>
      <w:r w:rsidRPr="0075789D">
        <w:rPr>
          <w:lang w:val="es-419"/>
        </w:rPr>
        <w:t xml:space="preserve">1. </w:t>
      </w:r>
      <w:r w:rsidRPr="0075789D">
        <w:rPr>
          <w:lang w:val="es-419"/>
        </w:rPr>
        <w:tab/>
      </w:r>
      <w:r w:rsidRPr="0075789D">
        <w:rPr>
          <w:u w:val="single"/>
          <w:lang w:val="es-419"/>
        </w:rPr>
        <w:t>Situación en el ámbito legislativo</w:t>
      </w:r>
    </w:p>
    <w:p w:rsidR="008D1FA9" w:rsidRPr="0075789D" w:rsidRDefault="008D1FA9" w:rsidP="008D1FA9">
      <w:pPr>
        <w:rPr>
          <w:lang w:val="es-419"/>
        </w:rPr>
      </w:pPr>
    </w:p>
    <w:p w:rsidR="008D1FA9" w:rsidRPr="0075789D" w:rsidRDefault="008D1FA9" w:rsidP="008D1FA9">
      <w:pPr>
        <w:rPr>
          <w:rFonts w:eastAsia="SimSun"/>
          <w:lang w:val="es-419"/>
        </w:rPr>
      </w:pPr>
      <w:r w:rsidRPr="0075789D">
        <w:rPr>
          <w:lang w:val="es-419"/>
        </w:rPr>
        <w:tab/>
        <w:t>1.1</w:t>
      </w:r>
      <w:r w:rsidRPr="0075789D">
        <w:rPr>
          <w:lang w:val="es-419"/>
        </w:rPr>
        <w:tab/>
        <w:t>Modificaciones de la ley y de los reglamentos</w:t>
      </w:r>
    </w:p>
    <w:p w:rsidR="008D1FA9" w:rsidRPr="0075789D" w:rsidRDefault="008D1FA9" w:rsidP="008D1FA9">
      <w:pPr>
        <w:ind w:left="567"/>
        <w:rPr>
          <w:rFonts w:eastAsia="SimSun"/>
          <w:lang w:val="es-419" w:eastAsia="zh-CN"/>
        </w:rPr>
      </w:pPr>
    </w:p>
    <w:p w:rsidR="008D1FA9" w:rsidRPr="0075789D" w:rsidRDefault="008D1FA9" w:rsidP="008D1FA9">
      <w:pPr>
        <w:ind w:left="567"/>
        <w:rPr>
          <w:rFonts w:eastAsia="SimSun"/>
          <w:lang w:val="es-419"/>
        </w:rPr>
      </w:pPr>
      <w:r w:rsidRPr="0075789D">
        <w:rPr>
          <w:lang w:val="es-419"/>
        </w:rPr>
        <w:t>La modificación de la Ley de Semillas de la República Popular China se aplica desde el 1 de marzo de 2022.</w:t>
      </w:r>
    </w:p>
    <w:p w:rsidR="008D1FA9" w:rsidRPr="0075789D" w:rsidRDefault="008D1FA9" w:rsidP="008D1FA9">
      <w:pPr>
        <w:rPr>
          <w:lang w:val="es-419"/>
        </w:rPr>
      </w:pPr>
    </w:p>
    <w:p w:rsidR="008D1FA9" w:rsidRPr="0075789D" w:rsidRDefault="008D1FA9" w:rsidP="008D1FA9">
      <w:pPr>
        <w:rPr>
          <w:lang w:val="es-419"/>
        </w:rPr>
      </w:pPr>
    </w:p>
    <w:p w:rsidR="008D1FA9" w:rsidRPr="0075789D" w:rsidRDefault="008D1FA9" w:rsidP="008D1FA9">
      <w:pPr>
        <w:rPr>
          <w:rFonts w:eastAsia="SimSun"/>
          <w:lang w:val="es-419"/>
        </w:rPr>
      </w:pPr>
      <w:r w:rsidRPr="0075789D">
        <w:rPr>
          <w:lang w:val="es-419"/>
        </w:rPr>
        <w:t>2.</w:t>
      </w:r>
      <w:r w:rsidRPr="0075789D">
        <w:rPr>
          <w:lang w:val="es-419"/>
        </w:rPr>
        <w:tab/>
      </w:r>
      <w:r w:rsidRPr="0075789D">
        <w:rPr>
          <w:u w:val="single"/>
          <w:lang w:val="es-419"/>
        </w:rPr>
        <w:t>Cooperación en el examen</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jc w:val="left"/>
        <w:rPr>
          <w:rFonts w:cs="Arial"/>
          <w:lang w:val="es-419"/>
        </w:rPr>
      </w:pPr>
    </w:p>
    <w:p w:rsidR="008D1FA9" w:rsidRPr="0075789D" w:rsidRDefault="008D1FA9" w:rsidP="008D1FA9">
      <w:pPr>
        <w:jc w:val="left"/>
        <w:rPr>
          <w:rFonts w:cs="Arial"/>
          <w:lang w:val="es-419"/>
        </w:rPr>
      </w:pPr>
    </w:p>
    <w:p w:rsidR="008D1FA9" w:rsidRPr="0075789D" w:rsidRDefault="008D1FA9" w:rsidP="008D1FA9">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jc w:val="left"/>
        <w:rPr>
          <w:rFonts w:cs="Arial"/>
          <w:lang w:val="es-419"/>
        </w:rPr>
      </w:pPr>
    </w:p>
    <w:p w:rsidR="008D1FA9" w:rsidRPr="0075789D" w:rsidRDefault="008D1FA9" w:rsidP="008D1FA9">
      <w:pPr>
        <w:rPr>
          <w:rFonts w:cs="Arial"/>
          <w:lang w:val="es-419"/>
        </w:rPr>
      </w:pPr>
    </w:p>
    <w:p w:rsidR="008D1FA9" w:rsidRPr="0075789D" w:rsidRDefault="008D1FA9" w:rsidP="008D1FA9">
      <w:pPr>
        <w:rPr>
          <w:lang w:val="es-419"/>
        </w:rPr>
      </w:pPr>
      <w:r w:rsidRPr="0075789D">
        <w:rPr>
          <w:lang w:val="es-419"/>
        </w:rPr>
        <w:t>4.</w:t>
      </w:r>
      <w:r w:rsidRPr="0075789D">
        <w:rPr>
          <w:lang w:val="es-419"/>
        </w:rPr>
        <w:tab/>
      </w:r>
      <w:r w:rsidRPr="0075789D">
        <w:rPr>
          <w:u w:val="single"/>
          <w:lang w:val="es-419"/>
        </w:rPr>
        <w:t>Situación en el ámbito técnico</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jc w:val="left"/>
        <w:rPr>
          <w:rFonts w:cs="Arial"/>
          <w:lang w:val="es-419"/>
        </w:rPr>
      </w:pPr>
    </w:p>
    <w:p w:rsidR="008D1FA9" w:rsidRPr="0075789D" w:rsidRDefault="008D1FA9" w:rsidP="008D1FA9">
      <w:pPr>
        <w:rPr>
          <w:lang w:val="es-419"/>
        </w:rPr>
      </w:pPr>
    </w:p>
    <w:p w:rsidR="008D1FA9" w:rsidRPr="0075789D" w:rsidRDefault="008D1FA9" w:rsidP="008D1FA9">
      <w:pPr>
        <w:rPr>
          <w:rFonts w:eastAsia="SimSun"/>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8D1FA9" w:rsidRPr="0075789D" w:rsidRDefault="008D1FA9" w:rsidP="008D1FA9">
      <w:pPr>
        <w:rPr>
          <w:rFonts w:cs="Arial"/>
          <w:lang w:val="es-419"/>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1134"/>
        <w:gridCol w:w="709"/>
        <w:gridCol w:w="1418"/>
        <w:gridCol w:w="2126"/>
        <w:gridCol w:w="2126"/>
        <w:gridCol w:w="1134"/>
      </w:tblGrid>
      <w:tr w:rsidR="008D1FA9" w:rsidRPr="0075789D" w:rsidTr="008D1FA9">
        <w:tc>
          <w:tcPr>
            <w:tcW w:w="1129" w:type="dxa"/>
            <w:tcMar>
              <w:left w:w="28" w:type="dxa"/>
              <w:right w:w="28" w:type="dxa"/>
            </w:tcMar>
          </w:tcPr>
          <w:p w:rsidR="008D1FA9" w:rsidRPr="0075789D" w:rsidRDefault="008D1FA9" w:rsidP="004D1E3E">
            <w:pPr>
              <w:keepNext/>
              <w:jc w:val="left"/>
              <w:rPr>
                <w:sz w:val="18"/>
                <w:lang w:val="es-419"/>
              </w:rPr>
            </w:pPr>
            <w:r w:rsidRPr="0075789D">
              <w:rPr>
                <w:sz w:val="18"/>
                <w:lang w:val="es-419"/>
              </w:rPr>
              <w:t>Título de la actividad</w:t>
            </w:r>
          </w:p>
        </w:tc>
        <w:tc>
          <w:tcPr>
            <w:tcW w:w="1134" w:type="dxa"/>
            <w:tcMar>
              <w:left w:w="28" w:type="dxa"/>
              <w:right w:w="28" w:type="dxa"/>
            </w:tcMar>
          </w:tcPr>
          <w:p w:rsidR="008D1FA9" w:rsidRPr="0075789D" w:rsidRDefault="008D1FA9" w:rsidP="004D1E3E">
            <w:pPr>
              <w:keepNext/>
              <w:jc w:val="left"/>
              <w:rPr>
                <w:sz w:val="18"/>
                <w:lang w:val="es-419"/>
              </w:rPr>
            </w:pPr>
            <w:r w:rsidRPr="0075789D">
              <w:rPr>
                <w:sz w:val="18"/>
                <w:lang w:val="es-419"/>
              </w:rPr>
              <w:t>Fecha</w:t>
            </w:r>
          </w:p>
        </w:tc>
        <w:tc>
          <w:tcPr>
            <w:tcW w:w="709" w:type="dxa"/>
            <w:tcMar>
              <w:left w:w="28" w:type="dxa"/>
              <w:right w:w="28" w:type="dxa"/>
            </w:tcMar>
          </w:tcPr>
          <w:p w:rsidR="008D1FA9" w:rsidRPr="0075789D" w:rsidRDefault="008D1FA9" w:rsidP="004D1E3E">
            <w:pPr>
              <w:keepNext/>
              <w:jc w:val="left"/>
              <w:rPr>
                <w:sz w:val="18"/>
                <w:lang w:val="es-419"/>
              </w:rPr>
            </w:pPr>
            <w:r w:rsidRPr="0075789D">
              <w:rPr>
                <w:sz w:val="18"/>
                <w:lang w:val="es-419"/>
              </w:rPr>
              <w:t>Lugar</w:t>
            </w:r>
          </w:p>
        </w:tc>
        <w:tc>
          <w:tcPr>
            <w:tcW w:w="1418" w:type="dxa"/>
            <w:tcMar>
              <w:left w:w="28" w:type="dxa"/>
              <w:right w:w="28" w:type="dxa"/>
            </w:tcMar>
          </w:tcPr>
          <w:p w:rsidR="008D1FA9" w:rsidRPr="0075789D" w:rsidRDefault="008D1FA9" w:rsidP="004D1E3E">
            <w:pPr>
              <w:keepNext/>
              <w:jc w:val="left"/>
              <w:rPr>
                <w:sz w:val="18"/>
                <w:lang w:val="es-419"/>
              </w:rPr>
            </w:pPr>
            <w:r w:rsidRPr="0075789D">
              <w:rPr>
                <w:sz w:val="18"/>
                <w:lang w:val="es-419"/>
              </w:rPr>
              <w:t>Organizador(es)</w:t>
            </w:r>
          </w:p>
        </w:tc>
        <w:tc>
          <w:tcPr>
            <w:tcW w:w="2126" w:type="dxa"/>
            <w:tcMar>
              <w:left w:w="28" w:type="dxa"/>
              <w:right w:w="28" w:type="dxa"/>
            </w:tcMar>
          </w:tcPr>
          <w:p w:rsidR="008D1FA9" w:rsidRPr="0075789D" w:rsidRDefault="008D1FA9" w:rsidP="004D1E3E">
            <w:pPr>
              <w:keepNext/>
              <w:jc w:val="left"/>
              <w:rPr>
                <w:sz w:val="18"/>
                <w:lang w:val="es-419"/>
              </w:rPr>
            </w:pPr>
            <w:r w:rsidRPr="0075789D">
              <w:rPr>
                <w:sz w:val="18"/>
                <w:lang w:val="es-419"/>
              </w:rPr>
              <w:t>Finalidad de la actividad</w:t>
            </w:r>
          </w:p>
        </w:tc>
        <w:tc>
          <w:tcPr>
            <w:tcW w:w="2126" w:type="dxa"/>
            <w:tcMar>
              <w:left w:w="28" w:type="dxa"/>
              <w:right w:w="28" w:type="dxa"/>
            </w:tcMar>
          </w:tcPr>
          <w:p w:rsidR="008D1FA9" w:rsidRPr="0075789D" w:rsidRDefault="008D1FA9" w:rsidP="004D1E3E">
            <w:pPr>
              <w:keepNext/>
              <w:jc w:val="left"/>
              <w:rPr>
                <w:sz w:val="18"/>
                <w:lang w:val="es-419"/>
              </w:rPr>
            </w:pPr>
            <w:r w:rsidRPr="0075789D">
              <w:rPr>
                <w:sz w:val="18"/>
                <w:lang w:val="es-419"/>
              </w:rPr>
              <w:t>Países u organizaciones participantes (número de participantes en cada caso)</w:t>
            </w:r>
          </w:p>
        </w:tc>
        <w:tc>
          <w:tcPr>
            <w:tcW w:w="1134" w:type="dxa"/>
            <w:tcMar>
              <w:left w:w="28" w:type="dxa"/>
              <w:right w:w="28" w:type="dxa"/>
            </w:tcMar>
          </w:tcPr>
          <w:p w:rsidR="008D1FA9" w:rsidRPr="0075789D" w:rsidRDefault="008D1FA9" w:rsidP="004D1E3E">
            <w:pPr>
              <w:keepNext/>
              <w:jc w:val="left"/>
              <w:rPr>
                <w:sz w:val="18"/>
                <w:lang w:val="es-419"/>
              </w:rPr>
            </w:pPr>
            <w:r w:rsidRPr="0075789D">
              <w:rPr>
                <w:sz w:val="18"/>
                <w:lang w:val="es-419"/>
              </w:rPr>
              <w:t>Comentarios</w:t>
            </w:r>
          </w:p>
        </w:tc>
      </w:tr>
      <w:tr w:rsidR="008D1FA9" w:rsidRPr="0075789D" w:rsidTr="008D1FA9">
        <w:tc>
          <w:tcPr>
            <w:tcW w:w="1129" w:type="dxa"/>
            <w:tcMar>
              <w:left w:w="28" w:type="dxa"/>
              <w:right w:w="28" w:type="dxa"/>
            </w:tcMar>
          </w:tcPr>
          <w:p w:rsidR="008D1FA9" w:rsidRPr="0075789D" w:rsidRDefault="008D1FA9" w:rsidP="004D1E3E">
            <w:pPr>
              <w:jc w:val="left"/>
              <w:rPr>
                <w:sz w:val="18"/>
                <w:szCs w:val="18"/>
                <w:lang w:val="es-419"/>
              </w:rPr>
            </w:pPr>
            <w:r w:rsidRPr="0075789D">
              <w:rPr>
                <w:sz w:val="18"/>
                <w:lang w:val="es-419"/>
              </w:rPr>
              <w:t>Seminario sobre la protección de las obtenciones vegetales dirigido a países en desarrollo</w:t>
            </w:r>
          </w:p>
        </w:tc>
        <w:tc>
          <w:tcPr>
            <w:tcW w:w="1134" w:type="dxa"/>
            <w:tcMar>
              <w:left w:w="28" w:type="dxa"/>
              <w:right w:w="28" w:type="dxa"/>
            </w:tcMar>
          </w:tcPr>
          <w:p w:rsidR="008D1FA9" w:rsidRPr="0075789D" w:rsidRDefault="008D1FA9" w:rsidP="004D1E3E">
            <w:pPr>
              <w:keepNext/>
              <w:jc w:val="left"/>
              <w:rPr>
                <w:rFonts w:eastAsia="SimSun"/>
                <w:sz w:val="18"/>
                <w:szCs w:val="18"/>
                <w:lang w:val="es-419"/>
              </w:rPr>
            </w:pPr>
            <w:r w:rsidRPr="0075789D">
              <w:rPr>
                <w:sz w:val="18"/>
                <w:lang w:val="es-419"/>
              </w:rPr>
              <w:t xml:space="preserve">24 de </w:t>
            </w:r>
            <w:r>
              <w:rPr>
                <w:sz w:val="18"/>
                <w:lang w:val="es-419"/>
              </w:rPr>
              <w:t>mayo a 1 </w:t>
            </w:r>
            <w:r w:rsidRPr="0075789D">
              <w:rPr>
                <w:sz w:val="18"/>
                <w:lang w:val="es-419"/>
              </w:rPr>
              <w:t>de junio de 2022</w:t>
            </w:r>
          </w:p>
        </w:tc>
        <w:tc>
          <w:tcPr>
            <w:tcW w:w="709" w:type="dxa"/>
            <w:tcMar>
              <w:left w:w="28" w:type="dxa"/>
              <w:right w:w="28" w:type="dxa"/>
            </w:tcMar>
          </w:tcPr>
          <w:p w:rsidR="008D1FA9" w:rsidRPr="0075789D" w:rsidRDefault="008D1FA9" w:rsidP="004D1E3E">
            <w:pPr>
              <w:keepNext/>
              <w:jc w:val="left"/>
              <w:rPr>
                <w:rFonts w:eastAsia="SimSun"/>
                <w:sz w:val="18"/>
                <w:szCs w:val="18"/>
                <w:lang w:val="es-419"/>
              </w:rPr>
            </w:pPr>
            <w:r w:rsidRPr="0075789D">
              <w:rPr>
                <w:sz w:val="18"/>
                <w:lang w:val="es-419"/>
              </w:rPr>
              <w:t>Por Internet</w:t>
            </w:r>
          </w:p>
        </w:tc>
        <w:tc>
          <w:tcPr>
            <w:tcW w:w="1418" w:type="dxa"/>
            <w:tcMar>
              <w:left w:w="28" w:type="dxa"/>
              <w:right w:w="28" w:type="dxa"/>
            </w:tcMar>
          </w:tcPr>
          <w:p w:rsidR="008D1FA9" w:rsidRPr="0075789D" w:rsidRDefault="008D1FA9" w:rsidP="004D1E3E">
            <w:pPr>
              <w:keepNext/>
              <w:jc w:val="left"/>
              <w:rPr>
                <w:rFonts w:eastAsia="SimSun"/>
                <w:sz w:val="18"/>
                <w:szCs w:val="18"/>
                <w:lang w:val="es-419"/>
              </w:rPr>
            </w:pPr>
            <w:r w:rsidRPr="0075789D">
              <w:rPr>
                <w:sz w:val="18"/>
                <w:lang w:val="es-419"/>
              </w:rPr>
              <w:t>China</w:t>
            </w:r>
          </w:p>
        </w:tc>
        <w:tc>
          <w:tcPr>
            <w:tcW w:w="2126" w:type="dxa"/>
            <w:tcMar>
              <w:left w:w="28" w:type="dxa"/>
              <w:right w:w="28" w:type="dxa"/>
            </w:tcMar>
          </w:tcPr>
          <w:p w:rsidR="008D1FA9" w:rsidRPr="0075789D" w:rsidRDefault="008D1FA9" w:rsidP="004D1E3E">
            <w:pPr>
              <w:keepNext/>
              <w:jc w:val="left"/>
              <w:rPr>
                <w:rFonts w:eastAsia="SimSun"/>
                <w:sz w:val="18"/>
                <w:szCs w:val="18"/>
                <w:lang w:val="es-419"/>
              </w:rPr>
            </w:pPr>
            <w:r w:rsidRPr="0075789D">
              <w:rPr>
                <w:sz w:val="18"/>
                <w:lang w:val="es-419"/>
              </w:rPr>
              <w:t>Presentar a los países en desarrollo el sistema chino de protección de las obtenciones vegetales conforme al Convenio de la UPOV</w:t>
            </w:r>
          </w:p>
        </w:tc>
        <w:tc>
          <w:tcPr>
            <w:tcW w:w="2126" w:type="dxa"/>
            <w:tcMar>
              <w:left w:w="28" w:type="dxa"/>
              <w:right w:w="28" w:type="dxa"/>
            </w:tcMar>
          </w:tcPr>
          <w:p w:rsidR="008D1FA9" w:rsidRPr="0075789D" w:rsidRDefault="008D1FA9" w:rsidP="004D1E3E">
            <w:pPr>
              <w:keepNext/>
              <w:jc w:val="left"/>
              <w:rPr>
                <w:sz w:val="18"/>
                <w:szCs w:val="18"/>
                <w:lang w:val="es-419"/>
              </w:rPr>
            </w:pPr>
            <w:r w:rsidRPr="0075789D">
              <w:rPr>
                <w:sz w:val="18"/>
                <w:lang w:val="es-419"/>
              </w:rPr>
              <w:t>Hubo 26 participantes provenientes de cinco países</w:t>
            </w:r>
          </w:p>
        </w:tc>
        <w:tc>
          <w:tcPr>
            <w:tcW w:w="1134" w:type="dxa"/>
            <w:tcMar>
              <w:left w:w="28" w:type="dxa"/>
              <w:right w:w="28" w:type="dxa"/>
            </w:tcMar>
          </w:tcPr>
          <w:p w:rsidR="008D1FA9" w:rsidRPr="0075789D" w:rsidRDefault="008D1FA9" w:rsidP="004D1E3E">
            <w:pPr>
              <w:keepNext/>
              <w:jc w:val="left"/>
              <w:rPr>
                <w:sz w:val="18"/>
                <w:szCs w:val="18"/>
                <w:lang w:val="es-419"/>
              </w:rPr>
            </w:pPr>
          </w:p>
        </w:tc>
      </w:tr>
    </w:tbl>
    <w:p w:rsidR="008D1FA9" w:rsidRPr="0075789D" w:rsidRDefault="008D1FA9" w:rsidP="008D1FA9">
      <w:pPr>
        <w:rPr>
          <w:rFonts w:cs="Arial"/>
          <w:lang w:val="es-419"/>
        </w:rPr>
      </w:pPr>
    </w:p>
    <w:p w:rsidR="008D1FA9" w:rsidRPr="0075789D" w:rsidRDefault="008D1FA9" w:rsidP="008D1FA9">
      <w:pPr>
        <w:rPr>
          <w:rFonts w:cs="Arial"/>
          <w:lang w:val="es-419"/>
        </w:rPr>
      </w:pPr>
    </w:p>
    <w:p w:rsidR="008D1FA9" w:rsidRPr="0075789D" w:rsidRDefault="008D1FA9" w:rsidP="008D1FA9">
      <w:pPr>
        <w:rPr>
          <w:rFonts w:eastAsia="SimSun"/>
          <w:lang w:val="es-419"/>
        </w:rPr>
      </w:pPr>
      <w:r w:rsidRPr="0075789D">
        <w:rPr>
          <w:lang w:val="es-419"/>
        </w:rPr>
        <w:t>II.</w:t>
      </w:r>
      <w:r w:rsidRPr="0075789D">
        <w:rPr>
          <w:lang w:val="es-419"/>
        </w:rPr>
        <w:tab/>
        <w:t>OTRAS NOVEDADES DE INTERÉS PARA LA UPOV</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rPr>
          <w:rFonts w:cs="Arial"/>
          <w:lang w:val="es-419"/>
        </w:rPr>
      </w:pPr>
    </w:p>
    <w:p w:rsidR="00B05301" w:rsidRPr="00D36B66" w:rsidRDefault="00B05301" w:rsidP="00B05301"/>
    <w:p w:rsidR="00B05301" w:rsidRPr="00D36B66" w:rsidRDefault="000A2928" w:rsidP="00B05301">
      <w:pPr>
        <w:jc w:val="right"/>
      </w:pPr>
      <w:r>
        <w:t>[Sigue el Anexo</w:t>
      </w:r>
      <w:r w:rsidR="00B05301" w:rsidRPr="00D36B66">
        <w:t xml:space="preserve"> V</w:t>
      </w:r>
      <w:r>
        <w:t>]</w:t>
      </w:r>
    </w:p>
    <w:p w:rsidR="00B05301" w:rsidRPr="00D36B66" w:rsidRDefault="00B05301" w:rsidP="00B05301"/>
    <w:p w:rsidR="00B05301" w:rsidRPr="00D36B66" w:rsidRDefault="00B05301" w:rsidP="000362AD">
      <w:pPr>
        <w:jc w:val="center"/>
        <w:sectPr w:rsidR="00B05301" w:rsidRPr="00D36B66" w:rsidSect="0049108C">
          <w:headerReference w:type="default" r:id="rId13"/>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w:t>
      </w:r>
      <w:r w:rsidR="00907EF8" w:rsidRPr="00D36B66">
        <w:t>V</w:t>
      </w:r>
    </w:p>
    <w:p w:rsidR="000362AD" w:rsidRPr="00D36B66" w:rsidRDefault="000362AD" w:rsidP="000362AD">
      <w:pPr>
        <w:jc w:val="center"/>
      </w:pPr>
    </w:p>
    <w:p w:rsidR="000362AD" w:rsidRPr="00D36B66" w:rsidRDefault="000362AD" w:rsidP="000362AD">
      <w:pPr>
        <w:jc w:val="center"/>
      </w:pPr>
    </w:p>
    <w:p w:rsidR="00D46C5A" w:rsidRPr="00D36B66" w:rsidRDefault="00D46C5A" w:rsidP="00D46C5A">
      <w:pPr>
        <w:jc w:val="center"/>
      </w:pPr>
      <w:r w:rsidRPr="00D36B66">
        <w:t>D</w:t>
      </w:r>
      <w:r w:rsidR="000A2928">
        <w:t>I</w:t>
      </w:r>
      <w:r w:rsidRPr="00D36B66">
        <w:t>N</w:t>
      </w:r>
      <w:r w:rsidR="000A2928">
        <w:t>A</w:t>
      </w:r>
      <w:r w:rsidRPr="00D36B66">
        <w:t>MAR</w:t>
      </w:r>
      <w:r w:rsidR="000A2928">
        <w:t>CA</w:t>
      </w:r>
    </w:p>
    <w:p w:rsidR="00D46C5A" w:rsidRPr="00D36B66" w:rsidRDefault="00D46C5A" w:rsidP="00D46C5A">
      <w:pPr>
        <w:jc w:val="center"/>
      </w:pPr>
    </w:p>
    <w:p w:rsidR="00D46C5A" w:rsidRPr="00D36B66" w:rsidRDefault="00D46C5A" w:rsidP="00D46C5A">
      <w:pPr>
        <w:jc w:val="center"/>
      </w:pPr>
    </w:p>
    <w:p w:rsidR="008D1FA9" w:rsidRPr="0075789D" w:rsidRDefault="008D1FA9" w:rsidP="008D1FA9">
      <w:pPr>
        <w:rPr>
          <w:lang w:val="es-419"/>
        </w:rPr>
      </w:pPr>
      <w:r w:rsidRPr="0075789D">
        <w:rPr>
          <w:lang w:val="es-419"/>
        </w:rPr>
        <w:t>I.</w:t>
      </w:r>
      <w:r w:rsidRPr="0075789D">
        <w:rPr>
          <w:lang w:val="es-419"/>
        </w:rPr>
        <w:tab/>
        <w:t>PROTECCIÓN DE LAS OBTENCIONES VEGETALES</w:t>
      </w:r>
    </w:p>
    <w:p w:rsidR="008D1FA9" w:rsidRPr="0075789D" w:rsidRDefault="008D1FA9" w:rsidP="008D1FA9">
      <w:pPr>
        <w:rPr>
          <w:lang w:val="es-419"/>
        </w:rPr>
      </w:pPr>
    </w:p>
    <w:p w:rsidR="008D1FA9" w:rsidRPr="0075789D" w:rsidRDefault="008D1FA9" w:rsidP="008D1FA9">
      <w:pPr>
        <w:rPr>
          <w:lang w:val="es-419"/>
        </w:rPr>
      </w:pPr>
      <w:r w:rsidRPr="0075789D">
        <w:rPr>
          <w:lang w:val="es-419"/>
        </w:rPr>
        <w:t xml:space="preserve">1. </w:t>
      </w:r>
      <w:r w:rsidRPr="0075789D">
        <w:rPr>
          <w:lang w:val="es-419"/>
        </w:rPr>
        <w:tab/>
      </w:r>
      <w:r w:rsidRPr="0075789D">
        <w:rPr>
          <w:u w:val="single"/>
          <w:lang w:val="es-419"/>
        </w:rPr>
        <w:t>Situación en el ámbito legislativo</w:t>
      </w:r>
    </w:p>
    <w:p w:rsidR="008D1FA9" w:rsidRPr="0075789D" w:rsidRDefault="008D1FA9" w:rsidP="008D1FA9">
      <w:pPr>
        <w:rPr>
          <w:lang w:val="es-419"/>
        </w:rPr>
      </w:pPr>
    </w:p>
    <w:p w:rsidR="008D1FA9" w:rsidRPr="0075789D" w:rsidRDefault="008D1FA9" w:rsidP="008D1FA9">
      <w:pPr>
        <w:ind w:left="567"/>
        <w:rPr>
          <w:rFonts w:eastAsia="SimSun"/>
          <w:lang w:val="es-419"/>
        </w:rPr>
      </w:pPr>
      <w:r w:rsidRPr="0075789D">
        <w:rPr>
          <w:lang w:val="es-419"/>
        </w:rPr>
        <w:t>No se han producido cambios.</w:t>
      </w:r>
    </w:p>
    <w:p w:rsidR="008D1FA9" w:rsidRPr="0075789D" w:rsidRDefault="008D1FA9" w:rsidP="008D1FA9">
      <w:pPr>
        <w:rPr>
          <w:lang w:val="es-419"/>
        </w:rPr>
      </w:pPr>
    </w:p>
    <w:p w:rsidR="008D1FA9" w:rsidRPr="0075789D" w:rsidRDefault="008D1FA9" w:rsidP="008D1FA9">
      <w:pPr>
        <w:rPr>
          <w:lang w:val="es-419"/>
        </w:rPr>
      </w:pPr>
    </w:p>
    <w:p w:rsidR="008D1FA9" w:rsidRPr="0075789D" w:rsidRDefault="008D1FA9" w:rsidP="008D1FA9">
      <w:pPr>
        <w:rPr>
          <w:rFonts w:eastAsia="SimSun"/>
          <w:lang w:val="es-419"/>
        </w:rPr>
      </w:pPr>
      <w:r w:rsidRPr="0075789D">
        <w:rPr>
          <w:lang w:val="es-419"/>
        </w:rPr>
        <w:t>2.</w:t>
      </w:r>
      <w:r w:rsidRPr="0075789D">
        <w:rPr>
          <w:lang w:val="es-419"/>
        </w:rPr>
        <w:tab/>
      </w:r>
      <w:r w:rsidRPr="0075789D">
        <w:rPr>
          <w:u w:val="single"/>
          <w:lang w:val="es-419"/>
        </w:rPr>
        <w:t>Cooperación en el examen</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jc w:val="left"/>
        <w:rPr>
          <w:rFonts w:cs="Arial"/>
          <w:lang w:val="es-419"/>
        </w:rPr>
      </w:pPr>
    </w:p>
    <w:p w:rsidR="008D1FA9" w:rsidRPr="0075789D" w:rsidRDefault="008D1FA9" w:rsidP="008D1FA9">
      <w:pPr>
        <w:jc w:val="left"/>
        <w:rPr>
          <w:rFonts w:cs="Arial"/>
          <w:lang w:val="es-419"/>
        </w:rPr>
      </w:pPr>
    </w:p>
    <w:p w:rsidR="008D1FA9" w:rsidRPr="0075789D" w:rsidRDefault="008D1FA9" w:rsidP="008D1FA9">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jc w:val="left"/>
        <w:rPr>
          <w:rFonts w:cs="Arial"/>
          <w:lang w:val="es-419"/>
        </w:rPr>
      </w:pPr>
    </w:p>
    <w:p w:rsidR="008D1FA9" w:rsidRPr="0075789D" w:rsidRDefault="008D1FA9" w:rsidP="008D1FA9">
      <w:pPr>
        <w:rPr>
          <w:rFonts w:cs="Arial"/>
          <w:lang w:val="es-419"/>
        </w:rPr>
      </w:pPr>
    </w:p>
    <w:p w:rsidR="008D1FA9" w:rsidRPr="0075789D" w:rsidRDefault="008D1FA9" w:rsidP="008D1FA9">
      <w:pPr>
        <w:rPr>
          <w:lang w:val="es-419"/>
        </w:rPr>
      </w:pPr>
      <w:r w:rsidRPr="0075789D">
        <w:rPr>
          <w:lang w:val="es-419"/>
        </w:rPr>
        <w:t>4.</w:t>
      </w:r>
      <w:r w:rsidRPr="0075789D">
        <w:rPr>
          <w:lang w:val="es-419"/>
        </w:rPr>
        <w:tab/>
      </w:r>
      <w:r w:rsidRPr="0075789D">
        <w:rPr>
          <w:u w:val="single"/>
          <w:lang w:val="es-419"/>
        </w:rPr>
        <w:t>Situación en el ámbito técnico</w:t>
      </w:r>
    </w:p>
    <w:p w:rsidR="008D1FA9" w:rsidRPr="0075789D" w:rsidRDefault="008D1FA9" w:rsidP="008D1FA9">
      <w:pPr>
        <w:rPr>
          <w:lang w:val="es-419"/>
        </w:rPr>
      </w:pPr>
    </w:p>
    <w:p w:rsidR="008D1FA9" w:rsidRPr="0075789D" w:rsidRDefault="008D1FA9" w:rsidP="008D1FA9">
      <w:pPr>
        <w:rPr>
          <w:lang w:val="es-419"/>
        </w:rPr>
      </w:pPr>
      <w:r w:rsidRPr="0075789D">
        <w:rPr>
          <w:lang w:val="es-419"/>
        </w:rPr>
        <w:t>El examen DHE se realizó al mismo nivel que en los años anteriores.</w:t>
      </w:r>
    </w:p>
    <w:p w:rsidR="008D1FA9" w:rsidRPr="0075789D" w:rsidRDefault="008D1FA9" w:rsidP="008D1FA9">
      <w:pPr>
        <w:rPr>
          <w:lang w:val="es-419"/>
        </w:rPr>
      </w:pPr>
    </w:p>
    <w:p w:rsidR="008D1FA9" w:rsidRPr="0075789D" w:rsidRDefault="008D1FA9" w:rsidP="008D1FA9">
      <w:pPr>
        <w:rPr>
          <w:rFonts w:cs="Arial"/>
          <w:lang w:val="es-419"/>
        </w:rPr>
      </w:pPr>
      <w:r w:rsidRPr="0075789D">
        <w:rPr>
          <w:lang w:val="es-419"/>
        </w:rPr>
        <w:t xml:space="preserve">En julio, recibimos una pregunta de </w:t>
      </w:r>
      <w:proofErr w:type="spellStart"/>
      <w:r w:rsidRPr="0075789D">
        <w:rPr>
          <w:i/>
          <w:iCs/>
          <w:lang w:val="es-419"/>
        </w:rPr>
        <w:t>Euroseeds</w:t>
      </w:r>
      <w:proofErr w:type="spellEnd"/>
      <w:r w:rsidRPr="0075789D">
        <w:rPr>
          <w:lang w:val="es-419"/>
        </w:rPr>
        <w:t xml:space="preserve"> relativa a las dificultades para determinar la distinción en la cebada de primavera. Según parece plantea algunos problemas. Estas dificultades se deben a varios motivos: por una parte, la colección de referencia de la cebada de primavera es relativamente grande y, por otra parte, muchas variedades candidatas tienen una genealogía que coincide parcialmente. Por ejemplo, la mayoría de las variedades de cebada de primavera son resistentes al oídio locus O (resistencia MLO) y en los últimos años se ha utilizado con frecuencia una determinada variedad como progenitora en los cruzamientos. En otras palabras, las variedades son semejantes desde el punto vista morfológico, el “espacio morfológico” (número de caracteres × posibles expresiones) es relativamente estrecho, motivo por el cual existen estos problemas de distinción. Sin embargo, los rechazos reales debido a problemas de distinción son bastante infrecuentes.</w:t>
      </w:r>
    </w:p>
    <w:p w:rsidR="008D1FA9" w:rsidRPr="0075789D" w:rsidRDefault="008D1FA9" w:rsidP="008D1FA9">
      <w:pPr>
        <w:rPr>
          <w:lang w:val="es-419"/>
        </w:rPr>
      </w:pPr>
    </w:p>
    <w:p w:rsidR="008D1FA9" w:rsidRPr="0075789D" w:rsidRDefault="008D1FA9" w:rsidP="008D1FA9">
      <w:pPr>
        <w:rPr>
          <w:lang w:val="es-419"/>
        </w:rPr>
      </w:pPr>
    </w:p>
    <w:p w:rsidR="008D1FA9" w:rsidRPr="0075789D" w:rsidRDefault="008D1FA9" w:rsidP="008D1FA9">
      <w:pPr>
        <w:rPr>
          <w:rFonts w:eastAsia="SimSun"/>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8D1FA9" w:rsidRPr="0075789D" w:rsidRDefault="008D1FA9" w:rsidP="008D1FA9">
      <w:pPr>
        <w:rPr>
          <w:rFonts w:cs="Arial"/>
          <w:lang w:val="es-419"/>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993"/>
        <w:gridCol w:w="708"/>
        <w:gridCol w:w="1418"/>
        <w:gridCol w:w="2126"/>
        <w:gridCol w:w="2126"/>
        <w:gridCol w:w="1276"/>
      </w:tblGrid>
      <w:tr w:rsidR="008D1FA9" w:rsidRPr="0075789D" w:rsidTr="004D1E3E">
        <w:tc>
          <w:tcPr>
            <w:tcW w:w="1129" w:type="dxa"/>
          </w:tcPr>
          <w:p w:rsidR="008D1FA9" w:rsidRPr="0075789D" w:rsidRDefault="008D1FA9" w:rsidP="004D1E3E">
            <w:pPr>
              <w:keepNext/>
              <w:jc w:val="left"/>
              <w:rPr>
                <w:sz w:val="18"/>
                <w:lang w:val="es-419"/>
              </w:rPr>
            </w:pPr>
            <w:r w:rsidRPr="0075789D">
              <w:rPr>
                <w:sz w:val="18"/>
                <w:lang w:val="es-419"/>
              </w:rPr>
              <w:t>Título de la actividad</w:t>
            </w:r>
          </w:p>
        </w:tc>
        <w:tc>
          <w:tcPr>
            <w:tcW w:w="993" w:type="dxa"/>
          </w:tcPr>
          <w:p w:rsidR="008D1FA9" w:rsidRPr="0075789D" w:rsidRDefault="008D1FA9" w:rsidP="004D1E3E">
            <w:pPr>
              <w:keepNext/>
              <w:jc w:val="left"/>
              <w:rPr>
                <w:sz w:val="18"/>
                <w:lang w:val="es-419"/>
              </w:rPr>
            </w:pPr>
            <w:r w:rsidRPr="0075789D">
              <w:rPr>
                <w:sz w:val="18"/>
                <w:lang w:val="es-419"/>
              </w:rPr>
              <w:t>Fecha</w:t>
            </w:r>
          </w:p>
        </w:tc>
        <w:tc>
          <w:tcPr>
            <w:tcW w:w="708" w:type="dxa"/>
          </w:tcPr>
          <w:p w:rsidR="008D1FA9" w:rsidRPr="0075789D" w:rsidRDefault="008D1FA9" w:rsidP="004D1E3E">
            <w:pPr>
              <w:keepNext/>
              <w:jc w:val="left"/>
              <w:rPr>
                <w:sz w:val="18"/>
                <w:lang w:val="es-419"/>
              </w:rPr>
            </w:pPr>
            <w:r w:rsidRPr="0075789D">
              <w:rPr>
                <w:sz w:val="18"/>
                <w:lang w:val="es-419"/>
              </w:rPr>
              <w:t>Lugar</w:t>
            </w:r>
          </w:p>
        </w:tc>
        <w:tc>
          <w:tcPr>
            <w:tcW w:w="1418" w:type="dxa"/>
          </w:tcPr>
          <w:p w:rsidR="008D1FA9" w:rsidRPr="0075789D" w:rsidRDefault="008D1FA9" w:rsidP="004D1E3E">
            <w:pPr>
              <w:keepNext/>
              <w:jc w:val="left"/>
              <w:rPr>
                <w:sz w:val="18"/>
                <w:lang w:val="es-419"/>
              </w:rPr>
            </w:pPr>
            <w:r w:rsidRPr="0075789D">
              <w:rPr>
                <w:sz w:val="18"/>
                <w:lang w:val="es-419"/>
              </w:rPr>
              <w:t>Organizador(es)</w:t>
            </w:r>
          </w:p>
        </w:tc>
        <w:tc>
          <w:tcPr>
            <w:tcW w:w="2126" w:type="dxa"/>
          </w:tcPr>
          <w:p w:rsidR="008D1FA9" w:rsidRPr="0075789D" w:rsidRDefault="008D1FA9" w:rsidP="004D1E3E">
            <w:pPr>
              <w:keepNext/>
              <w:jc w:val="left"/>
              <w:rPr>
                <w:sz w:val="18"/>
                <w:lang w:val="es-419"/>
              </w:rPr>
            </w:pPr>
            <w:r w:rsidRPr="0075789D">
              <w:rPr>
                <w:sz w:val="18"/>
                <w:lang w:val="es-419"/>
              </w:rPr>
              <w:t>Finalidad de la actividad</w:t>
            </w:r>
          </w:p>
        </w:tc>
        <w:tc>
          <w:tcPr>
            <w:tcW w:w="2126" w:type="dxa"/>
          </w:tcPr>
          <w:p w:rsidR="008D1FA9" w:rsidRPr="0075789D" w:rsidRDefault="008D1FA9" w:rsidP="004D1E3E">
            <w:pPr>
              <w:keepNext/>
              <w:jc w:val="left"/>
              <w:rPr>
                <w:sz w:val="18"/>
                <w:lang w:val="es-419"/>
              </w:rPr>
            </w:pPr>
            <w:r w:rsidRPr="0075789D">
              <w:rPr>
                <w:sz w:val="18"/>
                <w:lang w:val="es-419"/>
              </w:rPr>
              <w:t>Países u organizaciones participantes (número de participantes en cada caso)</w:t>
            </w:r>
          </w:p>
        </w:tc>
        <w:tc>
          <w:tcPr>
            <w:tcW w:w="1276" w:type="dxa"/>
          </w:tcPr>
          <w:p w:rsidR="008D1FA9" w:rsidRPr="0075789D" w:rsidRDefault="008D1FA9" w:rsidP="004D1E3E">
            <w:pPr>
              <w:keepNext/>
              <w:jc w:val="left"/>
              <w:rPr>
                <w:sz w:val="18"/>
                <w:lang w:val="es-419"/>
              </w:rPr>
            </w:pPr>
            <w:r w:rsidRPr="0075789D">
              <w:rPr>
                <w:sz w:val="18"/>
                <w:lang w:val="es-419"/>
              </w:rPr>
              <w:t>Comentarios</w:t>
            </w:r>
          </w:p>
        </w:tc>
      </w:tr>
      <w:tr w:rsidR="008D1FA9" w:rsidRPr="0075789D" w:rsidTr="004D1E3E">
        <w:tc>
          <w:tcPr>
            <w:tcW w:w="1129" w:type="dxa"/>
          </w:tcPr>
          <w:p w:rsidR="008D1FA9" w:rsidRPr="0075789D" w:rsidRDefault="008D1FA9" w:rsidP="004D1E3E">
            <w:pPr>
              <w:jc w:val="left"/>
              <w:rPr>
                <w:sz w:val="18"/>
                <w:szCs w:val="18"/>
                <w:lang w:val="es-419"/>
              </w:rPr>
            </w:pPr>
            <w:r w:rsidRPr="0075789D">
              <w:rPr>
                <w:sz w:val="18"/>
                <w:lang w:val="es-419"/>
              </w:rPr>
              <w:t>1.</w:t>
            </w:r>
          </w:p>
        </w:tc>
        <w:tc>
          <w:tcPr>
            <w:tcW w:w="993" w:type="dxa"/>
          </w:tcPr>
          <w:p w:rsidR="008D1FA9" w:rsidRPr="0075789D" w:rsidRDefault="008D1FA9" w:rsidP="004D1E3E">
            <w:pPr>
              <w:jc w:val="left"/>
              <w:rPr>
                <w:sz w:val="18"/>
                <w:lang w:val="es-419"/>
              </w:rPr>
            </w:pPr>
            <w:r w:rsidRPr="0075789D">
              <w:rPr>
                <w:sz w:val="18"/>
                <w:lang w:val="es-419"/>
              </w:rPr>
              <w:t>8 de marzo de 2022</w:t>
            </w:r>
          </w:p>
        </w:tc>
        <w:tc>
          <w:tcPr>
            <w:tcW w:w="708" w:type="dxa"/>
          </w:tcPr>
          <w:p w:rsidR="008D1FA9" w:rsidRPr="0075789D" w:rsidRDefault="008D1FA9" w:rsidP="004D1E3E">
            <w:pPr>
              <w:jc w:val="left"/>
              <w:rPr>
                <w:sz w:val="18"/>
                <w:lang w:val="es-419"/>
              </w:rPr>
            </w:pPr>
            <w:proofErr w:type="spellStart"/>
            <w:r w:rsidRPr="0075789D">
              <w:rPr>
                <w:sz w:val="18"/>
                <w:lang w:val="es-419"/>
              </w:rPr>
              <w:t>Kobæk</w:t>
            </w:r>
            <w:proofErr w:type="spellEnd"/>
            <w:r w:rsidRPr="0075789D">
              <w:rPr>
                <w:sz w:val="18"/>
                <w:lang w:val="es-419"/>
              </w:rPr>
              <w:t xml:space="preserve"> </w:t>
            </w:r>
            <w:proofErr w:type="spellStart"/>
            <w:r w:rsidRPr="0075789D">
              <w:rPr>
                <w:sz w:val="18"/>
                <w:lang w:val="es-419"/>
              </w:rPr>
              <w:t>Strand</w:t>
            </w:r>
            <w:proofErr w:type="spellEnd"/>
          </w:p>
        </w:tc>
        <w:tc>
          <w:tcPr>
            <w:tcW w:w="1418" w:type="dxa"/>
          </w:tcPr>
          <w:p w:rsidR="008D1FA9" w:rsidRPr="0075789D" w:rsidRDefault="008D1FA9" w:rsidP="004D1E3E">
            <w:pPr>
              <w:jc w:val="left"/>
              <w:rPr>
                <w:sz w:val="18"/>
                <w:lang w:val="es-419"/>
              </w:rPr>
            </w:pPr>
            <w:proofErr w:type="spellStart"/>
            <w:r w:rsidRPr="0075789D">
              <w:rPr>
                <w:sz w:val="18"/>
                <w:lang w:val="es-419"/>
              </w:rPr>
              <w:t>Danseed</w:t>
            </w:r>
            <w:proofErr w:type="spellEnd"/>
          </w:p>
        </w:tc>
        <w:tc>
          <w:tcPr>
            <w:tcW w:w="2126" w:type="dxa"/>
          </w:tcPr>
          <w:p w:rsidR="008D1FA9" w:rsidRPr="0075789D" w:rsidRDefault="008D1FA9" w:rsidP="004D1E3E">
            <w:pPr>
              <w:jc w:val="left"/>
              <w:rPr>
                <w:sz w:val="18"/>
                <w:lang w:val="es-419"/>
              </w:rPr>
            </w:pPr>
            <w:r w:rsidRPr="0075789D">
              <w:rPr>
                <w:sz w:val="18"/>
                <w:lang w:val="es-419"/>
              </w:rPr>
              <w:t xml:space="preserve">Los valores socioeconómicos y ambientales del </w:t>
            </w:r>
            <w:proofErr w:type="spellStart"/>
            <w:r w:rsidRPr="0075789D">
              <w:rPr>
                <w:sz w:val="18"/>
                <w:lang w:val="es-419"/>
              </w:rPr>
              <w:t>fitomejoramiento</w:t>
            </w:r>
            <w:proofErr w:type="spellEnd"/>
            <w:r w:rsidRPr="0075789D">
              <w:rPr>
                <w:sz w:val="18"/>
                <w:lang w:val="es-419"/>
              </w:rPr>
              <w:t xml:space="preserve"> en la Unión Europea</w:t>
            </w:r>
          </w:p>
        </w:tc>
        <w:tc>
          <w:tcPr>
            <w:tcW w:w="2126" w:type="dxa"/>
          </w:tcPr>
          <w:p w:rsidR="008D1FA9" w:rsidRPr="0075789D" w:rsidRDefault="008D1FA9" w:rsidP="004D1E3E">
            <w:pPr>
              <w:jc w:val="left"/>
              <w:rPr>
                <w:sz w:val="18"/>
                <w:lang w:val="es-419"/>
              </w:rPr>
            </w:pPr>
            <w:r w:rsidRPr="0075789D">
              <w:rPr>
                <w:sz w:val="18"/>
                <w:lang w:val="es-419"/>
              </w:rPr>
              <w:t>Residentes en Dinamarca</w:t>
            </w:r>
          </w:p>
        </w:tc>
        <w:tc>
          <w:tcPr>
            <w:tcW w:w="1276" w:type="dxa"/>
          </w:tcPr>
          <w:p w:rsidR="008D1FA9" w:rsidRPr="0075789D" w:rsidRDefault="008D1FA9" w:rsidP="004D1E3E">
            <w:pPr>
              <w:keepNext/>
              <w:jc w:val="left"/>
              <w:rPr>
                <w:sz w:val="18"/>
                <w:szCs w:val="18"/>
                <w:lang w:val="es-419"/>
              </w:rPr>
            </w:pPr>
          </w:p>
        </w:tc>
      </w:tr>
    </w:tbl>
    <w:p w:rsidR="008D1FA9" w:rsidRPr="0075789D" w:rsidRDefault="008D1FA9" w:rsidP="008D1FA9">
      <w:pPr>
        <w:rPr>
          <w:rFonts w:cs="Arial"/>
          <w:lang w:val="es-419"/>
        </w:rPr>
      </w:pPr>
    </w:p>
    <w:p w:rsidR="008D1FA9" w:rsidRPr="0075789D" w:rsidRDefault="008D1FA9" w:rsidP="008D1FA9">
      <w:pPr>
        <w:rPr>
          <w:rFonts w:cs="Arial"/>
          <w:lang w:val="es-419"/>
        </w:rPr>
      </w:pPr>
    </w:p>
    <w:p w:rsidR="008D1FA9" w:rsidRPr="0075789D" w:rsidRDefault="008D1FA9" w:rsidP="008D1FA9">
      <w:pPr>
        <w:rPr>
          <w:rFonts w:eastAsia="SimSun"/>
          <w:lang w:val="es-419"/>
        </w:rPr>
      </w:pPr>
      <w:r w:rsidRPr="0075789D">
        <w:rPr>
          <w:lang w:val="es-419"/>
        </w:rPr>
        <w:t>II.</w:t>
      </w:r>
      <w:r w:rsidRPr="0075789D">
        <w:rPr>
          <w:lang w:val="es-419"/>
        </w:rPr>
        <w:tab/>
        <w:t>OTRAS NOVEDADES DE INTERÉS PARA LA UPOV</w:t>
      </w:r>
    </w:p>
    <w:p w:rsidR="008D1FA9" w:rsidRPr="0075789D" w:rsidRDefault="008D1FA9" w:rsidP="008D1FA9">
      <w:pPr>
        <w:rPr>
          <w:lang w:val="es-419"/>
        </w:rPr>
      </w:pPr>
    </w:p>
    <w:p w:rsidR="008D1FA9" w:rsidRPr="0075789D" w:rsidRDefault="008D1FA9" w:rsidP="008D1FA9">
      <w:pPr>
        <w:rPr>
          <w:lang w:val="es-419"/>
        </w:rPr>
      </w:pPr>
      <w:r w:rsidRPr="0075789D">
        <w:rPr>
          <w:lang w:val="es-419"/>
        </w:rPr>
        <w:tab/>
        <w:t>No se han producido cambios.</w:t>
      </w:r>
    </w:p>
    <w:p w:rsidR="008D1FA9" w:rsidRPr="0075789D" w:rsidRDefault="008D1FA9" w:rsidP="008D1FA9">
      <w:pPr>
        <w:rPr>
          <w:rFonts w:cs="Arial"/>
          <w:lang w:val="es-419"/>
        </w:rPr>
      </w:pPr>
    </w:p>
    <w:p w:rsidR="000362AD" w:rsidRPr="00D36B66" w:rsidRDefault="000362AD" w:rsidP="000362AD"/>
    <w:p w:rsidR="000362AD" w:rsidRPr="00D36B66" w:rsidRDefault="000362AD" w:rsidP="000362AD">
      <w:pPr>
        <w:jc w:val="left"/>
      </w:pPr>
    </w:p>
    <w:p w:rsidR="000362AD" w:rsidRPr="00D36B66" w:rsidRDefault="000A2928" w:rsidP="000362AD">
      <w:pPr>
        <w:jc w:val="right"/>
      </w:pPr>
      <w:r>
        <w:t>[Sigue el Anexo</w:t>
      </w:r>
      <w:r w:rsidR="00907EF8" w:rsidRPr="00D36B66">
        <w:t xml:space="preserve"> </w:t>
      </w:r>
      <w:r w:rsidR="000362AD" w:rsidRPr="00D36B66">
        <w:t>V</w:t>
      </w:r>
      <w:r w:rsidR="00907EF8" w:rsidRPr="00D36B66">
        <w:t>I</w:t>
      </w:r>
      <w:r>
        <w:t>]</w:t>
      </w:r>
    </w:p>
    <w:p w:rsidR="000362AD" w:rsidRPr="00D36B66" w:rsidRDefault="000362AD" w:rsidP="000362AD"/>
    <w:p w:rsidR="000362AD" w:rsidRPr="00D36B66" w:rsidRDefault="000362AD" w:rsidP="000362AD">
      <w:pPr>
        <w:jc w:val="left"/>
        <w:sectPr w:rsidR="000362AD" w:rsidRPr="00D36B66" w:rsidSect="0049108C">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V</w:t>
      </w:r>
      <w:r w:rsidR="0069058C" w:rsidRPr="00D36B66">
        <w:t>I</w:t>
      </w:r>
    </w:p>
    <w:p w:rsidR="000362AD" w:rsidRPr="00D36B66" w:rsidRDefault="000362AD" w:rsidP="000362AD">
      <w:pPr>
        <w:jc w:val="center"/>
      </w:pPr>
    </w:p>
    <w:p w:rsidR="003D00FA" w:rsidRPr="00D36B66" w:rsidRDefault="003D00FA" w:rsidP="000362AD">
      <w:pPr>
        <w:jc w:val="center"/>
      </w:pPr>
    </w:p>
    <w:p w:rsidR="00D46C5A" w:rsidRPr="00D36B66" w:rsidRDefault="0069058C" w:rsidP="00D46C5A">
      <w:pPr>
        <w:jc w:val="center"/>
      </w:pPr>
      <w:r w:rsidRPr="00D36B66">
        <w:t>EG</w:t>
      </w:r>
      <w:r w:rsidR="000A2928">
        <w:t>I</w:t>
      </w:r>
      <w:r w:rsidRPr="00D36B66">
        <w:t>PT</w:t>
      </w:r>
      <w:r w:rsidR="000A2928">
        <w:t>O</w:t>
      </w:r>
    </w:p>
    <w:p w:rsidR="00D46C5A" w:rsidRPr="00D36B66" w:rsidRDefault="00D46C5A" w:rsidP="00D46C5A"/>
    <w:p w:rsidR="00D46C5A" w:rsidRPr="00D36B66" w:rsidRDefault="00D46C5A" w:rsidP="00D46C5A"/>
    <w:p w:rsidR="008D1FA9" w:rsidRPr="0075789D" w:rsidRDefault="008D1FA9" w:rsidP="008D1FA9">
      <w:pPr>
        <w:rPr>
          <w:rFonts w:cs="Arial"/>
          <w:lang w:val="es-419"/>
        </w:rPr>
      </w:pPr>
      <w:r w:rsidRPr="0075789D">
        <w:rPr>
          <w:lang w:val="es-419"/>
        </w:rPr>
        <w:t>I.</w:t>
      </w:r>
      <w:r w:rsidRPr="0075789D">
        <w:rPr>
          <w:lang w:val="es-419"/>
        </w:rPr>
        <w:tab/>
        <w:t>PROTECCIÓN DE LAS OBTENCIONES VEGETALES</w:t>
      </w:r>
    </w:p>
    <w:p w:rsidR="008D1FA9" w:rsidRPr="0075789D" w:rsidRDefault="008D1FA9" w:rsidP="008D1FA9">
      <w:pPr>
        <w:rPr>
          <w:rFonts w:cs="Arial"/>
          <w:lang w:val="es-419"/>
        </w:rPr>
      </w:pPr>
    </w:p>
    <w:p w:rsidR="008D1FA9" w:rsidRPr="0075789D" w:rsidRDefault="008D1FA9" w:rsidP="008D1FA9">
      <w:pPr>
        <w:rPr>
          <w:rFonts w:cs="Arial"/>
          <w:u w:val="single"/>
          <w:lang w:val="es-419"/>
        </w:rPr>
      </w:pPr>
      <w:r w:rsidRPr="0075789D">
        <w:rPr>
          <w:u w:val="single"/>
          <w:lang w:val="es-419"/>
        </w:rPr>
        <w:t>Situación en el ámbito legislativo</w:t>
      </w:r>
    </w:p>
    <w:p w:rsidR="008D1FA9" w:rsidRPr="0075789D" w:rsidRDefault="008D1FA9" w:rsidP="008D1FA9">
      <w:pPr>
        <w:rPr>
          <w:rFonts w:cs="Arial"/>
          <w:lang w:val="es-419"/>
        </w:rPr>
      </w:pPr>
    </w:p>
    <w:p w:rsidR="008D1FA9" w:rsidRPr="0075789D" w:rsidRDefault="008D1FA9" w:rsidP="008D1FA9">
      <w:pPr>
        <w:rPr>
          <w:rFonts w:cs="Arial"/>
          <w:i/>
          <w:lang w:val="es-419"/>
        </w:rPr>
      </w:pPr>
      <w:r w:rsidRPr="0075789D">
        <w:rPr>
          <w:i/>
          <w:lang w:val="es-419"/>
        </w:rPr>
        <w:t>Extensión de la protección a otros géneros y especies</w:t>
      </w:r>
    </w:p>
    <w:p w:rsidR="008D1FA9" w:rsidRPr="0075789D" w:rsidRDefault="008D1FA9" w:rsidP="008D1FA9">
      <w:pPr>
        <w:rPr>
          <w:rFonts w:cs="Arial"/>
          <w:lang w:val="es-419"/>
        </w:rPr>
      </w:pPr>
    </w:p>
    <w:p w:rsidR="008D1FA9" w:rsidRPr="0075789D" w:rsidRDefault="008D1FA9" w:rsidP="008D1FA9">
      <w:pPr>
        <w:rPr>
          <w:rFonts w:cs="Arial"/>
          <w:lang w:val="es-419"/>
        </w:rPr>
      </w:pPr>
      <w:r w:rsidRPr="0075789D">
        <w:rPr>
          <w:lang w:val="es-419"/>
        </w:rPr>
        <w:t xml:space="preserve">Hemos añadido nuevas especies: </w:t>
      </w:r>
      <w:r w:rsidRPr="0075789D">
        <w:rPr>
          <w:color w:val="1D2228"/>
          <w:shd w:val="clear" w:color="auto" w:fill="FFFFFF"/>
          <w:lang w:val="es-419"/>
        </w:rPr>
        <w:t xml:space="preserve">Borraja y </w:t>
      </w:r>
      <w:proofErr w:type="spellStart"/>
      <w:r w:rsidRPr="0075789D">
        <w:rPr>
          <w:i/>
          <w:iCs/>
          <w:color w:val="1D2228"/>
          <w:shd w:val="clear" w:color="auto" w:fill="FFFFFF"/>
          <w:lang w:val="es-419"/>
        </w:rPr>
        <w:t>Nigella</w:t>
      </w:r>
      <w:proofErr w:type="spellEnd"/>
      <w:r w:rsidRPr="0075789D">
        <w:rPr>
          <w:color w:val="1D2228"/>
          <w:shd w:val="clear" w:color="auto" w:fill="FFFFFF"/>
          <w:lang w:val="es-419"/>
        </w:rPr>
        <w:t xml:space="preserve"> </w:t>
      </w:r>
      <w:proofErr w:type="spellStart"/>
      <w:r w:rsidRPr="0075789D">
        <w:rPr>
          <w:color w:val="1D2228"/>
          <w:shd w:val="clear" w:color="auto" w:fill="FFFFFF"/>
          <w:lang w:val="es-419"/>
        </w:rPr>
        <w:t>sp</w:t>
      </w:r>
      <w:proofErr w:type="spellEnd"/>
      <w:r w:rsidRPr="0075789D">
        <w:rPr>
          <w:color w:val="1D2228"/>
          <w:shd w:val="clear" w:color="auto" w:fill="FFFFFF"/>
          <w:lang w:val="es-419"/>
        </w:rPr>
        <w:t>.</w:t>
      </w:r>
    </w:p>
    <w:p w:rsidR="008D1FA9" w:rsidRPr="0075789D" w:rsidRDefault="008D1FA9" w:rsidP="008D1FA9">
      <w:pPr>
        <w:rPr>
          <w:rFonts w:cs="Arial"/>
          <w:lang w:val="es-419"/>
        </w:rPr>
      </w:pPr>
    </w:p>
    <w:p w:rsidR="008D1FA9" w:rsidRPr="0075789D" w:rsidRDefault="008D1FA9" w:rsidP="008D1FA9">
      <w:pPr>
        <w:rPr>
          <w:rFonts w:cs="Arial"/>
          <w:lang w:val="es-419"/>
        </w:rPr>
      </w:pPr>
    </w:p>
    <w:p w:rsidR="008D1FA9" w:rsidRPr="0075789D" w:rsidRDefault="008D1FA9" w:rsidP="008D1FA9">
      <w:pPr>
        <w:rPr>
          <w:rFonts w:cs="Arial"/>
          <w:u w:val="single"/>
          <w:lang w:val="es-419"/>
        </w:rPr>
      </w:pPr>
      <w:r w:rsidRPr="0075789D">
        <w:rPr>
          <w:u w:val="single"/>
          <w:lang w:val="es-419"/>
        </w:rPr>
        <w:t>Actividades para la promoción de las variedades vegetales</w:t>
      </w:r>
    </w:p>
    <w:p w:rsidR="008D1FA9" w:rsidRPr="0075789D" w:rsidRDefault="008D1FA9" w:rsidP="008D1FA9">
      <w:pPr>
        <w:rPr>
          <w:rFonts w:cs="Arial"/>
          <w:lang w:val="es-419"/>
        </w:rPr>
      </w:pPr>
    </w:p>
    <w:tbl>
      <w:tblPr>
        <w:tblStyle w:val="TableGrid"/>
        <w:tblW w:w="9940" w:type="dxa"/>
        <w:tblLayout w:type="fixed"/>
        <w:tblCellMar>
          <w:top w:w="28" w:type="dxa"/>
          <w:left w:w="57" w:type="dxa"/>
          <w:bottom w:w="28" w:type="dxa"/>
          <w:right w:w="57" w:type="dxa"/>
        </w:tblCellMar>
        <w:tblLook w:val="01E0" w:firstRow="1" w:lastRow="1" w:firstColumn="1" w:lastColumn="1" w:noHBand="0" w:noVBand="0"/>
      </w:tblPr>
      <w:tblGrid>
        <w:gridCol w:w="959"/>
        <w:gridCol w:w="1266"/>
        <w:gridCol w:w="1022"/>
        <w:gridCol w:w="2006"/>
        <w:gridCol w:w="2419"/>
        <w:gridCol w:w="2268"/>
      </w:tblGrid>
      <w:tr w:rsidR="008D1FA9" w:rsidRPr="0075789D" w:rsidTr="004D1E3E">
        <w:tc>
          <w:tcPr>
            <w:tcW w:w="959" w:type="dxa"/>
          </w:tcPr>
          <w:p w:rsidR="008D1FA9" w:rsidRPr="0075789D" w:rsidRDefault="008D1FA9" w:rsidP="004D1E3E">
            <w:pPr>
              <w:jc w:val="left"/>
              <w:rPr>
                <w:rFonts w:cs="Arial"/>
                <w:sz w:val="18"/>
                <w:lang w:val="es-419"/>
              </w:rPr>
            </w:pPr>
            <w:r w:rsidRPr="0075789D">
              <w:rPr>
                <w:sz w:val="18"/>
                <w:lang w:val="es-419"/>
              </w:rPr>
              <w:t>Título de la actividad</w:t>
            </w:r>
          </w:p>
        </w:tc>
        <w:tc>
          <w:tcPr>
            <w:tcW w:w="1266" w:type="dxa"/>
          </w:tcPr>
          <w:p w:rsidR="008D1FA9" w:rsidRPr="0075789D" w:rsidRDefault="008D1FA9" w:rsidP="004D1E3E">
            <w:pPr>
              <w:jc w:val="left"/>
              <w:rPr>
                <w:rFonts w:cs="Arial"/>
                <w:sz w:val="18"/>
                <w:lang w:val="es-419"/>
              </w:rPr>
            </w:pPr>
            <w:r w:rsidRPr="0075789D">
              <w:rPr>
                <w:sz w:val="18"/>
                <w:lang w:val="es-419"/>
              </w:rPr>
              <w:t>Fecha</w:t>
            </w:r>
          </w:p>
        </w:tc>
        <w:tc>
          <w:tcPr>
            <w:tcW w:w="1022" w:type="dxa"/>
          </w:tcPr>
          <w:p w:rsidR="008D1FA9" w:rsidRPr="0075789D" w:rsidRDefault="008D1FA9" w:rsidP="004D1E3E">
            <w:pPr>
              <w:jc w:val="left"/>
              <w:rPr>
                <w:rFonts w:cs="Arial"/>
                <w:sz w:val="18"/>
                <w:lang w:val="es-419"/>
              </w:rPr>
            </w:pPr>
            <w:r w:rsidRPr="0075789D">
              <w:rPr>
                <w:sz w:val="18"/>
                <w:lang w:val="es-419"/>
              </w:rPr>
              <w:t>Lugar</w:t>
            </w:r>
          </w:p>
        </w:tc>
        <w:tc>
          <w:tcPr>
            <w:tcW w:w="2006" w:type="dxa"/>
          </w:tcPr>
          <w:p w:rsidR="008D1FA9" w:rsidRPr="0075789D" w:rsidRDefault="008D1FA9" w:rsidP="004D1E3E">
            <w:pPr>
              <w:jc w:val="left"/>
              <w:rPr>
                <w:rFonts w:cs="Arial"/>
                <w:sz w:val="18"/>
                <w:lang w:val="es-419"/>
              </w:rPr>
            </w:pPr>
            <w:r w:rsidRPr="0075789D">
              <w:rPr>
                <w:sz w:val="18"/>
                <w:lang w:val="es-419"/>
              </w:rPr>
              <w:t>Organizador(es)</w:t>
            </w:r>
          </w:p>
        </w:tc>
        <w:tc>
          <w:tcPr>
            <w:tcW w:w="2419" w:type="dxa"/>
          </w:tcPr>
          <w:p w:rsidR="008D1FA9" w:rsidRPr="0075789D" w:rsidRDefault="008D1FA9" w:rsidP="004D1E3E">
            <w:pPr>
              <w:jc w:val="left"/>
              <w:rPr>
                <w:rFonts w:cs="Arial"/>
                <w:sz w:val="18"/>
                <w:lang w:val="es-419"/>
              </w:rPr>
            </w:pPr>
            <w:r w:rsidRPr="0075789D">
              <w:rPr>
                <w:sz w:val="18"/>
                <w:lang w:val="es-419"/>
              </w:rPr>
              <w:t>Finalidad de la actividad</w:t>
            </w:r>
          </w:p>
        </w:tc>
        <w:tc>
          <w:tcPr>
            <w:tcW w:w="2268" w:type="dxa"/>
          </w:tcPr>
          <w:p w:rsidR="008D1FA9" w:rsidRPr="0075789D" w:rsidRDefault="008D1FA9" w:rsidP="004D1E3E">
            <w:pPr>
              <w:jc w:val="left"/>
              <w:rPr>
                <w:rFonts w:cs="Arial"/>
                <w:sz w:val="18"/>
                <w:lang w:val="es-419"/>
              </w:rPr>
            </w:pPr>
            <w:r w:rsidRPr="0075789D">
              <w:rPr>
                <w:sz w:val="18"/>
                <w:lang w:val="es-419"/>
              </w:rPr>
              <w:t>Países u organizaciones participantes (número de participantes en cada caso)</w:t>
            </w:r>
          </w:p>
        </w:tc>
      </w:tr>
      <w:tr w:rsidR="008D1FA9" w:rsidRPr="0075789D" w:rsidTr="004D1E3E">
        <w:tc>
          <w:tcPr>
            <w:tcW w:w="959" w:type="dxa"/>
          </w:tcPr>
          <w:p w:rsidR="008D1FA9" w:rsidRPr="0075789D" w:rsidRDefault="008D1FA9" w:rsidP="004D1E3E">
            <w:pPr>
              <w:jc w:val="left"/>
              <w:rPr>
                <w:rFonts w:cs="Arial"/>
                <w:sz w:val="18"/>
                <w:lang w:val="es-419"/>
              </w:rPr>
            </w:pPr>
            <w:r w:rsidRPr="0075789D">
              <w:rPr>
                <w:sz w:val="18"/>
                <w:lang w:val="es-419"/>
              </w:rPr>
              <w:t>1.</w:t>
            </w:r>
          </w:p>
          <w:p w:rsidR="008D1FA9" w:rsidRPr="0075789D" w:rsidRDefault="008D1FA9" w:rsidP="004D1E3E">
            <w:pPr>
              <w:jc w:val="left"/>
              <w:rPr>
                <w:rFonts w:cs="Arial"/>
                <w:sz w:val="18"/>
                <w:lang w:val="es-419"/>
              </w:rPr>
            </w:pPr>
          </w:p>
        </w:tc>
        <w:tc>
          <w:tcPr>
            <w:tcW w:w="1266" w:type="dxa"/>
          </w:tcPr>
          <w:p w:rsidR="008D1FA9" w:rsidRPr="0075789D" w:rsidRDefault="008D1FA9" w:rsidP="004D1E3E">
            <w:pPr>
              <w:jc w:val="left"/>
              <w:rPr>
                <w:rFonts w:cs="Arial"/>
                <w:sz w:val="18"/>
                <w:rtl/>
                <w:lang w:val="es-419"/>
              </w:rPr>
            </w:pPr>
            <w:r w:rsidRPr="0075789D">
              <w:rPr>
                <w:sz w:val="18"/>
                <w:lang w:val="es-419"/>
              </w:rPr>
              <w:t>11 de mayo de 2022</w:t>
            </w:r>
          </w:p>
        </w:tc>
        <w:tc>
          <w:tcPr>
            <w:tcW w:w="1022" w:type="dxa"/>
          </w:tcPr>
          <w:p w:rsidR="008D1FA9" w:rsidRPr="0075789D" w:rsidRDefault="008D1FA9" w:rsidP="004D1E3E">
            <w:pPr>
              <w:jc w:val="left"/>
              <w:rPr>
                <w:rFonts w:cs="Arial"/>
                <w:sz w:val="18"/>
                <w:lang w:val="es-419"/>
              </w:rPr>
            </w:pPr>
            <w:r w:rsidRPr="0075789D">
              <w:rPr>
                <w:sz w:val="18"/>
                <w:lang w:val="es-419"/>
              </w:rPr>
              <w:t>Egipto</w:t>
            </w:r>
          </w:p>
        </w:tc>
        <w:tc>
          <w:tcPr>
            <w:tcW w:w="2006" w:type="dxa"/>
          </w:tcPr>
          <w:p w:rsidR="008D1FA9" w:rsidRPr="0075789D" w:rsidRDefault="008D1FA9" w:rsidP="004D1E3E">
            <w:pPr>
              <w:jc w:val="left"/>
              <w:rPr>
                <w:rFonts w:cs="Arial"/>
                <w:sz w:val="18"/>
                <w:lang w:val="es-419"/>
              </w:rPr>
            </w:pPr>
            <w:r w:rsidRPr="0075789D">
              <w:rPr>
                <w:sz w:val="18"/>
                <w:lang w:val="es-419"/>
              </w:rPr>
              <w:t>ISTA</w:t>
            </w:r>
          </w:p>
        </w:tc>
        <w:tc>
          <w:tcPr>
            <w:tcW w:w="2419" w:type="dxa"/>
          </w:tcPr>
          <w:p w:rsidR="008D1FA9" w:rsidRPr="0075789D" w:rsidRDefault="008D1FA9" w:rsidP="004D1E3E">
            <w:pPr>
              <w:jc w:val="left"/>
              <w:rPr>
                <w:rFonts w:cs="Arial"/>
                <w:sz w:val="18"/>
                <w:lang w:val="es-419"/>
              </w:rPr>
            </w:pPr>
            <w:r w:rsidRPr="0075789D">
              <w:rPr>
                <w:sz w:val="18"/>
                <w:lang w:val="es-419"/>
              </w:rPr>
              <w:t>Se presenta una ponencia como promoción.</w:t>
            </w:r>
          </w:p>
        </w:tc>
        <w:tc>
          <w:tcPr>
            <w:tcW w:w="2268" w:type="dxa"/>
          </w:tcPr>
          <w:p w:rsidR="008D1FA9" w:rsidRPr="0075789D" w:rsidRDefault="008D1FA9" w:rsidP="004D1E3E">
            <w:pPr>
              <w:jc w:val="left"/>
              <w:rPr>
                <w:rFonts w:cs="Arial"/>
                <w:sz w:val="18"/>
                <w:lang w:val="es-419"/>
              </w:rPr>
            </w:pPr>
            <w:r w:rsidRPr="0075789D">
              <w:rPr>
                <w:sz w:val="18"/>
                <w:lang w:val="es-419"/>
              </w:rPr>
              <w:t xml:space="preserve">52 países </w:t>
            </w:r>
          </w:p>
        </w:tc>
      </w:tr>
      <w:tr w:rsidR="008D1FA9" w:rsidRPr="0075789D" w:rsidTr="004D1E3E">
        <w:tc>
          <w:tcPr>
            <w:tcW w:w="959" w:type="dxa"/>
          </w:tcPr>
          <w:p w:rsidR="008D1FA9" w:rsidRPr="0075789D" w:rsidRDefault="008D1FA9" w:rsidP="004D1E3E">
            <w:pPr>
              <w:jc w:val="left"/>
              <w:rPr>
                <w:rFonts w:cs="Arial"/>
                <w:sz w:val="18"/>
                <w:lang w:val="es-419"/>
              </w:rPr>
            </w:pPr>
            <w:r w:rsidRPr="0075789D">
              <w:rPr>
                <w:sz w:val="18"/>
                <w:lang w:val="es-419"/>
              </w:rPr>
              <w:t>2.</w:t>
            </w:r>
          </w:p>
          <w:p w:rsidR="008D1FA9" w:rsidRPr="0075789D" w:rsidRDefault="008D1FA9" w:rsidP="004D1E3E">
            <w:pPr>
              <w:jc w:val="left"/>
              <w:rPr>
                <w:rFonts w:cs="Arial"/>
                <w:sz w:val="18"/>
                <w:lang w:val="es-419"/>
              </w:rPr>
            </w:pPr>
          </w:p>
        </w:tc>
        <w:tc>
          <w:tcPr>
            <w:tcW w:w="1266" w:type="dxa"/>
          </w:tcPr>
          <w:p w:rsidR="008D1FA9" w:rsidRPr="0075789D" w:rsidRDefault="008D1FA9" w:rsidP="004D1E3E">
            <w:pPr>
              <w:jc w:val="left"/>
              <w:rPr>
                <w:rFonts w:cs="Arial"/>
                <w:sz w:val="18"/>
                <w:lang w:val="es-419"/>
              </w:rPr>
            </w:pPr>
            <w:r w:rsidRPr="0075789D">
              <w:rPr>
                <w:sz w:val="18"/>
                <w:lang w:val="es-419"/>
              </w:rPr>
              <w:t>Mayo de 2022</w:t>
            </w:r>
          </w:p>
        </w:tc>
        <w:tc>
          <w:tcPr>
            <w:tcW w:w="1022" w:type="dxa"/>
          </w:tcPr>
          <w:p w:rsidR="008D1FA9" w:rsidRPr="0075789D" w:rsidRDefault="008D1FA9" w:rsidP="004D1E3E">
            <w:pPr>
              <w:jc w:val="left"/>
              <w:rPr>
                <w:rFonts w:cs="Arial"/>
                <w:sz w:val="18"/>
                <w:lang w:val="es-419"/>
              </w:rPr>
            </w:pPr>
            <w:r w:rsidRPr="0075789D">
              <w:rPr>
                <w:sz w:val="18"/>
                <w:lang w:val="es-419"/>
              </w:rPr>
              <w:t>Egipto</w:t>
            </w:r>
          </w:p>
        </w:tc>
        <w:tc>
          <w:tcPr>
            <w:tcW w:w="2006" w:type="dxa"/>
          </w:tcPr>
          <w:p w:rsidR="008D1FA9" w:rsidRPr="0075789D" w:rsidRDefault="008D1FA9" w:rsidP="004D1E3E">
            <w:pPr>
              <w:jc w:val="left"/>
              <w:rPr>
                <w:rFonts w:cs="Arial"/>
                <w:sz w:val="18"/>
                <w:lang w:val="es-419"/>
              </w:rPr>
            </w:pPr>
            <w:r w:rsidRPr="0075789D">
              <w:rPr>
                <w:sz w:val="18"/>
                <w:shd w:val="clear" w:color="auto" w:fill="FFFFFF"/>
                <w:lang w:val="es-419"/>
              </w:rPr>
              <w:t>Liga de los Estados Árabes</w:t>
            </w:r>
          </w:p>
        </w:tc>
        <w:tc>
          <w:tcPr>
            <w:tcW w:w="2419" w:type="dxa"/>
          </w:tcPr>
          <w:p w:rsidR="008D1FA9" w:rsidRPr="0075789D" w:rsidRDefault="008D1FA9" w:rsidP="004D1E3E">
            <w:pPr>
              <w:jc w:val="left"/>
              <w:rPr>
                <w:rFonts w:cs="Arial"/>
                <w:sz w:val="18"/>
                <w:lang w:val="es-419"/>
              </w:rPr>
            </w:pPr>
            <w:r w:rsidRPr="0075789D">
              <w:rPr>
                <w:sz w:val="18"/>
                <w:lang w:val="es-419"/>
              </w:rPr>
              <w:t xml:space="preserve">Celebración del Día Mundial de la Propiedad Intelectual (PI) </w:t>
            </w:r>
          </w:p>
        </w:tc>
        <w:tc>
          <w:tcPr>
            <w:tcW w:w="2268" w:type="dxa"/>
          </w:tcPr>
          <w:p w:rsidR="008D1FA9" w:rsidRPr="0075789D" w:rsidRDefault="008D1FA9" w:rsidP="004D1E3E">
            <w:pPr>
              <w:jc w:val="left"/>
              <w:rPr>
                <w:rFonts w:cs="Arial"/>
                <w:sz w:val="18"/>
                <w:lang w:val="es-419"/>
              </w:rPr>
            </w:pPr>
            <w:r w:rsidRPr="0075789D">
              <w:rPr>
                <w:sz w:val="18"/>
                <w:lang w:val="es-419"/>
              </w:rPr>
              <w:t xml:space="preserve">Todas las unidades de PI </w:t>
            </w:r>
          </w:p>
        </w:tc>
      </w:tr>
      <w:tr w:rsidR="008D1FA9" w:rsidRPr="0075789D" w:rsidTr="004D1E3E">
        <w:tc>
          <w:tcPr>
            <w:tcW w:w="959" w:type="dxa"/>
          </w:tcPr>
          <w:p w:rsidR="008D1FA9" w:rsidRPr="0075789D" w:rsidRDefault="00E96CE4" w:rsidP="004D1E3E">
            <w:pPr>
              <w:jc w:val="left"/>
              <w:rPr>
                <w:rFonts w:cs="Arial"/>
                <w:sz w:val="18"/>
                <w:lang w:val="es-419"/>
              </w:rPr>
            </w:pPr>
            <w:r>
              <w:rPr>
                <w:sz w:val="18"/>
                <w:lang w:val="es-419"/>
              </w:rPr>
              <w:t>3</w:t>
            </w:r>
            <w:r w:rsidR="008D1FA9" w:rsidRPr="0075789D">
              <w:rPr>
                <w:sz w:val="18"/>
                <w:lang w:val="es-419"/>
              </w:rPr>
              <w:t>.</w:t>
            </w:r>
          </w:p>
          <w:p w:rsidR="008D1FA9" w:rsidRPr="0075789D" w:rsidRDefault="008D1FA9" w:rsidP="004D1E3E">
            <w:pPr>
              <w:jc w:val="left"/>
              <w:rPr>
                <w:rFonts w:cs="Arial"/>
                <w:sz w:val="18"/>
                <w:lang w:val="es-419"/>
              </w:rPr>
            </w:pPr>
          </w:p>
        </w:tc>
        <w:tc>
          <w:tcPr>
            <w:tcW w:w="1266" w:type="dxa"/>
          </w:tcPr>
          <w:p w:rsidR="008D1FA9" w:rsidRPr="0075789D" w:rsidRDefault="008D1FA9" w:rsidP="004D1E3E">
            <w:pPr>
              <w:jc w:val="left"/>
              <w:rPr>
                <w:rFonts w:cs="Arial"/>
                <w:sz w:val="18"/>
                <w:lang w:val="es-419"/>
              </w:rPr>
            </w:pPr>
            <w:r w:rsidRPr="0075789D">
              <w:rPr>
                <w:sz w:val="18"/>
                <w:lang w:val="es-419"/>
              </w:rPr>
              <w:t>2021</w:t>
            </w:r>
          </w:p>
        </w:tc>
        <w:tc>
          <w:tcPr>
            <w:tcW w:w="1022" w:type="dxa"/>
          </w:tcPr>
          <w:p w:rsidR="008D1FA9" w:rsidRPr="0075789D" w:rsidRDefault="008D1FA9" w:rsidP="004D1E3E">
            <w:pPr>
              <w:jc w:val="left"/>
              <w:rPr>
                <w:rFonts w:cs="Arial"/>
                <w:sz w:val="18"/>
                <w:lang w:val="es-419"/>
              </w:rPr>
            </w:pPr>
            <w:r w:rsidRPr="0075789D">
              <w:rPr>
                <w:sz w:val="18"/>
                <w:lang w:val="es-419"/>
              </w:rPr>
              <w:t xml:space="preserve">Egipto </w:t>
            </w:r>
          </w:p>
        </w:tc>
        <w:tc>
          <w:tcPr>
            <w:tcW w:w="2006" w:type="dxa"/>
          </w:tcPr>
          <w:p w:rsidR="008D1FA9" w:rsidRPr="0075789D" w:rsidRDefault="008D1FA9" w:rsidP="004D1E3E">
            <w:pPr>
              <w:jc w:val="left"/>
              <w:rPr>
                <w:rFonts w:cs="Arial"/>
                <w:sz w:val="18"/>
                <w:lang w:val="es-419"/>
              </w:rPr>
            </w:pPr>
            <w:r w:rsidRPr="0075789D">
              <w:rPr>
                <w:sz w:val="18"/>
                <w:lang w:val="es-419"/>
              </w:rPr>
              <w:t xml:space="preserve">Países Bajos (virtual) </w:t>
            </w:r>
          </w:p>
        </w:tc>
        <w:tc>
          <w:tcPr>
            <w:tcW w:w="2419" w:type="dxa"/>
          </w:tcPr>
          <w:p w:rsidR="008D1FA9" w:rsidRPr="0075789D" w:rsidRDefault="008D1FA9" w:rsidP="004D1E3E">
            <w:pPr>
              <w:jc w:val="left"/>
              <w:rPr>
                <w:rFonts w:cs="Arial"/>
                <w:sz w:val="18"/>
                <w:lang w:val="es-419"/>
              </w:rPr>
            </w:pPr>
            <w:r w:rsidRPr="0075789D">
              <w:rPr>
                <w:sz w:val="18"/>
                <w:lang w:val="es-419"/>
              </w:rPr>
              <w:t xml:space="preserve">Intercambio de información </w:t>
            </w:r>
          </w:p>
        </w:tc>
        <w:tc>
          <w:tcPr>
            <w:tcW w:w="2268" w:type="dxa"/>
          </w:tcPr>
          <w:p w:rsidR="008D1FA9" w:rsidRPr="0075789D" w:rsidRDefault="008D1FA9" w:rsidP="004D1E3E">
            <w:pPr>
              <w:jc w:val="left"/>
              <w:rPr>
                <w:rFonts w:cs="Arial"/>
                <w:sz w:val="18"/>
                <w:lang w:val="es-419"/>
              </w:rPr>
            </w:pPr>
            <w:r w:rsidRPr="0075789D">
              <w:rPr>
                <w:sz w:val="18"/>
                <w:lang w:val="es-419"/>
              </w:rPr>
              <w:t xml:space="preserve">Países Bajos </w:t>
            </w:r>
          </w:p>
        </w:tc>
      </w:tr>
    </w:tbl>
    <w:p w:rsidR="008D1FA9" w:rsidRPr="0075789D" w:rsidRDefault="008D1FA9" w:rsidP="008D1FA9">
      <w:pPr>
        <w:rPr>
          <w:rFonts w:cs="Arial"/>
          <w:lang w:val="es-419"/>
        </w:rPr>
      </w:pPr>
    </w:p>
    <w:p w:rsidR="008D1FA9" w:rsidRPr="0075789D" w:rsidRDefault="008D1FA9" w:rsidP="008D1FA9">
      <w:pPr>
        <w:rPr>
          <w:rFonts w:cs="Arial"/>
          <w:lang w:val="es-419"/>
        </w:rPr>
      </w:pPr>
    </w:p>
    <w:p w:rsidR="008D1FA9" w:rsidRPr="0075789D" w:rsidRDefault="008D1FA9" w:rsidP="008D1FA9">
      <w:pPr>
        <w:rPr>
          <w:rFonts w:cs="Arial"/>
          <w:lang w:val="es-419"/>
        </w:rPr>
      </w:pPr>
      <w:r w:rsidRPr="0075789D">
        <w:rPr>
          <w:lang w:val="es-419"/>
        </w:rPr>
        <w:t>II.</w:t>
      </w:r>
      <w:r w:rsidRPr="0075789D">
        <w:rPr>
          <w:lang w:val="es-419"/>
        </w:rPr>
        <w:tab/>
        <w:t>OTRAS NOVEDADES DE INTERÉS PARA LA UPOV</w:t>
      </w:r>
    </w:p>
    <w:p w:rsidR="008D1FA9" w:rsidRPr="0075789D" w:rsidRDefault="008D1FA9" w:rsidP="008D1FA9">
      <w:pPr>
        <w:rPr>
          <w:rFonts w:cs="Arial"/>
          <w:highlight w:val="yellow"/>
          <w:lang w:val="es-419"/>
        </w:rPr>
      </w:pPr>
    </w:p>
    <w:p w:rsidR="008D1FA9" w:rsidRPr="0075789D" w:rsidRDefault="008D1FA9" w:rsidP="008D1FA9">
      <w:pPr>
        <w:rPr>
          <w:rFonts w:cs="Arial"/>
          <w:lang w:val="es-419"/>
        </w:rPr>
      </w:pPr>
      <w:r w:rsidRPr="0075789D">
        <w:rPr>
          <w:lang w:val="es-419"/>
        </w:rPr>
        <w:t>Se inicia la carga de datos en PLUTO.</w:t>
      </w:r>
    </w:p>
    <w:p w:rsidR="008D1FA9" w:rsidRPr="0075789D" w:rsidRDefault="008D1FA9" w:rsidP="008D1FA9">
      <w:pPr>
        <w:rPr>
          <w:rFonts w:cs="Arial"/>
          <w:lang w:val="es-419"/>
        </w:rPr>
      </w:pPr>
    </w:p>
    <w:p w:rsidR="00D46C5A" w:rsidRPr="00D36B66" w:rsidRDefault="00D46C5A" w:rsidP="00D46C5A"/>
    <w:p w:rsidR="003D00FA" w:rsidRPr="00D36B66" w:rsidRDefault="003D00FA" w:rsidP="000362AD">
      <w:pPr>
        <w:jc w:val="left"/>
      </w:pPr>
    </w:p>
    <w:p w:rsidR="000362AD" w:rsidRPr="00D36B66" w:rsidRDefault="000A2928" w:rsidP="000362AD">
      <w:pPr>
        <w:jc w:val="right"/>
      </w:pPr>
      <w:r>
        <w:t>[Sigue el Anexo</w:t>
      </w:r>
      <w:r w:rsidR="000362AD" w:rsidRPr="00D36B66">
        <w:t xml:space="preserve"> V</w:t>
      </w:r>
      <w:r w:rsidR="0069058C" w:rsidRPr="00D36B66">
        <w:t>II</w:t>
      </w:r>
      <w:r>
        <w:t>]</w:t>
      </w:r>
    </w:p>
    <w:p w:rsidR="000362AD" w:rsidRPr="00D36B66" w:rsidRDefault="000362AD" w:rsidP="000362AD"/>
    <w:p w:rsidR="000362AD" w:rsidRPr="00D36B66" w:rsidRDefault="000362AD" w:rsidP="000362AD">
      <w:pPr>
        <w:jc w:val="left"/>
        <w:sectPr w:rsidR="000362AD" w:rsidRPr="00D36B66" w:rsidSect="0049108C">
          <w:headerReference w:type="default" r:id="rId14"/>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V</w:t>
      </w:r>
      <w:r w:rsidR="0069058C" w:rsidRPr="00D36B66">
        <w:t>II</w:t>
      </w:r>
    </w:p>
    <w:p w:rsidR="000362AD" w:rsidRPr="00D36B66" w:rsidRDefault="000362AD" w:rsidP="000362AD">
      <w:pPr>
        <w:jc w:val="center"/>
      </w:pPr>
    </w:p>
    <w:p w:rsidR="000362AD" w:rsidRPr="00D36B66" w:rsidRDefault="000362AD" w:rsidP="000362AD">
      <w:pPr>
        <w:jc w:val="center"/>
      </w:pPr>
    </w:p>
    <w:p w:rsidR="00D46C5A" w:rsidRPr="00D36B66" w:rsidRDefault="0069058C" w:rsidP="00D46C5A">
      <w:pPr>
        <w:jc w:val="center"/>
      </w:pPr>
      <w:r w:rsidRPr="00D36B66">
        <w:t>GHANA</w:t>
      </w:r>
    </w:p>
    <w:p w:rsidR="00D46C5A" w:rsidRPr="00D36B66" w:rsidRDefault="00D46C5A" w:rsidP="00D46C5A"/>
    <w:p w:rsidR="00D46C5A" w:rsidRPr="00D36B66" w:rsidRDefault="00D46C5A" w:rsidP="00D46C5A"/>
    <w:p w:rsidR="00E96CE4" w:rsidRPr="0075789D" w:rsidRDefault="00E96CE4" w:rsidP="00E96CE4">
      <w:pPr>
        <w:rPr>
          <w:lang w:val="es-419"/>
        </w:rPr>
      </w:pPr>
      <w:r w:rsidRPr="0075789D">
        <w:rPr>
          <w:lang w:val="es-419"/>
        </w:rPr>
        <w:t>I.</w:t>
      </w:r>
      <w:r w:rsidRPr="0075789D">
        <w:rPr>
          <w:lang w:val="es-419"/>
        </w:rPr>
        <w:tab/>
        <w:t>PROTECCIÓN DE LAS OBTENCIONES VEGETALES</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1. </w:t>
      </w:r>
      <w:r w:rsidRPr="0075789D">
        <w:rPr>
          <w:lang w:val="es-419"/>
        </w:rPr>
        <w:tab/>
      </w:r>
      <w:r w:rsidRPr="0075789D">
        <w:rPr>
          <w:u w:val="single"/>
          <w:lang w:val="es-419"/>
        </w:rPr>
        <w:t>Situación en el ámbito legislativo</w:t>
      </w:r>
    </w:p>
    <w:p w:rsidR="00E96CE4" w:rsidRPr="0075789D" w:rsidRDefault="00E96CE4" w:rsidP="00E96CE4">
      <w:pPr>
        <w:rPr>
          <w:lang w:val="es-419"/>
        </w:rPr>
      </w:pPr>
    </w:p>
    <w:p w:rsidR="00E96CE4" w:rsidRPr="0075789D" w:rsidRDefault="00E96CE4" w:rsidP="00E96CE4">
      <w:pPr>
        <w:rPr>
          <w:lang w:val="es-419"/>
        </w:rPr>
      </w:pPr>
      <w:r w:rsidRPr="0075789D">
        <w:rPr>
          <w:lang w:val="es-419"/>
        </w:rPr>
        <w:t>1.1</w:t>
      </w:r>
      <w:r w:rsidRPr="0075789D">
        <w:rPr>
          <w:lang w:val="es-419"/>
        </w:rPr>
        <w:tab/>
        <w:t>Modificaciones de la ley y de los reglamentos</w:t>
      </w:r>
    </w:p>
    <w:p w:rsidR="00E96CE4" w:rsidRPr="0075789D" w:rsidRDefault="00E96CE4" w:rsidP="00E96CE4">
      <w:pPr>
        <w:rPr>
          <w:lang w:val="es-419"/>
        </w:rPr>
      </w:pPr>
    </w:p>
    <w:p w:rsidR="00E96CE4" w:rsidRPr="0075789D" w:rsidRDefault="00E96CE4" w:rsidP="00E96CE4">
      <w:pPr>
        <w:ind w:left="567"/>
        <w:rPr>
          <w:lang w:val="es-419"/>
        </w:rPr>
      </w:pPr>
      <w:r w:rsidRPr="0075789D">
        <w:rPr>
          <w:lang w:val="es-419"/>
        </w:rPr>
        <w:t>-</w:t>
      </w:r>
      <w:r w:rsidRPr="0075789D">
        <w:rPr>
          <w:lang w:val="es-419"/>
        </w:rPr>
        <w:tab/>
        <w:t>Adaptación al Acta de 1991 del Convenio</w:t>
      </w:r>
    </w:p>
    <w:p w:rsidR="00E96CE4" w:rsidRPr="0075789D" w:rsidRDefault="00E96CE4" w:rsidP="00E96CE4">
      <w:pPr>
        <w:rPr>
          <w:lang w:val="es-419"/>
        </w:rPr>
      </w:pPr>
    </w:p>
    <w:p w:rsidR="00E96CE4" w:rsidRPr="0075789D" w:rsidRDefault="00E96CE4" w:rsidP="00E96CE4">
      <w:pPr>
        <w:ind w:left="567"/>
        <w:rPr>
          <w:rFonts w:cs="Calisto MT"/>
          <w:bCs/>
          <w:color w:val="000000"/>
          <w:lang w:val="es-419"/>
        </w:rPr>
      </w:pPr>
      <w:r w:rsidRPr="0075789D">
        <w:rPr>
          <w:color w:val="000000"/>
          <w:lang w:val="es-419"/>
        </w:rPr>
        <w:t>La Ley para la Protección de las Obtenciones Vegetales de 2020 (Ley 1050) cumple los convenios internacionales pertinentes, incluida el Acta de 1991 del Convenio de la UPOV.</w:t>
      </w:r>
    </w:p>
    <w:p w:rsidR="00E96CE4" w:rsidRPr="0075789D" w:rsidRDefault="00E96CE4" w:rsidP="00E96CE4">
      <w:pPr>
        <w:rPr>
          <w:lang w:val="es-419"/>
        </w:rPr>
      </w:pPr>
    </w:p>
    <w:p w:rsidR="00E96CE4" w:rsidRPr="0075789D" w:rsidRDefault="00E96CE4" w:rsidP="00E96CE4">
      <w:pPr>
        <w:ind w:left="567"/>
        <w:rPr>
          <w:lang w:val="es-419"/>
        </w:rPr>
      </w:pPr>
      <w:r w:rsidRPr="0075789D">
        <w:rPr>
          <w:lang w:val="es-419"/>
        </w:rPr>
        <w:t>-</w:t>
      </w:r>
      <w:r w:rsidRPr="0075789D">
        <w:rPr>
          <w:lang w:val="es-419"/>
        </w:rPr>
        <w:tab/>
        <w:t>Otras modificaciones, incluidas las que atañen a las tasas:</w:t>
      </w:r>
    </w:p>
    <w:p w:rsidR="00E96CE4" w:rsidRPr="0075789D" w:rsidRDefault="00E96CE4" w:rsidP="00E96CE4">
      <w:pPr>
        <w:rPr>
          <w:lang w:val="es-419"/>
        </w:rPr>
      </w:pPr>
    </w:p>
    <w:p w:rsidR="00E96CE4" w:rsidRPr="0075789D" w:rsidRDefault="00E96CE4" w:rsidP="00E96CE4">
      <w:pPr>
        <w:ind w:left="567"/>
        <w:rPr>
          <w:lang w:val="es-419"/>
        </w:rPr>
      </w:pPr>
      <w:r w:rsidRPr="0075789D">
        <w:rPr>
          <w:lang w:val="es-419"/>
        </w:rPr>
        <w:t xml:space="preserve">El cuadro de tasas, junto con el reglamento de ejecución, se ha presentado al Parlamento de Ghana y se espera su aprobación. </w:t>
      </w:r>
    </w:p>
    <w:p w:rsidR="00E96CE4" w:rsidRPr="0075789D" w:rsidRDefault="00E96CE4" w:rsidP="00E96CE4">
      <w:pPr>
        <w:rPr>
          <w:b/>
          <w:bCs/>
          <w:lang w:val="es-419"/>
        </w:rPr>
      </w:pPr>
    </w:p>
    <w:p w:rsidR="00E96CE4" w:rsidRPr="0075789D" w:rsidRDefault="00E96CE4" w:rsidP="00E96CE4">
      <w:pPr>
        <w:rPr>
          <w:lang w:val="es-419"/>
        </w:rPr>
      </w:pPr>
      <w:r w:rsidRPr="0075789D">
        <w:rPr>
          <w:lang w:val="es-419"/>
        </w:rPr>
        <w:t>1.2</w:t>
      </w:r>
      <w:r w:rsidRPr="0075789D">
        <w:rPr>
          <w:lang w:val="es-419"/>
        </w:rPr>
        <w:tab/>
        <w:t>Extensión de la protección a otros géneros y especies</w:t>
      </w:r>
    </w:p>
    <w:p w:rsidR="00E96CE4" w:rsidRPr="0075789D" w:rsidRDefault="00E96CE4" w:rsidP="00E96CE4">
      <w:pPr>
        <w:rPr>
          <w:lang w:val="es-419"/>
        </w:rPr>
      </w:pPr>
    </w:p>
    <w:p w:rsidR="00E96CE4" w:rsidRPr="0075789D" w:rsidRDefault="00E96CE4" w:rsidP="00E96CE4">
      <w:pPr>
        <w:ind w:left="567"/>
        <w:rPr>
          <w:bCs/>
          <w:lang w:val="es-419"/>
        </w:rPr>
      </w:pPr>
      <w:r w:rsidRPr="0075789D">
        <w:rPr>
          <w:lang w:val="es-419"/>
        </w:rPr>
        <w:t>Todos los géneros y especies son susceptibles de protección en Ghana (sección 1 de la Ley 1050).</w:t>
      </w:r>
    </w:p>
    <w:p w:rsidR="00E96CE4" w:rsidRPr="0075789D" w:rsidRDefault="00E96CE4" w:rsidP="00E96CE4">
      <w:pPr>
        <w:rPr>
          <w:lang w:val="es-419"/>
        </w:rPr>
      </w:pPr>
    </w:p>
    <w:p w:rsidR="00E96CE4" w:rsidRPr="0075789D" w:rsidRDefault="00E96CE4" w:rsidP="00E96CE4">
      <w:pPr>
        <w:rPr>
          <w:lang w:val="es-419"/>
        </w:rPr>
      </w:pPr>
      <w:r w:rsidRPr="0075789D">
        <w:rPr>
          <w:lang w:val="es-419"/>
        </w:rPr>
        <w:t>1.3</w:t>
      </w:r>
      <w:r w:rsidRPr="0075789D">
        <w:rPr>
          <w:lang w:val="es-419"/>
        </w:rPr>
        <w:tab/>
        <w:t>Jurisprudencia</w:t>
      </w:r>
    </w:p>
    <w:p w:rsidR="00E96CE4" w:rsidRPr="0075789D" w:rsidRDefault="00E96CE4" w:rsidP="00E96CE4">
      <w:pPr>
        <w:rPr>
          <w:lang w:val="es-419"/>
        </w:rPr>
      </w:pPr>
    </w:p>
    <w:p w:rsidR="00E96CE4" w:rsidRPr="0075789D" w:rsidRDefault="00E96CE4" w:rsidP="00E96CE4">
      <w:pPr>
        <w:ind w:left="567"/>
        <w:rPr>
          <w:bCs/>
          <w:lang w:val="es-419"/>
        </w:rPr>
      </w:pPr>
      <w:r w:rsidRPr="0075789D">
        <w:rPr>
          <w:lang w:val="es-419"/>
        </w:rPr>
        <w:t>Ghana todavía no ha implantado el sistema, de manera que aún no existe jurisprudencia.</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rPr>
          <w:lang w:val="es-419"/>
        </w:rPr>
      </w:pPr>
      <w:r w:rsidRPr="0075789D">
        <w:rPr>
          <w:lang w:val="es-419"/>
        </w:rPr>
        <w:t>2.</w:t>
      </w:r>
      <w:r w:rsidRPr="0075789D">
        <w:rPr>
          <w:lang w:val="es-419"/>
        </w:rPr>
        <w:tab/>
      </w:r>
      <w:r w:rsidRPr="0075789D">
        <w:rPr>
          <w:u w:val="single"/>
          <w:lang w:val="es-419"/>
        </w:rPr>
        <w:t>Cooperación en el examen</w:t>
      </w:r>
    </w:p>
    <w:p w:rsidR="00E96CE4" w:rsidRPr="0075789D" w:rsidRDefault="00E96CE4" w:rsidP="00E96CE4">
      <w:pPr>
        <w:rPr>
          <w:lang w:val="es-419"/>
        </w:rPr>
      </w:pPr>
    </w:p>
    <w:p w:rsidR="00E96CE4" w:rsidRPr="0075789D" w:rsidRDefault="00E96CE4" w:rsidP="00E96CE4">
      <w:pPr>
        <w:rPr>
          <w:bCs/>
          <w:lang w:val="es-419"/>
        </w:rPr>
      </w:pPr>
      <w:r w:rsidRPr="0075789D">
        <w:rPr>
          <w:lang w:val="es-419"/>
        </w:rPr>
        <w:t>Todavía no se han suscrito acuerdos.</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E96CE4" w:rsidRPr="0075789D" w:rsidRDefault="00E96CE4" w:rsidP="00E96CE4">
      <w:pPr>
        <w:rPr>
          <w:lang w:val="es-419"/>
        </w:rPr>
      </w:pPr>
    </w:p>
    <w:p w:rsidR="00E96CE4" w:rsidRPr="0075789D" w:rsidRDefault="00E96CE4" w:rsidP="00E96CE4">
      <w:pPr>
        <w:rPr>
          <w:bCs/>
          <w:lang w:val="es-419"/>
        </w:rPr>
      </w:pPr>
      <w:r w:rsidRPr="0075789D">
        <w:rPr>
          <w:lang w:val="es-419"/>
        </w:rPr>
        <w:t>La estructura administrativa y los sistemas especificados en la Ley siguen siendo los mismos (secciones 39 a 45 de la Ley 1050).</w:t>
      </w:r>
    </w:p>
    <w:p w:rsidR="00E96CE4" w:rsidRPr="0075789D" w:rsidRDefault="00E96CE4" w:rsidP="00E96CE4">
      <w:pPr>
        <w:rPr>
          <w:bCs/>
          <w:lang w:val="es-419"/>
        </w:rPr>
      </w:pPr>
    </w:p>
    <w:p w:rsidR="00E96CE4" w:rsidRPr="0075789D" w:rsidRDefault="00E96CE4" w:rsidP="00E96CE4">
      <w:pPr>
        <w:rPr>
          <w:bCs/>
          <w:lang w:val="es-419"/>
        </w:rPr>
      </w:pPr>
    </w:p>
    <w:p w:rsidR="00E96CE4" w:rsidRPr="0075789D" w:rsidRDefault="00E96CE4" w:rsidP="00E96CE4">
      <w:pPr>
        <w:rPr>
          <w:lang w:val="es-419"/>
        </w:rPr>
      </w:pPr>
      <w:r w:rsidRPr="0075789D">
        <w:rPr>
          <w:lang w:val="es-419"/>
        </w:rPr>
        <w:t>4.</w:t>
      </w:r>
      <w:r w:rsidRPr="0075789D">
        <w:rPr>
          <w:lang w:val="es-419"/>
        </w:rPr>
        <w:tab/>
      </w:r>
      <w:r w:rsidRPr="0075789D">
        <w:rPr>
          <w:u w:val="single"/>
          <w:lang w:val="es-419"/>
        </w:rPr>
        <w:t>Situación en el ámbito técnico</w:t>
      </w:r>
    </w:p>
    <w:p w:rsidR="00E96CE4" w:rsidRPr="0075789D" w:rsidRDefault="00E96CE4" w:rsidP="00E96CE4">
      <w:pPr>
        <w:rPr>
          <w:lang w:val="es-419"/>
        </w:rPr>
      </w:pPr>
    </w:p>
    <w:p w:rsidR="00E96CE4" w:rsidRPr="0075789D" w:rsidRDefault="00E96CE4" w:rsidP="00E96CE4">
      <w:pPr>
        <w:rPr>
          <w:bCs/>
          <w:lang w:val="es-419"/>
        </w:rPr>
      </w:pPr>
      <w:r w:rsidRPr="0075789D">
        <w:rPr>
          <w:lang w:val="es-419"/>
        </w:rPr>
        <w:t>La Oficina de PI y la Dirección de Cultivos del Ministerio de Alimentación y Agricultura necesitan personal con conocimientos especializados para sus oficinas.</w:t>
      </w:r>
    </w:p>
    <w:p w:rsidR="00E96CE4" w:rsidRPr="0075789D" w:rsidRDefault="00E96CE4" w:rsidP="00E96CE4">
      <w:pPr>
        <w:rPr>
          <w:lang w:val="es-419"/>
        </w:rPr>
      </w:pPr>
    </w:p>
    <w:p w:rsidR="00E96CE4" w:rsidRPr="0075789D" w:rsidRDefault="00E96CE4" w:rsidP="00E96CE4">
      <w:pPr>
        <w:jc w:val="left"/>
        <w:rPr>
          <w:lang w:val="es-419"/>
        </w:rPr>
      </w:pPr>
      <w:r w:rsidRPr="0075789D">
        <w:rPr>
          <w:lang w:val="es-419"/>
        </w:rPr>
        <w:br w:type="page"/>
      </w:r>
    </w:p>
    <w:p w:rsidR="00E96CE4" w:rsidRPr="0075789D" w:rsidRDefault="00E96CE4" w:rsidP="00E96CE4">
      <w:pPr>
        <w:rPr>
          <w:u w:val="single"/>
          <w:lang w:val="es-419"/>
        </w:rPr>
      </w:pPr>
      <w:r w:rsidRPr="0075789D">
        <w:rPr>
          <w:lang w:val="es-419"/>
        </w:rPr>
        <w:lastRenderedPageBreak/>
        <w:t>5.</w:t>
      </w:r>
      <w:r w:rsidRPr="0075789D">
        <w:rPr>
          <w:lang w:val="es-419"/>
        </w:rPr>
        <w:tab/>
      </w:r>
      <w:r w:rsidRPr="0075789D">
        <w:rPr>
          <w:u w:val="single"/>
          <w:lang w:val="es-419"/>
        </w:rPr>
        <w:t>Actividades para la promoción de las variedades vegetales</w:t>
      </w:r>
    </w:p>
    <w:p w:rsidR="00E96CE4" w:rsidRPr="0075789D" w:rsidRDefault="00E96CE4" w:rsidP="00E96CE4">
      <w:pPr>
        <w:rPr>
          <w:lang w:val="es-419"/>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46"/>
        <w:gridCol w:w="709"/>
        <w:gridCol w:w="708"/>
        <w:gridCol w:w="1418"/>
        <w:gridCol w:w="2268"/>
        <w:gridCol w:w="2268"/>
        <w:gridCol w:w="1559"/>
      </w:tblGrid>
      <w:tr w:rsidR="00E96CE4" w:rsidRPr="0075789D" w:rsidTr="004D1E3E">
        <w:trPr>
          <w:cantSplit/>
          <w:tblHeader/>
        </w:trPr>
        <w:tc>
          <w:tcPr>
            <w:tcW w:w="846" w:type="dxa"/>
            <w:shd w:val="clear" w:color="auto" w:fill="auto"/>
          </w:tcPr>
          <w:p w:rsidR="00E96CE4" w:rsidRDefault="00E96CE4" w:rsidP="004D1E3E">
            <w:pPr>
              <w:jc w:val="left"/>
              <w:rPr>
                <w:sz w:val="18"/>
                <w:lang w:val="es-419"/>
              </w:rPr>
            </w:pPr>
            <w:r w:rsidRPr="0075789D">
              <w:rPr>
                <w:sz w:val="18"/>
                <w:lang w:val="es-419"/>
              </w:rPr>
              <w:t xml:space="preserve">Título </w:t>
            </w:r>
          </w:p>
          <w:p w:rsidR="00E96CE4" w:rsidRPr="0075789D" w:rsidRDefault="00E96CE4" w:rsidP="004D1E3E">
            <w:pPr>
              <w:jc w:val="left"/>
              <w:rPr>
                <w:rFonts w:cs="Arial"/>
                <w:sz w:val="18"/>
                <w:szCs w:val="18"/>
                <w:lang w:val="es-419"/>
              </w:rPr>
            </w:pPr>
            <w:r w:rsidRPr="0075789D">
              <w:rPr>
                <w:sz w:val="18"/>
                <w:lang w:val="es-419"/>
              </w:rPr>
              <w:t>de la actividad</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Fecha</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Lugar</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Organizador(es)</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Finalidad de la actividad</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Países u organizaciones participantes (número de participantes en cada caso)</w:t>
            </w: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Comentarios</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1.</w:t>
            </w:r>
          </w:p>
          <w:p w:rsidR="00E96CE4" w:rsidRPr="0075789D" w:rsidRDefault="00E96CE4" w:rsidP="004D1E3E">
            <w:pPr>
              <w:jc w:val="left"/>
              <w:rPr>
                <w:rFonts w:cs="Arial"/>
                <w:sz w:val="18"/>
                <w:szCs w:val="18"/>
                <w:lang w:val="es-419"/>
              </w:rPr>
            </w:pP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2023-2024</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La Oficina de Propiedad Industrial de Ghana (GHIPO) formará a su personal en el</w:t>
            </w:r>
          </w:p>
          <w:p w:rsidR="00E96CE4" w:rsidRPr="0075789D" w:rsidRDefault="00E96CE4" w:rsidP="004D1E3E">
            <w:pPr>
              <w:jc w:val="left"/>
              <w:rPr>
                <w:rFonts w:cs="Arial"/>
                <w:sz w:val="18"/>
                <w:szCs w:val="18"/>
                <w:lang w:val="es-419"/>
              </w:rPr>
            </w:pPr>
            <w:r w:rsidRPr="0075789D">
              <w:rPr>
                <w:sz w:val="18"/>
                <w:lang w:val="es-419"/>
              </w:rPr>
              <w:t>examen de la novedad y la denominación de variedades (incluido el acceso a las correspondientes bases de datos)</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2.</w:t>
            </w:r>
          </w:p>
          <w:p w:rsidR="00E96CE4" w:rsidRPr="0075789D" w:rsidRDefault="00E96CE4" w:rsidP="004D1E3E">
            <w:pPr>
              <w:jc w:val="left"/>
              <w:rPr>
                <w:rFonts w:cs="Arial"/>
                <w:sz w:val="18"/>
                <w:szCs w:val="18"/>
                <w:lang w:val="es-419"/>
              </w:rPr>
            </w:pP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La Oficina de Propiedad Industrial coordinará con el Ministerio de Alimentación y Agricultura el inicio de la sensibilización acerca de la protección de obtenciones vegetales y la colaboración con el Centro de Recuperación Genética (Banco de Germoplasma)</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3.</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La Oficina de Propiedad Industrial coordinará con el Ministerio de Alimentación y Agricultura</w:t>
            </w:r>
          </w:p>
          <w:p w:rsidR="00E96CE4" w:rsidRPr="0075789D" w:rsidRDefault="00E96CE4" w:rsidP="004D1E3E">
            <w:pPr>
              <w:jc w:val="left"/>
              <w:rPr>
                <w:rFonts w:cs="Arial"/>
                <w:sz w:val="18"/>
                <w:szCs w:val="18"/>
                <w:lang w:val="es-419"/>
              </w:rPr>
            </w:pPr>
            <w:r w:rsidRPr="0075789D">
              <w:rPr>
                <w:sz w:val="18"/>
                <w:lang w:val="es-419"/>
              </w:rPr>
              <w:t xml:space="preserve">el </w:t>
            </w:r>
            <w:proofErr w:type="spellStart"/>
            <w:r w:rsidRPr="0075789D">
              <w:rPr>
                <w:i/>
                <w:iCs/>
                <w:sz w:val="18"/>
                <w:lang w:val="es-419"/>
              </w:rPr>
              <w:t>Crops</w:t>
            </w:r>
            <w:proofErr w:type="spellEnd"/>
            <w:r w:rsidRPr="0075789D">
              <w:rPr>
                <w:i/>
                <w:iCs/>
                <w:sz w:val="18"/>
                <w:lang w:val="es-419"/>
              </w:rPr>
              <w:t xml:space="preserve"> </w:t>
            </w:r>
            <w:proofErr w:type="spellStart"/>
            <w:r w:rsidRPr="0075789D">
              <w:rPr>
                <w:i/>
                <w:iCs/>
                <w:sz w:val="18"/>
                <w:lang w:val="es-419"/>
              </w:rPr>
              <w:t>Research</w:t>
            </w:r>
            <w:proofErr w:type="spellEnd"/>
            <w:r w:rsidRPr="0075789D">
              <w:rPr>
                <w:i/>
                <w:iCs/>
                <w:sz w:val="18"/>
                <w:lang w:val="es-419"/>
              </w:rPr>
              <w:t xml:space="preserve"> </w:t>
            </w:r>
            <w:proofErr w:type="spellStart"/>
            <w:r w:rsidRPr="0075789D">
              <w:rPr>
                <w:i/>
                <w:iCs/>
                <w:sz w:val="18"/>
                <w:lang w:val="es-419"/>
              </w:rPr>
              <w:t>Institute</w:t>
            </w:r>
            <w:proofErr w:type="spellEnd"/>
            <w:r w:rsidRPr="0075789D">
              <w:rPr>
                <w:sz w:val="18"/>
                <w:lang w:val="es-419"/>
              </w:rPr>
              <w:t xml:space="preserve"> y el Savannah </w:t>
            </w:r>
            <w:proofErr w:type="spellStart"/>
            <w:r w:rsidRPr="0075789D">
              <w:rPr>
                <w:i/>
                <w:iCs/>
                <w:sz w:val="18"/>
                <w:lang w:val="es-419"/>
              </w:rPr>
              <w:t>Agricultural</w:t>
            </w:r>
            <w:proofErr w:type="spellEnd"/>
            <w:r w:rsidRPr="0075789D">
              <w:rPr>
                <w:i/>
                <w:iCs/>
                <w:sz w:val="18"/>
                <w:lang w:val="es-419"/>
              </w:rPr>
              <w:t xml:space="preserve"> </w:t>
            </w:r>
            <w:proofErr w:type="spellStart"/>
            <w:r w:rsidRPr="0075789D">
              <w:rPr>
                <w:i/>
                <w:iCs/>
                <w:sz w:val="18"/>
                <w:lang w:val="es-419"/>
              </w:rPr>
              <w:t>Research</w:t>
            </w:r>
            <w:proofErr w:type="spellEnd"/>
            <w:r w:rsidRPr="0075789D">
              <w:rPr>
                <w:i/>
                <w:iCs/>
                <w:sz w:val="18"/>
                <w:lang w:val="es-419"/>
              </w:rPr>
              <w:t xml:space="preserve"> </w:t>
            </w:r>
            <w:proofErr w:type="spellStart"/>
            <w:r w:rsidRPr="0075789D">
              <w:rPr>
                <w:i/>
                <w:iCs/>
                <w:sz w:val="18"/>
                <w:lang w:val="es-419"/>
              </w:rPr>
              <w:t>Institute</w:t>
            </w:r>
            <w:proofErr w:type="spellEnd"/>
            <w:r w:rsidRPr="0075789D">
              <w:rPr>
                <w:sz w:val="18"/>
                <w:lang w:val="es-419"/>
              </w:rPr>
              <w:t xml:space="preserve"> del Consejo de Investigación Científica e Industrial la continuación de la sensibilización</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 xml:space="preserve">4. </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La Oficina de Propiedad Industrial coordinará con el Ministerio de Alimentación y Agricultura</w:t>
            </w:r>
          </w:p>
          <w:p w:rsidR="00E96CE4" w:rsidRPr="0075789D" w:rsidRDefault="00E96CE4" w:rsidP="004D1E3E">
            <w:pPr>
              <w:jc w:val="left"/>
              <w:rPr>
                <w:rFonts w:cs="Arial"/>
                <w:sz w:val="18"/>
                <w:szCs w:val="18"/>
                <w:lang w:val="es-419"/>
              </w:rPr>
            </w:pPr>
            <w:r w:rsidRPr="0075789D">
              <w:rPr>
                <w:sz w:val="18"/>
                <w:lang w:val="es-419"/>
              </w:rPr>
              <w:t>la selección de centros de examen DHE y determinará sus necesidades</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5.</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Formar para fortalecer las capacidades de los examinadores DHE (incluido el acceso a las bases de datos pertinentes)</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6.</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2023</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Mejora de DHE en el Ministerio de Alimentación y Agricultura</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r w:rsidR="00E96CE4" w:rsidRPr="0075789D" w:rsidTr="004D1E3E">
        <w:trPr>
          <w:cantSplit/>
        </w:trPr>
        <w:tc>
          <w:tcPr>
            <w:tcW w:w="846" w:type="dxa"/>
            <w:shd w:val="clear" w:color="auto" w:fill="auto"/>
          </w:tcPr>
          <w:p w:rsidR="00E96CE4" w:rsidRPr="0075789D" w:rsidRDefault="00E96CE4" w:rsidP="004D1E3E">
            <w:pPr>
              <w:jc w:val="left"/>
              <w:rPr>
                <w:rFonts w:cs="Arial"/>
                <w:sz w:val="18"/>
                <w:szCs w:val="18"/>
                <w:lang w:val="es-419"/>
              </w:rPr>
            </w:pPr>
            <w:r w:rsidRPr="0075789D">
              <w:rPr>
                <w:sz w:val="18"/>
                <w:lang w:val="es-419"/>
              </w:rPr>
              <w:t>7.</w:t>
            </w:r>
          </w:p>
        </w:tc>
        <w:tc>
          <w:tcPr>
            <w:tcW w:w="709" w:type="dxa"/>
            <w:shd w:val="clear" w:color="auto" w:fill="auto"/>
          </w:tcPr>
          <w:p w:rsidR="00E96CE4" w:rsidRPr="0075789D" w:rsidRDefault="00E96CE4" w:rsidP="004D1E3E">
            <w:pPr>
              <w:jc w:val="left"/>
              <w:rPr>
                <w:rFonts w:cs="Arial"/>
                <w:sz w:val="18"/>
                <w:szCs w:val="18"/>
                <w:lang w:val="es-419"/>
              </w:rPr>
            </w:pPr>
            <w:r w:rsidRPr="0075789D">
              <w:rPr>
                <w:sz w:val="18"/>
                <w:lang w:val="es-419"/>
              </w:rPr>
              <w:t>2024</w:t>
            </w:r>
          </w:p>
        </w:tc>
        <w:tc>
          <w:tcPr>
            <w:tcW w:w="708" w:type="dxa"/>
            <w:shd w:val="clear" w:color="auto" w:fill="auto"/>
          </w:tcPr>
          <w:p w:rsidR="00E96CE4" w:rsidRPr="0075789D" w:rsidRDefault="00E96CE4" w:rsidP="004D1E3E">
            <w:pPr>
              <w:jc w:val="left"/>
              <w:rPr>
                <w:rFonts w:cs="Arial"/>
                <w:sz w:val="18"/>
                <w:szCs w:val="18"/>
                <w:lang w:val="es-419"/>
              </w:rPr>
            </w:pPr>
            <w:r w:rsidRPr="0075789D">
              <w:rPr>
                <w:sz w:val="18"/>
                <w:lang w:val="es-419"/>
              </w:rPr>
              <w:t>Ghana</w:t>
            </w:r>
          </w:p>
        </w:tc>
        <w:tc>
          <w:tcPr>
            <w:tcW w:w="1418" w:type="dxa"/>
            <w:shd w:val="clear" w:color="auto" w:fill="auto"/>
          </w:tcPr>
          <w:p w:rsidR="00E96CE4" w:rsidRPr="0075789D" w:rsidRDefault="00E96CE4" w:rsidP="004D1E3E">
            <w:pPr>
              <w:jc w:val="left"/>
              <w:rPr>
                <w:rFonts w:cs="Arial"/>
                <w:sz w:val="18"/>
                <w:szCs w:val="18"/>
                <w:lang w:val="es-419"/>
              </w:rPr>
            </w:pPr>
            <w:r w:rsidRPr="0075789D">
              <w:rPr>
                <w:sz w:val="18"/>
                <w:lang w:val="es-419"/>
              </w:rPr>
              <w:t>GHIPO</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Sensibilización y formación continuas</w:t>
            </w:r>
          </w:p>
        </w:tc>
        <w:tc>
          <w:tcPr>
            <w:tcW w:w="2268" w:type="dxa"/>
            <w:shd w:val="clear" w:color="auto" w:fill="auto"/>
          </w:tcPr>
          <w:p w:rsidR="00E96CE4" w:rsidRPr="0075789D" w:rsidRDefault="00E96CE4" w:rsidP="004D1E3E">
            <w:pPr>
              <w:jc w:val="left"/>
              <w:rPr>
                <w:rFonts w:cs="Arial"/>
                <w:sz w:val="18"/>
                <w:szCs w:val="18"/>
                <w:lang w:val="es-419"/>
              </w:rPr>
            </w:pPr>
            <w:r w:rsidRPr="0075789D">
              <w:rPr>
                <w:sz w:val="18"/>
                <w:lang w:val="es-419"/>
              </w:rPr>
              <w:t>UPOV</w:t>
            </w:r>
          </w:p>
          <w:p w:rsidR="00E96CE4" w:rsidRPr="0075789D" w:rsidRDefault="00E96CE4" w:rsidP="004D1E3E">
            <w:pPr>
              <w:jc w:val="left"/>
              <w:rPr>
                <w:rFonts w:cs="Arial"/>
                <w:sz w:val="18"/>
                <w:szCs w:val="18"/>
                <w:lang w:val="es-419"/>
              </w:rPr>
            </w:pPr>
            <w:r w:rsidRPr="0075789D">
              <w:rPr>
                <w:sz w:val="18"/>
                <w:lang w:val="es-419"/>
              </w:rPr>
              <w:t>GHIPO</w:t>
            </w:r>
          </w:p>
          <w:p w:rsidR="00E96CE4" w:rsidRPr="0075789D" w:rsidRDefault="00E96CE4" w:rsidP="004D1E3E">
            <w:pPr>
              <w:jc w:val="left"/>
              <w:rPr>
                <w:rFonts w:cs="Arial"/>
                <w:sz w:val="18"/>
                <w:szCs w:val="18"/>
                <w:lang w:val="es-419"/>
              </w:rPr>
            </w:pPr>
            <w:r w:rsidRPr="0075789D">
              <w:rPr>
                <w:sz w:val="18"/>
                <w:lang w:val="es-419"/>
              </w:rPr>
              <w:t>Colaboradores</w:t>
            </w:r>
          </w:p>
          <w:p w:rsidR="00E96CE4" w:rsidRPr="0075789D" w:rsidRDefault="00E96CE4" w:rsidP="004D1E3E">
            <w:pPr>
              <w:jc w:val="left"/>
              <w:rPr>
                <w:rFonts w:cs="Arial"/>
                <w:sz w:val="18"/>
                <w:szCs w:val="18"/>
                <w:lang w:val="es-419"/>
              </w:rPr>
            </w:pPr>
          </w:p>
        </w:tc>
        <w:tc>
          <w:tcPr>
            <w:tcW w:w="1559" w:type="dxa"/>
            <w:shd w:val="clear" w:color="auto" w:fill="auto"/>
          </w:tcPr>
          <w:p w:rsidR="00E96CE4" w:rsidRPr="0075789D" w:rsidRDefault="00E96CE4" w:rsidP="004D1E3E">
            <w:pPr>
              <w:jc w:val="left"/>
              <w:rPr>
                <w:rFonts w:cs="Arial"/>
                <w:sz w:val="18"/>
                <w:szCs w:val="18"/>
                <w:lang w:val="es-419"/>
              </w:rPr>
            </w:pPr>
            <w:r w:rsidRPr="0075789D">
              <w:rPr>
                <w:sz w:val="18"/>
                <w:lang w:val="es-419"/>
              </w:rPr>
              <w:t>Se está elaborando un plan para este programa</w:t>
            </w:r>
          </w:p>
        </w:tc>
      </w:tr>
    </w:tbl>
    <w:p w:rsidR="00D46C5A" w:rsidRPr="00D36B66" w:rsidRDefault="00D46C5A" w:rsidP="00D46C5A">
      <w:pPr>
        <w:rPr>
          <w:rFonts w:cs="Arial"/>
        </w:rPr>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VI</w:t>
      </w:r>
      <w:r w:rsidR="0069058C" w:rsidRPr="00D36B66">
        <w:t>II</w:t>
      </w:r>
      <w:r>
        <w:t>]</w:t>
      </w:r>
    </w:p>
    <w:p w:rsidR="000362AD" w:rsidRPr="00D36B66" w:rsidRDefault="000362AD" w:rsidP="000362AD"/>
    <w:p w:rsidR="000362AD" w:rsidRPr="00D36B66" w:rsidRDefault="000362AD" w:rsidP="000362AD">
      <w:pPr>
        <w:jc w:val="left"/>
        <w:sectPr w:rsidR="000362AD" w:rsidRPr="00D36B66" w:rsidSect="0049108C">
          <w:headerReference w:type="default" r:id="rId15"/>
          <w:pgSz w:w="11907" w:h="16840" w:code="9"/>
          <w:pgMar w:top="510" w:right="1134" w:bottom="1134" w:left="1134" w:header="510" w:footer="680" w:gutter="0"/>
          <w:pgNumType w:start="1"/>
          <w:cols w:space="720"/>
          <w:titlePg/>
        </w:sectPr>
      </w:pPr>
    </w:p>
    <w:p w:rsidR="00991CBD" w:rsidRPr="00D36B66" w:rsidRDefault="00991CBD" w:rsidP="00991CBD">
      <w:pPr>
        <w:jc w:val="center"/>
      </w:pPr>
      <w:r w:rsidRPr="00D36B66">
        <w:lastRenderedPageBreak/>
        <w:t>C/56/INF/4</w:t>
      </w:r>
    </w:p>
    <w:p w:rsidR="00991CBD" w:rsidRPr="00D36B66" w:rsidRDefault="00991CBD" w:rsidP="00991CBD">
      <w:pPr>
        <w:jc w:val="center"/>
      </w:pPr>
    </w:p>
    <w:p w:rsidR="00991CBD" w:rsidRPr="00D36B66" w:rsidRDefault="000A2928" w:rsidP="00991CBD">
      <w:pPr>
        <w:jc w:val="center"/>
      </w:pPr>
      <w:r>
        <w:t>ANEXO</w:t>
      </w:r>
      <w:r w:rsidR="00991CBD" w:rsidRPr="00D36B66">
        <w:t xml:space="preserve"> VIII</w:t>
      </w:r>
    </w:p>
    <w:p w:rsidR="00991CBD" w:rsidRPr="00D36B66" w:rsidRDefault="00991CBD" w:rsidP="00991CBD">
      <w:pPr>
        <w:jc w:val="center"/>
      </w:pPr>
    </w:p>
    <w:p w:rsidR="00991CBD" w:rsidRPr="00D36B66" w:rsidRDefault="00991CBD" w:rsidP="00991CBD">
      <w:pPr>
        <w:jc w:val="center"/>
      </w:pPr>
    </w:p>
    <w:p w:rsidR="00991CBD" w:rsidRPr="00D36B66" w:rsidRDefault="000A2928" w:rsidP="00991CBD">
      <w:pPr>
        <w:jc w:val="center"/>
      </w:pPr>
      <w:r>
        <w:t>JAPÓ</w:t>
      </w:r>
      <w:r w:rsidR="00991CBD" w:rsidRPr="00D36B66">
        <w:t>N</w:t>
      </w:r>
    </w:p>
    <w:p w:rsidR="00991CBD" w:rsidRPr="00D36B66" w:rsidRDefault="00991CBD" w:rsidP="00991CBD"/>
    <w:p w:rsidR="00991CBD" w:rsidRPr="00D36B66" w:rsidRDefault="00991CBD" w:rsidP="00991CBD"/>
    <w:p w:rsidR="00E96CE4" w:rsidRPr="0075789D" w:rsidRDefault="00E96CE4" w:rsidP="00E96CE4">
      <w:pPr>
        <w:rPr>
          <w:lang w:val="es-419"/>
        </w:rPr>
      </w:pPr>
      <w:r w:rsidRPr="0075789D">
        <w:rPr>
          <w:lang w:val="es-419"/>
        </w:rPr>
        <w:t>I.</w:t>
      </w:r>
      <w:r w:rsidRPr="0075789D">
        <w:rPr>
          <w:lang w:val="es-419"/>
        </w:rPr>
        <w:tab/>
        <w:t>CONTRIBUCIÓN FINANCIERA</w:t>
      </w:r>
    </w:p>
    <w:p w:rsidR="00E96CE4" w:rsidRPr="0075789D" w:rsidRDefault="00E96CE4" w:rsidP="00E96CE4">
      <w:pPr>
        <w:rPr>
          <w:lang w:val="es-419"/>
        </w:rPr>
      </w:pPr>
    </w:p>
    <w:p w:rsidR="00E96CE4" w:rsidRPr="0075789D" w:rsidRDefault="00E96CE4" w:rsidP="00E96CE4">
      <w:pPr>
        <w:rPr>
          <w:u w:val="single"/>
          <w:lang w:val="es-419"/>
        </w:rPr>
      </w:pPr>
      <w:r w:rsidRPr="0075789D">
        <w:rPr>
          <w:u w:val="single"/>
          <w:lang w:val="es-419"/>
        </w:rPr>
        <w:t>Fondos fiduciarios del Gobierno del Japón (JP-FIT)</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En 2021, el Japón efectuó una aportación de 340.407 francos suizos en forma de fondos fiduciarios, con objeto de apoyar las actividades de la Secretaría de la UPOV encaminadas al establecimiento y la aplicación del sistema de protección de las obtenciones vegetales en la región asiática, como las siguientes: </w:t>
      </w:r>
    </w:p>
    <w:p w:rsidR="00E96CE4" w:rsidRPr="0075789D" w:rsidRDefault="00E96CE4" w:rsidP="00E96CE4">
      <w:pPr>
        <w:rPr>
          <w:lang w:val="es-419"/>
        </w:rPr>
      </w:pPr>
    </w:p>
    <w:p w:rsidR="00E96CE4" w:rsidRPr="0075789D" w:rsidRDefault="00E96CE4" w:rsidP="00E96CE4">
      <w:pPr>
        <w:spacing w:after="60"/>
        <w:ind w:left="1134" w:hanging="567"/>
        <w:rPr>
          <w:lang w:val="es-419"/>
        </w:rPr>
      </w:pPr>
      <w:r w:rsidRPr="0075789D">
        <w:rPr>
          <w:lang w:val="es-419"/>
        </w:rPr>
        <w:t>i.</w:t>
      </w:r>
      <w:r w:rsidRPr="0075789D">
        <w:rPr>
          <w:lang w:val="es-419"/>
        </w:rPr>
        <w:tab/>
        <w:t>reuniones de consulta con funcionarios judiciales o técnicos de los países pertinentes;</w:t>
      </w:r>
    </w:p>
    <w:p w:rsidR="00E96CE4" w:rsidRPr="0075789D" w:rsidRDefault="00E96CE4" w:rsidP="00E96CE4">
      <w:pPr>
        <w:spacing w:after="60"/>
        <w:ind w:left="1134" w:hanging="567"/>
        <w:rPr>
          <w:lang w:val="es-419"/>
        </w:rPr>
      </w:pPr>
      <w:r w:rsidRPr="0075789D">
        <w:rPr>
          <w:lang w:val="es-419"/>
        </w:rPr>
        <w:t>ii.</w:t>
      </w:r>
      <w:r w:rsidRPr="0075789D">
        <w:rPr>
          <w:lang w:val="es-419"/>
        </w:rPr>
        <w:tab/>
        <w:t>talleres jurídicos internacionales organizados por la Oficina de la Unión (por ejemplo, el Taller sobre la elaboración de legislación de conformidad con el Convenio de la UPOV);</w:t>
      </w:r>
    </w:p>
    <w:p w:rsidR="00E96CE4" w:rsidRPr="0075789D" w:rsidRDefault="00E96CE4" w:rsidP="00E96CE4">
      <w:pPr>
        <w:spacing w:after="60"/>
        <w:ind w:left="1134" w:hanging="567"/>
        <w:rPr>
          <w:lang w:val="es-419"/>
        </w:rPr>
      </w:pPr>
      <w:r w:rsidRPr="0075789D">
        <w:rPr>
          <w:lang w:val="es-419"/>
        </w:rPr>
        <w:t>iii.</w:t>
      </w:r>
      <w:r w:rsidRPr="0075789D">
        <w:rPr>
          <w:lang w:val="es-419"/>
        </w:rPr>
        <w:tab/>
        <w:t>Talleres nacionales para sensibilizar acerca de la protección de las obtenciones vegetales en los países asiáticos;</w:t>
      </w:r>
    </w:p>
    <w:p w:rsidR="00E96CE4" w:rsidRPr="0075789D" w:rsidRDefault="00E96CE4" w:rsidP="00E96CE4">
      <w:pPr>
        <w:spacing w:after="60"/>
        <w:ind w:left="1134" w:hanging="567"/>
        <w:rPr>
          <w:lang w:val="es-419"/>
        </w:rPr>
      </w:pPr>
      <w:r w:rsidRPr="0075789D">
        <w:rPr>
          <w:lang w:val="es-419"/>
        </w:rPr>
        <w:t>iv.</w:t>
      </w:r>
      <w:r w:rsidRPr="0075789D">
        <w:rPr>
          <w:lang w:val="es-419"/>
        </w:rPr>
        <w:tab/>
        <w:t>talleres internacionales sobre la protección de las obtenciones vegetales con arreglo al Convenio de la UPOV;</w:t>
      </w:r>
    </w:p>
    <w:p w:rsidR="00E96CE4" w:rsidRPr="0075789D" w:rsidRDefault="00E96CE4" w:rsidP="00E96CE4">
      <w:pPr>
        <w:spacing w:after="60"/>
        <w:ind w:left="1134" w:hanging="567"/>
        <w:rPr>
          <w:lang w:val="es-419"/>
        </w:rPr>
      </w:pPr>
      <w:r w:rsidRPr="0075789D">
        <w:rPr>
          <w:lang w:val="es-419"/>
        </w:rPr>
        <w:t>v.</w:t>
      </w:r>
      <w:r w:rsidRPr="0075789D">
        <w:rPr>
          <w:lang w:val="es-419"/>
        </w:rPr>
        <w:tab/>
        <w:t>reuniones anuales del Foro de Asia Oriental para la Protección de las Obtenciones Vegetales (EAPVP); y</w:t>
      </w:r>
    </w:p>
    <w:p w:rsidR="00E96CE4" w:rsidRPr="0075789D" w:rsidRDefault="00E96CE4" w:rsidP="00E96CE4">
      <w:pPr>
        <w:ind w:left="1134" w:hanging="567"/>
        <w:rPr>
          <w:lang w:val="es-419"/>
        </w:rPr>
      </w:pPr>
      <w:r w:rsidRPr="0075789D">
        <w:rPr>
          <w:lang w:val="es-419"/>
        </w:rPr>
        <w:t>vi.</w:t>
      </w:r>
      <w:r w:rsidRPr="0075789D">
        <w:rPr>
          <w:lang w:val="es-419"/>
        </w:rPr>
        <w:tab/>
        <w:t>Proyecto piloto del Foro EAPVP para facilitar procedimientos de solicitud y examen eficientes en la región asiática.</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rPr>
          <w:lang w:val="es-419"/>
        </w:rPr>
      </w:pPr>
      <w:r w:rsidRPr="0075789D">
        <w:rPr>
          <w:lang w:val="es-419"/>
        </w:rPr>
        <w:t>II.</w:t>
      </w:r>
      <w:r w:rsidRPr="0075789D">
        <w:rPr>
          <w:lang w:val="es-419"/>
        </w:rPr>
        <w:tab/>
        <w:t>PROTECCIÓN DE LAS OBTENCIONES VEGETALES</w:t>
      </w:r>
    </w:p>
    <w:p w:rsidR="00E96CE4" w:rsidRPr="0075789D" w:rsidRDefault="00E96CE4" w:rsidP="00E96CE4">
      <w:pPr>
        <w:rPr>
          <w:lang w:val="es-419"/>
        </w:rPr>
      </w:pPr>
    </w:p>
    <w:p w:rsidR="00E96CE4" w:rsidRPr="0075789D" w:rsidRDefault="00E96CE4" w:rsidP="00E96CE4">
      <w:pPr>
        <w:rPr>
          <w:u w:val="single"/>
          <w:lang w:val="es-419"/>
        </w:rPr>
      </w:pPr>
      <w:r w:rsidRPr="0075789D">
        <w:rPr>
          <w:lang w:val="es-419"/>
        </w:rPr>
        <w:t xml:space="preserve">1. </w:t>
      </w:r>
      <w:r w:rsidRPr="0075789D">
        <w:rPr>
          <w:lang w:val="es-419"/>
        </w:rPr>
        <w:tab/>
      </w:r>
      <w:r w:rsidRPr="0075789D">
        <w:rPr>
          <w:u w:val="single"/>
          <w:lang w:val="es-419"/>
        </w:rPr>
        <w:t>Situación en el ámbito legislativo</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Modificaciones de la ley y de los reglamentos</w:t>
      </w:r>
    </w:p>
    <w:p w:rsidR="00E96CE4" w:rsidRPr="0075789D" w:rsidRDefault="00E96CE4" w:rsidP="00E96CE4">
      <w:pPr>
        <w:rPr>
          <w:lang w:val="es-419"/>
        </w:rPr>
      </w:pPr>
    </w:p>
    <w:p w:rsidR="00E96CE4" w:rsidRPr="0075789D" w:rsidRDefault="00E96CE4" w:rsidP="00E96CE4">
      <w:pPr>
        <w:rPr>
          <w:lang w:val="es-419"/>
        </w:rPr>
      </w:pPr>
      <w:r w:rsidRPr="0075789D">
        <w:rPr>
          <w:lang w:val="es-419"/>
        </w:rPr>
        <w:t>Se ha modificado el Decreto de ejecución de la Ley de Protección de las Obtenciones Vegetales y de Semillas del Japón (Decreto N.º 83 del Ministerio de Agricultura, Silvicultura y Pesca (MAFF), de 3 de diciembre de 1998); la enmienda entró en vigor el 1 de abril de 2022. A fin de tomar medidas contra las infracciones, se establece el sistema de opiniones de carácter consultivo para comparar los caracteres de las variedades presuntamente infractoras con la “descripción de la variedad” protegida, conforme al artículo 35.3 de la Ley.</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rPr>
          <w:lang w:val="es-419"/>
        </w:rPr>
      </w:pPr>
      <w:r w:rsidRPr="0075789D">
        <w:rPr>
          <w:lang w:val="es-419"/>
        </w:rPr>
        <w:t>2.</w:t>
      </w:r>
      <w:r w:rsidRPr="0075789D">
        <w:rPr>
          <w:lang w:val="es-419"/>
        </w:rPr>
        <w:tab/>
      </w:r>
      <w:r w:rsidRPr="0075789D">
        <w:rPr>
          <w:u w:val="single"/>
          <w:lang w:val="es-419"/>
        </w:rPr>
        <w:t>Cooperación en el examen</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Suscripción de nuevos acuerdos</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El MAFF del Japón, Centro Nacional de Semillas y Plántulas, la Organización Nacional de Investigaciones Agrícolas y Alimentarias (NCSS) del Japón y la Oficina Comunitaria de Variedades Vegetales (OCVV) concertaron un acuerdo de asunción y examen técnico por el cual la Oficina de Examen del Japón proporcionará a la OCVV el informe DHE de </w:t>
      </w:r>
      <w:proofErr w:type="spellStart"/>
      <w:r w:rsidRPr="0075789D">
        <w:rPr>
          <w:i/>
          <w:iCs/>
          <w:lang w:val="es-419"/>
        </w:rPr>
        <w:t>Eutrema</w:t>
      </w:r>
      <w:proofErr w:type="spellEnd"/>
      <w:r w:rsidRPr="0075789D">
        <w:rPr>
          <w:i/>
          <w:iCs/>
          <w:lang w:val="es-419"/>
        </w:rPr>
        <w:t xml:space="preserve"> </w:t>
      </w:r>
      <w:proofErr w:type="spellStart"/>
      <w:r w:rsidRPr="0075789D">
        <w:rPr>
          <w:i/>
          <w:iCs/>
          <w:lang w:val="es-419"/>
        </w:rPr>
        <w:t>japonicum</w:t>
      </w:r>
      <w:proofErr w:type="spellEnd"/>
      <w:r w:rsidRPr="0075789D">
        <w:rPr>
          <w:lang w:val="es-419"/>
        </w:rPr>
        <w:t xml:space="preserve"> (</w:t>
      </w:r>
      <w:proofErr w:type="spellStart"/>
      <w:r w:rsidRPr="0075789D">
        <w:rPr>
          <w:lang w:val="es-419"/>
        </w:rPr>
        <w:t>Miq</w:t>
      </w:r>
      <w:proofErr w:type="spellEnd"/>
      <w:r w:rsidRPr="0075789D">
        <w:rPr>
          <w:lang w:val="es-419"/>
        </w:rPr>
        <w:t xml:space="preserve">.) </w:t>
      </w:r>
      <w:proofErr w:type="spellStart"/>
      <w:r w:rsidRPr="0075789D">
        <w:rPr>
          <w:lang w:val="es-419"/>
        </w:rPr>
        <w:t>Koidz</w:t>
      </w:r>
      <w:proofErr w:type="spellEnd"/>
      <w:r w:rsidRPr="0075789D">
        <w:rPr>
          <w:lang w:val="es-419"/>
        </w:rPr>
        <w:t>.</w:t>
      </w:r>
    </w:p>
    <w:p w:rsidR="00E96CE4" w:rsidRDefault="00E96CE4" w:rsidP="00E96CE4">
      <w:pPr>
        <w:rPr>
          <w:lang w:val="es-419"/>
        </w:rPr>
      </w:pPr>
    </w:p>
    <w:p w:rsidR="00E96CE4" w:rsidRPr="0075789D" w:rsidRDefault="00E96CE4" w:rsidP="00E96CE4">
      <w:pPr>
        <w:rPr>
          <w:lang w:val="es-419"/>
        </w:rPr>
      </w:pPr>
    </w:p>
    <w:p w:rsidR="00E96CE4" w:rsidRPr="0075789D" w:rsidRDefault="00E96CE4" w:rsidP="00E96CE4">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Sistema de presentación electrónica de solicitudes</w:t>
      </w:r>
    </w:p>
    <w:p w:rsidR="00E96CE4" w:rsidRPr="0075789D" w:rsidRDefault="00E96CE4" w:rsidP="00E96CE4">
      <w:pPr>
        <w:rPr>
          <w:lang w:val="es-419"/>
        </w:rPr>
      </w:pPr>
    </w:p>
    <w:p w:rsidR="00E96CE4" w:rsidRPr="0075789D" w:rsidRDefault="00E96CE4" w:rsidP="00E96CE4">
      <w:pPr>
        <w:rPr>
          <w:lang w:val="es-419"/>
        </w:rPr>
      </w:pPr>
      <w:r w:rsidRPr="0075789D">
        <w:rPr>
          <w:lang w:val="es-419"/>
        </w:rPr>
        <w:t>Desde 2018, el MAFF tiene en funcionamiento un sistema nacional de presentación electrónica de solicitudes de protección de las obtenciones vegetales (el Sistema de acceso integrado por Internet a datos de registro de variedades (VIPS)), para mayor comodidad de los solicitantes. De manera que estos pueden presentar sus documentos de solicitud y abonar las tasas de solicitud y registro electrónicamente por medio del sistema. Hasta el 31 marzo de 2022, se han presentado 1.360 solicitudes por medio del VIPS. El VIPS se está perfeccionando para que esté conectado a UPOV PRISMA.</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keepNext/>
        <w:rPr>
          <w:u w:val="single"/>
          <w:lang w:val="es-419"/>
        </w:rPr>
      </w:pPr>
      <w:r w:rsidRPr="0075789D">
        <w:rPr>
          <w:lang w:val="es-419"/>
        </w:rPr>
        <w:lastRenderedPageBreak/>
        <w:t>4.</w:t>
      </w:r>
      <w:r w:rsidRPr="0075789D">
        <w:rPr>
          <w:lang w:val="es-419"/>
        </w:rPr>
        <w:tab/>
      </w:r>
      <w:r w:rsidRPr="0075789D">
        <w:rPr>
          <w:u w:val="single"/>
          <w:lang w:val="es-419"/>
        </w:rPr>
        <w:t>Situación en el ámbito técnico</w:t>
      </w:r>
    </w:p>
    <w:p w:rsidR="00E96CE4" w:rsidRPr="0075789D" w:rsidRDefault="00E96CE4" w:rsidP="00E96CE4">
      <w:pPr>
        <w:keepNext/>
        <w:rPr>
          <w:lang w:val="es-419"/>
        </w:rPr>
      </w:pPr>
    </w:p>
    <w:p w:rsidR="00E96CE4" w:rsidRPr="0075789D" w:rsidRDefault="00E96CE4" w:rsidP="00E96CE4">
      <w:pPr>
        <w:rPr>
          <w:lang w:val="es-419"/>
        </w:rPr>
      </w:pPr>
      <w:r w:rsidRPr="0075789D">
        <w:rPr>
          <w:lang w:val="es-419"/>
        </w:rPr>
        <w:t xml:space="preserve">En 2021 se elaboraron nuevas directrices nacionales de examen correspondientes a 32 géneros y especies. </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El NCSS —el instituto de ensayos DHE en cultivo del Japón— está trabajando conjuntamente con el </w:t>
      </w:r>
      <w:proofErr w:type="spellStart"/>
      <w:r w:rsidRPr="0075789D">
        <w:rPr>
          <w:i/>
          <w:iCs/>
          <w:lang w:val="es-419"/>
        </w:rPr>
        <w:t>Naktuinbouw</w:t>
      </w:r>
      <w:proofErr w:type="spellEnd"/>
      <w:r w:rsidRPr="0075789D">
        <w:rPr>
          <w:lang w:val="es-419"/>
        </w:rPr>
        <w:t xml:space="preserve"> a fin de establecer los manuales de calibración para el examen DHE que faciliten la armonización de los ensayos DHE. Los manuales de calibración están concebidos como un material de referencia de fácil comprensión para los usuarios, e incluyen fotografías informativas para explicar cómo se observan y se miden los caracteres de las variedades candidatas. Esta actividad conjunta se centra en las 10 plantas siguientes: </w:t>
      </w:r>
      <w:proofErr w:type="spellStart"/>
      <w:r w:rsidRPr="0075789D">
        <w:rPr>
          <w:i/>
          <w:iCs/>
          <w:lang w:val="es-419"/>
        </w:rPr>
        <w:t>Anthurium</w:t>
      </w:r>
      <w:proofErr w:type="spellEnd"/>
      <w:r w:rsidRPr="0075789D">
        <w:rPr>
          <w:lang w:val="es-419"/>
        </w:rPr>
        <w:t xml:space="preserve">, berenjena, crisantemo, </w:t>
      </w:r>
      <w:proofErr w:type="spellStart"/>
      <w:r w:rsidRPr="0075789D">
        <w:rPr>
          <w:lang w:val="es-419"/>
        </w:rPr>
        <w:t>gerbera</w:t>
      </w:r>
      <w:proofErr w:type="spellEnd"/>
      <w:r w:rsidRPr="0075789D">
        <w:rPr>
          <w:lang w:val="es-419"/>
        </w:rPr>
        <w:t xml:space="preserve">, tomate, tulipán, rosal, lechuga, clavel y sandía. Ya se han finalizado todos los manuales y pueden consultarse en el sitio web del NCSS </w:t>
      </w:r>
      <w:hyperlink r:id="rId16" w:history="1">
        <w:r w:rsidRPr="0075789D">
          <w:rPr>
            <w:rStyle w:val="Hyperlink"/>
            <w:lang w:val="es-419"/>
          </w:rPr>
          <w:t>http://www.naro.affrc.go.jp/english/laboratory/ncss/dus_growing_test/index.html</w:t>
        </w:r>
      </w:hyperlink>
      <w:r w:rsidRPr="0075789D">
        <w:rPr>
          <w:lang w:val="es-419"/>
        </w:rPr>
        <w:t xml:space="preserve"> y en el </w:t>
      </w:r>
      <w:proofErr w:type="spellStart"/>
      <w:r w:rsidRPr="0075789D">
        <w:rPr>
          <w:i/>
          <w:iCs/>
          <w:lang w:val="es-419"/>
        </w:rPr>
        <w:t>Naktuinbouw</w:t>
      </w:r>
      <w:proofErr w:type="spellEnd"/>
      <w:r w:rsidRPr="0075789D">
        <w:rPr>
          <w:lang w:val="es-419"/>
        </w:rPr>
        <w:t xml:space="preserve">. </w:t>
      </w:r>
    </w:p>
    <w:p w:rsidR="00E96CE4" w:rsidRPr="0075789D" w:rsidRDefault="00E96CE4" w:rsidP="00E96CE4">
      <w:pPr>
        <w:rPr>
          <w:lang w:val="es-419"/>
        </w:rPr>
      </w:pPr>
    </w:p>
    <w:p w:rsidR="00E96CE4" w:rsidRPr="0075789D" w:rsidRDefault="00E96CE4" w:rsidP="00E96CE4">
      <w:pPr>
        <w:rPr>
          <w:lang w:val="es-419"/>
        </w:rPr>
      </w:pPr>
    </w:p>
    <w:p w:rsidR="00E96CE4" w:rsidRPr="0075789D" w:rsidRDefault="00E96CE4" w:rsidP="00E96CE4">
      <w:pPr>
        <w:rPr>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5.1</w:t>
      </w:r>
      <w:r w:rsidRPr="0075789D">
        <w:rPr>
          <w:i/>
          <w:lang w:val="es-419"/>
        </w:rPr>
        <w:tab/>
        <w:t>Foro de Asia Oriental para la Protección de las Obtenciones Vegetales (Foro EAPVP)</w:t>
      </w:r>
    </w:p>
    <w:p w:rsidR="00E96CE4" w:rsidRPr="0075789D" w:rsidRDefault="00E96CE4" w:rsidP="00E96CE4">
      <w:pPr>
        <w:rPr>
          <w:lang w:val="es-419"/>
        </w:rPr>
      </w:pPr>
    </w:p>
    <w:p w:rsidR="00E96CE4" w:rsidRPr="0075789D" w:rsidRDefault="00E96CE4" w:rsidP="00E96CE4">
      <w:pPr>
        <w:rPr>
          <w:lang w:val="es-419"/>
        </w:rPr>
      </w:pPr>
      <w:r w:rsidRPr="0075789D">
        <w:rPr>
          <w:lang w:val="es-419"/>
        </w:rPr>
        <w:t>De conformidad con el “Plan estratégico del Foro EAPVP para los diez próximos años (2018-2027)”, aprobado en la undécima reunión anual del Foro, que se celebró en 2018, cada país miembro está promoviendo actividades nacionales o regionales relacionadas con la protección de las obtenciones vegetales.</w:t>
      </w:r>
    </w:p>
    <w:p w:rsidR="00E96CE4" w:rsidRPr="0075789D" w:rsidRDefault="00E96CE4" w:rsidP="00E96CE4">
      <w:pPr>
        <w:rPr>
          <w:lang w:val="es-419"/>
        </w:rPr>
      </w:pPr>
    </w:p>
    <w:p w:rsidR="00E96CE4" w:rsidRPr="0075789D" w:rsidRDefault="00E96CE4" w:rsidP="00E96CE4">
      <w:pPr>
        <w:rPr>
          <w:lang w:val="es-419"/>
        </w:rPr>
      </w:pPr>
      <w:r w:rsidRPr="0075789D">
        <w:rPr>
          <w:lang w:val="es-419"/>
        </w:rPr>
        <w:t>La 15.ª reunión anual se celebró por medios electrónicos el 13 de julio de 2022 y en ella se aprobaron actividades de cooperación y se informó sobre el avance del proyecto piloto del Foro EAPVP.</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5.2</w:t>
      </w:r>
      <w:r w:rsidRPr="0075789D">
        <w:rPr>
          <w:i/>
          <w:lang w:val="es-419"/>
        </w:rPr>
        <w:tab/>
        <w:t>Proyecto piloto del Foro EAPVP (e-PVP Asia)</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En la undécima reunión anual del Foro se acordó emprender, como actividad de cooperación regional, el proyecto piloto propuesto por el Japón y </w:t>
      </w:r>
      <w:proofErr w:type="spellStart"/>
      <w:r w:rsidRPr="0075789D">
        <w:rPr>
          <w:lang w:val="es-419"/>
        </w:rPr>
        <w:t>Viet</w:t>
      </w:r>
      <w:proofErr w:type="spellEnd"/>
      <w:r w:rsidRPr="0075789D">
        <w:rPr>
          <w:lang w:val="es-419"/>
        </w:rPr>
        <w:t> </w:t>
      </w:r>
      <w:proofErr w:type="spellStart"/>
      <w:r w:rsidRPr="0075789D">
        <w:rPr>
          <w:lang w:val="es-419"/>
        </w:rPr>
        <w:t>Nam</w:t>
      </w:r>
      <w:proofErr w:type="spellEnd"/>
      <w:r w:rsidRPr="0075789D">
        <w:rPr>
          <w:lang w:val="es-419"/>
        </w:rPr>
        <w:t>. Dicho proyecto consta de dos fases: una primera fase de desarrollo y puesta a prueba (2018-2022) y una segunda fase de funcionamiento (2023-). Desde octubre de 2018 se han celebrado nueve reuniones del proyecto piloto.</w:t>
      </w:r>
    </w:p>
    <w:p w:rsidR="00E96CE4" w:rsidRPr="0075789D" w:rsidRDefault="00E96CE4" w:rsidP="00E96CE4">
      <w:pPr>
        <w:rPr>
          <w:lang w:val="es-419"/>
        </w:rPr>
      </w:pPr>
    </w:p>
    <w:p w:rsidR="00E96CE4" w:rsidRPr="0075789D" w:rsidRDefault="00E96CE4" w:rsidP="00E96CE4">
      <w:pPr>
        <w:rPr>
          <w:lang w:val="es-419"/>
        </w:rPr>
      </w:pPr>
      <w:r w:rsidRPr="0075789D">
        <w:rPr>
          <w:lang w:val="es-419"/>
        </w:rPr>
        <w:t>i. Países participantes</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En la actualidad, los países participantes son el Japón y </w:t>
      </w:r>
      <w:proofErr w:type="spellStart"/>
      <w:r w:rsidRPr="0075789D">
        <w:rPr>
          <w:lang w:val="es-419"/>
        </w:rPr>
        <w:t>Viet</w:t>
      </w:r>
      <w:proofErr w:type="spellEnd"/>
      <w:r w:rsidRPr="0075789D">
        <w:rPr>
          <w:lang w:val="es-419"/>
        </w:rPr>
        <w:t> </w:t>
      </w:r>
      <w:proofErr w:type="spellStart"/>
      <w:r w:rsidRPr="0075789D">
        <w:rPr>
          <w:lang w:val="es-419"/>
        </w:rPr>
        <w:t>Nam</w:t>
      </w:r>
      <w:proofErr w:type="spellEnd"/>
      <w:r w:rsidRPr="0075789D">
        <w:rPr>
          <w:lang w:val="es-419"/>
        </w:rPr>
        <w:t>. Brunei Darussalam, Malasia y Myanmar son participantes provisionales y la Oficina de la UPOV aporta recursos al proyecto. Los países integrantes el Foro EAPVP que deseen participar en el proyecto piloto pueden hacerlo si son miembros de la UPOV. Los países miembros del Foro EAPVP que se han comprometido oficialmente a ingresar en la UPOV pueden, previa petición, ser seleccionados como participantes provisionales durante la primera fase. Todos los países miembros del Foro EAPVP pueden asistir a las reuniones del proyecto piloto.</w:t>
      </w:r>
    </w:p>
    <w:p w:rsidR="00E96CE4" w:rsidRPr="0075789D" w:rsidRDefault="00E96CE4" w:rsidP="00E96CE4">
      <w:pPr>
        <w:rPr>
          <w:lang w:val="es-419"/>
        </w:rPr>
      </w:pPr>
    </w:p>
    <w:p w:rsidR="00E96CE4" w:rsidRPr="0075789D" w:rsidRDefault="00E96CE4" w:rsidP="00E96CE4">
      <w:pPr>
        <w:rPr>
          <w:lang w:val="es-419"/>
        </w:rPr>
      </w:pPr>
      <w:r w:rsidRPr="0075789D">
        <w:rPr>
          <w:lang w:val="es-419"/>
        </w:rPr>
        <w:t>ii.</w:t>
      </w:r>
      <w:r w:rsidRPr="0075789D">
        <w:rPr>
          <w:lang w:val="es-419"/>
        </w:rPr>
        <w:tab/>
        <w:t xml:space="preserve">Ventajas del e-PVP Asia </w:t>
      </w:r>
    </w:p>
    <w:p w:rsidR="00E96CE4" w:rsidRPr="0075789D" w:rsidRDefault="00E96CE4" w:rsidP="00E96CE4">
      <w:pPr>
        <w:rPr>
          <w:lang w:val="es-419"/>
        </w:rPr>
      </w:pPr>
    </w:p>
    <w:p w:rsidR="00E96CE4" w:rsidRPr="0075789D" w:rsidRDefault="00E96CE4" w:rsidP="00E96CE4">
      <w:pPr>
        <w:spacing w:after="120"/>
        <w:rPr>
          <w:lang w:val="es-419"/>
        </w:rPr>
      </w:pPr>
      <w:r w:rsidRPr="0075789D">
        <w:rPr>
          <w:lang w:val="es-419"/>
        </w:rPr>
        <w:t>Para los obtentores y los agentes</w:t>
      </w:r>
    </w:p>
    <w:p w:rsidR="00E96CE4" w:rsidRPr="0075789D" w:rsidRDefault="00E96CE4" w:rsidP="00E96CE4">
      <w:pPr>
        <w:rPr>
          <w:lang w:val="es-419"/>
        </w:rPr>
      </w:pPr>
      <w:r w:rsidRPr="0075789D">
        <w:rPr>
          <w:lang w:val="es-419"/>
        </w:rPr>
        <w:t>El e-PVP Asia:</w:t>
      </w:r>
    </w:p>
    <w:p w:rsidR="00E96CE4" w:rsidRPr="0075789D" w:rsidRDefault="00E96CE4" w:rsidP="00E96CE4">
      <w:pPr>
        <w:numPr>
          <w:ilvl w:val="0"/>
          <w:numId w:val="25"/>
        </w:numPr>
        <w:rPr>
          <w:lang w:val="es-419"/>
        </w:rPr>
      </w:pPr>
      <w:r w:rsidRPr="0075789D">
        <w:rPr>
          <w:lang w:val="es-419"/>
        </w:rPr>
        <w:t>aportará una herramienta única en línea para transmitir los datos de las solicitudes a las oficinas de protección de las obtenciones vegetales de los países participantes en el e-PVP Asia; y</w:t>
      </w:r>
    </w:p>
    <w:p w:rsidR="00E96CE4" w:rsidRPr="0075789D" w:rsidRDefault="00E96CE4" w:rsidP="00E96CE4">
      <w:pPr>
        <w:numPr>
          <w:ilvl w:val="0"/>
          <w:numId w:val="25"/>
        </w:numPr>
        <w:rPr>
          <w:lang w:val="es-419"/>
        </w:rPr>
      </w:pPr>
      <w:r w:rsidRPr="0075789D">
        <w:rPr>
          <w:lang w:val="es-419"/>
        </w:rPr>
        <w:t xml:space="preserve">constituirá una plataforma de intercambio de informes de examen DHE entre los países participantes en el e-PVP Asia, lo que contribuirá a ahorrar tiempo y dinero al reducir el número de exámenes DHE. </w:t>
      </w:r>
    </w:p>
    <w:p w:rsidR="00E96CE4" w:rsidRPr="0075789D" w:rsidRDefault="00E96CE4" w:rsidP="00E96CE4">
      <w:pPr>
        <w:rPr>
          <w:lang w:val="es-419"/>
        </w:rPr>
      </w:pPr>
    </w:p>
    <w:p w:rsidR="00E96CE4" w:rsidRPr="0075789D" w:rsidRDefault="00E96CE4" w:rsidP="00E96CE4">
      <w:pPr>
        <w:spacing w:after="120"/>
        <w:rPr>
          <w:lang w:val="es-419"/>
        </w:rPr>
      </w:pPr>
      <w:r w:rsidRPr="0075789D">
        <w:rPr>
          <w:lang w:val="es-419"/>
        </w:rPr>
        <w:t>Para las oficinas de protección de las obtenciones vegetales participantes</w:t>
      </w:r>
    </w:p>
    <w:p w:rsidR="00E96CE4" w:rsidRPr="0075789D" w:rsidRDefault="00E96CE4" w:rsidP="00E96CE4">
      <w:pPr>
        <w:rPr>
          <w:lang w:val="es-419"/>
        </w:rPr>
      </w:pPr>
      <w:r w:rsidRPr="0075789D">
        <w:rPr>
          <w:lang w:val="es-419"/>
        </w:rPr>
        <w:t>El e-PVP Asia (plataforma para la protección de las obtenciones vegetales):</w:t>
      </w:r>
    </w:p>
    <w:p w:rsidR="00E96CE4" w:rsidRPr="0075789D" w:rsidRDefault="00E96CE4" w:rsidP="00E96CE4">
      <w:pPr>
        <w:numPr>
          <w:ilvl w:val="0"/>
          <w:numId w:val="25"/>
        </w:numPr>
        <w:rPr>
          <w:lang w:val="es-419"/>
        </w:rPr>
      </w:pPr>
      <w:r w:rsidRPr="0075789D">
        <w:rPr>
          <w:lang w:val="es-419"/>
        </w:rPr>
        <w:t>potenciará la cooperación en materia de examen DHE entre las oficinas de protección de las obtenciones vegetales de los países participantes en el e-PVP Asia lo que contribuirá a atenuar las diferencias de capacidad en cuanto a recursos humanos, infraestructura y condiciones naturales para los ensayos en cultivo.</w:t>
      </w:r>
    </w:p>
    <w:p w:rsidR="00E96CE4" w:rsidRPr="0075789D" w:rsidRDefault="00E96CE4" w:rsidP="00E96CE4">
      <w:pPr>
        <w:rPr>
          <w:lang w:val="es-419"/>
        </w:rPr>
      </w:pPr>
    </w:p>
    <w:p w:rsidR="00E96CE4" w:rsidRDefault="00E96CE4">
      <w:pPr>
        <w:jc w:val="left"/>
        <w:rPr>
          <w:lang w:val="es-419"/>
        </w:rPr>
      </w:pPr>
      <w:r>
        <w:rPr>
          <w:lang w:val="es-419"/>
        </w:rPr>
        <w:br w:type="page"/>
      </w:r>
    </w:p>
    <w:p w:rsidR="00E96CE4" w:rsidRPr="0075789D" w:rsidRDefault="00E96CE4" w:rsidP="00E96CE4">
      <w:pPr>
        <w:rPr>
          <w:lang w:val="es-419"/>
        </w:rPr>
      </w:pPr>
      <w:r w:rsidRPr="0075789D">
        <w:rPr>
          <w:lang w:val="es-419"/>
        </w:rPr>
        <w:lastRenderedPageBreak/>
        <w:t xml:space="preserve">iii. </w:t>
      </w:r>
      <w:r w:rsidRPr="0075789D">
        <w:rPr>
          <w:lang w:val="es-419"/>
        </w:rPr>
        <w:tab/>
        <w:t>Avance del proyecto piloto</w:t>
      </w:r>
    </w:p>
    <w:p w:rsidR="00E96CE4" w:rsidRPr="0075789D" w:rsidRDefault="00E96CE4" w:rsidP="00E96CE4">
      <w:pPr>
        <w:rPr>
          <w:lang w:val="es-419"/>
        </w:rPr>
      </w:pPr>
    </w:p>
    <w:p w:rsidR="00E96CE4" w:rsidRPr="0075789D" w:rsidRDefault="00E96CE4" w:rsidP="00E96CE4">
      <w:pPr>
        <w:rPr>
          <w:lang w:val="es-419"/>
        </w:rPr>
      </w:pPr>
      <w:r w:rsidRPr="0075789D">
        <w:rPr>
          <w:lang w:val="es-419"/>
        </w:rPr>
        <w:t>En la novena reunión del proyecto piloto, celebrada por correspondencia en marzo de 2022, se acordó el esquema del proyecto y se presentaron las pantallas de usuario de los módulos e-PVP. Los países que participan en el proyecto piloto han distribuido el esquema del proyecto a todos los miembros del Foro. Se informó del desarrollo del proyecto en la decimoquinta reunión anual del Foro EAPVP.</w:t>
      </w:r>
    </w:p>
    <w:p w:rsidR="00E96CE4" w:rsidRPr="0075789D" w:rsidRDefault="00E96CE4" w:rsidP="00E96CE4">
      <w:pPr>
        <w:rPr>
          <w:lang w:val="es-419"/>
        </w:rPr>
      </w:pPr>
    </w:p>
    <w:p w:rsidR="00E96CE4" w:rsidRPr="0075789D" w:rsidRDefault="00E96CE4" w:rsidP="00E96CE4">
      <w:pPr>
        <w:rPr>
          <w:i/>
          <w:lang w:val="es-419"/>
        </w:rPr>
      </w:pPr>
      <w:r w:rsidRPr="0075789D">
        <w:rPr>
          <w:i/>
          <w:lang w:val="es-419"/>
        </w:rPr>
        <w:t>5.3</w:t>
      </w:r>
      <w:r w:rsidRPr="0075789D">
        <w:rPr>
          <w:i/>
          <w:lang w:val="es-419"/>
        </w:rPr>
        <w:tab/>
        <w:t>Curso internacional de formación organizado por la Agencia Japonesa de Cooperación Internacional (JICA)</w:t>
      </w:r>
    </w:p>
    <w:p w:rsidR="00E96CE4" w:rsidRPr="0075789D" w:rsidRDefault="00E96CE4" w:rsidP="00E96CE4">
      <w:pPr>
        <w:rPr>
          <w:lang w:val="es-419"/>
        </w:rPr>
      </w:pPr>
    </w:p>
    <w:p w:rsidR="00E96CE4" w:rsidRPr="0075789D" w:rsidRDefault="00E96CE4" w:rsidP="00E96CE4">
      <w:pPr>
        <w:rPr>
          <w:lang w:val="es-419"/>
        </w:rPr>
      </w:pPr>
      <w:r w:rsidRPr="0075789D">
        <w:rPr>
          <w:lang w:val="es-419"/>
        </w:rPr>
        <w:t xml:space="preserve">Se ofreció un curso internacional de formación de tres meses de duración, titulado “La protección de las obtenciones vegetales y el sistema de control de la calidad de las semillas para facilitar la distribución de semillas de alta calidad”, organizado por la JICA en colaboración con la Secretaría de la UPOV, del </w:t>
      </w:r>
      <w:r>
        <w:rPr>
          <w:lang w:val="es-419"/>
        </w:rPr>
        <w:br/>
      </w:r>
      <w:r w:rsidRPr="0075789D">
        <w:rPr>
          <w:lang w:val="es-419"/>
        </w:rPr>
        <w:t xml:space="preserve">22 de agosto al 6 de octubre de 2022 por medio de una plataforma en línea; en este curso participaron </w:t>
      </w:r>
      <w:r>
        <w:rPr>
          <w:lang w:val="es-419"/>
        </w:rPr>
        <w:br/>
      </w:r>
      <w:r w:rsidRPr="0075789D">
        <w:rPr>
          <w:lang w:val="es-419"/>
        </w:rPr>
        <w:t xml:space="preserve">14 cursillistas de Bangladesh, Filipinas, Indonesia, Nepal, Tailandia, Uzbekistán, </w:t>
      </w:r>
      <w:proofErr w:type="spellStart"/>
      <w:r w:rsidRPr="0075789D">
        <w:rPr>
          <w:lang w:val="es-419"/>
        </w:rPr>
        <w:t>Viet</w:t>
      </w:r>
      <w:proofErr w:type="spellEnd"/>
      <w:r w:rsidRPr="0075789D">
        <w:rPr>
          <w:lang w:val="es-419"/>
        </w:rPr>
        <w:t xml:space="preserve"> </w:t>
      </w:r>
      <w:proofErr w:type="spellStart"/>
      <w:r w:rsidRPr="0075789D">
        <w:rPr>
          <w:lang w:val="es-419"/>
        </w:rPr>
        <w:t>Nam</w:t>
      </w:r>
      <w:proofErr w:type="spellEnd"/>
      <w:r w:rsidRPr="0075789D">
        <w:rPr>
          <w:lang w:val="es-419"/>
        </w:rPr>
        <w:t xml:space="preserve"> y Zambia.</w:t>
      </w:r>
    </w:p>
    <w:p w:rsidR="00991CBD" w:rsidRDefault="00991CBD" w:rsidP="00991CBD"/>
    <w:p w:rsidR="00E96CE4" w:rsidRDefault="00E96CE4" w:rsidP="00991CBD">
      <w:pPr>
        <w:sectPr w:rsidR="00E96CE4" w:rsidSect="0049108C">
          <w:headerReference w:type="default" r:id="rId17"/>
          <w:pgSz w:w="11907" w:h="16840" w:code="9"/>
          <w:pgMar w:top="510" w:right="1134" w:bottom="1134" w:left="1134" w:header="510" w:footer="680" w:gutter="0"/>
          <w:pgNumType w:start="1"/>
          <w:cols w:space="720"/>
          <w:titlePg/>
        </w:sectPr>
      </w:pPr>
    </w:p>
    <w:p w:rsidR="00E96CE4" w:rsidRPr="0075789D" w:rsidRDefault="00E96CE4" w:rsidP="00E96CE4">
      <w:pPr>
        <w:rPr>
          <w:lang w:val="es-419"/>
        </w:rPr>
      </w:pPr>
      <w:r w:rsidRPr="0075789D">
        <w:rPr>
          <w:lang w:val="es-419"/>
        </w:rPr>
        <w:lastRenderedPageBreak/>
        <w:t>5.4.2</w:t>
      </w:r>
      <w:r w:rsidRPr="0075789D">
        <w:rPr>
          <w:lang w:val="es-419"/>
        </w:rPr>
        <w:tab/>
        <w:t>Lista de actividades de cooperación del Foro EAPVP (abril de 2021 a marzo de 2022)</w:t>
      </w:r>
    </w:p>
    <w:p w:rsidR="00E96CE4" w:rsidRPr="0075789D" w:rsidRDefault="00E96CE4" w:rsidP="00E96CE4">
      <w:pPr>
        <w:rPr>
          <w:lang w:val="es-419"/>
        </w:rPr>
      </w:pPr>
    </w:p>
    <w:tbl>
      <w:tblPr>
        <w:tblStyle w:val="TableGrid"/>
        <w:tblpPr w:leftFromText="142" w:rightFromText="142" w:vertAnchor="text" w:horzAnchor="margin" w:tblpX="-5" w:tblpY="1"/>
        <w:tblOverlap w:val="never"/>
        <w:tblW w:w="14692" w:type="dxa"/>
        <w:tblLayout w:type="fixed"/>
        <w:tblCellMar>
          <w:top w:w="28" w:type="dxa"/>
          <w:left w:w="57" w:type="dxa"/>
          <w:bottom w:w="28" w:type="dxa"/>
          <w:right w:w="57" w:type="dxa"/>
        </w:tblCellMar>
        <w:tblLook w:val="01E0" w:firstRow="1" w:lastRow="1" w:firstColumn="1" w:lastColumn="1" w:noHBand="0" w:noVBand="0"/>
      </w:tblPr>
      <w:tblGrid>
        <w:gridCol w:w="2240"/>
        <w:gridCol w:w="1299"/>
        <w:gridCol w:w="992"/>
        <w:gridCol w:w="1418"/>
        <w:gridCol w:w="2835"/>
        <w:gridCol w:w="2946"/>
        <w:gridCol w:w="2962"/>
      </w:tblGrid>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Título de la actividad</w:t>
            </w:r>
          </w:p>
        </w:tc>
        <w:tc>
          <w:tcPr>
            <w:tcW w:w="1299" w:type="dxa"/>
          </w:tcPr>
          <w:p w:rsidR="00E96CE4" w:rsidRPr="0075789D" w:rsidRDefault="00E96CE4" w:rsidP="004D1E3E">
            <w:pPr>
              <w:keepNext/>
              <w:jc w:val="left"/>
              <w:rPr>
                <w:sz w:val="16"/>
                <w:szCs w:val="16"/>
                <w:lang w:val="es-419"/>
              </w:rPr>
            </w:pPr>
            <w:r w:rsidRPr="0075789D">
              <w:rPr>
                <w:sz w:val="16"/>
                <w:lang w:val="es-419"/>
              </w:rPr>
              <w:t>Fecha</w:t>
            </w:r>
          </w:p>
        </w:tc>
        <w:tc>
          <w:tcPr>
            <w:tcW w:w="992" w:type="dxa"/>
          </w:tcPr>
          <w:p w:rsidR="00E96CE4" w:rsidRPr="0075789D" w:rsidRDefault="00E96CE4" w:rsidP="004D1E3E">
            <w:pPr>
              <w:keepNext/>
              <w:jc w:val="left"/>
              <w:rPr>
                <w:sz w:val="16"/>
                <w:szCs w:val="16"/>
                <w:lang w:val="es-419"/>
              </w:rPr>
            </w:pPr>
            <w:r w:rsidRPr="0075789D">
              <w:rPr>
                <w:sz w:val="16"/>
                <w:lang w:val="es-419"/>
              </w:rPr>
              <w:t>Lugar</w:t>
            </w:r>
          </w:p>
        </w:tc>
        <w:tc>
          <w:tcPr>
            <w:tcW w:w="1418" w:type="dxa"/>
          </w:tcPr>
          <w:p w:rsidR="00E96CE4" w:rsidRPr="0075789D" w:rsidRDefault="00E96CE4" w:rsidP="004D1E3E">
            <w:pPr>
              <w:keepNext/>
              <w:jc w:val="left"/>
              <w:rPr>
                <w:sz w:val="16"/>
                <w:szCs w:val="16"/>
                <w:lang w:val="es-419"/>
              </w:rPr>
            </w:pPr>
            <w:r w:rsidRPr="0075789D">
              <w:rPr>
                <w:sz w:val="16"/>
                <w:lang w:val="es-419"/>
              </w:rPr>
              <w:t>Organizador(es)</w:t>
            </w:r>
          </w:p>
        </w:tc>
        <w:tc>
          <w:tcPr>
            <w:tcW w:w="2835" w:type="dxa"/>
          </w:tcPr>
          <w:p w:rsidR="00E96CE4" w:rsidRPr="0075789D" w:rsidRDefault="00E96CE4" w:rsidP="004D1E3E">
            <w:pPr>
              <w:keepNext/>
              <w:jc w:val="left"/>
              <w:rPr>
                <w:sz w:val="16"/>
                <w:szCs w:val="16"/>
                <w:lang w:val="es-419"/>
              </w:rPr>
            </w:pPr>
            <w:r w:rsidRPr="0075789D">
              <w:rPr>
                <w:sz w:val="16"/>
                <w:lang w:val="es-419"/>
              </w:rPr>
              <w:t>Finalidad de la actividad</w:t>
            </w:r>
          </w:p>
        </w:tc>
        <w:tc>
          <w:tcPr>
            <w:tcW w:w="2946" w:type="dxa"/>
          </w:tcPr>
          <w:p w:rsidR="00E96CE4" w:rsidRPr="0075789D" w:rsidRDefault="00E96CE4" w:rsidP="004D1E3E">
            <w:pPr>
              <w:keepNext/>
              <w:jc w:val="left"/>
              <w:rPr>
                <w:sz w:val="16"/>
                <w:szCs w:val="16"/>
                <w:lang w:val="es-419"/>
              </w:rPr>
            </w:pPr>
            <w:r w:rsidRPr="0075789D">
              <w:rPr>
                <w:sz w:val="16"/>
                <w:lang w:val="es-419"/>
              </w:rPr>
              <w:t>Países u organizaciones participantes (número de participantes en cada caso)</w:t>
            </w:r>
          </w:p>
        </w:tc>
        <w:tc>
          <w:tcPr>
            <w:tcW w:w="2962" w:type="dxa"/>
          </w:tcPr>
          <w:p w:rsidR="00E96CE4" w:rsidRPr="0075789D" w:rsidRDefault="00E96CE4" w:rsidP="004D1E3E">
            <w:pPr>
              <w:keepNext/>
              <w:jc w:val="left"/>
              <w:rPr>
                <w:sz w:val="16"/>
                <w:szCs w:val="16"/>
                <w:lang w:val="es-419"/>
              </w:rPr>
            </w:pPr>
            <w:r w:rsidRPr="0075789D">
              <w:rPr>
                <w:sz w:val="16"/>
                <w:lang w:val="es-419"/>
              </w:rPr>
              <w:t>Hiperenlace a los detalles</w:t>
            </w:r>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1. Seminario internacional sobre la protección de las obtenciones vegetales</w:t>
            </w:r>
          </w:p>
        </w:tc>
        <w:tc>
          <w:tcPr>
            <w:tcW w:w="1299" w:type="dxa"/>
          </w:tcPr>
          <w:p w:rsidR="00E96CE4" w:rsidRPr="0075789D" w:rsidRDefault="00E96CE4" w:rsidP="004D1E3E">
            <w:pPr>
              <w:keepNext/>
              <w:jc w:val="left"/>
              <w:rPr>
                <w:sz w:val="16"/>
                <w:szCs w:val="16"/>
                <w:lang w:val="es-419"/>
              </w:rPr>
            </w:pPr>
            <w:r w:rsidRPr="0075789D">
              <w:rPr>
                <w:sz w:val="16"/>
                <w:lang w:val="es-419"/>
              </w:rPr>
              <w:t>1 de septiembre de 2021</w:t>
            </w:r>
          </w:p>
        </w:tc>
        <w:tc>
          <w:tcPr>
            <w:tcW w:w="992" w:type="dxa"/>
          </w:tcPr>
          <w:p w:rsidR="00E96CE4" w:rsidRPr="0075789D" w:rsidRDefault="00E96CE4" w:rsidP="004D1E3E">
            <w:pPr>
              <w:keepNext/>
              <w:jc w:val="left"/>
              <w:rPr>
                <w:sz w:val="16"/>
                <w:szCs w:val="16"/>
                <w:lang w:val="es-419"/>
              </w:rPr>
            </w:pPr>
            <w:r w:rsidRPr="0075789D">
              <w:rPr>
                <w:sz w:val="16"/>
                <w:lang w:val="es-419"/>
              </w:rPr>
              <w:t>Japón</w:t>
            </w:r>
          </w:p>
          <w:p w:rsidR="00E96CE4" w:rsidRPr="0075789D" w:rsidRDefault="00E96CE4" w:rsidP="004D1E3E">
            <w:pPr>
              <w:keepNext/>
              <w:jc w:val="left"/>
              <w:rPr>
                <w:sz w:val="16"/>
                <w:szCs w:val="16"/>
                <w:lang w:val="es-419"/>
              </w:rPr>
            </w:pPr>
            <w:r w:rsidRPr="0075789D">
              <w:rPr>
                <w:sz w:val="16"/>
                <w:lang w:val="es-419"/>
              </w:rPr>
              <w:t>(por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JATAFF, MAFF del Japón</w:t>
            </w:r>
          </w:p>
        </w:tc>
        <w:tc>
          <w:tcPr>
            <w:tcW w:w="2835" w:type="dxa"/>
          </w:tcPr>
          <w:p w:rsidR="00E96CE4" w:rsidRPr="0075789D" w:rsidRDefault="00E96CE4" w:rsidP="004D1E3E">
            <w:pPr>
              <w:keepNext/>
              <w:jc w:val="left"/>
              <w:rPr>
                <w:sz w:val="16"/>
                <w:szCs w:val="16"/>
                <w:lang w:val="es-419"/>
              </w:rPr>
            </w:pPr>
            <w:r w:rsidRPr="0075789D">
              <w:rPr>
                <w:sz w:val="16"/>
                <w:lang w:val="es-419"/>
              </w:rPr>
              <w:t>Fomento de la sensibilización sobre el sistema de protección de las obtenciones vegetales con arreglo al Convenio de la UPOV</w:t>
            </w:r>
          </w:p>
        </w:tc>
        <w:tc>
          <w:tcPr>
            <w:tcW w:w="2946" w:type="dxa"/>
          </w:tcPr>
          <w:p w:rsidR="00E96CE4" w:rsidRPr="0075789D" w:rsidRDefault="00E96CE4" w:rsidP="004D1E3E">
            <w:pPr>
              <w:keepNext/>
              <w:jc w:val="left"/>
              <w:rPr>
                <w:sz w:val="16"/>
                <w:szCs w:val="16"/>
                <w:lang w:val="es-419"/>
              </w:rPr>
            </w:pPr>
            <w:r w:rsidRPr="0075789D">
              <w:rPr>
                <w:sz w:val="16"/>
                <w:lang w:val="es-419"/>
              </w:rPr>
              <w:t>Miembros del Foro EAPVP, UPOV, OCVV y USPTO</w:t>
            </w:r>
          </w:p>
        </w:tc>
        <w:tc>
          <w:tcPr>
            <w:tcW w:w="2962" w:type="dxa"/>
          </w:tcPr>
          <w:p w:rsidR="00E96CE4" w:rsidRPr="0075789D" w:rsidRDefault="00E96CE4" w:rsidP="004D1E3E">
            <w:pPr>
              <w:keepNext/>
              <w:jc w:val="left"/>
              <w:rPr>
                <w:sz w:val="16"/>
                <w:szCs w:val="16"/>
                <w:lang w:val="es-419"/>
              </w:rPr>
            </w:pPr>
            <w:hyperlink r:id="rId18" w:history="1">
              <w:r w:rsidRPr="0075789D">
                <w:rPr>
                  <w:rStyle w:val="Hyperlink"/>
                  <w:sz w:val="16"/>
                  <w:lang w:val="es-419"/>
                </w:rPr>
                <w:t>http://eapvp.org/report-data/japan/international_seminar2021/</w:t>
              </w:r>
            </w:hyperlink>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2. Seminario sobre la observancia de los derechos de obtentor</w:t>
            </w:r>
          </w:p>
        </w:tc>
        <w:tc>
          <w:tcPr>
            <w:tcW w:w="1299" w:type="dxa"/>
          </w:tcPr>
          <w:p w:rsidR="00E96CE4" w:rsidRPr="0075789D" w:rsidRDefault="00E96CE4" w:rsidP="004D1E3E">
            <w:pPr>
              <w:keepNext/>
              <w:jc w:val="left"/>
              <w:rPr>
                <w:sz w:val="16"/>
                <w:szCs w:val="16"/>
                <w:lang w:val="es-419"/>
              </w:rPr>
            </w:pPr>
            <w:r w:rsidRPr="0075789D">
              <w:rPr>
                <w:sz w:val="16"/>
                <w:lang w:val="es-419"/>
              </w:rPr>
              <w:t>12 de enero de 2022</w:t>
            </w:r>
          </w:p>
        </w:tc>
        <w:tc>
          <w:tcPr>
            <w:tcW w:w="992" w:type="dxa"/>
          </w:tcPr>
          <w:p w:rsidR="00E96CE4" w:rsidRPr="0075789D" w:rsidRDefault="00E96CE4" w:rsidP="004D1E3E">
            <w:pPr>
              <w:keepNext/>
              <w:jc w:val="left"/>
              <w:rPr>
                <w:sz w:val="16"/>
                <w:szCs w:val="16"/>
                <w:lang w:val="es-419"/>
              </w:rPr>
            </w:pPr>
            <w:proofErr w:type="spellStart"/>
            <w:r w:rsidRPr="0075789D">
              <w:rPr>
                <w:sz w:val="16"/>
                <w:lang w:val="es-419"/>
              </w:rPr>
              <w:t>Viet</w:t>
            </w:r>
            <w:proofErr w:type="spellEnd"/>
            <w:r w:rsidRPr="0075789D">
              <w:rPr>
                <w:sz w:val="16"/>
                <w:lang w:val="es-419"/>
              </w:rPr>
              <w:t xml:space="preserve"> </w:t>
            </w:r>
            <w:proofErr w:type="spellStart"/>
            <w:r w:rsidRPr="0075789D">
              <w:rPr>
                <w:sz w:val="16"/>
                <w:lang w:val="es-419"/>
              </w:rPr>
              <w:t>Nam</w:t>
            </w:r>
            <w:proofErr w:type="spellEnd"/>
            <w:r w:rsidRPr="0075789D">
              <w:rPr>
                <w:sz w:val="16"/>
                <w:lang w:val="es-419"/>
              </w:rPr>
              <w:t xml:space="preserve"> (por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 xml:space="preserve">Ministerio de Agricultura y Desarrollo Rural de </w:t>
            </w:r>
            <w:proofErr w:type="spellStart"/>
            <w:r w:rsidRPr="0075789D">
              <w:rPr>
                <w:sz w:val="16"/>
                <w:lang w:val="es-419"/>
              </w:rPr>
              <w:t>Viet</w:t>
            </w:r>
            <w:proofErr w:type="spellEnd"/>
            <w:r w:rsidRPr="0075789D">
              <w:rPr>
                <w:sz w:val="16"/>
                <w:lang w:val="es-419"/>
              </w:rPr>
              <w:t xml:space="preserve"> </w:t>
            </w:r>
            <w:proofErr w:type="spellStart"/>
            <w:r w:rsidRPr="0075789D">
              <w:rPr>
                <w:sz w:val="16"/>
                <w:lang w:val="es-419"/>
              </w:rPr>
              <w:t>Nam</w:t>
            </w:r>
            <w:proofErr w:type="spellEnd"/>
          </w:p>
        </w:tc>
        <w:tc>
          <w:tcPr>
            <w:tcW w:w="2835" w:type="dxa"/>
          </w:tcPr>
          <w:p w:rsidR="00E96CE4" w:rsidRPr="0075789D" w:rsidRDefault="00E96CE4" w:rsidP="004D1E3E">
            <w:pPr>
              <w:keepNext/>
              <w:jc w:val="left"/>
              <w:rPr>
                <w:sz w:val="16"/>
                <w:szCs w:val="16"/>
                <w:lang w:val="es-419"/>
              </w:rPr>
            </w:pPr>
            <w:r w:rsidRPr="0075789D">
              <w:rPr>
                <w:sz w:val="16"/>
                <w:lang w:val="es-419"/>
              </w:rPr>
              <w:t xml:space="preserve">Fomento de la sensibilización acerca del sistema de protección de las obtenciones vegetales entre el personal de control del mercado, funcionarios de policía de delitos económicos, etc. </w:t>
            </w:r>
          </w:p>
        </w:tc>
        <w:tc>
          <w:tcPr>
            <w:tcW w:w="2946" w:type="dxa"/>
          </w:tcPr>
          <w:p w:rsidR="00E96CE4" w:rsidRPr="0075789D" w:rsidRDefault="00E96CE4" w:rsidP="004D1E3E">
            <w:pPr>
              <w:keepNext/>
              <w:jc w:val="left"/>
              <w:rPr>
                <w:sz w:val="16"/>
                <w:szCs w:val="16"/>
                <w:lang w:val="es-419"/>
              </w:rPr>
            </w:pPr>
            <w:r w:rsidRPr="0075789D">
              <w:rPr>
                <w:sz w:val="16"/>
                <w:lang w:val="es-419"/>
              </w:rPr>
              <w:t xml:space="preserve">Brunei Darussalam (2), Camboya (4), China (1), Filipinas (16), Indonesia (9), Malasia (23), Myanmar (3), República de Corea (3), República Democrática Popular Lao (1), Tailandia (4) y </w:t>
            </w:r>
            <w:proofErr w:type="spellStart"/>
            <w:r w:rsidRPr="0075789D">
              <w:rPr>
                <w:sz w:val="16"/>
                <w:lang w:val="es-419"/>
              </w:rPr>
              <w:t>Viet</w:t>
            </w:r>
            <w:proofErr w:type="spellEnd"/>
            <w:r w:rsidRPr="0075789D">
              <w:rPr>
                <w:sz w:val="16"/>
                <w:lang w:val="es-419"/>
              </w:rPr>
              <w:t xml:space="preserve"> </w:t>
            </w:r>
            <w:proofErr w:type="spellStart"/>
            <w:r w:rsidRPr="0075789D">
              <w:rPr>
                <w:sz w:val="16"/>
                <w:lang w:val="es-419"/>
              </w:rPr>
              <w:t>Nam</w:t>
            </w:r>
            <w:proofErr w:type="spellEnd"/>
            <w:r w:rsidRPr="0075789D">
              <w:rPr>
                <w:sz w:val="16"/>
                <w:lang w:val="es-419"/>
              </w:rPr>
              <w:t> (58)</w:t>
            </w:r>
          </w:p>
        </w:tc>
        <w:tc>
          <w:tcPr>
            <w:tcW w:w="2962" w:type="dxa"/>
          </w:tcPr>
          <w:p w:rsidR="00E96CE4" w:rsidRPr="0075789D" w:rsidRDefault="00E96CE4" w:rsidP="004D1E3E">
            <w:pPr>
              <w:keepNext/>
              <w:jc w:val="left"/>
              <w:rPr>
                <w:sz w:val="16"/>
                <w:szCs w:val="16"/>
                <w:lang w:val="es-419"/>
              </w:rPr>
            </w:pPr>
            <w:hyperlink r:id="rId19" w:history="1">
              <w:r w:rsidRPr="0075789D">
                <w:rPr>
                  <w:rStyle w:val="Hyperlink"/>
                  <w:sz w:val="16"/>
                  <w:lang w:val="es-419"/>
                </w:rPr>
                <w:t>http://eapvp.org/report-data/vietnam/ministry-of-agriculture-and-rural-development-of-vietnam-held-online-seminar-on-the-enforcement-of-plant-breeders-rights/</w:t>
              </w:r>
            </w:hyperlink>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3. Taller de formación en DHE</w:t>
            </w:r>
          </w:p>
        </w:tc>
        <w:tc>
          <w:tcPr>
            <w:tcW w:w="1299" w:type="dxa"/>
          </w:tcPr>
          <w:p w:rsidR="00E96CE4" w:rsidRPr="0075789D" w:rsidRDefault="00E96CE4" w:rsidP="004D1E3E">
            <w:pPr>
              <w:keepNext/>
              <w:jc w:val="left"/>
              <w:rPr>
                <w:sz w:val="16"/>
                <w:szCs w:val="16"/>
                <w:lang w:val="es-419"/>
              </w:rPr>
            </w:pPr>
            <w:r w:rsidRPr="0075789D">
              <w:rPr>
                <w:sz w:val="16"/>
                <w:lang w:val="es-419"/>
              </w:rPr>
              <w:t>18 y 19 de enero de 2022</w:t>
            </w:r>
          </w:p>
        </w:tc>
        <w:tc>
          <w:tcPr>
            <w:tcW w:w="992" w:type="dxa"/>
          </w:tcPr>
          <w:p w:rsidR="00E96CE4" w:rsidRPr="0075789D" w:rsidRDefault="00E96CE4" w:rsidP="004D1E3E">
            <w:pPr>
              <w:keepNext/>
              <w:jc w:val="left"/>
              <w:rPr>
                <w:sz w:val="16"/>
                <w:szCs w:val="16"/>
                <w:lang w:val="es-419"/>
              </w:rPr>
            </w:pPr>
            <w:r w:rsidRPr="0075789D">
              <w:rPr>
                <w:sz w:val="16"/>
                <w:lang w:val="es-419"/>
              </w:rPr>
              <w:t>Japón</w:t>
            </w:r>
          </w:p>
          <w:p w:rsidR="00E96CE4" w:rsidRPr="0075789D" w:rsidRDefault="00E96CE4" w:rsidP="004D1E3E">
            <w:pPr>
              <w:keepNext/>
              <w:jc w:val="left"/>
              <w:rPr>
                <w:sz w:val="16"/>
                <w:szCs w:val="16"/>
                <w:lang w:val="es-419"/>
              </w:rPr>
            </w:pPr>
            <w:r w:rsidRPr="0075789D">
              <w:rPr>
                <w:sz w:val="16"/>
                <w:lang w:val="es-419"/>
              </w:rPr>
              <w:t>(por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NCSS del Japón</w:t>
            </w:r>
          </w:p>
        </w:tc>
        <w:tc>
          <w:tcPr>
            <w:tcW w:w="2835" w:type="dxa"/>
          </w:tcPr>
          <w:p w:rsidR="00E96CE4" w:rsidRPr="0075789D" w:rsidRDefault="00E96CE4" w:rsidP="004D1E3E">
            <w:pPr>
              <w:keepNext/>
              <w:jc w:val="left"/>
              <w:rPr>
                <w:sz w:val="16"/>
                <w:szCs w:val="16"/>
                <w:lang w:val="es-419"/>
              </w:rPr>
            </w:pPr>
            <w:r w:rsidRPr="0075789D">
              <w:rPr>
                <w:sz w:val="16"/>
                <w:lang w:val="es-419"/>
              </w:rPr>
              <w:t xml:space="preserve">Fortalecer la capacidad de las autoridades en los países de la Asociación de Naciones de Asia Sudoriental (ASEAN). </w:t>
            </w:r>
          </w:p>
        </w:tc>
        <w:tc>
          <w:tcPr>
            <w:tcW w:w="2946" w:type="dxa"/>
          </w:tcPr>
          <w:p w:rsidR="00E96CE4" w:rsidRPr="0075789D" w:rsidRDefault="00E96CE4" w:rsidP="004D1E3E">
            <w:pPr>
              <w:keepNext/>
              <w:jc w:val="left"/>
              <w:rPr>
                <w:sz w:val="16"/>
                <w:szCs w:val="16"/>
                <w:lang w:val="es-419"/>
              </w:rPr>
            </w:pPr>
            <w:r w:rsidRPr="0075789D">
              <w:rPr>
                <w:sz w:val="16"/>
                <w:lang w:val="es-419"/>
              </w:rPr>
              <w:t xml:space="preserve">Brunei Darussalam (2), Camboya (4), Filipinas (4), Indonesia (4), Malasia (3), Myanmar (3), República Democrática Popular Lao (5), Tailandia (3) y </w:t>
            </w:r>
            <w:proofErr w:type="spellStart"/>
            <w:r w:rsidRPr="0075789D">
              <w:rPr>
                <w:sz w:val="16"/>
                <w:lang w:val="es-419"/>
              </w:rPr>
              <w:t>Viet</w:t>
            </w:r>
            <w:proofErr w:type="spellEnd"/>
            <w:r w:rsidRPr="0075789D">
              <w:rPr>
                <w:sz w:val="16"/>
                <w:lang w:val="es-419"/>
              </w:rPr>
              <w:t xml:space="preserve"> </w:t>
            </w:r>
            <w:proofErr w:type="spellStart"/>
            <w:r w:rsidRPr="0075789D">
              <w:rPr>
                <w:sz w:val="16"/>
                <w:lang w:val="es-419"/>
              </w:rPr>
              <w:t>Nam</w:t>
            </w:r>
            <w:proofErr w:type="spellEnd"/>
            <w:r w:rsidRPr="0075789D">
              <w:rPr>
                <w:sz w:val="16"/>
                <w:lang w:val="es-419"/>
              </w:rPr>
              <w:t> (5)</w:t>
            </w:r>
          </w:p>
        </w:tc>
        <w:tc>
          <w:tcPr>
            <w:tcW w:w="2962" w:type="dxa"/>
          </w:tcPr>
          <w:p w:rsidR="00E96CE4" w:rsidRPr="0075789D" w:rsidRDefault="00E96CE4" w:rsidP="004D1E3E">
            <w:pPr>
              <w:keepNext/>
              <w:jc w:val="left"/>
              <w:rPr>
                <w:sz w:val="16"/>
                <w:szCs w:val="16"/>
                <w:lang w:val="es-419"/>
              </w:rPr>
            </w:pPr>
            <w:hyperlink r:id="rId20" w:history="1">
              <w:r w:rsidRPr="0075789D">
                <w:rPr>
                  <w:rStyle w:val="Hyperlink"/>
                  <w:sz w:val="16"/>
                  <w:lang w:val="es-419"/>
                </w:rPr>
                <w:t>http://eapvp.org/report-data/japan/ministry-of-agriculture-forestry-and-fisheries-of-japan-held-capacity-building-workshop-1-introduction-of-pvp-upov-tg1-3/</w:t>
              </w:r>
            </w:hyperlink>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4. Seminario sobre la exención del obtentor en la protección de las obtenciones vegetales con arreglo al Convenio de la UPOV</w:t>
            </w:r>
          </w:p>
          <w:p w:rsidR="00E96CE4" w:rsidRPr="0075789D" w:rsidRDefault="00E96CE4" w:rsidP="004D1E3E">
            <w:pPr>
              <w:keepNext/>
              <w:jc w:val="left"/>
              <w:rPr>
                <w:sz w:val="16"/>
                <w:szCs w:val="16"/>
                <w:lang w:val="es-419" w:eastAsia="ja-JP"/>
              </w:rPr>
            </w:pPr>
          </w:p>
        </w:tc>
        <w:tc>
          <w:tcPr>
            <w:tcW w:w="1299" w:type="dxa"/>
          </w:tcPr>
          <w:p w:rsidR="00E96CE4" w:rsidRPr="0075789D" w:rsidRDefault="00E96CE4" w:rsidP="004D1E3E">
            <w:pPr>
              <w:keepNext/>
              <w:jc w:val="left"/>
              <w:rPr>
                <w:sz w:val="16"/>
                <w:szCs w:val="16"/>
                <w:lang w:val="es-419"/>
              </w:rPr>
            </w:pPr>
            <w:r w:rsidRPr="0075789D">
              <w:rPr>
                <w:sz w:val="16"/>
                <w:lang w:val="es-419"/>
              </w:rPr>
              <w:t>26 de enero de 2022</w:t>
            </w:r>
          </w:p>
        </w:tc>
        <w:tc>
          <w:tcPr>
            <w:tcW w:w="992" w:type="dxa"/>
          </w:tcPr>
          <w:p w:rsidR="00E96CE4" w:rsidRPr="0075789D" w:rsidRDefault="00E96CE4" w:rsidP="004D1E3E">
            <w:pPr>
              <w:keepNext/>
              <w:jc w:val="left"/>
              <w:rPr>
                <w:sz w:val="16"/>
                <w:szCs w:val="16"/>
                <w:lang w:val="es-419"/>
              </w:rPr>
            </w:pPr>
            <w:r w:rsidRPr="0075789D">
              <w:rPr>
                <w:sz w:val="16"/>
                <w:lang w:val="es-419"/>
              </w:rPr>
              <w:t>Indonesia (por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Ministerio de Agricultura de Indonesia</w:t>
            </w:r>
          </w:p>
        </w:tc>
        <w:tc>
          <w:tcPr>
            <w:tcW w:w="2835" w:type="dxa"/>
          </w:tcPr>
          <w:p w:rsidR="00E96CE4" w:rsidRPr="0075789D" w:rsidRDefault="00E96CE4" w:rsidP="004D1E3E">
            <w:pPr>
              <w:keepNext/>
              <w:jc w:val="left"/>
              <w:rPr>
                <w:sz w:val="16"/>
                <w:szCs w:val="16"/>
                <w:lang w:val="es-419"/>
              </w:rPr>
            </w:pPr>
            <w:r w:rsidRPr="0075789D">
              <w:rPr>
                <w:sz w:val="16"/>
                <w:lang w:val="es-419"/>
              </w:rPr>
              <w:t>Promover la sensibilización acerca de los derechos del agricultor con arreglo al sistema de la UPOV.</w:t>
            </w:r>
          </w:p>
        </w:tc>
        <w:tc>
          <w:tcPr>
            <w:tcW w:w="2946" w:type="dxa"/>
          </w:tcPr>
          <w:p w:rsidR="00E96CE4" w:rsidRPr="0075789D" w:rsidRDefault="00E96CE4" w:rsidP="004D1E3E">
            <w:pPr>
              <w:keepNext/>
              <w:jc w:val="left"/>
              <w:rPr>
                <w:sz w:val="16"/>
                <w:szCs w:val="16"/>
                <w:lang w:val="es-419"/>
              </w:rPr>
            </w:pPr>
            <w:r w:rsidRPr="0075789D">
              <w:rPr>
                <w:sz w:val="16"/>
                <w:lang w:val="es-419"/>
              </w:rPr>
              <w:t xml:space="preserve">Brunei Darussalam (6), Camboya (5), China (4), Filipinas (16), Indonesia (76), Malasia (20), Myanmar (3), República de Corea (4), República Democrática Popular Lao (1), Tailandia (5) y </w:t>
            </w:r>
            <w:proofErr w:type="spellStart"/>
            <w:r w:rsidRPr="0075789D">
              <w:rPr>
                <w:sz w:val="16"/>
                <w:lang w:val="es-419"/>
              </w:rPr>
              <w:t>Viet</w:t>
            </w:r>
            <w:proofErr w:type="spellEnd"/>
            <w:r w:rsidRPr="0075789D">
              <w:rPr>
                <w:sz w:val="16"/>
                <w:lang w:val="es-419"/>
              </w:rPr>
              <w:t xml:space="preserve"> </w:t>
            </w:r>
            <w:proofErr w:type="spellStart"/>
            <w:r w:rsidRPr="0075789D">
              <w:rPr>
                <w:sz w:val="16"/>
                <w:lang w:val="es-419"/>
              </w:rPr>
              <w:t>Nam</w:t>
            </w:r>
            <w:proofErr w:type="spellEnd"/>
            <w:r w:rsidRPr="0075789D">
              <w:rPr>
                <w:sz w:val="16"/>
                <w:lang w:val="es-419"/>
              </w:rPr>
              <w:t> (1)</w:t>
            </w:r>
          </w:p>
        </w:tc>
        <w:tc>
          <w:tcPr>
            <w:tcW w:w="2962" w:type="dxa"/>
          </w:tcPr>
          <w:p w:rsidR="00E96CE4" w:rsidRPr="0075789D" w:rsidRDefault="00E96CE4" w:rsidP="004D1E3E">
            <w:pPr>
              <w:keepNext/>
              <w:jc w:val="left"/>
              <w:rPr>
                <w:sz w:val="16"/>
                <w:szCs w:val="16"/>
                <w:lang w:val="es-419"/>
              </w:rPr>
            </w:pPr>
            <w:hyperlink r:id="rId21" w:history="1">
              <w:r w:rsidRPr="0075789D">
                <w:rPr>
                  <w:rStyle w:val="Hyperlink"/>
                  <w:sz w:val="16"/>
                  <w:lang w:val="es-419"/>
                </w:rPr>
                <w:t>http://eapvp.org/report-data/indonesia/ministry-of-agriculture-of-indonesia-held-online-seminar-on-breeders-exemption-in-pvp-under-upov-convention/</w:t>
              </w:r>
            </w:hyperlink>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5. Taller de formación en DHE (curso de expertos)</w:t>
            </w:r>
          </w:p>
        </w:tc>
        <w:tc>
          <w:tcPr>
            <w:tcW w:w="1299" w:type="dxa"/>
          </w:tcPr>
          <w:p w:rsidR="00E96CE4" w:rsidRPr="0075789D" w:rsidRDefault="00E96CE4" w:rsidP="004D1E3E">
            <w:pPr>
              <w:keepNext/>
              <w:jc w:val="left"/>
              <w:rPr>
                <w:sz w:val="16"/>
                <w:szCs w:val="16"/>
                <w:lang w:val="es-419"/>
              </w:rPr>
            </w:pPr>
            <w:r w:rsidRPr="0075789D">
              <w:rPr>
                <w:sz w:val="16"/>
                <w:lang w:val="es-419"/>
              </w:rPr>
              <w:t>14 y 15 de febrero de 2022</w:t>
            </w:r>
          </w:p>
        </w:tc>
        <w:tc>
          <w:tcPr>
            <w:tcW w:w="992" w:type="dxa"/>
          </w:tcPr>
          <w:p w:rsidR="00E96CE4" w:rsidRPr="0075789D" w:rsidRDefault="00E96CE4" w:rsidP="004D1E3E">
            <w:pPr>
              <w:keepNext/>
              <w:jc w:val="left"/>
              <w:rPr>
                <w:sz w:val="16"/>
                <w:szCs w:val="16"/>
                <w:lang w:val="es-419"/>
              </w:rPr>
            </w:pPr>
            <w:r w:rsidRPr="0075789D">
              <w:rPr>
                <w:sz w:val="16"/>
                <w:lang w:val="es-419"/>
              </w:rPr>
              <w:t>Japón</w:t>
            </w:r>
          </w:p>
          <w:p w:rsidR="00E96CE4" w:rsidRPr="0075789D" w:rsidRDefault="00E96CE4" w:rsidP="004D1E3E">
            <w:pPr>
              <w:keepNext/>
              <w:jc w:val="left"/>
              <w:rPr>
                <w:sz w:val="16"/>
                <w:szCs w:val="16"/>
                <w:lang w:val="es-419"/>
              </w:rPr>
            </w:pPr>
            <w:r w:rsidRPr="0075789D">
              <w:rPr>
                <w:sz w:val="16"/>
                <w:lang w:val="es-419"/>
              </w:rPr>
              <w:t>(por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NCSS del Japón</w:t>
            </w:r>
          </w:p>
        </w:tc>
        <w:tc>
          <w:tcPr>
            <w:tcW w:w="2835" w:type="dxa"/>
          </w:tcPr>
          <w:p w:rsidR="00E96CE4" w:rsidRPr="0075789D" w:rsidRDefault="00E96CE4" w:rsidP="004D1E3E">
            <w:pPr>
              <w:keepNext/>
              <w:jc w:val="left"/>
              <w:rPr>
                <w:sz w:val="16"/>
                <w:szCs w:val="16"/>
                <w:lang w:val="es-419"/>
              </w:rPr>
            </w:pPr>
            <w:r w:rsidRPr="0075789D">
              <w:rPr>
                <w:sz w:val="16"/>
                <w:lang w:val="es-419"/>
              </w:rPr>
              <w:t>Fortalecer la capacidad de autoridades en los países de la ASEAN.</w:t>
            </w:r>
          </w:p>
        </w:tc>
        <w:tc>
          <w:tcPr>
            <w:tcW w:w="2946" w:type="dxa"/>
          </w:tcPr>
          <w:p w:rsidR="00E96CE4" w:rsidRPr="0075789D" w:rsidRDefault="00E96CE4" w:rsidP="004D1E3E">
            <w:pPr>
              <w:keepNext/>
              <w:jc w:val="left"/>
              <w:rPr>
                <w:sz w:val="16"/>
                <w:szCs w:val="16"/>
                <w:lang w:val="es-419"/>
              </w:rPr>
            </w:pPr>
            <w:r w:rsidRPr="0075789D">
              <w:rPr>
                <w:sz w:val="16"/>
                <w:lang w:val="es-419"/>
              </w:rPr>
              <w:t>Brunei Darussalam (1), China (6), Indonesia (4), República de Corea (1), República Democrática Popular Lao (2) y Tailandia (3)</w:t>
            </w:r>
          </w:p>
        </w:tc>
        <w:tc>
          <w:tcPr>
            <w:tcW w:w="2962" w:type="dxa"/>
          </w:tcPr>
          <w:p w:rsidR="00E96CE4" w:rsidRPr="0075789D" w:rsidRDefault="00E96CE4" w:rsidP="004D1E3E">
            <w:pPr>
              <w:keepNext/>
              <w:jc w:val="left"/>
              <w:rPr>
                <w:sz w:val="16"/>
                <w:szCs w:val="16"/>
                <w:lang w:val="es-419"/>
              </w:rPr>
            </w:pPr>
            <w:hyperlink r:id="rId22" w:history="1">
              <w:r w:rsidRPr="0075789D">
                <w:rPr>
                  <w:rStyle w:val="Hyperlink"/>
                  <w:sz w:val="16"/>
                  <w:lang w:val="es-419"/>
                </w:rPr>
                <w:t>http://eapvp.org/report-data/japan/ministry-of-agriculture-forestry-and-fisheries-of-japan-held-capacity-building-workshop2-technical-training-for-pvp-senior-staff/</w:t>
              </w:r>
            </w:hyperlink>
          </w:p>
        </w:tc>
      </w:tr>
      <w:tr w:rsidR="00E96CE4" w:rsidRPr="0075789D" w:rsidTr="004D1E3E">
        <w:trPr>
          <w:trHeight w:val="573"/>
        </w:trPr>
        <w:tc>
          <w:tcPr>
            <w:tcW w:w="2240" w:type="dxa"/>
          </w:tcPr>
          <w:p w:rsidR="00E96CE4" w:rsidRPr="0075789D" w:rsidRDefault="00E96CE4" w:rsidP="004D1E3E">
            <w:pPr>
              <w:keepNext/>
              <w:jc w:val="left"/>
              <w:rPr>
                <w:sz w:val="16"/>
                <w:szCs w:val="16"/>
                <w:lang w:val="es-419"/>
              </w:rPr>
            </w:pPr>
            <w:r w:rsidRPr="0075789D">
              <w:rPr>
                <w:sz w:val="16"/>
                <w:lang w:val="es-419"/>
              </w:rPr>
              <w:t>6. Taller sobre la protección de las obtenciones vegetales: derechos de obtentor y beneficios para los agricultores</w:t>
            </w:r>
          </w:p>
        </w:tc>
        <w:tc>
          <w:tcPr>
            <w:tcW w:w="1299" w:type="dxa"/>
          </w:tcPr>
          <w:p w:rsidR="00E96CE4" w:rsidRPr="0075789D" w:rsidRDefault="00E96CE4" w:rsidP="004D1E3E">
            <w:pPr>
              <w:keepNext/>
              <w:jc w:val="left"/>
              <w:rPr>
                <w:sz w:val="16"/>
                <w:szCs w:val="16"/>
                <w:lang w:val="es-419"/>
              </w:rPr>
            </w:pPr>
            <w:r w:rsidRPr="0075789D">
              <w:rPr>
                <w:sz w:val="16"/>
                <w:lang w:val="es-419"/>
              </w:rPr>
              <w:t>28 de febrero de 2022</w:t>
            </w:r>
          </w:p>
        </w:tc>
        <w:tc>
          <w:tcPr>
            <w:tcW w:w="992" w:type="dxa"/>
          </w:tcPr>
          <w:p w:rsidR="00E96CE4" w:rsidRPr="0075789D" w:rsidRDefault="00E96CE4" w:rsidP="004D1E3E">
            <w:pPr>
              <w:keepNext/>
              <w:jc w:val="left"/>
              <w:rPr>
                <w:sz w:val="16"/>
                <w:szCs w:val="16"/>
                <w:lang w:val="es-419"/>
              </w:rPr>
            </w:pPr>
            <w:r w:rsidRPr="0075789D">
              <w:rPr>
                <w:sz w:val="16"/>
                <w:lang w:val="es-419"/>
              </w:rPr>
              <w:t>Camboya (por medios virtuales)</w:t>
            </w:r>
          </w:p>
        </w:tc>
        <w:tc>
          <w:tcPr>
            <w:tcW w:w="1418" w:type="dxa"/>
          </w:tcPr>
          <w:p w:rsidR="00E96CE4" w:rsidRPr="0075789D" w:rsidRDefault="00E96CE4" w:rsidP="004D1E3E">
            <w:pPr>
              <w:keepNext/>
              <w:jc w:val="left"/>
              <w:rPr>
                <w:sz w:val="16"/>
                <w:szCs w:val="16"/>
                <w:lang w:val="es-419"/>
              </w:rPr>
            </w:pPr>
            <w:r w:rsidRPr="0075789D">
              <w:rPr>
                <w:sz w:val="16"/>
                <w:lang w:val="es-419"/>
              </w:rPr>
              <w:t>Ministerio de Agricultura, Silvicultura y Pesca de Camboya</w:t>
            </w:r>
          </w:p>
        </w:tc>
        <w:tc>
          <w:tcPr>
            <w:tcW w:w="2835" w:type="dxa"/>
          </w:tcPr>
          <w:p w:rsidR="00E96CE4" w:rsidRPr="0075789D" w:rsidRDefault="00E96CE4" w:rsidP="004D1E3E">
            <w:pPr>
              <w:keepNext/>
              <w:jc w:val="left"/>
              <w:rPr>
                <w:sz w:val="16"/>
                <w:szCs w:val="16"/>
                <w:lang w:val="es-419"/>
              </w:rPr>
            </w:pPr>
            <w:r w:rsidRPr="0075789D">
              <w:rPr>
                <w:sz w:val="16"/>
                <w:lang w:val="es-419"/>
              </w:rPr>
              <w:t>Fomento de la sensibilización sobre el sistema de protección de las obtenciones vegetales con arreglo al Convenio de la UPOV</w:t>
            </w:r>
          </w:p>
        </w:tc>
        <w:tc>
          <w:tcPr>
            <w:tcW w:w="2946" w:type="dxa"/>
          </w:tcPr>
          <w:p w:rsidR="00E96CE4" w:rsidRPr="0075789D" w:rsidRDefault="00E96CE4" w:rsidP="004D1E3E">
            <w:pPr>
              <w:keepNext/>
              <w:jc w:val="left"/>
              <w:rPr>
                <w:sz w:val="16"/>
                <w:szCs w:val="16"/>
                <w:lang w:val="es-419"/>
              </w:rPr>
            </w:pPr>
            <w:r w:rsidRPr="0075789D">
              <w:rPr>
                <w:sz w:val="16"/>
                <w:lang w:val="es-419"/>
              </w:rPr>
              <w:t>Camboya (26), China (8), Indonesia (186), Malasia (8), Myanmar (2), República Democrática Popular Lao (2) y Tailandia (4)</w:t>
            </w:r>
          </w:p>
        </w:tc>
        <w:tc>
          <w:tcPr>
            <w:tcW w:w="2962" w:type="dxa"/>
          </w:tcPr>
          <w:p w:rsidR="00E96CE4" w:rsidRPr="0075789D" w:rsidRDefault="00E96CE4" w:rsidP="004D1E3E">
            <w:pPr>
              <w:keepNext/>
              <w:jc w:val="left"/>
              <w:rPr>
                <w:sz w:val="16"/>
                <w:szCs w:val="16"/>
                <w:lang w:val="es-419"/>
              </w:rPr>
            </w:pPr>
            <w:hyperlink r:id="rId23" w:history="1">
              <w:r w:rsidRPr="0075789D">
                <w:rPr>
                  <w:rStyle w:val="Hyperlink"/>
                  <w:sz w:val="16"/>
                  <w:lang w:val="es-419"/>
                </w:rPr>
                <w:t>http://eapvp.org/report-data/cambodia/ministry-of-agriculture-forestry-and-fisheries-of-cambodia-held-online-workshop-on-plant-variety-protection-%e2%80%95plant-breeders-rights-and-farmers-benefits%e2%80%95/</w:t>
              </w:r>
            </w:hyperlink>
          </w:p>
        </w:tc>
      </w:tr>
    </w:tbl>
    <w:p w:rsidR="00E96CE4" w:rsidRPr="0075789D" w:rsidRDefault="00E96CE4" w:rsidP="00E96CE4">
      <w:pPr>
        <w:jc w:val="right"/>
        <w:rPr>
          <w:lang w:val="es-419"/>
        </w:rPr>
      </w:pPr>
    </w:p>
    <w:p w:rsidR="00E96CE4" w:rsidRPr="00D36B66" w:rsidRDefault="00E96CE4" w:rsidP="00991CBD"/>
    <w:p w:rsidR="00991CBD" w:rsidRPr="00D36B66" w:rsidRDefault="00991CBD" w:rsidP="00991CBD"/>
    <w:p w:rsidR="00991CBD" w:rsidRPr="00D36B66" w:rsidRDefault="000A2928" w:rsidP="00991CBD">
      <w:pPr>
        <w:jc w:val="right"/>
      </w:pPr>
      <w:r>
        <w:t>[Sigue el Anexo</w:t>
      </w:r>
      <w:r w:rsidR="00991CBD" w:rsidRPr="00D36B66">
        <w:t xml:space="preserve"> IX</w:t>
      </w:r>
      <w:r>
        <w:t>]</w:t>
      </w:r>
    </w:p>
    <w:p w:rsidR="00991CBD" w:rsidRPr="00D36B66" w:rsidRDefault="00991CBD" w:rsidP="00991CBD"/>
    <w:p w:rsidR="00991CBD" w:rsidRPr="00D36B66" w:rsidRDefault="00991CBD" w:rsidP="000362AD">
      <w:pPr>
        <w:jc w:val="center"/>
        <w:sectPr w:rsidR="00991CBD" w:rsidRPr="00D36B66" w:rsidSect="00E96CE4">
          <w:pgSz w:w="16840" w:h="11907" w:orient="landscape" w:code="9"/>
          <w:pgMar w:top="510" w:right="1134" w:bottom="1134" w:left="1134" w:header="510" w:footer="680" w:gutter="0"/>
          <w:cols w:space="720"/>
          <w:docGrid w:linePitch="272"/>
        </w:sectPr>
      </w:pPr>
    </w:p>
    <w:p w:rsidR="00CE1862" w:rsidRPr="00D36B66" w:rsidRDefault="00CE1862" w:rsidP="00CE1862">
      <w:pPr>
        <w:jc w:val="center"/>
      </w:pPr>
      <w:r w:rsidRPr="00D36B66">
        <w:lastRenderedPageBreak/>
        <w:t>C/56/INF/4</w:t>
      </w:r>
    </w:p>
    <w:p w:rsidR="00CE1862" w:rsidRPr="00D36B66" w:rsidRDefault="00CE1862" w:rsidP="00CE1862">
      <w:pPr>
        <w:jc w:val="center"/>
      </w:pPr>
    </w:p>
    <w:p w:rsidR="00CE1862" w:rsidRPr="00D36B66" w:rsidRDefault="00CE1862" w:rsidP="00CE1862">
      <w:pPr>
        <w:jc w:val="center"/>
      </w:pPr>
      <w:r>
        <w:t>ANEXO</w:t>
      </w:r>
      <w:r w:rsidRPr="00D36B66">
        <w:t xml:space="preserve"> IX</w:t>
      </w:r>
    </w:p>
    <w:p w:rsidR="00CE1862" w:rsidRPr="00D36B66" w:rsidRDefault="00CE1862" w:rsidP="00CE1862">
      <w:pPr>
        <w:jc w:val="center"/>
      </w:pPr>
    </w:p>
    <w:p w:rsidR="00CE1862" w:rsidRPr="00D36B66" w:rsidRDefault="00CE1862" w:rsidP="00CE1862">
      <w:pPr>
        <w:jc w:val="center"/>
      </w:pPr>
    </w:p>
    <w:p w:rsidR="00CE1862" w:rsidRPr="00D36B66" w:rsidRDefault="00CE1862" w:rsidP="00CE1862">
      <w:pPr>
        <w:jc w:val="center"/>
      </w:pPr>
      <w:r>
        <w:t>KENYA</w:t>
      </w:r>
    </w:p>
    <w:p w:rsidR="00CE1862" w:rsidRPr="00D36B66" w:rsidRDefault="00CE1862" w:rsidP="00CE1862">
      <w:pPr>
        <w:jc w:val="center"/>
      </w:pPr>
    </w:p>
    <w:p w:rsidR="00CE1862" w:rsidRPr="00D36B66" w:rsidRDefault="00CE1862" w:rsidP="00CE1862">
      <w:pPr>
        <w:jc w:val="center"/>
      </w:pPr>
    </w:p>
    <w:p w:rsidR="00DF76D8" w:rsidRPr="0075789D" w:rsidRDefault="00DF76D8" w:rsidP="00DF76D8">
      <w:pPr>
        <w:rPr>
          <w:rFonts w:cs="Arial"/>
          <w:lang w:val="es-419"/>
        </w:rPr>
      </w:pPr>
      <w:r w:rsidRPr="0075789D">
        <w:rPr>
          <w:lang w:val="es-419"/>
        </w:rPr>
        <w:t>PROTECCIÓN DE LAS OBTENCIONES VEGETALES</w:t>
      </w:r>
    </w:p>
    <w:p w:rsidR="00DF76D8" w:rsidRPr="0075789D" w:rsidRDefault="00DF76D8" w:rsidP="00DF76D8">
      <w:pPr>
        <w:rPr>
          <w:rFonts w:cs="Arial"/>
          <w:lang w:val="es-419"/>
        </w:rPr>
      </w:pPr>
    </w:p>
    <w:p w:rsidR="00DF76D8" w:rsidRPr="0075789D" w:rsidRDefault="00DF76D8" w:rsidP="00DF76D8">
      <w:pPr>
        <w:rPr>
          <w:rFonts w:cs="Arial"/>
          <w:u w:val="single"/>
          <w:lang w:val="es-419"/>
        </w:rPr>
      </w:pPr>
      <w:r w:rsidRPr="0075789D">
        <w:rPr>
          <w:lang w:val="es-419"/>
        </w:rPr>
        <w:t>1.</w:t>
      </w:r>
      <w:r w:rsidRPr="0075789D">
        <w:rPr>
          <w:lang w:val="es-419"/>
        </w:rPr>
        <w:tab/>
      </w:r>
      <w:r w:rsidRPr="0075789D">
        <w:rPr>
          <w:u w:val="single"/>
          <w:lang w:val="es-419"/>
        </w:rPr>
        <w:t>Situación en el ámbito legislativo</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1.1</w:t>
      </w:r>
      <w:r w:rsidRPr="0075789D">
        <w:rPr>
          <w:lang w:val="es-419"/>
        </w:rPr>
        <w:tab/>
        <w:t xml:space="preserve">Modificaciones de la ley y de los reglamentos </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 xml:space="preserve">En </w:t>
      </w:r>
      <w:proofErr w:type="spellStart"/>
      <w:r w:rsidRPr="0075789D">
        <w:rPr>
          <w:lang w:val="es-419"/>
        </w:rPr>
        <w:t>Kenya</w:t>
      </w:r>
      <w:proofErr w:type="spellEnd"/>
      <w:r w:rsidRPr="0075789D">
        <w:rPr>
          <w:lang w:val="es-419"/>
        </w:rPr>
        <w:t xml:space="preserve">, las disposiciones relativas a la protección de las variedades vegetales están recogidas en la Ley de Semillas y Variedades Vegetales (CAP 326) de 1972, que entró en vigor en 1975 y fue objeto de revisión en 1991. En 1994 se estableció un Reglamento oficial para la creación del servicio de protección de las variedades vegetales y en 1997 se inauguró la oficina encargada de administrar dicha protección, la cual presta sus servicios en el marco del Servicio de Inspección Fitosanitaria de </w:t>
      </w:r>
      <w:proofErr w:type="spellStart"/>
      <w:r w:rsidRPr="0075789D">
        <w:rPr>
          <w:lang w:val="es-419"/>
        </w:rPr>
        <w:t>Kenya</w:t>
      </w:r>
      <w:proofErr w:type="spellEnd"/>
      <w:r w:rsidRPr="0075789D">
        <w:rPr>
          <w:lang w:val="es-419"/>
        </w:rPr>
        <w:t xml:space="preserve"> (KEPHIS) desde 1998. </w:t>
      </w:r>
      <w:proofErr w:type="spellStart"/>
      <w:r w:rsidRPr="0075789D">
        <w:rPr>
          <w:lang w:val="es-419"/>
        </w:rPr>
        <w:t>Kenya</w:t>
      </w:r>
      <w:proofErr w:type="spellEnd"/>
      <w:r w:rsidRPr="0075789D">
        <w:rPr>
          <w:lang w:val="es-419"/>
        </w:rPr>
        <w:t xml:space="preserve"> se adhirió a la UPOV el 13 de mayo de 1999 en virtud del Convenio de 1978. En 2012, se modificó la Ley de Semillas y Variedades Vegetales para incorporar los componentes del Acta de 1991 del Convenio de la UPOV. El 11 de abril de 2016, </w:t>
      </w:r>
      <w:proofErr w:type="spellStart"/>
      <w:r w:rsidRPr="0075789D">
        <w:rPr>
          <w:lang w:val="es-419"/>
        </w:rPr>
        <w:t>Kenya</w:t>
      </w:r>
      <w:proofErr w:type="spellEnd"/>
      <w:r w:rsidRPr="0075789D">
        <w:rPr>
          <w:lang w:val="es-419"/>
        </w:rPr>
        <w:t xml:space="preserve"> depositó su instrumento de adhesión al Acta de 1991 del Convenio de la UPOV. </w:t>
      </w:r>
      <w:proofErr w:type="spellStart"/>
      <w:r w:rsidRPr="0075789D">
        <w:rPr>
          <w:lang w:val="es-419"/>
        </w:rPr>
        <w:t>Kenya</w:t>
      </w:r>
      <w:proofErr w:type="spellEnd"/>
      <w:r w:rsidRPr="0075789D">
        <w:rPr>
          <w:lang w:val="es-419"/>
        </w:rPr>
        <w:t xml:space="preserve"> está obligado por dicha Acta desde el 11 de mayo de 2016. En la actualidad </w:t>
      </w:r>
      <w:proofErr w:type="spellStart"/>
      <w:r w:rsidRPr="0075789D">
        <w:rPr>
          <w:lang w:val="es-419"/>
        </w:rPr>
        <w:t>Kenya</w:t>
      </w:r>
      <w:proofErr w:type="spellEnd"/>
      <w:r w:rsidRPr="0075789D">
        <w:rPr>
          <w:lang w:val="es-419"/>
        </w:rPr>
        <w:t xml:space="preserve"> se encuentra en proceso de revisión de los reglamentos de derechos de obtentor con miras a facilitar la aplicación de la excepción facultativa.</w:t>
      </w:r>
    </w:p>
    <w:p w:rsidR="00DF76D8" w:rsidRPr="0075789D" w:rsidRDefault="00DF76D8" w:rsidP="00DF76D8">
      <w:pPr>
        <w:rPr>
          <w:rFonts w:cs="Arial"/>
          <w:u w:val="single"/>
          <w:lang w:val="es-419"/>
        </w:rPr>
      </w:pPr>
    </w:p>
    <w:p w:rsidR="00DF76D8" w:rsidRPr="0075789D" w:rsidRDefault="00DF76D8" w:rsidP="00DF76D8">
      <w:pPr>
        <w:rPr>
          <w:rFonts w:cs="Arial"/>
          <w:lang w:val="es-419"/>
        </w:rPr>
      </w:pPr>
      <w:r w:rsidRPr="0075789D">
        <w:rPr>
          <w:lang w:val="es-419"/>
        </w:rPr>
        <w:t>1.2</w:t>
      </w:r>
      <w:r w:rsidRPr="0075789D">
        <w:rPr>
          <w:lang w:val="es-419"/>
        </w:rPr>
        <w:tab/>
        <w:t>Géneros y especies protegidos</w:t>
      </w:r>
    </w:p>
    <w:p w:rsidR="00DF76D8" w:rsidRPr="0075789D" w:rsidRDefault="00DF76D8" w:rsidP="00DF76D8">
      <w:pPr>
        <w:rPr>
          <w:rFonts w:cs="Arial"/>
          <w:lang w:val="es-419"/>
        </w:rPr>
      </w:pPr>
    </w:p>
    <w:p w:rsidR="00DF76D8" w:rsidRPr="0075789D" w:rsidRDefault="00DF76D8" w:rsidP="00DF76D8">
      <w:pPr>
        <w:rPr>
          <w:rFonts w:cs="Arial"/>
          <w:lang w:val="es-419"/>
        </w:rPr>
      </w:pPr>
      <w:proofErr w:type="spellStart"/>
      <w:r w:rsidRPr="0075789D">
        <w:rPr>
          <w:lang w:val="es-419"/>
        </w:rPr>
        <w:t>Kenya</w:t>
      </w:r>
      <w:proofErr w:type="spellEnd"/>
      <w:r w:rsidRPr="0075789D">
        <w:rPr>
          <w:lang w:val="es-419"/>
        </w:rPr>
        <w:t xml:space="preserve"> extiende la protección de las obtenciones vegetales a todos los géneros y especies vegetales. En la actualidad, hay noventa (90) taxones de diversas especies vegetales para los que se ha solicitado protección en el país.</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1.3</w:t>
      </w:r>
      <w:r w:rsidRPr="0075789D">
        <w:rPr>
          <w:lang w:val="es-419"/>
        </w:rPr>
        <w:tab/>
        <w:t>Jurisprudencia</w:t>
      </w:r>
    </w:p>
    <w:p w:rsidR="00DF76D8" w:rsidRPr="0075789D" w:rsidRDefault="00DF76D8" w:rsidP="00DF76D8">
      <w:pPr>
        <w:rPr>
          <w:rFonts w:cs="Arial"/>
          <w:u w:val="single"/>
          <w:lang w:val="es-419"/>
        </w:rPr>
      </w:pPr>
    </w:p>
    <w:p w:rsidR="00DF76D8" w:rsidRPr="0075789D" w:rsidRDefault="00DF76D8" w:rsidP="00DF76D8">
      <w:pPr>
        <w:rPr>
          <w:rFonts w:cs="Arial"/>
          <w:lang w:val="es-419"/>
        </w:rPr>
      </w:pPr>
      <w:r w:rsidRPr="0075789D">
        <w:rPr>
          <w:lang w:val="es-419"/>
        </w:rPr>
        <w:t xml:space="preserve">La Ley de Semillas y Variedades Vegetales de </w:t>
      </w:r>
      <w:proofErr w:type="spellStart"/>
      <w:r w:rsidRPr="0075789D">
        <w:rPr>
          <w:lang w:val="es-419"/>
        </w:rPr>
        <w:t>Kenya</w:t>
      </w:r>
      <w:proofErr w:type="spellEnd"/>
      <w:r w:rsidRPr="0075789D">
        <w:rPr>
          <w:lang w:val="es-419"/>
        </w:rPr>
        <w:t xml:space="preserve"> obliga a publicar las solicitudes de derechos de obtentor en el </w:t>
      </w:r>
      <w:r w:rsidRPr="0075789D">
        <w:rPr>
          <w:i/>
          <w:iCs/>
          <w:lang w:val="es-419"/>
        </w:rPr>
        <w:t>Boletín Oficial</w:t>
      </w:r>
      <w:r w:rsidRPr="0075789D">
        <w:rPr>
          <w:lang w:val="es-419"/>
        </w:rPr>
        <w:t xml:space="preserve"> de </w:t>
      </w:r>
      <w:proofErr w:type="spellStart"/>
      <w:r w:rsidRPr="0075789D">
        <w:rPr>
          <w:lang w:val="es-419"/>
        </w:rPr>
        <w:t>Kenya</w:t>
      </w:r>
      <w:proofErr w:type="spellEnd"/>
      <w:r w:rsidRPr="0075789D">
        <w:rPr>
          <w:lang w:val="es-419"/>
        </w:rPr>
        <w:t xml:space="preserve"> a fin de permitir, a los que se opongan a las solicitudes o a las concesiones de derechos, que formulen alegaciones y se pronuncien al respecto ante el funcionario autorizado del KEPHIS. El funcionario autorizado establece la audiencia de dichas alegaciones, pero los solicitantes que se sientan perjudicados por la decisión del funcionario podrán presentar un recurso ante el Tribunal de Semillas y Plantas, cuya decisión también puede ser objeto de apelación en última instancia ante el Tribunal Superior. </w:t>
      </w:r>
    </w:p>
    <w:p w:rsidR="00DF76D8" w:rsidRPr="0075789D" w:rsidRDefault="00DF76D8" w:rsidP="00DF76D8">
      <w:pPr>
        <w:rPr>
          <w:rFonts w:cs="Arial"/>
          <w:lang w:val="es-419"/>
        </w:rPr>
      </w:pPr>
    </w:p>
    <w:p w:rsidR="00DF76D8" w:rsidRPr="0075789D" w:rsidRDefault="00DF76D8" w:rsidP="00DF76D8">
      <w:pPr>
        <w:rPr>
          <w:rFonts w:cs="Arial"/>
          <w:lang w:val="es-419"/>
        </w:rPr>
      </w:pPr>
    </w:p>
    <w:p w:rsidR="00DF76D8" w:rsidRPr="0075789D" w:rsidRDefault="00DF76D8" w:rsidP="00DF76D8">
      <w:pPr>
        <w:rPr>
          <w:rFonts w:cs="Arial"/>
          <w:u w:val="single"/>
          <w:lang w:val="es-419"/>
        </w:rPr>
      </w:pPr>
      <w:r w:rsidRPr="0075789D">
        <w:rPr>
          <w:lang w:val="es-419"/>
        </w:rPr>
        <w:t>2.</w:t>
      </w:r>
      <w:r w:rsidRPr="0075789D">
        <w:rPr>
          <w:lang w:val="es-419"/>
        </w:rPr>
        <w:tab/>
      </w:r>
      <w:r w:rsidRPr="0075789D">
        <w:rPr>
          <w:u w:val="single"/>
          <w:lang w:val="es-419"/>
        </w:rPr>
        <w:t>Cooperación en materia de examen</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 xml:space="preserve">De conformidad con el artículo 32 del Convenio de la UPOV, que trata sobre los acuerdos especiales, la Oficina de protección de variedades vegetales de </w:t>
      </w:r>
      <w:proofErr w:type="spellStart"/>
      <w:r w:rsidRPr="0075789D">
        <w:rPr>
          <w:lang w:val="es-419"/>
        </w:rPr>
        <w:t>Kenya</w:t>
      </w:r>
      <w:proofErr w:type="spellEnd"/>
      <w:r w:rsidRPr="0075789D">
        <w:rPr>
          <w:lang w:val="es-419"/>
        </w:rPr>
        <w:t xml:space="preserve"> ha empezado a colaborar con otros Estados miembros de la UPOV y organizaciones intergubernamentales para la utilización de informes existentes del examen DHE. En concreto, ha colaborado con los organismos siguientes:</w:t>
      </w:r>
    </w:p>
    <w:p w:rsidR="00DF76D8" w:rsidRPr="0075789D" w:rsidRDefault="00DF76D8" w:rsidP="00DF76D8">
      <w:pPr>
        <w:rPr>
          <w:rFonts w:cs="Arial"/>
          <w:lang w:val="es-419"/>
        </w:rPr>
      </w:pPr>
    </w:p>
    <w:p w:rsidR="00DF76D8" w:rsidRPr="0075789D" w:rsidRDefault="00DF76D8" w:rsidP="00DF76D8">
      <w:pPr>
        <w:numPr>
          <w:ilvl w:val="0"/>
          <w:numId w:val="26"/>
        </w:numPr>
        <w:spacing w:after="60"/>
        <w:ind w:left="714" w:hanging="357"/>
        <w:rPr>
          <w:rFonts w:cs="Arial"/>
          <w:lang w:val="es-419"/>
        </w:rPr>
      </w:pPr>
      <w:r w:rsidRPr="0075789D">
        <w:rPr>
          <w:lang w:val="es-419"/>
        </w:rPr>
        <w:t>Oficina Comunitaria de Variedades Vegetales (Unión Europea)</w:t>
      </w:r>
    </w:p>
    <w:p w:rsidR="00DF76D8" w:rsidRPr="0075789D" w:rsidRDefault="00DF76D8" w:rsidP="00DF76D8">
      <w:pPr>
        <w:numPr>
          <w:ilvl w:val="0"/>
          <w:numId w:val="26"/>
        </w:numPr>
        <w:spacing w:after="60"/>
        <w:ind w:left="714" w:hanging="357"/>
        <w:rPr>
          <w:rFonts w:cs="Arial"/>
          <w:lang w:val="es-419"/>
        </w:rPr>
      </w:pPr>
      <w:proofErr w:type="spellStart"/>
      <w:r w:rsidRPr="0075789D">
        <w:rPr>
          <w:i/>
          <w:iCs/>
          <w:lang w:val="es-419"/>
        </w:rPr>
        <w:t>Raad</w:t>
      </w:r>
      <w:proofErr w:type="spellEnd"/>
      <w:r w:rsidRPr="0075789D">
        <w:rPr>
          <w:i/>
          <w:iCs/>
          <w:lang w:val="es-419"/>
        </w:rPr>
        <w:t xml:space="preserve"> </w:t>
      </w:r>
      <w:proofErr w:type="spellStart"/>
      <w:r w:rsidRPr="0075789D">
        <w:rPr>
          <w:i/>
          <w:iCs/>
          <w:lang w:val="es-419"/>
        </w:rPr>
        <w:t>Voor</w:t>
      </w:r>
      <w:proofErr w:type="spellEnd"/>
      <w:r w:rsidRPr="0075789D">
        <w:rPr>
          <w:i/>
          <w:iCs/>
          <w:lang w:val="es-419"/>
        </w:rPr>
        <w:t xml:space="preserve"> </w:t>
      </w:r>
      <w:proofErr w:type="spellStart"/>
      <w:r w:rsidRPr="0075789D">
        <w:rPr>
          <w:i/>
          <w:iCs/>
          <w:lang w:val="es-419"/>
        </w:rPr>
        <w:t>Plantrassen</w:t>
      </w:r>
      <w:proofErr w:type="spellEnd"/>
      <w:r w:rsidRPr="0075789D">
        <w:rPr>
          <w:lang w:val="es-419"/>
        </w:rPr>
        <w:t xml:space="preserve"> (Junta de Variedades Vegetales) (Países Bajos)</w:t>
      </w:r>
    </w:p>
    <w:p w:rsidR="00DF76D8" w:rsidRPr="0075789D" w:rsidRDefault="00DF76D8" w:rsidP="00DF76D8">
      <w:pPr>
        <w:numPr>
          <w:ilvl w:val="0"/>
          <w:numId w:val="26"/>
        </w:numPr>
        <w:spacing w:after="60"/>
        <w:ind w:left="714" w:hanging="357"/>
        <w:rPr>
          <w:rFonts w:cs="Arial"/>
          <w:lang w:val="es-419"/>
        </w:rPr>
      </w:pPr>
      <w:r w:rsidRPr="0075789D">
        <w:rPr>
          <w:lang w:val="es-419"/>
        </w:rPr>
        <w:t>Consejo para la Protección de las Obtenciones Vegetales (Israel)</w:t>
      </w:r>
    </w:p>
    <w:p w:rsidR="00DF76D8" w:rsidRPr="0075789D" w:rsidRDefault="00DF76D8" w:rsidP="00DF76D8">
      <w:pPr>
        <w:numPr>
          <w:ilvl w:val="0"/>
          <w:numId w:val="26"/>
        </w:numPr>
        <w:spacing w:after="60"/>
        <w:ind w:left="714" w:hanging="357"/>
        <w:rPr>
          <w:rFonts w:cs="Arial"/>
          <w:lang w:val="es-419"/>
        </w:rPr>
      </w:pPr>
      <w:r w:rsidRPr="0075789D">
        <w:rPr>
          <w:lang w:val="es-419"/>
        </w:rPr>
        <w:t xml:space="preserve">Comisionado de Derechos de Obtentor (Nueva Zelandia) </w:t>
      </w:r>
    </w:p>
    <w:p w:rsidR="00DF76D8" w:rsidRPr="0075789D" w:rsidRDefault="00DF76D8" w:rsidP="00DF76D8">
      <w:pPr>
        <w:numPr>
          <w:ilvl w:val="0"/>
          <w:numId w:val="26"/>
        </w:numPr>
        <w:spacing w:after="60"/>
        <w:ind w:left="714" w:hanging="357"/>
        <w:rPr>
          <w:rFonts w:cs="Arial"/>
          <w:lang w:val="es-419"/>
        </w:rPr>
      </w:pPr>
      <w:r w:rsidRPr="0075789D">
        <w:rPr>
          <w:lang w:val="es-419"/>
        </w:rPr>
        <w:t>El Registrador, Departamento Nacional de Agricultura (Sudáfrica)</w:t>
      </w:r>
    </w:p>
    <w:p w:rsidR="00DF76D8" w:rsidRPr="0075789D" w:rsidRDefault="00DF76D8" w:rsidP="00DF76D8">
      <w:pPr>
        <w:numPr>
          <w:ilvl w:val="0"/>
          <w:numId w:val="26"/>
        </w:numPr>
        <w:spacing w:after="60"/>
        <w:ind w:left="714" w:hanging="357"/>
        <w:rPr>
          <w:rFonts w:cs="Arial"/>
          <w:lang w:val="es-419"/>
        </w:rPr>
      </w:pPr>
      <w:proofErr w:type="spellStart"/>
      <w:r w:rsidRPr="0075789D">
        <w:rPr>
          <w:i/>
          <w:iCs/>
          <w:lang w:val="es-419"/>
        </w:rPr>
        <w:t>Bundessortenamt</w:t>
      </w:r>
      <w:proofErr w:type="spellEnd"/>
      <w:r w:rsidRPr="0075789D">
        <w:rPr>
          <w:lang w:val="es-419"/>
        </w:rPr>
        <w:t xml:space="preserve"> (Oficina Federal de Variedades Vegetales) (Alemania)</w:t>
      </w:r>
    </w:p>
    <w:p w:rsidR="00DF76D8" w:rsidRPr="0075789D" w:rsidRDefault="00DF76D8" w:rsidP="00DF76D8">
      <w:pPr>
        <w:numPr>
          <w:ilvl w:val="0"/>
          <w:numId w:val="26"/>
        </w:numPr>
        <w:spacing w:after="60"/>
        <w:ind w:left="714" w:hanging="357"/>
        <w:rPr>
          <w:rFonts w:cs="Arial"/>
          <w:lang w:val="es-419"/>
        </w:rPr>
      </w:pPr>
      <w:r w:rsidRPr="0075789D">
        <w:rPr>
          <w:lang w:val="es-419"/>
        </w:rPr>
        <w:t>Ministerio de Medio Ambiente, Alimentación y Asuntos Rurales (DEFRA) (Reino Unido)</w:t>
      </w:r>
    </w:p>
    <w:p w:rsidR="00DF76D8" w:rsidRPr="0075789D" w:rsidRDefault="00DF76D8" w:rsidP="00DF76D8">
      <w:pPr>
        <w:numPr>
          <w:ilvl w:val="0"/>
          <w:numId w:val="26"/>
        </w:numPr>
        <w:spacing w:after="60"/>
        <w:ind w:left="714" w:hanging="357"/>
        <w:rPr>
          <w:rFonts w:cs="Arial"/>
          <w:lang w:val="es-419"/>
        </w:rPr>
      </w:pPr>
      <w:r w:rsidRPr="0075789D">
        <w:rPr>
          <w:lang w:val="es-419"/>
        </w:rPr>
        <w:t xml:space="preserve">División de Propiedad Intelectual, Oficina de Exportación y Asuntos Internacionales (Japón) </w:t>
      </w:r>
    </w:p>
    <w:p w:rsidR="00DF76D8" w:rsidRPr="0075789D" w:rsidRDefault="00DF76D8" w:rsidP="00DF76D8">
      <w:pPr>
        <w:numPr>
          <w:ilvl w:val="0"/>
          <w:numId w:val="26"/>
        </w:numPr>
        <w:rPr>
          <w:rFonts w:cs="Arial"/>
          <w:lang w:val="es-419"/>
        </w:rPr>
      </w:pPr>
      <w:r w:rsidRPr="0075789D">
        <w:rPr>
          <w:lang w:val="es-419"/>
        </w:rPr>
        <w:t>Servicios de Semillas y Variedades (República de Corea)</w:t>
      </w:r>
    </w:p>
    <w:p w:rsidR="00DF76D8" w:rsidRPr="0075789D" w:rsidRDefault="00DF76D8" w:rsidP="00DF76D8">
      <w:pPr>
        <w:rPr>
          <w:rFonts w:cs="Arial"/>
          <w:lang w:val="es-419"/>
        </w:rPr>
      </w:pPr>
    </w:p>
    <w:p w:rsidR="00DF76D8" w:rsidRPr="0075789D" w:rsidRDefault="00DF76D8" w:rsidP="00DF76D8">
      <w:pPr>
        <w:rPr>
          <w:rFonts w:cs="Arial"/>
          <w:lang w:val="es-419"/>
        </w:rPr>
      </w:pPr>
    </w:p>
    <w:p w:rsidR="00DF76D8" w:rsidRPr="0075789D" w:rsidRDefault="00DF76D8" w:rsidP="00DF76D8">
      <w:pPr>
        <w:keepNext/>
        <w:rPr>
          <w:rFonts w:cs="Arial"/>
          <w:u w:val="single"/>
          <w:lang w:val="es-419"/>
        </w:rPr>
      </w:pPr>
      <w:r w:rsidRPr="0075789D">
        <w:rPr>
          <w:lang w:val="es-419"/>
        </w:rPr>
        <w:t>3.</w:t>
      </w:r>
      <w:r w:rsidRPr="0075789D">
        <w:rPr>
          <w:lang w:val="es-419"/>
        </w:rPr>
        <w:tab/>
      </w:r>
      <w:r w:rsidRPr="0075789D">
        <w:rPr>
          <w:u w:val="single"/>
          <w:lang w:val="es-419"/>
        </w:rPr>
        <w:t>Situación en el ámbito administrativo</w:t>
      </w:r>
    </w:p>
    <w:p w:rsidR="00DF76D8" w:rsidRPr="0075789D" w:rsidRDefault="00DF76D8" w:rsidP="00DF76D8">
      <w:pPr>
        <w:keepNext/>
        <w:rPr>
          <w:rFonts w:cs="Arial"/>
          <w:lang w:val="es-419"/>
        </w:rPr>
      </w:pPr>
    </w:p>
    <w:p w:rsidR="00DF76D8" w:rsidRPr="0075789D" w:rsidRDefault="00DF76D8" w:rsidP="00DF76D8">
      <w:pPr>
        <w:rPr>
          <w:rFonts w:cs="Arial"/>
          <w:lang w:val="es-419"/>
        </w:rPr>
      </w:pPr>
      <w:r w:rsidRPr="0075789D">
        <w:rPr>
          <w:lang w:val="es-419"/>
        </w:rPr>
        <w:t xml:space="preserve">Las estructuras, los procedimientos y los sistemas administrativos de la Oficina de protección de variedades vegetales de </w:t>
      </w:r>
      <w:proofErr w:type="spellStart"/>
      <w:r w:rsidRPr="0075789D">
        <w:rPr>
          <w:lang w:val="es-419"/>
        </w:rPr>
        <w:t>Kenya</w:t>
      </w:r>
      <w:proofErr w:type="spellEnd"/>
      <w:r w:rsidRPr="0075789D">
        <w:rPr>
          <w:lang w:val="es-419"/>
        </w:rPr>
        <w:t xml:space="preserve"> siguen siendo los mismos; sin embargo, las solicitudes de derecho de obtentor pueden </w:t>
      </w:r>
      <w:r w:rsidRPr="0075789D">
        <w:rPr>
          <w:lang w:val="es-419"/>
        </w:rPr>
        <w:lastRenderedPageBreak/>
        <w:t xml:space="preserve">realizarse en línea. </w:t>
      </w:r>
      <w:proofErr w:type="spellStart"/>
      <w:r w:rsidRPr="0075789D">
        <w:rPr>
          <w:lang w:val="es-419"/>
        </w:rPr>
        <w:t>Kenya</w:t>
      </w:r>
      <w:proofErr w:type="spellEnd"/>
      <w:r w:rsidRPr="0075789D">
        <w:rPr>
          <w:lang w:val="es-419"/>
        </w:rPr>
        <w:t xml:space="preserve"> ha empezado a utilizar la herramienta de solicitudes de derechos de obtentor UPOV PRISMA para todos los géneros y especies. </w:t>
      </w:r>
      <w:proofErr w:type="spellStart"/>
      <w:r w:rsidRPr="0075789D">
        <w:rPr>
          <w:lang w:val="es-419"/>
        </w:rPr>
        <w:t>Kenya</w:t>
      </w:r>
      <w:proofErr w:type="spellEnd"/>
      <w:r w:rsidRPr="0075789D">
        <w:rPr>
          <w:lang w:val="es-419"/>
        </w:rPr>
        <w:t xml:space="preserve"> ha automatizado su sistema de protección de las obtenciones vegetales de manera que todos los procesos de protección de las obtenciones vegetales se realizan en línea.</w:t>
      </w:r>
    </w:p>
    <w:p w:rsidR="00DF76D8" w:rsidRPr="0075789D" w:rsidRDefault="00DF76D8" w:rsidP="00DF76D8">
      <w:pPr>
        <w:rPr>
          <w:rFonts w:cs="Arial"/>
          <w:lang w:val="es-419"/>
        </w:rPr>
      </w:pP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4.</w:t>
      </w:r>
      <w:r w:rsidRPr="0075789D">
        <w:rPr>
          <w:lang w:val="es-419"/>
        </w:rPr>
        <w:tab/>
      </w:r>
      <w:r w:rsidRPr="0075789D">
        <w:rPr>
          <w:u w:val="single"/>
          <w:lang w:val="es-419"/>
        </w:rPr>
        <w:t>Situación en el ámbito técnico</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4.1</w:t>
      </w:r>
      <w:r w:rsidRPr="0075789D">
        <w:rPr>
          <w:lang w:val="es-419"/>
        </w:rPr>
        <w:tab/>
        <w:t>Solicitud y concesión de derechos de obtentor</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 xml:space="preserve">Desde que se estableció la Oficina de protección de variedades vegetales de </w:t>
      </w:r>
      <w:proofErr w:type="spellStart"/>
      <w:r w:rsidRPr="0075789D">
        <w:rPr>
          <w:lang w:val="es-419"/>
        </w:rPr>
        <w:t>Kenya</w:t>
      </w:r>
      <w:proofErr w:type="spellEnd"/>
      <w:r w:rsidRPr="0075789D">
        <w:rPr>
          <w:lang w:val="es-419"/>
        </w:rPr>
        <w:t xml:space="preserve"> hasta finales de 2021 se han recibido 1.886 solicitudes de derechos de obtentor y se han concedido 838 derechos de obtentor.</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 xml:space="preserve">En los gráficos siguientes se presenta la situación de los derechos de obtentor en </w:t>
      </w:r>
      <w:proofErr w:type="spellStart"/>
      <w:r w:rsidRPr="0075789D">
        <w:rPr>
          <w:lang w:val="es-419"/>
        </w:rPr>
        <w:t>Kenya</w:t>
      </w:r>
      <w:proofErr w:type="spellEnd"/>
      <w:r w:rsidRPr="0075789D">
        <w:rPr>
          <w:lang w:val="es-419"/>
        </w:rPr>
        <w:t>.</w:t>
      </w:r>
    </w:p>
    <w:p w:rsidR="00DF76D8" w:rsidRPr="0075789D" w:rsidRDefault="00DF76D8" w:rsidP="00DF76D8">
      <w:pPr>
        <w:rPr>
          <w:rFonts w:cs="Arial"/>
          <w:lang w:val="es-419"/>
        </w:rPr>
      </w:pPr>
    </w:p>
    <w:p w:rsidR="00DF76D8" w:rsidRPr="0075789D" w:rsidRDefault="00DF76D8" w:rsidP="00DF76D8">
      <w:pPr>
        <w:jc w:val="center"/>
        <w:rPr>
          <w:rFonts w:cs="Arial"/>
          <w:lang w:val="es-419"/>
        </w:rPr>
      </w:pPr>
      <w:r w:rsidRPr="0075789D">
        <w:rPr>
          <w:noProof/>
          <w:lang w:val="en-US"/>
        </w:rPr>
        <w:drawing>
          <wp:inline distT="0" distB="0" distL="0" distR="0" wp14:anchorId="185AE138" wp14:editId="717ED138">
            <wp:extent cx="6010275" cy="3130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0275" cy="3130550"/>
                    </a:xfrm>
                    <a:prstGeom prst="rect">
                      <a:avLst/>
                    </a:prstGeom>
                    <a:noFill/>
                    <a:ln>
                      <a:noFill/>
                    </a:ln>
                  </pic:spPr>
                </pic:pic>
              </a:graphicData>
            </a:graphic>
          </wp:inline>
        </w:drawing>
      </w:r>
    </w:p>
    <w:p w:rsidR="00DF76D8" w:rsidRPr="0075789D" w:rsidRDefault="00DF76D8" w:rsidP="00DF76D8">
      <w:pPr>
        <w:spacing w:before="120"/>
        <w:jc w:val="center"/>
        <w:rPr>
          <w:rStyle w:val="SubtleEmphasis"/>
          <w:rFonts w:cs="Arial"/>
          <w:lang w:val="es-419"/>
        </w:rPr>
      </w:pPr>
      <w:r w:rsidRPr="0075789D">
        <w:rPr>
          <w:rStyle w:val="SubtleEmphasis"/>
          <w:lang w:val="es-419"/>
        </w:rPr>
        <w:t>Gráfico 1. Situación de los derechos de obtentor desde que se estableció la Oficina hasta diciembre de 2021</w:t>
      </w:r>
    </w:p>
    <w:p w:rsidR="00DF76D8" w:rsidRDefault="00DF76D8" w:rsidP="00DF76D8"/>
    <w:p w:rsidR="00DF76D8" w:rsidRDefault="00DF76D8" w:rsidP="00DF76D8"/>
    <w:p w:rsidR="00DF76D8" w:rsidRPr="0075789D" w:rsidRDefault="00DF76D8" w:rsidP="00DF76D8">
      <w:pPr>
        <w:jc w:val="center"/>
        <w:rPr>
          <w:rStyle w:val="SubtleEmphasis"/>
          <w:rFonts w:cs="Arial"/>
          <w:lang w:val="es-419"/>
        </w:rPr>
      </w:pPr>
      <w:r w:rsidRPr="0075789D">
        <w:rPr>
          <w:rStyle w:val="SubtleEmphasis"/>
          <w:i w:val="0"/>
          <w:iCs w:val="0"/>
          <w:noProof/>
          <w:lang w:val="en-US"/>
        </w:rPr>
        <w:drawing>
          <wp:inline distT="0" distB="0" distL="0" distR="0" wp14:anchorId="292D542C" wp14:editId="4B02D528">
            <wp:extent cx="4892675" cy="26924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2675" cy="2692400"/>
                    </a:xfrm>
                    <a:prstGeom prst="rect">
                      <a:avLst/>
                    </a:prstGeom>
                    <a:noFill/>
                    <a:ln>
                      <a:noFill/>
                    </a:ln>
                  </pic:spPr>
                </pic:pic>
              </a:graphicData>
            </a:graphic>
          </wp:inline>
        </w:drawing>
      </w:r>
    </w:p>
    <w:p w:rsidR="00DF76D8" w:rsidRPr="0075789D" w:rsidRDefault="00DF76D8" w:rsidP="00DF76D8">
      <w:pPr>
        <w:spacing w:before="120"/>
        <w:jc w:val="center"/>
        <w:rPr>
          <w:rStyle w:val="SubtleEmphasis"/>
          <w:rFonts w:eastAsia="Tahoma" w:cs="Arial"/>
          <w:lang w:val="es-419"/>
        </w:rPr>
      </w:pPr>
      <w:r w:rsidRPr="0075789D">
        <w:rPr>
          <w:rStyle w:val="SubtleEmphasis"/>
          <w:lang w:val="es-419"/>
        </w:rPr>
        <w:t xml:space="preserve">Gráfico 2. Situación de los derechos de obtentor en </w:t>
      </w:r>
      <w:proofErr w:type="spellStart"/>
      <w:r w:rsidRPr="0075789D">
        <w:rPr>
          <w:rStyle w:val="SubtleEmphasis"/>
          <w:lang w:val="es-419"/>
        </w:rPr>
        <w:t>Kenya</w:t>
      </w:r>
      <w:proofErr w:type="spellEnd"/>
      <w:r w:rsidRPr="0075789D">
        <w:rPr>
          <w:rStyle w:val="SubtleEmphasis"/>
          <w:lang w:val="es-419"/>
        </w:rPr>
        <w:t xml:space="preserve"> en el año 2021</w:t>
      </w:r>
    </w:p>
    <w:p w:rsidR="00DF76D8" w:rsidRPr="0075789D" w:rsidRDefault="00DF76D8" w:rsidP="00DF76D8">
      <w:pPr>
        <w:rPr>
          <w:rFonts w:cs="Arial"/>
          <w:noProof/>
          <w:lang w:val="es-419" w:eastAsia="en-GB"/>
        </w:rPr>
      </w:pPr>
    </w:p>
    <w:p w:rsidR="00DF76D8" w:rsidRPr="0075789D" w:rsidRDefault="00DF76D8" w:rsidP="00DF76D8">
      <w:pPr>
        <w:rPr>
          <w:rFonts w:cs="Arial"/>
          <w:noProof/>
          <w:lang w:val="es-419" w:eastAsia="en-GB"/>
        </w:rPr>
      </w:pPr>
    </w:p>
    <w:p w:rsidR="00DF76D8" w:rsidRDefault="00DF76D8">
      <w:pPr>
        <w:jc w:val="left"/>
        <w:rPr>
          <w:lang w:val="es-419"/>
        </w:rPr>
      </w:pPr>
      <w:r>
        <w:rPr>
          <w:lang w:val="es-419"/>
        </w:rPr>
        <w:br w:type="page"/>
      </w:r>
    </w:p>
    <w:p w:rsidR="00DF76D8" w:rsidRPr="0075789D" w:rsidRDefault="00DF76D8" w:rsidP="00DF76D8">
      <w:pPr>
        <w:rPr>
          <w:rFonts w:cs="Arial"/>
          <w:lang w:val="es-419"/>
        </w:rPr>
      </w:pPr>
      <w:r w:rsidRPr="0075789D">
        <w:rPr>
          <w:lang w:val="es-419"/>
        </w:rPr>
        <w:lastRenderedPageBreak/>
        <w:t xml:space="preserve">Entre los motivos por los que los obtentores deciden retirar o renunciar a una solicitud se incluyen la disminución del interés de los consumidores por una variedad y la disponibilidad de variedades mejores en el mercado. La fecha en la que se abone la tasa de concesión de derechos es la fecha oficial en la que la variedad en cuestión comenzará a estar protegida en </w:t>
      </w:r>
      <w:proofErr w:type="spellStart"/>
      <w:r w:rsidRPr="0075789D">
        <w:rPr>
          <w:lang w:val="es-419"/>
        </w:rPr>
        <w:t>Kenya</w:t>
      </w:r>
      <w:proofErr w:type="spellEnd"/>
      <w:r w:rsidRPr="0075789D">
        <w:rPr>
          <w:lang w:val="es-419"/>
        </w:rPr>
        <w:t>.</w:t>
      </w:r>
    </w:p>
    <w:p w:rsidR="00DF76D8" w:rsidRPr="0075789D" w:rsidRDefault="00DF76D8" w:rsidP="00DF76D8">
      <w:pPr>
        <w:rPr>
          <w:rFonts w:cs="Arial"/>
          <w:b/>
          <w:u w:val="single"/>
          <w:lang w:val="es-419"/>
        </w:rPr>
      </w:pPr>
    </w:p>
    <w:p w:rsidR="00DF76D8" w:rsidRPr="0075789D" w:rsidRDefault="00DF76D8" w:rsidP="00DF76D8">
      <w:pPr>
        <w:keepNext/>
        <w:rPr>
          <w:rFonts w:cs="Arial"/>
          <w:lang w:val="es-419"/>
        </w:rPr>
      </w:pPr>
      <w:r w:rsidRPr="0075789D">
        <w:rPr>
          <w:lang w:val="es-419"/>
        </w:rPr>
        <w:t>4.2.</w:t>
      </w:r>
      <w:r w:rsidRPr="0075789D">
        <w:rPr>
          <w:lang w:val="es-419"/>
        </w:rPr>
        <w:tab/>
        <w:t>Exámenes DHE</w:t>
      </w:r>
    </w:p>
    <w:p w:rsidR="00DF76D8" w:rsidRPr="0075789D" w:rsidRDefault="00DF76D8" w:rsidP="00DF76D8">
      <w:pPr>
        <w:keepNext/>
        <w:rPr>
          <w:rFonts w:cs="Arial"/>
          <w:lang w:val="es-419"/>
        </w:rPr>
      </w:pPr>
    </w:p>
    <w:p w:rsidR="00DF76D8" w:rsidRPr="0075789D" w:rsidRDefault="00DF76D8" w:rsidP="00DF76D8">
      <w:pPr>
        <w:rPr>
          <w:rFonts w:cs="Arial"/>
          <w:lang w:val="es-419"/>
        </w:rPr>
      </w:pPr>
      <w:r w:rsidRPr="0075789D">
        <w:rPr>
          <w:lang w:val="es-419"/>
        </w:rPr>
        <w:t xml:space="preserve">La Oficina está llevando a cabo exámenes DHE del guandú, el maíz, el mijo, el sorgo, la papa/patata, el trigo, las pasturas, judías, achicoria y el </w:t>
      </w:r>
      <w:proofErr w:type="spellStart"/>
      <w:r w:rsidRPr="0075789D">
        <w:rPr>
          <w:lang w:val="es-419"/>
        </w:rPr>
        <w:t>tef</w:t>
      </w:r>
      <w:proofErr w:type="spellEnd"/>
      <w:r w:rsidRPr="0075789D">
        <w:rPr>
          <w:lang w:val="es-419"/>
        </w:rPr>
        <w:t>. Se han desarrollado directrices nacionales de examen para algunos de estos cultivos.</w:t>
      </w:r>
    </w:p>
    <w:p w:rsidR="00DF76D8" w:rsidRPr="0075789D" w:rsidRDefault="00DF76D8" w:rsidP="00DF76D8">
      <w:pPr>
        <w:rPr>
          <w:rFonts w:cs="Arial"/>
          <w:lang w:val="es-419"/>
        </w:rPr>
      </w:pPr>
    </w:p>
    <w:p w:rsidR="00DF76D8" w:rsidRPr="0075789D" w:rsidRDefault="00DF76D8" w:rsidP="00DF76D8">
      <w:pPr>
        <w:rPr>
          <w:rFonts w:cs="Arial"/>
          <w:lang w:val="es-419"/>
        </w:rPr>
      </w:pPr>
    </w:p>
    <w:p w:rsidR="00DF76D8" w:rsidRPr="0075789D" w:rsidRDefault="00DF76D8" w:rsidP="00DF76D8">
      <w:pPr>
        <w:rPr>
          <w:rFonts w:cs="Arial"/>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 xml:space="preserve">La Oficina de protección de variedades vegetales de </w:t>
      </w:r>
      <w:proofErr w:type="spellStart"/>
      <w:r w:rsidRPr="0075789D">
        <w:rPr>
          <w:lang w:val="es-419"/>
        </w:rPr>
        <w:t>Kenya</w:t>
      </w:r>
      <w:proofErr w:type="spellEnd"/>
      <w:r w:rsidRPr="0075789D">
        <w:rPr>
          <w:lang w:val="es-419"/>
        </w:rPr>
        <w:t xml:space="preserve"> ha participado de forma activa en diversas actividades para la promoción de la protección de las variedades vegetales, tanto a nivel nacional como regional. Entre estas actividades se incluyen las siguientes:</w:t>
      </w:r>
    </w:p>
    <w:p w:rsidR="00DF76D8" w:rsidRPr="0075789D" w:rsidRDefault="00DF76D8" w:rsidP="00DF76D8">
      <w:pPr>
        <w:rPr>
          <w:rFonts w:cs="Arial"/>
          <w:b/>
          <w:lang w:val="es-419"/>
        </w:rPr>
      </w:pPr>
    </w:p>
    <w:p w:rsidR="00DF76D8" w:rsidRPr="0075789D" w:rsidRDefault="00DF76D8" w:rsidP="00DF76D8">
      <w:pPr>
        <w:numPr>
          <w:ilvl w:val="0"/>
          <w:numId w:val="27"/>
        </w:numPr>
        <w:spacing w:after="120"/>
        <w:ind w:left="714" w:hanging="357"/>
        <w:rPr>
          <w:rFonts w:cs="Arial"/>
          <w:lang w:val="es-419"/>
        </w:rPr>
      </w:pPr>
      <w:r w:rsidRPr="0075789D">
        <w:rPr>
          <w:lang w:val="es-419"/>
        </w:rPr>
        <w:t>Seminarios de divulgación para sensibilizar sobre los servicios de protección de las variedades vegetales en el país. Estos seminarios están destinados a instituciones de investigación agrícola, universidades, encargados de formular políticas y personal de extensión agrícola del país, así como al sector agrícola en su conjunto.</w:t>
      </w:r>
    </w:p>
    <w:p w:rsidR="00DF76D8" w:rsidRPr="0075789D" w:rsidRDefault="00DF76D8" w:rsidP="00DF76D8">
      <w:pPr>
        <w:numPr>
          <w:ilvl w:val="0"/>
          <w:numId w:val="27"/>
        </w:numPr>
        <w:spacing w:after="120"/>
        <w:ind w:left="714" w:hanging="357"/>
        <w:rPr>
          <w:rFonts w:cs="Arial"/>
          <w:lang w:val="es-419"/>
        </w:rPr>
      </w:pPr>
      <w:r w:rsidRPr="0075789D">
        <w:rPr>
          <w:lang w:val="es-419"/>
        </w:rPr>
        <w:t xml:space="preserve">La Oficina está trabajando con otros sectores agrícolas para procurar la conformidad de los reglamentos vigentes con lo dispuesto en la Ley de Semillas y Variedades Vegetales y, en consecuencia, con el Convenio de la UPOV. </w:t>
      </w:r>
    </w:p>
    <w:p w:rsidR="00DF76D8" w:rsidRPr="0075789D" w:rsidRDefault="00DF76D8" w:rsidP="00DF76D8">
      <w:pPr>
        <w:numPr>
          <w:ilvl w:val="0"/>
          <w:numId w:val="27"/>
        </w:numPr>
        <w:rPr>
          <w:rFonts w:cs="Arial"/>
          <w:lang w:val="es-419"/>
        </w:rPr>
      </w:pPr>
      <w:r w:rsidRPr="0075789D">
        <w:rPr>
          <w:lang w:val="es-419"/>
        </w:rPr>
        <w:t xml:space="preserve">La Oficina también ha participado en la presentación del sistema keniano de protección de las obtenciones vegetales a las delegaciones de </w:t>
      </w:r>
      <w:proofErr w:type="spellStart"/>
      <w:r w:rsidRPr="0075789D">
        <w:rPr>
          <w:lang w:val="es-419"/>
        </w:rPr>
        <w:t>Djibouti</w:t>
      </w:r>
      <w:proofErr w:type="spellEnd"/>
      <w:r w:rsidRPr="0075789D">
        <w:rPr>
          <w:lang w:val="es-419"/>
        </w:rPr>
        <w:t xml:space="preserve">, Eritrea, Sudán del Sur, Somalia y Ghana. </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Toda correspondencia deberá dirigirse a la dirección siguiente:</w:t>
      </w:r>
    </w:p>
    <w:p w:rsidR="00DF76D8" w:rsidRPr="0075789D" w:rsidRDefault="00DF76D8" w:rsidP="00DF76D8">
      <w:pPr>
        <w:rPr>
          <w:rFonts w:cs="Arial"/>
          <w:lang w:val="es-419"/>
        </w:rPr>
      </w:pPr>
    </w:p>
    <w:p w:rsidR="00DF76D8" w:rsidRPr="0075789D" w:rsidRDefault="00DF76D8" w:rsidP="00DF76D8">
      <w:pPr>
        <w:rPr>
          <w:rFonts w:cs="Arial"/>
          <w:lang w:val="es-419"/>
        </w:rPr>
      </w:pPr>
      <w:r w:rsidRPr="0075789D">
        <w:rPr>
          <w:lang w:val="es-419"/>
        </w:rPr>
        <w:t>Director general</w:t>
      </w:r>
    </w:p>
    <w:p w:rsidR="00DF76D8" w:rsidRPr="0075789D" w:rsidRDefault="00DF76D8" w:rsidP="00DF76D8">
      <w:pPr>
        <w:rPr>
          <w:rFonts w:cs="Arial"/>
          <w:lang w:val="es-419"/>
        </w:rPr>
      </w:pPr>
      <w:r w:rsidRPr="0075789D">
        <w:rPr>
          <w:lang w:val="es-419"/>
        </w:rPr>
        <w:t xml:space="preserve">Servicio de Inspección Fitosanitaria de </w:t>
      </w:r>
      <w:proofErr w:type="spellStart"/>
      <w:r w:rsidRPr="0075789D">
        <w:rPr>
          <w:lang w:val="es-419"/>
        </w:rPr>
        <w:t>Kenya</w:t>
      </w:r>
      <w:proofErr w:type="spellEnd"/>
    </w:p>
    <w:p w:rsidR="00DF76D8" w:rsidRPr="0075789D" w:rsidRDefault="00DF76D8" w:rsidP="00DF76D8">
      <w:pPr>
        <w:rPr>
          <w:rFonts w:cs="Arial"/>
          <w:lang w:val="es-419"/>
        </w:rPr>
      </w:pPr>
      <w:proofErr w:type="spellStart"/>
      <w:r w:rsidRPr="0075789D">
        <w:rPr>
          <w:lang w:val="es-419"/>
        </w:rPr>
        <w:t>Headquarters</w:t>
      </w:r>
      <w:proofErr w:type="spellEnd"/>
      <w:r w:rsidRPr="0075789D">
        <w:rPr>
          <w:lang w:val="es-419"/>
        </w:rPr>
        <w:t xml:space="preserve">, </w:t>
      </w:r>
      <w:proofErr w:type="spellStart"/>
      <w:r w:rsidRPr="0075789D">
        <w:rPr>
          <w:lang w:val="es-419"/>
        </w:rPr>
        <w:t>Oloolua</w:t>
      </w:r>
      <w:proofErr w:type="spellEnd"/>
      <w:r w:rsidRPr="0075789D">
        <w:rPr>
          <w:lang w:val="es-419"/>
        </w:rPr>
        <w:t xml:space="preserve"> Ridge, Karen</w:t>
      </w:r>
    </w:p>
    <w:p w:rsidR="00DF76D8" w:rsidRPr="0075789D" w:rsidRDefault="00DF76D8" w:rsidP="00DF76D8">
      <w:pPr>
        <w:rPr>
          <w:rFonts w:cs="Arial"/>
          <w:lang w:val="es-419"/>
        </w:rPr>
      </w:pPr>
      <w:r w:rsidRPr="0075789D">
        <w:rPr>
          <w:lang w:val="es-419"/>
        </w:rPr>
        <w:t>P. O. Box 49592-00100, Nairobi (</w:t>
      </w:r>
      <w:proofErr w:type="spellStart"/>
      <w:r w:rsidRPr="0075789D">
        <w:rPr>
          <w:lang w:val="es-419"/>
        </w:rPr>
        <w:t>Kenya</w:t>
      </w:r>
      <w:proofErr w:type="spellEnd"/>
      <w:r w:rsidRPr="0075789D">
        <w:rPr>
          <w:lang w:val="es-419"/>
        </w:rPr>
        <w:t>)</w:t>
      </w:r>
    </w:p>
    <w:p w:rsidR="00DF76D8" w:rsidRPr="0075789D" w:rsidRDefault="00DF76D8" w:rsidP="00DF76D8">
      <w:pPr>
        <w:rPr>
          <w:rFonts w:cs="Arial"/>
          <w:lang w:val="es-419"/>
        </w:rPr>
      </w:pPr>
      <w:r w:rsidRPr="0075789D">
        <w:rPr>
          <w:lang w:val="es-419"/>
        </w:rPr>
        <w:t>Tel. +254 20 3597201 o +254 20 3597203</w:t>
      </w:r>
    </w:p>
    <w:p w:rsidR="00DF76D8" w:rsidRPr="0075789D" w:rsidRDefault="00DF76D8" w:rsidP="00DF76D8">
      <w:pPr>
        <w:rPr>
          <w:rFonts w:cs="Arial"/>
          <w:lang w:val="es-419"/>
        </w:rPr>
      </w:pPr>
      <w:r w:rsidRPr="0075789D">
        <w:rPr>
          <w:lang w:val="es-419"/>
        </w:rPr>
        <w:t>Móvil: +254 723 786 779 o +254 733 874 141</w:t>
      </w:r>
    </w:p>
    <w:p w:rsidR="00DF76D8" w:rsidRPr="0075789D" w:rsidRDefault="00DF76D8" w:rsidP="00DF76D8">
      <w:pPr>
        <w:rPr>
          <w:rFonts w:cs="Arial"/>
          <w:lang w:val="es-419"/>
        </w:rPr>
      </w:pPr>
      <w:r w:rsidRPr="0075789D">
        <w:rPr>
          <w:lang w:val="es-419"/>
        </w:rPr>
        <w:t>Correo electrónico: director@kephis.org</w:t>
      </w:r>
    </w:p>
    <w:p w:rsidR="00DF76D8" w:rsidRPr="0075789D" w:rsidRDefault="00DF76D8" w:rsidP="00DF76D8">
      <w:pPr>
        <w:rPr>
          <w:rFonts w:cs="Arial"/>
          <w:lang w:val="es-419"/>
        </w:rPr>
      </w:pPr>
      <w:r w:rsidRPr="0075789D">
        <w:rPr>
          <w:lang w:val="es-419"/>
        </w:rPr>
        <w:t>Sitio web: www.kephis.org</w:t>
      </w:r>
    </w:p>
    <w:p w:rsidR="00DF76D8" w:rsidRPr="0075789D" w:rsidRDefault="00DF76D8" w:rsidP="00DF76D8">
      <w:pPr>
        <w:rPr>
          <w:rFonts w:cs="Arial"/>
          <w:lang w:val="es-419"/>
        </w:rPr>
      </w:pPr>
    </w:p>
    <w:p w:rsidR="00CE1862" w:rsidRPr="00D36B66" w:rsidRDefault="00CE1862" w:rsidP="00CE1862">
      <w:pPr>
        <w:jc w:val="left"/>
      </w:pPr>
    </w:p>
    <w:p w:rsidR="00CE1862" w:rsidRPr="00D36B66" w:rsidRDefault="00CE1862" w:rsidP="00CE1862">
      <w:pPr>
        <w:jc w:val="left"/>
      </w:pPr>
    </w:p>
    <w:p w:rsidR="00CE1862" w:rsidRPr="00D36B66" w:rsidRDefault="00CE1862" w:rsidP="00CE1862">
      <w:pPr>
        <w:jc w:val="right"/>
      </w:pPr>
      <w:r>
        <w:t>[Sigue el Anexo</w:t>
      </w:r>
      <w:r w:rsidRPr="00D36B66">
        <w:t xml:space="preserve"> X</w:t>
      </w:r>
      <w:r>
        <w:t>]</w:t>
      </w:r>
    </w:p>
    <w:p w:rsidR="00CE1862" w:rsidRDefault="00CE1862" w:rsidP="00CE1862"/>
    <w:p w:rsidR="00CE1862" w:rsidRDefault="00CE1862" w:rsidP="00CE1862">
      <w:pPr>
        <w:sectPr w:rsidR="00CE1862" w:rsidSect="00DF76D8">
          <w:headerReference w:type="default" r:id="rId26"/>
          <w:pgSz w:w="11907" w:h="16840" w:code="9"/>
          <w:pgMar w:top="510" w:right="1134" w:bottom="993"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w:t>
      </w:r>
      <w:r w:rsidR="00991CBD" w:rsidRPr="00D36B66">
        <w:t>X</w:t>
      </w:r>
    </w:p>
    <w:p w:rsidR="009859E1" w:rsidRPr="00D36B66" w:rsidRDefault="009859E1" w:rsidP="000362AD">
      <w:pPr>
        <w:jc w:val="center"/>
      </w:pPr>
    </w:p>
    <w:p w:rsidR="004D2165" w:rsidRPr="00D36B66" w:rsidRDefault="004D2165" w:rsidP="000362AD">
      <w:pPr>
        <w:jc w:val="center"/>
      </w:pPr>
    </w:p>
    <w:p w:rsidR="009859E1" w:rsidRPr="00D36B66" w:rsidRDefault="000A2928" w:rsidP="000362AD">
      <w:pPr>
        <w:jc w:val="center"/>
      </w:pPr>
      <w:r>
        <w:t>MÉ</w:t>
      </w:r>
      <w:r w:rsidR="009859E1" w:rsidRPr="00D36B66">
        <w:t>XICO</w:t>
      </w:r>
    </w:p>
    <w:p w:rsidR="000362AD" w:rsidRPr="00D36B66" w:rsidRDefault="000362AD" w:rsidP="000362AD">
      <w:pPr>
        <w:jc w:val="center"/>
      </w:pPr>
    </w:p>
    <w:p w:rsidR="000362AD" w:rsidRPr="00D36B66" w:rsidRDefault="000362AD" w:rsidP="000362AD">
      <w:pPr>
        <w:jc w:val="center"/>
      </w:pPr>
    </w:p>
    <w:p w:rsidR="00285F27" w:rsidRPr="00AA1EE1" w:rsidRDefault="00285F27" w:rsidP="00285F27">
      <w:r w:rsidRPr="00AA1EE1">
        <w:t>PROTECCIÓN DE LAS OBTENCIONES VEGETALES</w:t>
      </w:r>
    </w:p>
    <w:p w:rsidR="00285F27" w:rsidRPr="00AA1EE1" w:rsidRDefault="00285F27" w:rsidP="00285F27"/>
    <w:p w:rsidR="00285F27" w:rsidRPr="00AA1EE1" w:rsidRDefault="00285F27" w:rsidP="00285F27">
      <w:pPr>
        <w:rPr>
          <w:u w:val="single"/>
        </w:rPr>
      </w:pPr>
      <w:r>
        <w:t>1.</w:t>
      </w:r>
      <w:r>
        <w:tab/>
      </w:r>
      <w:r w:rsidRPr="00AA1EE1">
        <w:rPr>
          <w:u w:val="single"/>
        </w:rPr>
        <w:t>Situación en el campo legislativo</w:t>
      </w:r>
    </w:p>
    <w:p w:rsidR="00285F27" w:rsidRPr="00AA1EE1" w:rsidRDefault="00285F27" w:rsidP="00285F27">
      <w:pPr>
        <w:rPr>
          <w:u w:val="single"/>
        </w:rPr>
      </w:pPr>
    </w:p>
    <w:p w:rsidR="00285F27" w:rsidRPr="00AA1EE1" w:rsidRDefault="00285F27" w:rsidP="00285F27">
      <w:r w:rsidRPr="00AA1EE1">
        <w:t>México es parte del Convenio de la UPOV, desde agosto de 1997, la legislación actual es conforme al Acta</w:t>
      </w:r>
      <w:r>
        <w:t xml:space="preserve"> de 1978. </w:t>
      </w:r>
      <w:r w:rsidRPr="00AA1EE1">
        <w:t xml:space="preserve"> Sin embargo, en los últimos años se han trabajado propuestas a las reformas de la Ley Federal de Variedades Vegetales, de 1996.</w:t>
      </w:r>
    </w:p>
    <w:p w:rsidR="00285F27" w:rsidRPr="00AA1EE1" w:rsidRDefault="00285F27" w:rsidP="00285F27"/>
    <w:p w:rsidR="00285F27" w:rsidRPr="00AA1EE1" w:rsidRDefault="00285F27" w:rsidP="00285F27">
      <w:pPr>
        <w:ind w:left="567"/>
      </w:pPr>
      <w:r w:rsidRPr="00AA1EE1">
        <w:t>1.1</w:t>
      </w:r>
      <w:r w:rsidRPr="00AA1EE1">
        <w:tab/>
        <w:t>Modificaciones de la ley y de los reglamentos</w:t>
      </w:r>
      <w:r>
        <w:t>:  sin cambios.</w:t>
      </w:r>
    </w:p>
    <w:p w:rsidR="00285F27" w:rsidRDefault="00285F27" w:rsidP="00285F27">
      <w:pPr>
        <w:ind w:left="567"/>
      </w:pPr>
    </w:p>
    <w:p w:rsidR="00285F27" w:rsidRPr="00AA1EE1" w:rsidRDefault="00285F27" w:rsidP="00285F27">
      <w:pPr>
        <w:ind w:left="567"/>
      </w:pPr>
      <w:r w:rsidRPr="00AA1EE1">
        <w:t>1.2</w:t>
      </w:r>
      <w:r w:rsidRPr="00AA1EE1">
        <w:tab/>
        <w:t>Extensión de la protec</w:t>
      </w:r>
      <w:r>
        <w:t>ción a otros géneros y especies:</w:t>
      </w:r>
    </w:p>
    <w:p w:rsidR="00285F27" w:rsidRDefault="00285F27" w:rsidP="00285F27">
      <w:pPr>
        <w:ind w:left="567"/>
      </w:pPr>
    </w:p>
    <w:p w:rsidR="00285F27" w:rsidRPr="00AA1EE1" w:rsidRDefault="00285F27" w:rsidP="00285F27">
      <w:pPr>
        <w:ind w:left="567"/>
      </w:pPr>
      <w:r w:rsidRPr="00AA1EE1">
        <w:t>Desde la publicación de la legislación, México ofreció protección a todos los géneros y especies</w:t>
      </w:r>
      <w:r>
        <w:t>.</w:t>
      </w:r>
    </w:p>
    <w:p w:rsidR="00285F27" w:rsidRPr="00AA1EE1" w:rsidRDefault="00285F27" w:rsidP="00285F27"/>
    <w:p w:rsidR="00285F27" w:rsidRPr="00AA1EE1" w:rsidRDefault="00285F27" w:rsidP="00285F27"/>
    <w:p w:rsidR="00285F27" w:rsidRPr="00F91AE6" w:rsidRDefault="00285F27" w:rsidP="00285F27">
      <w:r w:rsidRPr="00AA1EE1">
        <w:t>2.</w:t>
      </w:r>
      <w:r w:rsidRPr="00AA1EE1">
        <w:tab/>
      </w:r>
      <w:r w:rsidRPr="00AA1EE1">
        <w:rPr>
          <w:u w:val="single"/>
        </w:rPr>
        <w:t>Cooperación en el examen</w:t>
      </w:r>
      <w:r>
        <w:t xml:space="preserve">  sin cambios.</w:t>
      </w:r>
    </w:p>
    <w:p w:rsidR="00285F27" w:rsidRPr="00AA1EE1" w:rsidRDefault="00285F27" w:rsidP="00285F27"/>
    <w:p w:rsidR="00285F27" w:rsidRPr="00AA1EE1" w:rsidRDefault="00285F27" w:rsidP="00285F27">
      <w:r w:rsidRPr="00AA1EE1">
        <w:t>3.</w:t>
      </w:r>
      <w:r w:rsidRPr="00AA1EE1">
        <w:tab/>
      </w:r>
      <w:r w:rsidRPr="00AA1EE1">
        <w:rPr>
          <w:u w:val="single"/>
        </w:rPr>
        <w:t>Situación en el campo administrativo</w:t>
      </w:r>
      <w:r>
        <w:t>:  sin cambios.</w:t>
      </w:r>
    </w:p>
    <w:p w:rsidR="00285F27" w:rsidRPr="00AA1EE1" w:rsidRDefault="00285F27" w:rsidP="00285F27"/>
    <w:p w:rsidR="00285F27" w:rsidRPr="00AA1EE1" w:rsidRDefault="00285F27" w:rsidP="00285F27">
      <w:r w:rsidRPr="00AA1EE1">
        <w:t>4.</w:t>
      </w:r>
      <w:r w:rsidRPr="00AA1EE1">
        <w:tab/>
      </w:r>
      <w:r w:rsidRPr="00AA1EE1">
        <w:rPr>
          <w:u w:val="single"/>
        </w:rPr>
        <w:t>Situación en el campo técnico</w:t>
      </w:r>
      <w:r>
        <w:t>:  sin cambios.</w:t>
      </w:r>
    </w:p>
    <w:p w:rsidR="00285F27" w:rsidRDefault="00285F27" w:rsidP="00285F27"/>
    <w:p w:rsidR="00285F27" w:rsidRPr="00AA1EE1" w:rsidRDefault="00285F27" w:rsidP="00285F27">
      <w:pPr>
        <w:rPr>
          <w:u w:val="single"/>
        </w:rPr>
      </w:pPr>
      <w:r w:rsidRPr="00AA1EE1">
        <w:t>5.</w:t>
      </w:r>
      <w:r w:rsidRPr="00AA1EE1">
        <w:tab/>
      </w:r>
      <w:r w:rsidRPr="00AA1EE1">
        <w:rPr>
          <w:u w:val="single"/>
        </w:rPr>
        <w:t>Actividades para la promoción de la protección de las obtenciones vegetales</w:t>
      </w:r>
    </w:p>
    <w:p w:rsidR="00285F27" w:rsidRPr="00AA1EE1" w:rsidRDefault="00285F27" w:rsidP="00285F27"/>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851"/>
        <w:gridCol w:w="908"/>
        <w:gridCol w:w="1417"/>
        <w:gridCol w:w="2069"/>
        <w:gridCol w:w="1843"/>
        <w:gridCol w:w="1559"/>
      </w:tblGrid>
      <w:tr w:rsidR="00285F27" w:rsidRPr="00AA1EE1" w:rsidTr="004D1E3E">
        <w:trPr>
          <w:tblHeader/>
        </w:trPr>
        <w:tc>
          <w:tcPr>
            <w:tcW w:w="1271" w:type="dxa"/>
          </w:tcPr>
          <w:p w:rsidR="00285F27" w:rsidRPr="00AA1EE1" w:rsidRDefault="00285F27" w:rsidP="004D1E3E">
            <w:pPr>
              <w:jc w:val="left"/>
              <w:rPr>
                <w:sz w:val="16"/>
                <w:szCs w:val="18"/>
              </w:rPr>
            </w:pPr>
            <w:r w:rsidRPr="00AA1EE1">
              <w:rPr>
                <w:sz w:val="16"/>
                <w:szCs w:val="18"/>
              </w:rPr>
              <w:t>Título de la actividad</w:t>
            </w:r>
          </w:p>
        </w:tc>
        <w:tc>
          <w:tcPr>
            <w:tcW w:w="851" w:type="dxa"/>
          </w:tcPr>
          <w:p w:rsidR="00285F27" w:rsidRPr="00AA1EE1" w:rsidRDefault="00285F27" w:rsidP="004D1E3E">
            <w:pPr>
              <w:jc w:val="left"/>
              <w:rPr>
                <w:sz w:val="16"/>
                <w:szCs w:val="18"/>
              </w:rPr>
            </w:pPr>
            <w:r w:rsidRPr="00AA1EE1">
              <w:rPr>
                <w:sz w:val="16"/>
                <w:szCs w:val="18"/>
              </w:rPr>
              <w:t>Fecha</w:t>
            </w:r>
          </w:p>
        </w:tc>
        <w:tc>
          <w:tcPr>
            <w:tcW w:w="908" w:type="dxa"/>
          </w:tcPr>
          <w:p w:rsidR="00285F27" w:rsidRPr="00AA1EE1" w:rsidRDefault="00285F27" w:rsidP="004D1E3E">
            <w:pPr>
              <w:jc w:val="left"/>
              <w:rPr>
                <w:sz w:val="16"/>
                <w:szCs w:val="18"/>
              </w:rPr>
            </w:pPr>
            <w:r w:rsidRPr="00AA1EE1">
              <w:rPr>
                <w:sz w:val="16"/>
                <w:szCs w:val="18"/>
              </w:rPr>
              <w:t>Lugar</w:t>
            </w:r>
          </w:p>
        </w:tc>
        <w:tc>
          <w:tcPr>
            <w:tcW w:w="1417" w:type="dxa"/>
          </w:tcPr>
          <w:p w:rsidR="00285F27" w:rsidRPr="00AA1EE1" w:rsidRDefault="00285F27" w:rsidP="004D1E3E">
            <w:pPr>
              <w:jc w:val="left"/>
              <w:rPr>
                <w:sz w:val="16"/>
                <w:szCs w:val="18"/>
              </w:rPr>
            </w:pPr>
            <w:r w:rsidRPr="00AA1EE1">
              <w:rPr>
                <w:sz w:val="16"/>
                <w:szCs w:val="18"/>
              </w:rPr>
              <w:t>Organizadores</w:t>
            </w:r>
          </w:p>
        </w:tc>
        <w:tc>
          <w:tcPr>
            <w:tcW w:w="2069" w:type="dxa"/>
          </w:tcPr>
          <w:p w:rsidR="00285F27" w:rsidRPr="00AA1EE1" w:rsidRDefault="00285F27" w:rsidP="004D1E3E">
            <w:pPr>
              <w:jc w:val="left"/>
              <w:rPr>
                <w:sz w:val="16"/>
                <w:szCs w:val="18"/>
              </w:rPr>
            </w:pPr>
            <w:r w:rsidRPr="00AA1EE1">
              <w:rPr>
                <w:sz w:val="16"/>
                <w:szCs w:val="18"/>
              </w:rPr>
              <w:t>Finalidad de la actividad</w:t>
            </w:r>
          </w:p>
        </w:tc>
        <w:tc>
          <w:tcPr>
            <w:tcW w:w="1843" w:type="dxa"/>
          </w:tcPr>
          <w:p w:rsidR="00285F27" w:rsidRPr="00AA1EE1" w:rsidRDefault="00285F27" w:rsidP="004D1E3E">
            <w:pPr>
              <w:jc w:val="left"/>
              <w:rPr>
                <w:sz w:val="16"/>
                <w:szCs w:val="18"/>
              </w:rPr>
            </w:pPr>
            <w:r w:rsidRPr="00AA1EE1">
              <w:rPr>
                <w:sz w:val="16"/>
                <w:szCs w:val="18"/>
              </w:rPr>
              <w:t>Países participantes/ organizaciones (número de participantes de cada país/organización)</w:t>
            </w:r>
          </w:p>
        </w:tc>
        <w:tc>
          <w:tcPr>
            <w:tcW w:w="1559" w:type="dxa"/>
          </w:tcPr>
          <w:p w:rsidR="00285F27" w:rsidRPr="00AA1EE1" w:rsidRDefault="00285F27" w:rsidP="004D1E3E">
            <w:pPr>
              <w:jc w:val="left"/>
              <w:rPr>
                <w:sz w:val="16"/>
                <w:szCs w:val="18"/>
              </w:rPr>
            </w:pPr>
            <w:r w:rsidRPr="00AA1EE1">
              <w:rPr>
                <w:sz w:val="16"/>
                <w:szCs w:val="18"/>
              </w:rPr>
              <w:t>Comentarios</w:t>
            </w:r>
          </w:p>
        </w:tc>
      </w:tr>
      <w:tr w:rsidR="00285F27" w:rsidRPr="00AA1EE1" w:rsidTr="004D1E3E">
        <w:trPr>
          <w:cantSplit/>
        </w:trPr>
        <w:tc>
          <w:tcPr>
            <w:tcW w:w="1271" w:type="dxa"/>
          </w:tcPr>
          <w:p w:rsidR="00285F27" w:rsidRPr="00F91AE6" w:rsidRDefault="00285F27" w:rsidP="004D1E3E">
            <w:pPr>
              <w:jc w:val="left"/>
              <w:rPr>
                <w:sz w:val="16"/>
                <w:szCs w:val="16"/>
              </w:rPr>
            </w:pPr>
            <w:r>
              <w:rPr>
                <w:sz w:val="16"/>
                <w:szCs w:val="16"/>
              </w:rPr>
              <w:t xml:space="preserve">1. </w:t>
            </w:r>
            <w:r w:rsidRPr="00F91AE6">
              <w:rPr>
                <w:sz w:val="16"/>
                <w:szCs w:val="16"/>
              </w:rPr>
              <w:t>Taller “Proceso e importancia del Registro de Variedades”</w:t>
            </w:r>
          </w:p>
        </w:tc>
        <w:tc>
          <w:tcPr>
            <w:tcW w:w="851" w:type="dxa"/>
          </w:tcPr>
          <w:p w:rsidR="00285F27" w:rsidRPr="00F91AE6" w:rsidRDefault="00285F27" w:rsidP="004D1E3E">
            <w:pPr>
              <w:jc w:val="left"/>
              <w:rPr>
                <w:sz w:val="16"/>
                <w:szCs w:val="16"/>
              </w:rPr>
            </w:pPr>
            <w:r w:rsidRPr="00F91AE6">
              <w:rPr>
                <w:sz w:val="16"/>
                <w:szCs w:val="16"/>
              </w:rPr>
              <w:t>21 de abril de 2022</w:t>
            </w:r>
          </w:p>
        </w:tc>
        <w:tc>
          <w:tcPr>
            <w:tcW w:w="908" w:type="dxa"/>
          </w:tcPr>
          <w:p w:rsidR="00285F27" w:rsidRPr="00F91AE6" w:rsidRDefault="00285F27" w:rsidP="004D1E3E">
            <w:pPr>
              <w:jc w:val="left"/>
              <w:rPr>
                <w:sz w:val="16"/>
                <w:szCs w:val="16"/>
              </w:rPr>
            </w:pPr>
            <w:r w:rsidRPr="00F91AE6">
              <w:rPr>
                <w:sz w:val="16"/>
                <w:szCs w:val="16"/>
              </w:rPr>
              <w:t xml:space="preserve">Ciudad de México, a través de medios virtuales (google </w:t>
            </w:r>
            <w:proofErr w:type="spellStart"/>
            <w:r w:rsidRPr="00F91AE6">
              <w:rPr>
                <w:sz w:val="16"/>
                <w:szCs w:val="16"/>
              </w:rPr>
              <w:t>meet</w:t>
            </w:r>
            <w:proofErr w:type="spellEnd"/>
            <w:r w:rsidRPr="00F91AE6">
              <w:rPr>
                <w:sz w:val="16"/>
                <w:szCs w:val="16"/>
              </w:rPr>
              <w:t>)</w:t>
            </w:r>
          </w:p>
        </w:tc>
        <w:tc>
          <w:tcPr>
            <w:tcW w:w="1417" w:type="dxa"/>
          </w:tcPr>
          <w:p w:rsidR="00285F27" w:rsidRPr="00F91AE6" w:rsidRDefault="00285F27" w:rsidP="004D1E3E">
            <w:pPr>
              <w:jc w:val="left"/>
              <w:rPr>
                <w:sz w:val="16"/>
                <w:szCs w:val="16"/>
              </w:rPr>
            </w:pPr>
            <w:r w:rsidRPr="00F91AE6">
              <w:rPr>
                <w:sz w:val="16"/>
                <w:szCs w:val="16"/>
              </w:rPr>
              <w:t>Servicio Nacional de Inspección y Certificación de Semillas y el Instituto Nacional de Investigaciones Forestales, Agrícolas y Pecuarias</w:t>
            </w:r>
          </w:p>
        </w:tc>
        <w:tc>
          <w:tcPr>
            <w:tcW w:w="2069" w:type="dxa"/>
          </w:tcPr>
          <w:p w:rsidR="00285F27" w:rsidRPr="00F91AE6" w:rsidRDefault="00285F27" w:rsidP="004D1E3E">
            <w:pPr>
              <w:jc w:val="left"/>
              <w:rPr>
                <w:sz w:val="16"/>
                <w:szCs w:val="16"/>
              </w:rPr>
            </w:pPr>
            <w:r w:rsidRPr="00F91AE6">
              <w:rPr>
                <w:sz w:val="16"/>
                <w:szCs w:val="16"/>
              </w:rPr>
              <w:t>Brindar a los investigadores, obtentores y redactores de solicitudes del Instituto Nacional de Investigaciones Forestales, Agrícolas y Pecuarias (INIFAP), los fundamentos técnicos y administrativos necesarios para la presentación de las solicitudes en materia de variedades vegetales.</w:t>
            </w:r>
          </w:p>
        </w:tc>
        <w:tc>
          <w:tcPr>
            <w:tcW w:w="1843" w:type="dxa"/>
          </w:tcPr>
          <w:p w:rsidR="00285F27" w:rsidRPr="00F91AE6" w:rsidRDefault="00285F27" w:rsidP="004D1E3E">
            <w:pPr>
              <w:jc w:val="left"/>
              <w:rPr>
                <w:sz w:val="16"/>
                <w:szCs w:val="16"/>
              </w:rPr>
            </w:pPr>
            <w:r w:rsidRPr="00F91AE6">
              <w:rPr>
                <w:sz w:val="16"/>
                <w:szCs w:val="16"/>
              </w:rPr>
              <w:t xml:space="preserve">México, </w:t>
            </w:r>
          </w:p>
          <w:p w:rsidR="00285F27" w:rsidRPr="00F91AE6" w:rsidRDefault="00285F27" w:rsidP="004D1E3E">
            <w:pPr>
              <w:jc w:val="left"/>
              <w:rPr>
                <w:sz w:val="16"/>
                <w:szCs w:val="16"/>
              </w:rPr>
            </w:pPr>
            <w:r w:rsidRPr="00F91AE6">
              <w:rPr>
                <w:sz w:val="16"/>
                <w:szCs w:val="16"/>
              </w:rPr>
              <w:t>131 participantes</w:t>
            </w:r>
          </w:p>
        </w:tc>
        <w:tc>
          <w:tcPr>
            <w:tcW w:w="1559" w:type="dxa"/>
          </w:tcPr>
          <w:p w:rsidR="00285F27" w:rsidRPr="00F91AE6" w:rsidRDefault="00285F27" w:rsidP="004D1E3E">
            <w:pPr>
              <w:jc w:val="left"/>
              <w:rPr>
                <w:sz w:val="16"/>
                <w:szCs w:val="16"/>
              </w:rPr>
            </w:pPr>
            <w:r w:rsidRPr="00F91AE6">
              <w:rPr>
                <w:sz w:val="16"/>
                <w:szCs w:val="16"/>
              </w:rPr>
              <w:t>Derivado del interés de los asistentes con respecto a los temas del taller y con la solicitud de que pudieran capacitarse más personar en estos temas, el INIFAP propone la impartición de un segundo taller.</w:t>
            </w:r>
          </w:p>
        </w:tc>
      </w:tr>
      <w:tr w:rsidR="00285F27" w:rsidRPr="00AA1EE1" w:rsidTr="004D1E3E">
        <w:trPr>
          <w:cantSplit/>
        </w:trPr>
        <w:tc>
          <w:tcPr>
            <w:tcW w:w="1271" w:type="dxa"/>
          </w:tcPr>
          <w:p w:rsidR="00285F27" w:rsidRPr="00F91AE6" w:rsidRDefault="00285F27" w:rsidP="004D1E3E">
            <w:pPr>
              <w:jc w:val="left"/>
              <w:rPr>
                <w:sz w:val="16"/>
                <w:szCs w:val="16"/>
              </w:rPr>
            </w:pPr>
            <w:r>
              <w:rPr>
                <w:sz w:val="16"/>
                <w:szCs w:val="16"/>
              </w:rPr>
              <w:t xml:space="preserve">2. Taller </w:t>
            </w:r>
            <w:r w:rsidRPr="00F91AE6">
              <w:rPr>
                <w:sz w:val="16"/>
                <w:szCs w:val="16"/>
              </w:rPr>
              <w:t>“Proceso e importancia del Registro de Variedades”</w:t>
            </w:r>
          </w:p>
        </w:tc>
        <w:tc>
          <w:tcPr>
            <w:tcW w:w="851" w:type="dxa"/>
          </w:tcPr>
          <w:p w:rsidR="00285F27" w:rsidRPr="00F91AE6" w:rsidRDefault="00285F27" w:rsidP="004D1E3E">
            <w:pPr>
              <w:jc w:val="left"/>
              <w:rPr>
                <w:sz w:val="16"/>
                <w:szCs w:val="16"/>
              </w:rPr>
            </w:pPr>
            <w:r w:rsidRPr="00F91AE6">
              <w:rPr>
                <w:sz w:val="16"/>
                <w:szCs w:val="16"/>
              </w:rPr>
              <w:t>4 de mayo de 2022</w:t>
            </w:r>
          </w:p>
        </w:tc>
        <w:tc>
          <w:tcPr>
            <w:tcW w:w="908" w:type="dxa"/>
          </w:tcPr>
          <w:p w:rsidR="00285F27" w:rsidRPr="00F91AE6" w:rsidRDefault="00285F27" w:rsidP="004D1E3E">
            <w:pPr>
              <w:jc w:val="left"/>
              <w:rPr>
                <w:sz w:val="16"/>
                <w:szCs w:val="16"/>
              </w:rPr>
            </w:pPr>
            <w:r w:rsidRPr="00F91AE6">
              <w:rPr>
                <w:sz w:val="16"/>
                <w:szCs w:val="16"/>
              </w:rPr>
              <w:t xml:space="preserve">Ciudad de México, a través de medios virtuales (google </w:t>
            </w:r>
            <w:proofErr w:type="spellStart"/>
            <w:r w:rsidRPr="00F91AE6">
              <w:rPr>
                <w:sz w:val="16"/>
                <w:szCs w:val="16"/>
              </w:rPr>
              <w:t>meet</w:t>
            </w:r>
            <w:proofErr w:type="spellEnd"/>
            <w:r w:rsidRPr="00F91AE6">
              <w:rPr>
                <w:sz w:val="16"/>
                <w:szCs w:val="16"/>
              </w:rPr>
              <w:t>)</w:t>
            </w:r>
          </w:p>
        </w:tc>
        <w:tc>
          <w:tcPr>
            <w:tcW w:w="1417" w:type="dxa"/>
          </w:tcPr>
          <w:p w:rsidR="00285F27" w:rsidRPr="00F91AE6" w:rsidRDefault="00285F27" w:rsidP="004D1E3E">
            <w:pPr>
              <w:jc w:val="left"/>
              <w:rPr>
                <w:sz w:val="16"/>
                <w:szCs w:val="16"/>
              </w:rPr>
            </w:pPr>
            <w:r w:rsidRPr="00F91AE6">
              <w:rPr>
                <w:sz w:val="16"/>
                <w:szCs w:val="16"/>
              </w:rPr>
              <w:t>Servicio Nacional de Inspección y Certificación de Semillas y la Asociación mexicana de semilleros A.C.</w:t>
            </w:r>
          </w:p>
          <w:p w:rsidR="00285F27" w:rsidRPr="00F91AE6" w:rsidRDefault="00285F27" w:rsidP="004D1E3E">
            <w:pPr>
              <w:jc w:val="left"/>
              <w:rPr>
                <w:sz w:val="16"/>
                <w:szCs w:val="16"/>
              </w:rPr>
            </w:pPr>
          </w:p>
        </w:tc>
        <w:tc>
          <w:tcPr>
            <w:tcW w:w="2069" w:type="dxa"/>
          </w:tcPr>
          <w:p w:rsidR="00285F27" w:rsidRPr="00F91AE6" w:rsidRDefault="00285F27" w:rsidP="004D1E3E">
            <w:pPr>
              <w:jc w:val="left"/>
              <w:rPr>
                <w:sz w:val="16"/>
                <w:szCs w:val="16"/>
              </w:rPr>
            </w:pPr>
            <w:r w:rsidRPr="00F91AE6">
              <w:rPr>
                <w:sz w:val="16"/>
                <w:szCs w:val="16"/>
              </w:rPr>
              <w:t>El Programa de Capacitación Integral del SNICS pretende fortalecer las capacidades de normar y vigilar el cumplimiento de las disposiciones legales en materia de semillas y variedades vegetales del personal técnico de la institución, así como de los usuarios de los servicios que ofrece.</w:t>
            </w:r>
          </w:p>
        </w:tc>
        <w:tc>
          <w:tcPr>
            <w:tcW w:w="1843" w:type="dxa"/>
          </w:tcPr>
          <w:p w:rsidR="00285F27" w:rsidRPr="00F91AE6" w:rsidRDefault="00285F27" w:rsidP="004D1E3E">
            <w:pPr>
              <w:jc w:val="left"/>
              <w:rPr>
                <w:sz w:val="16"/>
                <w:szCs w:val="16"/>
              </w:rPr>
            </w:pPr>
            <w:r w:rsidRPr="00F91AE6">
              <w:rPr>
                <w:sz w:val="16"/>
                <w:szCs w:val="16"/>
              </w:rPr>
              <w:t xml:space="preserve">México, </w:t>
            </w:r>
          </w:p>
          <w:p w:rsidR="00285F27" w:rsidRPr="00F91AE6" w:rsidRDefault="00285F27" w:rsidP="004D1E3E">
            <w:pPr>
              <w:jc w:val="left"/>
              <w:rPr>
                <w:sz w:val="16"/>
                <w:szCs w:val="16"/>
              </w:rPr>
            </w:pPr>
            <w:r w:rsidRPr="00F91AE6">
              <w:rPr>
                <w:sz w:val="16"/>
                <w:szCs w:val="16"/>
              </w:rPr>
              <w:t>20 participantes</w:t>
            </w:r>
          </w:p>
        </w:tc>
        <w:tc>
          <w:tcPr>
            <w:tcW w:w="1559" w:type="dxa"/>
          </w:tcPr>
          <w:p w:rsidR="00285F27" w:rsidRPr="00F91AE6" w:rsidRDefault="00285F27" w:rsidP="004D1E3E">
            <w:pPr>
              <w:jc w:val="left"/>
              <w:rPr>
                <w:sz w:val="16"/>
                <w:szCs w:val="16"/>
              </w:rPr>
            </w:pPr>
            <w:r w:rsidRPr="00F91AE6">
              <w:rPr>
                <w:sz w:val="16"/>
                <w:szCs w:val="16"/>
              </w:rPr>
              <w:t>Se c</w:t>
            </w:r>
            <w:r>
              <w:rPr>
                <w:sz w:val="16"/>
                <w:szCs w:val="16"/>
              </w:rPr>
              <w:t>ontó con la participación de 20 </w:t>
            </w:r>
            <w:r w:rsidRPr="00F91AE6">
              <w:rPr>
                <w:sz w:val="16"/>
                <w:szCs w:val="16"/>
              </w:rPr>
              <w:t xml:space="preserve">personas de diferentes empresas privadas </w:t>
            </w:r>
            <w:proofErr w:type="spellStart"/>
            <w:r w:rsidRPr="00F91AE6">
              <w:rPr>
                <w:sz w:val="16"/>
                <w:szCs w:val="16"/>
              </w:rPr>
              <w:t>semilleras</w:t>
            </w:r>
            <w:proofErr w:type="spellEnd"/>
          </w:p>
        </w:tc>
      </w:tr>
      <w:tr w:rsidR="00285F27" w:rsidRPr="00AA1EE1" w:rsidTr="004D1E3E">
        <w:trPr>
          <w:cantSplit/>
        </w:trPr>
        <w:tc>
          <w:tcPr>
            <w:tcW w:w="1271" w:type="dxa"/>
          </w:tcPr>
          <w:p w:rsidR="00285F27" w:rsidRPr="00F91AE6" w:rsidRDefault="00285F27" w:rsidP="004D1E3E">
            <w:pPr>
              <w:jc w:val="left"/>
              <w:rPr>
                <w:sz w:val="16"/>
                <w:szCs w:val="16"/>
              </w:rPr>
            </w:pPr>
            <w:r>
              <w:rPr>
                <w:sz w:val="16"/>
                <w:szCs w:val="16"/>
              </w:rPr>
              <w:t xml:space="preserve">3. Taller </w:t>
            </w:r>
            <w:r w:rsidRPr="00F91AE6">
              <w:rPr>
                <w:sz w:val="16"/>
                <w:szCs w:val="16"/>
              </w:rPr>
              <w:t>“Registro de Variedades. Presentación de Solicitudes</w:t>
            </w:r>
          </w:p>
        </w:tc>
        <w:tc>
          <w:tcPr>
            <w:tcW w:w="851" w:type="dxa"/>
          </w:tcPr>
          <w:p w:rsidR="00285F27" w:rsidRPr="00F91AE6" w:rsidRDefault="00285F27" w:rsidP="004D1E3E">
            <w:pPr>
              <w:jc w:val="left"/>
              <w:rPr>
                <w:sz w:val="16"/>
                <w:szCs w:val="16"/>
              </w:rPr>
            </w:pPr>
            <w:r w:rsidRPr="00F91AE6">
              <w:rPr>
                <w:sz w:val="16"/>
                <w:szCs w:val="16"/>
              </w:rPr>
              <w:t>9 de mayo de 2022</w:t>
            </w:r>
          </w:p>
        </w:tc>
        <w:tc>
          <w:tcPr>
            <w:tcW w:w="908" w:type="dxa"/>
          </w:tcPr>
          <w:p w:rsidR="00285F27" w:rsidRPr="00F91AE6" w:rsidRDefault="00285F27" w:rsidP="004D1E3E">
            <w:pPr>
              <w:jc w:val="left"/>
              <w:rPr>
                <w:sz w:val="16"/>
                <w:szCs w:val="16"/>
              </w:rPr>
            </w:pPr>
            <w:r w:rsidRPr="00F91AE6">
              <w:rPr>
                <w:sz w:val="16"/>
                <w:szCs w:val="16"/>
              </w:rPr>
              <w:t xml:space="preserve">Ciudad de México, a través de medios virtuales (google </w:t>
            </w:r>
            <w:proofErr w:type="spellStart"/>
            <w:r w:rsidRPr="00F91AE6">
              <w:rPr>
                <w:sz w:val="16"/>
                <w:szCs w:val="16"/>
              </w:rPr>
              <w:t>meet</w:t>
            </w:r>
            <w:proofErr w:type="spellEnd"/>
            <w:r w:rsidRPr="00F91AE6">
              <w:rPr>
                <w:sz w:val="16"/>
                <w:szCs w:val="16"/>
              </w:rPr>
              <w:t>)</w:t>
            </w:r>
          </w:p>
        </w:tc>
        <w:tc>
          <w:tcPr>
            <w:tcW w:w="1417" w:type="dxa"/>
          </w:tcPr>
          <w:p w:rsidR="00285F27" w:rsidRPr="00F91AE6" w:rsidRDefault="00285F27" w:rsidP="004D1E3E">
            <w:pPr>
              <w:jc w:val="left"/>
              <w:rPr>
                <w:sz w:val="16"/>
                <w:szCs w:val="16"/>
              </w:rPr>
            </w:pPr>
            <w:r w:rsidRPr="00F91AE6">
              <w:rPr>
                <w:sz w:val="16"/>
                <w:szCs w:val="16"/>
              </w:rPr>
              <w:t>Servicio Nacional de Inspección y Certificación de Semillas</w:t>
            </w:r>
          </w:p>
          <w:p w:rsidR="00285F27" w:rsidRPr="00F91AE6" w:rsidRDefault="00285F27" w:rsidP="004D1E3E">
            <w:pPr>
              <w:jc w:val="left"/>
              <w:rPr>
                <w:sz w:val="16"/>
                <w:szCs w:val="16"/>
              </w:rPr>
            </w:pPr>
          </w:p>
        </w:tc>
        <w:tc>
          <w:tcPr>
            <w:tcW w:w="2069" w:type="dxa"/>
          </w:tcPr>
          <w:p w:rsidR="00285F27" w:rsidRPr="00F91AE6" w:rsidRDefault="00285F27" w:rsidP="004D1E3E">
            <w:pPr>
              <w:jc w:val="left"/>
              <w:rPr>
                <w:sz w:val="16"/>
                <w:szCs w:val="16"/>
              </w:rPr>
            </w:pPr>
            <w:r w:rsidRPr="00F91AE6">
              <w:rPr>
                <w:sz w:val="16"/>
                <w:szCs w:val="16"/>
              </w:rPr>
              <w:t>Brindar a los investigadores, obtentores y redactores de solicitudes del Instituto Nacional de Investigaciones Forestales, Agrícolas y Pecuarias (INIFAP), los fundamentos técnicos y administrativos necesarios para la presentación de las solicitudes en materia de variedades vegetales.</w:t>
            </w:r>
          </w:p>
        </w:tc>
        <w:tc>
          <w:tcPr>
            <w:tcW w:w="1843" w:type="dxa"/>
          </w:tcPr>
          <w:p w:rsidR="00285F27" w:rsidRPr="00F91AE6" w:rsidRDefault="00285F27" w:rsidP="004D1E3E">
            <w:pPr>
              <w:jc w:val="left"/>
              <w:rPr>
                <w:sz w:val="16"/>
                <w:szCs w:val="16"/>
              </w:rPr>
            </w:pPr>
            <w:r w:rsidRPr="00F91AE6">
              <w:rPr>
                <w:sz w:val="16"/>
                <w:szCs w:val="16"/>
              </w:rPr>
              <w:t xml:space="preserve">México, </w:t>
            </w:r>
          </w:p>
          <w:p w:rsidR="00285F27" w:rsidRPr="00F91AE6" w:rsidRDefault="00285F27" w:rsidP="004D1E3E">
            <w:pPr>
              <w:jc w:val="left"/>
              <w:rPr>
                <w:sz w:val="16"/>
                <w:szCs w:val="16"/>
              </w:rPr>
            </w:pPr>
            <w:r w:rsidRPr="00F91AE6">
              <w:rPr>
                <w:sz w:val="16"/>
                <w:szCs w:val="16"/>
              </w:rPr>
              <w:t>96 participantes</w:t>
            </w:r>
          </w:p>
        </w:tc>
        <w:tc>
          <w:tcPr>
            <w:tcW w:w="1559" w:type="dxa"/>
          </w:tcPr>
          <w:p w:rsidR="00285F27" w:rsidRPr="00F91AE6" w:rsidRDefault="00285F27" w:rsidP="004D1E3E">
            <w:pPr>
              <w:jc w:val="left"/>
              <w:rPr>
                <w:sz w:val="16"/>
                <w:szCs w:val="16"/>
              </w:rPr>
            </w:pPr>
            <w:r w:rsidRPr="00F91AE6">
              <w:rPr>
                <w:sz w:val="16"/>
                <w:szCs w:val="16"/>
              </w:rPr>
              <w:t>Con el fin de detectar áreas de oportunidad en la evaluac</w:t>
            </w:r>
            <w:r>
              <w:rPr>
                <w:sz w:val="16"/>
                <w:szCs w:val="16"/>
              </w:rPr>
              <w:t>ión del taller se obtuvieron 75 </w:t>
            </w:r>
            <w:r w:rsidRPr="00F91AE6">
              <w:rPr>
                <w:sz w:val="16"/>
                <w:szCs w:val="16"/>
              </w:rPr>
              <w:t>evaluaciones de las cual</w:t>
            </w:r>
            <w:r>
              <w:rPr>
                <w:sz w:val="16"/>
                <w:szCs w:val="16"/>
              </w:rPr>
              <w:t>es 65 fueron satisfactores y 10 </w:t>
            </w:r>
            <w:r w:rsidRPr="00F91AE6">
              <w:rPr>
                <w:sz w:val="16"/>
                <w:szCs w:val="16"/>
              </w:rPr>
              <w:t>opinaron que se puede mejorar, sin embargo no indicaron en concreto que aspectos.</w:t>
            </w:r>
          </w:p>
        </w:tc>
      </w:tr>
      <w:tr w:rsidR="00285F27" w:rsidRPr="00AA1EE1" w:rsidTr="004D1E3E">
        <w:trPr>
          <w:cantSplit/>
        </w:trPr>
        <w:tc>
          <w:tcPr>
            <w:tcW w:w="1271" w:type="dxa"/>
          </w:tcPr>
          <w:p w:rsidR="00285F27" w:rsidRPr="00F91AE6" w:rsidRDefault="00285F27" w:rsidP="004D1E3E">
            <w:pPr>
              <w:jc w:val="left"/>
              <w:rPr>
                <w:sz w:val="16"/>
                <w:szCs w:val="16"/>
              </w:rPr>
            </w:pPr>
            <w:r>
              <w:rPr>
                <w:sz w:val="16"/>
                <w:szCs w:val="16"/>
              </w:rPr>
              <w:lastRenderedPageBreak/>
              <w:t xml:space="preserve">4. </w:t>
            </w:r>
            <w:r w:rsidRPr="00F91AE6">
              <w:rPr>
                <w:sz w:val="16"/>
                <w:szCs w:val="16"/>
              </w:rPr>
              <w:t>Curso-taller “Registro de Variedades Vegetales: DHE y Descripción varietal”</w:t>
            </w:r>
          </w:p>
        </w:tc>
        <w:tc>
          <w:tcPr>
            <w:tcW w:w="851" w:type="dxa"/>
          </w:tcPr>
          <w:p w:rsidR="00285F27" w:rsidRPr="00F91AE6" w:rsidRDefault="00285F27" w:rsidP="004D1E3E">
            <w:pPr>
              <w:jc w:val="left"/>
              <w:rPr>
                <w:sz w:val="16"/>
                <w:szCs w:val="16"/>
              </w:rPr>
            </w:pPr>
            <w:r w:rsidRPr="00F91AE6">
              <w:rPr>
                <w:sz w:val="16"/>
                <w:szCs w:val="16"/>
              </w:rPr>
              <w:t>16 de mayo de 2022</w:t>
            </w:r>
          </w:p>
        </w:tc>
        <w:tc>
          <w:tcPr>
            <w:tcW w:w="908" w:type="dxa"/>
          </w:tcPr>
          <w:p w:rsidR="00285F27" w:rsidRPr="00F91AE6" w:rsidRDefault="00285F27" w:rsidP="004D1E3E">
            <w:pPr>
              <w:jc w:val="left"/>
              <w:rPr>
                <w:sz w:val="16"/>
                <w:szCs w:val="16"/>
              </w:rPr>
            </w:pPr>
            <w:r w:rsidRPr="00F91AE6">
              <w:rPr>
                <w:sz w:val="16"/>
                <w:szCs w:val="16"/>
              </w:rPr>
              <w:t xml:space="preserve">Ciudad de México, a través de medios virtuales (google </w:t>
            </w:r>
            <w:proofErr w:type="spellStart"/>
            <w:r w:rsidRPr="00F91AE6">
              <w:rPr>
                <w:sz w:val="16"/>
                <w:szCs w:val="16"/>
              </w:rPr>
              <w:t>meet</w:t>
            </w:r>
            <w:proofErr w:type="spellEnd"/>
            <w:r w:rsidRPr="00F91AE6">
              <w:rPr>
                <w:sz w:val="16"/>
                <w:szCs w:val="16"/>
              </w:rPr>
              <w:t>)</w:t>
            </w:r>
          </w:p>
        </w:tc>
        <w:tc>
          <w:tcPr>
            <w:tcW w:w="1417" w:type="dxa"/>
          </w:tcPr>
          <w:p w:rsidR="00285F27" w:rsidRPr="00F91AE6" w:rsidRDefault="00285F27" w:rsidP="004D1E3E">
            <w:pPr>
              <w:jc w:val="left"/>
              <w:rPr>
                <w:sz w:val="16"/>
                <w:szCs w:val="16"/>
              </w:rPr>
            </w:pPr>
          </w:p>
        </w:tc>
        <w:tc>
          <w:tcPr>
            <w:tcW w:w="2069" w:type="dxa"/>
          </w:tcPr>
          <w:p w:rsidR="00285F27" w:rsidRPr="00F91AE6" w:rsidRDefault="00285F27" w:rsidP="004D1E3E">
            <w:pPr>
              <w:jc w:val="left"/>
              <w:rPr>
                <w:sz w:val="16"/>
                <w:szCs w:val="16"/>
              </w:rPr>
            </w:pPr>
            <w:r w:rsidRPr="00F91AE6">
              <w:rPr>
                <w:sz w:val="16"/>
                <w:szCs w:val="16"/>
              </w:rPr>
              <w:t>Brindar a los estudiantes de la carrera de fitotecnia del Colegio Superior agropecuario del Estado de Guerrero, las herramientas necesarias para realizar el examen de la Distinción, Homogeneidad y Estabilidad de Variedades Vegetales.</w:t>
            </w:r>
          </w:p>
        </w:tc>
        <w:tc>
          <w:tcPr>
            <w:tcW w:w="1843" w:type="dxa"/>
          </w:tcPr>
          <w:p w:rsidR="00285F27" w:rsidRPr="00F91AE6" w:rsidRDefault="00285F27" w:rsidP="004D1E3E">
            <w:pPr>
              <w:jc w:val="left"/>
              <w:rPr>
                <w:sz w:val="16"/>
                <w:szCs w:val="16"/>
              </w:rPr>
            </w:pPr>
            <w:r w:rsidRPr="00F91AE6">
              <w:rPr>
                <w:sz w:val="16"/>
                <w:szCs w:val="16"/>
              </w:rPr>
              <w:t>38 estudiantes de la carrera de fitotecnia del Colegio Superior Agropecuario del Estado de Guerrero</w:t>
            </w:r>
          </w:p>
        </w:tc>
        <w:tc>
          <w:tcPr>
            <w:tcW w:w="1559" w:type="dxa"/>
          </w:tcPr>
          <w:p w:rsidR="00285F27" w:rsidRPr="00F91AE6" w:rsidRDefault="00285F27" w:rsidP="004D1E3E">
            <w:pPr>
              <w:jc w:val="left"/>
              <w:rPr>
                <w:sz w:val="16"/>
                <w:szCs w:val="16"/>
              </w:rPr>
            </w:pPr>
            <w:r w:rsidRPr="00F91AE6">
              <w:rPr>
                <w:sz w:val="16"/>
                <w:szCs w:val="16"/>
              </w:rPr>
              <w:t>Con este taller se cumple con la acción</w:t>
            </w:r>
            <w:r>
              <w:rPr>
                <w:sz w:val="16"/>
                <w:szCs w:val="16"/>
              </w:rPr>
              <w:t> </w:t>
            </w:r>
            <w:r w:rsidRPr="00F91AE6">
              <w:rPr>
                <w:sz w:val="16"/>
                <w:szCs w:val="16"/>
              </w:rPr>
              <w:t>2, de la estrategia 2 y objetivo 3, del Programa Nacional de Semillas 2020-2024, que establece: Fomentar el registro de variedades de cultivos básicos generadas por las instituciones públicas de investigación</w:t>
            </w:r>
          </w:p>
        </w:tc>
      </w:tr>
    </w:tbl>
    <w:p w:rsidR="00285F27" w:rsidRDefault="00285F27" w:rsidP="00285F27"/>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w:t>
      </w:r>
      <w:r w:rsidR="00991CBD" w:rsidRPr="00D36B66">
        <w:t>X</w:t>
      </w:r>
      <w:r w:rsidR="00CE1862">
        <w:t>I</w:t>
      </w:r>
      <w:r>
        <w:t>]</w:t>
      </w:r>
    </w:p>
    <w:p w:rsidR="000362AD" w:rsidRPr="00D36B66" w:rsidRDefault="000362AD" w:rsidP="000362AD"/>
    <w:p w:rsidR="000362AD" w:rsidRPr="00D36B66" w:rsidRDefault="000362AD" w:rsidP="000362AD">
      <w:pPr>
        <w:jc w:val="left"/>
        <w:sectPr w:rsidR="000362AD" w:rsidRPr="00D36B66" w:rsidSect="0049108C">
          <w:headerReference w:type="default" r:id="rId27"/>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w:t>
      </w:r>
      <w:r w:rsidR="0075382F" w:rsidRPr="00D36B66">
        <w:t>X</w:t>
      </w:r>
      <w:r w:rsidR="00CE1862">
        <w:t>I</w:t>
      </w:r>
    </w:p>
    <w:p w:rsidR="000362AD" w:rsidRPr="00D36B66" w:rsidRDefault="000362AD" w:rsidP="000362AD">
      <w:pPr>
        <w:jc w:val="center"/>
      </w:pPr>
    </w:p>
    <w:p w:rsidR="000362AD" w:rsidRPr="00D36B66" w:rsidRDefault="000362AD" w:rsidP="000362AD">
      <w:pPr>
        <w:jc w:val="center"/>
      </w:pPr>
    </w:p>
    <w:p w:rsidR="003C641A" w:rsidRPr="00D36B66" w:rsidRDefault="000A2928" w:rsidP="003C641A">
      <w:pPr>
        <w:jc w:val="center"/>
      </w:pPr>
      <w:r>
        <w:t>NUEVA</w:t>
      </w:r>
      <w:r w:rsidR="003C641A" w:rsidRPr="00D36B66">
        <w:t xml:space="preserve"> ZELAND</w:t>
      </w:r>
      <w:r>
        <w:t>IA</w:t>
      </w:r>
    </w:p>
    <w:p w:rsidR="003C641A" w:rsidRPr="00D36B66" w:rsidRDefault="003C641A" w:rsidP="003C641A"/>
    <w:p w:rsidR="003C641A" w:rsidRPr="00D36B66" w:rsidRDefault="003C641A" w:rsidP="003C641A"/>
    <w:p w:rsidR="00285F27" w:rsidRPr="0075789D" w:rsidRDefault="00285F27" w:rsidP="00285F27">
      <w:pPr>
        <w:jc w:val="left"/>
        <w:rPr>
          <w:lang w:val="es-419"/>
        </w:rPr>
      </w:pPr>
      <w:r w:rsidRPr="0075789D">
        <w:rPr>
          <w:lang w:val="es-419"/>
        </w:rPr>
        <w:t>I.</w:t>
      </w:r>
      <w:r w:rsidRPr="0075789D">
        <w:rPr>
          <w:lang w:val="es-419"/>
        </w:rPr>
        <w:tab/>
        <w:t>PROTECCIÓN DE LAS OBTENCIONES VEGETALES</w:t>
      </w:r>
    </w:p>
    <w:p w:rsidR="00285F27" w:rsidRPr="0075789D" w:rsidRDefault="00285F27" w:rsidP="00285F27">
      <w:pPr>
        <w:jc w:val="left"/>
        <w:rPr>
          <w:lang w:val="es-419"/>
        </w:rPr>
      </w:pPr>
    </w:p>
    <w:p w:rsidR="00285F27" w:rsidRPr="0075789D" w:rsidRDefault="00285F27" w:rsidP="00285F27">
      <w:pPr>
        <w:jc w:val="left"/>
        <w:rPr>
          <w:u w:val="single"/>
          <w:lang w:val="es-419"/>
        </w:rPr>
      </w:pPr>
      <w:r w:rsidRPr="0075789D">
        <w:rPr>
          <w:lang w:val="es-419"/>
        </w:rPr>
        <w:t>1.</w:t>
      </w:r>
      <w:r w:rsidRPr="0075789D">
        <w:rPr>
          <w:lang w:val="es-419"/>
        </w:rPr>
        <w:tab/>
      </w:r>
      <w:r w:rsidRPr="0075789D">
        <w:rPr>
          <w:u w:val="single"/>
          <w:lang w:val="es-419"/>
        </w:rPr>
        <w:t>Situación en el ámbito legislativo</w:t>
      </w:r>
    </w:p>
    <w:p w:rsidR="00285F27" w:rsidRPr="0075789D" w:rsidRDefault="00285F27" w:rsidP="00285F27">
      <w:pPr>
        <w:jc w:val="left"/>
        <w:rPr>
          <w:lang w:val="es-419"/>
        </w:rPr>
      </w:pPr>
    </w:p>
    <w:p w:rsidR="00285F27" w:rsidRPr="0075789D" w:rsidRDefault="00285F27" w:rsidP="00285F27">
      <w:pPr>
        <w:rPr>
          <w:lang w:val="es-419"/>
        </w:rPr>
      </w:pPr>
      <w:r w:rsidRPr="0075789D">
        <w:rPr>
          <w:lang w:val="es-419"/>
        </w:rPr>
        <w:t>Sigue en vigor la Ley de Derechos sobre las Obtenciones Vegetales de 1987, que se halla en conformidad con el Acta de 1978 del Convenio.</w:t>
      </w:r>
    </w:p>
    <w:p w:rsidR="00285F27" w:rsidRPr="0075789D" w:rsidRDefault="00285F27" w:rsidP="00285F27">
      <w:pPr>
        <w:rPr>
          <w:lang w:val="es-419"/>
        </w:rPr>
      </w:pPr>
    </w:p>
    <w:p w:rsidR="00285F27" w:rsidRPr="0075789D" w:rsidRDefault="00285F27" w:rsidP="00285F27">
      <w:pPr>
        <w:rPr>
          <w:lang w:val="es-419"/>
        </w:rPr>
      </w:pPr>
      <w:r w:rsidRPr="0075789D">
        <w:rPr>
          <w:lang w:val="es-419"/>
        </w:rPr>
        <w:t>El nuevo proyecto de ley de derechos de obtentor se presentó al Parlamento en mayo de 2021 y actualmente está en la etapa de Comité del Parlamento.</w:t>
      </w:r>
    </w:p>
    <w:p w:rsidR="00285F27" w:rsidRPr="0075789D" w:rsidRDefault="00285F27" w:rsidP="00285F27">
      <w:pPr>
        <w:rPr>
          <w:lang w:val="es-419"/>
        </w:rPr>
      </w:pPr>
    </w:p>
    <w:p w:rsidR="00285F27" w:rsidRPr="0075789D" w:rsidRDefault="00285F27" w:rsidP="00285F27">
      <w:pPr>
        <w:rPr>
          <w:lang w:val="es-419"/>
        </w:rPr>
      </w:pPr>
      <w:r w:rsidRPr="0075789D">
        <w:rPr>
          <w:lang w:val="es-419"/>
        </w:rPr>
        <w:t>En agosto de 2021, se publicó un documento de consulta sobre los nuevos reglamentos y en abril de 2022 se realizaron más consultas públicas. La redacción de nuevos reglamentos está en sus etapas finales en este momento.</w:t>
      </w:r>
    </w:p>
    <w:p w:rsidR="00285F27" w:rsidRPr="0075789D" w:rsidRDefault="00285F27" w:rsidP="00285F27">
      <w:pPr>
        <w:rPr>
          <w:lang w:val="es-419"/>
        </w:rPr>
      </w:pPr>
    </w:p>
    <w:p w:rsidR="00285F27" w:rsidRPr="0075789D" w:rsidRDefault="00285F27" w:rsidP="00285F27">
      <w:pPr>
        <w:rPr>
          <w:lang w:val="es-419"/>
        </w:rPr>
      </w:pPr>
      <w:r w:rsidRPr="0075789D">
        <w:rPr>
          <w:lang w:val="es-419"/>
        </w:rPr>
        <w:t>Puede encontrarse información más detallada sobre el examen de la Ley de Derechos sobre las Obtenciones Vegetales en la siguiente dirección:</w:t>
      </w:r>
    </w:p>
    <w:p w:rsidR="00285F27" w:rsidRPr="0075789D" w:rsidRDefault="00285F27" w:rsidP="00285F27">
      <w:pPr>
        <w:rPr>
          <w:lang w:val="es-419"/>
        </w:rPr>
      </w:pPr>
      <w:hyperlink r:id="rId28" w:history="1">
        <w:r w:rsidRPr="0075789D">
          <w:rPr>
            <w:rStyle w:val="Hyperlink"/>
            <w:lang w:val="es-419"/>
          </w:rPr>
          <w:t>https://www.mbie.govt.nz/business-and-employment/business/intellectual-property/plant-variety-rights/plant-variety-rights-act-review/</w:t>
        </w:r>
      </w:hyperlink>
      <w:r w:rsidRPr="0075789D">
        <w:rPr>
          <w:lang w:val="es-419"/>
        </w:rPr>
        <w:t xml:space="preserve"> </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La Oficina de Propiedad Intelectual de Nueva Zelandia (IPONZ) ha continuado la revisión de las tasas aplicables a los derechos de obtentor. En agosto de 2021, se distribuyó un documento de consulta entre un grupo de usuarios afectados para recabar información y contribuir a la formulación de opciones en materia de tasas. Las opciones, basadas en la consulta de 2021, se publicaron para una consulta pública más amplia en abril de 2022. Se está examinando la información recabada en estas consultas y se está elaborando un informe para el ministro. </w:t>
      </w:r>
    </w:p>
    <w:p w:rsidR="00285F27" w:rsidRPr="0075789D" w:rsidRDefault="00285F27" w:rsidP="00285F27">
      <w:pPr>
        <w:rPr>
          <w:lang w:val="es-419"/>
        </w:rPr>
      </w:pPr>
    </w:p>
    <w:p w:rsidR="00285F27" w:rsidRPr="0075789D" w:rsidRDefault="00285F27" w:rsidP="00285F27">
      <w:pPr>
        <w:rPr>
          <w:lang w:val="es-419"/>
        </w:rPr>
      </w:pPr>
      <w:r w:rsidRPr="0075789D">
        <w:rPr>
          <w:lang w:val="es-419"/>
        </w:rPr>
        <w:t>Se prevé que los nuevos reglamentos, junto con la mayoría de las disposiciones del proyecto de ley, entren en vigor antes de que finalice 2022. No se prevé que se modifiquen las tasas de derechos de obtentor hasta 2023.</w:t>
      </w:r>
    </w:p>
    <w:p w:rsidR="00285F27" w:rsidRDefault="00285F27" w:rsidP="00285F27">
      <w:pPr>
        <w:rPr>
          <w:lang w:val="es-419"/>
        </w:rPr>
      </w:pPr>
    </w:p>
    <w:p w:rsidR="00285F27" w:rsidRPr="0075789D" w:rsidRDefault="00285F27" w:rsidP="00285F27">
      <w:pPr>
        <w:rPr>
          <w:lang w:val="es-419"/>
        </w:rPr>
      </w:pPr>
    </w:p>
    <w:p w:rsidR="00285F27" w:rsidRPr="0075789D" w:rsidRDefault="00285F27" w:rsidP="00285F27">
      <w:pPr>
        <w:rPr>
          <w:u w:val="single"/>
          <w:lang w:val="es-419"/>
        </w:rPr>
      </w:pPr>
      <w:r w:rsidRPr="0075789D">
        <w:rPr>
          <w:lang w:val="es-419"/>
        </w:rPr>
        <w:t>2.</w:t>
      </w:r>
      <w:r w:rsidRPr="0075789D">
        <w:rPr>
          <w:lang w:val="es-419"/>
        </w:rPr>
        <w:tab/>
      </w:r>
      <w:r w:rsidRPr="0075789D">
        <w:rPr>
          <w:u w:val="single"/>
          <w:lang w:val="es-419"/>
        </w:rPr>
        <w:t>Cooperación en el examen</w:t>
      </w:r>
    </w:p>
    <w:p w:rsidR="00285F27" w:rsidRPr="0075789D" w:rsidRDefault="00285F27" w:rsidP="00285F27">
      <w:pPr>
        <w:rPr>
          <w:lang w:val="es-419"/>
        </w:rPr>
      </w:pPr>
    </w:p>
    <w:p w:rsidR="00285F27" w:rsidRPr="0075789D" w:rsidRDefault="00285F27" w:rsidP="00285F27">
      <w:pPr>
        <w:rPr>
          <w:lang w:val="es-419"/>
        </w:rPr>
      </w:pPr>
      <w:r w:rsidRPr="0075789D">
        <w:rPr>
          <w:lang w:val="es-419"/>
        </w:rPr>
        <w:t>Nueva Zelandia continúa comprando a los Estados miembros, por encargo, informes de ensayos correspondientes a determinadas especies, en el marco de las disposiciones generales del Convenio. Nueva Zelandia sigue proporcionando gratuitamente informes de examen a las autoridades interesadas.</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En 2021, se utilizaron informes de examen extranjeros de veintinueve (29) variedades para la decisión neozelandesa de concesión y se facilitaron a otras autoridades informes de examen neozelandeses de once (11) variedades. </w:t>
      </w:r>
    </w:p>
    <w:p w:rsidR="00285F27" w:rsidRPr="0075789D" w:rsidRDefault="00285F27" w:rsidP="00285F27">
      <w:pPr>
        <w:rPr>
          <w:lang w:val="es-419"/>
        </w:rPr>
      </w:pPr>
    </w:p>
    <w:p w:rsidR="00285F27" w:rsidRPr="0075789D" w:rsidRDefault="00285F27" w:rsidP="00285F27">
      <w:pPr>
        <w:rPr>
          <w:lang w:val="es-419"/>
        </w:rPr>
      </w:pPr>
    </w:p>
    <w:p w:rsidR="00285F27" w:rsidRPr="0075789D" w:rsidRDefault="00285F27" w:rsidP="00285F27">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Durante el ejercicio fiscal comprendido entre el 1 de julio de 2021 y el 30 de junio de 2022, se aceptaron 93 solicitudes de derechos de obtentor (un 24% menos que el año anterior), se concedieron 79 títulos (un 11% menos que el año anterior) y caducaron 77 títulos (un 18% menos que el año anterior). A 30 de junio de 2022 había 1.281 títulos en vigor, lo que supone una ligera disminución respecto al año anterior. </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El continuo descenso observado en los últimos años del número de solicitudes relativas a variedades pertenecientes a especies de uso ornamental se revirtió en 2020/21; sin embargo, en el período 2021/22 se ha reanudado la tendencia descendente. Por el contrario, ha aumentado más de un 100% el número de solicitudes para variedades de especies de plantas forrajeras. </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Se han comenzado a preparar los cambios operativos necesarios para ejecutar la nueva ley, prevista para finales de 2022. Los cambios se introducirán de manera escalonada, a fin de que los elementos esenciales estén concluidos antes de que la nueva ley entre en vigor y los menos esenciales se terminen entre principios y mediados de 2023. Los cambios en el proceso y la práctica serán el resultado de los nuevos elementos de la ley y de la mejora de las prácticas existentes. </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Se encuentra en fase de planificación un estudio para determinar el beneficio para la economía, la innovación y el público derivado de la protección de las obtenciones vegetales en Nueva Zelandia. Es probable que el estudio se haya concluido a mediados de 2023. Los resultados del estudio se tendrán en cuenta en las futuras decisiones relativas a elementos operativos y a orientaciones políticas a más largo plazo. </w:t>
      </w:r>
    </w:p>
    <w:p w:rsidR="00285F27" w:rsidRPr="0075789D" w:rsidRDefault="00285F27" w:rsidP="00285F27">
      <w:pPr>
        <w:rPr>
          <w:lang w:val="es-419"/>
        </w:rPr>
      </w:pPr>
    </w:p>
    <w:p w:rsidR="00285F27" w:rsidRPr="0075789D" w:rsidRDefault="00285F27" w:rsidP="00285F27">
      <w:pPr>
        <w:rPr>
          <w:lang w:val="es-419"/>
        </w:rPr>
      </w:pPr>
    </w:p>
    <w:p w:rsidR="00285F27" w:rsidRPr="0075789D" w:rsidRDefault="00285F27" w:rsidP="00285F27">
      <w:pPr>
        <w:keepNext/>
        <w:rPr>
          <w:u w:val="single"/>
          <w:lang w:val="es-419"/>
        </w:rPr>
      </w:pPr>
      <w:r w:rsidRPr="0075789D">
        <w:rPr>
          <w:lang w:val="es-419"/>
        </w:rPr>
        <w:t>4.</w:t>
      </w:r>
      <w:r w:rsidRPr="0075789D">
        <w:rPr>
          <w:lang w:val="es-419"/>
        </w:rPr>
        <w:tab/>
      </w:r>
      <w:r w:rsidRPr="0075789D">
        <w:rPr>
          <w:u w:val="single"/>
          <w:lang w:val="es-419"/>
        </w:rPr>
        <w:t>Situación en el ámbito técnico</w:t>
      </w:r>
    </w:p>
    <w:p w:rsidR="00285F27" w:rsidRPr="0075789D" w:rsidRDefault="00285F27" w:rsidP="00285F27">
      <w:pPr>
        <w:keepNext/>
        <w:rPr>
          <w:lang w:val="es-419"/>
        </w:rPr>
      </w:pPr>
    </w:p>
    <w:p w:rsidR="00285F27" w:rsidRPr="0075789D" w:rsidRDefault="00285F27" w:rsidP="00285F27">
      <w:pPr>
        <w:rPr>
          <w:lang w:val="es-419"/>
        </w:rPr>
      </w:pPr>
      <w:r w:rsidRPr="0075789D">
        <w:rPr>
          <w:lang w:val="es-419"/>
        </w:rPr>
        <w:t xml:space="preserve">En la nueva ley hay varios elementos técnicos nuevos que no están presentes en la ley actual y, por ello, los obtentores y los importadores de variedades deben informarse sobre la repercusión que estos elementos puedan tener en sus actividades de </w:t>
      </w:r>
      <w:proofErr w:type="spellStart"/>
      <w:r w:rsidRPr="0075789D">
        <w:rPr>
          <w:lang w:val="es-419"/>
        </w:rPr>
        <w:t>fitomejoramiento</w:t>
      </w:r>
      <w:proofErr w:type="spellEnd"/>
      <w:r w:rsidRPr="0075789D">
        <w:rPr>
          <w:lang w:val="es-419"/>
        </w:rPr>
        <w:t xml:space="preserve"> y sus negocios. Para facilitarles la tarea, en julio de 2022 se celebró un taller nacional en el que se proporcionó información y se organizó un foro para el debate. Se celebrará un segundo taller antes de que finalice 2022.</w:t>
      </w:r>
    </w:p>
    <w:p w:rsidR="00285F27" w:rsidRPr="0075789D" w:rsidRDefault="00285F27" w:rsidP="00285F27">
      <w:pPr>
        <w:rPr>
          <w:lang w:val="es-419"/>
        </w:rPr>
      </w:pPr>
      <w:r w:rsidRPr="0075789D">
        <w:rPr>
          <w:lang w:val="es-419"/>
        </w:rPr>
        <w:t xml:space="preserve"> </w:t>
      </w:r>
    </w:p>
    <w:p w:rsidR="00285F27" w:rsidRPr="0075789D" w:rsidRDefault="00285F27" w:rsidP="00285F27">
      <w:pPr>
        <w:rPr>
          <w:rFonts w:cs="Arial"/>
          <w:lang w:val="es-419"/>
        </w:rPr>
      </w:pPr>
      <w:r w:rsidRPr="0075789D">
        <w:rPr>
          <w:lang w:val="es-419"/>
        </w:rPr>
        <w:t xml:space="preserve">El sistema agrícola de Nueva Zelandia se sustenta en un sistema de pastoreo al aire libre durante todo el año a raíz del cual se presenta un número estable de solicitudes para variedades de crucíferas del género </w:t>
      </w:r>
      <w:proofErr w:type="spellStart"/>
      <w:r w:rsidRPr="0075789D">
        <w:rPr>
          <w:i/>
          <w:iCs/>
          <w:lang w:val="es-419"/>
        </w:rPr>
        <w:t>Brassica</w:t>
      </w:r>
      <w:proofErr w:type="spellEnd"/>
      <w:r w:rsidRPr="0075789D">
        <w:rPr>
          <w:lang w:val="es-419"/>
        </w:rPr>
        <w:t xml:space="preserve"> (</w:t>
      </w:r>
      <w:proofErr w:type="spellStart"/>
      <w:r w:rsidRPr="0075789D">
        <w:rPr>
          <w:i/>
          <w:lang w:val="es-419"/>
        </w:rPr>
        <w:t>Brassica</w:t>
      </w:r>
      <w:proofErr w:type="spellEnd"/>
      <w:r w:rsidRPr="0075789D">
        <w:rPr>
          <w:i/>
          <w:lang w:val="es-419"/>
        </w:rPr>
        <w:t xml:space="preserve"> rapa </w:t>
      </w:r>
      <w:r w:rsidRPr="0075789D">
        <w:rPr>
          <w:lang w:val="es-419"/>
        </w:rPr>
        <w:t>L</w:t>
      </w:r>
      <w:r w:rsidRPr="0075789D">
        <w:rPr>
          <w:i/>
          <w:lang w:val="es-419"/>
        </w:rPr>
        <w:t>.</w:t>
      </w:r>
      <w:r w:rsidRPr="0075789D">
        <w:rPr>
          <w:lang w:val="es-419"/>
        </w:rPr>
        <w:t xml:space="preserve">, </w:t>
      </w:r>
      <w:proofErr w:type="spellStart"/>
      <w:r w:rsidRPr="0075789D">
        <w:rPr>
          <w:i/>
          <w:lang w:val="es-419"/>
        </w:rPr>
        <w:t>Brassica</w:t>
      </w:r>
      <w:proofErr w:type="spellEnd"/>
      <w:r w:rsidRPr="0075789D">
        <w:rPr>
          <w:i/>
          <w:lang w:val="es-419"/>
        </w:rPr>
        <w:t xml:space="preserve"> </w:t>
      </w:r>
      <w:proofErr w:type="spellStart"/>
      <w:r w:rsidRPr="0075789D">
        <w:rPr>
          <w:i/>
          <w:lang w:val="es-419"/>
        </w:rPr>
        <w:t>napus</w:t>
      </w:r>
      <w:proofErr w:type="spellEnd"/>
      <w:r w:rsidRPr="0075789D">
        <w:rPr>
          <w:i/>
          <w:lang w:val="es-419"/>
        </w:rPr>
        <w:t xml:space="preserve"> </w:t>
      </w:r>
      <w:r w:rsidRPr="0075789D">
        <w:rPr>
          <w:lang w:val="es-419"/>
        </w:rPr>
        <w:t>L</w:t>
      </w:r>
      <w:r w:rsidRPr="0075789D">
        <w:rPr>
          <w:i/>
          <w:lang w:val="es-419"/>
        </w:rPr>
        <w:t>.</w:t>
      </w:r>
      <w:r w:rsidRPr="0075789D">
        <w:rPr>
          <w:lang w:val="es-419"/>
        </w:rPr>
        <w:t xml:space="preserve"> y </w:t>
      </w:r>
      <w:proofErr w:type="spellStart"/>
      <w:r w:rsidRPr="0075789D">
        <w:rPr>
          <w:i/>
          <w:lang w:val="es-419"/>
        </w:rPr>
        <w:t>Brassica</w:t>
      </w:r>
      <w:proofErr w:type="spellEnd"/>
      <w:r w:rsidRPr="0075789D">
        <w:rPr>
          <w:i/>
          <w:lang w:val="es-419"/>
        </w:rPr>
        <w:t xml:space="preserve"> </w:t>
      </w:r>
      <w:proofErr w:type="spellStart"/>
      <w:r w:rsidRPr="0075789D">
        <w:rPr>
          <w:i/>
          <w:lang w:val="es-419"/>
        </w:rPr>
        <w:t>oleracea</w:t>
      </w:r>
      <w:proofErr w:type="spellEnd"/>
      <w:r w:rsidRPr="0075789D">
        <w:rPr>
          <w:i/>
          <w:lang w:val="es-419"/>
        </w:rPr>
        <w:t xml:space="preserve"> </w:t>
      </w:r>
      <w:r w:rsidRPr="0075789D">
        <w:rPr>
          <w:lang w:val="es-419"/>
        </w:rPr>
        <w:t>L</w:t>
      </w:r>
      <w:r w:rsidRPr="0075789D">
        <w:rPr>
          <w:i/>
          <w:lang w:val="es-419"/>
        </w:rPr>
        <w:t>.</w:t>
      </w:r>
      <w:r w:rsidRPr="0075789D">
        <w:rPr>
          <w:lang w:val="es-419"/>
        </w:rPr>
        <w:t>) y de rábano (</w:t>
      </w:r>
      <w:proofErr w:type="spellStart"/>
      <w:r w:rsidRPr="0075789D">
        <w:rPr>
          <w:i/>
          <w:lang w:val="es-419"/>
        </w:rPr>
        <w:t>Raphanus</w:t>
      </w:r>
      <w:proofErr w:type="spellEnd"/>
      <w:r w:rsidRPr="0075789D">
        <w:rPr>
          <w:i/>
          <w:lang w:val="es-419"/>
        </w:rPr>
        <w:t xml:space="preserve"> </w:t>
      </w:r>
      <w:proofErr w:type="spellStart"/>
      <w:r w:rsidRPr="0075789D">
        <w:rPr>
          <w:i/>
          <w:lang w:val="es-419"/>
        </w:rPr>
        <w:t>sativus</w:t>
      </w:r>
      <w:proofErr w:type="spellEnd"/>
      <w:r w:rsidRPr="0075789D">
        <w:rPr>
          <w:i/>
          <w:lang w:val="es-419"/>
        </w:rPr>
        <w:t xml:space="preserve"> </w:t>
      </w:r>
      <w:r w:rsidRPr="0075789D">
        <w:rPr>
          <w:lang w:val="es-419"/>
        </w:rPr>
        <w:t xml:space="preserve">L.) como cultivos forrajeros. El afán por reducir las emisiones de gas de efecto invernadero emitido por el ganado parece aumentar el interés por especies tales como el </w:t>
      </w:r>
      <w:proofErr w:type="spellStart"/>
      <w:r w:rsidRPr="0075789D">
        <w:rPr>
          <w:lang w:val="es-419"/>
        </w:rPr>
        <w:t>plantago</w:t>
      </w:r>
      <w:proofErr w:type="spellEnd"/>
      <w:r w:rsidRPr="0075789D">
        <w:rPr>
          <w:lang w:val="es-419"/>
        </w:rPr>
        <w:t xml:space="preserve"> (</w:t>
      </w:r>
      <w:proofErr w:type="spellStart"/>
      <w:r w:rsidRPr="0075789D">
        <w:rPr>
          <w:i/>
          <w:lang w:val="es-419"/>
        </w:rPr>
        <w:t>Plantago</w:t>
      </w:r>
      <w:proofErr w:type="spellEnd"/>
      <w:r w:rsidRPr="0075789D">
        <w:rPr>
          <w:i/>
          <w:lang w:val="es-419"/>
        </w:rPr>
        <w:t xml:space="preserve"> </w:t>
      </w:r>
      <w:proofErr w:type="spellStart"/>
      <w:r w:rsidRPr="0075789D">
        <w:rPr>
          <w:i/>
          <w:lang w:val="es-419"/>
        </w:rPr>
        <w:t>lanceolata</w:t>
      </w:r>
      <w:proofErr w:type="spellEnd"/>
      <w:r w:rsidRPr="0075789D">
        <w:rPr>
          <w:i/>
          <w:lang w:val="es-419"/>
        </w:rPr>
        <w:t xml:space="preserve"> </w:t>
      </w:r>
      <w:r w:rsidRPr="0075789D">
        <w:rPr>
          <w:lang w:val="es-419"/>
        </w:rPr>
        <w:t>L.) y la achicoria (</w:t>
      </w:r>
      <w:proofErr w:type="spellStart"/>
      <w:r w:rsidRPr="0075789D">
        <w:rPr>
          <w:i/>
          <w:lang w:val="es-419"/>
        </w:rPr>
        <w:t>Cichorium</w:t>
      </w:r>
      <w:proofErr w:type="spellEnd"/>
      <w:r w:rsidRPr="0075789D">
        <w:rPr>
          <w:lang w:val="es-419"/>
        </w:rPr>
        <w:t xml:space="preserve">) dado que, según se ha afirmado, hacen que los animales produzcan menos gases de efecto invernadero. Se está ampliando el abanico de especies de variedades forrajeras evaluadas y examinadas en Nueva Zelandia, entre ellas diversas variedades de </w:t>
      </w:r>
      <w:proofErr w:type="spellStart"/>
      <w:r w:rsidRPr="0075789D">
        <w:rPr>
          <w:i/>
          <w:lang w:val="es-419"/>
        </w:rPr>
        <w:t>Plantago</w:t>
      </w:r>
      <w:proofErr w:type="spellEnd"/>
      <w:r w:rsidRPr="0075789D">
        <w:rPr>
          <w:i/>
          <w:lang w:val="es-419"/>
        </w:rPr>
        <w:t xml:space="preserve"> </w:t>
      </w:r>
      <w:proofErr w:type="spellStart"/>
      <w:r w:rsidRPr="0075789D">
        <w:rPr>
          <w:i/>
          <w:lang w:val="es-419"/>
        </w:rPr>
        <w:t>lanceolata</w:t>
      </w:r>
      <w:proofErr w:type="spellEnd"/>
      <w:r w:rsidRPr="0075789D">
        <w:rPr>
          <w:i/>
          <w:lang w:val="es-419"/>
        </w:rPr>
        <w:t xml:space="preserve"> </w:t>
      </w:r>
      <w:r w:rsidRPr="0075789D">
        <w:rPr>
          <w:lang w:val="es-419"/>
        </w:rPr>
        <w:t xml:space="preserve">L. evaluadas con las directrices nacionales de examen y se han concedido derechos. </w:t>
      </w:r>
    </w:p>
    <w:p w:rsidR="00285F27" w:rsidRPr="0075789D" w:rsidRDefault="00285F27" w:rsidP="00285F27">
      <w:pPr>
        <w:rPr>
          <w:lang w:val="es-419"/>
        </w:rPr>
      </w:pPr>
    </w:p>
    <w:p w:rsidR="00285F27" w:rsidRPr="0075789D" w:rsidRDefault="00285F27" w:rsidP="00285F27">
      <w:pPr>
        <w:rPr>
          <w:lang w:val="es-419"/>
        </w:rPr>
      </w:pPr>
      <w:r w:rsidRPr="0075789D">
        <w:rPr>
          <w:lang w:val="es-419"/>
        </w:rPr>
        <w:t>Las directrices de examen de la UPOV siguen siendo importantes para las especies forrajeras; no obstante, es necesario adaptarlas para el uso nacional porque su redacción original no está orientada al examen de variedades forrajeras. Por ejemplo, se están revisado las directrices de examen de la col (</w:t>
      </w:r>
      <w:proofErr w:type="spellStart"/>
      <w:r w:rsidRPr="0075789D">
        <w:rPr>
          <w:i/>
          <w:lang w:val="es-419"/>
        </w:rPr>
        <w:t>Brassica</w:t>
      </w:r>
      <w:proofErr w:type="spellEnd"/>
      <w:r w:rsidRPr="0075789D">
        <w:rPr>
          <w:i/>
          <w:lang w:val="es-419"/>
        </w:rPr>
        <w:t xml:space="preserve"> </w:t>
      </w:r>
      <w:proofErr w:type="spellStart"/>
      <w:r w:rsidRPr="0075789D">
        <w:rPr>
          <w:i/>
          <w:lang w:val="es-419"/>
        </w:rPr>
        <w:t>oleracea</w:t>
      </w:r>
      <w:proofErr w:type="spellEnd"/>
      <w:r w:rsidRPr="0075789D">
        <w:rPr>
          <w:i/>
          <w:lang w:val="es-419"/>
        </w:rPr>
        <w:t xml:space="preserve"> </w:t>
      </w:r>
      <w:r w:rsidRPr="0075789D">
        <w:rPr>
          <w:lang w:val="es-419"/>
        </w:rPr>
        <w:t>L.) en el TWV y las directrices de examen de la colza (</w:t>
      </w:r>
      <w:proofErr w:type="spellStart"/>
      <w:r w:rsidRPr="0075789D">
        <w:rPr>
          <w:i/>
          <w:lang w:val="es-419"/>
        </w:rPr>
        <w:t>Brassica</w:t>
      </w:r>
      <w:proofErr w:type="spellEnd"/>
      <w:r w:rsidRPr="0075789D">
        <w:rPr>
          <w:i/>
          <w:lang w:val="es-419"/>
        </w:rPr>
        <w:t xml:space="preserve"> </w:t>
      </w:r>
      <w:proofErr w:type="spellStart"/>
      <w:r w:rsidRPr="0075789D">
        <w:rPr>
          <w:i/>
          <w:lang w:val="es-419"/>
        </w:rPr>
        <w:t>napus</w:t>
      </w:r>
      <w:proofErr w:type="spellEnd"/>
      <w:r w:rsidRPr="0075789D">
        <w:rPr>
          <w:i/>
          <w:lang w:val="es-419"/>
        </w:rPr>
        <w:t xml:space="preserve"> </w:t>
      </w:r>
      <w:r w:rsidRPr="0075789D">
        <w:rPr>
          <w:lang w:val="es-419"/>
        </w:rPr>
        <w:t xml:space="preserve">L.) en el TWA. Se ha propuesto que se eliminen varios caracteres de la hoja de las directrices de examen de la colza; sin embargo, se seguirá incluyendo estos caracteres en las directrices de examen nacionales porque son útiles para el examen de las variedades forrajeras. </w:t>
      </w:r>
    </w:p>
    <w:p w:rsidR="00285F27" w:rsidRPr="0075789D" w:rsidRDefault="00285F27" w:rsidP="00285F27">
      <w:pPr>
        <w:rPr>
          <w:lang w:val="es-419"/>
        </w:rPr>
      </w:pPr>
    </w:p>
    <w:p w:rsidR="00285F27" w:rsidRPr="0075789D" w:rsidRDefault="00285F27" w:rsidP="00285F27">
      <w:pPr>
        <w:rPr>
          <w:lang w:val="es-419"/>
        </w:rPr>
      </w:pPr>
      <w:r w:rsidRPr="0075789D">
        <w:rPr>
          <w:lang w:val="es-419"/>
        </w:rPr>
        <w:t xml:space="preserve">La disponibilidad de material vegetal para el examen DHE sigue dando lugar a una serie de dificultades y desafíos. Para determinadas especies cada vez es más difícil proporcionar las variedades notoriamente conocidas más antiguas y las variedades que se comercializan conforme a modelos de comercialización sin acceso minorista al material vegetal. Según parece cada vez es mayor la renuencia a poner a disposición el material vegetal, incluso para fines oficiales. Esta situación obliga a la oficina de derechos de obtentor a realizar una tarea de gestión continua y de mantenimiento de la comunicación entre todas las partes afectadas. </w:t>
      </w:r>
    </w:p>
    <w:p w:rsidR="00285F27" w:rsidRPr="0075789D" w:rsidRDefault="00285F27" w:rsidP="00285F27">
      <w:pPr>
        <w:rPr>
          <w:lang w:val="es-419"/>
        </w:rPr>
      </w:pPr>
    </w:p>
    <w:p w:rsidR="00285F27" w:rsidRPr="0075789D" w:rsidRDefault="00285F27" w:rsidP="00285F27">
      <w:pPr>
        <w:rPr>
          <w:lang w:val="es-419"/>
        </w:rPr>
      </w:pPr>
    </w:p>
    <w:p w:rsidR="00285F27" w:rsidRPr="0075789D" w:rsidRDefault="00285F27" w:rsidP="00285F27">
      <w:pPr>
        <w:rPr>
          <w:lang w:val="es-419"/>
        </w:rPr>
      </w:pPr>
      <w:r w:rsidRPr="0075789D">
        <w:rPr>
          <w:lang w:val="es-419"/>
        </w:rPr>
        <w:t>5.</w:t>
      </w:r>
      <w:r w:rsidRPr="0075789D">
        <w:rPr>
          <w:lang w:val="es-419"/>
        </w:rPr>
        <w:tab/>
        <w:t>Actividades para la promoción de las variedades vegetales</w:t>
      </w:r>
    </w:p>
    <w:p w:rsidR="00285F27" w:rsidRPr="0075789D" w:rsidRDefault="00285F27" w:rsidP="00285F27">
      <w:pPr>
        <w:rPr>
          <w:lang w:val="es-419"/>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696"/>
        <w:gridCol w:w="851"/>
        <w:gridCol w:w="992"/>
        <w:gridCol w:w="1418"/>
        <w:gridCol w:w="1275"/>
        <w:gridCol w:w="2127"/>
        <w:gridCol w:w="1417"/>
      </w:tblGrid>
      <w:tr w:rsidR="00285F27" w:rsidRPr="0075789D" w:rsidTr="00285F27">
        <w:tc>
          <w:tcPr>
            <w:tcW w:w="1696" w:type="dxa"/>
            <w:shd w:val="clear" w:color="auto" w:fill="auto"/>
          </w:tcPr>
          <w:p w:rsidR="00285F27" w:rsidRPr="00285F27" w:rsidRDefault="00285F27" w:rsidP="004D1E3E">
            <w:pPr>
              <w:jc w:val="left"/>
              <w:rPr>
                <w:sz w:val="16"/>
                <w:lang w:val="es-419"/>
              </w:rPr>
            </w:pPr>
            <w:r w:rsidRPr="00285F27">
              <w:rPr>
                <w:sz w:val="16"/>
                <w:lang w:val="es-419"/>
              </w:rPr>
              <w:t>Título de la actividad</w:t>
            </w:r>
          </w:p>
        </w:tc>
        <w:tc>
          <w:tcPr>
            <w:tcW w:w="851" w:type="dxa"/>
            <w:shd w:val="clear" w:color="auto" w:fill="auto"/>
          </w:tcPr>
          <w:p w:rsidR="00285F27" w:rsidRPr="00285F27" w:rsidRDefault="00285F27" w:rsidP="004D1E3E">
            <w:pPr>
              <w:jc w:val="left"/>
              <w:rPr>
                <w:sz w:val="16"/>
                <w:lang w:val="es-419"/>
              </w:rPr>
            </w:pPr>
            <w:r w:rsidRPr="00285F27">
              <w:rPr>
                <w:sz w:val="16"/>
                <w:lang w:val="es-419"/>
              </w:rPr>
              <w:t>Fecha</w:t>
            </w:r>
          </w:p>
        </w:tc>
        <w:tc>
          <w:tcPr>
            <w:tcW w:w="992" w:type="dxa"/>
            <w:shd w:val="clear" w:color="auto" w:fill="auto"/>
          </w:tcPr>
          <w:p w:rsidR="00285F27" w:rsidRPr="00285F27" w:rsidRDefault="00285F27" w:rsidP="004D1E3E">
            <w:pPr>
              <w:jc w:val="left"/>
              <w:rPr>
                <w:sz w:val="16"/>
                <w:lang w:val="es-419"/>
              </w:rPr>
            </w:pPr>
            <w:r w:rsidRPr="00285F27">
              <w:rPr>
                <w:sz w:val="16"/>
                <w:lang w:val="es-419"/>
              </w:rPr>
              <w:t>Lugar</w:t>
            </w:r>
          </w:p>
        </w:tc>
        <w:tc>
          <w:tcPr>
            <w:tcW w:w="1418" w:type="dxa"/>
            <w:shd w:val="clear" w:color="auto" w:fill="auto"/>
          </w:tcPr>
          <w:p w:rsidR="00285F27" w:rsidRPr="00285F27" w:rsidRDefault="00285F27" w:rsidP="004D1E3E">
            <w:pPr>
              <w:jc w:val="left"/>
              <w:rPr>
                <w:sz w:val="16"/>
                <w:lang w:val="es-419"/>
              </w:rPr>
            </w:pPr>
            <w:r w:rsidRPr="00285F27">
              <w:rPr>
                <w:sz w:val="16"/>
                <w:lang w:val="es-419"/>
              </w:rPr>
              <w:t>Organizador(es)</w:t>
            </w:r>
          </w:p>
        </w:tc>
        <w:tc>
          <w:tcPr>
            <w:tcW w:w="1275" w:type="dxa"/>
            <w:shd w:val="clear" w:color="auto" w:fill="auto"/>
          </w:tcPr>
          <w:p w:rsidR="00285F27" w:rsidRPr="00285F27" w:rsidRDefault="00285F27" w:rsidP="004D1E3E">
            <w:pPr>
              <w:jc w:val="left"/>
              <w:rPr>
                <w:sz w:val="16"/>
                <w:lang w:val="es-419"/>
              </w:rPr>
            </w:pPr>
            <w:r w:rsidRPr="00285F27">
              <w:rPr>
                <w:sz w:val="16"/>
                <w:lang w:val="es-419"/>
              </w:rPr>
              <w:t>Finalidad de la actividad</w:t>
            </w:r>
          </w:p>
        </w:tc>
        <w:tc>
          <w:tcPr>
            <w:tcW w:w="2127" w:type="dxa"/>
            <w:shd w:val="clear" w:color="auto" w:fill="auto"/>
          </w:tcPr>
          <w:p w:rsidR="00285F27" w:rsidRPr="00285F27" w:rsidRDefault="00285F27" w:rsidP="004D1E3E">
            <w:pPr>
              <w:jc w:val="left"/>
              <w:rPr>
                <w:sz w:val="16"/>
                <w:lang w:val="es-419"/>
              </w:rPr>
            </w:pPr>
            <w:r w:rsidRPr="00285F27">
              <w:rPr>
                <w:sz w:val="16"/>
                <w:lang w:val="es-419"/>
              </w:rPr>
              <w:t>Países u organizaciones participantes (número de participantes en cada caso)</w:t>
            </w:r>
          </w:p>
        </w:tc>
        <w:tc>
          <w:tcPr>
            <w:tcW w:w="1417" w:type="dxa"/>
            <w:shd w:val="clear" w:color="auto" w:fill="auto"/>
          </w:tcPr>
          <w:p w:rsidR="00285F27" w:rsidRPr="00285F27" w:rsidRDefault="00285F27" w:rsidP="004D1E3E">
            <w:pPr>
              <w:jc w:val="left"/>
              <w:rPr>
                <w:sz w:val="16"/>
                <w:lang w:val="es-419"/>
              </w:rPr>
            </w:pPr>
            <w:r w:rsidRPr="00285F27">
              <w:rPr>
                <w:sz w:val="16"/>
                <w:lang w:val="es-419"/>
              </w:rPr>
              <w:t>Comentarios</w:t>
            </w:r>
          </w:p>
        </w:tc>
      </w:tr>
      <w:tr w:rsidR="00285F27" w:rsidRPr="0075789D" w:rsidTr="00285F27">
        <w:tc>
          <w:tcPr>
            <w:tcW w:w="1696" w:type="dxa"/>
            <w:shd w:val="clear" w:color="auto" w:fill="auto"/>
          </w:tcPr>
          <w:p w:rsidR="00285F27" w:rsidRPr="00285F27" w:rsidRDefault="00285F27" w:rsidP="004D1E3E">
            <w:pPr>
              <w:jc w:val="left"/>
              <w:rPr>
                <w:sz w:val="16"/>
                <w:lang w:val="es-419"/>
              </w:rPr>
            </w:pPr>
            <w:r w:rsidRPr="00285F27">
              <w:rPr>
                <w:sz w:val="16"/>
                <w:lang w:val="es-419"/>
              </w:rPr>
              <w:t>Foro de la Asociación Económica Integral Regional (RCEP) sobre la protección de la propiedad intelectual en la industria de las semillas</w:t>
            </w:r>
          </w:p>
        </w:tc>
        <w:tc>
          <w:tcPr>
            <w:tcW w:w="851" w:type="dxa"/>
            <w:shd w:val="clear" w:color="auto" w:fill="auto"/>
          </w:tcPr>
          <w:p w:rsidR="00285F27" w:rsidRPr="00285F27" w:rsidRDefault="00285F27" w:rsidP="004D1E3E">
            <w:pPr>
              <w:jc w:val="left"/>
              <w:rPr>
                <w:sz w:val="16"/>
                <w:lang w:val="es-419"/>
              </w:rPr>
            </w:pPr>
            <w:r w:rsidRPr="00285F27">
              <w:rPr>
                <w:sz w:val="16"/>
                <w:lang w:val="es-419"/>
              </w:rPr>
              <w:t>2 de junio de 2022</w:t>
            </w:r>
          </w:p>
        </w:tc>
        <w:tc>
          <w:tcPr>
            <w:tcW w:w="992" w:type="dxa"/>
            <w:shd w:val="clear" w:color="auto" w:fill="auto"/>
          </w:tcPr>
          <w:p w:rsidR="00285F27" w:rsidRPr="00285F27" w:rsidRDefault="00285F27" w:rsidP="004D1E3E">
            <w:pPr>
              <w:jc w:val="left"/>
              <w:rPr>
                <w:sz w:val="16"/>
                <w:lang w:val="es-419"/>
              </w:rPr>
            </w:pPr>
            <w:r w:rsidRPr="00285F27">
              <w:rPr>
                <w:sz w:val="16"/>
                <w:lang w:val="es-419"/>
              </w:rPr>
              <w:t>Hainan (China) y virtual</w:t>
            </w:r>
          </w:p>
        </w:tc>
        <w:tc>
          <w:tcPr>
            <w:tcW w:w="1418" w:type="dxa"/>
            <w:shd w:val="clear" w:color="auto" w:fill="auto"/>
          </w:tcPr>
          <w:p w:rsidR="00285F27" w:rsidRPr="00285F27" w:rsidRDefault="00285F27" w:rsidP="004D1E3E">
            <w:pPr>
              <w:jc w:val="left"/>
              <w:rPr>
                <w:sz w:val="16"/>
                <w:lang w:val="es-419"/>
              </w:rPr>
            </w:pPr>
            <w:r w:rsidRPr="00285F27">
              <w:rPr>
                <w:i/>
                <w:iCs/>
                <w:sz w:val="16"/>
                <w:lang w:val="es-419"/>
              </w:rPr>
              <w:t xml:space="preserve">Asia </w:t>
            </w:r>
            <w:proofErr w:type="spellStart"/>
            <w:r w:rsidRPr="00285F27">
              <w:rPr>
                <w:i/>
                <w:iCs/>
                <w:sz w:val="16"/>
                <w:lang w:val="es-419"/>
              </w:rPr>
              <w:t>Pacific</w:t>
            </w:r>
            <w:proofErr w:type="spellEnd"/>
            <w:r w:rsidRPr="00285F27">
              <w:rPr>
                <w:i/>
                <w:iCs/>
                <w:sz w:val="16"/>
                <w:lang w:val="es-419"/>
              </w:rPr>
              <w:t xml:space="preserve"> </w:t>
            </w:r>
            <w:proofErr w:type="spellStart"/>
            <w:r w:rsidRPr="00285F27">
              <w:rPr>
                <w:i/>
                <w:iCs/>
                <w:sz w:val="16"/>
                <w:lang w:val="es-419"/>
              </w:rPr>
              <w:t>Seed</w:t>
            </w:r>
            <w:proofErr w:type="spellEnd"/>
            <w:r w:rsidRPr="00285F27">
              <w:rPr>
                <w:i/>
                <w:iCs/>
                <w:sz w:val="16"/>
                <w:lang w:val="es-419"/>
              </w:rPr>
              <w:t xml:space="preserve"> Alliance</w:t>
            </w:r>
            <w:r w:rsidRPr="00285F27">
              <w:rPr>
                <w:sz w:val="16"/>
                <w:lang w:val="es-419"/>
              </w:rPr>
              <w:t xml:space="preserve"> (APSA), Asociación de Naciones de Asia Sudoriental (ASEAN) y Asociación Nacional China de Comercio de Semillas</w:t>
            </w:r>
          </w:p>
        </w:tc>
        <w:tc>
          <w:tcPr>
            <w:tcW w:w="1275" w:type="dxa"/>
            <w:shd w:val="clear" w:color="auto" w:fill="auto"/>
          </w:tcPr>
          <w:p w:rsidR="00285F27" w:rsidRPr="00285F27" w:rsidRDefault="00285F27" w:rsidP="004D1E3E">
            <w:pPr>
              <w:jc w:val="left"/>
              <w:rPr>
                <w:sz w:val="16"/>
                <w:lang w:val="es-419"/>
              </w:rPr>
            </w:pPr>
            <w:r w:rsidRPr="00285F27">
              <w:rPr>
                <w:sz w:val="16"/>
                <w:lang w:val="es-419"/>
              </w:rPr>
              <w:t>Alcance de la propiedad intelectual según el RCEP. Intercambio de experiencias, prácticas actuales y aumento de la cooperación.</w:t>
            </w:r>
          </w:p>
        </w:tc>
        <w:tc>
          <w:tcPr>
            <w:tcW w:w="2127" w:type="dxa"/>
            <w:shd w:val="clear" w:color="auto" w:fill="auto"/>
          </w:tcPr>
          <w:p w:rsidR="00285F27" w:rsidRPr="00285F27" w:rsidRDefault="00285F27" w:rsidP="004D1E3E">
            <w:pPr>
              <w:jc w:val="left"/>
              <w:rPr>
                <w:sz w:val="16"/>
                <w:lang w:val="es-419"/>
              </w:rPr>
            </w:pPr>
            <w:r w:rsidRPr="00285F27">
              <w:rPr>
                <w:sz w:val="16"/>
                <w:lang w:val="es-419"/>
              </w:rPr>
              <w:t>Miembros de la APSA y la Asociación Nacional China de Comercio de Semillas</w:t>
            </w:r>
          </w:p>
          <w:p w:rsidR="00285F27" w:rsidRPr="00285F27" w:rsidRDefault="00285F27" w:rsidP="004D1E3E">
            <w:pPr>
              <w:jc w:val="left"/>
              <w:rPr>
                <w:sz w:val="16"/>
                <w:lang w:val="es-419"/>
              </w:rPr>
            </w:pPr>
            <w:r w:rsidRPr="00285F27">
              <w:rPr>
                <w:sz w:val="16"/>
                <w:lang w:val="es-419"/>
              </w:rPr>
              <w:t>Estados miembros de la ASEAN, además de Australia, China, el Japón y Nueva Zelandia</w:t>
            </w:r>
          </w:p>
          <w:p w:rsidR="00285F27" w:rsidRPr="00285F27" w:rsidRDefault="00285F27" w:rsidP="004D1E3E">
            <w:pPr>
              <w:jc w:val="left"/>
              <w:rPr>
                <w:sz w:val="16"/>
                <w:lang w:val="es-419"/>
              </w:rPr>
            </w:pPr>
            <w:r w:rsidRPr="00285F27">
              <w:rPr>
                <w:sz w:val="16"/>
                <w:lang w:val="es-419"/>
              </w:rPr>
              <w:t>UPOV</w:t>
            </w:r>
          </w:p>
          <w:p w:rsidR="00285F27" w:rsidRPr="00285F27" w:rsidRDefault="00285F27" w:rsidP="004D1E3E">
            <w:pPr>
              <w:jc w:val="left"/>
              <w:rPr>
                <w:sz w:val="16"/>
                <w:lang w:val="es-419"/>
              </w:rPr>
            </w:pPr>
            <w:r w:rsidRPr="00285F27">
              <w:rPr>
                <w:sz w:val="16"/>
                <w:lang w:val="es-419"/>
              </w:rPr>
              <w:t xml:space="preserve">Abogados privados especializados en patentes </w:t>
            </w:r>
          </w:p>
        </w:tc>
        <w:tc>
          <w:tcPr>
            <w:tcW w:w="1417" w:type="dxa"/>
            <w:shd w:val="clear" w:color="auto" w:fill="auto"/>
          </w:tcPr>
          <w:p w:rsidR="00285F27" w:rsidRPr="00285F27" w:rsidRDefault="00285F27" w:rsidP="004D1E3E">
            <w:pPr>
              <w:jc w:val="left"/>
              <w:rPr>
                <w:sz w:val="16"/>
                <w:lang w:val="es-419"/>
              </w:rPr>
            </w:pPr>
            <w:r w:rsidRPr="00285F27">
              <w:rPr>
                <w:sz w:val="16"/>
                <w:lang w:val="es-419"/>
              </w:rPr>
              <w:t>El foro fue presencial y virtual</w:t>
            </w:r>
          </w:p>
        </w:tc>
      </w:tr>
      <w:tr w:rsidR="00285F27" w:rsidRPr="0075789D" w:rsidTr="00285F27">
        <w:tc>
          <w:tcPr>
            <w:tcW w:w="1696" w:type="dxa"/>
            <w:shd w:val="clear" w:color="auto" w:fill="auto"/>
          </w:tcPr>
          <w:p w:rsidR="00285F27" w:rsidRPr="00285F27" w:rsidRDefault="00285F27" w:rsidP="004D1E3E">
            <w:pPr>
              <w:jc w:val="left"/>
              <w:rPr>
                <w:sz w:val="16"/>
                <w:lang w:val="es-419"/>
              </w:rPr>
            </w:pPr>
            <w:r w:rsidRPr="00285F27">
              <w:rPr>
                <w:sz w:val="16"/>
                <w:lang w:val="es-419"/>
              </w:rPr>
              <w:t>Seminario del Servicio de Semillas y Variedades de la República de Corea (KSVS) sobre el uso del análisis de imágenes para el examen DHE</w:t>
            </w:r>
          </w:p>
        </w:tc>
        <w:tc>
          <w:tcPr>
            <w:tcW w:w="851" w:type="dxa"/>
            <w:shd w:val="clear" w:color="auto" w:fill="auto"/>
          </w:tcPr>
          <w:p w:rsidR="00285F27" w:rsidRPr="00285F27" w:rsidRDefault="00285F27" w:rsidP="004D1E3E">
            <w:pPr>
              <w:jc w:val="left"/>
              <w:rPr>
                <w:sz w:val="16"/>
                <w:lang w:val="es-419"/>
              </w:rPr>
            </w:pPr>
            <w:r w:rsidRPr="00285F27">
              <w:rPr>
                <w:sz w:val="16"/>
                <w:lang w:val="es-419"/>
              </w:rPr>
              <w:t>2 de diciembre de 2021</w:t>
            </w:r>
          </w:p>
        </w:tc>
        <w:tc>
          <w:tcPr>
            <w:tcW w:w="992" w:type="dxa"/>
            <w:shd w:val="clear" w:color="auto" w:fill="auto"/>
          </w:tcPr>
          <w:p w:rsidR="00285F27" w:rsidRPr="00285F27" w:rsidRDefault="00285F27" w:rsidP="004D1E3E">
            <w:pPr>
              <w:jc w:val="left"/>
              <w:rPr>
                <w:sz w:val="16"/>
                <w:lang w:val="es-419"/>
              </w:rPr>
            </w:pPr>
            <w:r w:rsidRPr="00285F27">
              <w:rPr>
                <w:sz w:val="16"/>
                <w:lang w:val="es-419"/>
              </w:rPr>
              <w:t>Seúl (República de Corea) y virtual</w:t>
            </w:r>
          </w:p>
        </w:tc>
        <w:tc>
          <w:tcPr>
            <w:tcW w:w="1418" w:type="dxa"/>
            <w:shd w:val="clear" w:color="auto" w:fill="auto"/>
          </w:tcPr>
          <w:p w:rsidR="00285F27" w:rsidRPr="00285F27" w:rsidRDefault="00285F27" w:rsidP="004D1E3E">
            <w:pPr>
              <w:jc w:val="left"/>
              <w:rPr>
                <w:sz w:val="16"/>
                <w:lang w:val="es-419"/>
              </w:rPr>
            </w:pPr>
            <w:r w:rsidRPr="00285F27">
              <w:rPr>
                <w:sz w:val="16"/>
                <w:lang w:val="es-419"/>
              </w:rPr>
              <w:t>Servicio de Semillas y Variedades de la República de Corea (KSVS)</w:t>
            </w:r>
          </w:p>
        </w:tc>
        <w:tc>
          <w:tcPr>
            <w:tcW w:w="1275" w:type="dxa"/>
            <w:shd w:val="clear" w:color="auto" w:fill="auto"/>
          </w:tcPr>
          <w:p w:rsidR="00285F27" w:rsidRPr="00285F27" w:rsidRDefault="00285F27" w:rsidP="004D1E3E">
            <w:pPr>
              <w:jc w:val="left"/>
              <w:rPr>
                <w:sz w:val="16"/>
                <w:lang w:val="es-419"/>
              </w:rPr>
            </w:pPr>
            <w:r w:rsidRPr="00285F27">
              <w:rPr>
                <w:sz w:val="16"/>
                <w:lang w:val="es-419"/>
              </w:rPr>
              <w:t>Taller sobre el uso del análisis de imágenes para el examen DHE</w:t>
            </w:r>
          </w:p>
        </w:tc>
        <w:tc>
          <w:tcPr>
            <w:tcW w:w="2127" w:type="dxa"/>
            <w:shd w:val="clear" w:color="auto" w:fill="auto"/>
          </w:tcPr>
          <w:p w:rsidR="00285F27" w:rsidRPr="00285F27" w:rsidRDefault="00285F27" w:rsidP="004D1E3E">
            <w:pPr>
              <w:jc w:val="left"/>
              <w:rPr>
                <w:sz w:val="16"/>
                <w:lang w:val="es-419"/>
              </w:rPr>
            </w:pPr>
            <w:r w:rsidRPr="00285F27">
              <w:rPr>
                <w:sz w:val="16"/>
                <w:lang w:val="es-419"/>
              </w:rPr>
              <w:t>República de Corea, UPOV y Foro de Asia Oriental para la Protección de las Variedades Vegetales</w:t>
            </w:r>
          </w:p>
        </w:tc>
        <w:tc>
          <w:tcPr>
            <w:tcW w:w="1417" w:type="dxa"/>
            <w:shd w:val="clear" w:color="auto" w:fill="auto"/>
          </w:tcPr>
          <w:p w:rsidR="00285F27" w:rsidRPr="00285F27" w:rsidRDefault="00285F27" w:rsidP="004D1E3E">
            <w:pPr>
              <w:jc w:val="left"/>
              <w:rPr>
                <w:sz w:val="16"/>
                <w:lang w:val="es-419"/>
              </w:rPr>
            </w:pPr>
            <w:r w:rsidRPr="00285F27">
              <w:rPr>
                <w:sz w:val="16"/>
                <w:lang w:val="es-419"/>
              </w:rPr>
              <w:t>Nueva Zelandia proporcionó un experto para la mesa redonda</w:t>
            </w:r>
          </w:p>
          <w:p w:rsidR="00285F27" w:rsidRPr="00285F27" w:rsidRDefault="00285F27" w:rsidP="004D1E3E">
            <w:pPr>
              <w:jc w:val="left"/>
              <w:rPr>
                <w:sz w:val="16"/>
                <w:lang w:val="es-419"/>
              </w:rPr>
            </w:pPr>
            <w:r w:rsidRPr="00285F27">
              <w:rPr>
                <w:sz w:val="16"/>
                <w:lang w:val="es-419"/>
              </w:rPr>
              <w:t>Modalidad presencial y virtual</w:t>
            </w:r>
          </w:p>
        </w:tc>
      </w:tr>
    </w:tbl>
    <w:p w:rsidR="00285F27" w:rsidRPr="0075789D" w:rsidRDefault="00285F27" w:rsidP="00285F27">
      <w:pPr>
        <w:rPr>
          <w:lang w:val="es-419"/>
        </w:rPr>
      </w:pPr>
    </w:p>
    <w:p w:rsidR="000362AD" w:rsidRPr="00D36B66" w:rsidRDefault="000A2928" w:rsidP="00285F27">
      <w:pPr>
        <w:jc w:val="right"/>
      </w:pPr>
      <w:r>
        <w:t>[Sigue el Anexo</w:t>
      </w:r>
      <w:r w:rsidR="000362AD" w:rsidRPr="00D36B66">
        <w:t xml:space="preserve"> </w:t>
      </w:r>
      <w:r w:rsidR="0075382F" w:rsidRPr="00D36B66">
        <w:t>X</w:t>
      </w:r>
      <w:r w:rsidR="00CE1862">
        <w:t>I</w:t>
      </w:r>
      <w:r w:rsidR="000362AD" w:rsidRPr="00D36B66">
        <w:t>I</w:t>
      </w:r>
      <w:r>
        <w:t>]</w:t>
      </w:r>
    </w:p>
    <w:p w:rsidR="000362AD" w:rsidRPr="00D36B66" w:rsidRDefault="000362AD" w:rsidP="000362AD">
      <w:pPr>
        <w:jc w:val="left"/>
        <w:sectPr w:rsidR="000362AD" w:rsidRPr="00D36B66" w:rsidSect="00285F27">
          <w:headerReference w:type="default" r:id="rId29"/>
          <w:pgSz w:w="11907" w:h="16840" w:code="9"/>
          <w:pgMar w:top="510" w:right="1134" w:bottom="851"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w:t>
      </w:r>
      <w:r w:rsidR="0075382F" w:rsidRPr="00D36B66">
        <w:t>X</w:t>
      </w:r>
      <w:r w:rsidR="000362AD" w:rsidRPr="00D36B66">
        <w:t>I</w:t>
      </w:r>
      <w:r w:rsidR="00CE1862">
        <w:t>I</w:t>
      </w:r>
    </w:p>
    <w:p w:rsidR="000362AD" w:rsidRPr="00D36B66" w:rsidRDefault="000362AD" w:rsidP="000362AD">
      <w:pPr>
        <w:jc w:val="center"/>
      </w:pPr>
    </w:p>
    <w:p w:rsidR="000362AD" w:rsidRPr="00D36B66" w:rsidRDefault="000362AD" w:rsidP="000362AD">
      <w:pPr>
        <w:jc w:val="center"/>
      </w:pPr>
    </w:p>
    <w:p w:rsidR="003C641A" w:rsidRPr="00D36B66" w:rsidRDefault="000A2928" w:rsidP="003C641A">
      <w:pPr>
        <w:jc w:val="center"/>
      </w:pPr>
      <w:r>
        <w:t>POLONIA</w:t>
      </w:r>
    </w:p>
    <w:p w:rsidR="009A70FB" w:rsidRPr="008B1607" w:rsidRDefault="009A70FB" w:rsidP="009A70FB">
      <w:pPr>
        <w:tabs>
          <w:tab w:val="left" w:pos="4962"/>
        </w:tabs>
        <w:jc w:val="center"/>
        <w:rPr>
          <w:rFonts w:cs="Arial"/>
          <w:lang w:val="es-419"/>
        </w:rPr>
      </w:pPr>
      <w:r w:rsidRPr="008B1607">
        <w:rPr>
          <w:lang w:val="es-419"/>
        </w:rPr>
        <w:t>Período: 1 de septiembre de 2021 a 29 de agosto de 2022</w:t>
      </w:r>
    </w:p>
    <w:p w:rsidR="009A70FB" w:rsidRPr="0075789D" w:rsidRDefault="009A70FB" w:rsidP="009A70FB">
      <w:pPr>
        <w:tabs>
          <w:tab w:val="left" w:pos="4962"/>
        </w:tabs>
        <w:jc w:val="center"/>
        <w:rPr>
          <w:rFonts w:cs="Arial"/>
          <w:sz w:val="22"/>
          <w:lang w:val="es-419"/>
        </w:rPr>
      </w:pPr>
    </w:p>
    <w:p w:rsidR="009A70FB" w:rsidRPr="0075789D" w:rsidRDefault="009A70FB" w:rsidP="009A70FB">
      <w:pPr>
        <w:tabs>
          <w:tab w:val="left" w:pos="4962"/>
        </w:tabs>
        <w:jc w:val="center"/>
        <w:rPr>
          <w:rFonts w:cs="Arial"/>
          <w:sz w:val="22"/>
          <w:lang w:val="es-419"/>
        </w:rPr>
      </w:pPr>
    </w:p>
    <w:p w:rsidR="009A70FB" w:rsidRPr="0075789D" w:rsidRDefault="009A70FB" w:rsidP="009A70FB">
      <w:pPr>
        <w:rPr>
          <w:rFonts w:cs="Arial"/>
          <w:lang w:val="es-419"/>
        </w:rPr>
      </w:pPr>
      <w:r w:rsidRPr="0075789D">
        <w:rPr>
          <w:lang w:val="es-419"/>
        </w:rPr>
        <w:t>I.</w:t>
      </w:r>
      <w:r w:rsidRPr="0075789D">
        <w:rPr>
          <w:lang w:val="es-419"/>
        </w:rPr>
        <w:tab/>
        <w:t>PROTECCIÓN DE LAS OBTENCIONES VEGETALES</w:t>
      </w:r>
    </w:p>
    <w:p w:rsidR="009A70FB" w:rsidRPr="0075789D" w:rsidRDefault="009A70FB" w:rsidP="009A70FB">
      <w:pPr>
        <w:rPr>
          <w:rFonts w:cs="Arial"/>
          <w:u w:val="single"/>
          <w:lang w:val="es-419"/>
        </w:rPr>
      </w:pPr>
    </w:p>
    <w:p w:rsidR="009A70FB" w:rsidRPr="0075789D" w:rsidRDefault="009A70FB" w:rsidP="009A70FB">
      <w:pPr>
        <w:rPr>
          <w:rFonts w:cs="Arial"/>
          <w:u w:val="single"/>
          <w:lang w:val="es-419"/>
        </w:rPr>
      </w:pPr>
      <w:r w:rsidRPr="0075789D">
        <w:rPr>
          <w:lang w:val="es-419"/>
        </w:rPr>
        <w:t>1.</w:t>
      </w:r>
      <w:r w:rsidRPr="0075789D">
        <w:rPr>
          <w:lang w:val="es-419"/>
        </w:rPr>
        <w:tab/>
      </w:r>
      <w:r w:rsidRPr="0075789D">
        <w:rPr>
          <w:u w:val="single"/>
          <w:lang w:val="es-419"/>
        </w:rPr>
        <w:t>Situación en el ámbito legislativo</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 xml:space="preserve">La Ley de Protección Jurídica de las Obtenciones Vegetales, de 26 de junio de 2003 (texto consolidado: el Boletín Oficial de 2021, apartado 213), constituye la base jurídica del sistema nacional de protección de los derechos de obtentor en Polonia. </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La ley polaca de protección de las obtenciones vegetales se basa en el Acta de 1991 del Convenio de la UPOV. Desde el 1 de noviembre de 2000, todos los géneros y especies vegetales son susceptibles de protección en Polonia.</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Las tasas se rigen por el Decreto del ministro de Agricultura y Desarrollo Rural de 17 de febrero de 2004 sobre tasas de presentación de solicitudes de protección del derechos de obtentor, examen DHE y concesión y mantenimiento de títulos de derechos exclusivos (</w:t>
      </w:r>
      <w:hyperlink r:id="rId30" w:tgtFrame="_blank" w:history="1">
        <w:r w:rsidRPr="0075789D">
          <w:rPr>
            <w:lang w:val="es-419"/>
          </w:rPr>
          <w:t>Boletín Oficial N.º 60 de 2004, apartado 567</w:t>
        </w:r>
      </w:hyperlink>
      <w:r w:rsidRPr="0075789D">
        <w:rPr>
          <w:lang w:val="es-419"/>
        </w:rPr>
        <w:t xml:space="preserve">; </w:t>
      </w:r>
      <w:hyperlink r:id="rId31" w:tgtFrame="_blank" w:history="1">
        <w:r w:rsidRPr="0075789D">
          <w:rPr>
            <w:lang w:val="es-419"/>
          </w:rPr>
          <w:t>Boletín Oficial de 2015, apartado 2166</w:t>
        </w:r>
      </w:hyperlink>
      <w:r w:rsidRPr="0075789D">
        <w:rPr>
          <w:lang w:val="es-419"/>
        </w:rPr>
        <w:t>).</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Polonia es miembro de la UPOV desde el 11 de noviembre de 1989 y se adhirió al Acta de 1991 del Convenio de la UPOV, como Estado vigésimo cuarto, el 15 de agosto de 2003.</w:t>
      </w:r>
    </w:p>
    <w:p w:rsidR="009A70FB" w:rsidRPr="0075789D" w:rsidRDefault="009A70FB" w:rsidP="009A70FB">
      <w:pPr>
        <w:rPr>
          <w:rFonts w:cs="Arial"/>
          <w:lang w:val="es-419"/>
        </w:rPr>
      </w:pPr>
    </w:p>
    <w:p w:rsidR="009A70FB" w:rsidRPr="0075789D" w:rsidRDefault="009A70FB" w:rsidP="009A70FB">
      <w:pPr>
        <w:rPr>
          <w:rFonts w:cs="Arial"/>
          <w:lang w:val="es-419"/>
        </w:rPr>
      </w:pPr>
    </w:p>
    <w:p w:rsidR="009A70FB" w:rsidRPr="0075789D" w:rsidRDefault="009A70FB" w:rsidP="009A70FB">
      <w:pPr>
        <w:rPr>
          <w:rFonts w:cs="Arial"/>
          <w:u w:val="single"/>
          <w:lang w:val="es-419"/>
        </w:rPr>
      </w:pPr>
      <w:r w:rsidRPr="0075789D">
        <w:rPr>
          <w:lang w:val="es-419"/>
        </w:rPr>
        <w:t>2.</w:t>
      </w:r>
      <w:r w:rsidRPr="0075789D">
        <w:rPr>
          <w:lang w:val="es-419"/>
        </w:rPr>
        <w:tab/>
      </w:r>
      <w:r w:rsidRPr="0075789D">
        <w:rPr>
          <w:u w:val="single"/>
          <w:lang w:val="es-419"/>
        </w:rPr>
        <w:t>Cooperación en el examen</w:t>
      </w:r>
    </w:p>
    <w:p w:rsidR="009A70FB" w:rsidRPr="0075789D" w:rsidRDefault="009A70FB" w:rsidP="009A70FB">
      <w:pPr>
        <w:rPr>
          <w:rFonts w:cs="Arial"/>
          <w:highlight w:val="yellow"/>
          <w:lang w:val="es-419"/>
        </w:rPr>
      </w:pPr>
    </w:p>
    <w:p w:rsidR="009A70FB" w:rsidRPr="0075789D" w:rsidRDefault="009A70FB" w:rsidP="009A70FB">
      <w:pPr>
        <w:rPr>
          <w:rFonts w:cs="Arial"/>
          <w:color w:val="000000"/>
          <w:lang w:val="es-419"/>
        </w:rPr>
      </w:pPr>
      <w:r w:rsidRPr="0075789D">
        <w:rPr>
          <w:color w:val="000000"/>
          <w:lang w:val="es-419"/>
        </w:rPr>
        <w:t xml:space="preserve">El Centro de investigación para el examen de cultivares (COBORU) de </w:t>
      </w:r>
      <w:proofErr w:type="spellStart"/>
      <w:r w:rsidRPr="0075789D">
        <w:rPr>
          <w:color w:val="000000"/>
          <w:lang w:val="es-419"/>
        </w:rPr>
        <w:t>Słupia</w:t>
      </w:r>
      <w:proofErr w:type="spellEnd"/>
      <w:r w:rsidRPr="0075789D">
        <w:rPr>
          <w:color w:val="000000"/>
          <w:lang w:val="es-419"/>
        </w:rPr>
        <w:t> </w:t>
      </w:r>
      <w:proofErr w:type="spellStart"/>
      <w:r w:rsidRPr="0075789D">
        <w:rPr>
          <w:color w:val="000000"/>
          <w:lang w:val="es-419"/>
        </w:rPr>
        <w:t>Wielka</w:t>
      </w:r>
      <w:proofErr w:type="spellEnd"/>
      <w:r w:rsidRPr="0075789D">
        <w:rPr>
          <w:color w:val="000000"/>
          <w:lang w:val="es-419"/>
        </w:rPr>
        <w:t xml:space="preserve"> continúa colaborando con diversos países respecto del examen técnico.</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 xml:space="preserve">Polonia ha firmado acuerdos bilaterales sobre el examen DHE con Eslovaquia, Hungría y la República Checa. Se hallan en vigor acuerdos unilaterales con Eslovenia, Estonia, Letonia, Lituania, Rumania y Ucrania. </w:t>
      </w:r>
    </w:p>
    <w:p w:rsidR="009A70FB" w:rsidRPr="0075789D" w:rsidRDefault="009A70FB" w:rsidP="009A70FB">
      <w:pPr>
        <w:rPr>
          <w:rFonts w:cs="Arial"/>
          <w:color w:val="000000" w:themeColor="text1"/>
          <w:lang w:val="es-419"/>
        </w:rPr>
      </w:pPr>
    </w:p>
    <w:p w:rsidR="009A70FB" w:rsidRPr="0075789D" w:rsidRDefault="009A70FB" w:rsidP="009A70FB">
      <w:pPr>
        <w:rPr>
          <w:rFonts w:cs="Arial"/>
          <w:color w:val="000000" w:themeColor="text1"/>
          <w:lang w:val="es-419"/>
        </w:rPr>
      </w:pPr>
      <w:r w:rsidRPr="0075789D">
        <w:rPr>
          <w:color w:val="000000" w:themeColor="text1"/>
          <w:lang w:val="es-419"/>
        </w:rPr>
        <w:t>En el período objeto del informe, Polonia ha llevado a cabo exámenes DHE para las autoridades de los siguientes países: Alemania (2 variedades), Austria (4 variedades), Bélgica (1 variedad), Eslovenia (6 variedades), Estonia (17 variedades), Finlandia (5 variedades), Francia (2 variedades), Hungría (16 variedades), Letonia (9 variedades), Lituania (59 variedades), República Checa (17 variedades), Suecia (1 variedad), Suiza (20 variedades) y para la OCVV (116 variedades).</w:t>
      </w:r>
    </w:p>
    <w:p w:rsidR="009A70FB" w:rsidRPr="0075789D" w:rsidRDefault="009A70FB" w:rsidP="009A70FB">
      <w:pPr>
        <w:rPr>
          <w:rFonts w:cs="Arial"/>
          <w:color w:val="000000" w:themeColor="text1"/>
          <w:lang w:val="es-419"/>
        </w:rPr>
      </w:pPr>
    </w:p>
    <w:p w:rsidR="009A70FB" w:rsidRPr="0075789D" w:rsidRDefault="009A70FB" w:rsidP="009A70FB">
      <w:pPr>
        <w:rPr>
          <w:rFonts w:cs="Arial"/>
          <w:color w:val="000000" w:themeColor="text1"/>
          <w:lang w:val="es-419"/>
        </w:rPr>
      </w:pPr>
      <w:r w:rsidRPr="0075789D">
        <w:rPr>
          <w:color w:val="000000" w:themeColor="text1"/>
          <w:lang w:val="es-419"/>
        </w:rPr>
        <w:t xml:space="preserve">Se examinaron diferentes especies de plantas agrícolas (119 variedades), hortícolas (20 variedades), ornamentales (92 variedades) y frutales (44 variedades). </w:t>
      </w:r>
    </w:p>
    <w:p w:rsidR="009A70FB" w:rsidRPr="0075789D" w:rsidRDefault="009A70FB" w:rsidP="009A70FB">
      <w:pPr>
        <w:rPr>
          <w:rFonts w:cs="Arial"/>
          <w:color w:val="000000" w:themeColor="text1"/>
          <w:lang w:val="es-419"/>
        </w:rPr>
      </w:pPr>
    </w:p>
    <w:p w:rsidR="009A70FB" w:rsidRPr="0075789D" w:rsidRDefault="009A70FB" w:rsidP="009A70FB">
      <w:pPr>
        <w:rPr>
          <w:rFonts w:cs="Arial"/>
          <w:color w:val="000000" w:themeColor="text1"/>
          <w:lang w:val="es-419"/>
        </w:rPr>
      </w:pPr>
      <w:r w:rsidRPr="0075789D">
        <w:rPr>
          <w:color w:val="000000" w:themeColor="text1"/>
          <w:lang w:val="es-419"/>
        </w:rPr>
        <w:t>En total, se examinaron 275 variedades por encargo de las administraciones mencionadas.</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Al igual que en los años anteriores, algunas autoridades —en concreto Austria, Bélgica, Bosnia y Herzegovina, Bulgaria, Canadá, Croacia, Dinamarca, Estonia, Finlandia, Francia, Irlanda Letonia, Lituania, Noruega, OCVV, Países Bajos, República Checa, Serbia, Suecia, Suiza y el Reino Unido basaron las decisiones sobre sus propios procedimientos en los resultados de los exámenes técnicos del COBORU.</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Polonia participó activamente en la elaboración de los protocolos técnicos durante las reuniones organizadas por la OCVV.</w:t>
      </w:r>
    </w:p>
    <w:p w:rsidR="009A70FB" w:rsidRPr="0075789D" w:rsidRDefault="009A70FB" w:rsidP="009A70FB">
      <w:pPr>
        <w:rPr>
          <w:rFonts w:cs="Arial"/>
          <w:lang w:val="es-419"/>
        </w:rPr>
      </w:pPr>
    </w:p>
    <w:p w:rsidR="009A70FB" w:rsidRPr="0075789D" w:rsidRDefault="009A70FB" w:rsidP="009A70FB">
      <w:pPr>
        <w:rPr>
          <w:rFonts w:cs="Arial"/>
          <w:highlight w:val="yellow"/>
          <w:lang w:val="es-419"/>
        </w:rPr>
      </w:pPr>
    </w:p>
    <w:p w:rsidR="009A70FB" w:rsidRPr="0075789D" w:rsidRDefault="009A70FB" w:rsidP="009A70FB">
      <w:pPr>
        <w:keepNext/>
        <w:rPr>
          <w:rFonts w:cs="Arial"/>
          <w:u w:val="single"/>
          <w:lang w:val="es-419"/>
        </w:rPr>
      </w:pPr>
      <w:r w:rsidRPr="0075789D">
        <w:rPr>
          <w:lang w:val="es-419"/>
        </w:rPr>
        <w:t>3. y 4.</w:t>
      </w:r>
      <w:r w:rsidRPr="0075789D">
        <w:rPr>
          <w:lang w:val="es-419"/>
        </w:rPr>
        <w:tab/>
      </w:r>
      <w:r w:rsidRPr="0075789D">
        <w:rPr>
          <w:u w:val="single"/>
          <w:lang w:val="es-419"/>
        </w:rPr>
        <w:t>Situación en los ámbitos administrativo y técnico</w:t>
      </w:r>
    </w:p>
    <w:p w:rsidR="009A70FB" w:rsidRPr="0075789D" w:rsidRDefault="009A70FB" w:rsidP="009A70FB">
      <w:pPr>
        <w:keepNext/>
        <w:rPr>
          <w:rFonts w:cs="Arial"/>
          <w:u w:val="single"/>
          <w:lang w:val="es-419"/>
        </w:rPr>
      </w:pPr>
    </w:p>
    <w:p w:rsidR="009A70FB" w:rsidRPr="0075789D" w:rsidRDefault="009A70FB" w:rsidP="009A70FB">
      <w:pPr>
        <w:rPr>
          <w:rFonts w:cs="Arial"/>
          <w:lang w:val="es-419"/>
        </w:rPr>
      </w:pPr>
      <w:r w:rsidRPr="0075789D">
        <w:rPr>
          <w:lang w:val="es-419"/>
        </w:rPr>
        <w:t>El COBORU realiza el examen DHE de las variedades en 12 estaciones experimentales destinadas a esa actividad y ubicadas por todo el país.</w:t>
      </w:r>
    </w:p>
    <w:p w:rsidR="009A70FB" w:rsidRPr="0075789D" w:rsidRDefault="009A70FB" w:rsidP="009A70FB">
      <w:pPr>
        <w:rPr>
          <w:rFonts w:cs="Arial"/>
          <w:highlight w:val="yellow"/>
          <w:lang w:val="es-419"/>
        </w:rPr>
      </w:pPr>
    </w:p>
    <w:p w:rsidR="009A70FB" w:rsidRPr="0075789D" w:rsidRDefault="009A70FB" w:rsidP="009A70FB">
      <w:pPr>
        <w:rPr>
          <w:rFonts w:cs="Arial"/>
          <w:lang w:val="es-419"/>
        </w:rPr>
      </w:pPr>
      <w:r w:rsidRPr="0075789D">
        <w:rPr>
          <w:lang w:val="es-419"/>
        </w:rPr>
        <w:t xml:space="preserve">En 2021 se examinaron 10.557 variedades de 196 especies vegetales (9.343 variedades de colecciones de referencia vivas y 1.214 variedades candidatas). </w:t>
      </w:r>
    </w:p>
    <w:p w:rsidR="009A70FB" w:rsidRPr="0075789D" w:rsidRDefault="009A70FB" w:rsidP="009A70FB">
      <w:pPr>
        <w:rPr>
          <w:rFonts w:cs="Arial"/>
          <w:lang w:val="es-419"/>
        </w:rPr>
      </w:pPr>
      <w:r w:rsidRPr="0075789D">
        <w:rPr>
          <w:lang w:val="es-419"/>
        </w:rPr>
        <w:lastRenderedPageBreak/>
        <w:t>En el gráfico siguiente se indica el número de variedades examinadas en Polonia, por tipo de plantas:</w:t>
      </w:r>
    </w:p>
    <w:p w:rsidR="009A70FB" w:rsidRPr="0075789D" w:rsidRDefault="009A70FB" w:rsidP="009A70FB">
      <w:pPr>
        <w:rPr>
          <w:rFonts w:cs="Arial"/>
          <w:lang w:val="es-419"/>
        </w:rPr>
      </w:pPr>
    </w:p>
    <w:p w:rsidR="009A70FB" w:rsidRPr="0075789D" w:rsidRDefault="009A70FB" w:rsidP="009A70FB">
      <w:pPr>
        <w:jc w:val="center"/>
        <w:rPr>
          <w:rFonts w:cs="Arial"/>
          <w:u w:val="single"/>
          <w:lang w:val="es-419"/>
        </w:rPr>
      </w:pPr>
      <w:r w:rsidRPr="0075789D">
        <w:rPr>
          <w:u w:val="single"/>
          <w:lang w:val="es-419"/>
        </w:rPr>
        <w:t>Número de variedades sometidas a examen DHE en 2021</w:t>
      </w:r>
    </w:p>
    <w:p w:rsidR="009A70FB" w:rsidRPr="0075789D" w:rsidRDefault="009A70FB" w:rsidP="009A70FB">
      <w:pPr>
        <w:rPr>
          <w:noProof/>
          <w:lang w:val="es-419"/>
        </w:rPr>
      </w:pPr>
    </w:p>
    <w:p w:rsidR="009A70FB" w:rsidRPr="0075789D" w:rsidRDefault="009A70FB" w:rsidP="009A70FB">
      <w:pPr>
        <w:jc w:val="center"/>
        <w:rPr>
          <w:rFonts w:cs="Arial"/>
          <w:highlight w:val="yellow"/>
          <w:lang w:val="es-419"/>
        </w:rPr>
      </w:pPr>
      <w:r w:rsidRPr="009A70FB">
        <w:rPr>
          <w:highlight w:val="yellow"/>
        </w:rPr>
        <w:drawing>
          <wp:inline distT="0" distB="0" distL="0" distR="0">
            <wp:extent cx="5983605" cy="3584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83605" cy="3584575"/>
                    </a:xfrm>
                    <a:prstGeom prst="rect">
                      <a:avLst/>
                    </a:prstGeom>
                    <a:noFill/>
                    <a:ln>
                      <a:noFill/>
                    </a:ln>
                  </pic:spPr>
                </pic:pic>
              </a:graphicData>
            </a:graphic>
          </wp:inline>
        </w:drawing>
      </w:r>
    </w:p>
    <w:p w:rsidR="009A70FB" w:rsidRPr="0075789D" w:rsidRDefault="009A70FB" w:rsidP="009A70FB">
      <w:pPr>
        <w:rPr>
          <w:rFonts w:cs="Arial"/>
          <w:highlight w:val="yellow"/>
          <w:lang w:val="es-419"/>
        </w:rPr>
      </w:pPr>
    </w:p>
    <w:p w:rsidR="009A70FB" w:rsidRPr="0075789D" w:rsidRDefault="009A70FB" w:rsidP="009A70FB">
      <w:pPr>
        <w:rPr>
          <w:rFonts w:cs="Arial"/>
          <w:lang w:val="es-419"/>
        </w:rPr>
      </w:pPr>
      <w:r w:rsidRPr="0075789D">
        <w:rPr>
          <w:lang w:val="es-419"/>
        </w:rPr>
        <w:t>En 2021, el COBORU recibió 123 solicitudes de protección nacional de derechos de obtentor, lo que supone una disminución de 25 solicitudes respecto al año anterior.</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Entre el 1 de enero y el 1 de agosto de 2022 se presentaron 78 nuevas solicitudes de derechos de obtentor, de las que 55 eran nacionales y 23, de otros países. Esa cifra supone una reducción de 16 solicitudes en relación con el período correspondiente al informe anterior (94).</w:t>
      </w:r>
    </w:p>
    <w:p w:rsidR="009A70FB" w:rsidRPr="0075789D" w:rsidRDefault="009A70FB" w:rsidP="009A70FB">
      <w:pPr>
        <w:rPr>
          <w:rFonts w:cs="Arial"/>
          <w:highlight w:val="yellow"/>
          <w:lang w:val="es-419"/>
        </w:rPr>
      </w:pPr>
    </w:p>
    <w:p w:rsidR="009A70FB" w:rsidRPr="0075789D" w:rsidRDefault="009A70FB" w:rsidP="009A70FB">
      <w:pPr>
        <w:rPr>
          <w:rFonts w:cs="Arial"/>
          <w:lang w:val="es-419"/>
        </w:rPr>
      </w:pPr>
      <w:r w:rsidRPr="0075789D">
        <w:rPr>
          <w:lang w:val="es-419"/>
        </w:rPr>
        <w:t xml:space="preserve">En 2021, el COBORU otorgó 88 títulos de protección nacional (13 títulos menos que en 2020). Al final de 2021 había 1.313 títulos nacionales de obtentor en vigor, una cifra que supone un aumento de 21 variedades en relación con el año anterior. </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En el período comprendido entre el 1 de enero y el 29 de agosto de 2022 se concedieron</w:t>
      </w:r>
      <w:r>
        <w:rPr>
          <w:lang w:val="es-419"/>
        </w:rPr>
        <w:t xml:space="preserve"> </w:t>
      </w:r>
      <w:r w:rsidRPr="0075789D">
        <w:rPr>
          <w:lang w:val="es-419"/>
        </w:rPr>
        <w:t>65 títulos de protección naci</w:t>
      </w:r>
      <w:r>
        <w:rPr>
          <w:lang w:val="es-419"/>
        </w:rPr>
        <w:t xml:space="preserve">onal de derechos de obtentor. A </w:t>
      </w:r>
      <w:r w:rsidRPr="0075789D">
        <w:rPr>
          <w:lang w:val="es-419"/>
        </w:rPr>
        <w:t>29 de agosto de 2022, el número total de variedades protegidas en Polonia es de 1326.</w:t>
      </w:r>
    </w:p>
    <w:p w:rsidR="009A70FB" w:rsidRPr="0075789D" w:rsidRDefault="009A70FB" w:rsidP="009A70FB">
      <w:pPr>
        <w:rPr>
          <w:rFonts w:cs="Arial"/>
          <w:highlight w:val="yellow"/>
          <w:lang w:val="es-419"/>
        </w:rPr>
      </w:pPr>
    </w:p>
    <w:p w:rsidR="009A70FB" w:rsidRPr="0075789D" w:rsidRDefault="009A70FB" w:rsidP="009A70FB">
      <w:pPr>
        <w:rPr>
          <w:rFonts w:cs="Arial"/>
          <w:lang w:val="es-419"/>
        </w:rPr>
      </w:pPr>
      <w:r w:rsidRPr="0075789D">
        <w:rPr>
          <w:lang w:val="es-419"/>
        </w:rPr>
        <w:t>En el cuadro siguiente se ofrecen datos estadísticos pormenorizados.</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En la columna “Títulos caducados” figuran 12 variedades cuyo título nacional de obtentor ha vencido durante el período del informe.</w:t>
      </w:r>
    </w:p>
    <w:p w:rsidR="009A70FB" w:rsidRPr="0075789D" w:rsidRDefault="009A70FB" w:rsidP="009A70FB">
      <w:pPr>
        <w:rPr>
          <w:rFonts w:cs="Arial"/>
          <w:lang w:val="es-419"/>
        </w:rPr>
      </w:pPr>
    </w:p>
    <w:p w:rsidR="009A70FB" w:rsidRPr="0075789D" w:rsidRDefault="009A70FB" w:rsidP="009A70FB">
      <w:pPr>
        <w:jc w:val="left"/>
        <w:rPr>
          <w:rFonts w:cs="Arial"/>
          <w:lang w:val="es-419"/>
        </w:rPr>
      </w:pPr>
      <w:r w:rsidRPr="0075789D">
        <w:rPr>
          <w:rFonts w:cs="Arial"/>
          <w:lang w:val="es-419"/>
        </w:rPr>
        <w:br w:type="page"/>
      </w:r>
    </w:p>
    <w:p w:rsidR="009A70FB" w:rsidRPr="0075789D" w:rsidRDefault="009A70FB" w:rsidP="009A70FB">
      <w:pPr>
        <w:rPr>
          <w:rFonts w:cs="Arial"/>
          <w:lang w:val="es-419"/>
        </w:rPr>
      </w:pPr>
    </w:p>
    <w:tbl>
      <w:tblPr>
        <w:tblW w:w="9610" w:type="dxa"/>
        <w:tblLayout w:type="fixed"/>
        <w:tblCellMar>
          <w:left w:w="28" w:type="dxa"/>
          <w:right w:w="28" w:type="dxa"/>
        </w:tblCellMar>
        <w:tblLook w:val="04A0" w:firstRow="1" w:lastRow="0" w:firstColumn="1" w:lastColumn="0" w:noHBand="0" w:noVBand="1"/>
      </w:tblPr>
      <w:tblGrid>
        <w:gridCol w:w="1552"/>
        <w:gridCol w:w="992"/>
        <w:gridCol w:w="992"/>
        <w:gridCol w:w="698"/>
        <w:gridCol w:w="1003"/>
        <w:gridCol w:w="992"/>
        <w:gridCol w:w="687"/>
        <w:gridCol w:w="1347"/>
        <w:gridCol w:w="1347"/>
      </w:tblGrid>
      <w:tr w:rsidR="009A70FB" w:rsidRPr="0075789D" w:rsidTr="009A70FB">
        <w:tc>
          <w:tcPr>
            <w:tcW w:w="1552" w:type="dxa"/>
            <w:tcBorders>
              <w:top w:val="single" w:sz="4" w:space="0" w:color="auto"/>
              <w:left w:val="single" w:sz="6" w:space="0" w:color="auto"/>
              <w:bottom w:val="nil"/>
              <w:right w:val="nil"/>
            </w:tcBorders>
          </w:tcPr>
          <w:p w:rsidR="009A70FB" w:rsidRPr="0075789D" w:rsidRDefault="009A70FB" w:rsidP="004D1E3E">
            <w:pPr>
              <w:jc w:val="center"/>
              <w:rPr>
                <w:rFonts w:cs="Arial"/>
                <w:lang w:val="es-419"/>
              </w:rPr>
            </w:pPr>
          </w:p>
          <w:p w:rsidR="009A70FB" w:rsidRPr="0075789D" w:rsidRDefault="009A70FB" w:rsidP="004D1E3E">
            <w:pPr>
              <w:jc w:val="center"/>
              <w:rPr>
                <w:rFonts w:cs="Arial"/>
                <w:lang w:val="es-419"/>
              </w:rPr>
            </w:pPr>
            <w:r w:rsidRPr="0075789D">
              <w:rPr>
                <w:lang w:val="es-419"/>
              </w:rPr>
              <w:t>Especies vegetales</w:t>
            </w:r>
          </w:p>
          <w:p w:rsidR="009A70FB" w:rsidRPr="0075789D" w:rsidRDefault="009A70FB" w:rsidP="004D1E3E">
            <w:pPr>
              <w:jc w:val="center"/>
              <w:rPr>
                <w:rFonts w:cs="Arial"/>
                <w:lang w:val="es-419"/>
              </w:rPr>
            </w:pPr>
          </w:p>
        </w:tc>
        <w:tc>
          <w:tcPr>
            <w:tcW w:w="2682" w:type="dxa"/>
            <w:gridSpan w:val="3"/>
            <w:tcBorders>
              <w:top w:val="single" w:sz="4" w:space="0" w:color="auto"/>
              <w:left w:val="single" w:sz="12" w:space="0" w:color="auto"/>
              <w:bottom w:val="nil"/>
              <w:right w:val="single" w:sz="12" w:space="0" w:color="auto"/>
            </w:tcBorders>
            <w:hideMark/>
          </w:tcPr>
          <w:p w:rsidR="009A70FB" w:rsidRPr="0075789D" w:rsidRDefault="009A70FB" w:rsidP="004D1E3E">
            <w:pPr>
              <w:jc w:val="center"/>
              <w:rPr>
                <w:rFonts w:cs="Arial"/>
                <w:lang w:val="es-419"/>
              </w:rPr>
            </w:pPr>
            <w:r w:rsidRPr="0075789D">
              <w:rPr>
                <w:lang w:val="es-419"/>
              </w:rPr>
              <w:t>Solicitudes de derechos de obtentor</w:t>
            </w:r>
          </w:p>
          <w:p w:rsidR="009A70FB" w:rsidRPr="0075789D" w:rsidRDefault="009A70FB" w:rsidP="004D1E3E">
            <w:pPr>
              <w:jc w:val="center"/>
              <w:rPr>
                <w:rFonts w:cs="Arial"/>
                <w:lang w:val="es-419"/>
              </w:rPr>
            </w:pPr>
            <w:r w:rsidRPr="0075789D">
              <w:rPr>
                <w:lang w:val="es-419"/>
              </w:rPr>
              <w:t>1/1/2022 a 29/8/2022</w:t>
            </w:r>
          </w:p>
        </w:tc>
        <w:tc>
          <w:tcPr>
            <w:tcW w:w="2682" w:type="dxa"/>
            <w:gridSpan w:val="3"/>
            <w:tcBorders>
              <w:top w:val="single" w:sz="4" w:space="0" w:color="auto"/>
              <w:left w:val="nil"/>
              <w:bottom w:val="nil"/>
              <w:right w:val="single" w:sz="12" w:space="0" w:color="auto"/>
            </w:tcBorders>
            <w:shd w:val="clear" w:color="auto" w:fill="FFFFFF"/>
            <w:hideMark/>
          </w:tcPr>
          <w:p w:rsidR="009A70FB" w:rsidRPr="0075789D" w:rsidRDefault="009A70FB" w:rsidP="004D1E3E">
            <w:pPr>
              <w:jc w:val="center"/>
              <w:rPr>
                <w:rFonts w:cs="Arial"/>
                <w:lang w:val="es-419"/>
              </w:rPr>
            </w:pPr>
            <w:r w:rsidRPr="0075789D">
              <w:rPr>
                <w:lang w:val="es-419"/>
              </w:rPr>
              <w:t>Títulos concedidos</w:t>
            </w:r>
          </w:p>
          <w:p w:rsidR="009A70FB" w:rsidRPr="0075789D" w:rsidRDefault="009A70FB" w:rsidP="004D1E3E">
            <w:pPr>
              <w:jc w:val="center"/>
              <w:rPr>
                <w:rFonts w:cs="Arial"/>
                <w:lang w:val="es-419"/>
              </w:rPr>
            </w:pPr>
            <w:r w:rsidRPr="0075789D">
              <w:rPr>
                <w:lang w:val="es-419"/>
              </w:rPr>
              <w:t>1/1/2022 a 29/8/2022</w:t>
            </w:r>
          </w:p>
        </w:tc>
        <w:tc>
          <w:tcPr>
            <w:tcW w:w="1347" w:type="dxa"/>
            <w:tcBorders>
              <w:top w:val="single" w:sz="4" w:space="0" w:color="auto"/>
              <w:left w:val="nil"/>
              <w:bottom w:val="nil"/>
              <w:right w:val="single" w:sz="12" w:space="0" w:color="auto"/>
            </w:tcBorders>
            <w:hideMark/>
          </w:tcPr>
          <w:p w:rsidR="009A70FB" w:rsidRPr="0075789D" w:rsidRDefault="009A70FB" w:rsidP="004D1E3E">
            <w:pPr>
              <w:jc w:val="center"/>
              <w:rPr>
                <w:rFonts w:cs="Arial"/>
                <w:lang w:val="es-419"/>
              </w:rPr>
            </w:pPr>
            <w:r w:rsidRPr="0075789D">
              <w:rPr>
                <w:lang w:val="es-419"/>
              </w:rPr>
              <w:t xml:space="preserve">Títulos caducados </w:t>
            </w:r>
          </w:p>
          <w:p w:rsidR="009A70FB" w:rsidRPr="0075789D" w:rsidRDefault="009A70FB" w:rsidP="004D1E3E">
            <w:pPr>
              <w:jc w:val="center"/>
              <w:rPr>
                <w:rFonts w:cs="Arial"/>
                <w:lang w:val="es-419"/>
              </w:rPr>
            </w:pPr>
          </w:p>
        </w:tc>
        <w:tc>
          <w:tcPr>
            <w:tcW w:w="1347" w:type="dxa"/>
            <w:tcBorders>
              <w:top w:val="single" w:sz="4" w:space="0" w:color="auto"/>
              <w:left w:val="nil"/>
              <w:bottom w:val="nil"/>
              <w:right w:val="single" w:sz="6" w:space="0" w:color="auto"/>
            </w:tcBorders>
            <w:shd w:val="clear" w:color="auto" w:fill="FFFFFF"/>
            <w:hideMark/>
          </w:tcPr>
          <w:p w:rsidR="009A70FB" w:rsidRPr="0075789D" w:rsidRDefault="009A70FB" w:rsidP="004D1E3E">
            <w:pPr>
              <w:jc w:val="center"/>
              <w:rPr>
                <w:rFonts w:cs="Arial"/>
                <w:lang w:val="es-419"/>
              </w:rPr>
            </w:pPr>
            <w:r w:rsidRPr="0075789D">
              <w:rPr>
                <w:lang w:val="es-419"/>
              </w:rPr>
              <w:t>Títulos en vigor a 29/8/2022</w:t>
            </w:r>
          </w:p>
        </w:tc>
      </w:tr>
      <w:tr w:rsidR="009A70FB" w:rsidRPr="0075789D" w:rsidTr="009A70FB">
        <w:tc>
          <w:tcPr>
            <w:tcW w:w="1552" w:type="dxa"/>
            <w:tcBorders>
              <w:top w:val="nil"/>
              <w:left w:val="single" w:sz="6" w:space="0" w:color="auto"/>
              <w:bottom w:val="nil"/>
              <w:right w:val="single" w:sz="12" w:space="0" w:color="auto"/>
            </w:tcBorders>
          </w:tcPr>
          <w:p w:rsidR="009A70FB" w:rsidRPr="0075789D" w:rsidRDefault="009A70FB" w:rsidP="004D1E3E">
            <w:pPr>
              <w:jc w:val="center"/>
              <w:rPr>
                <w:rFonts w:cs="Arial"/>
                <w:lang w:val="es-419"/>
              </w:rPr>
            </w:pPr>
          </w:p>
        </w:tc>
        <w:tc>
          <w:tcPr>
            <w:tcW w:w="992" w:type="dxa"/>
            <w:tcBorders>
              <w:top w:val="single" w:sz="6" w:space="0" w:color="auto"/>
              <w:left w:val="nil"/>
              <w:bottom w:val="nil"/>
              <w:right w:val="single" w:sz="6" w:space="0" w:color="auto"/>
            </w:tcBorders>
            <w:hideMark/>
          </w:tcPr>
          <w:p w:rsidR="009A70FB" w:rsidRPr="009A70FB" w:rsidRDefault="009A70FB" w:rsidP="004D1E3E">
            <w:pPr>
              <w:jc w:val="center"/>
              <w:rPr>
                <w:rFonts w:cs="Arial"/>
                <w:sz w:val="18"/>
                <w:lang w:val="es-419"/>
              </w:rPr>
            </w:pPr>
            <w:r w:rsidRPr="009A70FB">
              <w:rPr>
                <w:sz w:val="18"/>
                <w:lang w:val="es-419"/>
              </w:rPr>
              <w:t>nacionales</w:t>
            </w:r>
          </w:p>
        </w:tc>
        <w:tc>
          <w:tcPr>
            <w:tcW w:w="992" w:type="dxa"/>
            <w:tcBorders>
              <w:top w:val="single" w:sz="6" w:space="0" w:color="auto"/>
              <w:left w:val="nil"/>
              <w:bottom w:val="nil"/>
              <w:right w:val="single" w:sz="6" w:space="0" w:color="auto"/>
            </w:tcBorders>
            <w:hideMark/>
          </w:tcPr>
          <w:p w:rsidR="009A70FB" w:rsidRPr="009A70FB" w:rsidRDefault="009A70FB" w:rsidP="004D1E3E">
            <w:pPr>
              <w:jc w:val="center"/>
              <w:rPr>
                <w:rFonts w:cs="Arial"/>
                <w:sz w:val="18"/>
                <w:lang w:val="es-419"/>
              </w:rPr>
            </w:pPr>
            <w:r w:rsidRPr="009A70FB">
              <w:rPr>
                <w:sz w:val="18"/>
                <w:lang w:val="es-419"/>
              </w:rPr>
              <w:t>otros países</w:t>
            </w:r>
          </w:p>
        </w:tc>
        <w:tc>
          <w:tcPr>
            <w:tcW w:w="698" w:type="dxa"/>
            <w:tcBorders>
              <w:top w:val="single" w:sz="6" w:space="0" w:color="auto"/>
              <w:left w:val="nil"/>
              <w:bottom w:val="nil"/>
              <w:right w:val="single" w:sz="12" w:space="0" w:color="auto"/>
            </w:tcBorders>
            <w:hideMark/>
          </w:tcPr>
          <w:p w:rsidR="009A70FB" w:rsidRPr="009A70FB" w:rsidRDefault="009A70FB" w:rsidP="004D1E3E">
            <w:pPr>
              <w:jc w:val="center"/>
              <w:rPr>
                <w:rFonts w:cs="Arial"/>
                <w:sz w:val="18"/>
                <w:lang w:val="es-419"/>
              </w:rPr>
            </w:pPr>
            <w:r w:rsidRPr="009A70FB">
              <w:rPr>
                <w:sz w:val="18"/>
                <w:lang w:val="es-419"/>
              </w:rPr>
              <w:t>total</w:t>
            </w:r>
          </w:p>
        </w:tc>
        <w:tc>
          <w:tcPr>
            <w:tcW w:w="1003" w:type="dxa"/>
            <w:tcBorders>
              <w:top w:val="single" w:sz="6" w:space="0" w:color="auto"/>
              <w:left w:val="nil"/>
              <w:bottom w:val="nil"/>
              <w:right w:val="single" w:sz="6" w:space="0" w:color="auto"/>
            </w:tcBorders>
            <w:hideMark/>
          </w:tcPr>
          <w:p w:rsidR="009A70FB" w:rsidRPr="009A70FB" w:rsidRDefault="009A70FB" w:rsidP="004D1E3E">
            <w:pPr>
              <w:jc w:val="center"/>
              <w:rPr>
                <w:rFonts w:cs="Arial"/>
                <w:sz w:val="18"/>
                <w:lang w:val="es-419"/>
              </w:rPr>
            </w:pPr>
            <w:r w:rsidRPr="009A70FB">
              <w:rPr>
                <w:sz w:val="18"/>
                <w:lang w:val="es-419"/>
              </w:rPr>
              <w:t>nacionales</w:t>
            </w:r>
          </w:p>
        </w:tc>
        <w:tc>
          <w:tcPr>
            <w:tcW w:w="992" w:type="dxa"/>
            <w:tcBorders>
              <w:top w:val="single" w:sz="6" w:space="0" w:color="auto"/>
              <w:left w:val="nil"/>
              <w:bottom w:val="nil"/>
              <w:right w:val="single" w:sz="6" w:space="0" w:color="auto"/>
            </w:tcBorders>
            <w:hideMark/>
          </w:tcPr>
          <w:p w:rsidR="009A70FB" w:rsidRPr="009A70FB" w:rsidRDefault="009A70FB" w:rsidP="004D1E3E">
            <w:pPr>
              <w:jc w:val="center"/>
              <w:rPr>
                <w:rFonts w:cs="Arial"/>
                <w:sz w:val="18"/>
                <w:lang w:val="es-419"/>
              </w:rPr>
            </w:pPr>
            <w:r w:rsidRPr="009A70FB">
              <w:rPr>
                <w:sz w:val="18"/>
                <w:lang w:val="es-419"/>
              </w:rPr>
              <w:t>otros países</w:t>
            </w:r>
          </w:p>
        </w:tc>
        <w:tc>
          <w:tcPr>
            <w:tcW w:w="687" w:type="dxa"/>
            <w:tcBorders>
              <w:top w:val="single" w:sz="6" w:space="0" w:color="auto"/>
              <w:left w:val="nil"/>
              <w:bottom w:val="nil"/>
              <w:right w:val="single" w:sz="12" w:space="0" w:color="auto"/>
            </w:tcBorders>
            <w:hideMark/>
          </w:tcPr>
          <w:p w:rsidR="009A70FB" w:rsidRPr="009A70FB" w:rsidRDefault="009A70FB" w:rsidP="004D1E3E">
            <w:pPr>
              <w:jc w:val="center"/>
              <w:rPr>
                <w:rFonts w:cs="Arial"/>
                <w:sz w:val="18"/>
                <w:lang w:val="es-419"/>
              </w:rPr>
            </w:pPr>
            <w:r w:rsidRPr="009A70FB">
              <w:rPr>
                <w:sz w:val="18"/>
                <w:lang w:val="es-419"/>
              </w:rPr>
              <w:t>total</w:t>
            </w:r>
          </w:p>
        </w:tc>
        <w:tc>
          <w:tcPr>
            <w:tcW w:w="1347" w:type="dxa"/>
            <w:tcBorders>
              <w:top w:val="nil"/>
              <w:left w:val="nil"/>
              <w:bottom w:val="nil"/>
              <w:right w:val="single" w:sz="12" w:space="0" w:color="auto"/>
            </w:tcBorders>
          </w:tcPr>
          <w:p w:rsidR="009A70FB" w:rsidRPr="0075789D" w:rsidRDefault="009A70FB" w:rsidP="004D1E3E">
            <w:pPr>
              <w:jc w:val="center"/>
              <w:rPr>
                <w:rFonts w:cs="Arial"/>
                <w:lang w:val="es-419"/>
              </w:rPr>
            </w:pPr>
          </w:p>
        </w:tc>
        <w:tc>
          <w:tcPr>
            <w:tcW w:w="1347" w:type="dxa"/>
            <w:tcBorders>
              <w:top w:val="nil"/>
              <w:left w:val="nil"/>
              <w:bottom w:val="nil"/>
              <w:right w:val="single" w:sz="6" w:space="0" w:color="auto"/>
            </w:tcBorders>
            <w:shd w:val="clear" w:color="auto" w:fill="FFFFFF"/>
          </w:tcPr>
          <w:p w:rsidR="009A70FB" w:rsidRPr="0075789D" w:rsidRDefault="009A70FB" w:rsidP="004D1E3E">
            <w:pPr>
              <w:jc w:val="center"/>
              <w:rPr>
                <w:rFonts w:cs="Arial"/>
                <w:lang w:val="es-419"/>
              </w:rPr>
            </w:pPr>
          </w:p>
        </w:tc>
      </w:tr>
      <w:tr w:rsidR="009A70FB" w:rsidRPr="0075789D" w:rsidTr="009A70FB">
        <w:tc>
          <w:tcPr>
            <w:tcW w:w="1552" w:type="dxa"/>
            <w:tcBorders>
              <w:top w:val="single" w:sz="12" w:space="0" w:color="auto"/>
              <w:left w:val="single" w:sz="6" w:space="0" w:color="auto"/>
              <w:bottom w:val="single" w:sz="6" w:space="0" w:color="auto"/>
              <w:right w:val="single" w:sz="12" w:space="0" w:color="auto"/>
            </w:tcBorders>
            <w:hideMark/>
          </w:tcPr>
          <w:p w:rsidR="009A70FB" w:rsidRPr="0075789D" w:rsidRDefault="009A70FB" w:rsidP="004D1E3E">
            <w:pPr>
              <w:rPr>
                <w:rFonts w:cs="Arial"/>
                <w:lang w:val="es-419"/>
              </w:rPr>
            </w:pPr>
            <w:r w:rsidRPr="0075789D">
              <w:rPr>
                <w:lang w:val="es-419"/>
              </w:rPr>
              <w:t>Agrícolas</w:t>
            </w:r>
          </w:p>
        </w:tc>
        <w:tc>
          <w:tcPr>
            <w:tcW w:w="992" w:type="dxa"/>
            <w:tcBorders>
              <w:top w:val="single" w:sz="12" w:space="0" w:color="auto"/>
              <w:left w:val="nil"/>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32</w:t>
            </w:r>
          </w:p>
        </w:tc>
        <w:tc>
          <w:tcPr>
            <w:tcW w:w="992" w:type="dxa"/>
            <w:tcBorders>
              <w:top w:val="single" w:sz="12" w:space="0" w:color="auto"/>
              <w:left w:val="single" w:sz="6" w:space="0" w:color="auto"/>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0</w:t>
            </w:r>
          </w:p>
        </w:tc>
        <w:tc>
          <w:tcPr>
            <w:tcW w:w="698" w:type="dxa"/>
            <w:tcBorders>
              <w:top w:val="single" w:sz="12"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32</w:t>
            </w:r>
          </w:p>
        </w:tc>
        <w:tc>
          <w:tcPr>
            <w:tcW w:w="1003" w:type="dxa"/>
            <w:tcBorders>
              <w:top w:val="single" w:sz="12" w:space="0" w:color="auto"/>
              <w:left w:val="nil"/>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27</w:t>
            </w:r>
          </w:p>
        </w:tc>
        <w:tc>
          <w:tcPr>
            <w:tcW w:w="992" w:type="dxa"/>
            <w:tcBorders>
              <w:top w:val="single" w:sz="12" w:space="0" w:color="auto"/>
              <w:left w:val="single" w:sz="6" w:space="0" w:color="auto"/>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2</w:t>
            </w:r>
          </w:p>
        </w:tc>
        <w:tc>
          <w:tcPr>
            <w:tcW w:w="687" w:type="dxa"/>
            <w:tcBorders>
              <w:top w:val="single" w:sz="12"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29</w:t>
            </w:r>
          </w:p>
        </w:tc>
        <w:tc>
          <w:tcPr>
            <w:tcW w:w="1347" w:type="dxa"/>
            <w:tcBorders>
              <w:top w:val="single" w:sz="12" w:space="0" w:color="auto"/>
              <w:left w:val="nil"/>
              <w:bottom w:val="single" w:sz="6" w:space="0" w:color="auto"/>
              <w:right w:val="single" w:sz="12" w:space="0" w:color="auto"/>
            </w:tcBorders>
            <w:hideMark/>
          </w:tcPr>
          <w:p w:rsidR="009A70FB" w:rsidRPr="0075789D" w:rsidRDefault="009A70FB" w:rsidP="009A70FB">
            <w:pPr>
              <w:jc w:val="right"/>
              <w:rPr>
                <w:rFonts w:cs="Arial"/>
                <w:lang w:val="es-419"/>
              </w:rPr>
            </w:pPr>
            <w:r w:rsidRPr="0075789D">
              <w:rPr>
                <w:lang w:val="es-419"/>
              </w:rPr>
              <w:t>28</w:t>
            </w:r>
          </w:p>
        </w:tc>
        <w:tc>
          <w:tcPr>
            <w:tcW w:w="1347" w:type="dxa"/>
            <w:tcBorders>
              <w:top w:val="single" w:sz="12" w:space="0" w:color="auto"/>
              <w:left w:val="nil"/>
              <w:bottom w:val="single" w:sz="6" w:space="0" w:color="auto"/>
              <w:right w:val="single" w:sz="6" w:space="0" w:color="auto"/>
            </w:tcBorders>
            <w:shd w:val="clear" w:color="auto" w:fill="D9D9D9"/>
            <w:hideMark/>
          </w:tcPr>
          <w:p w:rsidR="009A70FB" w:rsidRPr="0075789D" w:rsidRDefault="009A70FB" w:rsidP="009A70FB">
            <w:pPr>
              <w:jc w:val="right"/>
              <w:rPr>
                <w:rFonts w:cs="Arial"/>
                <w:lang w:val="es-419"/>
              </w:rPr>
            </w:pPr>
            <w:r w:rsidRPr="0075789D">
              <w:rPr>
                <w:lang w:val="es-419"/>
              </w:rPr>
              <w:t>735</w:t>
            </w:r>
          </w:p>
        </w:tc>
      </w:tr>
      <w:tr w:rsidR="009A70FB" w:rsidRPr="0075789D" w:rsidTr="009A70FB">
        <w:tc>
          <w:tcPr>
            <w:tcW w:w="1552" w:type="dxa"/>
            <w:tcBorders>
              <w:top w:val="single" w:sz="6" w:space="0" w:color="auto"/>
              <w:left w:val="single" w:sz="6" w:space="0" w:color="auto"/>
              <w:bottom w:val="single" w:sz="6" w:space="0" w:color="auto"/>
              <w:right w:val="single" w:sz="12" w:space="0" w:color="auto"/>
            </w:tcBorders>
            <w:hideMark/>
          </w:tcPr>
          <w:p w:rsidR="009A70FB" w:rsidRPr="0075789D" w:rsidRDefault="009A70FB" w:rsidP="004D1E3E">
            <w:pPr>
              <w:rPr>
                <w:rFonts w:cs="Arial"/>
                <w:lang w:val="es-419"/>
              </w:rPr>
            </w:pPr>
            <w:r w:rsidRPr="0075789D">
              <w:rPr>
                <w:lang w:val="es-419"/>
              </w:rPr>
              <w:t>Hortícolas</w:t>
            </w:r>
          </w:p>
        </w:tc>
        <w:tc>
          <w:tcPr>
            <w:tcW w:w="992" w:type="dxa"/>
            <w:tcBorders>
              <w:top w:val="single" w:sz="6" w:space="0" w:color="auto"/>
              <w:left w:val="nil"/>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2</w:t>
            </w:r>
          </w:p>
        </w:tc>
        <w:tc>
          <w:tcPr>
            <w:tcW w:w="992" w:type="dxa"/>
            <w:tcBorders>
              <w:top w:val="single" w:sz="6" w:space="0" w:color="auto"/>
              <w:left w:val="single" w:sz="6" w:space="0" w:color="auto"/>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0</w:t>
            </w:r>
          </w:p>
        </w:tc>
        <w:tc>
          <w:tcPr>
            <w:tcW w:w="698" w:type="dxa"/>
            <w:tcBorders>
              <w:top w:val="single" w:sz="6"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2</w:t>
            </w:r>
          </w:p>
        </w:tc>
        <w:tc>
          <w:tcPr>
            <w:tcW w:w="1003" w:type="dxa"/>
            <w:tcBorders>
              <w:top w:val="single" w:sz="6" w:space="0" w:color="auto"/>
              <w:left w:val="nil"/>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6</w:t>
            </w:r>
          </w:p>
        </w:tc>
        <w:tc>
          <w:tcPr>
            <w:tcW w:w="992" w:type="dxa"/>
            <w:tcBorders>
              <w:top w:val="single" w:sz="6" w:space="0" w:color="auto"/>
              <w:left w:val="single" w:sz="6" w:space="0" w:color="auto"/>
              <w:bottom w:val="single" w:sz="6" w:space="0" w:color="auto"/>
              <w:right w:val="single" w:sz="6" w:space="0" w:color="auto"/>
            </w:tcBorders>
            <w:hideMark/>
          </w:tcPr>
          <w:p w:rsidR="009A70FB" w:rsidRPr="0075789D" w:rsidRDefault="009A70FB" w:rsidP="009A70FB">
            <w:pPr>
              <w:jc w:val="right"/>
              <w:rPr>
                <w:rFonts w:cs="Arial"/>
                <w:lang w:val="es-419"/>
              </w:rPr>
            </w:pPr>
            <w:r w:rsidRPr="0075789D">
              <w:rPr>
                <w:lang w:val="es-419"/>
              </w:rPr>
              <w:t>0</w:t>
            </w:r>
          </w:p>
        </w:tc>
        <w:tc>
          <w:tcPr>
            <w:tcW w:w="687" w:type="dxa"/>
            <w:tcBorders>
              <w:top w:val="single" w:sz="6"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6</w:t>
            </w:r>
          </w:p>
        </w:tc>
        <w:tc>
          <w:tcPr>
            <w:tcW w:w="1347" w:type="dxa"/>
            <w:tcBorders>
              <w:top w:val="single" w:sz="6" w:space="0" w:color="auto"/>
              <w:left w:val="nil"/>
              <w:bottom w:val="single" w:sz="6" w:space="0" w:color="auto"/>
              <w:right w:val="single" w:sz="12" w:space="0" w:color="auto"/>
            </w:tcBorders>
            <w:hideMark/>
          </w:tcPr>
          <w:p w:rsidR="009A70FB" w:rsidRPr="0075789D" w:rsidRDefault="009A70FB" w:rsidP="009A70FB">
            <w:pPr>
              <w:jc w:val="right"/>
              <w:rPr>
                <w:rFonts w:cs="Arial"/>
                <w:lang w:val="es-419"/>
              </w:rPr>
            </w:pPr>
            <w:r w:rsidRPr="0075789D">
              <w:rPr>
                <w:lang w:val="es-419"/>
              </w:rPr>
              <w:t>6</w:t>
            </w:r>
          </w:p>
        </w:tc>
        <w:tc>
          <w:tcPr>
            <w:tcW w:w="1347" w:type="dxa"/>
            <w:tcBorders>
              <w:top w:val="single" w:sz="6" w:space="0" w:color="auto"/>
              <w:left w:val="nil"/>
              <w:bottom w:val="single" w:sz="6" w:space="0" w:color="auto"/>
              <w:right w:val="single" w:sz="6" w:space="0" w:color="auto"/>
            </w:tcBorders>
            <w:shd w:val="clear" w:color="auto" w:fill="D9D9D9"/>
            <w:hideMark/>
          </w:tcPr>
          <w:p w:rsidR="009A70FB" w:rsidRPr="0075789D" w:rsidRDefault="009A70FB" w:rsidP="009A70FB">
            <w:pPr>
              <w:jc w:val="right"/>
              <w:rPr>
                <w:rFonts w:cs="Arial"/>
                <w:lang w:val="es-419"/>
              </w:rPr>
            </w:pPr>
            <w:r w:rsidRPr="0075789D">
              <w:rPr>
                <w:lang w:val="es-419"/>
              </w:rPr>
              <w:t>207</w:t>
            </w:r>
          </w:p>
        </w:tc>
      </w:tr>
      <w:tr w:rsidR="009A70FB" w:rsidRPr="0075789D" w:rsidTr="009A70FB">
        <w:tc>
          <w:tcPr>
            <w:tcW w:w="1552" w:type="dxa"/>
            <w:tcBorders>
              <w:top w:val="single" w:sz="6" w:space="0" w:color="auto"/>
              <w:left w:val="single" w:sz="6" w:space="0" w:color="auto"/>
              <w:bottom w:val="nil"/>
              <w:right w:val="single" w:sz="12" w:space="0" w:color="auto"/>
            </w:tcBorders>
            <w:hideMark/>
          </w:tcPr>
          <w:p w:rsidR="009A70FB" w:rsidRPr="0075789D" w:rsidRDefault="009A70FB" w:rsidP="004D1E3E">
            <w:pPr>
              <w:rPr>
                <w:rFonts w:cs="Arial"/>
                <w:lang w:val="es-419"/>
              </w:rPr>
            </w:pPr>
            <w:r w:rsidRPr="0075789D">
              <w:rPr>
                <w:lang w:val="es-419"/>
              </w:rPr>
              <w:t>Ornamentales</w:t>
            </w:r>
          </w:p>
        </w:tc>
        <w:tc>
          <w:tcPr>
            <w:tcW w:w="992" w:type="dxa"/>
            <w:tcBorders>
              <w:top w:val="single" w:sz="6" w:space="0" w:color="auto"/>
              <w:left w:val="nil"/>
              <w:bottom w:val="nil"/>
              <w:right w:val="single" w:sz="6" w:space="0" w:color="auto"/>
            </w:tcBorders>
            <w:hideMark/>
          </w:tcPr>
          <w:p w:rsidR="009A70FB" w:rsidRPr="0075789D" w:rsidRDefault="009A70FB" w:rsidP="009A70FB">
            <w:pPr>
              <w:jc w:val="right"/>
              <w:rPr>
                <w:rFonts w:cs="Arial"/>
                <w:lang w:val="es-419"/>
              </w:rPr>
            </w:pPr>
            <w:r w:rsidRPr="0075789D">
              <w:rPr>
                <w:lang w:val="es-419"/>
              </w:rPr>
              <w:t>18</w:t>
            </w:r>
          </w:p>
        </w:tc>
        <w:tc>
          <w:tcPr>
            <w:tcW w:w="992" w:type="dxa"/>
            <w:tcBorders>
              <w:top w:val="single" w:sz="6" w:space="0" w:color="auto"/>
              <w:left w:val="single" w:sz="6" w:space="0" w:color="auto"/>
              <w:bottom w:val="nil"/>
              <w:right w:val="single" w:sz="6" w:space="0" w:color="auto"/>
            </w:tcBorders>
            <w:hideMark/>
          </w:tcPr>
          <w:p w:rsidR="009A70FB" w:rsidRPr="0075789D" w:rsidRDefault="009A70FB" w:rsidP="009A70FB">
            <w:pPr>
              <w:jc w:val="right"/>
              <w:rPr>
                <w:rFonts w:cs="Arial"/>
                <w:lang w:val="es-419"/>
              </w:rPr>
            </w:pPr>
            <w:r w:rsidRPr="0075789D">
              <w:rPr>
                <w:lang w:val="es-419"/>
              </w:rPr>
              <w:t>22</w:t>
            </w:r>
          </w:p>
        </w:tc>
        <w:tc>
          <w:tcPr>
            <w:tcW w:w="698" w:type="dxa"/>
            <w:tcBorders>
              <w:top w:val="single" w:sz="6" w:space="0" w:color="auto"/>
              <w:left w:val="single" w:sz="6" w:space="0" w:color="auto"/>
              <w:bottom w:val="nil"/>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40</w:t>
            </w:r>
          </w:p>
        </w:tc>
        <w:tc>
          <w:tcPr>
            <w:tcW w:w="1003" w:type="dxa"/>
            <w:tcBorders>
              <w:top w:val="single" w:sz="6" w:space="0" w:color="auto"/>
              <w:left w:val="nil"/>
              <w:bottom w:val="nil"/>
              <w:right w:val="single" w:sz="6" w:space="0" w:color="auto"/>
            </w:tcBorders>
            <w:hideMark/>
          </w:tcPr>
          <w:p w:rsidR="009A70FB" w:rsidRPr="0075789D" w:rsidRDefault="009A70FB" w:rsidP="009A70FB">
            <w:pPr>
              <w:jc w:val="right"/>
              <w:rPr>
                <w:rFonts w:cs="Arial"/>
                <w:lang w:val="es-419"/>
              </w:rPr>
            </w:pPr>
            <w:r w:rsidRPr="0075789D">
              <w:rPr>
                <w:lang w:val="es-419"/>
              </w:rPr>
              <w:t>16</w:t>
            </w:r>
          </w:p>
        </w:tc>
        <w:tc>
          <w:tcPr>
            <w:tcW w:w="992" w:type="dxa"/>
            <w:tcBorders>
              <w:top w:val="single" w:sz="6" w:space="0" w:color="auto"/>
              <w:left w:val="single" w:sz="6" w:space="0" w:color="auto"/>
              <w:bottom w:val="nil"/>
              <w:right w:val="single" w:sz="6" w:space="0" w:color="auto"/>
            </w:tcBorders>
            <w:hideMark/>
          </w:tcPr>
          <w:p w:rsidR="009A70FB" w:rsidRPr="0075789D" w:rsidRDefault="009A70FB" w:rsidP="009A70FB">
            <w:pPr>
              <w:jc w:val="right"/>
              <w:rPr>
                <w:rFonts w:cs="Arial"/>
                <w:lang w:val="es-419"/>
              </w:rPr>
            </w:pPr>
            <w:r w:rsidRPr="0075789D">
              <w:rPr>
                <w:lang w:val="es-419"/>
              </w:rPr>
              <w:t>3</w:t>
            </w:r>
          </w:p>
        </w:tc>
        <w:tc>
          <w:tcPr>
            <w:tcW w:w="687" w:type="dxa"/>
            <w:tcBorders>
              <w:top w:val="single" w:sz="6" w:space="0" w:color="auto"/>
              <w:left w:val="single" w:sz="6" w:space="0" w:color="auto"/>
              <w:bottom w:val="nil"/>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19</w:t>
            </w:r>
          </w:p>
        </w:tc>
        <w:tc>
          <w:tcPr>
            <w:tcW w:w="1347" w:type="dxa"/>
            <w:tcBorders>
              <w:top w:val="single" w:sz="6" w:space="0" w:color="auto"/>
              <w:left w:val="nil"/>
              <w:bottom w:val="nil"/>
              <w:right w:val="single" w:sz="12" w:space="0" w:color="auto"/>
            </w:tcBorders>
            <w:hideMark/>
          </w:tcPr>
          <w:p w:rsidR="009A70FB" w:rsidRPr="0075789D" w:rsidRDefault="009A70FB" w:rsidP="009A70FB">
            <w:pPr>
              <w:jc w:val="right"/>
              <w:rPr>
                <w:rFonts w:cs="Arial"/>
                <w:lang w:val="es-419"/>
              </w:rPr>
            </w:pPr>
            <w:r w:rsidRPr="0075789D">
              <w:rPr>
                <w:lang w:val="es-419"/>
              </w:rPr>
              <w:t>12</w:t>
            </w:r>
          </w:p>
        </w:tc>
        <w:tc>
          <w:tcPr>
            <w:tcW w:w="1347" w:type="dxa"/>
            <w:tcBorders>
              <w:top w:val="single" w:sz="6" w:space="0" w:color="auto"/>
              <w:left w:val="nil"/>
              <w:bottom w:val="nil"/>
              <w:right w:val="single" w:sz="6" w:space="0" w:color="auto"/>
            </w:tcBorders>
            <w:shd w:val="clear" w:color="auto" w:fill="D9D9D9"/>
            <w:hideMark/>
          </w:tcPr>
          <w:p w:rsidR="009A70FB" w:rsidRPr="0075789D" w:rsidRDefault="009A70FB" w:rsidP="009A70FB">
            <w:pPr>
              <w:jc w:val="right"/>
              <w:rPr>
                <w:rFonts w:cs="Arial"/>
                <w:lang w:val="es-419"/>
              </w:rPr>
            </w:pPr>
            <w:r w:rsidRPr="0075789D">
              <w:rPr>
                <w:lang w:val="es-419"/>
              </w:rPr>
              <w:t>260</w:t>
            </w:r>
          </w:p>
        </w:tc>
      </w:tr>
      <w:tr w:rsidR="009A70FB" w:rsidRPr="0075789D" w:rsidTr="009A70FB">
        <w:tc>
          <w:tcPr>
            <w:tcW w:w="1552" w:type="dxa"/>
            <w:tcBorders>
              <w:top w:val="single" w:sz="6" w:space="0" w:color="auto"/>
              <w:left w:val="single" w:sz="6" w:space="0" w:color="auto"/>
              <w:bottom w:val="nil"/>
              <w:right w:val="single" w:sz="12" w:space="0" w:color="auto"/>
            </w:tcBorders>
            <w:hideMark/>
          </w:tcPr>
          <w:p w:rsidR="009A70FB" w:rsidRPr="0075789D" w:rsidRDefault="009A70FB" w:rsidP="004D1E3E">
            <w:pPr>
              <w:rPr>
                <w:rFonts w:cs="Arial"/>
                <w:lang w:val="es-419"/>
              </w:rPr>
            </w:pPr>
            <w:r w:rsidRPr="0075789D">
              <w:rPr>
                <w:lang w:val="es-419"/>
              </w:rPr>
              <w:t>Frutales</w:t>
            </w:r>
          </w:p>
        </w:tc>
        <w:tc>
          <w:tcPr>
            <w:tcW w:w="992" w:type="dxa"/>
            <w:tcBorders>
              <w:top w:val="single" w:sz="6" w:space="0" w:color="auto"/>
              <w:left w:val="nil"/>
              <w:bottom w:val="nil"/>
              <w:right w:val="single" w:sz="6" w:space="0" w:color="auto"/>
            </w:tcBorders>
            <w:hideMark/>
          </w:tcPr>
          <w:p w:rsidR="009A70FB" w:rsidRPr="0075789D" w:rsidRDefault="009A70FB" w:rsidP="009A70FB">
            <w:pPr>
              <w:jc w:val="right"/>
              <w:rPr>
                <w:rFonts w:cs="Arial"/>
                <w:lang w:val="es-419"/>
              </w:rPr>
            </w:pPr>
            <w:r w:rsidRPr="0075789D">
              <w:rPr>
                <w:lang w:val="es-419"/>
              </w:rPr>
              <w:t>3</w:t>
            </w:r>
          </w:p>
        </w:tc>
        <w:tc>
          <w:tcPr>
            <w:tcW w:w="992" w:type="dxa"/>
            <w:tcBorders>
              <w:top w:val="single" w:sz="6" w:space="0" w:color="auto"/>
              <w:left w:val="single" w:sz="6" w:space="0" w:color="auto"/>
              <w:bottom w:val="nil"/>
              <w:right w:val="single" w:sz="6" w:space="0" w:color="auto"/>
            </w:tcBorders>
            <w:hideMark/>
          </w:tcPr>
          <w:p w:rsidR="009A70FB" w:rsidRPr="0075789D" w:rsidRDefault="009A70FB" w:rsidP="009A70FB">
            <w:pPr>
              <w:jc w:val="right"/>
              <w:rPr>
                <w:rFonts w:cs="Arial"/>
                <w:lang w:val="es-419"/>
              </w:rPr>
            </w:pPr>
            <w:r w:rsidRPr="0075789D">
              <w:rPr>
                <w:lang w:val="es-419"/>
              </w:rPr>
              <w:t>1</w:t>
            </w:r>
          </w:p>
        </w:tc>
        <w:tc>
          <w:tcPr>
            <w:tcW w:w="698" w:type="dxa"/>
            <w:tcBorders>
              <w:top w:val="single" w:sz="6" w:space="0" w:color="auto"/>
              <w:left w:val="single" w:sz="6" w:space="0" w:color="auto"/>
              <w:bottom w:val="nil"/>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4</w:t>
            </w:r>
          </w:p>
        </w:tc>
        <w:tc>
          <w:tcPr>
            <w:tcW w:w="1003" w:type="dxa"/>
            <w:tcBorders>
              <w:top w:val="single" w:sz="6" w:space="0" w:color="auto"/>
              <w:left w:val="nil"/>
              <w:bottom w:val="nil"/>
              <w:right w:val="single" w:sz="6" w:space="0" w:color="auto"/>
            </w:tcBorders>
            <w:hideMark/>
          </w:tcPr>
          <w:p w:rsidR="009A70FB" w:rsidRPr="0075789D" w:rsidRDefault="009A70FB" w:rsidP="009A70FB">
            <w:pPr>
              <w:jc w:val="right"/>
              <w:rPr>
                <w:rFonts w:cs="Arial"/>
                <w:lang w:val="es-419"/>
              </w:rPr>
            </w:pPr>
            <w:r w:rsidRPr="0075789D">
              <w:rPr>
                <w:lang w:val="es-419"/>
              </w:rPr>
              <w:t>10</w:t>
            </w:r>
          </w:p>
        </w:tc>
        <w:tc>
          <w:tcPr>
            <w:tcW w:w="992" w:type="dxa"/>
            <w:tcBorders>
              <w:top w:val="single" w:sz="6" w:space="0" w:color="auto"/>
              <w:left w:val="single" w:sz="6" w:space="0" w:color="auto"/>
              <w:bottom w:val="nil"/>
              <w:right w:val="single" w:sz="6" w:space="0" w:color="auto"/>
            </w:tcBorders>
            <w:hideMark/>
          </w:tcPr>
          <w:p w:rsidR="009A70FB" w:rsidRPr="0075789D" w:rsidRDefault="009A70FB" w:rsidP="009A70FB">
            <w:pPr>
              <w:jc w:val="right"/>
              <w:rPr>
                <w:rFonts w:cs="Arial"/>
                <w:lang w:val="es-419"/>
              </w:rPr>
            </w:pPr>
            <w:r w:rsidRPr="0075789D">
              <w:rPr>
                <w:lang w:val="es-419"/>
              </w:rPr>
              <w:t>1</w:t>
            </w:r>
          </w:p>
        </w:tc>
        <w:tc>
          <w:tcPr>
            <w:tcW w:w="687" w:type="dxa"/>
            <w:tcBorders>
              <w:top w:val="single" w:sz="6" w:space="0" w:color="auto"/>
              <w:left w:val="single" w:sz="6" w:space="0" w:color="auto"/>
              <w:bottom w:val="nil"/>
              <w:right w:val="single" w:sz="12" w:space="0" w:color="auto"/>
            </w:tcBorders>
            <w:shd w:val="clear" w:color="auto" w:fill="D9D9D9"/>
            <w:hideMark/>
          </w:tcPr>
          <w:p w:rsidR="009A70FB" w:rsidRPr="0075789D" w:rsidRDefault="009A70FB" w:rsidP="009A70FB">
            <w:pPr>
              <w:jc w:val="right"/>
              <w:rPr>
                <w:rFonts w:cs="Arial"/>
                <w:lang w:val="es-419"/>
              </w:rPr>
            </w:pPr>
            <w:r w:rsidRPr="0075789D">
              <w:rPr>
                <w:lang w:val="es-419"/>
              </w:rPr>
              <w:t>11</w:t>
            </w:r>
          </w:p>
        </w:tc>
        <w:tc>
          <w:tcPr>
            <w:tcW w:w="1347" w:type="dxa"/>
            <w:tcBorders>
              <w:top w:val="single" w:sz="6" w:space="0" w:color="auto"/>
              <w:left w:val="nil"/>
              <w:bottom w:val="nil"/>
              <w:right w:val="single" w:sz="12" w:space="0" w:color="auto"/>
            </w:tcBorders>
            <w:hideMark/>
          </w:tcPr>
          <w:p w:rsidR="009A70FB" w:rsidRPr="0075789D" w:rsidRDefault="009A70FB" w:rsidP="009A70FB">
            <w:pPr>
              <w:jc w:val="right"/>
              <w:rPr>
                <w:rFonts w:cs="Arial"/>
                <w:lang w:val="es-419"/>
              </w:rPr>
            </w:pPr>
            <w:r w:rsidRPr="0075789D">
              <w:rPr>
                <w:lang w:val="es-419"/>
              </w:rPr>
              <w:t>6</w:t>
            </w:r>
          </w:p>
        </w:tc>
        <w:tc>
          <w:tcPr>
            <w:tcW w:w="1347" w:type="dxa"/>
            <w:tcBorders>
              <w:top w:val="single" w:sz="6" w:space="0" w:color="auto"/>
              <w:left w:val="nil"/>
              <w:bottom w:val="nil"/>
              <w:right w:val="single" w:sz="6" w:space="0" w:color="auto"/>
            </w:tcBorders>
            <w:shd w:val="clear" w:color="auto" w:fill="D9D9D9"/>
            <w:hideMark/>
          </w:tcPr>
          <w:p w:rsidR="009A70FB" w:rsidRPr="0075789D" w:rsidRDefault="009A70FB" w:rsidP="009A70FB">
            <w:pPr>
              <w:jc w:val="right"/>
              <w:rPr>
                <w:rFonts w:cs="Arial"/>
                <w:lang w:val="es-419"/>
              </w:rPr>
            </w:pPr>
            <w:r w:rsidRPr="0075789D">
              <w:rPr>
                <w:lang w:val="es-419"/>
              </w:rPr>
              <w:t>124</w:t>
            </w:r>
          </w:p>
        </w:tc>
      </w:tr>
      <w:tr w:rsidR="009A70FB" w:rsidRPr="0075789D" w:rsidTr="009A70FB">
        <w:tc>
          <w:tcPr>
            <w:tcW w:w="1552" w:type="dxa"/>
            <w:tcBorders>
              <w:top w:val="single" w:sz="12" w:space="0" w:color="auto"/>
              <w:left w:val="single" w:sz="6" w:space="0" w:color="auto"/>
              <w:bottom w:val="single" w:sz="6" w:space="0" w:color="auto"/>
              <w:right w:val="single" w:sz="12" w:space="0" w:color="auto"/>
            </w:tcBorders>
            <w:shd w:val="clear" w:color="auto" w:fill="FFFFFF"/>
            <w:hideMark/>
          </w:tcPr>
          <w:p w:rsidR="009A70FB" w:rsidRPr="0075789D" w:rsidRDefault="009A70FB" w:rsidP="004D1E3E">
            <w:pPr>
              <w:rPr>
                <w:rFonts w:cs="Arial"/>
                <w:lang w:val="es-419"/>
              </w:rPr>
            </w:pPr>
            <w:r w:rsidRPr="0075789D">
              <w:rPr>
                <w:b/>
                <w:lang w:val="es-419"/>
              </w:rPr>
              <w:t>Total</w:t>
            </w:r>
          </w:p>
        </w:tc>
        <w:tc>
          <w:tcPr>
            <w:tcW w:w="992" w:type="dxa"/>
            <w:tcBorders>
              <w:top w:val="single" w:sz="12" w:space="0" w:color="auto"/>
              <w:left w:val="nil"/>
              <w:bottom w:val="single" w:sz="6" w:space="0" w:color="auto"/>
              <w:right w:val="single" w:sz="6" w:space="0" w:color="auto"/>
            </w:tcBorders>
            <w:shd w:val="clear" w:color="auto" w:fill="D9D9D9"/>
            <w:hideMark/>
          </w:tcPr>
          <w:p w:rsidR="009A70FB" w:rsidRPr="0075789D" w:rsidRDefault="009A70FB" w:rsidP="009A70FB">
            <w:pPr>
              <w:jc w:val="right"/>
              <w:rPr>
                <w:rFonts w:cs="Arial"/>
                <w:b/>
                <w:lang w:val="es-419"/>
              </w:rPr>
            </w:pPr>
            <w:r w:rsidRPr="0075789D">
              <w:rPr>
                <w:b/>
                <w:lang w:val="es-419"/>
              </w:rPr>
              <w:t>55</w:t>
            </w:r>
          </w:p>
        </w:tc>
        <w:tc>
          <w:tcPr>
            <w:tcW w:w="992" w:type="dxa"/>
            <w:tcBorders>
              <w:top w:val="single" w:sz="12" w:space="0" w:color="auto"/>
              <w:left w:val="single" w:sz="6" w:space="0" w:color="auto"/>
              <w:bottom w:val="single" w:sz="6" w:space="0" w:color="auto"/>
              <w:right w:val="single" w:sz="6" w:space="0" w:color="auto"/>
            </w:tcBorders>
            <w:shd w:val="clear" w:color="auto" w:fill="D9D9D9"/>
            <w:hideMark/>
          </w:tcPr>
          <w:p w:rsidR="009A70FB" w:rsidRPr="0075789D" w:rsidRDefault="009A70FB" w:rsidP="009A70FB">
            <w:pPr>
              <w:jc w:val="right"/>
              <w:rPr>
                <w:rFonts w:cs="Arial"/>
                <w:b/>
                <w:lang w:val="es-419"/>
              </w:rPr>
            </w:pPr>
            <w:r w:rsidRPr="0075789D">
              <w:rPr>
                <w:b/>
                <w:lang w:val="es-419"/>
              </w:rPr>
              <w:t>23</w:t>
            </w:r>
          </w:p>
        </w:tc>
        <w:tc>
          <w:tcPr>
            <w:tcW w:w="698" w:type="dxa"/>
            <w:tcBorders>
              <w:top w:val="single" w:sz="12"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b/>
                <w:lang w:val="es-419"/>
              </w:rPr>
            </w:pPr>
            <w:r w:rsidRPr="0075789D">
              <w:rPr>
                <w:b/>
                <w:lang w:val="es-419"/>
              </w:rPr>
              <w:t>78</w:t>
            </w:r>
          </w:p>
        </w:tc>
        <w:tc>
          <w:tcPr>
            <w:tcW w:w="1003" w:type="dxa"/>
            <w:tcBorders>
              <w:top w:val="single" w:sz="12" w:space="0" w:color="auto"/>
              <w:left w:val="nil"/>
              <w:bottom w:val="single" w:sz="6" w:space="0" w:color="auto"/>
              <w:right w:val="single" w:sz="6" w:space="0" w:color="auto"/>
            </w:tcBorders>
            <w:shd w:val="clear" w:color="auto" w:fill="D9D9D9"/>
            <w:hideMark/>
          </w:tcPr>
          <w:p w:rsidR="009A70FB" w:rsidRPr="0075789D" w:rsidRDefault="009A70FB" w:rsidP="009A70FB">
            <w:pPr>
              <w:jc w:val="right"/>
              <w:rPr>
                <w:rFonts w:cs="Arial"/>
                <w:b/>
                <w:lang w:val="es-419"/>
              </w:rPr>
            </w:pPr>
            <w:r w:rsidRPr="0075789D">
              <w:rPr>
                <w:b/>
                <w:lang w:val="es-419"/>
              </w:rPr>
              <w:t>59</w:t>
            </w:r>
          </w:p>
        </w:tc>
        <w:tc>
          <w:tcPr>
            <w:tcW w:w="992" w:type="dxa"/>
            <w:tcBorders>
              <w:top w:val="single" w:sz="12" w:space="0" w:color="auto"/>
              <w:left w:val="single" w:sz="6" w:space="0" w:color="auto"/>
              <w:bottom w:val="single" w:sz="6" w:space="0" w:color="auto"/>
              <w:right w:val="single" w:sz="6" w:space="0" w:color="auto"/>
            </w:tcBorders>
            <w:shd w:val="clear" w:color="auto" w:fill="D9D9D9"/>
            <w:hideMark/>
          </w:tcPr>
          <w:p w:rsidR="009A70FB" w:rsidRPr="0075789D" w:rsidRDefault="009A70FB" w:rsidP="009A70FB">
            <w:pPr>
              <w:jc w:val="right"/>
              <w:rPr>
                <w:rFonts w:cs="Arial"/>
                <w:b/>
                <w:lang w:val="es-419"/>
              </w:rPr>
            </w:pPr>
            <w:r w:rsidRPr="0075789D">
              <w:rPr>
                <w:b/>
                <w:lang w:val="es-419"/>
              </w:rPr>
              <w:t>6</w:t>
            </w:r>
          </w:p>
        </w:tc>
        <w:tc>
          <w:tcPr>
            <w:tcW w:w="687" w:type="dxa"/>
            <w:tcBorders>
              <w:top w:val="single" w:sz="12" w:space="0" w:color="auto"/>
              <w:left w:val="single" w:sz="6" w:space="0" w:color="auto"/>
              <w:bottom w:val="single" w:sz="6" w:space="0" w:color="auto"/>
              <w:right w:val="single" w:sz="12" w:space="0" w:color="auto"/>
            </w:tcBorders>
            <w:shd w:val="clear" w:color="auto" w:fill="D9D9D9"/>
            <w:hideMark/>
          </w:tcPr>
          <w:p w:rsidR="009A70FB" w:rsidRPr="0075789D" w:rsidRDefault="009A70FB" w:rsidP="009A70FB">
            <w:pPr>
              <w:jc w:val="right"/>
              <w:rPr>
                <w:rFonts w:cs="Arial"/>
                <w:b/>
                <w:lang w:val="es-419"/>
              </w:rPr>
            </w:pPr>
            <w:r w:rsidRPr="0075789D">
              <w:rPr>
                <w:b/>
                <w:lang w:val="es-419"/>
              </w:rPr>
              <w:t>65</w:t>
            </w:r>
          </w:p>
        </w:tc>
        <w:tc>
          <w:tcPr>
            <w:tcW w:w="1347" w:type="dxa"/>
            <w:tcBorders>
              <w:top w:val="single" w:sz="12" w:space="0" w:color="auto"/>
              <w:left w:val="nil"/>
              <w:bottom w:val="single" w:sz="6" w:space="0" w:color="auto"/>
              <w:right w:val="single" w:sz="12" w:space="0" w:color="auto"/>
            </w:tcBorders>
            <w:shd w:val="clear" w:color="auto" w:fill="D9D9D9"/>
            <w:hideMark/>
          </w:tcPr>
          <w:p w:rsidR="009A70FB" w:rsidRPr="0075789D" w:rsidRDefault="009A70FB" w:rsidP="009A70FB">
            <w:pPr>
              <w:jc w:val="right"/>
              <w:rPr>
                <w:rFonts w:cs="Arial"/>
                <w:b/>
                <w:lang w:val="es-419"/>
              </w:rPr>
            </w:pPr>
            <w:r w:rsidRPr="0075789D">
              <w:rPr>
                <w:b/>
                <w:lang w:val="es-419"/>
              </w:rPr>
              <w:t>52</w:t>
            </w:r>
          </w:p>
        </w:tc>
        <w:tc>
          <w:tcPr>
            <w:tcW w:w="1347" w:type="dxa"/>
            <w:tcBorders>
              <w:top w:val="single" w:sz="12" w:space="0" w:color="auto"/>
              <w:left w:val="nil"/>
              <w:bottom w:val="single" w:sz="6" w:space="0" w:color="auto"/>
              <w:right w:val="single" w:sz="6" w:space="0" w:color="auto"/>
            </w:tcBorders>
            <w:shd w:val="clear" w:color="auto" w:fill="D9D9D9"/>
            <w:hideMark/>
          </w:tcPr>
          <w:p w:rsidR="009A70FB" w:rsidRPr="0075789D" w:rsidRDefault="009A70FB" w:rsidP="009A70FB">
            <w:pPr>
              <w:jc w:val="right"/>
              <w:rPr>
                <w:rFonts w:cs="Arial"/>
                <w:b/>
                <w:lang w:val="es-419"/>
              </w:rPr>
            </w:pPr>
            <w:r w:rsidRPr="0075789D">
              <w:rPr>
                <w:b/>
                <w:lang w:val="es-419"/>
              </w:rPr>
              <w:t>1326</w:t>
            </w:r>
          </w:p>
        </w:tc>
      </w:tr>
    </w:tbl>
    <w:p w:rsidR="009A70FB" w:rsidRPr="0075789D" w:rsidRDefault="009A70FB" w:rsidP="009A70FB">
      <w:pPr>
        <w:rPr>
          <w:rFonts w:cs="Arial"/>
          <w:u w:val="single"/>
          <w:lang w:val="es-419"/>
        </w:rPr>
      </w:pPr>
    </w:p>
    <w:p w:rsidR="009A70FB" w:rsidRPr="0075789D" w:rsidRDefault="009A70FB" w:rsidP="009A70FB">
      <w:pPr>
        <w:rPr>
          <w:rFonts w:cs="Arial"/>
          <w:u w:val="single"/>
          <w:lang w:val="es-419"/>
        </w:rPr>
      </w:pPr>
    </w:p>
    <w:p w:rsidR="009A70FB" w:rsidRPr="0075789D" w:rsidRDefault="009A70FB" w:rsidP="009A70FB">
      <w:pPr>
        <w:keepNext/>
        <w:rPr>
          <w:rFonts w:cs="Arial"/>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9A70FB" w:rsidRPr="0075789D" w:rsidRDefault="009A70FB" w:rsidP="009A70FB">
      <w:pPr>
        <w:keepNext/>
        <w:rPr>
          <w:rFonts w:cs="Arial"/>
          <w:lang w:val="es-419"/>
        </w:rPr>
      </w:pPr>
    </w:p>
    <w:p w:rsidR="009A70FB" w:rsidRPr="0075789D" w:rsidRDefault="009A70FB" w:rsidP="009A70FB">
      <w:pPr>
        <w:rPr>
          <w:rFonts w:cs="Arial"/>
          <w:lang w:val="es-419"/>
        </w:rPr>
      </w:pPr>
      <w:r w:rsidRPr="0075789D">
        <w:rPr>
          <w:lang w:val="es-419"/>
        </w:rPr>
        <w:t xml:space="preserve">Los representantes de Polonia participan de manera habitual en las reuniones o sesiones de los órganos de la UPOV y en los Grupos de Trabajo Técnico. </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Asimismo, representantes de Polonia participan en las reuniones del Comité Permanente sobre protección comunitaria de las obtenciones vegetales de la Dirección General de Salud y Seguridad Alimentaria de la Comisión Europea (DG SANTE), en Bruselas, y en el Consejo de Administración de la OCVV.</w:t>
      </w:r>
    </w:p>
    <w:p w:rsidR="009A70FB" w:rsidRPr="0075789D" w:rsidRDefault="009A70FB" w:rsidP="009A70FB">
      <w:pPr>
        <w:rPr>
          <w:rFonts w:cs="Arial"/>
          <w:lang w:val="es-419"/>
        </w:rPr>
      </w:pPr>
    </w:p>
    <w:p w:rsidR="009A70FB" w:rsidRPr="0075789D" w:rsidRDefault="009A70FB" w:rsidP="009A70FB">
      <w:pPr>
        <w:rPr>
          <w:rFonts w:cs="Arial"/>
          <w:color w:val="000000" w:themeColor="text1"/>
          <w:lang w:val="es-419"/>
        </w:rPr>
      </w:pPr>
      <w:r w:rsidRPr="0075789D">
        <w:rPr>
          <w:color w:val="000000" w:themeColor="text1"/>
          <w:lang w:val="es-419"/>
        </w:rPr>
        <w:t xml:space="preserve">Durante el período objeto del informe, dos expertos del COBORU y un examinador DHE completaron satisfactoriamente el curso de la UPOV de enseñanza a distancia “Introducción al sistema de la UPOV de protección de las variedades vegetales en virtud del Convenio de la UPOV” (DL-205). </w:t>
      </w:r>
    </w:p>
    <w:p w:rsidR="009A70FB" w:rsidRPr="0075789D" w:rsidRDefault="009A70FB" w:rsidP="009A70FB">
      <w:pPr>
        <w:rPr>
          <w:rFonts w:cs="Arial"/>
          <w:lang w:val="es-419"/>
        </w:rPr>
      </w:pPr>
    </w:p>
    <w:p w:rsidR="009A70FB" w:rsidRPr="0075789D" w:rsidRDefault="009A70FB" w:rsidP="009A70FB">
      <w:pPr>
        <w:rPr>
          <w:rFonts w:cs="Arial"/>
          <w:i/>
          <w:iCs/>
          <w:lang w:val="es-419"/>
        </w:rPr>
      </w:pPr>
      <w:r w:rsidRPr="0075789D">
        <w:rPr>
          <w:i/>
          <w:lang w:val="es-419"/>
        </w:rPr>
        <w:t>Publicaciones</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 xml:space="preserve">El COBORU publica cada dos meses el boletín </w:t>
      </w:r>
      <w:proofErr w:type="spellStart"/>
      <w:r w:rsidRPr="0075789D">
        <w:rPr>
          <w:lang w:val="es-419"/>
        </w:rPr>
        <w:t>Diariusz</w:t>
      </w:r>
      <w:proofErr w:type="spellEnd"/>
      <w:r w:rsidRPr="0075789D">
        <w:rPr>
          <w:lang w:val="es-419"/>
        </w:rPr>
        <w:t xml:space="preserve"> (Gaceta Oficial y Lista Nacional de Derechos de Obtentor), que contiene información detallada sobre la protección de los derechos de obtentor nacionales y los sistemas de listas nacionales. </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La lista de obtenciones protegidas por títulos nacionales de obtentor (que incluye las sujetas a derechos de obtentor provisionales) a fecha de 30 de junio de 2022 se publicó en el tercer número de la Gaceta Oficial y Lista Nacional de Derechos de Obtentor (N.º 3(170)2022).</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 xml:space="preserve">La Gaceta Oficial también se publica en el apartado “Publicaciones” de nuestro sitio web. </w:t>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 xml:space="preserve">Además, el COBORU mantiene y actualiza regularmente el sitio web </w:t>
      </w:r>
      <w:hyperlink r:id="rId33" w:history="1">
        <w:r w:rsidRPr="0075789D">
          <w:rPr>
            <w:rStyle w:val="Hyperlink"/>
            <w:lang w:val="es-419"/>
          </w:rPr>
          <w:t>www.coboru.gov.pl</w:t>
        </w:r>
      </w:hyperlink>
      <w:r w:rsidRPr="0075789D">
        <w:rPr>
          <w:lang w:val="es-419"/>
        </w:rPr>
        <w:t>, que contiene información oficial sobre asuntos relativos a la protección de las obtenciones vegetales en Polonia.</w:t>
      </w:r>
    </w:p>
    <w:p w:rsidR="009A70FB" w:rsidRPr="0075789D" w:rsidRDefault="009A70FB" w:rsidP="009A70FB">
      <w:pPr>
        <w:jc w:val="left"/>
        <w:rPr>
          <w:rFonts w:cs="Arial"/>
          <w:lang w:val="es-419"/>
        </w:rPr>
      </w:pPr>
      <w:r w:rsidRPr="0075789D">
        <w:rPr>
          <w:rFonts w:cs="Arial"/>
          <w:lang w:val="es-419"/>
        </w:rPr>
        <w:br w:type="page"/>
      </w:r>
    </w:p>
    <w:p w:rsidR="009A70FB" w:rsidRPr="0075789D" w:rsidRDefault="009A70FB" w:rsidP="009A70FB">
      <w:pPr>
        <w:rPr>
          <w:rFonts w:cs="Arial"/>
          <w:lang w:val="es-419"/>
        </w:rPr>
      </w:pPr>
    </w:p>
    <w:p w:rsidR="009A70FB" w:rsidRPr="0075789D" w:rsidRDefault="009A70FB" w:rsidP="009A70FB">
      <w:pPr>
        <w:rPr>
          <w:rFonts w:cs="Arial"/>
          <w:lang w:val="es-419"/>
        </w:rPr>
      </w:pPr>
      <w:r w:rsidRPr="0075789D">
        <w:rPr>
          <w:lang w:val="es-419"/>
        </w:rPr>
        <w:t>Durante el período objeto del informe, el COBORU participó en las actividades promocionales siguientes:</w:t>
      </w:r>
    </w:p>
    <w:p w:rsidR="009A70FB" w:rsidRPr="0075789D" w:rsidRDefault="009A70FB" w:rsidP="009A70FB">
      <w:pPr>
        <w:rPr>
          <w:rFonts w:cs="Arial"/>
          <w:color w:val="000000"/>
          <w:lang w:val="es-419"/>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91"/>
        <w:gridCol w:w="1276"/>
        <w:gridCol w:w="1276"/>
        <w:gridCol w:w="1559"/>
        <w:gridCol w:w="2126"/>
        <w:gridCol w:w="2127"/>
      </w:tblGrid>
      <w:tr w:rsidR="009A70FB" w:rsidRPr="0075789D" w:rsidTr="005B2D5C">
        <w:trPr>
          <w:tblHeader/>
        </w:trPr>
        <w:tc>
          <w:tcPr>
            <w:tcW w:w="1691" w:type="dxa"/>
            <w:hideMark/>
          </w:tcPr>
          <w:p w:rsidR="009A70FB" w:rsidRPr="0075789D" w:rsidRDefault="009A70FB" w:rsidP="004D1E3E">
            <w:pPr>
              <w:jc w:val="left"/>
              <w:rPr>
                <w:rFonts w:cs="Arial"/>
                <w:sz w:val="16"/>
                <w:szCs w:val="18"/>
                <w:lang w:val="es-419"/>
              </w:rPr>
            </w:pPr>
            <w:r w:rsidRPr="0075789D">
              <w:rPr>
                <w:sz w:val="16"/>
                <w:lang w:val="es-419"/>
              </w:rPr>
              <w:t>Título de la actividad</w:t>
            </w:r>
          </w:p>
        </w:tc>
        <w:tc>
          <w:tcPr>
            <w:tcW w:w="1276" w:type="dxa"/>
            <w:hideMark/>
          </w:tcPr>
          <w:p w:rsidR="009A70FB" w:rsidRPr="0075789D" w:rsidRDefault="009A70FB" w:rsidP="004D1E3E">
            <w:pPr>
              <w:jc w:val="left"/>
              <w:rPr>
                <w:rFonts w:cs="Arial"/>
                <w:sz w:val="16"/>
                <w:szCs w:val="18"/>
                <w:lang w:val="es-419"/>
              </w:rPr>
            </w:pPr>
            <w:r w:rsidRPr="0075789D">
              <w:rPr>
                <w:sz w:val="16"/>
                <w:lang w:val="es-419"/>
              </w:rPr>
              <w:t>Fecha</w:t>
            </w:r>
          </w:p>
        </w:tc>
        <w:tc>
          <w:tcPr>
            <w:tcW w:w="1276" w:type="dxa"/>
            <w:hideMark/>
          </w:tcPr>
          <w:p w:rsidR="009A70FB" w:rsidRPr="0075789D" w:rsidRDefault="009A70FB" w:rsidP="004D1E3E">
            <w:pPr>
              <w:jc w:val="left"/>
              <w:rPr>
                <w:rFonts w:cs="Arial"/>
                <w:sz w:val="16"/>
                <w:szCs w:val="18"/>
                <w:lang w:val="es-419"/>
              </w:rPr>
            </w:pPr>
            <w:r w:rsidRPr="0075789D">
              <w:rPr>
                <w:sz w:val="16"/>
                <w:lang w:val="es-419"/>
              </w:rPr>
              <w:t>Lugar</w:t>
            </w:r>
          </w:p>
        </w:tc>
        <w:tc>
          <w:tcPr>
            <w:tcW w:w="1559" w:type="dxa"/>
            <w:hideMark/>
          </w:tcPr>
          <w:p w:rsidR="009A70FB" w:rsidRPr="0075789D" w:rsidRDefault="009A70FB" w:rsidP="004D1E3E">
            <w:pPr>
              <w:jc w:val="left"/>
              <w:rPr>
                <w:rFonts w:cs="Arial"/>
                <w:sz w:val="16"/>
                <w:szCs w:val="18"/>
                <w:lang w:val="es-419"/>
              </w:rPr>
            </w:pPr>
            <w:r w:rsidRPr="0075789D">
              <w:rPr>
                <w:sz w:val="16"/>
                <w:lang w:val="es-419"/>
              </w:rPr>
              <w:t>Organizador(es)</w:t>
            </w:r>
          </w:p>
        </w:tc>
        <w:tc>
          <w:tcPr>
            <w:tcW w:w="2126" w:type="dxa"/>
            <w:hideMark/>
          </w:tcPr>
          <w:p w:rsidR="009A70FB" w:rsidRPr="0075789D" w:rsidRDefault="009A70FB" w:rsidP="004D1E3E">
            <w:pPr>
              <w:jc w:val="left"/>
              <w:rPr>
                <w:rFonts w:cs="Arial"/>
                <w:sz w:val="16"/>
                <w:szCs w:val="18"/>
                <w:lang w:val="es-419"/>
              </w:rPr>
            </w:pPr>
            <w:r w:rsidRPr="0075789D">
              <w:rPr>
                <w:sz w:val="16"/>
                <w:lang w:val="es-419"/>
              </w:rPr>
              <w:t>Finalidad de la actividad</w:t>
            </w:r>
          </w:p>
        </w:tc>
        <w:tc>
          <w:tcPr>
            <w:tcW w:w="2127" w:type="dxa"/>
            <w:hideMark/>
          </w:tcPr>
          <w:p w:rsidR="009A70FB" w:rsidRPr="0075789D" w:rsidRDefault="009A70FB" w:rsidP="004D1E3E">
            <w:pPr>
              <w:jc w:val="left"/>
              <w:rPr>
                <w:rFonts w:cs="Arial"/>
                <w:sz w:val="16"/>
                <w:szCs w:val="18"/>
                <w:lang w:val="es-419"/>
              </w:rPr>
            </w:pPr>
            <w:r w:rsidRPr="0075789D">
              <w:rPr>
                <w:sz w:val="16"/>
                <w:lang w:val="es-419"/>
              </w:rPr>
              <w:t>Países u organizaciones participantes (número de participantes en cada caso)</w:t>
            </w:r>
          </w:p>
        </w:tc>
      </w:tr>
      <w:tr w:rsidR="009A70FB" w:rsidRPr="0075789D" w:rsidTr="005B2D5C">
        <w:trPr>
          <w:cantSplit/>
        </w:trPr>
        <w:tc>
          <w:tcPr>
            <w:tcW w:w="1691" w:type="dxa"/>
          </w:tcPr>
          <w:p w:rsidR="009A70FB" w:rsidRPr="0075789D" w:rsidRDefault="009A70FB" w:rsidP="004D1E3E">
            <w:pPr>
              <w:jc w:val="left"/>
              <w:rPr>
                <w:rFonts w:cs="Arial"/>
                <w:color w:val="000000"/>
                <w:sz w:val="16"/>
                <w:szCs w:val="18"/>
                <w:lang w:val="es-419"/>
              </w:rPr>
            </w:pPr>
            <w:r w:rsidRPr="0075789D">
              <w:rPr>
                <w:color w:val="000000"/>
                <w:sz w:val="16"/>
                <w:lang w:val="es-419"/>
              </w:rPr>
              <w:t xml:space="preserve">1. Reuniones del Proyecto de Hermanamiento: </w:t>
            </w:r>
            <w:r w:rsidR="005B2D5C">
              <w:rPr>
                <w:color w:val="000000"/>
                <w:sz w:val="16"/>
                <w:lang w:val="es-419"/>
              </w:rPr>
              <w:br/>
            </w:r>
            <w:r w:rsidRPr="0075789D">
              <w:rPr>
                <w:color w:val="000000"/>
                <w:sz w:val="16"/>
                <w:lang w:val="es-419"/>
              </w:rPr>
              <w:t>UA 19 ENI HE 01 20 para Ucrania</w:t>
            </w:r>
          </w:p>
          <w:p w:rsidR="009A70FB" w:rsidRPr="0075789D" w:rsidRDefault="009A70FB" w:rsidP="004D1E3E">
            <w:pPr>
              <w:jc w:val="left"/>
              <w:rPr>
                <w:rFonts w:cs="Arial"/>
                <w:color w:val="000000"/>
                <w:sz w:val="16"/>
                <w:szCs w:val="18"/>
                <w:lang w:val="es-419"/>
              </w:rPr>
            </w:pPr>
          </w:p>
        </w:tc>
        <w:tc>
          <w:tcPr>
            <w:tcW w:w="1276" w:type="dxa"/>
          </w:tcPr>
          <w:p w:rsidR="009A70FB" w:rsidRPr="0075789D" w:rsidRDefault="009A70FB" w:rsidP="004D1E3E">
            <w:pPr>
              <w:jc w:val="left"/>
              <w:rPr>
                <w:rFonts w:cs="Arial"/>
                <w:color w:val="000000"/>
                <w:sz w:val="16"/>
                <w:szCs w:val="18"/>
                <w:lang w:val="es-419"/>
              </w:rPr>
            </w:pPr>
            <w:r w:rsidRPr="0075789D">
              <w:rPr>
                <w:color w:val="000000"/>
                <w:sz w:val="16"/>
                <w:lang w:val="es-419"/>
              </w:rPr>
              <w:t>23/12/2021</w:t>
            </w:r>
          </w:p>
          <w:p w:rsidR="009A70FB" w:rsidRPr="0075789D" w:rsidRDefault="009A70FB" w:rsidP="004D1E3E">
            <w:pPr>
              <w:jc w:val="left"/>
              <w:rPr>
                <w:rFonts w:cs="Arial"/>
                <w:color w:val="000000"/>
                <w:sz w:val="16"/>
                <w:szCs w:val="18"/>
                <w:lang w:val="es-419"/>
              </w:rPr>
            </w:pPr>
          </w:p>
          <w:p w:rsidR="009A70FB" w:rsidRPr="0075789D" w:rsidRDefault="009A70FB" w:rsidP="004D1E3E">
            <w:pPr>
              <w:jc w:val="left"/>
              <w:rPr>
                <w:rFonts w:cs="Arial"/>
                <w:color w:val="000000"/>
                <w:sz w:val="16"/>
                <w:szCs w:val="18"/>
                <w:lang w:val="es-419"/>
              </w:rPr>
            </w:pPr>
            <w:r w:rsidRPr="0075789D">
              <w:rPr>
                <w:color w:val="000000"/>
                <w:sz w:val="16"/>
                <w:lang w:val="es-419"/>
              </w:rPr>
              <w:t>1/3/2022</w:t>
            </w:r>
          </w:p>
          <w:p w:rsidR="009A70FB" w:rsidRPr="0075789D" w:rsidRDefault="009A70FB" w:rsidP="004D1E3E">
            <w:pPr>
              <w:jc w:val="left"/>
              <w:rPr>
                <w:rFonts w:cs="Arial"/>
                <w:color w:val="000000"/>
                <w:sz w:val="16"/>
                <w:szCs w:val="18"/>
                <w:lang w:val="es-419"/>
              </w:rPr>
            </w:pPr>
          </w:p>
        </w:tc>
        <w:tc>
          <w:tcPr>
            <w:tcW w:w="1276" w:type="dxa"/>
          </w:tcPr>
          <w:p w:rsidR="009A70FB" w:rsidRPr="0075789D" w:rsidRDefault="009A70FB" w:rsidP="004D1E3E">
            <w:pPr>
              <w:jc w:val="left"/>
              <w:rPr>
                <w:rFonts w:cs="Arial"/>
                <w:color w:val="000000"/>
                <w:sz w:val="16"/>
                <w:szCs w:val="18"/>
                <w:lang w:val="es-419"/>
              </w:rPr>
            </w:pPr>
            <w:r w:rsidRPr="0075789D">
              <w:rPr>
                <w:color w:val="000000"/>
                <w:sz w:val="16"/>
                <w:lang w:val="es-419"/>
              </w:rPr>
              <w:t>En línea</w:t>
            </w:r>
          </w:p>
          <w:p w:rsidR="009A70FB" w:rsidRPr="0075789D" w:rsidRDefault="009A70FB" w:rsidP="004D1E3E">
            <w:pPr>
              <w:jc w:val="left"/>
              <w:rPr>
                <w:rFonts w:cs="Arial"/>
                <w:color w:val="000000"/>
                <w:sz w:val="16"/>
                <w:szCs w:val="18"/>
                <w:lang w:val="es-419"/>
              </w:rPr>
            </w:pPr>
          </w:p>
          <w:p w:rsidR="009A70FB" w:rsidRPr="0075789D" w:rsidRDefault="009A70FB" w:rsidP="004D1E3E">
            <w:pPr>
              <w:jc w:val="left"/>
              <w:rPr>
                <w:rFonts w:cs="Arial"/>
                <w:color w:val="000000"/>
                <w:sz w:val="16"/>
                <w:szCs w:val="18"/>
                <w:lang w:val="es-419"/>
              </w:rPr>
            </w:pPr>
            <w:r w:rsidRPr="0075789D">
              <w:rPr>
                <w:color w:val="000000"/>
                <w:sz w:val="16"/>
                <w:lang w:val="es-419"/>
              </w:rPr>
              <w:t>En línea</w:t>
            </w:r>
          </w:p>
        </w:tc>
        <w:tc>
          <w:tcPr>
            <w:tcW w:w="1559" w:type="dxa"/>
          </w:tcPr>
          <w:p w:rsidR="009A70FB" w:rsidRPr="0075789D" w:rsidRDefault="009A70FB" w:rsidP="004D1E3E">
            <w:pPr>
              <w:jc w:val="left"/>
              <w:rPr>
                <w:rFonts w:cs="Arial"/>
                <w:color w:val="000000"/>
                <w:sz w:val="16"/>
                <w:szCs w:val="18"/>
                <w:lang w:val="es-419"/>
              </w:rPr>
            </w:pPr>
            <w:r w:rsidRPr="0075789D">
              <w:rPr>
                <w:color w:val="000000"/>
                <w:sz w:val="16"/>
                <w:lang w:val="es-419"/>
              </w:rPr>
              <w:t>Comisión Europea,</w:t>
            </w:r>
          </w:p>
          <w:p w:rsidR="009A70FB" w:rsidRPr="0075789D" w:rsidRDefault="009A70FB" w:rsidP="004D1E3E">
            <w:pPr>
              <w:jc w:val="left"/>
              <w:rPr>
                <w:rFonts w:cs="Arial"/>
                <w:color w:val="000000"/>
                <w:sz w:val="16"/>
                <w:szCs w:val="18"/>
                <w:lang w:val="es-419"/>
              </w:rPr>
            </w:pPr>
            <w:r w:rsidRPr="0075789D">
              <w:rPr>
                <w:color w:val="000000"/>
                <w:sz w:val="16"/>
                <w:lang w:val="es-419"/>
              </w:rPr>
              <w:t>Servicio Estatal de Protección de las Obtenciones Vegetales (SPPS) (Letonia),</w:t>
            </w:r>
          </w:p>
          <w:p w:rsidR="009A70FB" w:rsidRPr="0075789D" w:rsidRDefault="009A70FB" w:rsidP="004D1E3E">
            <w:pPr>
              <w:jc w:val="left"/>
              <w:rPr>
                <w:rFonts w:cs="Arial"/>
                <w:color w:val="000000"/>
                <w:sz w:val="16"/>
                <w:szCs w:val="18"/>
                <w:lang w:val="es-419"/>
              </w:rPr>
            </w:pPr>
            <w:r w:rsidRPr="0075789D">
              <w:rPr>
                <w:color w:val="000000"/>
                <w:sz w:val="16"/>
                <w:lang w:val="es-419"/>
              </w:rPr>
              <w:t>Instituto de Examen de Variedades Vegetales de Ucrania (UIBOR) (Ucrania)</w:t>
            </w:r>
          </w:p>
          <w:p w:rsidR="009A70FB" w:rsidRPr="0075789D" w:rsidRDefault="009A70FB" w:rsidP="004D1E3E">
            <w:pPr>
              <w:jc w:val="left"/>
              <w:rPr>
                <w:rFonts w:cs="Arial"/>
                <w:color w:val="000000"/>
                <w:sz w:val="16"/>
                <w:szCs w:val="18"/>
                <w:lang w:val="es-419"/>
              </w:rPr>
            </w:pPr>
            <w:r w:rsidRPr="0075789D">
              <w:rPr>
                <w:color w:val="000000"/>
                <w:sz w:val="16"/>
                <w:lang w:val="es-419"/>
              </w:rPr>
              <w:t>Ministerio de Asuntos Exteriores de la República de Polonia</w:t>
            </w:r>
          </w:p>
        </w:tc>
        <w:tc>
          <w:tcPr>
            <w:tcW w:w="2126" w:type="dxa"/>
          </w:tcPr>
          <w:p w:rsidR="009A70FB" w:rsidRPr="0075789D" w:rsidRDefault="009A70FB" w:rsidP="004D1E3E">
            <w:pPr>
              <w:jc w:val="left"/>
              <w:rPr>
                <w:rFonts w:cs="Arial"/>
                <w:sz w:val="16"/>
                <w:szCs w:val="18"/>
                <w:lang w:val="es-419"/>
              </w:rPr>
            </w:pPr>
            <w:r w:rsidRPr="0075789D">
              <w:rPr>
                <w:sz w:val="16"/>
                <w:lang w:val="es-419"/>
              </w:rPr>
              <w:t>Reunión de trabajo</w:t>
            </w:r>
          </w:p>
          <w:p w:rsidR="009A70FB" w:rsidRPr="0075789D" w:rsidRDefault="009A70FB" w:rsidP="004D1E3E">
            <w:pPr>
              <w:jc w:val="left"/>
              <w:rPr>
                <w:rFonts w:cs="Arial"/>
                <w:sz w:val="16"/>
                <w:szCs w:val="18"/>
                <w:lang w:val="es-419"/>
              </w:rPr>
            </w:pPr>
          </w:p>
          <w:p w:rsidR="009A70FB" w:rsidRPr="0075789D" w:rsidRDefault="009A70FB" w:rsidP="004D1E3E">
            <w:pPr>
              <w:jc w:val="left"/>
              <w:rPr>
                <w:rFonts w:cs="Arial"/>
                <w:color w:val="000000"/>
                <w:sz w:val="16"/>
                <w:szCs w:val="18"/>
                <w:lang w:val="es-419"/>
              </w:rPr>
            </w:pPr>
            <w:r w:rsidRPr="0075789D">
              <w:rPr>
                <w:sz w:val="16"/>
                <w:lang w:val="es-419"/>
              </w:rPr>
              <w:t>Comité Ejecutivo:</w:t>
            </w:r>
            <w:r w:rsidRPr="0075789D">
              <w:rPr>
                <w:color w:val="000000"/>
                <w:sz w:val="16"/>
                <w:lang w:val="es-419"/>
              </w:rPr>
              <w:t xml:space="preserve"> Informe trimestral</w:t>
            </w:r>
          </w:p>
        </w:tc>
        <w:tc>
          <w:tcPr>
            <w:tcW w:w="2127" w:type="dxa"/>
          </w:tcPr>
          <w:p w:rsidR="009A70FB" w:rsidRPr="0075789D" w:rsidRDefault="009A70FB" w:rsidP="004D1E3E">
            <w:pPr>
              <w:jc w:val="left"/>
              <w:rPr>
                <w:rFonts w:cs="Arial"/>
                <w:color w:val="000000"/>
                <w:sz w:val="16"/>
                <w:szCs w:val="18"/>
                <w:lang w:val="es-419"/>
              </w:rPr>
            </w:pPr>
            <w:r w:rsidRPr="0075789D">
              <w:rPr>
                <w:color w:val="000000"/>
                <w:sz w:val="16"/>
                <w:lang w:val="es-419"/>
              </w:rPr>
              <w:t>Polonia: 2</w:t>
            </w:r>
          </w:p>
          <w:p w:rsidR="009A70FB" w:rsidRPr="0075789D" w:rsidRDefault="009A70FB" w:rsidP="004D1E3E">
            <w:pPr>
              <w:jc w:val="left"/>
              <w:rPr>
                <w:rFonts w:cs="Arial"/>
                <w:color w:val="000000"/>
                <w:sz w:val="16"/>
                <w:szCs w:val="18"/>
                <w:lang w:val="es-419"/>
              </w:rPr>
            </w:pPr>
            <w:r w:rsidRPr="0075789D">
              <w:rPr>
                <w:color w:val="000000"/>
                <w:sz w:val="16"/>
                <w:lang w:val="es-419"/>
              </w:rPr>
              <w:t>Total: 17</w:t>
            </w:r>
          </w:p>
        </w:tc>
      </w:tr>
      <w:tr w:rsidR="009A70FB" w:rsidRPr="0075789D" w:rsidTr="005B2D5C">
        <w:trPr>
          <w:cantSplit/>
        </w:trPr>
        <w:tc>
          <w:tcPr>
            <w:tcW w:w="1691"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2. Reunión de trabajo del IMODDUS</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4 y 5 de mayo de 2022</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Bruselas</w:t>
            </w:r>
          </w:p>
        </w:tc>
        <w:tc>
          <w:tcPr>
            <w:tcW w:w="1559"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OCVV</w:t>
            </w:r>
          </w:p>
        </w:tc>
        <w:tc>
          <w:tcPr>
            <w:tcW w:w="212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Actualización de la revisión del reglamento de PRM</w:t>
            </w:r>
          </w:p>
          <w:p w:rsidR="009A70FB" w:rsidRPr="0075789D" w:rsidRDefault="009A70FB" w:rsidP="004D1E3E">
            <w:pPr>
              <w:jc w:val="left"/>
              <w:rPr>
                <w:rFonts w:cs="Arial"/>
                <w:color w:val="000000"/>
                <w:sz w:val="16"/>
                <w:szCs w:val="18"/>
                <w:lang w:val="es-419"/>
              </w:rPr>
            </w:pPr>
            <w:r w:rsidRPr="0075789D">
              <w:rPr>
                <w:color w:val="000000"/>
                <w:sz w:val="16"/>
                <w:lang w:val="es-419"/>
              </w:rPr>
              <w:t>Informe</w:t>
            </w:r>
          </w:p>
        </w:tc>
        <w:tc>
          <w:tcPr>
            <w:tcW w:w="2127"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Polonia: 1</w:t>
            </w:r>
          </w:p>
          <w:p w:rsidR="009A70FB" w:rsidRPr="0075789D" w:rsidRDefault="009A70FB" w:rsidP="004D1E3E">
            <w:pPr>
              <w:jc w:val="left"/>
              <w:rPr>
                <w:rFonts w:cs="Arial"/>
                <w:color w:val="000000"/>
                <w:sz w:val="16"/>
                <w:szCs w:val="18"/>
                <w:lang w:val="es-419"/>
              </w:rPr>
            </w:pPr>
            <w:r w:rsidRPr="0075789D">
              <w:rPr>
                <w:color w:val="000000"/>
                <w:sz w:val="16"/>
                <w:lang w:val="es-419"/>
              </w:rPr>
              <w:t>Total: 20</w:t>
            </w:r>
          </w:p>
        </w:tc>
      </w:tr>
      <w:tr w:rsidR="009A70FB" w:rsidRPr="0075789D" w:rsidTr="005B2D5C">
        <w:trPr>
          <w:cantSplit/>
        </w:trPr>
        <w:tc>
          <w:tcPr>
            <w:tcW w:w="1691"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3. Reuniones del Proyecto de Hermanamiento de la Unión Europea: BA 18 IPA AG 03 19 para Bosnia y Herzegovina</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23-25 de mayo de 2022</w:t>
            </w:r>
          </w:p>
          <w:p w:rsidR="009A70FB" w:rsidRPr="0075789D" w:rsidRDefault="009A70FB" w:rsidP="004D1E3E">
            <w:pPr>
              <w:jc w:val="left"/>
              <w:rPr>
                <w:rFonts w:cs="Arial"/>
                <w:color w:val="000000"/>
                <w:sz w:val="16"/>
                <w:szCs w:val="18"/>
                <w:lang w:val="es-419"/>
              </w:rPr>
            </w:pPr>
          </w:p>
        </w:tc>
        <w:tc>
          <w:tcPr>
            <w:tcW w:w="1276" w:type="dxa"/>
            <w:hideMark/>
          </w:tcPr>
          <w:p w:rsidR="009A70FB" w:rsidRPr="0075789D" w:rsidRDefault="009A70FB" w:rsidP="004D1E3E">
            <w:pPr>
              <w:jc w:val="left"/>
              <w:rPr>
                <w:rFonts w:cs="Arial"/>
                <w:color w:val="000000"/>
                <w:sz w:val="16"/>
                <w:szCs w:val="18"/>
                <w:lang w:val="es-419"/>
              </w:rPr>
            </w:pPr>
            <w:proofErr w:type="spellStart"/>
            <w:r w:rsidRPr="0075789D">
              <w:rPr>
                <w:color w:val="000000"/>
                <w:sz w:val="16"/>
                <w:lang w:val="es-419"/>
              </w:rPr>
              <w:t>Słupia</w:t>
            </w:r>
            <w:proofErr w:type="spellEnd"/>
            <w:r w:rsidRPr="0075789D">
              <w:rPr>
                <w:color w:val="000000"/>
                <w:sz w:val="16"/>
                <w:lang w:val="es-419"/>
              </w:rPr>
              <w:t xml:space="preserve"> </w:t>
            </w:r>
            <w:proofErr w:type="spellStart"/>
            <w:r w:rsidRPr="0075789D">
              <w:rPr>
                <w:color w:val="000000"/>
                <w:sz w:val="16"/>
                <w:lang w:val="es-419"/>
              </w:rPr>
              <w:t>Wielka</w:t>
            </w:r>
            <w:proofErr w:type="spellEnd"/>
            <w:r w:rsidRPr="0075789D">
              <w:rPr>
                <w:color w:val="000000"/>
                <w:sz w:val="16"/>
                <w:lang w:val="es-419"/>
              </w:rPr>
              <w:t xml:space="preserve">, </w:t>
            </w:r>
            <w:proofErr w:type="spellStart"/>
            <w:r w:rsidRPr="0075789D">
              <w:rPr>
                <w:color w:val="000000"/>
                <w:sz w:val="16"/>
                <w:lang w:val="es-419"/>
              </w:rPr>
              <w:t>Zybiszów</w:t>
            </w:r>
            <w:proofErr w:type="spellEnd"/>
            <w:r w:rsidRPr="0075789D">
              <w:rPr>
                <w:color w:val="000000"/>
                <w:sz w:val="16"/>
                <w:lang w:val="es-419"/>
              </w:rPr>
              <w:t xml:space="preserve"> (Polonia)</w:t>
            </w:r>
          </w:p>
        </w:tc>
        <w:tc>
          <w:tcPr>
            <w:tcW w:w="1559"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COBORU/</w:t>
            </w:r>
          </w:p>
          <w:p w:rsidR="009A70FB" w:rsidRPr="0075789D" w:rsidRDefault="009A70FB" w:rsidP="004D1E3E">
            <w:pPr>
              <w:jc w:val="left"/>
              <w:rPr>
                <w:rFonts w:cs="Arial"/>
                <w:color w:val="000000"/>
                <w:sz w:val="16"/>
                <w:szCs w:val="18"/>
                <w:lang w:val="es-419"/>
              </w:rPr>
            </w:pPr>
            <w:r w:rsidRPr="0075789D">
              <w:rPr>
                <w:color w:val="000000"/>
                <w:sz w:val="16"/>
                <w:lang w:val="es-419"/>
              </w:rPr>
              <w:t>Servicio Estatal de Sanidad Vegetal e Inspección de Semillas (PIORIN)</w:t>
            </w:r>
          </w:p>
        </w:tc>
        <w:tc>
          <w:tcPr>
            <w:tcW w:w="212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Acción del proyecto: sistemas de protección de las obtenciones vegetales y de listas nacionales de Polonia, además de formación en el sistema fitosanitario</w:t>
            </w:r>
          </w:p>
        </w:tc>
        <w:tc>
          <w:tcPr>
            <w:tcW w:w="2127"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Bosnia y Herzegovina: 8</w:t>
            </w:r>
          </w:p>
          <w:p w:rsidR="009A70FB" w:rsidRPr="0075789D" w:rsidRDefault="009A70FB" w:rsidP="004D1E3E">
            <w:pPr>
              <w:jc w:val="left"/>
              <w:rPr>
                <w:rFonts w:cs="Arial"/>
                <w:color w:val="000000"/>
                <w:sz w:val="16"/>
                <w:szCs w:val="18"/>
                <w:lang w:val="es-419"/>
              </w:rPr>
            </w:pPr>
            <w:r w:rsidRPr="0075789D">
              <w:rPr>
                <w:color w:val="000000"/>
                <w:sz w:val="16"/>
                <w:lang w:val="es-419"/>
              </w:rPr>
              <w:t>Polonia: 9</w:t>
            </w:r>
          </w:p>
        </w:tc>
      </w:tr>
      <w:tr w:rsidR="009A70FB" w:rsidRPr="0075789D" w:rsidTr="005B2D5C">
        <w:trPr>
          <w:cantSplit/>
        </w:trPr>
        <w:tc>
          <w:tcPr>
            <w:tcW w:w="1691"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4. Visita de la delegación de Polonia a la Oficina Nacional de Seguridad de la Cadena Alimentaria (NEBIH) de Hungría</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4-7 de julio de 2022</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Hungría</w:t>
            </w:r>
          </w:p>
        </w:tc>
        <w:tc>
          <w:tcPr>
            <w:tcW w:w="1559"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COBORU/</w:t>
            </w:r>
          </w:p>
          <w:p w:rsidR="009A70FB" w:rsidRPr="0075789D" w:rsidRDefault="009A70FB" w:rsidP="004D1E3E">
            <w:pPr>
              <w:jc w:val="left"/>
              <w:rPr>
                <w:rFonts w:cs="Arial"/>
                <w:color w:val="000000"/>
                <w:sz w:val="16"/>
                <w:szCs w:val="18"/>
                <w:lang w:val="es-419"/>
              </w:rPr>
            </w:pPr>
            <w:r w:rsidRPr="0075789D">
              <w:rPr>
                <w:color w:val="000000"/>
                <w:sz w:val="16"/>
                <w:lang w:val="es-419"/>
              </w:rPr>
              <w:t>NEBIH</w:t>
            </w:r>
          </w:p>
        </w:tc>
        <w:tc>
          <w:tcPr>
            <w:tcW w:w="212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Debate sobre los asuntos más importantes en materia de prestación mutua de servicios experimentales en el ámbito del examen DHE oficial</w:t>
            </w:r>
          </w:p>
        </w:tc>
        <w:tc>
          <w:tcPr>
            <w:tcW w:w="2127"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Polonia: 8</w:t>
            </w:r>
          </w:p>
          <w:p w:rsidR="009A70FB" w:rsidRPr="0075789D" w:rsidRDefault="009A70FB" w:rsidP="004D1E3E">
            <w:pPr>
              <w:jc w:val="left"/>
              <w:rPr>
                <w:rFonts w:cs="Arial"/>
                <w:color w:val="000000"/>
                <w:sz w:val="16"/>
                <w:szCs w:val="18"/>
                <w:lang w:val="es-419"/>
              </w:rPr>
            </w:pPr>
            <w:r w:rsidRPr="0075789D">
              <w:rPr>
                <w:color w:val="000000"/>
                <w:sz w:val="16"/>
                <w:lang w:val="es-419"/>
              </w:rPr>
              <w:t>Hungría: 23</w:t>
            </w:r>
          </w:p>
        </w:tc>
      </w:tr>
      <w:tr w:rsidR="009A70FB" w:rsidRPr="0075789D" w:rsidTr="005B2D5C">
        <w:trPr>
          <w:cantSplit/>
        </w:trPr>
        <w:tc>
          <w:tcPr>
            <w:tcW w:w="1691"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5. XII Seminario sobre métodos estadísticos en el examen de variedades</w:t>
            </w:r>
          </w:p>
        </w:tc>
        <w:tc>
          <w:tcPr>
            <w:tcW w:w="127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4-7 de julio de 2022</w:t>
            </w:r>
          </w:p>
        </w:tc>
        <w:tc>
          <w:tcPr>
            <w:tcW w:w="1276" w:type="dxa"/>
            <w:hideMark/>
          </w:tcPr>
          <w:p w:rsidR="009A70FB" w:rsidRPr="0075789D" w:rsidRDefault="009A70FB" w:rsidP="004D1E3E">
            <w:pPr>
              <w:jc w:val="left"/>
              <w:rPr>
                <w:rFonts w:cs="Arial"/>
                <w:color w:val="000000"/>
                <w:sz w:val="16"/>
                <w:szCs w:val="18"/>
                <w:lang w:val="es-419"/>
              </w:rPr>
            </w:pPr>
            <w:proofErr w:type="spellStart"/>
            <w:r w:rsidRPr="0075789D">
              <w:rPr>
                <w:color w:val="000000"/>
                <w:sz w:val="16"/>
                <w:lang w:val="es-419"/>
              </w:rPr>
              <w:t>Słupia</w:t>
            </w:r>
            <w:proofErr w:type="spellEnd"/>
            <w:r w:rsidRPr="0075789D">
              <w:rPr>
                <w:color w:val="000000"/>
                <w:sz w:val="16"/>
                <w:lang w:val="es-419"/>
              </w:rPr>
              <w:t xml:space="preserve"> </w:t>
            </w:r>
            <w:proofErr w:type="spellStart"/>
            <w:r w:rsidRPr="0075789D">
              <w:rPr>
                <w:color w:val="000000"/>
                <w:sz w:val="16"/>
                <w:lang w:val="es-419"/>
              </w:rPr>
              <w:t>Wielka</w:t>
            </w:r>
            <w:proofErr w:type="spellEnd"/>
            <w:r w:rsidRPr="0075789D">
              <w:rPr>
                <w:color w:val="000000"/>
                <w:sz w:val="16"/>
                <w:lang w:val="es-419"/>
              </w:rPr>
              <w:t xml:space="preserve"> (Polonia)</w:t>
            </w:r>
          </w:p>
        </w:tc>
        <w:tc>
          <w:tcPr>
            <w:tcW w:w="1559"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COBORU</w:t>
            </w:r>
          </w:p>
        </w:tc>
        <w:tc>
          <w:tcPr>
            <w:tcW w:w="2126"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Métodos estadísticos en el examen de variedades</w:t>
            </w:r>
          </w:p>
        </w:tc>
        <w:tc>
          <w:tcPr>
            <w:tcW w:w="2127" w:type="dxa"/>
            <w:hideMark/>
          </w:tcPr>
          <w:p w:rsidR="009A70FB" w:rsidRPr="0075789D" w:rsidRDefault="009A70FB" w:rsidP="004D1E3E">
            <w:pPr>
              <w:jc w:val="left"/>
              <w:rPr>
                <w:rFonts w:cs="Arial"/>
                <w:color w:val="000000"/>
                <w:sz w:val="16"/>
                <w:szCs w:val="18"/>
                <w:lang w:val="es-419"/>
              </w:rPr>
            </w:pPr>
            <w:r w:rsidRPr="0075789D">
              <w:rPr>
                <w:color w:val="000000"/>
                <w:sz w:val="16"/>
                <w:lang w:val="es-419"/>
              </w:rPr>
              <w:t>Polonia: 10</w:t>
            </w:r>
          </w:p>
          <w:p w:rsidR="009A70FB" w:rsidRPr="0075789D" w:rsidRDefault="009A70FB" w:rsidP="004D1E3E">
            <w:pPr>
              <w:jc w:val="left"/>
              <w:rPr>
                <w:rFonts w:cs="Arial"/>
                <w:color w:val="000000"/>
                <w:sz w:val="16"/>
                <w:szCs w:val="18"/>
                <w:lang w:val="es-419"/>
              </w:rPr>
            </w:pPr>
            <w:r w:rsidRPr="0075789D">
              <w:rPr>
                <w:color w:val="000000"/>
                <w:sz w:val="16"/>
                <w:lang w:val="es-419"/>
              </w:rPr>
              <w:t>Total: 26</w:t>
            </w:r>
          </w:p>
        </w:tc>
      </w:tr>
    </w:tbl>
    <w:p w:rsidR="009A70FB" w:rsidRPr="0075789D" w:rsidRDefault="009A70FB" w:rsidP="009A70FB">
      <w:pPr>
        <w:rPr>
          <w:lang w:val="es-419"/>
        </w:rPr>
      </w:pPr>
    </w:p>
    <w:p w:rsidR="009A70FB" w:rsidRPr="0075789D" w:rsidRDefault="009A70FB" w:rsidP="009A70FB">
      <w:pPr>
        <w:rPr>
          <w:lang w:val="es-419"/>
        </w:rPr>
      </w:pPr>
    </w:p>
    <w:p w:rsidR="009A70FB" w:rsidRPr="0075789D" w:rsidRDefault="009A70FB" w:rsidP="009A70FB">
      <w:pPr>
        <w:rPr>
          <w:lang w:val="es-419"/>
        </w:rPr>
      </w:pPr>
      <w:r w:rsidRPr="0075789D">
        <w:rPr>
          <w:lang w:val="es-419"/>
        </w:rPr>
        <w:t>II.</w:t>
      </w:r>
      <w:r w:rsidRPr="0075789D">
        <w:rPr>
          <w:lang w:val="es-419"/>
        </w:rPr>
        <w:tab/>
        <w:t>OTRAS NOVEDADES DE INTERÉS PARA LA UPOV</w:t>
      </w:r>
    </w:p>
    <w:p w:rsidR="009A70FB" w:rsidRPr="0075789D" w:rsidRDefault="009A70FB" w:rsidP="009A70FB">
      <w:pPr>
        <w:rPr>
          <w:lang w:val="es-419"/>
        </w:rPr>
      </w:pPr>
    </w:p>
    <w:p w:rsidR="009A70FB" w:rsidRPr="005B2D5C" w:rsidRDefault="009A70FB" w:rsidP="005B2D5C">
      <w:pPr>
        <w:rPr>
          <w:lang w:val="es-419"/>
        </w:rPr>
      </w:pPr>
      <w:r w:rsidRPr="0075789D">
        <w:rPr>
          <w:lang w:val="es-419"/>
        </w:rPr>
        <w:t xml:space="preserve">En mayo de 2022 se publicaron la Lista nacional de variedades de plantas agrícolas, la Lista nacional de variedades de plantas hortícolas y la Lista nacional de variedades de plantas frutales de Polonia. Tanto las listas oficiales como las listas actualizadas de variedades pueden consultarse también en </w:t>
      </w:r>
      <w:hyperlink r:id="rId34" w:history="1">
        <w:r w:rsidRPr="005B2D5C">
          <w:rPr>
            <w:rStyle w:val="Hyperlink"/>
          </w:rPr>
          <w:t>www.coboru.gov.pl</w:t>
        </w:r>
      </w:hyperlink>
      <w:r w:rsidR="005B2D5C">
        <w:t>.</w:t>
      </w:r>
    </w:p>
    <w:p w:rsidR="005B2D5C" w:rsidRPr="005B2D5C" w:rsidRDefault="005B2D5C" w:rsidP="005B2D5C"/>
    <w:p w:rsidR="009A70FB" w:rsidRDefault="009A70FB" w:rsidP="000362AD">
      <w:pPr>
        <w:jc w:val="left"/>
      </w:pPr>
    </w:p>
    <w:p w:rsidR="005B2D5C" w:rsidRPr="00D36B66" w:rsidRDefault="005B2D5C" w:rsidP="000362AD">
      <w:pPr>
        <w:jc w:val="left"/>
      </w:pPr>
    </w:p>
    <w:p w:rsidR="000362AD" w:rsidRPr="00D36B66" w:rsidRDefault="000A2928" w:rsidP="000362AD">
      <w:pPr>
        <w:jc w:val="right"/>
      </w:pPr>
      <w:r>
        <w:t>[Sigue el Anexo</w:t>
      </w:r>
      <w:r w:rsidR="0075382F" w:rsidRPr="00D36B66">
        <w:t xml:space="preserve"> </w:t>
      </w:r>
      <w:r w:rsidR="000362AD" w:rsidRPr="00D36B66">
        <w:t>X</w:t>
      </w:r>
      <w:r w:rsidR="00CE1862">
        <w:t>I</w:t>
      </w:r>
      <w:r w:rsidR="0075382F" w:rsidRPr="00D36B66">
        <w:t>II</w:t>
      </w:r>
      <w:r>
        <w:t>]</w:t>
      </w:r>
    </w:p>
    <w:p w:rsidR="000362AD" w:rsidRPr="00D36B66" w:rsidRDefault="000362AD" w:rsidP="000362AD"/>
    <w:p w:rsidR="000362AD" w:rsidRPr="00D36B66" w:rsidRDefault="000362AD" w:rsidP="000362AD">
      <w:pPr>
        <w:jc w:val="left"/>
        <w:sectPr w:rsidR="000362AD" w:rsidRPr="00D36B66" w:rsidSect="0049108C">
          <w:headerReference w:type="default" r:id="rId35"/>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75382F" w:rsidRPr="00D36B66">
        <w:t xml:space="preserve"> </w:t>
      </w:r>
      <w:r w:rsidR="000362AD" w:rsidRPr="00D36B66">
        <w:t>X</w:t>
      </w:r>
      <w:r w:rsidR="0075382F" w:rsidRPr="00D36B66">
        <w:t>II</w:t>
      </w:r>
      <w:r w:rsidR="00CE1862">
        <w:t>I</w:t>
      </w:r>
    </w:p>
    <w:p w:rsidR="000362AD" w:rsidRPr="00D36B66" w:rsidRDefault="000362AD" w:rsidP="000362AD">
      <w:pPr>
        <w:jc w:val="center"/>
      </w:pPr>
    </w:p>
    <w:p w:rsidR="000362AD" w:rsidRPr="00D36B66" w:rsidRDefault="000362AD" w:rsidP="000362AD">
      <w:pPr>
        <w:jc w:val="center"/>
      </w:pPr>
    </w:p>
    <w:p w:rsidR="003C641A" w:rsidRPr="00D36B66" w:rsidRDefault="000A2928" w:rsidP="003C641A">
      <w:pPr>
        <w:jc w:val="center"/>
      </w:pPr>
      <w:r>
        <w:t>REPÚ</w:t>
      </w:r>
      <w:r w:rsidR="003C641A" w:rsidRPr="00D36B66">
        <w:t>BLIC</w:t>
      </w:r>
      <w:r>
        <w:t>A</w:t>
      </w:r>
      <w:r w:rsidR="003C641A" w:rsidRPr="00D36B66">
        <w:t xml:space="preserve"> </w:t>
      </w:r>
      <w:r>
        <w:t>DE</w:t>
      </w:r>
      <w:r w:rsidR="003C641A" w:rsidRPr="00D36B66">
        <w:t xml:space="preserve"> </w:t>
      </w:r>
      <w:r>
        <w:t>C</w:t>
      </w:r>
      <w:r w:rsidR="003C641A" w:rsidRPr="00D36B66">
        <w:t>OREA</w:t>
      </w:r>
    </w:p>
    <w:p w:rsidR="003C641A" w:rsidRPr="00D36B66" w:rsidRDefault="003C641A" w:rsidP="003C641A">
      <w:pPr>
        <w:rPr>
          <w:rFonts w:cs="Arial"/>
        </w:rPr>
      </w:pPr>
    </w:p>
    <w:p w:rsidR="003C641A" w:rsidRPr="00D36B66" w:rsidRDefault="003C641A" w:rsidP="003C641A">
      <w:pPr>
        <w:rPr>
          <w:rFonts w:cs="Arial"/>
        </w:rPr>
      </w:pPr>
    </w:p>
    <w:p w:rsidR="00D05087" w:rsidRPr="0075789D" w:rsidRDefault="00D05087" w:rsidP="00D05087">
      <w:pPr>
        <w:rPr>
          <w:lang w:val="es-419"/>
        </w:rPr>
      </w:pPr>
      <w:r w:rsidRPr="0075789D">
        <w:rPr>
          <w:lang w:val="es-419"/>
        </w:rPr>
        <w:t>I.</w:t>
      </w:r>
      <w:r w:rsidRPr="0075789D">
        <w:rPr>
          <w:lang w:val="es-419"/>
        </w:rPr>
        <w:tab/>
        <w:t>PROTECCIÓN DE LAS OBTENCIONES VEGETALES</w:t>
      </w:r>
    </w:p>
    <w:p w:rsidR="00D05087" w:rsidRPr="0075789D" w:rsidRDefault="00D05087" w:rsidP="00D05087">
      <w:pPr>
        <w:rPr>
          <w:lang w:val="es-419"/>
        </w:rPr>
      </w:pPr>
    </w:p>
    <w:p w:rsidR="00D05087" w:rsidRPr="0075789D" w:rsidRDefault="00D05087" w:rsidP="00D05087">
      <w:pPr>
        <w:tabs>
          <w:tab w:val="left" w:pos="426"/>
          <w:tab w:val="left" w:pos="1276"/>
        </w:tabs>
        <w:rPr>
          <w:lang w:val="es-419"/>
        </w:rPr>
      </w:pPr>
      <w:r w:rsidRPr="0075789D">
        <w:rPr>
          <w:lang w:val="es-419"/>
        </w:rPr>
        <w:t xml:space="preserve">1. </w:t>
      </w:r>
      <w:r w:rsidRPr="0075789D">
        <w:rPr>
          <w:lang w:val="es-419"/>
        </w:rPr>
        <w:tab/>
      </w:r>
      <w:r w:rsidRPr="0075789D">
        <w:rPr>
          <w:u w:val="single"/>
          <w:lang w:val="es-419"/>
        </w:rPr>
        <w:t>Situación en el ámbito legislativo</w:t>
      </w:r>
    </w:p>
    <w:p w:rsidR="00D05087" w:rsidRPr="0075789D" w:rsidRDefault="00D05087" w:rsidP="00D05087">
      <w:pPr>
        <w:rPr>
          <w:lang w:val="es-419"/>
        </w:rPr>
      </w:pPr>
    </w:p>
    <w:p w:rsidR="00D05087" w:rsidRPr="0075789D" w:rsidRDefault="00D05087" w:rsidP="00D05087">
      <w:pPr>
        <w:ind w:left="567"/>
        <w:rPr>
          <w:lang w:val="es-419"/>
        </w:rPr>
      </w:pPr>
      <w:r w:rsidRPr="0075789D">
        <w:rPr>
          <w:lang w:val="es-419"/>
        </w:rPr>
        <w:t>No ha habido modificaciones.</w:t>
      </w:r>
    </w:p>
    <w:p w:rsidR="00D05087" w:rsidRPr="0075789D" w:rsidRDefault="00D05087" w:rsidP="00D05087">
      <w:pPr>
        <w:rPr>
          <w:lang w:val="es-419"/>
        </w:rPr>
      </w:pPr>
    </w:p>
    <w:p w:rsidR="00D05087" w:rsidRPr="0075789D" w:rsidRDefault="00D05087" w:rsidP="00D05087">
      <w:pPr>
        <w:rPr>
          <w:lang w:val="es-419"/>
        </w:rPr>
      </w:pPr>
    </w:p>
    <w:p w:rsidR="00D05087" w:rsidRPr="0075789D" w:rsidRDefault="00D05087" w:rsidP="00D05087">
      <w:pPr>
        <w:rPr>
          <w:lang w:val="es-419"/>
        </w:rPr>
      </w:pPr>
      <w:r w:rsidRPr="0075789D">
        <w:rPr>
          <w:lang w:val="es-419"/>
        </w:rPr>
        <w:t>2.</w:t>
      </w:r>
      <w:r w:rsidRPr="0075789D">
        <w:rPr>
          <w:lang w:val="es-419"/>
        </w:rPr>
        <w:tab/>
      </w:r>
      <w:r w:rsidRPr="0075789D">
        <w:rPr>
          <w:u w:val="single"/>
          <w:lang w:val="es-419"/>
        </w:rPr>
        <w:t>Cooperación en el examen</w:t>
      </w:r>
    </w:p>
    <w:p w:rsidR="00D05087" w:rsidRPr="0075789D" w:rsidRDefault="00D05087" w:rsidP="00D05087">
      <w:pPr>
        <w:tabs>
          <w:tab w:val="left" w:pos="426"/>
          <w:tab w:val="left" w:pos="851"/>
        </w:tabs>
        <w:rPr>
          <w:lang w:val="es-419"/>
        </w:rPr>
      </w:pPr>
    </w:p>
    <w:p w:rsidR="00D05087" w:rsidRPr="0075789D" w:rsidRDefault="00D05087" w:rsidP="00D05087">
      <w:pPr>
        <w:tabs>
          <w:tab w:val="left" w:pos="426"/>
        </w:tabs>
        <w:rPr>
          <w:lang w:val="es-419"/>
        </w:rPr>
      </w:pPr>
      <w:r w:rsidRPr="0075789D">
        <w:rPr>
          <w:lang w:val="es-419"/>
        </w:rPr>
        <w:t>El Servicio de Semillas y Variedades de la República de Corea (KSVS) ofreció informes DHE a:</w:t>
      </w:r>
    </w:p>
    <w:p w:rsidR="00D05087" w:rsidRPr="0075789D" w:rsidRDefault="00D05087" w:rsidP="00D05087">
      <w:pPr>
        <w:tabs>
          <w:tab w:val="left" w:pos="426"/>
        </w:tabs>
        <w:rPr>
          <w:lang w:val="es-419"/>
        </w:rPr>
      </w:pPr>
    </w:p>
    <w:p w:rsidR="00D05087" w:rsidRPr="0075789D" w:rsidRDefault="00D05087" w:rsidP="00D05087">
      <w:pPr>
        <w:pStyle w:val="ListParagraph"/>
        <w:numPr>
          <w:ilvl w:val="0"/>
          <w:numId w:val="28"/>
        </w:numPr>
        <w:tabs>
          <w:tab w:val="left" w:pos="426"/>
        </w:tabs>
        <w:jc w:val="both"/>
        <w:rPr>
          <w:szCs w:val="20"/>
          <w:lang w:val="es-419"/>
        </w:rPr>
      </w:pPr>
      <w:r w:rsidRPr="0075789D">
        <w:rPr>
          <w:lang w:val="es-419"/>
        </w:rPr>
        <w:t>La Oficina de Propiedad Intelectual de Australia (IP Australia)</w:t>
      </w:r>
    </w:p>
    <w:p w:rsidR="00D05087" w:rsidRPr="0075789D" w:rsidRDefault="00D05087" w:rsidP="00D05087">
      <w:pPr>
        <w:pStyle w:val="ListParagraph"/>
        <w:numPr>
          <w:ilvl w:val="0"/>
          <w:numId w:val="28"/>
        </w:numPr>
        <w:tabs>
          <w:tab w:val="left" w:pos="426"/>
        </w:tabs>
        <w:jc w:val="both"/>
        <w:rPr>
          <w:szCs w:val="20"/>
          <w:lang w:val="es-419"/>
        </w:rPr>
      </w:pPr>
      <w:r w:rsidRPr="0075789D">
        <w:rPr>
          <w:lang w:val="es-419"/>
        </w:rPr>
        <w:t>Oficina de Propiedad Intelectual de Singapur</w:t>
      </w:r>
    </w:p>
    <w:p w:rsidR="00D05087" w:rsidRPr="0075789D" w:rsidRDefault="00D05087" w:rsidP="00D05087">
      <w:pPr>
        <w:pStyle w:val="ListParagraph"/>
        <w:numPr>
          <w:ilvl w:val="0"/>
          <w:numId w:val="28"/>
        </w:numPr>
        <w:tabs>
          <w:tab w:val="left" w:pos="426"/>
          <w:tab w:val="left" w:pos="851"/>
        </w:tabs>
        <w:jc w:val="both"/>
        <w:rPr>
          <w:b/>
          <w:szCs w:val="20"/>
          <w:lang w:val="es-419"/>
        </w:rPr>
      </w:pPr>
      <w:r w:rsidRPr="0075789D">
        <w:rPr>
          <w:lang w:val="es-419"/>
        </w:rPr>
        <w:t xml:space="preserve">Servicio de Inspección Fitosanitaria de </w:t>
      </w:r>
      <w:proofErr w:type="spellStart"/>
      <w:r w:rsidRPr="0075789D">
        <w:rPr>
          <w:lang w:val="es-419"/>
        </w:rPr>
        <w:t>Kenya</w:t>
      </w:r>
      <w:proofErr w:type="spellEnd"/>
      <w:r w:rsidRPr="0075789D">
        <w:rPr>
          <w:lang w:val="es-419"/>
        </w:rPr>
        <w:t xml:space="preserve"> (KEPHIS)</w:t>
      </w:r>
    </w:p>
    <w:p w:rsidR="00D05087" w:rsidRPr="0075789D" w:rsidRDefault="00D05087" w:rsidP="00D05087">
      <w:pPr>
        <w:rPr>
          <w:lang w:val="es-419"/>
        </w:rPr>
      </w:pPr>
    </w:p>
    <w:p w:rsidR="00D05087" w:rsidRPr="0075789D" w:rsidRDefault="00D05087" w:rsidP="00D05087">
      <w:pPr>
        <w:rPr>
          <w:lang w:val="es-419"/>
        </w:rPr>
      </w:pPr>
    </w:p>
    <w:p w:rsidR="00D05087" w:rsidRPr="0075789D" w:rsidRDefault="00D05087" w:rsidP="00D05087">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D05087" w:rsidRPr="0075789D" w:rsidRDefault="00D05087" w:rsidP="00D05087">
      <w:pPr>
        <w:rPr>
          <w:lang w:val="es-419"/>
        </w:rPr>
      </w:pPr>
    </w:p>
    <w:p w:rsidR="00D05087" w:rsidRPr="0075789D" w:rsidRDefault="00D05087" w:rsidP="00D05087">
      <w:pPr>
        <w:rPr>
          <w:lang w:val="es-419"/>
        </w:rPr>
      </w:pPr>
      <w:r w:rsidRPr="0075789D">
        <w:rPr>
          <w:lang w:val="es-419"/>
        </w:rPr>
        <w:t>En el primer semestre de 2022, el KSVS recibió 272 solicitudes y concedió 284 títulos de derechos de obtentor, lo que redunda en un total de 12.436 solicitudes y 9.083 títulos concedidos desde la introducción del sistema de protección de las obtenciones vegetales en 1998.</w:t>
      </w:r>
    </w:p>
    <w:p w:rsidR="00D05087" w:rsidRPr="0075789D" w:rsidRDefault="00D05087" w:rsidP="00D05087">
      <w:pPr>
        <w:rPr>
          <w:lang w:val="es-419"/>
        </w:rPr>
      </w:pPr>
    </w:p>
    <w:p w:rsidR="00D05087" w:rsidRPr="0075789D" w:rsidRDefault="00D05087" w:rsidP="00D05087">
      <w:pPr>
        <w:rPr>
          <w:lang w:val="es-419"/>
        </w:rPr>
      </w:pPr>
    </w:p>
    <w:p w:rsidR="00D05087" w:rsidRPr="0075789D" w:rsidRDefault="00D05087" w:rsidP="00D05087">
      <w:pPr>
        <w:rPr>
          <w:lang w:val="es-419"/>
        </w:rPr>
      </w:pPr>
      <w:r w:rsidRPr="0075789D">
        <w:rPr>
          <w:lang w:val="es-419"/>
        </w:rPr>
        <w:t>4.</w:t>
      </w:r>
      <w:r w:rsidRPr="0075789D">
        <w:rPr>
          <w:lang w:val="es-419"/>
        </w:rPr>
        <w:tab/>
      </w:r>
      <w:r w:rsidRPr="0075789D">
        <w:rPr>
          <w:u w:val="single"/>
          <w:lang w:val="es-419"/>
        </w:rPr>
        <w:t>Situación en el ámbito técnico</w:t>
      </w:r>
    </w:p>
    <w:p w:rsidR="00D05087" w:rsidRPr="0075789D" w:rsidRDefault="00D05087" w:rsidP="00D05087">
      <w:pPr>
        <w:rPr>
          <w:lang w:val="es-419"/>
        </w:rPr>
      </w:pPr>
    </w:p>
    <w:p w:rsidR="00D05087" w:rsidRPr="0075789D" w:rsidRDefault="00D05087" w:rsidP="00D05087">
      <w:pPr>
        <w:ind w:left="567"/>
        <w:rPr>
          <w:lang w:val="es-419"/>
        </w:rPr>
      </w:pPr>
      <w:r w:rsidRPr="0075789D">
        <w:rPr>
          <w:lang w:val="es-419"/>
        </w:rPr>
        <w:t>No ha habido modificaciones.</w:t>
      </w:r>
    </w:p>
    <w:p w:rsidR="00D05087" w:rsidRPr="0075789D" w:rsidRDefault="00D05087" w:rsidP="00D05087">
      <w:pPr>
        <w:rPr>
          <w:lang w:val="es-419"/>
        </w:rPr>
      </w:pPr>
    </w:p>
    <w:p w:rsidR="00D05087" w:rsidRPr="0075789D" w:rsidRDefault="00D05087" w:rsidP="00D05087">
      <w:pPr>
        <w:rPr>
          <w:lang w:val="es-419"/>
        </w:rPr>
      </w:pPr>
    </w:p>
    <w:p w:rsidR="00D05087" w:rsidRPr="0075789D" w:rsidRDefault="00D05087" w:rsidP="00D05087">
      <w:pPr>
        <w:rPr>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D05087" w:rsidRPr="0075789D" w:rsidRDefault="00D05087" w:rsidP="00D05087">
      <w:pPr>
        <w:rPr>
          <w:lang w:val="es-419"/>
        </w:rPr>
      </w:pPr>
    </w:p>
    <w:tbl>
      <w:tblPr>
        <w:tblStyle w:val="TableGrid"/>
        <w:tblW w:w="10060" w:type="dxa"/>
        <w:tblLayout w:type="fixed"/>
        <w:tblCellMar>
          <w:top w:w="28" w:type="dxa"/>
          <w:left w:w="57" w:type="dxa"/>
          <w:bottom w:w="28" w:type="dxa"/>
          <w:right w:w="57" w:type="dxa"/>
        </w:tblCellMar>
        <w:tblLook w:val="01E0" w:firstRow="1" w:lastRow="1" w:firstColumn="1" w:lastColumn="1" w:noHBand="0" w:noVBand="0"/>
      </w:tblPr>
      <w:tblGrid>
        <w:gridCol w:w="1413"/>
        <w:gridCol w:w="1089"/>
        <w:gridCol w:w="1604"/>
        <w:gridCol w:w="1418"/>
        <w:gridCol w:w="2126"/>
        <w:gridCol w:w="2410"/>
      </w:tblGrid>
      <w:tr w:rsidR="00D05087" w:rsidRPr="0075789D" w:rsidTr="00D05087">
        <w:tc>
          <w:tcPr>
            <w:tcW w:w="1413" w:type="dxa"/>
          </w:tcPr>
          <w:p w:rsidR="00D05087" w:rsidRPr="0075789D" w:rsidRDefault="00D05087" w:rsidP="004D1E3E">
            <w:pPr>
              <w:jc w:val="left"/>
              <w:rPr>
                <w:sz w:val="18"/>
                <w:lang w:val="es-419"/>
              </w:rPr>
            </w:pPr>
            <w:r w:rsidRPr="0075789D">
              <w:rPr>
                <w:sz w:val="18"/>
                <w:lang w:val="es-419"/>
              </w:rPr>
              <w:t>Título de la actividad</w:t>
            </w:r>
          </w:p>
        </w:tc>
        <w:tc>
          <w:tcPr>
            <w:tcW w:w="1089" w:type="dxa"/>
          </w:tcPr>
          <w:p w:rsidR="00D05087" w:rsidRPr="0075789D" w:rsidRDefault="00D05087" w:rsidP="004D1E3E">
            <w:pPr>
              <w:jc w:val="left"/>
              <w:rPr>
                <w:sz w:val="18"/>
                <w:lang w:val="es-419"/>
              </w:rPr>
            </w:pPr>
            <w:r w:rsidRPr="0075789D">
              <w:rPr>
                <w:sz w:val="18"/>
                <w:lang w:val="es-419"/>
              </w:rPr>
              <w:t>Fecha</w:t>
            </w:r>
          </w:p>
        </w:tc>
        <w:tc>
          <w:tcPr>
            <w:tcW w:w="1604" w:type="dxa"/>
          </w:tcPr>
          <w:p w:rsidR="00D05087" w:rsidRPr="0075789D" w:rsidRDefault="00D05087" w:rsidP="004D1E3E">
            <w:pPr>
              <w:jc w:val="left"/>
              <w:rPr>
                <w:sz w:val="18"/>
                <w:lang w:val="es-419"/>
              </w:rPr>
            </w:pPr>
            <w:r w:rsidRPr="0075789D">
              <w:rPr>
                <w:sz w:val="18"/>
                <w:lang w:val="es-419"/>
              </w:rPr>
              <w:t>Lugar</w:t>
            </w:r>
          </w:p>
        </w:tc>
        <w:tc>
          <w:tcPr>
            <w:tcW w:w="1418" w:type="dxa"/>
          </w:tcPr>
          <w:p w:rsidR="00D05087" w:rsidRPr="0075789D" w:rsidRDefault="00D05087" w:rsidP="004D1E3E">
            <w:pPr>
              <w:jc w:val="left"/>
              <w:rPr>
                <w:sz w:val="18"/>
                <w:lang w:val="es-419"/>
              </w:rPr>
            </w:pPr>
            <w:r w:rsidRPr="0075789D">
              <w:rPr>
                <w:sz w:val="18"/>
                <w:lang w:val="es-419"/>
              </w:rPr>
              <w:t>Organizador(es)</w:t>
            </w:r>
          </w:p>
        </w:tc>
        <w:tc>
          <w:tcPr>
            <w:tcW w:w="2126" w:type="dxa"/>
          </w:tcPr>
          <w:p w:rsidR="00D05087" w:rsidRPr="0075789D" w:rsidRDefault="00D05087" w:rsidP="004D1E3E">
            <w:pPr>
              <w:jc w:val="left"/>
              <w:rPr>
                <w:sz w:val="18"/>
                <w:lang w:val="es-419"/>
              </w:rPr>
            </w:pPr>
            <w:r w:rsidRPr="0075789D">
              <w:rPr>
                <w:sz w:val="18"/>
                <w:lang w:val="es-419"/>
              </w:rPr>
              <w:t>Finalidad de la actividad</w:t>
            </w:r>
          </w:p>
        </w:tc>
        <w:tc>
          <w:tcPr>
            <w:tcW w:w="2410" w:type="dxa"/>
          </w:tcPr>
          <w:p w:rsidR="00D05087" w:rsidRPr="0075789D" w:rsidRDefault="00D05087" w:rsidP="004D1E3E">
            <w:pPr>
              <w:jc w:val="left"/>
              <w:rPr>
                <w:sz w:val="18"/>
                <w:lang w:val="es-419"/>
              </w:rPr>
            </w:pPr>
            <w:r w:rsidRPr="0075789D">
              <w:rPr>
                <w:sz w:val="18"/>
                <w:lang w:val="es-419"/>
              </w:rPr>
              <w:t>Países u organizaciones participantes (número de participantes en cada caso)</w:t>
            </w:r>
          </w:p>
        </w:tc>
      </w:tr>
      <w:tr w:rsidR="00D05087" w:rsidRPr="0075789D" w:rsidTr="00D05087">
        <w:tc>
          <w:tcPr>
            <w:tcW w:w="1413" w:type="dxa"/>
          </w:tcPr>
          <w:p w:rsidR="00D05087" w:rsidRPr="0075789D" w:rsidRDefault="00D05087" w:rsidP="004D1E3E">
            <w:pPr>
              <w:jc w:val="left"/>
              <w:rPr>
                <w:sz w:val="18"/>
                <w:lang w:val="es-419"/>
              </w:rPr>
            </w:pPr>
            <w:r w:rsidRPr="0075789D">
              <w:rPr>
                <w:sz w:val="18"/>
                <w:lang w:val="es-419"/>
              </w:rPr>
              <w:t xml:space="preserve">Curso formativo para crear capacidad con miras al desarrollo de la industria </w:t>
            </w:r>
            <w:proofErr w:type="spellStart"/>
            <w:r w:rsidRPr="0075789D">
              <w:rPr>
                <w:sz w:val="18"/>
                <w:lang w:val="es-419"/>
              </w:rPr>
              <w:t>semillera</w:t>
            </w:r>
            <w:proofErr w:type="spellEnd"/>
            <w:r w:rsidRPr="0075789D">
              <w:rPr>
                <w:sz w:val="18"/>
                <w:lang w:val="es-419"/>
              </w:rPr>
              <w:t xml:space="preserve"> en la región asiática </w:t>
            </w:r>
          </w:p>
        </w:tc>
        <w:tc>
          <w:tcPr>
            <w:tcW w:w="1089" w:type="dxa"/>
          </w:tcPr>
          <w:p w:rsidR="00D05087" w:rsidRPr="0075789D" w:rsidRDefault="00D05087" w:rsidP="004D1E3E">
            <w:pPr>
              <w:jc w:val="left"/>
              <w:rPr>
                <w:sz w:val="18"/>
                <w:lang w:val="es-419"/>
              </w:rPr>
            </w:pPr>
            <w:r w:rsidRPr="0075789D">
              <w:rPr>
                <w:sz w:val="18"/>
                <w:lang w:val="es-419"/>
              </w:rPr>
              <w:t>25/9/2022-8/10/2022</w:t>
            </w:r>
          </w:p>
        </w:tc>
        <w:tc>
          <w:tcPr>
            <w:tcW w:w="1604" w:type="dxa"/>
          </w:tcPr>
          <w:p w:rsidR="00D05087" w:rsidRPr="0075789D" w:rsidRDefault="00D05087" w:rsidP="004D1E3E">
            <w:pPr>
              <w:jc w:val="left"/>
              <w:rPr>
                <w:sz w:val="18"/>
                <w:lang w:val="es-419"/>
              </w:rPr>
            </w:pPr>
            <w:proofErr w:type="spellStart"/>
            <w:r w:rsidRPr="0075789D">
              <w:rPr>
                <w:sz w:val="18"/>
                <w:lang w:val="es-419"/>
              </w:rPr>
              <w:t>Gimchoen</w:t>
            </w:r>
            <w:proofErr w:type="spellEnd"/>
            <w:r w:rsidRPr="0075789D">
              <w:rPr>
                <w:sz w:val="18"/>
                <w:lang w:val="es-419"/>
              </w:rPr>
              <w:t xml:space="preserve">-si, </w:t>
            </w:r>
            <w:proofErr w:type="spellStart"/>
            <w:r w:rsidRPr="0075789D">
              <w:rPr>
                <w:sz w:val="18"/>
                <w:lang w:val="es-419"/>
              </w:rPr>
              <w:t>Gyeongsangbuk</w:t>
            </w:r>
            <w:proofErr w:type="spellEnd"/>
            <w:r w:rsidRPr="0075789D">
              <w:rPr>
                <w:sz w:val="18"/>
                <w:lang w:val="es-419"/>
              </w:rPr>
              <w:t>-do</w:t>
            </w:r>
          </w:p>
        </w:tc>
        <w:tc>
          <w:tcPr>
            <w:tcW w:w="1418" w:type="dxa"/>
          </w:tcPr>
          <w:p w:rsidR="00D05087" w:rsidRPr="0075789D" w:rsidRDefault="00D05087" w:rsidP="004D1E3E">
            <w:pPr>
              <w:jc w:val="left"/>
              <w:rPr>
                <w:sz w:val="18"/>
                <w:lang w:val="es-419"/>
              </w:rPr>
            </w:pPr>
            <w:r w:rsidRPr="0075789D">
              <w:rPr>
                <w:sz w:val="18"/>
                <w:lang w:val="es-419"/>
              </w:rPr>
              <w:t>Servicio de Semillas y Variedades de Corea</w:t>
            </w:r>
          </w:p>
        </w:tc>
        <w:tc>
          <w:tcPr>
            <w:tcW w:w="2126" w:type="dxa"/>
          </w:tcPr>
          <w:p w:rsidR="00D05087" w:rsidRPr="0075789D" w:rsidRDefault="00D05087" w:rsidP="004D1E3E">
            <w:pPr>
              <w:jc w:val="left"/>
              <w:rPr>
                <w:sz w:val="18"/>
                <w:lang w:val="es-419"/>
              </w:rPr>
            </w:pPr>
            <w:r w:rsidRPr="0075789D">
              <w:rPr>
                <w:sz w:val="18"/>
                <w:lang w:val="es-419"/>
              </w:rPr>
              <w:t>Promoción del desarrollo de un sistema avanzado de semillas y de tecnología en la región asiática, en el ámbito de la protección de obtenciones vegetales, la producción de semillas y el análisis de semillas</w:t>
            </w:r>
          </w:p>
          <w:p w:rsidR="00D05087" w:rsidRPr="0075789D" w:rsidRDefault="00D05087" w:rsidP="004D1E3E">
            <w:pPr>
              <w:jc w:val="left"/>
              <w:rPr>
                <w:sz w:val="18"/>
                <w:lang w:val="es-419"/>
              </w:rPr>
            </w:pPr>
          </w:p>
        </w:tc>
        <w:tc>
          <w:tcPr>
            <w:tcW w:w="2410" w:type="dxa"/>
          </w:tcPr>
          <w:p w:rsidR="00D05087" w:rsidRPr="0075789D" w:rsidRDefault="00D05087" w:rsidP="004D1E3E">
            <w:pPr>
              <w:jc w:val="left"/>
              <w:rPr>
                <w:sz w:val="18"/>
                <w:lang w:val="es-419"/>
              </w:rPr>
            </w:pPr>
            <w:r>
              <w:rPr>
                <w:sz w:val="18"/>
                <w:lang w:val="es-419"/>
              </w:rPr>
              <w:t>15 personas provenientes de 15 </w:t>
            </w:r>
            <w:r w:rsidRPr="0075789D">
              <w:rPr>
                <w:sz w:val="18"/>
                <w:lang w:val="es-419"/>
              </w:rPr>
              <w:t>países asiáticos.</w:t>
            </w:r>
          </w:p>
        </w:tc>
      </w:tr>
    </w:tbl>
    <w:p w:rsidR="00D05087" w:rsidRPr="0075789D" w:rsidRDefault="00D05087" w:rsidP="00D05087">
      <w:pPr>
        <w:rPr>
          <w:lang w:val="es-419"/>
        </w:rPr>
      </w:pPr>
    </w:p>
    <w:p w:rsidR="00D05087" w:rsidRPr="0075789D" w:rsidRDefault="00D05087" w:rsidP="00D05087">
      <w:pPr>
        <w:rPr>
          <w:lang w:val="es-419"/>
        </w:rPr>
      </w:pPr>
    </w:p>
    <w:p w:rsidR="00D05087" w:rsidRPr="0075789D" w:rsidRDefault="00D05087" w:rsidP="00D05087">
      <w:pPr>
        <w:rPr>
          <w:lang w:val="es-419"/>
        </w:rPr>
      </w:pPr>
      <w:r w:rsidRPr="0075789D">
        <w:rPr>
          <w:lang w:val="es-419"/>
        </w:rPr>
        <w:t>II.</w:t>
      </w:r>
      <w:r w:rsidRPr="0075789D">
        <w:rPr>
          <w:lang w:val="es-419"/>
        </w:rPr>
        <w:tab/>
        <w:t xml:space="preserve">OTRAS NOVEDADES DE INTERÉS PARA LA UPOV </w:t>
      </w:r>
    </w:p>
    <w:p w:rsidR="00D05087" w:rsidRPr="0075789D" w:rsidRDefault="00D05087" w:rsidP="00D05087">
      <w:pPr>
        <w:rPr>
          <w:lang w:val="es-419"/>
        </w:rPr>
      </w:pPr>
    </w:p>
    <w:p w:rsidR="00D05087" w:rsidRPr="0075789D" w:rsidRDefault="00D05087" w:rsidP="00D05087">
      <w:pPr>
        <w:rPr>
          <w:lang w:val="es-419"/>
        </w:rPr>
      </w:pPr>
      <w:r w:rsidRPr="0075789D">
        <w:rPr>
          <w:lang w:val="es-419"/>
        </w:rPr>
        <w:t xml:space="preserve">No hay novedades reseñables. </w:t>
      </w:r>
    </w:p>
    <w:p w:rsidR="00D05087" w:rsidRPr="0075789D" w:rsidRDefault="00D05087" w:rsidP="00D05087">
      <w:pPr>
        <w:rPr>
          <w:lang w:val="es-419"/>
        </w:rPr>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X</w:t>
      </w:r>
      <w:r w:rsidR="0075382F" w:rsidRPr="00D36B66">
        <w:t>I</w:t>
      </w:r>
      <w:r w:rsidR="00CE1862">
        <w:t>V</w:t>
      </w:r>
      <w:r>
        <w:t>]</w:t>
      </w:r>
    </w:p>
    <w:p w:rsidR="000362AD" w:rsidRPr="00D36B66" w:rsidRDefault="000362AD" w:rsidP="000362AD"/>
    <w:p w:rsidR="000362AD" w:rsidRPr="00D36B66" w:rsidRDefault="000362AD" w:rsidP="000362AD">
      <w:pPr>
        <w:jc w:val="left"/>
        <w:sectPr w:rsidR="000362AD" w:rsidRPr="00D36B66" w:rsidSect="0049108C">
          <w:headerReference w:type="default" r:id="rId36"/>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X</w:t>
      </w:r>
      <w:r w:rsidR="00CE1862">
        <w:t>IV</w:t>
      </w:r>
    </w:p>
    <w:p w:rsidR="000362AD" w:rsidRPr="00D36B66" w:rsidRDefault="000362AD" w:rsidP="000362AD">
      <w:pPr>
        <w:jc w:val="center"/>
      </w:pPr>
    </w:p>
    <w:p w:rsidR="000362AD" w:rsidRPr="00D36B66" w:rsidRDefault="000362AD" w:rsidP="000362AD">
      <w:pPr>
        <w:jc w:val="center"/>
      </w:pPr>
    </w:p>
    <w:p w:rsidR="003C641A" w:rsidRPr="00D36B66" w:rsidRDefault="003C641A" w:rsidP="003C641A">
      <w:pPr>
        <w:jc w:val="center"/>
      </w:pPr>
      <w:r w:rsidRPr="00D36B66">
        <w:t>REP</w:t>
      </w:r>
      <w:r w:rsidR="000A2928">
        <w:t>Ú</w:t>
      </w:r>
      <w:r w:rsidRPr="00D36B66">
        <w:t>BLIC</w:t>
      </w:r>
      <w:r w:rsidR="000A2928">
        <w:t>A</w:t>
      </w:r>
      <w:r w:rsidRPr="00D36B66">
        <w:t xml:space="preserve"> </w:t>
      </w:r>
      <w:r w:rsidR="000A2928">
        <w:t>DE</w:t>
      </w:r>
      <w:r w:rsidRPr="00D36B66">
        <w:t xml:space="preserve"> MOLDOVA</w:t>
      </w:r>
    </w:p>
    <w:p w:rsidR="003C641A" w:rsidRPr="00D36B66" w:rsidRDefault="003C641A" w:rsidP="003C641A">
      <w:pPr>
        <w:rPr>
          <w:rFonts w:cs="Arial"/>
        </w:rPr>
      </w:pPr>
    </w:p>
    <w:p w:rsidR="003C641A" w:rsidRPr="00D36B66" w:rsidRDefault="003C641A" w:rsidP="003C641A">
      <w:pPr>
        <w:rPr>
          <w:rFonts w:cs="Arial"/>
        </w:rPr>
      </w:pPr>
    </w:p>
    <w:p w:rsidR="007F21B4" w:rsidRPr="0075789D" w:rsidRDefault="007F21B4" w:rsidP="007F21B4">
      <w:pPr>
        <w:rPr>
          <w:lang w:val="es-419"/>
        </w:rPr>
      </w:pPr>
      <w:r w:rsidRPr="0075789D">
        <w:rPr>
          <w:lang w:val="es-419"/>
        </w:rPr>
        <w:t>I.</w:t>
      </w:r>
      <w:r w:rsidRPr="0075789D">
        <w:rPr>
          <w:lang w:val="es-419"/>
        </w:rPr>
        <w:tab/>
        <w:t>PROTECCIÓN DE LAS OBTENCIONES VEGETALES</w:t>
      </w:r>
    </w:p>
    <w:p w:rsidR="007F21B4" w:rsidRPr="0075789D" w:rsidRDefault="007F21B4" w:rsidP="007F21B4">
      <w:pPr>
        <w:tabs>
          <w:tab w:val="left" w:pos="4962"/>
        </w:tabs>
        <w:rPr>
          <w:rFonts w:cs="Arial"/>
          <w:u w:val="single"/>
          <w:lang w:val="es-419"/>
        </w:rPr>
      </w:pPr>
    </w:p>
    <w:p w:rsidR="007F21B4" w:rsidRPr="0075789D" w:rsidRDefault="007F21B4" w:rsidP="007F21B4">
      <w:pPr>
        <w:rPr>
          <w:u w:val="single"/>
          <w:lang w:val="es-419"/>
        </w:rPr>
      </w:pPr>
      <w:r w:rsidRPr="0075789D">
        <w:rPr>
          <w:lang w:val="es-419"/>
        </w:rPr>
        <w:t>1.</w:t>
      </w:r>
      <w:r w:rsidRPr="0075789D">
        <w:rPr>
          <w:lang w:val="es-419"/>
        </w:rPr>
        <w:tab/>
      </w:r>
      <w:r w:rsidRPr="0075789D">
        <w:rPr>
          <w:u w:val="single"/>
          <w:lang w:val="es-419"/>
        </w:rPr>
        <w:t>Situación en el ámbito legislativo</w:t>
      </w:r>
    </w:p>
    <w:p w:rsidR="007F21B4" w:rsidRPr="0075789D" w:rsidRDefault="007F21B4" w:rsidP="007F21B4">
      <w:pPr>
        <w:rPr>
          <w:lang w:val="es-419"/>
        </w:rPr>
      </w:pPr>
    </w:p>
    <w:p w:rsidR="007F21B4" w:rsidRPr="0075789D" w:rsidRDefault="007F21B4" w:rsidP="007F21B4">
      <w:pPr>
        <w:rPr>
          <w:lang w:val="es-419"/>
        </w:rPr>
      </w:pPr>
      <w:r w:rsidRPr="0075789D">
        <w:rPr>
          <w:lang w:val="es-419"/>
        </w:rPr>
        <w:t>1.1.</w:t>
      </w:r>
      <w:r w:rsidRPr="0075789D">
        <w:rPr>
          <w:lang w:val="es-419"/>
        </w:rPr>
        <w:tab/>
        <w:t>Modificaciones de la ley y de los reglamentos: No ha habido modificaciones.</w:t>
      </w:r>
    </w:p>
    <w:p w:rsidR="007F21B4" w:rsidRPr="0075789D" w:rsidRDefault="007F21B4" w:rsidP="007F21B4">
      <w:pPr>
        <w:rPr>
          <w:lang w:val="es-419"/>
        </w:rPr>
      </w:pPr>
    </w:p>
    <w:p w:rsidR="007F21B4" w:rsidRPr="0075789D" w:rsidRDefault="007F21B4" w:rsidP="007F21B4">
      <w:pPr>
        <w:rPr>
          <w:lang w:val="es-419"/>
        </w:rPr>
      </w:pPr>
      <w:r w:rsidRPr="0075789D">
        <w:rPr>
          <w:lang w:val="es-419"/>
        </w:rPr>
        <w:t>1.2.</w:t>
      </w:r>
      <w:r w:rsidRPr="0075789D">
        <w:rPr>
          <w:lang w:val="es-419"/>
        </w:rPr>
        <w:tab/>
        <w:t>Extensión de la protección a otros géneros y especies</w:t>
      </w:r>
    </w:p>
    <w:p w:rsidR="007F21B4" w:rsidRPr="0075789D" w:rsidRDefault="007F21B4" w:rsidP="007F21B4">
      <w:pPr>
        <w:rPr>
          <w:lang w:val="es-419"/>
        </w:rPr>
      </w:pPr>
    </w:p>
    <w:p w:rsidR="007F21B4" w:rsidRPr="0075789D" w:rsidRDefault="007F21B4" w:rsidP="007F21B4">
      <w:pPr>
        <w:ind w:left="567"/>
        <w:rPr>
          <w:lang w:val="es-419"/>
        </w:rPr>
      </w:pPr>
      <w:r w:rsidRPr="0075789D">
        <w:rPr>
          <w:lang w:val="es-419"/>
        </w:rPr>
        <w:t xml:space="preserve">De conformidad con la Ley N.º 39-XVI/2008 sobre la Protección de las Obtenciones Vegetales, se ofrece protección a las variedades de todos los géneros y especies botánicos, incluidos los híbridos </w:t>
      </w:r>
      <w:proofErr w:type="spellStart"/>
      <w:r w:rsidRPr="0075789D">
        <w:rPr>
          <w:lang w:val="es-419"/>
        </w:rPr>
        <w:t>intergenéricos</w:t>
      </w:r>
      <w:proofErr w:type="spellEnd"/>
      <w:r w:rsidRPr="0075789D">
        <w:rPr>
          <w:lang w:val="es-419"/>
        </w:rPr>
        <w:t xml:space="preserve"> e </w:t>
      </w:r>
      <w:proofErr w:type="spellStart"/>
      <w:r w:rsidRPr="0075789D">
        <w:rPr>
          <w:lang w:val="es-419"/>
        </w:rPr>
        <w:t>interespecíficos</w:t>
      </w:r>
      <w:proofErr w:type="spellEnd"/>
      <w:r w:rsidRPr="0075789D">
        <w:rPr>
          <w:lang w:val="es-419"/>
        </w:rPr>
        <w:t>.</w:t>
      </w:r>
    </w:p>
    <w:p w:rsidR="007F21B4" w:rsidRPr="0075789D" w:rsidRDefault="007F21B4" w:rsidP="007F21B4">
      <w:pPr>
        <w:rPr>
          <w:lang w:val="es-419"/>
        </w:rPr>
      </w:pPr>
    </w:p>
    <w:p w:rsidR="007F21B4" w:rsidRPr="0075789D" w:rsidRDefault="007F21B4" w:rsidP="007F21B4">
      <w:pPr>
        <w:rPr>
          <w:lang w:val="es-419"/>
        </w:rPr>
      </w:pPr>
      <w:r w:rsidRPr="0075789D">
        <w:rPr>
          <w:lang w:val="es-419"/>
        </w:rPr>
        <w:t>1.3.</w:t>
      </w:r>
      <w:r w:rsidRPr="0075789D">
        <w:rPr>
          <w:lang w:val="es-419"/>
        </w:rPr>
        <w:tab/>
        <w:t>Jurisprudencia</w:t>
      </w:r>
    </w:p>
    <w:p w:rsidR="007F21B4" w:rsidRPr="0075789D" w:rsidRDefault="007F21B4" w:rsidP="007F21B4">
      <w:pPr>
        <w:rPr>
          <w:lang w:val="es-419"/>
        </w:rPr>
      </w:pPr>
    </w:p>
    <w:p w:rsidR="007F21B4" w:rsidRPr="0075789D" w:rsidRDefault="007F21B4" w:rsidP="007F21B4">
      <w:pPr>
        <w:ind w:left="567"/>
        <w:rPr>
          <w:highlight w:val="yellow"/>
          <w:lang w:val="es-419"/>
        </w:rPr>
      </w:pPr>
      <w:r w:rsidRPr="0075789D">
        <w:rPr>
          <w:lang w:val="es-419"/>
        </w:rPr>
        <w:t>No existen precedentes relativos a la protección del derecho de obtentor.</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lang w:val="es-419"/>
        </w:rPr>
      </w:pPr>
      <w:r w:rsidRPr="0075789D">
        <w:rPr>
          <w:lang w:val="es-419"/>
        </w:rPr>
        <w:t>2.</w:t>
      </w:r>
      <w:r w:rsidRPr="0075789D">
        <w:rPr>
          <w:lang w:val="es-419"/>
        </w:rPr>
        <w:tab/>
      </w:r>
      <w:r w:rsidRPr="0075789D">
        <w:rPr>
          <w:u w:val="single"/>
          <w:lang w:val="es-419"/>
        </w:rPr>
        <w:t>Cooperación en el examen</w:t>
      </w:r>
    </w:p>
    <w:p w:rsidR="007F21B4" w:rsidRPr="0075789D" w:rsidRDefault="007F21B4" w:rsidP="007F21B4">
      <w:pPr>
        <w:rPr>
          <w:lang w:val="es-419"/>
        </w:rPr>
      </w:pPr>
    </w:p>
    <w:p w:rsidR="007F21B4" w:rsidRPr="0075789D" w:rsidRDefault="007F21B4" w:rsidP="007F21B4">
      <w:pPr>
        <w:rPr>
          <w:lang w:val="es-419"/>
        </w:rPr>
      </w:pPr>
      <w:r w:rsidRPr="0075789D">
        <w:rPr>
          <w:lang w:val="es-419"/>
        </w:rPr>
        <w:t>Empleo de informes DHE existentes ofrecidos por:</w:t>
      </w:r>
    </w:p>
    <w:p w:rsidR="007F21B4" w:rsidRPr="0075789D" w:rsidRDefault="007F21B4" w:rsidP="007F21B4">
      <w:pPr>
        <w:numPr>
          <w:ilvl w:val="0"/>
          <w:numId w:val="9"/>
        </w:numPr>
        <w:rPr>
          <w:lang w:val="es-419"/>
        </w:rPr>
      </w:pPr>
      <w:r w:rsidRPr="0075789D">
        <w:rPr>
          <w:lang w:val="es-419"/>
        </w:rPr>
        <w:t>OCVV</w:t>
      </w:r>
    </w:p>
    <w:p w:rsidR="007F21B4" w:rsidRPr="0075789D" w:rsidRDefault="007F21B4" w:rsidP="007F21B4">
      <w:pPr>
        <w:numPr>
          <w:ilvl w:val="0"/>
          <w:numId w:val="9"/>
        </w:numPr>
        <w:rPr>
          <w:lang w:val="es-419"/>
        </w:rPr>
      </w:pPr>
      <w:r w:rsidRPr="0075789D">
        <w:rPr>
          <w:lang w:val="es-419"/>
        </w:rPr>
        <w:t>GEVES, FR</w:t>
      </w:r>
    </w:p>
    <w:p w:rsidR="007F21B4" w:rsidRPr="0075789D" w:rsidRDefault="007F21B4" w:rsidP="007F21B4">
      <w:pPr>
        <w:numPr>
          <w:ilvl w:val="0"/>
          <w:numId w:val="9"/>
        </w:numPr>
        <w:rPr>
          <w:lang w:val="es-419"/>
        </w:rPr>
      </w:pPr>
      <w:proofErr w:type="spellStart"/>
      <w:r w:rsidRPr="0075789D">
        <w:rPr>
          <w:i/>
          <w:iCs/>
          <w:lang w:val="es-419"/>
        </w:rPr>
        <w:t>Bundessortenamt</w:t>
      </w:r>
      <w:proofErr w:type="spellEnd"/>
      <w:r w:rsidRPr="0075789D">
        <w:rPr>
          <w:lang w:val="es-419"/>
        </w:rPr>
        <w:t>, DE</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lang w:val="es-419"/>
        </w:rPr>
      </w:pPr>
      <w:r w:rsidRPr="0075789D">
        <w:rPr>
          <w:lang w:val="es-419"/>
        </w:rPr>
        <w:t>3.</w:t>
      </w:r>
      <w:r w:rsidRPr="0075789D">
        <w:rPr>
          <w:lang w:val="es-419"/>
        </w:rPr>
        <w:tab/>
      </w:r>
      <w:r w:rsidRPr="0075789D">
        <w:rPr>
          <w:u w:val="single"/>
          <w:lang w:val="es-419"/>
        </w:rPr>
        <w:t>Situación en el ámbito administrativo</w:t>
      </w:r>
    </w:p>
    <w:p w:rsidR="007F21B4" w:rsidRPr="0075789D" w:rsidRDefault="007F21B4" w:rsidP="007F21B4">
      <w:pPr>
        <w:rPr>
          <w:lang w:val="es-419"/>
        </w:rPr>
      </w:pPr>
    </w:p>
    <w:p w:rsidR="007F21B4" w:rsidRPr="0075789D" w:rsidRDefault="007F21B4" w:rsidP="007F21B4">
      <w:pPr>
        <w:ind w:left="567"/>
        <w:rPr>
          <w:lang w:val="es-419"/>
        </w:rPr>
      </w:pPr>
      <w:r w:rsidRPr="0075789D">
        <w:rPr>
          <w:lang w:val="es-419"/>
        </w:rPr>
        <w:t>-</w:t>
      </w:r>
      <w:r w:rsidRPr="0075789D">
        <w:rPr>
          <w:lang w:val="es-419"/>
        </w:rPr>
        <w:tab/>
        <w:t>Cambios en la estructura administrativa: No ha habido modificaciones.</w:t>
      </w:r>
    </w:p>
    <w:p w:rsidR="007F21B4" w:rsidRPr="0075789D" w:rsidRDefault="007F21B4" w:rsidP="007F21B4">
      <w:pPr>
        <w:ind w:left="1418" w:hanging="425"/>
        <w:rPr>
          <w:lang w:val="es-419"/>
        </w:rPr>
      </w:pPr>
    </w:p>
    <w:p w:rsidR="007F21B4" w:rsidRPr="0075789D" w:rsidRDefault="007F21B4" w:rsidP="007F21B4">
      <w:pPr>
        <w:ind w:left="567"/>
        <w:rPr>
          <w:lang w:val="es-419"/>
        </w:rPr>
      </w:pPr>
      <w:r w:rsidRPr="0075789D">
        <w:rPr>
          <w:lang w:val="es-419"/>
        </w:rPr>
        <w:t>-</w:t>
      </w:r>
      <w:r w:rsidRPr="0075789D">
        <w:rPr>
          <w:lang w:val="es-419"/>
        </w:rPr>
        <w:tab/>
        <w:t>Cambios en los procedimientos y sistemas administrativos: No ha habido modificaciones.</w:t>
      </w:r>
    </w:p>
    <w:p w:rsidR="007F21B4" w:rsidRPr="0075789D" w:rsidRDefault="007F21B4" w:rsidP="007F21B4">
      <w:pPr>
        <w:rPr>
          <w:lang w:val="es-419"/>
        </w:rPr>
      </w:pPr>
    </w:p>
    <w:p w:rsidR="007F21B4" w:rsidRPr="0075789D" w:rsidRDefault="007F21B4" w:rsidP="007F21B4">
      <w:pPr>
        <w:overflowPunct w:val="0"/>
        <w:autoSpaceDE w:val="0"/>
        <w:autoSpaceDN w:val="0"/>
        <w:adjustRightInd w:val="0"/>
        <w:textAlignment w:val="baseline"/>
        <w:rPr>
          <w:i/>
          <w:lang w:val="es-419"/>
        </w:rPr>
      </w:pPr>
      <w:r w:rsidRPr="0075789D">
        <w:rPr>
          <w:i/>
          <w:lang w:val="es-419"/>
        </w:rPr>
        <w:t xml:space="preserve">Cambios en el procedimiento y en el sistema de protección </w:t>
      </w:r>
    </w:p>
    <w:p w:rsidR="007F21B4" w:rsidRPr="0075789D" w:rsidRDefault="007F21B4" w:rsidP="007F21B4">
      <w:pPr>
        <w:rPr>
          <w:lang w:val="es-419"/>
        </w:rPr>
      </w:pPr>
    </w:p>
    <w:p w:rsidR="007F21B4" w:rsidRPr="0075789D" w:rsidRDefault="007F21B4" w:rsidP="007F21B4">
      <w:pPr>
        <w:rPr>
          <w:lang w:val="es-419"/>
        </w:rPr>
      </w:pPr>
      <w:r w:rsidRPr="0075789D">
        <w:rPr>
          <w:lang w:val="es-419"/>
        </w:rPr>
        <w:t>Se elaboraron cinco directrices nacionales de examen de:</w:t>
      </w:r>
    </w:p>
    <w:p w:rsidR="007F21B4" w:rsidRPr="0075789D" w:rsidRDefault="007F21B4" w:rsidP="007F21B4">
      <w:pPr>
        <w:pStyle w:val="ListParagraph"/>
        <w:numPr>
          <w:ilvl w:val="0"/>
          <w:numId w:val="29"/>
        </w:numPr>
        <w:jc w:val="both"/>
        <w:rPr>
          <w:rFonts w:cs="Arial"/>
          <w:szCs w:val="20"/>
          <w:lang w:val="es-419"/>
        </w:rPr>
      </w:pPr>
      <w:r w:rsidRPr="0075789D">
        <w:rPr>
          <w:lang w:val="es-419"/>
        </w:rPr>
        <w:t>orégano (</w:t>
      </w:r>
      <w:proofErr w:type="spellStart"/>
      <w:r w:rsidRPr="0075789D">
        <w:rPr>
          <w:i/>
          <w:lang w:val="es-419"/>
        </w:rPr>
        <w:t>Origanum</w:t>
      </w:r>
      <w:proofErr w:type="spellEnd"/>
      <w:r w:rsidRPr="0075789D">
        <w:rPr>
          <w:i/>
          <w:lang w:val="es-419"/>
        </w:rPr>
        <w:t xml:space="preserve"> </w:t>
      </w:r>
      <w:proofErr w:type="spellStart"/>
      <w:r w:rsidRPr="0075789D">
        <w:rPr>
          <w:i/>
          <w:lang w:val="es-419"/>
        </w:rPr>
        <w:t>vulgare</w:t>
      </w:r>
      <w:proofErr w:type="spellEnd"/>
      <w:r w:rsidRPr="0075789D">
        <w:rPr>
          <w:i/>
          <w:lang w:val="es-419"/>
        </w:rPr>
        <w:t xml:space="preserve"> </w:t>
      </w:r>
      <w:r w:rsidRPr="0075789D">
        <w:rPr>
          <w:lang w:val="es-419"/>
        </w:rPr>
        <w:t>L.): reunión/21/1</w:t>
      </w:r>
    </w:p>
    <w:p w:rsidR="007F21B4" w:rsidRPr="0075789D" w:rsidRDefault="007F21B4" w:rsidP="007F21B4">
      <w:pPr>
        <w:pStyle w:val="ListParagraph"/>
        <w:numPr>
          <w:ilvl w:val="0"/>
          <w:numId w:val="29"/>
        </w:numPr>
        <w:jc w:val="both"/>
        <w:rPr>
          <w:rFonts w:cs="Arial"/>
          <w:color w:val="000000"/>
          <w:szCs w:val="20"/>
          <w:lang w:val="es-419"/>
        </w:rPr>
      </w:pPr>
      <w:proofErr w:type="spellStart"/>
      <w:r w:rsidRPr="0075789D">
        <w:rPr>
          <w:lang w:val="es-419"/>
        </w:rPr>
        <w:t>elecampana</w:t>
      </w:r>
      <w:proofErr w:type="spellEnd"/>
      <w:r w:rsidRPr="0075789D">
        <w:rPr>
          <w:lang w:val="es-419"/>
        </w:rPr>
        <w:t xml:space="preserve"> (</w:t>
      </w:r>
      <w:proofErr w:type="spellStart"/>
      <w:r w:rsidRPr="0075789D">
        <w:rPr>
          <w:i/>
          <w:iCs/>
          <w:lang w:val="es-419"/>
        </w:rPr>
        <w:t>Inula</w:t>
      </w:r>
      <w:proofErr w:type="spellEnd"/>
      <w:r w:rsidRPr="0075789D">
        <w:rPr>
          <w:i/>
          <w:iCs/>
          <w:lang w:val="es-419"/>
        </w:rPr>
        <w:t xml:space="preserve"> </w:t>
      </w:r>
      <w:proofErr w:type="spellStart"/>
      <w:r w:rsidRPr="0075789D">
        <w:rPr>
          <w:i/>
          <w:iCs/>
          <w:lang w:val="es-419"/>
        </w:rPr>
        <w:t>helenium</w:t>
      </w:r>
      <w:proofErr w:type="spellEnd"/>
      <w:r w:rsidRPr="0075789D">
        <w:rPr>
          <w:lang w:val="es-419"/>
        </w:rPr>
        <w:t xml:space="preserve"> L.): reunión/22/1</w:t>
      </w:r>
    </w:p>
    <w:p w:rsidR="007F21B4" w:rsidRPr="0075789D" w:rsidRDefault="007F21B4" w:rsidP="007F21B4">
      <w:pPr>
        <w:pStyle w:val="ListParagraph"/>
        <w:numPr>
          <w:ilvl w:val="0"/>
          <w:numId w:val="29"/>
        </w:numPr>
        <w:jc w:val="both"/>
        <w:rPr>
          <w:rFonts w:cs="Arial"/>
          <w:szCs w:val="20"/>
          <w:lang w:val="es-419"/>
        </w:rPr>
      </w:pPr>
      <w:proofErr w:type="spellStart"/>
      <w:r w:rsidRPr="0075789D">
        <w:rPr>
          <w:lang w:val="es-419"/>
        </w:rPr>
        <w:t>kniphofia</w:t>
      </w:r>
      <w:proofErr w:type="spellEnd"/>
      <w:r w:rsidRPr="0075789D">
        <w:rPr>
          <w:lang w:val="es-419"/>
        </w:rPr>
        <w:t xml:space="preserve"> (</w:t>
      </w:r>
      <w:proofErr w:type="spellStart"/>
      <w:r w:rsidRPr="0075789D">
        <w:rPr>
          <w:i/>
          <w:lang w:val="es-419"/>
        </w:rPr>
        <w:t>Kniphofia</w:t>
      </w:r>
      <w:proofErr w:type="spellEnd"/>
      <w:r w:rsidRPr="0075789D">
        <w:rPr>
          <w:lang w:val="es-419"/>
        </w:rPr>
        <w:t xml:space="preserve"> </w:t>
      </w:r>
      <w:proofErr w:type="spellStart"/>
      <w:r w:rsidRPr="0075789D">
        <w:rPr>
          <w:lang w:val="es-419"/>
        </w:rPr>
        <w:t>Moench</w:t>
      </w:r>
      <w:proofErr w:type="spellEnd"/>
      <w:r w:rsidRPr="0075789D">
        <w:rPr>
          <w:lang w:val="es-419"/>
        </w:rPr>
        <w:t>): reunión /23/1</w:t>
      </w:r>
    </w:p>
    <w:p w:rsidR="007F21B4" w:rsidRPr="0075789D" w:rsidRDefault="007F21B4" w:rsidP="007F21B4">
      <w:pPr>
        <w:pStyle w:val="ListParagraph"/>
        <w:numPr>
          <w:ilvl w:val="0"/>
          <w:numId w:val="29"/>
        </w:numPr>
        <w:spacing w:line="276" w:lineRule="auto"/>
        <w:ind w:right="34"/>
        <w:jc w:val="both"/>
        <w:rPr>
          <w:rFonts w:cs="Arial"/>
          <w:szCs w:val="20"/>
          <w:lang w:val="es-419"/>
        </w:rPr>
      </w:pPr>
      <w:proofErr w:type="spellStart"/>
      <w:r w:rsidRPr="0075789D">
        <w:rPr>
          <w:lang w:val="es-419"/>
        </w:rPr>
        <w:t>astragalus</w:t>
      </w:r>
      <w:proofErr w:type="spellEnd"/>
      <w:r w:rsidRPr="0075789D">
        <w:rPr>
          <w:lang w:val="es-419"/>
        </w:rPr>
        <w:t xml:space="preserve"> (</w:t>
      </w:r>
      <w:proofErr w:type="spellStart"/>
      <w:r w:rsidRPr="0075789D">
        <w:rPr>
          <w:i/>
          <w:iCs/>
          <w:lang w:val="es-419"/>
        </w:rPr>
        <w:t>Astragalus</w:t>
      </w:r>
      <w:proofErr w:type="spellEnd"/>
      <w:r w:rsidRPr="0075789D">
        <w:rPr>
          <w:i/>
          <w:iCs/>
          <w:lang w:val="es-419"/>
        </w:rPr>
        <w:t xml:space="preserve"> </w:t>
      </w:r>
      <w:proofErr w:type="spellStart"/>
      <w:r w:rsidRPr="0075789D">
        <w:rPr>
          <w:i/>
          <w:iCs/>
          <w:lang w:val="es-419"/>
        </w:rPr>
        <w:t>galegiformis</w:t>
      </w:r>
      <w:proofErr w:type="spellEnd"/>
      <w:r w:rsidRPr="0075789D">
        <w:rPr>
          <w:lang w:val="es-419"/>
        </w:rPr>
        <w:t xml:space="preserve"> L.): reunión /24/1</w:t>
      </w:r>
    </w:p>
    <w:p w:rsidR="007F21B4" w:rsidRPr="0075789D" w:rsidRDefault="007F21B4" w:rsidP="007F21B4">
      <w:pPr>
        <w:pStyle w:val="ListParagraph"/>
        <w:numPr>
          <w:ilvl w:val="0"/>
          <w:numId w:val="29"/>
        </w:numPr>
        <w:spacing w:line="276" w:lineRule="auto"/>
        <w:ind w:right="34"/>
        <w:jc w:val="both"/>
        <w:rPr>
          <w:rFonts w:cs="Arial"/>
          <w:szCs w:val="20"/>
          <w:lang w:val="es-419"/>
        </w:rPr>
      </w:pPr>
      <w:r w:rsidRPr="0075789D">
        <w:rPr>
          <w:lang w:val="es-419"/>
        </w:rPr>
        <w:t>topinambur (</w:t>
      </w:r>
      <w:proofErr w:type="spellStart"/>
      <w:r w:rsidRPr="0075789D">
        <w:rPr>
          <w:i/>
          <w:lang w:val="es-419"/>
        </w:rPr>
        <w:t>Helianthus</w:t>
      </w:r>
      <w:proofErr w:type="spellEnd"/>
      <w:r w:rsidRPr="0075789D">
        <w:rPr>
          <w:i/>
          <w:lang w:val="es-419"/>
        </w:rPr>
        <w:t xml:space="preserve"> </w:t>
      </w:r>
      <w:proofErr w:type="spellStart"/>
      <w:r w:rsidRPr="0075789D">
        <w:rPr>
          <w:i/>
          <w:lang w:val="es-419"/>
        </w:rPr>
        <w:t>tuberosus</w:t>
      </w:r>
      <w:proofErr w:type="spellEnd"/>
      <w:r w:rsidRPr="0075789D">
        <w:rPr>
          <w:i/>
          <w:lang w:val="es-419"/>
        </w:rPr>
        <w:t xml:space="preserve"> </w:t>
      </w:r>
      <w:r w:rsidRPr="0075789D">
        <w:rPr>
          <w:lang w:val="es-419"/>
        </w:rPr>
        <w:t>L.): reunión/25/1</w:t>
      </w:r>
    </w:p>
    <w:p w:rsidR="007F21B4" w:rsidRPr="0075789D" w:rsidRDefault="007F21B4" w:rsidP="007F21B4">
      <w:pPr>
        <w:rPr>
          <w:lang w:val="es-419"/>
        </w:rPr>
      </w:pPr>
    </w:p>
    <w:p w:rsidR="007F21B4" w:rsidRPr="0075789D" w:rsidRDefault="007F21B4" w:rsidP="007F21B4">
      <w:pPr>
        <w:rPr>
          <w:i/>
          <w:lang w:val="es-419"/>
        </w:rPr>
      </w:pPr>
      <w:r w:rsidRPr="0075789D">
        <w:rPr>
          <w:i/>
          <w:lang w:val="es-419"/>
        </w:rPr>
        <w:t>Estadísticas</w:t>
      </w:r>
    </w:p>
    <w:p w:rsidR="007F21B4" w:rsidRPr="0075789D" w:rsidRDefault="007F21B4" w:rsidP="007F21B4">
      <w:pPr>
        <w:rPr>
          <w:lang w:val="es-419"/>
        </w:rPr>
      </w:pPr>
    </w:p>
    <w:p w:rsidR="007F21B4" w:rsidRPr="0075789D" w:rsidRDefault="007F21B4" w:rsidP="007F21B4">
      <w:pPr>
        <w:rPr>
          <w:lang w:val="es-419"/>
        </w:rPr>
      </w:pPr>
      <w:r w:rsidRPr="0075789D">
        <w:rPr>
          <w:lang w:val="es-419"/>
        </w:rPr>
        <w:t>En el período comprendido entre el 1 de enero y el 31 de diciembre de 2021:</w:t>
      </w:r>
    </w:p>
    <w:p w:rsidR="007F21B4" w:rsidRPr="0075789D" w:rsidRDefault="007F21B4" w:rsidP="007F21B4">
      <w:pPr>
        <w:rPr>
          <w:lang w:val="es-419"/>
        </w:rPr>
      </w:pPr>
    </w:p>
    <w:p w:rsidR="007F21B4" w:rsidRPr="0075789D" w:rsidRDefault="007F21B4" w:rsidP="007F21B4">
      <w:pPr>
        <w:spacing w:after="120"/>
        <w:ind w:left="567" w:hanging="567"/>
        <w:rPr>
          <w:lang w:val="es-419"/>
        </w:rPr>
      </w:pPr>
      <w:r w:rsidRPr="0075789D">
        <w:rPr>
          <w:lang w:val="es-419"/>
        </w:rPr>
        <w:t xml:space="preserve">- se recibieron 15 solicitudes (10 de solicitantes nacionales y 5 de solicitantes de otros países) de: </w:t>
      </w:r>
    </w:p>
    <w:p w:rsidR="007F21B4" w:rsidRPr="0075789D" w:rsidRDefault="007F21B4" w:rsidP="007F21B4">
      <w:pPr>
        <w:pStyle w:val="NoSpacing"/>
        <w:ind w:left="567"/>
        <w:rPr>
          <w:rFonts w:ascii="Arial" w:hAnsi="Arial" w:cs="Arial"/>
          <w:lang w:val="es-419"/>
        </w:rPr>
      </w:pPr>
      <w:r w:rsidRPr="0075789D">
        <w:rPr>
          <w:rFonts w:ascii="Arial" w:hAnsi="Arial"/>
          <w:lang w:val="es-419"/>
        </w:rPr>
        <w:t>manzano (</w:t>
      </w:r>
      <w:proofErr w:type="spellStart"/>
      <w:r w:rsidRPr="0075789D">
        <w:rPr>
          <w:rFonts w:ascii="Arial" w:hAnsi="Arial"/>
          <w:i/>
          <w:iCs/>
          <w:lang w:val="es-419"/>
        </w:rPr>
        <w:t>Malus</w:t>
      </w:r>
      <w:proofErr w:type="spellEnd"/>
      <w:r w:rsidRPr="0075789D">
        <w:rPr>
          <w:rFonts w:ascii="Arial" w:hAnsi="Arial"/>
          <w:i/>
          <w:iCs/>
          <w:lang w:val="es-419"/>
        </w:rPr>
        <w:t xml:space="preserve"> domestica</w:t>
      </w:r>
      <w:r w:rsidRPr="0075789D">
        <w:rPr>
          <w:rFonts w:ascii="Arial" w:hAnsi="Arial"/>
          <w:lang w:val="es-419"/>
        </w:rPr>
        <w:t xml:space="preserve"> </w:t>
      </w:r>
      <w:proofErr w:type="spellStart"/>
      <w:r w:rsidRPr="0075789D">
        <w:rPr>
          <w:rFonts w:ascii="Arial" w:hAnsi="Arial"/>
          <w:lang w:val="es-419"/>
        </w:rPr>
        <w:t>Borkh</w:t>
      </w:r>
      <w:proofErr w:type="spellEnd"/>
      <w:r w:rsidRPr="0075789D">
        <w:rPr>
          <w:rFonts w:ascii="Arial" w:hAnsi="Arial"/>
          <w:lang w:val="es-419"/>
        </w:rPr>
        <w:t>.): 2</w:t>
      </w:r>
    </w:p>
    <w:p w:rsidR="007F21B4" w:rsidRPr="0075789D" w:rsidRDefault="007F21B4" w:rsidP="007F21B4">
      <w:pPr>
        <w:pStyle w:val="NoSpacing"/>
        <w:ind w:left="567"/>
        <w:rPr>
          <w:rFonts w:ascii="Arial" w:hAnsi="Arial" w:cs="Arial"/>
          <w:lang w:val="es-419"/>
        </w:rPr>
      </w:pPr>
      <w:r w:rsidRPr="0075789D">
        <w:rPr>
          <w:rFonts w:ascii="Arial" w:hAnsi="Arial"/>
          <w:lang w:val="es-419"/>
        </w:rPr>
        <w:t>girasol (</w:t>
      </w:r>
      <w:proofErr w:type="spellStart"/>
      <w:r w:rsidRPr="0075789D">
        <w:rPr>
          <w:rFonts w:ascii="Arial" w:hAnsi="Arial"/>
          <w:i/>
          <w:lang w:val="es-419"/>
        </w:rPr>
        <w:t>Helianthus</w:t>
      </w:r>
      <w:proofErr w:type="spellEnd"/>
      <w:r w:rsidRPr="0075789D">
        <w:rPr>
          <w:rFonts w:ascii="Arial" w:hAnsi="Arial"/>
          <w:i/>
          <w:lang w:val="es-419"/>
        </w:rPr>
        <w:t xml:space="preserve"> </w:t>
      </w:r>
      <w:proofErr w:type="spellStart"/>
      <w:r w:rsidRPr="0075789D">
        <w:rPr>
          <w:rFonts w:ascii="Arial" w:hAnsi="Arial"/>
          <w:i/>
          <w:lang w:val="es-419"/>
        </w:rPr>
        <w:t>annuus</w:t>
      </w:r>
      <w:proofErr w:type="spellEnd"/>
      <w:r w:rsidRPr="0075789D">
        <w:rPr>
          <w:rFonts w:ascii="Arial" w:hAnsi="Arial"/>
          <w:lang w:val="es-419"/>
        </w:rPr>
        <w:t>):1</w:t>
      </w:r>
    </w:p>
    <w:p w:rsidR="007F21B4" w:rsidRPr="0075789D" w:rsidRDefault="007F21B4" w:rsidP="007F21B4">
      <w:pPr>
        <w:pStyle w:val="NoSpacing"/>
        <w:ind w:left="567"/>
        <w:rPr>
          <w:rFonts w:ascii="Arial" w:hAnsi="Arial" w:cs="Arial"/>
          <w:lang w:val="es-419"/>
        </w:rPr>
      </w:pPr>
      <w:r w:rsidRPr="0075789D">
        <w:rPr>
          <w:rFonts w:ascii="Arial" w:hAnsi="Arial"/>
          <w:lang w:val="es-419"/>
        </w:rPr>
        <w:t>cebada (</w:t>
      </w:r>
      <w:proofErr w:type="spellStart"/>
      <w:r w:rsidRPr="0075789D">
        <w:rPr>
          <w:rFonts w:ascii="Arial" w:hAnsi="Arial"/>
          <w:i/>
          <w:iCs/>
          <w:lang w:val="es-419"/>
        </w:rPr>
        <w:t>Hordeum</w:t>
      </w:r>
      <w:proofErr w:type="spellEnd"/>
      <w:r w:rsidRPr="0075789D">
        <w:rPr>
          <w:rFonts w:ascii="Arial" w:hAnsi="Arial"/>
          <w:i/>
          <w:iCs/>
          <w:lang w:val="es-419"/>
        </w:rPr>
        <w:t xml:space="preserve"> </w:t>
      </w:r>
      <w:proofErr w:type="spellStart"/>
      <w:r w:rsidRPr="0075789D">
        <w:rPr>
          <w:rFonts w:ascii="Arial" w:hAnsi="Arial"/>
          <w:i/>
          <w:iCs/>
          <w:lang w:val="es-419"/>
        </w:rPr>
        <w:t>vulgare</w:t>
      </w:r>
      <w:proofErr w:type="spellEnd"/>
      <w:r w:rsidRPr="0075789D">
        <w:rPr>
          <w:rFonts w:ascii="Arial" w:hAnsi="Arial"/>
          <w:lang w:val="es-419"/>
        </w:rPr>
        <w:t xml:space="preserve"> L.): 1</w:t>
      </w:r>
    </w:p>
    <w:p w:rsidR="007F21B4" w:rsidRPr="0075789D" w:rsidRDefault="007F21B4" w:rsidP="007F21B4">
      <w:pPr>
        <w:ind w:left="567"/>
        <w:rPr>
          <w:rFonts w:cs="Arial"/>
          <w:lang w:val="es-419"/>
        </w:rPr>
      </w:pPr>
      <w:r w:rsidRPr="0075789D">
        <w:rPr>
          <w:lang w:val="es-419"/>
        </w:rPr>
        <w:t>trigo (</w:t>
      </w:r>
      <w:proofErr w:type="spellStart"/>
      <w:r w:rsidRPr="0075789D">
        <w:rPr>
          <w:i/>
          <w:iCs/>
          <w:lang w:val="es-419"/>
        </w:rPr>
        <w:t>Triticum</w:t>
      </w:r>
      <w:proofErr w:type="spellEnd"/>
      <w:r w:rsidRPr="0075789D">
        <w:rPr>
          <w:i/>
          <w:iCs/>
          <w:lang w:val="es-419"/>
        </w:rPr>
        <w:t xml:space="preserve"> </w:t>
      </w:r>
      <w:proofErr w:type="spellStart"/>
      <w:r w:rsidRPr="0075789D">
        <w:rPr>
          <w:i/>
          <w:iCs/>
          <w:lang w:val="es-419"/>
        </w:rPr>
        <w:t>aestivum</w:t>
      </w:r>
      <w:proofErr w:type="spellEnd"/>
      <w:r w:rsidRPr="0075789D">
        <w:rPr>
          <w:lang w:val="es-419"/>
        </w:rPr>
        <w:t xml:space="preserve"> L.): 2</w:t>
      </w:r>
    </w:p>
    <w:p w:rsidR="007F21B4" w:rsidRPr="0075789D" w:rsidRDefault="007F21B4" w:rsidP="007F21B4">
      <w:pPr>
        <w:ind w:left="567"/>
        <w:rPr>
          <w:rFonts w:cs="Arial"/>
          <w:lang w:val="es-419"/>
        </w:rPr>
      </w:pPr>
      <w:r w:rsidRPr="0075789D">
        <w:rPr>
          <w:lang w:val="es-419"/>
        </w:rPr>
        <w:t>lavanda (</w:t>
      </w:r>
      <w:proofErr w:type="spellStart"/>
      <w:r w:rsidRPr="0075789D">
        <w:rPr>
          <w:i/>
          <w:iCs/>
          <w:lang w:val="es-419"/>
        </w:rPr>
        <w:t>Lavandula</w:t>
      </w:r>
      <w:proofErr w:type="spellEnd"/>
      <w:r w:rsidRPr="0075789D">
        <w:rPr>
          <w:i/>
          <w:iCs/>
          <w:lang w:val="es-419"/>
        </w:rPr>
        <w:t xml:space="preserve"> angustifolia</w:t>
      </w:r>
      <w:r>
        <w:rPr>
          <w:lang w:val="es-419"/>
        </w:rPr>
        <w:t xml:space="preserve"> </w:t>
      </w:r>
      <w:proofErr w:type="spellStart"/>
      <w:r>
        <w:rPr>
          <w:lang w:val="es-419"/>
        </w:rPr>
        <w:t>Mill</w:t>
      </w:r>
      <w:proofErr w:type="spellEnd"/>
      <w:r>
        <w:rPr>
          <w:lang w:val="es-419"/>
        </w:rPr>
        <w:t>.)</w:t>
      </w:r>
      <w:r w:rsidRPr="0075789D">
        <w:rPr>
          <w:lang w:val="es-419"/>
        </w:rPr>
        <w:t>: 2</w:t>
      </w:r>
    </w:p>
    <w:p w:rsidR="007F21B4" w:rsidRPr="0075789D" w:rsidRDefault="007F21B4" w:rsidP="007F21B4">
      <w:pPr>
        <w:ind w:left="567"/>
        <w:rPr>
          <w:rFonts w:cs="Arial"/>
          <w:lang w:val="es-419"/>
        </w:rPr>
      </w:pPr>
      <w:r w:rsidRPr="0075789D">
        <w:rPr>
          <w:lang w:val="es-419"/>
        </w:rPr>
        <w:t>siempreviva (</w:t>
      </w:r>
      <w:proofErr w:type="spellStart"/>
      <w:r w:rsidRPr="0075789D">
        <w:rPr>
          <w:i/>
          <w:lang w:val="es-419"/>
        </w:rPr>
        <w:t>Helichrysum</w:t>
      </w:r>
      <w:proofErr w:type="spellEnd"/>
      <w:r w:rsidRPr="0075789D">
        <w:rPr>
          <w:i/>
          <w:lang w:val="es-419"/>
        </w:rPr>
        <w:t xml:space="preserve"> </w:t>
      </w:r>
      <w:proofErr w:type="spellStart"/>
      <w:r w:rsidRPr="0075789D">
        <w:rPr>
          <w:i/>
          <w:lang w:val="es-419"/>
        </w:rPr>
        <w:t>italicam</w:t>
      </w:r>
      <w:proofErr w:type="spellEnd"/>
      <w:r w:rsidRPr="0075789D">
        <w:rPr>
          <w:lang w:val="es-419"/>
        </w:rPr>
        <w:t xml:space="preserve"> </w:t>
      </w:r>
      <w:proofErr w:type="spellStart"/>
      <w:r w:rsidRPr="0075789D">
        <w:rPr>
          <w:lang w:val="es-419"/>
        </w:rPr>
        <w:t>Rhot</w:t>
      </w:r>
      <w:proofErr w:type="spellEnd"/>
      <w:r w:rsidRPr="0075789D">
        <w:rPr>
          <w:lang w:val="es-419"/>
        </w:rPr>
        <w:t xml:space="preserve"> </w:t>
      </w:r>
      <w:proofErr w:type="spellStart"/>
      <w:r w:rsidRPr="0075789D">
        <w:rPr>
          <w:lang w:val="es-419"/>
        </w:rPr>
        <w:t>Guss</w:t>
      </w:r>
      <w:proofErr w:type="spellEnd"/>
      <w:r w:rsidRPr="0075789D">
        <w:rPr>
          <w:lang w:val="es-419"/>
        </w:rPr>
        <w:t>.): 1</w:t>
      </w:r>
    </w:p>
    <w:p w:rsidR="007F21B4" w:rsidRPr="0075789D" w:rsidRDefault="007F21B4" w:rsidP="007F21B4">
      <w:pPr>
        <w:ind w:left="567"/>
        <w:rPr>
          <w:rFonts w:cs="Arial"/>
          <w:lang w:val="es-419"/>
        </w:rPr>
      </w:pPr>
      <w:proofErr w:type="spellStart"/>
      <w:r w:rsidRPr="0075789D">
        <w:rPr>
          <w:lang w:val="es-419"/>
        </w:rPr>
        <w:t>portainjertos</w:t>
      </w:r>
      <w:proofErr w:type="spellEnd"/>
      <w:r w:rsidRPr="0075789D">
        <w:rPr>
          <w:lang w:val="es-419"/>
        </w:rPr>
        <w:t xml:space="preserve"> de </w:t>
      </w:r>
      <w:proofErr w:type="spellStart"/>
      <w:r w:rsidRPr="0075789D">
        <w:rPr>
          <w:lang w:val="es-419"/>
        </w:rPr>
        <w:t>prunus</w:t>
      </w:r>
      <w:proofErr w:type="spellEnd"/>
      <w:r w:rsidRPr="0075789D">
        <w:rPr>
          <w:lang w:val="es-419"/>
        </w:rPr>
        <w:t xml:space="preserve"> (</w:t>
      </w:r>
      <w:proofErr w:type="spellStart"/>
      <w:r w:rsidRPr="0075789D">
        <w:rPr>
          <w:i/>
          <w:iCs/>
          <w:lang w:val="es-419"/>
        </w:rPr>
        <w:t>Prunus</w:t>
      </w:r>
      <w:proofErr w:type="spellEnd"/>
      <w:r w:rsidRPr="0075789D">
        <w:rPr>
          <w:lang w:val="es-419"/>
        </w:rPr>
        <w:t xml:space="preserve"> L.): 3</w:t>
      </w:r>
    </w:p>
    <w:p w:rsidR="007F21B4" w:rsidRPr="0075789D" w:rsidRDefault="007F21B4" w:rsidP="007F21B4">
      <w:pPr>
        <w:ind w:left="567"/>
        <w:rPr>
          <w:rFonts w:cs="Arial"/>
          <w:lang w:val="es-419"/>
        </w:rPr>
      </w:pPr>
      <w:r w:rsidRPr="0075789D">
        <w:rPr>
          <w:lang w:val="es-419"/>
        </w:rPr>
        <w:t>crisantemo (</w:t>
      </w:r>
      <w:proofErr w:type="spellStart"/>
      <w:r w:rsidRPr="0075789D">
        <w:rPr>
          <w:i/>
          <w:iCs/>
          <w:lang w:val="es-419"/>
        </w:rPr>
        <w:t>Chrysanthemum</w:t>
      </w:r>
      <w:proofErr w:type="spellEnd"/>
      <w:r w:rsidRPr="0075789D">
        <w:rPr>
          <w:i/>
          <w:iCs/>
          <w:lang w:val="es-419"/>
        </w:rPr>
        <w:t xml:space="preserve"> </w:t>
      </w:r>
      <w:proofErr w:type="spellStart"/>
      <w:r w:rsidRPr="0075789D">
        <w:rPr>
          <w:i/>
          <w:iCs/>
          <w:lang w:val="es-419"/>
        </w:rPr>
        <w:t>indicum</w:t>
      </w:r>
      <w:proofErr w:type="spellEnd"/>
      <w:r w:rsidRPr="0075789D">
        <w:rPr>
          <w:lang w:val="es-419"/>
        </w:rPr>
        <w:t xml:space="preserve"> L.): 1</w:t>
      </w:r>
    </w:p>
    <w:p w:rsidR="007F21B4" w:rsidRPr="0075789D" w:rsidRDefault="007F21B4" w:rsidP="007F21B4">
      <w:pPr>
        <w:ind w:left="567"/>
        <w:rPr>
          <w:rFonts w:cs="Arial"/>
          <w:lang w:val="es-419"/>
        </w:rPr>
      </w:pPr>
      <w:r w:rsidRPr="0075789D">
        <w:rPr>
          <w:lang w:val="es-419"/>
        </w:rPr>
        <w:t>lirio de día (</w:t>
      </w:r>
      <w:proofErr w:type="spellStart"/>
      <w:r w:rsidRPr="0075789D">
        <w:rPr>
          <w:i/>
          <w:lang w:val="es-419"/>
        </w:rPr>
        <w:t>Hemerocallis</w:t>
      </w:r>
      <w:proofErr w:type="spellEnd"/>
      <w:r w:rsidRPr="0075789D">
        <w:rPr>
          <w:i/>
          <w:lang w:val="es-419"/>
        </w:rPr>
        <w:t xml:space="preserve"> x hibrida </w:t>
      </w:r>
      <w:proofErr w:type="spellStart"/>
      <w:r w:rsidRPr="0075789D">
        <w:rPr>
          <w:i/>
          <w:lang w:val="es-419"/>
        </w:rPr>
        <w:t>hort</w:t>
      </w:r>
      <w:proofErr w:type="spellEnd"/>
      <w:r>
        <w:rPr>
          <w:lang w:val="es-419"/>
        </w:rPr>
        <w:t>.)</w:t>
      </w:r>
      <w:r w:rsidRPr="0075789D">
        <w:rPr>
          <w:lang w:val="es-419"/>
        </w:rPr>
        <w:t>: 1</w:t>
      </w:r>
    </w:p>
    <w:p w:rsidR="007F21B4" w:rsidRPr="0075789D" w:rsidRDefault="007F21B4" w:rsidP="007F21B4">
      <w:pPr>
        <w:ind w:left="567"/>
        <w:rPr>
          <w:rFonts w:eastAsia="Calibri"/>
          <w:b/>
          <w:bCs/>
          <w:i/>
          <w:iCs/>
          <w:sz w:val="24"/>
          <w:szCs w:val="24"/>
          <w:lang w:val="es-419"/>
        </w:rPr>
      </w:pPr>
      <w:r w:rsidRPr="0075789D">
        <w:rPr>
          <w:lang w:val="es-419"/>
        </w:rPr>
        <w:t>peral (</w:t>
      </w:r>
      <w:proofErr w:type="spellStart"/>
      <w:r w:rsidRPr="0075789D">
        <w:rPr>
          <w:i/>
          <w:iCs/>
          <w:lang w:val="es-419"/>
        </w:rPr>
        <w:t>Pyrus</w:t>
      </w:r>
      <w:proofErr w:type="spellEnd"/>
      <w:r w:rsidRPr="0075789D">
        <w:rPr>
          <w:i/>
          <w:iCs/>
          <w:lang w:val="es-419"/>
        </w:rPr>
        <w:t xml:space="preserve"> </w:t>
      </w:r>
      <w:proofErr w:type="spellStart"/>
      <w:r w:rsidRPr="0075789D">
        <w:rPr>
          <w:i/>
          <w:iCs/>
          <w:lang w:val="es-419"/>
        </w:rPr>
        <w:t>communis</w:t>
      </w:r>
      <w:proofErr w:type="spellEnd"/>
      <w:r w:rsidRPr="0075789D">
        <w:rPr>
          <w:lang w:val="es-419"/>
        </w:rPr>
        <w:t xml:space="preserve"> L.): 1</w:t>
      </w:r>
    </w:p>
    <w:p w:rsidR="007F21B4" w:rsidRPr="0075789D" w:rsidRDefault="007F21B4" w:rsidP="007F21B4">
      <w:pPr>
        <w:pStyle w:val="NoSpacing"/>
        <w:rPr>
          <w:sz w:val="24"/>
          <w:szCs w:val="24"/>
          <w:lang w:val="es-419"/>
        </w:rPr>
      </w:pPr>
    </w:p>
    <w:p w:rsidR="007F21B4" w:rsidRPr="0075789D" w:rsidRDefault="007F21B4" w:rsidP="007F21B4">
      <w:pPr>
        <w:keepNext/>
        <w:spacing w:after="120"/>
        <w:ind w:left="567" w:hanging="567"/>
        <w:rPr>
          <w:rFonts w:cs="Arial"/>
          <w:lang w:val="es-419"/>
        </w:rPr>
      </w:pPr>
      <w:r w:rsidRPr="0075789D">
        <w:rPr>
          <w:lang w:val="es-419"/>
        </w:rPr>
        <w:lastRenderedPageBreak/>
        <w:t xml:space="preserve">- se concedieron títulos para 28 variedades vegetales (26 de solicitantes nacionales y 2 de solicitantes de otros países) de: </w:t>
      </w:r>
    </w:p>
    <w:p w:rsidR="007F21B4" w:rsidRPr="0075789D" w:rsidRDefault="007F21B4" w:rsidP="007F21B4">
      <w:pPr>
        <w:pStyle w:val="NoSpacing"/>
        <w:keepNext/>
        <w:rPr>
          <w:rFonts w:ascii="Arial" w:hAnsi="Arial" w:cs="Arial"/>
          <w:lang w:val="es-419"/>
        </w:rPr>
      </w:pPr>
    </w:p>
    <w:p w:rsidR="007F21B4" w:rsidRPr="0075789D" w:rsidRDefault="007F21B4" w:rsidP="007F21B4">
      <w:pPr>
        <w:pStyle w:val="NoSpacing"/>
        <w:ind w:left="567"/>
        <w:rPr>
          <w:rFonts w:ascii="Arial" w:hAnsi="Arial" w:cs="Arial"/>
          <w:lang w:val="es-419"/>
        </w:rPr>
      </w:pPr>
      <w:r w:rsidRPr="0075789D">
        <w:rPr>
          <w:rFonts w:ascii="Arial" w:hAnsi="Arial"/>
          <w:lang w:val="es-419"/>
        </w:rPr>
        <w:t>cebada (</w:t>
      </w:r>
      <w:proofErr w:type="spellStart"/>
      <w:r w:rsidRPr="0075789D">
        <w:rPr>
          <w:rFonts w:ascii="Arial" w:hAnsi="Arial"/>
          <w:i/>
          <w:iCs/>
          <w:lang w:val="es-419"/>
        </w:rPr>
        <w:t>Hordeum</w:t>
      </w:r>
      <w:proofErr w:type="spellEnd"/>
      <w:r w:rsidRPr="0075789D">
        <w:rPr>
          <w:rFonts w:ascii="Arial" w:hAnsi="Arial"/>
          <w:i/>
          <w:iCs/>
          <w:lang w:val="es-419"/>
        </w:rPr>
        <w:t xml:space="preserve"> </w:t>
      </w:r>
      <w:proofErr w:type="spellStart"/>
      <w:r w:rsidRPr="0075789D">
        <w:rPr>
          <w:rFonts w:ascii="Arial" w:hAnsi="Arial"/>
          <w:i/>
          <w:iCs/>
          <w:lang w:val="es-419"/>
        </w:rPr>
        <w:t>vulgare</w:t>
      </w:r>
      <w:proofErr w:type="spellEnd"/>
      <w:r w:rsidRPr="0075789D">
        <w:rPr>
          <w:rFonts w:ascii="Arial" w:hAnsi="Arial"/>
          <w:lang w:val="es-419"/>
        </w:rPr>
        <w:t xml:space="preserve"> L.): 2</w:t>
      </w:r>
    </w:p>
    <w:p w:rsidR="007F21B4" w:rsidRPr="0075789D" w:rsidRDefault="007F21B4" w:rsidP="007F21B4">
      <w:pPr>
        <w:pStyle w:val="NoSpacing"/>
        <w:ind w:left="567"/>
        <w:rPr>
          <w:rFonts w:ascii="Arial" w:hAnsi="Arial" w:cs="Arial"/>
          <w:lang w:val="es-419"/>
        </w:rPr>
      </w:pPr>
      <w:r w:rsidRPr="0075789D">
        <w:rPr>
          <w:rFonts w:ascii="Arial" w:hAnsi="Arial"/>
          <w:lang w:val="es-419"/>
        </w:rPr>
        <w:t>judías (</w:t>
      </w:r>
      <w:proofErr w:type="spellStart"/>
      <w:r w:rsidRPr="0075789D">
        <w:rPr>
          <w:rFonts w:ascii="Arial" w:hAnsi="Arial"/>
          <w:i/>
          <w:lang w:val="es-419"/>
        </w:rPr>
        <w:t>Phaseolus</w:t>
      </w:r>
      <w:proofErr w:type="spellEnd"/>
      <w:r w:rsidRPr="0075789D">
        <w:rPr>
          <w:rFonts w:ascii="Arial" w:hAnsi="Arial"/>
          <w:i/>
          <w:lang w:val="es-419"/>
        </w:rPr>
        <w:t xml:space="preserve"> </w:t>
      </w:r>
      <w:proofErr w:type="spellStart"/>
      <w:r w:rsidRPr="0075789D">
        <w:rPr>
          <w:rFonts w:ascii="Arial" w:hAnsi="Arial"/>
          <w:i/>
          <w:lang w:val="es-419"/>
        </w:rPr>
        <w:t>vulgaris</w:t>
      </w:r>
      <w:proofErr w:type="spellEnd"/>
      <w:r w:rsidRPr="0075789D">
        <w:rPr>
          <w:rFonts w:ascii="Arial" w:hAnsi="Arial"/>
          <w:lang w:val="es-419"/>
        </w:rPr>
        <w:t xml:space="preserve"> L.): 1</w:t>
      </w:r>
    </w:p>
    <w:p w:rsidR="007F21B4" w:rsidRPr="0075789D" w:rsidRDefault="007F21B4" w:rsidP="007F21B4">
      <w:pPr>
        <w:pStyle w:val="NoSpacing"/>
        <w:ind w:left="567"/>
        <w:rPr>
          <w:rFonts w:ascii="Arial" w:hAnsi="Arial" w:cs="Arial"/>
          <w:lang w:val="es-419"/>
        </w:rPr>
      </w:pPr>
      <w:r w:rsidRPr="0075789D">
        <w:rPr>
          <w:rFonts w:ascii="Arial" w:hAnsi="Arial"/>
          <w:lang w:val="es-419"/>
        </w:rPr>
        <w:t>zarzamora (</w:t>
      </w:r>
      <w:proofErr w:type="spellStart"/>
      <w:r w:rsidRPr="0075789D">
        <w:rPr>
          <w:rFonts w:ascii="Arial" w:hAnsi="Arial"/>
          <w:i/>
          <w:lang w:val="es-419"/>
        </w:rPr>
        <w:t>Rubus</w:t>
      </w:r>
      <w:proofErr w:type="spellEnd"/>
      <w:r w:rsidRPr="0075789D">
        <w:rPr>
          <w:rFonts w:ascii="Arial" w:hAnsi="Arial"/>
          <w:i/>
          <w:lang w:val="es-419"/>
        </w:rPr>
        <w:t xml:space="preserve"> </w:t>
      </w:r>
      <w:proofErr w:type="spellStart"/>
      <w:r w:rsidRPr="0075789D">
        <w:rPr>
          <w:rFonts w:ascii="Arial" w:hAnsi="Arial"/>
          <w:i/>
          <w:lang w:val="es-419"/>
        </w:rPr>
        <w:t>fruticosus</w:t>
      </w:r>
      <w:proofErr w:type="spellEnd"/>
      <w:r w:rsidRPr="0075789D">
        <w:rPr>
          <w:rFonts w:ascii="Arial" w:hAnsi="Arial"/>
          <w:lang w:val="es-419"/>
        </w:rPr>
        <w:t xml:space="preserve"> L.): 1</w:t>
      </w:r>
    </w:p>
    <w:p w:rsidR="007F21B4" w:rsidRPr="0075789D" w:rsidRDefault="007F21B4" w:rsidP="007F21B4">
      <w:pPr>
        <w:pStyle w:val="NoSpacing"/>
        <w:ind w:left="567"/>
        <w:rPr>
          <w:rFonts w:ascii="Arial" w:hAnsi="Arial" w:cs="Arial"/>
          <w:lang w:val="es-419"/>
        </w:rPr>
      </w:pPr>
      <w:r w:rsidRPr="0075789D">
        <w:rPr>
          <w:rFonts w:ascii="Arial" w:hAnsi="Arial"/>
          <w:lang w:val="es-419"/>
        </w:rPr>
        <w:t>garbanzo (</w:t>
      </w:r>
      <w:proofErr w:type="spellStart"/>
      <w:r w:rsidRPr="0075789D">
        <w:rPr>
          <w:rFonts w:ascii="Arial" w:hAnsi="Arial"/>
          <w:i/>
          <w:lang w:val="es-419"/>
        </w:rPr>
        <w:t>Cicer</w:t>
      </w:r>
      <w:proofErr w:type="spellEnd"/>
      <w:r w:rsidRPr="0075789D">
        <w:rPr>
          <w:rFonts w:ascii="Arial" w:hAnsi="Arial"/>
          <w:i/>
          <w:lang w:val="es-419"/>
        </w:rPr>
        <w:t xml:space="preserve"> </w:t>
      </w:r>
      <w:proofErr w:type="spellStart"/>
      <w:r w:rsidRPr="0075789D">
        <w:rPr>
          <w:rFonts w:ascii="Arial" w:hAnsi="Arial"/>
          <w:i/>
          <w:lang w:val="es-419"/>
        </w:rPr>
        <w:t>arietinum</w:t>
      </w:r>
      <w:proofErr w:type="spellEnd"/>
      <w:r w:rsidRPr="0075789D">
        <w:rPr>
          <w:rFonts w:ascii="Arial" w:hAnsi="Arial"/>
          <w:lang w:val="es-419"/>
        </w:rPr>
        <w:t xml:space="preserve"> L.): 1</w:t>
      </w:r>
    </w:p>
    <w:p w:rsidR="007F21B4" w:rsidRPr="0075789D" w:rsidRDefault="007F21B4" w:rsidP="007F21B4">
      <w:pPr>
        <w:pStyle w:val="NoSpacing"/>
        <w:ind w:left="567"/>
        <w:rPr>
          <w:rFonts w:ascii="Arial" w:hAnsi="Arial" w:cs="Arial"/>
          <w:lang w:val="es-419"/>
        </w:rPr>
      </w:pPr>
      <w:r w:rsidRPr="0075789D">
        <w:rPr>
          <w:rFonts w:ascii="Arial" w:hAnsi="Arial"/>
          <w:lang w:val="es-419"/>
        </w:rPr>
        <w:t>crisantemo (</w:t>
      </w:r>
      <w:proofErr w:type="spellStart"/>
      <w:r w:rsidRPr="0075789D">
        <w:rPr>
          <w:rFonts w:ascii="Arial" w:hAnsi="Arial"/>
          <w:i/>
          <w:lang w:val="es-419"/>
        </w:rPr>
        <w:t>Chrysanthemum</w:t>
      </w:r>
      <w:proofErr w:type="spellEnd"/>
      <w:r w:rsidRPr="0075789D">
        <w:rPr>
          <w:rFonts w:ascii="Arial" w:hAnsi="Arial"/>
          <w:i/>
          <w:lang w:val="es-419"/>
        </w:rPr>
        <w:t xml:space="preserve"> </w:t>
      </w:r>
      <w:proofErr w:type="spellStart"/>
      <w:r w:rsidRPr="0075789D">
        <w:rPr>
          <w:rFonts w:ascii="Arial" w:hAnsi="Arial"/>
          <w:i/>
          <w:lang w:val="es-419"/>
        </w:rPr>
        <w:t>indicum</w:t>
      </w:r>
      <w:proofErr w:type="spellEnd"/>
      <w:r w:rsidRPr="0075789D">
        <w:rPr>
          <w:rFonts w:ascii="Arial" w:hAnsi="Arial"/>
          <w:lang w:val="es-419"/>
        </w:rPr>
        <w:t xml:space="preserve"> L.): 1</w:t>
      </w:r>
    </w:p>
    <w:p w:rsidR="007F21B4" w:rsidRPr="0075789D" w:rsidRDefault="007F21B4" w:rsidP="007F21B4">
      <w:pPr>
        <w:pStyle w:val="NoSpacing"/>
        <w:ind w:left="567"/>
        <w:rPr>
          <w:rFonts w:ascii="Arial" w:hAnsi="Arial" w:cs="Arial"/>
          <w:lang w:val="es-419"/>
        </w:rPr>
      </w:pPr>
      <w:r w:rsidRPr="0075789D">
        <w:rPr>
          <w:rFonts w:ascii="Arial" w:hAnsi="Arial"/>
          <w:lang w:val="es-419"/>
        </w:rPr>
        <w:t>ajo (</w:t>
      </w:r>
      <w:proofErr w:type="spellStart"/>
      <w:r w:rsidRPr="0075789D">
        <w:rPr>
          <w:rFonts w:ascii="Arial" w:hAnsi="Arial"/>
          <w:i/>
          <w:iCs/>
          <w:lang w:val="es-419"/>
        </w:rPr>
        <w:t>Allium</w:t>
      </w:r>
      <w:proofErr w:type="spellEnd"/>
      <w:r w:rsidRPr="0075789D">
        <w:rPr>
          <w:rFonts w:ascii="Arial" w:hAnsi="Arial"/>
          <w:i/>
          <w:iCs/>
          <w:lang w:val="es-419"/>
        </w:rPr>
        <w:t xml:space="preserve"> </w:t>
      </w:r>
      <w:proofErr w:type="spellStart"/>
      <w:r w:rsidRPr="0075789D">
        <w:rPr>
          <w:rFonts w:ascii="Arial" w:hAnsi="Arial"/>
          <w:i/>
          <w:iCs/>
          <w:lang w:val="es-419"/>
        </w:rPr>
        <w:t>sativum</w:t>
      </w:r>
      <w:proofErr w:type="spellEnd"/>
      <w:r w:rsidRPr="0075789D">
        <w:rPr>
          <w:rFonts w:ascii="Arial" w:hAnsi="Arial"/>
          <w:lang w:val="es-419"/>
        </w:rPr>
        <w:t xml:space="preserve"> L.): 2</w:t>
      </w:r>
    </w:p>
    <w:p w:rsidR="007F21B4" w:rsidRPr="0075789D" w:rsidRDefault="007F21B4" w:rsidP="007F21B4">
      <w:pPr>
        <w:pStyle w:val="NoSpacing"/>
        <w:ind w:left="567"/>
        <w:rPr>
          <w:rFonts w:ascii="Arial" w:hAnsi="Arial" w:cs="Arial"/>
          <w:lang w:val="es-419"/>
        </w:rPr>
      </w:pPr>
      <w:r w:rsidRPr="0075789D">
        <w:rPr>
          <w:rFonts w:ascii="Arial" w:hAnsi="Arial"/>
          <w:lang w:val="es-419"/>
        </w:rPr>
        <w:t>avellano (</w:t>
      </w:r>
      <w:proofErr w:type="spellStart"/>
      <w:r w:rsidRPr="0075789D">
        <w:rPr>
          <w:rFonts w:ascii="Arial" w:hAnsi="Arial"/>
          <w:i/>
          <w:lang w:val="es-419"/>
        </w:rPr>
        <w:t>Corylus</w:t>
      </w:r>
      <w:proofErr w:type="spellEnd"/>
      <w:r w:rsidRPr="0075789D">
        <w:rPr>
          <w:rFonts w:ascii="Arial" w:hAnsi="Arial"/>
          <w:i/>
          <w:lang w:val="es-419"/>
        </w:rPr>
        <w:t xml:space="preserve"> avellana</w:t>
      </w:r>
      <w:r w:rsidRPr="0075789D">
        <w:rPr>
          <w:rFonts w:ascii="Arial" w:hAnsi="Arial"/>
          <w:lang w:val="es-419"/>
        </w:rPr>
        <w:t xml:space="preserve"> L.): 1</w:t>
      </w:r>
    </w:p>
    <w:p w:rsidR="007F21B4" w:rsidRPr="0075789D" w:rsidRDefault="007F21B4" w:rsidP="007F21B4">
      <w:pPr>
        <w:pStyle w:val="NoSpacing"/>
        <w:ind w:left="567"/>
        <w:rPr>
          <w:rFonts w:ascii="Arial" w:hAnsi="Arial" w:cs="Arial"/>
          <w:lang w:val="es-419"/>
        </w:rPr>
      </w:pPr>
      <w:r w:rsidRPr="0075789D">
        <w:rPr>
          <w:rFonts w:ascii="Arial" w:hAnsi="Arial"/>
          <w:lang w:val="es-419"/>
        </w:rPr>
        <w:t>maíz (</w:t>
      </w:r>
      <w:r w:rsidRPr="0075789D">
        <w:rPr>
          <w:rFonts w:ascii="Arial" w:hAnsi="Arial"/>
          <w:i/>
          <w:iCs/>
          <w:lang w:val="es-419"/>
        </w:rPr>
        <w:t xml:space="preserve">Zea </w:t>
      </w:r>
      <w:proofErr w:type="spellStart"/>
      <w:r w:rsidRPr="0075789D">
        <w:rPr>
          <w:rFonts w:ascii="Arial" w:hAnsi="Arial"/>
          <w:i/>
          <w:iCs/>
          <w:lang w:val="es-419"/>
        </w:rPr>
        <w:t>mays</w:t>
      </w:r>
      <w:proofErr w:type="spellEnd"/>
      <w:r w:rsidRPr="0075789D">
        <w:rPr>
          <w:rFonts w:ascii="Arial" w:hAnsi="Arial"/>
          <w:lang w:val="es-419"/>
        </w:rPr>
        <w:t xml:space="preserve"> L.): 4</w:t>
      </w:r>
    </w:p>
    <w:p w:rsidR="007F21B4" w:rsidRPr="0075789D" w:rsidRDefault="007F21B4" w:rsidP="007F21B4">
      <w:pPr>
        <w:pStyle w:val="NoSpacing"/>
        <w:ind w:left="567"/>
        <w:rPr>
          <w:rFonts w:ascii="Arial" w:hAnsi="Arial" w:cs="Arial"/>
          <w:iCs/>
          <w:lang w:val="es-419"/>
        </w:rPr>
      </w:pPr>
      <w:r w:rsidRPr="0075789D">
        <w:rPr>
          <w:rFonts w:ascii="Arial" w:hAnsi="Arial"/>
          <w:lang w:val="es-419"/>
        </w:rPr>
        <w:t>cebolla (</w:t>
      </w:r>
      <w:proofErr w:type="spellStart"/>
      <w:r w:rsidRPr="0075789D">
        <w:rPr>
          <w:rFonts w:ascii="Arial" w:hAnsi="Arial"/>
          <w:i/>
          <w:iCs/>
          <w:lang w:val="es-419"/>
        </w:rPr>
        <w:t>Allium</w:t>
      </w:r>
      <w:proofErr w:type="spellEnd"/>
      <w:r w:rsidRPr="0075789D">
        <w:rPr>
          <w:rFonts w:ascii="Arial" w:hAnsi="Arial"/>
          <w:i/>
          <w:iCs/>
          <w:lang w:val="es-419"/>
        </w:rPr>
        <w:t xml:space="preserve"> cepa</w:t>
      </w:r>
      <w:r w:rsidRPr="0075789D">
        <w:rPr>
          <w:rFonts w:ascii="Arial" w:hAnsi="Arial"/>
          <w:i/>
          <w:lang w:val="es-419"/>
        </w:rPr>
        <w:t>)</w:t>
      </w:r>
      <w:r w:rsidRPr="0075789D">
        <w:rPr>
          <w:rFonts w:ascii="Arial" w:hAnsi="Arial"/>
          <w:lang w:val="es-419"/>
        </w:rPr>
        <w:t>: 1</w:t>
      </w:r>
    </w:p>
    <w:p w:rsidR="007F21B4" w:rsidRPr="0075789D" w:rsidRDefault="007F21B4" w:rsidP="007F21B4">
      <w:pPr>
        <w:pStyle w:val="NoSpacing"/>
        <w:ind w:left="567"/>
        <w:rPr>
          <w:rFonts w:ascii="Arial" w:hAnsi="Arial" w:cs="Arial"/>
          <w:lang w:val="es-419"/>
        </w:rPr>
      </w:pPr>
      <w:r w:rsidRPr="0075789D">
        <w:rPr>
          <w:rFonts w:ascii="Arial" w:hAnsi="Arial"/>
          <w:lang w:val="es-419"/>
        </w:rPr>
        <w:t>peonia (</w:t>
      </w:r>
      <w:proofErr w:type="spellStart"/>
      <w:r w:rsidRPr="0075789D">
        <w:rPr>
          <w:rFonts w:ascii="Arial" w:hAnsi="Arial"/>
          <w:i/>
          <w:lang w:val="es-419"/>
        </w:rPr>
        <w:t>Paeonia</w:t>
      </w:r>
      <w:proofErr w:type="spellEnd"/>
      <w:r w:rsidRPr="0075789D">
        <w:rPr>
          <w:rFonts w:ascii="Arial" w:hAnsi="Arial"/>
          <w:i/>
          <w:lang w:val="es-419"/>
        </w:rPr>
        <w:t xml:space="preserve"> </w:t>
      </w:r>
      <w:proofErr w:type="spellStart"/>
      <w:r w:rsidRPr="0075789D">
        <w:rPr>
          <w:rFonts w:ascii="Arial" w:hAnsi="Arial"/>
          <w:i/>
          <w:lang w:val="es-419"/>
        </w:rPr>
        <w:t>lactiflora</w:t>
      </w:r>
      <w:proofErr w:type="spellEnd"/>
      <w:r w:rsidRPr="0075789D">
        <w:rPr>
          <w:rFonts w:ascii="Arial" w:hAnsi="Arial"/>
          <w:lang w:val="es-419"/>
        </w:rPr>
        <w:t xml:space="preserve"> </w:t>
      </w:r>
      <w:proofErr w:type="spellStart"/>
      <w:r w:rsidRPr="0075789D">
        <w:rPr>
          <w:rFonts w:ascii="Arial" w:hAnsi="Arial"/>
          <w:lang w:val="es-419"/>
        </w:rPr>
        <w:t>Pall</w:t>
      </w:r>
      <w:proofErr w:type="spellEnd"/>
      <w:r w:rsidRPr="0075789D">
        <w:rPr>
          <w:rFonts w:ascii="Arial" w:hAnsi="Arial"/>
          <w:lang w:val="es-419"/>
        </w:rPr>
        <w:t>.): 1</w:t>
      </w:r>
    </w:p>
    <w:p w:rsidR="007F21B4" w:rsidRPr="0075789D" w:rsidRDefault="007F21B4" w:rsidP="007F21B4">
      <w:pPr>
        <w:pStyle w:val="NoSpacing"/>
        <w:ind w:left="567"/>
        <w:rPr>
          <w:rFonts w:ascii="Arial" w:hAnsi="Arial" w:cs="Arial"/>
          <w:lang w:val="es-419"/>
        </w:rPr>
      </w:pPr>
      <w:r w:rsidRPr="0075789D">
        <w:rPr>
          <w:rFonts w:ascii="Arial" w:hAnsi="Arial"/>
          <w:lang w:val="es-419"/>
        </w:rPr>
        <w:t>ciruelos (</w:t>
      </w:r>
      <w:proofErr w:type="spellStart"/>
      <w:r w:rsidRPr="0075789D">
        <w:rPr>
          <w:rFonts w:ascii="Arial" w:hAnsi="Arial"/>
          <w:i/>
          <w:lang w:val="es-419"/>
        </w:rPr>
        <w:t>Prunus</w:t>
      </w:r>
      <w:proofErr w:type="spellEnd"/>
      <w:r w:rsidRPr="0075789D">
        <w:rPr>
          <w:rFonts w:ascii="Arial" w:hAnsi="Arial"/>
          <w:i/>
          <w:lang w:val="es-419"/>
        </w:rPr>
        <w:t xml:space="preserve"> domestica</w:t>
      </w:r>
      <w:r w:rsidRPr="0075789D">
        <w:rPr>
          <w:rFonts w:ascii="Arial" w:hAnsi="Arial"/>
          <w:lang w:val="es-419"/>
        </w:rPr>
        <w:t xml:space="preserve"> L.): 2</w:t>
      </w:r>
    </w:p>
    <w:p w:rsidR="007F21B4" w:rsidRPr="0075789D" w:rsidRDefault="007F21B4" w:rsidP="007F21B4">
      <w:pPr>
        <w:pStyle w:val="NoSpacing"/>
        <w:ind w:left="567"/>
        <w:rPr>
          <w:rFonts w:ascii="Arial" w:hAnsi="Arial" w:cs="Arial"/>
          <w:lang w:val="es-419"/>
        </w:rPr>
      </w:pPr>
      <w:r w:rsidRPr="0075789D">
        <w:rPr>
          <w:rFonts w:ascii="Arial" w:hAnsi="Arial"/>
          <w:lang w:val="es-419"/>
        </w:rPr>
        <w:t>soja (</w:t>
      </w:r>
      <w:proofErr w:type="spellStart"/>
      <w:r w:rsidRPr="0075789D">
        <w:rPr>
          <w:rFonts w:ascii="Arial" w:hAnsi="Arial"/>
          <w:i/>
          <w:iCs/>
          <w:lang w:val="es-419"/>
        </w:rPr>
        <w:t>Glicine</w:t>
      </w:r>
      <w:proofErr w:type="spellEnd"/>
      <w:r w:rsidRPr="0075789D">
        <w:rPr>
          <w:rFonts w:ascii="Arial" w:hAnsi="Arial"/>
          <w:i/>
          <w:iCs/>
          <w:lang w:val="es-419"/>
        </w:rPr>
        <w:t xml:space="preserve"> </w:t>
      </w:r>
      <w:proofErr w:type="spellStart"/>
      <w:r w:rsidRPr="0075789D">
        <w:rPr>
          <w:rFonts w:ascii="Arial" w:hAnsi="Arial"/>
          <w:i/>
          <w:iCs/>
          <w:lang w:val="es-419"/>
        </w:rPr>
        <w:t>max</w:t>
      </w:r>
      <w:proofErr w:type="spellEnd"/>
      <w:r w:rsidRPr="0075789D">
        <w:rPr>
          <w:rFonts w:ascii="Arial" w:hAnsi="Arial"/>
          <w:lang w:val="es-419"/>
        </w:rPr>
        <w:t xml:space="preserve"> (L.) Merrill): 1</w:t>
      </w:r>
    </w:p>
    <w:p w:rsidR="007F21B4" w:rsidRPr="0075789D" w:rsidRDefault="007F21B4" w:rsidP="007F21B4">
      <w:pPr>
        <w:pStyle w:val="NoSpacing"/>
        <w:ind w:left="567"/>
        <w:rPr>
          <w:rFonts w:ascii="Arial" w:hAnsi="Arial" w:cs="Arial"/>
          <w:lang w:val="es-419"/>
        </w:rPr>
      </w:pPr>
      <w:r w:rsidRPr="0075789D">
        <w:rPr>
          <w:rFonts w:ascii="Arial" w:hAnsi="Arial"/>
          <w:lang w:val="es-419"/>
        </w:rPr>
        <w:t>girasol (</w:t>
      </w:r>
      <w:proofErr w:type="spellStart"/>
      <w:r w:rsidRPr="0075789D">
        <w:rPr>
          <w:rFonts w:ascii="Arial" w:hAnsi="Arial"/>
          <w:i/>
          <w:lang w:val="es-419"/>
        </w:rPr>
        <w:t>Helianthus</w:t>
      </w:r>
      <w:proofErr w:type="spellEnd"/>
      <w:r w:rsidRPr="0075789D">
        <w:rPr>
          <w:rFonts w:ascii="Arial" w:hAnsi="Arial"/>
          <w:i/>
          <w:lang w:val="es-419"/>
        </w:rPr>
        <w:t xml:space="preserve"> </w:t>
      </w:r>
      <w:proofErr w:type="spellStart"/>
      <w:r w:rsidRPr="0075789D">
        <w:rPr>
          <w:rFonts w:ascii="Arial" w:hAnsi="Arial"/>
          <w:i/>
          <w:lang w:val="es-419"/>
        </w:rPr>
        <w:t>annuus</w:t>
      </w:r>
      <w:proofErr w:type="spellEnd"/>
      <w:r w:rsidRPr="0075789D">
        <w:rPr>
          <w:rFonts w:ascii="Arial" w:hAnsi="Arial"/>
          <w:lang w:val="es-419"/>
        </w:rPr>
        <w:t>):2</w:t>
      </w:r>
    </w:p>
    <w:p w:rsidR="007F21B4" w:rsidRPr="0075789D" w:rsidRDefault="007F21B4" w:rsidP="007F21B4">
      <w:pPr>
        <w:pStyle w:val="NoSpacing"/>
        <w:ind w:left="567"/>
        <w:rPr>
          <w:rFonts w:ascii="Arial" w:hAnsi="Arial" w:cs="Arial"/>
          <w:lang w:val="es-419"/>
        </w:rPr>
      </w:pPr>
      <w:r w:rsidRPr="0075789D">
        <w:rPr>
          <w:rFonts w:ascii="Arial" w:hAnsi="Arial"/>
          <w:lang w:val="es-419"/>
        </w:rPr>
        <w:t>tomate (</w:t>
      </w:r>
      <w:proofErr w:type="spellStart"/>
      <w:r w:rsidRPr="0075789D">
        <w:rPr>
          <w:rFonts w:ascii="Arial" w:hAnsi="Arial"/>
          <w:i/>
          <w:iCs/>
          <w:lang w:val="es-419"/>
        </w:rPr>
        <w:t>Solanum</w:t>
      </w:r>
      <w:proofErr w:type="spellEnd"/>
      <w:r w:rsidRPr="0075789D">
        <w:rPr>
          <w:rFonts w:ascii="Arial" w:hAnsi="Arial"/>
          <w:i/>
          <w:iCs/>
          <w:lang w:val="es-419"/>
        </w:rPr>
        <w:t xml:space="preserve"> </w:t>
      </w:r>
      <w:proofErr w:type="spellStart"/>
      <w:r w:rsidRPr="0075789D">
        <w:rPr>
          <w:rFonts w:ascii="Arial" w:hAnsi="Arial"/>
          <w:i/>
          <w:iCs/>
          <w:lang w:val="es-419"/>
        </w:rPr>
        <w:t>lycopersicum</w:t>
      </w:r>
      <w:proofErr w:type="spellEnd"/>
      <w:r w:rsidRPr="0075789D">
        <w:rPr>
          <w:rFonts w:ascii="Arial" w:hAnsi="Arial"/>
          <w:lang w:val="es-419"/>
        </w:rPr>
        <w:t xml:space="preserve"> L.): 2</w:t>
      </w:r>
    </w:p>
    <w:p w:rsidR="007F21B4" w:rsidRPr="0075789D" w:rsidRDefault="007F21B4" w:rsidP="007F21B4">
      <w:pPr>
        <w:pStyle w:val="NoSpacing"/>
        <w:ind w:left="567"/>
        <w:rPr>
          <w:rFonts w:ascii="Arial" w:hAnsi="Arial" w:cs="Arial"/>
          <w:lang w:val="es-419"/>
        </w:rPr>
      </w:pPr>
      <w:r w:rsidRPr="0075789D">
        <w:rPr>
          <w:rFonts w:ascii="Arial" w:hAnsi="Arial"/>
          <w:lang w:val="es-419"/>
        </w:rPr>
        <w:t>vid (</w:t>
      </w:r>
      <w:proofErr w:type="spellStart"/>
      <w:r w:rsidRPr="0075789D">
        <w:rPr>
          <w:rFonts w:ascii="Arial" w:hAnsi="Arial"/>
          <w:i/>
          <w:lang w:val="es-419"/>
        </w:rPr>
        <w:t>Vitis</w:t>
      </w:r>
      <w:proofErr w:type="spellEnd"/>
      <w:r w:rsidRPr="0075789D">
        <w:rPr>
          <w:rFonts w:ascii="Arial" w:hAnsi="Arial"/>
          <w:i/>
          <w:lang w:val="es-419"/>
        </w:rPr>
        <w:t xml:space="preserve"> </w:t>
      </w:r>
      <w:proofErr w:type="spellStart"/>
      <w:r w:rsidRPr="0075789D">
        <w:rPr>
          <w:rFonts w:ascii="Arial" w:hAnsi="Arial"/>
          <w:i/>
          <w:lang w:val="es-419"/>
        </w:rPr>
        <w:t>vinifera</w:t>
      </w:r>
      <w:proofErr w:type="spellEnd"/>
      <w:r w:rsidRPr="0075789D">
        <w:rPr>
          <w:rFonts w:ascii="Arial" w:hAnsi="Arial"/>
          <w:lang w:val="es-419"/>
        </w:rPr>
        <w:t xml:space="preserve"> L.): 4</w:t>
      </w:r>
    </w:p>
    <w:p w:rsidR="007F21B4" w:rsidRPr="0075789D" w:rsidRDefault="007F21B4" w:rsidP="007F21B4">
      <w:pPr>
        <w:ind w:left="567"/>
        <w:rPr>
          <w:rFonts w:cs="Arial"/>
          <w:lang w:val="es-419"/>
        </w:rPr>
      </w:pPr>
      <w:r w:rsidRPr="0075789D">
        <w:rPr>
          <w:lang w:val="es-419"/>
        </w:rPr>
        <w:t>trigo (</w:t>
      </w:r>
      <w:proofErr w:type="spellStart"/>
      <w:r w:rsidRPr="0075789D">
        <w:rPr>
          <w:i/>
          <w:iCs/>
          <w:lang w:val="es-419"/>
        </w:rPr>
        <w:t>Triticum</w:t>
      </w:r>
      <w:proofErr w:type="spellEnd"/>
      <w:r w:rsidRPr="0075789D">
        <w:rPr>
          <w:i/>
          <w:iCs/>
          <w:lang w:val="es-419"/>
        </w:rPr>
        <w:t xml:space="preserve"> </w:t>
      </w:r>
      <w:proofErr w:type="spellStart"/>
      <w:r w:rsidRPr="0075789D">
        <w:rPr>
          <w:i/>
          <w:iCs/>
          <w:lang w:val="es-419"/>
        </w:rPr>
        <w:t>aestivum</w:t>
      </w:r>
      <w:proofErr w:type="spellEnd"/>
      <w:r w:rsidRPr="0075789D">
        <w:rPr>
          <w:lang w:val="es-419"/>
        </w:rPr>
        <w:t xml:space="preserve"> L.): 1</w:t>
      </w:r>
    </w:p>
    <w:p w:rsidR="007F21B4" w:rsidRPr="0075789D" w:rsidRDefault="007F21B4" w:rsidP="007F21B4">
      <w:pPr>
        <w:ind w:left="567"/>
        <w:rPr>
          <w:rFonts w:cs="Arial"/>
          <w:lang w:val="es-419"/>
        </w:rPr>
      </w:pPr>
      <w:r w:rsidRPr="0075789D">
        <w:rPr>
          <w:lang w:val="es-419"/>
        </w:rPr>
        <w:t>lirio de día (</w:t>
      </w:r>
      <w:proofErr w:type="spellStart"/>
      <w:r w:rsidRPr="0075789D">
        <w:rPr>
          <w:i/>
          <w:lang w:val="es-419"/>
        </w:rPr>
        <w:t>Hemerocallis</w:t>
      </w:r>
      <w:proofErr w:type="spellEnd"/>
      <w:r w:rsidRPr="0075789D">
        <w:rPr>
          <w:i/>
          <w:lang w:val="es-419"/>
        </w:rPr>
        <w:t xml:space="preserve"> x hibrida </w:t>
      </w:r>
      <w:proofErr w:type="spellStart"/>
      <w:r w:rsidRPr="0075789D">
        <w:rPr>
          <w:i/>
          <w:lang w:val="es-419"/>
        </w:rPr>
        <w:t>hort</w:t>
      </w:r>
      <w:proofErr w:type="spellEnd"/>
      <w:r w:rsidRPr="0075789D">
        <w:rPr>
          <w:lang w:val="es-419"/>
        </w:rPr>
        <w:t>.) 1</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lang w:val="es-419"/>
        </w:rPr>
      </w:pPr>
      <w:r w:rsidRPr="0075789D">
        <w:rPr>
          <w:lang w:val="es-419"/>
        </w:rPr>
        <w:t>4.</w:t>
      </w:r>
      <w:r w:rsidRPr="0075789D">
        <w:rPr>
          <w:lang w:val="es-419"/>
        </w:rPr>
        <w:tab/>
      </w:r>
      <w:r w:rsidRPr="0075789D">
        <w:rPr>
          <w:u w:val="single"/>
          <w:lang w:val="es-419"/>
        </w:rPr>
        <w:t>Situación en el ámbito técnico</w:t>
      </w:r>
      <w:r w:rsidRPr="0075789D">
        <w:rPr>
          <w:lang w:val="es-419"/>
        </w:rPr>
        <w:t>: No ha habido modificaciones.</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u w:val="single"/>
          <w:lang w:val="es-419"/>
        </w:rPr>
      </w:pPr>
      <w:r w:rsidRPr="0075789D">
        <w:rPr>
          <w:lang w:val="es-419"/>
        </w:rPr>
        <w:t>5.</w:t>
      </w:r>
      <w:r w:rsidRPr="0075789D">
        <w:rPr>
          <w:lang w:val="es-419"/>
        </w:rPr>
        <w:tab/>
      </w:r>
      <w:r w:rsidRPr="0075789D">
        <w:rPr>
          <w:u w:val="single"/>
          <w:lang w:val="es-419"/>
        </w:rPr>
        <w:t>Actividades para la promoción de la protección de las obtenciones vegetales</w:t>
      </w:r>
    </w:p>
    <w:p w:rsidR="007F21B4" w:rsidRPr="0075789D" w:rsidRDefault="007F21B4" w:rsidP="007F21B4">
      <w:pPr>
        <w:rPr>
          <w:sz w:val="25"/>
          <w:szCs w:val="25"/>
          <w:lang w:val="es-419"/>
        </w:rPr>
      </w:pPr>
    </w:p>
    <w:p w:rsidR="007F21B4" w:rsidRPr="0075789D" w:rsidRDefault="007F21B4" w:rsidP="007F21B4">
      <w:pPr>
        <w:rPr>
          <w:lang w:val="es-419"/>
        </w:rPr>
      </w:pPr>
      <w:r w:rsidRPr="0075789D">
        <w:rPr>
          <w:lang w:val="es-419"/>
        </w:rPr>
        <w:t xml:space="preserve">El AGEPI mantiene periódicamente el sitio web </w:t>
      </w:r>
      <w:hyperlink r:id="rId37" w:history="1">
        <w:r w:rsidRPr="0075789D">
          <w:rPr>
            <w:rStyle w:val="Hyperlink"/>
            <w:lang w:val="es-419"/>
          </w:rPr>
          <w:t>www.agepi.gov.md</w:t>
        </w:r>
      </w:hyperlink>
      <w:r w:rsidRPr="0075789D">
        <w:rPr>
          <w:lang w:val="es-419"/>
        </w:rPr>
        <w:t>, 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7F21B4" w:rsidRPr="0075789D" w:rsidRDefault="007F21B4" w:rsidP="007F21B4">
      <w:pPr>
        <w:rPr>
          <w:lang w:val="es-419"/>
        </w:rPr>
      </w:pPr>
    </w:p>
    <w:p w:rsidR="007F21B4" w:rsidRPr="0075789D" w:rsidRDefault="007F21B4" w:rsidP="007F21B4">
      <w:pPr>
        <w:rPr>
          <w:lang w:val="es-419"/>
        </w:rPr>
      </w:pPr>
      <w:r w:rsidRPr="0075789D">
        <w:rPr>
          <w:lang w:val="es-419"/>
        </w:rPr>
        <w:t>En las distintas actividades organizadas por el AGEPI o en las que participa este organismo, como seminarios, campañas de sensibilización acerca de la propiedad intelectual y exposiciones, se distribuye material de información sobre la protección de las obtenciones vegetales.</w:t>
      </w:r>
    </w:p>
    <w:p w:rsidR="007F21B4" w:rsidRPr="0075789D" w:rsidRDefault="007F21B4" w:rsidP="007F21B4">
      <w:pPr>
        <w:rPr>
          <w:lang w:val="es-419"/>
        </w:rPr>
      </w:pPr>
    </w:p>
    <w:p w:rsidR="007F21B4" w:rsidRPr="0075789D" w:rsidRDefault="007F21B4" w:rsidP="007F21B4">
      <w:pPr>
        <w:rPr>
          <w:lang w:val="es-419"/>
        </w:rPr>
      </w:pPr>
      <w:r w:rsidRPr="0075789D">
        <w:rPr>
          <w:lang w:val="es-419"/>
        </w:rPr>
        <w:t xml:space="preserve">Desde 2016, la República de </w:t>
      </w:r>
      <w:proofErr w:type="spellStart"/>
      <w:r w:rsidRPr="0075789D">
        <w:rPr>
          <w:lang w:val="es-419"/>
        </w:rPr>
        <w:t>Moldova</w:t>
      </w:r>
      <w:proofErr w:type="spellEnd"/>
      <w:r w:rsidRPr="0075789D">
        <w:rPr>
          <w:lang w:val="es-419"/>
        </w:rPr>
        <w:t>, representada por el AGEPI, participa en el proyecto de la UPOV para la elaboración del formulario electrónico de solicitud UPOV PRISMA.</w:t>
      </w:r>
    </w:p>
    <w:p w:rsidR="007F21B4" w:rsidRPr="0075789D" w:rsidRDefault="007F21B4" w:rsidP="007F21B4">
      <w:pPr>
        <w:jc w:val="left"/>
        <w:rPr>
          <w:lang w:val="es-419"/>
        </w:rPr>
      </w:pPr>
    </w:p>
    <w:p w:rsidR="003C641A" w:rsidRPr="00D36B66" w:rsidRDefault="003C641A" w:rsidP="003C641A">
      <w:pPr>
        <w:jc w:val="left"/>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X</w:t>
      </w:r>
      <w:r w:rsidR="0075382F" w:rsidRPr="00D36B66">
        <w:t>V</w:t>
      </w:r>
      <w:r>
        <w:t>]</w:t>
      </w:r>
    </w:p>
    <w:p w:rsidR="000362AD" w:rsidRPr="00D36B66" w:rsidRDefault="000362AD" w:rsidP="000362AD"/>
    <w:p w:rsidR="000362AD" w:rsidRPr="00D36B66" w:rsidRDefault="000362AD" w:rsidP="000362AD">
      <w:pPr>
        <w:jc w:val="left"/>
        <w:sectPr w:rsidR="000362AD" w:rsidRPr="00D36B66" w:rsidSect="0049108C">
          <w:headerReference w:type="default" r:id="rId38"/>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X</w:t>
      </w:r>
      <w:r w:rsidR="0075382F" w:rsidRPr="00D36B66">
        <w:t>V</w:t>
      </w:r>
    </w:p>
    <w:p w:rsidR="000362AD" w:rsidRPr="00D36B66" w:rsidRDefault="000362AD" w:rsidP="000362AD">
      <w:pPr>
        <w:jc w:val="center"/>
      </w:pPr>
    </w:p>
    <w:p w:rsidR="000362AD" w:rsidRPr="00D36B66" w:rsidRDefault="000362AD" w:rsidP="000362AD">
      <w:pPr>
        <w:jc w:val="center"/>
      </w:pPr>
    </w:p>
    <w:p w:rsidR="00F43FBA" w:rsidRPr="00D36B66" w:rsidRDefault="000A2928" w:rsidP="00F43FBA">
      <w:pPr>
        <w:jc w:val="center"/>
      </w:pPr>
      <w:r>
        <w:t>REPÚ</w:t>
      </w:r>
      <w:r w:rsidR="0075382F" w:rsidRPr="00D36B66">
        <w:t>BLIC</w:t>
      </w:r>
      <w:r>
        <w:t>A CHECA</w:t>
      </w:r>
    </w:p>
    <w:p w:rsidR="00F43FBA" w:rsidRPr="00D36B66" w:rsidRDefault="00F43FBA" w:rsidP="00F43FBA">
      <w:pPr>
        <w:jc w:val="center"/>
      </w:pPr>
    </w:p>
    <w:p w:rsidR="00F43FBA" w:rsidRPr="00D36B66" w:rsidRDefault="00F43FBA" w:rsidP="00F43FBA">
      <w:pPr>
        <w:jc w:val="center"/>
      </w:pPr>
    </w:p>
    <w:p w:rsidR="007F21B4" w:rsidRPr="0075789D" w:rsidRDefault="007F21B4" w:rsidP="007F21B4">
      <w:pPr>
        <w:rPr>
          <w:lang w:val="es-419"/>
        </w:rPr>
      </w:pPr>
      <w:r w:rsidRPr="0075789D">
        <w:rPr>
          <w:lang w:val="es-419"/>
        </w:rPr>
        <w:t>I.</w:t>
      </w:r>
      <w:r w:rsidRPr="0075789D">
        <w:rPr>
          <w:lang w:val="es-419"/>
        </w:rPr>
        <w:tab/>
        <w:t>PROTECCIÓN DE LAS OBTENCIONES VEGETALES</w:t>
      </w:r>
    </w:p>
    <w:p w:rsidR="007F21B4" w:rsidRPr="0075789D" w:rsidRDefault="007F21B4" w:rsidP="007F21B4">
      <w:pPr>
        <w:rPr>
          <w:lang w:val="es-419"/>
        </w:rPr>
      </w:pPr>
    </w:p>
    <w:p w:rsidR="007F21B4" w:rsidRPr="0075789D" w:rsidRDefault="007F21B4" w:rsidP="007F21B4">
      <w:pPr>
        <w:tabs>
          <w:tab w:val="left" w:pos="426"/>
          <w:tab w:val="left" w:pos="1276"/>
        </w:tabs>
        <w:rPr>
          <w:lang w:val="es-419"/>
        </w:rPr>
      </w:pPr>
      <w:r w:rsidRPr="0075789D">
        <w:rPr>
          <w:lang w:val="es-419"/>
        </w:rPr>
        <w:t xml:space="preserve">1. </w:t>
      </w:r>
      <w:r w:rsidRPr="0075789D">
        <w:rPr>
          <w:lang w:val="es-419"/>
        </w:rPr>
        <w:tab/>
      </w:r>
      <w:r w:rsidRPr="0075789D">
        <w:rPr>
          <w:u w:val="single"/>
          <w:lang w:val="es-419"/>
        </w:rPr>
        <w:t>Situación en el ámbito legislativo</w:t>
      </w:r>
      <w:r w:rsidRPr="0075789D">
        <w:rPr>
          <w:lang w:val="es-419"/>
        </w:rPr>
        <w:t>: No hay novedades reseñables.</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lang w:val="es-419"/>
        </w:rPr>
      </w:pPr>
      <w:r w:rsidRPr="0075789D">
        <w:rPr>
          <w:lang w:val="es-419"/>
        </w:rPr>
        <w:t>2.</w:t>
      </w:r>
      <w:r w:rsidRPr="0075789D">
        <w:rPr>
          <w:lang w:val="es-419"/>
        </w:rPr>
        <w:tab/>
      </w:r>
      <w:r w:rsidRPr="0075789D">
        <w:rPr>
          <w:u w:val="single"/>
          <w:lang w:val="es-419"/>
        </w:rPr>
        <w:t>Cooperación en el examen</w:t>
      </w:r>
    </w:p>
    <w:p w:rsidR="007F21B4" w:rsidRPr="0075789D" w:rsidRDefault="007F21B4" w:rsidP="007F21B4">
      <w:pPr>
        <w:tabs>
          <w:tab w:val="left" w:pos="426"/>
          <w:tab w:val="left" w:pos="851"/>
        </w:tabs>
        <w:rPr>
          <w:lang w:val="es-419"/>
        </w:rPr>
      </w:pPr>
    </w:p>
    <w:p w:rsidR="007F21B4" w:rsidRPr="0075789D" w:rsidRDefault="007F21B4" w:rsidP="007F21B4">
      <w:pPr>
        <w:rPr>
          <w:lang w:val="es-419"/>
        </w:rPr>
      </w:pPr>
      <w:r w:rsidRPr="0075789D">
        <w:rPr>
          <w:lang w:val="es-419"/>
        </w:rPr>
        <w:t>Los acuerdos bilaterales de cooperación en materia de examen suscritos con Austria, Dinamarca, Eslovaquia, Eslovenia, Hungría, los Países Bajos, Polonia, Rumania y la OCVV se mantienen sin cambios.</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u w:val="single"/>
          <w:lang w:val="es-419"/>
        </w:rPr>
      </w:pPr>
      <w:r w:rsidRPr="0075789D">
        <w:rPr>
          <w:lang w:val="es-419"/>
        </w:rPr>
        <w:t>3.</w:t>
      </w:r>
      <w:r w:rsidRPr="0075789D">
        <w:rPr>
          <w:lang w:val="es-419"/>
        </w:rPr>
        <w:tab/>
      </w:r>
      <w:r w:rsidRPr="0075789D">
        <w:rPr>
          <w:u w:val="single"/>
          <w:lang w:val="es-419"/>
        </w:rPr>
        <w:t>Situación en el ámbito administrativo</w:t>
      </w:r>
      <w:r w:rsidRPr="0075789D">
        <w:rPr>
          <w:lang w:val="es-419"/>
        </w:rPr>
        <w:t>: No hay novedades reseñables.</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spacing w:line="360" w:lineRule="auto"/>
        <w:rPr>
          <w:lang w:val="es-419"/>
        </w:rPr>
      </w:pPr>
      <w:r w:rsidRPr="0075789D">
        <w:rPr>
          <w:lang w:val="es-419"/>
        </w:rPr>
        <w:t>4.</w:t>
      </w:r>
      <w:r w:rsidRPr="0075789D">
        <w:rPr>
          <w:lang w:val="es-419"/>
        </w:rPr>
        <w:tab/>
      </w:r>
      <w:r w:rsidRPr="0075789D">
        <w:rPr>
          <w:u w:val="single"/>
          <w:lang w:val="es-419"/>
        </w:rPr>
        <w:t>Situación en el ámbito técnico</w:t>
      </w:r>
      <w:r w:rsidRPr="0075789D">
        <w:rPr>
          <w:lang w:val="es-419"/>
        </w:rPr>
        <w:t>: No hay novedades reseñables.</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u w:val="single"/>
          <w:lang w:val="es-419"/>
        </w:rPr>
      </w:pPr>
      <w:r w:rsidRPr="0075789D">
        <w:rPr>
          <w:lang w:val="es-419"/>
        </w:rPr>
        <w:t>5.</w:t>
      </w:r>
      <w:r w:rsidRPr="0075789D">
        <w:rPr>
          <w:lang w:val="es-419"/>
        </w:rPr>
        <w:tab/>
      </w:r>
      <w:r w:rsidRPr="0075789D">
        <w:rPr>
          <w:u w:val="single"/>
          <w:lang w:val="es-419"/>
        </w:rPr>
        <w:t>Actividades para la promoción de las variedades vegetales</w:t>
      </w:r>
    </w:p>
    <w:p w:rsidR="007F21B4" w:rsidRPr="0075789D" w:rsidRDefault="007F21B4" w:rsidP="007F21B4">
      <w:pPr>
        <w:rPr>
          <w:u w:val="single"/>
          <w:lang w:val="es-419"/>
        </w:rPr>
      </w:pPr>
    </w:p>
    <w:p w:rsidR="007F21B4" w:rsidRPr="0075789D" w:rsidRDefault="007F21B4" w:rsidP="007F21B4">
      <w:pPr>
        <w:rPr>
          <w:lang w:val="es-419"/>
        </w:rPr>
      </w:pPr>
      <w:r w:rsidRPr="0075789D">
        <w:rPr>
          <w:lang w:val="es-419"/>
        </w:rPr>
        <w:t>Los expertos del Instituto Central de Supervisión y Exámenes Agrícolas (ÚKZÚZ) participaron en las sesiones virtuales y presenciales de los órganos de la UPOV (C, CAJ, CC, TC, TWA, TWC y TWV) y en las reuniones organizadas por la OCVV (Consejo Administrativo, las reuniones con expertos en especies agrícolas, hortícolas y frutales, la reunión anual con las oficinas de examen y las reuniones virtuales de expertos en determinadas especies.</w:t>
      </w:r>
    </w:p>
    <w:p w:rsidR="007F21B4" w:rsidRPr="0075789D" w:rsidRDefault="007F21B4" w:rsidP="007F21B4">
      <w:pPr>
        <w:rPr>
          <w:lang w:val="es-419"/>
        </w:rPr>
      </w:pPr>
    </w:p>
    <w:p w:rsidR="007F21B4" w:rsidRPr="0075789D" w:rsidRDefault="007F21B4" w:rsidP="007F21B4">
      <w:pPr>
        <w:rPr>
          <w:lang w:val="es-419"/>
        </w:rPr>
      </w:pPr>
      <w:r w:rsidRPr="0075789D">
        <w:rPr>
          <w:lang w:val="es-419"/>
        </w:rPr>
        <w:t>Los expertos del Ministerio de Agricultura y el ÚKZÚZ aprovecharon la oportunidad para tratar de promover la importancia del sistema de derechos de obtentor y su repercusión en la economía de la Unión Europea y el medio ambiente en determinadas actividades organizadas en el marco de la presidencia checa del Consejo de la UE.</w:t>
      </w:r>
    </w:p>
    <w:p w:rsidR="007F21B4" w:rsidRPr="0075789D" w:rsidRDefault="007F21B4" w:rsidP="007F21B4">
      <w:pPr>
        <w:rPr>
          <w:lang w:val="es-419"/>
        </w:rPr>
      </w:pPr>
    </w:p>
    <w:p w:rsidR="007F21B4" w:rsidRPr="0075789D" w:rsidRDefault="007F21B4" w:rsidP="007F21B4">
      <w:pPr>
        <w:rPr>
          <w:lang w:val="es-419"/>
        </w:rPr>
      </w:pPr>
    </w:p>
    <w:p w:rsidR="007F21B4" w:rsidRPr="0075789D" w:rsidRDefault="007F21B4" w:rsidP="007F21B4">
      <w:pPr>
        <w:rPr>
          <w:lang w:val="es-419"/>
        </w:rPr>
      </w:pPr>
      <w:r w:rsidRPr="0075789D">
        <w:rPr>
          <w:lang w:val="es-419"/>
        </w:rPr>
        <w:t>II.</w:t>
      </w:r>
      <w:r w:rsidRPr="0075789D">
        <w:rPr>
          <w:lang w:val="es-419"/>
        </w:rPr>
        <w:tab/>
        <w:t>OTRAS NOVEDADES DE INTERÉS PARA LA UPOV</w:t>
      </w:r>
    </w:p>
    <w:p w:rsidR="007F21B4" w:rsidRPr="0075789D" w:rsidRDefault="007F21B4" w:rsidP="007F21B4">
      <w:pPr>
        <w:rPr>
          <w:b/>
          <w:lang w:val="es-419"/>
        </w:rPr>
      </w:pPr>
    </w:p>
    <w:p w:rsidR="007F21B4" w:rsidRPr="0075789D" w:rsidRDefault="007F21B4" w:rsidP="007F21B4">
      <w:pPr>
        <w:rPr>
          <w:lang w:val="es-419"/>
        </w:rPr>
      </w:pPr>
      <w:r w:rsidRPr="0075789D">
        <w:rPr>
          <w:lang w:val="es-419"/>
        </w:rPr>
        <w:t>No hay novedades reseñables.</w:t>
      </w:r>
    </w:p>
    <w:p w:rsidR="007F21B4" w:rsidRPr="0075789D" w:rsidRDefault="007F21B4" w:rsidP="007F21B4">
      <w:pPr>
        <w:rPr>
          <w:lang w:val="es-419"/>
        </w:rPr>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X</w:t>
      </w:r>
      <w:r w:rsidR="0075382F" w:rsidRPr="00D36B66">
        <w:t>V</w:t>
      </w:r>
      <w:r w:rsidR="00CE1862">
        <w:t>I</w:t>
      </w:r>
      <w:r>
        <w:t>]</w:t>
      </w:r>
    </w:p>
    <w:p w:rsidR="000362AD" w:rsidRPr="00D36B66" w:rsidRDefault="000362AD" w:rsidP="000362AD"/>
    <w:p w:rsidR="000362AD" w:rsidRPr="00D36B66" w:rsidRDefault="000362AD" w:rsidP="000362AD">
      <w:pPr>
        <w:jc w:val="left"/>
        <w:sectPr w:rsidR="000362AD" w:rsidRPr="00D36B66" w:rsidSect="0049108C">
          <w:headerReference w:type="default" r:id="rId39"/>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w:t>
      </w:r>
      <w:r w:rsidR="0075382F" w:rsidRPr="00D36B66">
        <w:t>XV</w:t>
      </w:r>
      <w:r w:rsidR="00CE1862">
        <w:t>I</w:t>
      </w:r>
    </w:p>
    <w:p w:rsidR="000362AD" w:rsidRPr="00D36B66" w:rsidRDefault="000362AD" w:rsidP="000362AD">
      <w:pPr>
        <w:jc w:val="center"/>
      </w:pPr>
    </w:p>
    <w:p w:rsidR="000362AD" w:rsidRPr="00D36B66" w:rsidRDefault="000362AD" w:rsidP="000362AD">
      <w:pPr>
        <w:jc w:val="center"/>
      </w:pPr>
    </w:p>
    <w:p w:rsidR="00F43FBA" w:rsidRPr="00D36B66" w:rsidRDefault="0075382F" w:rsidP="00F43FBA">
      <w:pPr>
        <w:jc w:val="center"/>
      </w:pPr>
      <w:r w:rsidRPr="00D36B66">
        <w:t>SERBIA</w:t>
      </w:r>
    </w:p>
    <w:p w:rsidR="00F024F6" w:rsidRPr="0075789D" w:rsidRDefault="00F024F6" w:rsidP="00F024F6">
      <w:pPr>
        <w:jc w:val="center"/>
        <w:rPr>
          <w:lang w:val="es-419"/>
        </w:rPr>
      </w:pPr>
      <w:r w:rsidRPr="0075789D">
        <w:rPr>
          <w:lang w:val="es-419"/>
        </w:rPr>
        <w:t>(septiembre de 2021 a septiembre de 2022)</w:t>
      </w:r>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rPr>
          <w:lang w:val="es-419"/>
        </w:rPr>
      </w:pPr>
      <w:r w:rsidRPr="0075789D">
        <w:rPr>
          <w:lang w:val="es-419"/>
        </w:rPr>
        <w:t>I.</w:t>
      </w:r>
      <w:r w:rsidRPr="0075789D">
        <w:rPr>
          <w:lang w:val="es-419"/>
        </w:rPr>
        <w:tab/>
        <w:t>PROTECCIÓN DE LAS OBTENCIONES VEGETALES</w:t>
      </w:r>
    </w:p>
    <w:p w:rsidR="00F024F6" w:rsidRPr="0075789D" w:rsidRDefault="00F024F6" w:rsidP="00F024F6">
      <w:pPr>
        <w:rPr>
          <w:lang w:val="es-419"/>
        </w:rPr>
      </w:pPr>
    </w:p>
    <w:p w:rsidR="00F024F6" w:rsidRPr="0075789D" w:rsidRDefault="00F024F6" w:rsidP="00F024F6">
      <w:pPr>
        <w:rPr>
          <w:lang w:val="es-419"/>
        </w:rPr>
      </w:pPr>
      <w:r w:rsidRPr="0075789D">
        <w:rPr>
          <w:lang w:val="es-419"/>
        </w:rPr>
        <w:t xml:space="preserve">1. </w:t>
      </w:r>
      <w:r w:rsidRPr="0075789D">
        <w:rPr>
          <w:lang w:val="es-419"/>
        </w:rPr>
        <w:tab/>
      </w:r>
      <w:r w:rsidRPr="0075789D">
        <w:rPr>
          <w:u w:val="single"/>
          <w:lang w:val="es-419"/>
        </w:rPr>
        <w:t>Situación en el ámbito legislativo</w:t>
      </w:r>
    </w:p>
    <w:p w:rsidR="00F024F6" w:rsidRPr="0075789D" w:rsidRDefault="00F024F6" w:rsidP="00F024F6">
      <w:pPr>
        <w:rPr>
          <w:lang w:val="es-419"/>
        </w:rPr>
      </w:pPr>
    </w:p>
    <w:p w:rsidR="00F024F6" w:rsidRPr="0075789D" w:rsidRDefault="00F024F6" w:rsidP="00F024F6">
      <w:pPr>
        <w:rPr>
          <w:lang w:val="es-419"/>
        </w:rPr>
      </w:pPr>
      <w:r w:rsidRPr="0075789D">
        <w:rPr>
          <w:lang w:val="es-419"/>
        </w:rPr>
        <w:t>1.1</w:t>
      </w:r>
      <w:r w:rsidRPr="0075789D">
        <w:rPr>
          <w:lang w:val="es-419"/>
        </w:rPr>
        <w:tab/>
        <w:t>Modificaciones de la ley y de los reglamentos</w:t>
      </w:r>
    </w:p>
    <w:p w:rsidR="00F024F6" w:rsidRPr="0075789D" w:rsidRDefault="00F024F6" w:rsidP="00F024F6">
      <w:pPr>
        <w:ind w:left="567"/>
        <w:rPr>
          <w:lang w:val="es-419"/>
        </w:rPr>
      </w:pPr>
    </w:p>
    <w:p w:rsidR="00F024F6" w:rsidRPr="0075789D" w:rsidRDefault="00F024F6" w:rsidP="00F024F6">
      <w:pPr>
        <w:ind w:left="567"/>
        <w:rPr>
          <w:lang w:val="es-419"/>
        </w:rPr>
      </w:pPr>
      <w:r w:rsidRPr="0075789D">
        <w:rPr>
          <w:lang w:val="es-419"/>
        </w:rPr>
        <w:t>No ha habido modificaciones.</w:t>
      </w:r>
    </w:p>
    <w:p w:rsidR="00F024F6" w:rsidRPr="0075789D" w:rsidRDefault="00F024F6" w:rsidP="00F024F6">
      <w:pPr>
        <w:rPr>
          <w:lang w:val="es-419"/>
        </w:rPr>
      </w:pPr>
    </w:p>
    <w:p w:rsidR="00F024F6" w:rsidRPr="0075789D" w:rsidRDefault="00F024F6" w:rsidP="00F024F6">
      <w:pPr>
        <w:rPr>
          <w:lang w:val="es-419"/>
        </w:rPr>
      </w:pPr>
      <w:r w:rsidRPr="0075789D">
        <w:rPr>
          <w:lang w:val="es-419"/>
        </w:rPr>
        <w:t>1.2</w:t>
      </w:r>
      <w:r w:rsidRPr="0075789D">
        <w:rPr>
          <w:lang w:val="es-419"/>
        </w:rPr>
        <w:tab/>
        <w:t>Extensión de la protección a otros géneros y especies (realizada o prevista)</w:t>
      </w:r>
    </w:p>
    <w:p w:rsidR="00F024F6" w:rsidRPr="0075789D" w:rsidRDefault="00F024F6" w:rsidP="00F024F6">
      <w:pPr>
        <w:rPr>
          <w:lang w:val="es-419"/>
        </w:rPr>
      </w:pPr>
    </w:p>
    <w:p w:rsidR="00F024F6" w:rsidRPr="0075789D" w:rsidRDefault="00F024F6" w:rsidP="00F024F6">
      <w:pPr>
        <w:ind w:left="567"/>
        <w:rPr>
          <w:lang w:val="es-419"/>
        </w:rPr>
      </w:pPr>
      <w:r w:rsidRPr="0075789D">
        <w:rPr>
          <w:lang w:val="es-419"/>
        </w:rPr>
        <w:t>Todos los géneros y especies vegetales son susceptibles de protección en virtud de la Ley de Protección de los Derechos de Obtentor (Boletín Oficial de la República de Serbia, N.º 41/2009 y 88/2011).</w:t>
      </w:r>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rPr>
          <w:lang w:val="es-419"/>
        </w:rPr>
      </w:pPr>
      <w:r w:rsidRPr="0075789D">
        <w:rPr>
          <w:lang w:val="es-419"/>
        </w:rPr>
        <w:t>2.</w:t>
      </w:r>
      <w:r w:rsidRPr="0075789D">
        <w:rPr>
          <w:lang w:val="es-419"/>
        </w:rPr>
        <w:tab/>
      </w:r>
      <w:r w:rsidRPr="0075789D">
        <w:rPr>
          <w:u w:val="single"/>
          <w:lang w:val="es-419"/>
        </w:rPr>
        <w:t>Cooperación en el examen</w:t>
      </w:r>
    </w:p>
    <w:p w:rsidR="00F024F6" w:rsidRPr="0075789D" w:rsidRDefault="00F024F6" w:rsidP="00F024F6">
      <w:pPr>
        <w:rPr>
          <w:lang w:val="es-419"/>
        </w:rPr>
      </w:pPr>
    </w:p>
    <w:p w:rsidR="00F024F6" w:rsidRPr="0075789D" w:rsidRDefault="00F024F6" w:rsidP="00F024F6">
      <w:pPr>
        <w:ind w:left="567"/>
        <w:rPr>
          <w:lang w:val="es-419"/>
        </w:rPr>
      </w:pPr>
      <w:r w:rsidRPr="0075789D">
        <w:rPr>
          <w:lang w:val="es-419"/>
        </w:rPr>
        <w:t>No hay novedades reseñables.</w:t>
      </w:r>
    </w:p>
    <w:p w:rsidR="00F024F6" w:rsidRDefault="00F024F6" w:rsidP="00F024F6">
      <w:pPr>
        <w:rPr>
          <w:lang w:val="es-419"/>
        </w:rPr>
      </w:pPr>
    </w:p>
    <w:p w:rsidR="00F024F6" w:rsidRPr="0075789D" w:rsidRDefault="00F024F6" w:rsidP="00F024F6">
      <w:pPr>
        <w:rPr>
          <w:lang w:val="es-419"/>
        </w:rPr>
      </w:pPr>
    </w:p>
    <w:p w:rsidR="00F024F6" w:rsidRPr="0075789D" w:rsidRDefault="00F024F6" w:rsidP="00F024F6">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F024F6" w:rsidRPr="0075789D" w:rsidRDefault="00F024F6" w:rsidP="00F024F6">
      <w:pPr>
        <w:rPr>
          <w:lang w:val="es-419"/>
        </w:rPr>
      </w:pPr>
    </w:p>
    <w:p w:rsidR="00F024F6" w:rsidRPr="0075789D" w:rsidRDefault="00F024F6" w:rsidP="00F024F6">
      <w:pPr>
        <w:rPr>
          <w:lang w:val="es-419"/>
        </w:rPr>
      </w:pPr>
      <w:r w:rsidRPr="0075789D">
        <w:rPr>
          <w:lang w:val="es-419"/>
        </w:rPr>
        <w:t>-</w:t>
      </w:r>
      <w:r w:rsidRPr="0075789D">
        <w:rPr>
          <w:lang w:val="es-419"/>
        </w:rPr>
        <w:tab/>
        <w:t>Cambios en la estructura administrativa:</w:t>
      </w:r>
    </w:p>
    <w:p w:rsidR="00F024F6" w:rsidRPr="0075789D" w:rsidRDefault="00F024F6" w:rsidP="00F024F6">
      <w:pPr>
        <w:rPr>
          <w:lang w:val="es-419"/>
        </w:rPr>
      </w:pPr>
    </w:p>
    <w:p w:rsidR="00F024F6" w:rsidRPr="0075789D" w:rsidRDefault="00F024F6" w:rsidP="00F024F6">
      <w:pPr>
        <w:rPr>
          <w:lang w:val="es-419"/>
        </w:rPr>
      </w:pPr>
      <w:r w:rsidRPr="0075789D">
        <w:rPr>
          <w:lang w:val="es-419"/>
        </w:rPr>
        <w:t>No se produjeron cambios en la estructura administrativa.</w:t>
      </w:r>
    </w:p>
    <w:p w:rsidR="00F024F6" w:rsidRPr="0075789D" w:rsidRDefault="00F024F6" w:rsidP="00F024F6">
      <w:pPr>
        <w:rPr>
          <w:lang w:val="es-419"/>
        </w:rPr>
      </w:pPr>
    </w:p>
    <w:p w:rsidR="00F024F6" w:rsidRPr="0075789D" w:rsidRDefault="00F024F6" w:rsidP="00F024F6">
      <w:pPr>
        <w:rPr>
          <w:lang w:val="es-419"/>
        </w:rPr>
      </w:pPr>
      <w:r w:rsidRPr="0075789D">
        <w:rPr>
          <w:lang w:val="es-419"/>
        </w:rPr>
        <w:t>La Dirección de Protección Vegetal del Ministerio de Agricultura, Silvicultura y Recursos Hídricos, es el organismo designado para proteger los derechos de obtentor de Serbia. Asimismo, la Dirección de Protección Vegetal lleva a cabo tareas relacionadas con la protección de las plantas contra organismos nocivos; la autorización y el control de productos fitosanitarios, abonos y fertilizantes; el registro de variedades vegetales en la lista nacional; la seguridad biológica (organismos modificados genéticamente) y las inspecciones fitosanitarias. Dentro de la Dirección de Protección Vegetal, el Grupo para la Protección de Variedades Vegetales y la Bioseguridad ejerce funciones administrativas concernientes a las disposiciones de la Ley de Protección de los Derechos de Obtentor y a la concesión de los títulos de obtentor y realiza labores relacionadas con la seguridad biológica (organismos modificados genéticamente).</w:t>
      </w:r>
    </w:p>
    <w:p w:rsidR="00F024F6" w:rsidRPr="0075789D" w:rsidRDefault="00F024F6" w:rsidP="00F024F6">
      <w:pPr>
        <w:rPr>
          <w:lang w:val="es-419"/>
        </w:rPr>
      </w:pPr>
    </w:p>
    <w:p w:rsidR="00F024F6" w:rsidRPr="0075789D" w:rsidRDefault="00F024F6" w:rsidP="00F024F6">
      <w:pPr>
        <w:rPr>
          <w:lang w:val="es-419"/>
        </w:rPr>
      </w:pPr>
      <w:r w:rsidRPr="0075789D">
        <w:rPr>
          <w:lang w:val="es-419"/>
        </w:rPr>
        <w:t>-</w:t>
      </w:r>
      <w:r w:rsidRPr="0075789D">
        <w:rPr>
          <w:lang w:val="es-419"/>
        </w:rPr>
        <w:tab/>
        <w:t>Cambios en los procedimientos y sistemas administrativos</w:t>
      </w:r>
    </w:p>
    <w:p w:rsidR="00F024F6" w:rsidRPr="0075789D" w:rsidRDefault="00F024F6" w:rsidP="00F024F6">
      <w:pPr>
        <w:rPr>
          <w:lang w:val="es-419"/>
        </w:rPr>
      </w:pPr>
    </w:p>
    <w:p w:rsidR="00F024F6" w:rsidRPr="0075789D" w:rsidRDefault="00F024F6" w:rsidP="00F024F6">
      <w:pPr>
        <w:rPr>
          <w:lang w:val="es-419"/>
        </w:rPr>
      </w:pPr>
      <w:r w:rsidRPr="0075789D">
        <w:rPr>
          <w:lang w:val="es-419"/>
        </w:rPr>
        <w:t>No ha habido modificaciones.</w:t>
      </w:r>
    </w:p>
    <w:p w:rsidR="00F024F6" w:rsidRDefault="00F024F6" w:rsidP="00F024F6">
      <w:pPr>
        <w:rPr>
          <w:lang w:val="es-419"/>
        </w:rPr>
      </w:pPr>
    </w:p>
    <w:p w:rsidR="00F024F6" w:rsidRPr="0075789D" w:rsidRDefault="00F024F6" w:rsidP="00F024F6">
      <w:pPr>
        <w:rPr>
          <w:lang w:val="es-419"/>
        </w:rPr>
      </w:pPr>
    </w:p>
    <w:p w:rsidR="00F024F6" w:rsidRPr="0075789D" w:rsidRDefault="00F024F6" w:rsidP="00F024F6">
      <w:pPr>
        <w:rPr>
          <w:lang w:val="es-419"/>
        </w:rPr>
      </w:pPr>
      <w:r w:rsidRPr="0075789D">
        <w:rPr>
          <w:lang w:val="es-419"/>
        </w:rPr>
        <w:t>4.</w:t>
      </w:r>
      <w:r w:rsidRPr="0075789D">
        <w:rPr>
          <w:lang w:val="es-419"/>
        </w:rPr>
        <w:tab/>
      </w:r>
      <w:r w:rsidRPr="0075789D">
        <w:rPr>
          <w:u w:val="single"/>
          <w:lang w:val="es-419"/>
        </w:rPr>
        <w:t>Situación en el ámbito técnico</w:t>
      </w:r>
    </w:p>
    <w:p w:rsidR="00F024F6" w:rsidRPr="0075789D" w:rsidRDefault="00F024F6" w:rsidP="00F024F6">
      <w:pPr>
        <w:rPr>
          <w:color w:val="000000"/>
          <w:spacing w:val="-2"/>
          <w:lang w:val="es-419"/>
        </w:rPr>
      </w:pPr>
    </w:p>
    <w:p w:rsidR="00F024F6" w:rsidRPr="0075789D" w:rsidRDefault="00F024F6" w:rsidP="00F024F6">
      <w:pPr>
        <w:rPr>
          <w:color w:val="000000"/>
          <w:spacing w:val="-2"/>
          <w:lang w:val="es-419"/>
        </w:rPr>
      </w:pPr>
      <w:r w:rsidRPr="0075789D">
        <w:rPr>
          <w:color w:val="000000"/>
          <w:lang w:val="es-419"/>
        </w:rPr>
        <w:t>Participantes de Serbia en la herramienta de solicitudes de derechos de obtentor UPOV PRISMA.</w:t>
      </w:r>
    </w:p>
    <w:p w:rsidR="00F024F6" w:rsidRPr="0075789D" w:rsidRDefault="00F024F6" w:rsidP="00F024F6">
      <w:pPr>
        <w:rPr>
          <w:color w:val="000000"/>
          <w:spacing w:val="-2"/>
          <w:lang w:val="es-419"/>
        </w:rPr>
      </w:pPr>
    </w:p>
    <w:p w:rsidR="00F024F6" w:rsidRPr="0075789D" w:rsidRDefault="00F024F6" w:rsidP="00F024F6">
      <w:pPr>
        <w:rPr>
          <w:kern w:val="28"/>
          <w:lang w:val="es-419"/>
        </w:rPr>
      </w:pPr>
      <w:r w:rsidRPr="0075789D">
        <w:rPr>
          <w:lang w:val="es-419"/>
        </w:rPr>
        <w:t>Desde septiembre de 2021 hasta septiembre de 2022, se han concedido derechos de obtentor para</w:t>
      </w:r>
      <w:r w:rsidR="00D11CAE">
        <w:rPr>
          <w:lang w:val="es-419"/>
        </w:rPr>
        <w:t xml:space="preserve"> 75 </w:t>
      </w:r>
      <w:bookmarkStart w:id="1" w:name="_GoBack"/>
      <w:bookmarkEnd w:id="1"/>
      <w:r w:rsidRPr="0075789D">
        <w:rPr>
          <w:lang w:val="es-419"/>
        </w:rPr>
        <w:t>variedades vegetales, sobre la base de los resultados del examen de las variedades vegetales y las propuestas del Consejo de Expertos para la Protección de los Derechos de Obtentor, como órgano especial de expertos de la Dirección de Protección Vegetal, dependiente del Ministerio de Agricultura, Silvicultura y Gestión de Recursos Hídricos.</w:t>
      </w:r>
    </w:p>
    <w:p w:rsidR="00F024F6" w:rsidRPr="0075789D" w:rsidRDefault="00F024F6" w:rsidP="00F024F6">
      <w:pPr>
        <w:rPr>
          <w:lang w:val="es-419"/>
        </w:rPr>
      </w:pPr>
    </w:p>
    <w:p w:rsidR="00F024F6" w:rsidRPr="0075789D" w:rsidRDefault="00F024F6" w:rsidP="00F024F6">
      <w:pPr>
        <w:rPr>
          <w:lang w:val="es-419"/>
        </w:rPr>
      </w:pPr>
      <w:r w:rsidRPr="0075789D">
        <w:rPr>
          <w:lang w:val="es-419"/>
        </w:rPr>
        <w:t xml:space="preserve">En la página web que se indica a continuación pueden consultarse los registros de protección de obtenciones vegetales, así como otros datos relacionados con los derechos de obtentor: </w:t>
      </w:r>
      <w:hyperlink r:id="rId40" w:history="1">
        <w:r w:rsidRPr="0075789D">
          <w:rPr>
            <w:rStyle w:val="Hyperlink"/>
            <w:lang w:val="es-419"/>
          </w:rPr>
          <w:t>https://www.uzb.minpolj.gov.rs/index.php?option=com_content&amp;view=article&amp;id=61&amp;Itemid=14&amp;lang=en</w:t>
        </w:r>
      </w:hyperlink>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jc w:val="left"/>
        <w:rPr>
          <w:lang w:val="es-419"/>
        </w:rPr>
      </w:pPr>
    </w:p>
    <w:p w:rsidR="00F024F6" w:rsidRPr="0075789D" w:rsidRDefault="00F024F6" w:rsidP="00F024F6">
      <w:pPr>
        <w:keepNext/>
        <w:rPr>
          <w:u w:val="single"/>
          <w:lang w:val="es-419"/>
        </w:rPr>
      </w:pPr>
      <w:r w:rsidRPr="0075789D">
        <w:rPr>
          <w:lang w:val="es-419"/>
        </w:rPr>
        <w:lastRenderedPageBreak/>
        <w:t>5.</w:t>
      </w:r>
      <w:r w:rsidRPr="0075789D">
        <w:rPr>
          <w:lang w:val="es-419"/>
        </w:rPr>
        <w:tab/>
      </w:r>
      <w:r w:rsidRPr="0075789D">
        <w:rPr>
          <w:u w:val="single"/>
          <w:lang w:val="es-419"/>
        </w:rPr>
        <w:t>Actividades para la promoción de las variedades vegetales</w:t>
      </w:r>
    </w:p>
    <w:p w:rsidR="00F024F6" w:rsidRPr="0075789D" w:rsidRDefault="00F024F6" w:rsidP="00F024F6">
      <w:pPr>
        <w:keepNext/>
        <w:rPr>
          <w:lang w:val="es-419"/>
        </w:rPr>
      </w:pPr>
    </w:p>
    <w:tbl>
      <w:tblPr>
        <w:tblStyle w:val="TableGrid"/>
        <w:tblW w:w="9691" w:type="dxa"/>
        <w:tblLayout w:type="fixed"/>
        <w:tblCellMar>
          <w:top w:w="28" w:type="dxa"/>
          <w:left w:w="57" w:type="dxa"/>
          <w:bottom w:w="28" w:type="dxa"/>
          <w:right w:w="57" w:type="dxa"/>
        </w:tblCellMar>
        <w:tblLook w:val="01E0" w:firstRow="1" w:lastRow="1" w:firstColumn="1" w:lastColumn="1" w:noHBand="0" w:noVBand="0"/>
      </w:tblPr>
      <w:tblGrid>
        <w:gridCol w:w="1895"/>
        <w:gridCol w:w="992"/>
        <w:gridCol w:w="1276"/>
        <w:gridCol w:w="2693"/>
        <w:gridCol w:w="2835"/>
      </w:tblGrid>
      <w:tr w:rsidR="00F024F6" w:rsidRPr="0075789D" w:rsidTr="004D1E3E">
        <w:tc>
          <w:tcPr>
            <w:tcW w:w="1895" w:type="dxa"/>
          </w:tcPr>
          <w:p w:rsidR="00F024F6" w:rsidRPr="0075789D" w:rsidRDefault="00F024F6" w:rsidP="004D1E3E">
            <w:pPr>
              <w:jc w:val="left"/>
              <w:rPr>
                <w:sz w:val="18"/>
                <w:szCs w:val="18"/>
                <w:lang w:val="es-419"/>
              </w:rPr>
            </w:pPr>
            <w:r w:rsidRPr="0075789D">
              <w:rPr>
                <w:sz w:val="18"/>
                <w:lang w:val="es-419"/>
              </w:rPr>
              <w:t>Título de la actividad</w:t>
            </w:r>
          </w:p>
        </w:tc>
        <w:tc>
          <w:tcPr>
            <w:tcW w:w="992" w:type="dxa"/>
          </w:tcPr>
          <w:p w:rsidR="00F024F6" w:rsidRPr="0075789D" w:rsidRDefault="00F024F6" w:rsidP="004D1E3E">
            <w:pPr>
              <w:jc w:val="left"/>
              <w:rPr>
                <w:sz w:val="18"/>
                <w:szCs w:val="18"/>
                <w:lang w:val="es-419"/>
              </w:rPr>
            </w:pPr>
            <w:r w:rsidRPr="0075789D">
              <w:rPr>
                <w:sz w:val="18"/>
                <w:lang w:val="es-419"/>
              </w:rPr>
              <w:t>Fecha</w:t>
            </w:r>
          </w:p>
        </w:tc>
        <w:tc>
          <w:tcPr>
            <w:tcW w:w="1276" w:type="dxa"/>
          </w:tcPr>
          <w:p w:rsidR="00F024F6" w:rsidRPr="0075789D" w:rsidRDefault="00F024F6" w:rsidP="004D1E3E">
            <w:pPr>
              <w:jc w:val="left"/>
              <w:rPr>
                <w:sz w:val="18"/>
                <w:szCs w:val="18"/>
                <w:lang w:val="es-419"/>
              </w:rPr>
            </w:pPr>
            <w:r w:rsidRPr="0075789D">
              <w:rPr>
                <w:sz w:val="18"/>
                <w:lang w:val="es-419"/>
              </w:rPr>
              <w:t>Lugar</w:t>
            </w:r>
          </w:p>
        </w:tc>
        <w:tc>
          <w:tcPr>
            <w:tcW w:w="2693" w:type="dxa"/>
          </w:tcPr>
          <w:p w:rsidR="00F024F6" w:rsidRPr="0075789D" w:rsidRDefault="00F024F6" w:rsidP="004D1E3E">
            <w:pPr>
              <w:jc w:val="left"/>
              <w:rPr>
                <w:sz w:val="18"/>
                <w:szCs w:val="18"/>
                <w:lang w:val="es-419"/>
              </w:rPr>
            </w:pPr>
            <w:r w:rsidRPr="0075789D">
              <w:rPr>
                <w:sz w:val="18"/>
                <w:lang w:val="es-419"/>
              </w:rPr>
              <w:t>Organizador(es)</w:t>
            </w:r>
          </w:p>
        </w:tc>
        <w:tc>
          <w:tcPr>
            <w:tcW w:w="2835" w:type="dxa"/>
          </w:tcPr>
          <w:p w:rsidR="00F024F6" w:rsidRPr="0075789D" w:rsidRDefault="00F024F6" w:rsidP="004D1E3E">
            <w:pPr>
              <w:jc w:val="left"/>
              <w:rPr>
                <w:sz w:val="18"/>
                <w:szCs w:val="18"/>
                <w:lang w:val="es-419"/>
              </w:rPr>
            </w:pPr>
            <w:r w:rsidRPr="0075789D">
              <w:rPr>
                <w:sz w:val="18"/>
                <w:lang w:val="es-419"/>
              </w:rPr>
              <w:t>Finalidad de la actividad</w:t>
            </w:r>
          </w:p>
        </w:tc>
      </w:tr>
      <w:tr w:rsidR="00F024F6" w:rsidRPr="0075789D" w:rsidTr="004D1E3E">
        <w:tc>
          <w:tcPr>
            <w:tcW w:w="1895" w:type="dxa"/>
          </w:tcPr>
          <w:p w:rsidR="00F024F6" w:rsidRPr="0075789D" w:rsidRDefault="00F024F6" w:rsidP="004D1E3E">
            <w:pPr>
              <w:jc w:val="left"/>
              <w:rPr>
                <w:sz w:val="18"/>
                <w:szCs w:val="18"/>
                <w:shd w:val="clear" w:color="auto" w:fill="FFFFFF"/>
                <w:lang w:val="es-419"/>
              </w:rPr>
            </w:pPr>
            <w:r w:rsidRPr="0075789D">
              <w:rPr>
                <w:sz w:val="18"/>
                <w:shd w:val="clear" w:color="auto" w:fill="FFFFFF"/>
                <w:lang w:val="es-419"/>
              </w:rPr>
              <w:t>Sistema de derechos de obtentor en Serbia</w:t>
            </w:r>
          </w:p>
        </w:tc>
        <w:tc>
          <w:tcPr>
            <w:tcW w:w="992" w:type="dxa"/>
          </w:tcPr>
          <w:p w:rsidR="00F024F6" w:rsidRPr="0075789D" w:rsidRDefault="00F024F6" w:rsidP="004D1E3E">
            <w:pPr>
              <w:jc w:val="left"/>
              <w:rPr>
                <w:sz w:val="18"/>
                <w:szCs w:val="18"/>
                <w:lang w:val="es-419"/>
              </w:rPr>
            </w:pPr>
            <w:r w:rsidRPr="0075789D">
              <w:rPr>
                <w:sz w:val="18"/>
                <w:lang w:val="es-419"/>
              </w:rPr>
              <w:t>6 de octubre de 2021</w:t>
            </w:r>
          </w:p>
        </w:tc>
        <w:tc>
          <w:tcPr>
            <w:tcW w:w="1276" w:type="dxa"/>
          </w:tcPr>
          <w:p w:rsidR="00F024F6" w:rsidRPr="0075789D" w:rsidRDefault="00F024F6" w:rsidP="004D1E3E">
            <w:pPr>
              <w:jc w:val="left"/>
              <w:rPr>
                <w:sz w:val="18"/>
                <w:szCs w:val="18"/>
                <w:lang w:val="es-419"/>
              </w:rPr>
            </w:pPr>
            <w:r w:rsidRPr="0075789D">
              <w:rPr>
                <w:sz w:val="18"/>
                <w:lang w:val="es-419"/>
              </w:rPr>
              <w:t>Belgrado</w:t>
            </w:r>
          </w:p>
          <w:p w:rsidR="00F024F6" w:rsidRPr="0075789D" w:rsidRDefault="00F024F6" w:rsidP="004D1E3E">
            <w:pPr>
              <w:jc w:val="left"/>
              <w:rPr>
                <w:sz w:val="18"/>
                <w:szCs w:val="18"/>
                <w:lang w:val="es-419"/>
              </w:rPr>
            </w:pPr>
          </w:p>
          <w:p w:rsidR="00F024F6" w:rsidRPr="0075789D" w:rsidRDefault="00F024F6" w:rsidP="004D1E3E">
            <w:pPr>
              <w:jc w:val="left"/>
              <w:rPr>
                <w:sz w:val="18"/>
                <w:szCs w:val="18"/>
                <w:lang w:val="es-419"/>
              </w:rPr>
            </w:pPr>
            <w:r w:rsidRPr="0075789D">
              <w:rPr>
                <w:sz w:val="18"/>
                <w:lang w:val="es-419"/>
              </w:rPr>
              <w:t xml:space="preserve">(Serbia) </w:t>
            </w:r>
          </w:p>
        </w:tc>
        <w:tc>
          <w:tcPr>
            <w:tcW w:w="2693" w:type="dxa"/>
          </w:tcPr>
          <w:p w:rsidR="00F024F6" w:rsidRPr="0075789D" w:rsidRDefault="00F024F6" w:rsidP="004D1E3E">
            <w:pPr>
              <w:jc w:val="left"/>
              <w:rPr>
                <w:sz w:val="18"/>
                <w:szCs w:val="18"/>
                <w:lang w:val="es-419"/>
              </w:rPr>
            </w:pPr>
            <w:r w:rsidRPr="0075789D">
              <w:rPr>
                <w:sz w:val="18"/>
                <w:lang w:val="es-419"/>
              </w:rPr>
              <w:t>Agencia de los Estados Unidos para el Desarrollo Internacional (USAID)</w:t>
            </w:r>
          </w:p>
          <w:p w:rsidR="00F024F6" w:rsidRPr="0075789D" w:rsidRDefault="00F024F6" w:rsidP="004D1E3E">
            <w:pPr>
              <w:jc w:val="left"/>
              <w:rPr>
                <w:sz w:val="18"/>
                <w:szCs w:val="18"/>
                <w:lang w:val="es-419"/>
              </w:rPr>
            </w:pPr>
          </w:p>
          <w:p w:rsidR="00F024F6" w:rsidRPr="0075789D" w:rsidRDefault="00F024F6" w:rsidP="004D1E3E">
            <w:pPr>
              <w:jc w:val="left"/>
              <w:rPr>
                <w:sz w:val="18"/>
                <w:szCs w:val="18"/>
                <w:lang w:val="es-419"/>
              </w:rPr>
            </w:pPr>
            <w:r w:rsidRPr="0075789D">
              <w:rPr>
                <w:sz w:val="18"/>
                <w:lang w:val="es-419"/>
              </w:rPr>
              <w:t>Ministerio de Agricultura, Silvicultura y Gestión de Recursos Hídricos de la República de Serbia</w:t>
            </w:r>
          </w:p>
          <w:p w:rsidR="00F024F6" w:rsidRPr="0075789D" w:rsidRDefault="00F024F6" w:rsidP="004D1E3E">
            <w:pPr>
              <w:jc w:val="left"/>
              <w:rPr>
                <w:sz w:val="18"/>
                <w:szCs w:val="18"/>
                <w:lang w:val="es-419"/>
              </w:rPr>
            </w:pPr>
          </w:p>
          <w:p w:rsidR="00F024F6" w:rsidRPr="0075789D" w:rsidRDefault="00F024F6" w:rsidP="004D1E3E">
            <w:pPr>
              <w:jc w:val="left"/>
              <w:rPr>
                <w:sz w:val="18"/>
                <w:szCs w:val="18"/>
                <w:lang w:val="es-419"/>
              </w:rPr>
            </w:pPr>
            <w:r w:rsidRPr="0075789D">
              <w:rPr>
                <w:rStyle w:val="Emphasis"/>
                <w:sz w:val="18"/>
                <w:shd w:val="clear" w:color="auto" w:fill="FFFFFF"/>
                <w:lang w:val="es-419"/>
              </w:rPr>
              <w:t xml:space="preserve">Embajada de los Países Bajos </w:t>
            </w:r>
            <w:r w:rsidRPr="0075789D">
              <w:rPr>
                <w:sz w:val="18"/>
                <w:shd w:val="clear" w:color="auto" w:fill="FFFFFF"/>
                <w:lang w:val="es-419"/>
              </w:rPr>
              <w:t>en Belgrado (Serbia)</w:t>
            </w:r>
          </w:p>
          <w:p w:rsidR="00F024F6" w:rsidRPr="0075789D" w:rsidRDefault="00F024F6" w:rsidP="004D1E3E">
            <w:pPr>
              <w:jc w:val="left"/>
              <w:rPr>
                <w:sz w:val="18"/>
                <w:szCs w:val="18"/>
                <w:lang w:val="es-419"/>
              </w:rPr>
            </w:pPr>
          </w:p>
          <w:p w:rsidR="00F024F6" w:rsidRPr="0075789D" w:rsidRDefault="00F024F6" w:rsidP="004D1E3E">
            <w:pPr>
              <w:jc w:val="left"/>
              <w:rPr>
                <w:sz w:val="18"/>
                <w:szCs w:val="18"/>
                <w:lang w:val="es-419"/>
              </w:rPr>
            </w:pPr>
            <w:r w:rsidRPr="0075789D">
              <w:rPr>
                <w:sz w:val="18"/>
                <w:lang w:val="es-419"/>
              </w:rPr>
              <w:t xml:space="preserve">AGRO </w:t>
            </w:r>
            <w:proofErr w:type="spellStart"/>
            <w:r w:rsidRPr="0075789D">
              <w:rPr>
                <w:sz w:val="18"/>
                <w:lang w:val="es-419"/>
              </w:rPr>
              <w:t>Belgrade</w:t>
            </w:r>
            <w:proofErr w:type="spellEnd"/>
          </w:p>
        </w:tc>
        <w:tc>
          <w:tcPr>
            <w:tcW w:w="2835" w:type="dxa"/>
          </w:tcPr>
          <w:p w:rsidR="00F024F6" w:rsidRPr="0075789D" w:rsidRDefault="00F024F6" w:rsidP="004D1E3E">
            <w:pPr>
              <w:jc w:val="left"/>
              <w:rPr>
                <w:sz w:val="18"/>
                <w:szCs w:val="18"/>
                <w:shd w:val="clear" w:color="auto" w:fill="FFFFFF"/>
                <w:lang w:val="es-419"/>
              </w:rPr>
            </w:pPr>
            <w:r w:rsidRPr="0075789D">
              <w:rPr>
                <w:sz w:val="18"/>
                <w:shd w:val="clear" w:color="auto" w:fill="FFFFFF"/>
                <w:lang w:val="es-419"/>
              </w:rPr>
              <w:t>Foro del Negocio de las Bayas</w:t>
            </w:r>
          </w:p>
          <w:p w:rsidR="00F024F6" w:rsidRPr="0075789D" w:rsidRDefault="00F024F6" w:rsidP="004D1E3E">
            <w:pPr>
              <w:jc w:val="left"/>
              <w:rPr>
                <w:sz w:val="18"/>
                <w:szCs w:val="18"/>
                <w:shd w:val="clear" w:color="auto" w:fill="FFFFFF"/>
                <w:lang w:val="es-419"/>
              </w:rPr>
            </w:pPr>
          </w:p>
          <w:p w:rsidR="00F024F6" w:rsidRPr="0075789D" w:rsidRDefault="00F024F6" w:rsidP="004D1E3E">
            <w:pPr>
              <w:jc w:val="left"/>
              <w:rPr>
                <w:sz w:val="18"/>
                <w:szCs w:val="18"/>
                <w:lang w:val="es-419"/>
              </w:rPr>
            </w:pPr>
            <w:r w:rsidRPr="0075789D">
              <w:rPr>
                <w:sz w:val="18"/>
                <w:shd w:val="clear" w:color="auto" w:fill="FFFFFF"/>
                <w:lang w:val="es-419"/>
              </w:rPr>
              <w:t>Una conferencia especializada para productores y exportadores de bayas frescas e integrantes de la industria de las bayas de Serbia</w:t>
            </w:r>
          </w:p>
        </w:tc>
      </w:tr>
    </w:tbl>
    <w:p w:rsidR="00F024F6" w:rsidRPr="0075789D" w:rsidRDefault="00F024F6" w:rsidP="00F024F6">
      <w:pPr>
        <w:rPr>
          <w:lang w:val="es-419"/>
        </w:rPr>
      </w:pPr>
    </w:p>
    <w:p w:rsidR="00F43FBA" w:rsidRPr="00D36B66" w:rsidRDefault="00F43FBA" w:rsidP="00F43FBA"/>
    <w:p w:rsidR="000362AD" w:rsidRPr="00D36B66" w:rsidRDefault="000362AD" w:rsidP="000362AD">
      <w:pPr>
        <w:jc w:val="left"/>
      </w:pPr>
    </w:p>
    <w:p w:rsidR="000362AD" w:rsidRPr="00D36B66" w:rsidRDefault="000A2928" w:rsidP="000362AD">
      <w:pPr>
        <w:jc w:val="right"/>
      </w:pPr>
      <w:r>
        <w:t>[Sigue el Anexo</w:t>
      </w:r>
      <w:r w:rsidR="000362AD" w:rsidRPr="00D36B66">
        <w:t xml:space="preserve"> X</w:t>
      </w:r>
      <w:r w:rsidR="0075382F" w:rsidRPr="00D36B66">
        <w:t>V</w:t>
      </w:r>
      <w:r w:rsidR="00CE1862">
        <w:t>I</w:t>
      </w:r>
      <w:r w:rsidR="000362AD" w:rsidRPr="00D36B66">
        <w:t>I</w:t>
      </w:r>
      <w:r>
        <w:t>]</w:t>
      </w:r>
    </w:p>
    <w:p w:rsidR="000362AD" w:rsidRPr="00D36B66" w:rsidRDefault="000362AD" w:rsidP="000362AD"/>
    <w:p w:rsidR="000362AD" w:rsidRPr="00D36B66" w:rsidRDefault="000362AD" w:rsidP="000362AD">
      <w:pPr>
        <w:jc w:val="left"/>
        <w:sectPr w:rsidR="000362AD" w:rsidRPr="00D36B66" w:rsidSect="0049108C">
          <w:headerReference w:type="default" r:id="rId41"/>
          <w:pgSz w:w="11907" w:h="16840" w:code="9"/>
          <w:pgMar w:top="510" w:right="1134" w:bottom="1134" w:left="1134" w:header="510" w:footer="680" w:gutter="0"/>
          <w:pgNumType w:start="1"/>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0362AD" w:rsidRPr="00D36B66">
        <w:t xml:space="preserve"> X</w:t>
      </w:r>
      <w:r w:rsidR="0075382F" w:rsidRPr="00D36B66">
        <w:t>V</w:t>
      </w:r>
      <w:r w:rsidR="000362AD" w:rsidRPr="00D36B66">
        <w:t>I</w:t>
      </w:r>
      <w:r w:rsidR="00CE1862">
        <w:t>I</w:t>
      </w:r>
    </w:p>
    <w:p w:rsidR="000362AD" w:rsidRPr="00D36B66" w:rsidRDefault="000362AD" w:rsidP="000362AD">
      <w:pPr>
        <w:jc w:val="center"/>
      </w:pPr>
    </w:p>
    <w:p w:rsidR="000362AD" w:rsidRPr="00D36B66" w:rsidRDefault="000362AD" w:rsidP="000362AD">
      <w:pPr>
        <w:jc w:val="center"/>
      </w:pPr>
    </w:p>
    <w:p w:rsidR="00242EA4" w:rsidRPr="00D36B66" w:rsidRDefault="000A2928" w:rsidP="00242EA4">
      <w:pPr>
        <w:jc w:val="center"/>
      </w:pPr>
      <w:r>
        <w:t>SINGAPUR</w:t>
      </w:r>
    </w:p>
    <w:p w:rsidR="00242EA4" w:rsidRPr="00D36B66" w:rsidRDefault="00242EA4" w:rsidP="00242EA4">
      <w:pPr>
        <w:jc w:val="center"/>
      </w:pPr>
    </w:p>
    <w:p w:rsidR="00242EA4" w:rsidRPr="00D36B66" w:rsidRDefault="00242EA4" w:rsidP="00242EA4">
      <w:pPr>
        <w:jc w:val="center"/>
      </w:pPr>
    </w:p>
    <w:p w:rsidR="00F024F6" w:rsidRPr="0075789D" w:rsidRDefault="00F024F6" w:rsidP="00F024F6">
      <w:pPr>
        <w:tabs>
          <w:tab w:val="left" w:pos="426"/>
          <w:tab w:val="left" w:pos="1276"/>
        </w:tabs>
        <w:rPr>
          <w:lang w:val="es-419"/>
        </w:rPr>
      </w:pPr>
      <w:r w:rsidRPr="0075789D">
        <w:rPr>
          <w:lang w:val="es-419"/>
        </w:rPr>
        <w:t xml:space="preserve">1. </w:t>
      </w:r>
      <w:r w:rsidRPr="0075789D">
        <w:rPr>
          <w:lang w:val="es-419"/>
        </w:rPr>
        <w:tab/>
      </w:r>
      <w:r w:rsidRPr="0075789D">
        <w:rPr>
          <w:u w:val="single"/>
          <w:lang w:val="es-419"/>
        </w:rPr>
        <w:t>Situación en el ámbito legislativo</w:t>
      </w:r>
    </w:p>
    <w:p w:rsidR="00F024F6" w:rsidRPr="0075789D" w:rsidRDefault="00F024F6" w:rsidP="00F024F6">
      <w:pPr>
        <w:rPr>
          <w:sz w:val="14"/>
          <w:szCs w:val="14"/>
          <w:lang w:val="es-419"/>
        </w:rPr>
      </w:pPr>
    </w:p>
    <w:p w:rsidR="00F024F6" w:rsidRPr="0075789D" w:rsidRDefault="00F024F6" w:rsidP="00F024F6">
      <w:pPr>
        <w:rPr>
          <w:lang w:val="es-419"/>
        </w:rPr>
      </w:pPr>
      <w:r w:rsidRPr="0075789D">
        <w:rPr>
          <w:lang w:val="es-419"/>
        </w:rPr>
        <w:t>1.1</w:t>
      </w:r>
      <w:r w:rsidRPr="0075789D">
        <w:rPr>
          <w:lang w:val="es-419"/>
        </w:rPr>
        <w:tab/>
        <w:t>Modificaciones de la ley y de los reglamentos</w:t>
      </w:r>
    </w:p>
    <w:p w:rsidR="00F024F6" w:rsidRPr="0075789D" w:rsidRDefault="00F024F6" w:rsidP="00F024F6">
      <w:pPr>
        <w:rPr>
          <w:sz w:val="12"/>
          <w:szCs w:val="12"/>
          <w:lang w:val="es-419"/>
        </w:rPr>
      </w:pPr>
    </w:p>
    <w:p w:rsidR="00F024F6" w:rsidRPr="0075789D" w:rsidRDefault="00F024F6" w:rsidP="00F024F6">
      <w:pPr>
        <w:numPr>
          <w:ilvl w:val="0"/>
          <w:numId w:val="31"/>
        </w:numPr>
        <w:ind w:left="1134" w:hanging="567"/>
        <w:rPr>
          <w:lang w:val="es-419"/>
        </w:rPr>
      </w:pPr>
      <w:r w:rsidRPr="0075789D">
        <w:rPr>
          <w:lang w:val="es-419"/>
        </w:rPr>
        <w:t>Modificación de la Ley de Protección de las Obtenciones Vegetales de Singapur al entrar en vigor la Ley de Propiedad Intelectual de 2022 (modificación) y la Ley de Propiedad Intelectual de 2019 (resolución de controversias) el 26 de mayo de 2022 y el 10 de junio de 2022.</w:t>
      </w:r>
    </w:p>
    <w:p w:rsidR="00F024F6" w:rsidRPr="0075789D" w:rsidRDefault="00F024F6" w:rsidP="00F024F6">
      <w:pPr>
        <w:ind w:left="1134" w:hanging="567"/>
        <w:rPr>
          <w:sz w:val="18"/>
          <w:szCs w:val="18"/>
          <w:lang w:val="es-419"/>
        </w:rPr>
      </w:pPr>
    </w:p>
    <w:p w:rsidR="00F024F6" w:rsidRPr="0075789D" w:rsidRDefault="00F024F6" w:rsidP="00F024F6">
      <w:pPr>
        <w:numPr>
          <w:ilvl w:val="0"/>
          <w:numId w:val="31"/>
        </w:numPr>
        <w:ind w:left="1134" w:hanging="567"/>
        <w:rPr>
          <w:lang w:val="es-419"/>
        </w:rPr>
      </w:pPr>
      <w:r w:rsidRPr="0075789D">
        <w:rPr>
          <w:lang w:val="es-419"/>
        </w:rPr>
        <w:t>Modificación del Reglamento de Protección de las Obtenciones Vegetales de Singapur al entrar en vigor los Reglamentos de Protección de las Variedades Vegetales de 2022 (modificación y segunda modificación) el 1 de abril de 2022 y el 26 de mayo de 2022.</w:t>
      </w:r>
    </w:p>
    <w:p w:rsidR="00F024F6" w:rsidRPr="0075789D" w:rsidRDefault="00F024F6" w:rsidP="00F024F6">
      <w:pPr>
        <w:rPr>
          <w:sz w:val="16"/>
          <w:szCs w:val="16"/>
          <w:lang w:val="es-419"/>
        </w:rPr>
      </w:pPr>
    </w:p>
    <w:p w:rsidR="00F024F6" w:rsidRPr="0075789D" w:rsidRDefault="00F024F6" w:rsidP="00F024F6">
      <w:pPr>
        <w:rPr>
          <w:lang w:val="es-419"/>
        </w:rPr>
      </w:pPr>
      <w:r w:rsidRPr="0075789D">
        <w:rPr>
          <w:lang w:val="es-419"/>
        </w:rPr>
        <w:t>1.2</w:t>
      </w:r>
      <w:r w:rsidRPr="0075789D">
        <w:rPr>
          <w:lang w:val="es-419"/>
        </w:rPr>
        <w:tab/>
        <w:t>Extensión de la protección a otros géneros y especies</w:t>
      </w:r>
    </w:p>
    <w:p w:rsidR="00F024F6" w:rsidRPr="0075789D" w:rsidRDefault="00F024F6" w:rsidP="00F024F6">
      <w:pPr>
        <w:rPr>
          <w:sz w:val="18"/>
          <w:szCs w:val="18"/>
          <w:lang w:val="es-419"/>
        </w:rPr>
      </w:pPr>
    </w:p>
    <w:p w:rsidR="00F024F6" w:rsidRPr="0075789D" w:rsidRDefault="00F024F6" w:rsidP="00F024F6">
      <w:pPr>
        <w:ind w:left="567"/>
        <w:rPr>
          <w:lang w:val="es-419"/>
        </w:rPr>
      </w:pPr>
      <w:r w:rsidRPr="0075789D">
        <w:rPr>
          <w:lang w:val="es-419"/>
        </w:rPr>
        <w:t>Desde el 30 de julio de 2014, en Singapur se permite la protección de todos los géneros y las especies vegetales.</w:t>
      </w:r>
    </w:p>
    <w:p w:rsidR="00F024F6" w:rsidRPr="0075789D" w:rsidRDefault="00F024F6" w:rsidP="00F024F6">
      <w:pPr>
        <w:rPr>
          <w:sz w:val="18"/>
          <w:szCs w:val="18"/>
          <w:lang w:val="es-419"/>
        </w:rPr>
      </w:pPr>
    </w:p>
    <w:p w:rsidR="00F024F6" w:rsidRPr="0075789D" w:rsidRDefault="00F024F6" w:rsidP="00F024F6">
      <w:pPr>
        <w:rPr>
          <w:lang w:val="es-419"/>
        </w:rPr>
      </w:pPr>
      <w:r w:rsidRPr="0075789D">
        <w:rPr>
          <w:lang w:val="es-419"/>
        </w:rPr>
        <w:t>1.3</w:t>
      </w:r>
      <w:r w:rsidRPr="0075789D">
        <w:rPr>
          <w:lang w:val="es-419"/>
        </w:rPr>
        <w:tab/>
        <w:t>Jurisprudencia No se han producido novedades.</w:t>
      </w:r>
    </w:p>
    <w:p w:rsidR="00F024F6" w:rsidRPr="0075789D" w:rsidRDefault="00F024F6" w:rsidP="00F024F6">
      <w:pPr>
        <w:rPr>
          <w:sz w:val="18"/>
          <w:szCs w:val="18"/>
          <w:lang w:val="es-419"/>
        </w:rPr>
      </w:pPr>
    </w:p>
    <w:p w:rsidR="00F024F6" w:rsidRPr="0075789D" w:rsidRDefault="00F024F6" w:rsidP="00F024F6">
      <w:pPr>
        <w:rPr>
          <w:sz w:val="16"/>
          <w:szCs w:val="16"/>
          <w:lang w:val="es-419"/>
        </w:rPr>
      </w:pPr>
    </w:p>
    <w:p w:rsidR="00F024F6" w:rsidRPr="0075789D" w:rsidRDefault="00F024F6" w:rsidP="00F024F6">
      <w:pPr>
        <w:rPr>
          <w:lang w:val="es-419"/>
        </w:rPr>
      </w:pPr>
      <w:r w:rsidRPr="0075789D">
        <w:rPr>
          <w:lang w:val="es-419"/>
        </w:rPr>
        <w:t>2.</w:t>
      </w:r>
      <w:r w:rsidRPr="0075789D">
        <w:rPr>
          <w:lang w:val="es-419"/>
        </w:rPr>
        <w:tab/>
      </w:r>
      <w:r w:rsidRPr="0075789D">
        <w:rPr>
          <w:u w:val="single"/>
          <w:lang w:val="es-419"/>
        </w:rPr>
        <w:t>Cooperación en el examen</w:t>
      </w:r>
      <w:r w:rsidRPr="0075789D">
        <w:rPr>
          <w:lang w:val="es-419"/>
        </w:rPr>
        <w:t>: No se han producido novedades.</w:t>
      </w:r>
    </w:p>
    <w:p w:rsidR="00F024F6" w:rsidRPr="0075789D" w:rsidRDefault="00F024F6" w:rsidP="00F024F6">
      <w:pPr>
        <w:rPr>
          <w:lang w:val="es-419"/>
        </w:rPr>
      </w:pPr>
    </w:p>
    <w:p w:rsidR="00F024F6" w:rsidRPr="0075789D" w:rsidRDefault="00F024F6" w:rsidP="00F024F6">
      <w:pPr>
        <w:rPr>
          <w:sz w:val="14"/>
          <w:szCs w:val="14"/>
          <w:lang w:val="es-419"/>
        </w:rPr>
      </w:pPr>
    </w:p>
    <w:p w:rsidR="00F024F6" w:rsidRPr="0075789D" w:rsidRDefault="00F024F6" w:rsidP="00F024F6">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F024F6" w:rsidRPr="0075789D" w:rsidRDefault="00F024F6" w:rsidP="00F024F6">
      <w:pPr>
        <w:rPr>
          <w:lang w:val="es-419"/>
        </w:rPr>
      </w:pPr>
    </w:p>
    <w:p w:rsidR="00F024F6" w:rsidRPr="0075789D" w:rsidRDefault="00F024F6" w:rsidP="00F024F6">
      <w:pPr>
        <w:rPr>
          <w:u w:val="single"/>
          <w:lang w:val="es-419"/>
        </w:rPr>
      </w:pPr>
      <w:r w:rsidRPr="0075789D">
        <w:rPr>
          <w:u w:val="single"/>
          <w:lang w:val="es-419"/>
        </w:rPr>
        <w:t>Cambios en los procedimientos y sistemas administrativos</w:t>
      </w:r>
    </w:p>
    <w:p w:rsidR="00F024F6" w:rsidRPr="0075789D" w:rsidRDefault="00F024F6" w:rsidP="00F024F6">
      <w:pPr>
        <w:rPr>
          <w:sz w:val="18"/>
          <w:szCs w:val="18"/>
          <w:lang w:val="es-419"/>
        </w:rPr>
      </w:pPr>
    </w:p>
    <w:p w:rsidR="00F024F6" w:rsidRPr="0075789D" w:rsidRDefault="00F024F6" w:rsidP="00F024F6">
      <w:pPr>
        <w:pStyle w:val="ListParagraph"/>
        <w:numPr>
          <w:ilvl w:val="0"/>
          <w:numId w:val="30"/>
        </w:numPr>
        <w:ind w:left="567" w:hanging="567"/>
        <w:contextualSpacing/>
        <w:jc w:val="both"/>
        <w:rPr>
          <w:szCs w:val="20"/>
          <w:lang w:val="es-419"/>
        </w:rPr>
      </w:pPr>
      <w:r w:rsidRPr="0075789D">
        <w:rPr>
          <w:b/>
          <w:lang w:val="es-419"/>
        </w:rPr>
        <w:t>Presentaciones por medios electrónicos de manera predeterminada:</w:t>
      </w:r>
      <w:r w:rsidRPr="0075789D">
        <w:rPr>
          <w:lang w:val="es-419"/>
        </w:rPr>
        <w:t xml:space="preserve"> a no ser que el registrador especifique lo contrario, para cualquier transacción sujeta a la Ley de Protección de las Obtenciones Vegetales de 2004 y los Reglamentos, las partes facilitan, envían, presentan o despachan los documentos al registrador de manera predeterminada mediante un formulario electrónico a través de </w:t>
      </w:r>
      <w:proofErr w:type="spellStart"/>
      <w:r w:rsidRPr="0075789D">
        <w:rPr>
          <w:lang w:val="es-419"/>
        </w:rPr>
        <w:t>FormSG</w:t>
      </w:r>
      <w:proofErr w:type="spellEnd"/>
      <w:r w:rsidRPr="0075789D">
        <w:rPr>
          <w:lang w:val="es-419"/>
        </w:rPr>
        <w:t xml:space="preserve">. </w:t>
      </w:r>
    </w:p>
    <w:p w:rsidR="00F024F6" w:rsidRPr="0075789D" w:rsidRDefault="00F024F6" w:rsidP="00F024F6">
      <w:pPr>
        <w:pStyle w:val="ListParagraph"/>
        <w:ind w:left="567"/>
        <w:rPr>
          <w:sz w:val="14"/>
          <w:szCs w:val="14"/>
          <w:lang w:val="es-419"/>
        </w:rPr>
      </w:pPr>
    </w:p>
    <w:p w:rsidR="00F024F6" w:rsidRPr="0075789D" w:rsidRDefault="00F024F6" w:rsidP="00F024F6">
      <w:pPr>
        <w:pStyle w:val="ListParagraph"/>
        <w:numPr>
          <w:ilvl w:val="0"/>
          <w:numId w:val="30"/>
        </w:numPr>
        <w:ind w:left="567" w:hanging="567"/>
        <w:contextualSpacing/>
        <w:jc w:val="both"/>
        <w:rPr>
          <w:szCs w:val="20"/>
          <w:lang w:val="es-419"/>
        </w:rPr>
      </w:pPr>
      <w:r w:rsidRPr="0075789D">
        <w:rPr>
          <w:b/>
          <w:lang w:val="es-419"/>
        </w:rPr>
        <w:t>Ampliación del plazo para proporcionar información, documentos o material de reproducción o de multiplicación a efectos de examen:</w:t>
      </w:r>
      <w:r w:rsidRPr="0075789D">
        <w:rPr>
          <w:lang w:val="es-419"/>
        </w:rPr>
        <w:t xml:space="preserve"> este cambio ofrecerá a los solicitantes flexibilidad para: i) proporcionar material de reproducción o de multiplicación; ii) ampliar el plazo para presentar información pertinente durante el transcurso del examen. Ya no es obligatorio enviar el material de reproducción o de multiplicación de la variedad candidata por medio del formulario PVP 9. La presentación de material de reproducción o de multiplicación solo será necesaria cuando lo requieran el registrador o el examinador. Como consecuencia de este cambio, el registrador o el examinador también tienen la potestad de ampliar el plazo de presentación de la información, el documento o el material de reproducción o de multiplicación para el examen que requieran.</w:t>
      </w:r>
    </w:p>
    <w:p w:rsidR="00F024F6" w:rsidRPr="0075789D" w:rsidRDefault="00F024F6" w:rsidP="00F024F6">
      <w:pPr>
        <w:pStyle w:val="ListParagraph"/>
        <w:ind w:left="567"/>
        <w:rPr>
          <w:sz w:val="14"/>
          <w:szCs w:val="14"/>
          <w:lang w:val="es-419"/>
        </w:rPr>
      </w:pPr>
    </w:p>
    <w:p w:rsidR="00F024F6" w:rsidRPr="0075789D" w:rsidRDefault="00F024F6" w:rsidP="00F024F6">
      <w:pPr>
        <w:pStyle w:val="ListParagraph"/>
        <w:numPr>
          <w:ilvl w:val="0"/>
          <w:numId w:val="30"/>
        </w:numPr>
        <w:ind w:left="567" w:hanging="567"/>
        <w:contextualSpacing/>
        <w:jc w:val="both"/>
        <w:rPr>
          <w:szCs w:val="20"/>
          <w:lang w:val="es-419"/>
        </w:rPr>
      </w:pPr>
      <w:r w:rsidRPr="0075789D">
        <w:rPr>
          <w:b/>
          <w:lang w:val="es-419"/>
        </w:rPr>
        <w:t>Introducción del pago atrasado de la tasa anual de mantenimiento de una protección concedida:</w:t>
      </w:r>
      <w:r w:rsidRPr="0075789D">
        <w:rPr>
          <w:lang w:val="es-419"/>
        </w:rPr>
        <w:t xml:space="preserve"> este cambio tiene por objeto agilizar el proceso de mantenimiento de los derechos de propiedad intelectual cuando los propietarios necesiten más tiempo o incumplan el plazo previsto para abonar la tasa de renovación. Los titulares podrán efectuar el pago atrasado de la tasa anual seis meses después de la fecha en que deja de estar en vigor la protección concedida. Esta posibilidad sustituye a la actual posibilidad de solicitar la ampliación del plazo para abonar la tasa anual. </w:t>
      </w:r>
    </w:p>
    <w:p w:rsidR="00F024F6" w:rsidRPr="0075789D" w:rsidRDefault="00F024F6" w:rsidP="00F024F6">
      <w:pPr>
        <w:rPr>
          <w:sz w:val="18"/>
          <w:szCs w:val="18"/>
          <w:lang w:val="es-419"/>
        </w:rPr>
      </w:pPr>
    </w:p>
    <w:p w:rsidR="00F024F6" w:rsidRPr="0075789D" w:rsidRDefault="00F024F6" w:rsidP="00F024F6">
      <w:pPr>
        <w:rPr>
          <w:sz w:val="12"/>
          <w:szCs w:val="12"/>
          <w:lang w:val="es-419"/>
        </w:rPr>
      </w:pPr>
    </w:p>
    <w:p w:rsidR="00F024F6" w:rsidRPr="0075789D" w:rsidRDefault="00F024F6" w:rsidP="00F024F6">
      <w:pPr>
        <w:rPr>
          <w:lang w:val="es-419"/>
        </w:rPr>
      </w:pPr>
      <w:r w:rsidRPr="0075789D">
        <w:rPr>
          <w:lang w:val="es-419"/>
        </w:rPr>
        <w:t>4.</w:t>
      </w:r>
      <w:r w:rsidRPr="0075789D">
        <w:rPr>
          <w:lang w:val="es-419"/>
        </w:rPr>
        <w:tab/>
      </w:r>
      <w:r w:rsidRPr="0075789D">
        <w:rPr>
          <w:u w:val="single"/>
          <w:lang w:val="es-419"/>
        </w:rPr>
        <w:t>Situación en el ámbito técnico</w:t>
      </w:r>
      <w:r w:rsidRPr="0075789D">
        <w:rPr>
          <w:lang w:val="es-419"/>
        </w:rPr>
        <w:t>: No se han producido novedades.</w:t>
      </w:r>
    </w:p>
    <w:p w:rsidR="00F024F6" w:rsidRPr="0075789D" w:rsidRDefault="00F024F6" w:rsidP="00F024F6">
      <w:pPr>
        <w:rPr>
          <w:lang w:val="es-419"/>
        </w:rPr>
      </w:pPr>
    </w:p>
    <w:p w:rsidR="00F024F6" w:rsidRPr="0075789D" w:rsidRDefault="00F024F6" w:rsidP="00F024F6">
      <w:pPr>
        <w:rPr>
          <w:sz w:val="10"/>
          <w:szCs w:val="10"/>
          <w:lang w:val="es-419"/>
        </w:rPr>
      </w:pPr>
    </w:p>
    <w:p w:rsidR="00F024F6" w:rsidRPr="0075789D" w:rsidRDefault="00F024F6" w:rsidP="00F024F6">
      <w:pPr>
        <w:rPr>
          <w:lang w:val="es-419"/>
        </w:rPr>
      </w:pPr>
      <w:r w:rsidRPr="0075789D">
        <w:rPr>
          <w:lang w:val="es-419"/>
        </w:rPr>
        <w:t>5.</w:t>
      </w:r>
      <w:r w:rsidRPr="0075789D">
        <w:rPr>
          <w:lang w:val="es-419"/>
        </w:rPr>
        <w:tab/>
        <w:t>Actividades para la promoción de la protección de las obtenciones vegetales: No se han producido novedades.</w:t>
      </w:r>
    </w:p>
    <w:p w:rsidR="00F024F6" w:rsidRPr="0075789D" w:rsidRDefault="00F024F6" w:rsidP="00F024F6">
      <w:pPr>
        <w:rPr>
          <w:sz w:val="18"/>
          <w:szCs w:val="18"/>
          <w:lang w:val="es-419"/>
        </w:rPr>
      </w:pPr>
    </w:p>
    <w:p w:rsidR="00F024F6" w:rsidRPr="0075789D" w:rsidRDefault="00F024F6" w:rsidP="00F024F6">
      <w:pPr>
        <w:rPr>
          <w:lang w:val="es-419"/>
        </w:rPr>
      </w:pPr>
    </w:p>
    <w:p w:rsidR="00F024F6" w:rsidRPr="0075789D" w:rsidRDefault="00F024F6" w:rsidP="00F024F6">
      <w:pPr>
        <w:rPr>
          <w:lang w:val="es-419"/>
        </w:rPr>
      </w:pPr>
      <w:r w:rsidRPr="0075789D">
        <w:rPr>
          <w:lang w:val="es-419"/>
        </w:rPr>
        <w:t>II.</w:t>
      </w:r>
      <w:r w:rsidRPr="0075789D">
        <w:rPr>
          <w:lang w:val="es-419"/>
        </w:rPr>
        <w:tab/>
        <w:t>OTRAS NOVEDADES DE INTERÉS PARA LA UPOV</w:t>
      </w:r>
    </w:p>
    <w:p w:rsidR="00F024F6" w:rsidRPr="0075789D" w:rsidRDefault="00F024F6" w:rsidP="00F024F6">
      <w:pPr>
        <w:rPr>
          <w:lang w:val="es-419"/>
        </w:rPr>
      </w:pPr>
    </w:p>
    <w:p w:rsidR="00F024F6" w:rsidRPr="0075789D" w:rsidRDefault="00F024F6" w:rsidP="00F024F6">
      <w:pPr>
        <w:spacing w:line="360" w:lineRule="auto"/>
        <w:ind w:left="567"/>
        <w:rPr>
          <w:lang w:val="es-419"/>
        </w:rPr>
      </w:pPr>
      <w:r w:rsidRPr="0075789D">
        <w:rPr>
          <w:lang w:val="es-419"/>
        </w:rPr>
        <w:t>No se han producido novedad</w:t>
      </w:r>
    </w:p>
    <w:p w:rsidR="00242EA4" w:rsidRPr="00D36B66" w:rsidRDefault="00242EA4" w:rsidP="00242EA4"/>
    <w:p w:rsidR="000362AD" w:rsidRPr="00D36B66" w:rsidRDefault="000A2928" w:rsidP="00F024F6">
      <w:pPr>
        <w:jc w:val="right"/>
      </w:pPr>
      <w:r>
        <w:t>[Sigue el Anexo</w:t>
      </w:r>
      <w:r w:rsidR="000362AD" w:rsidRPr="00D36B66">
        <w:t xml:space="preserve"> XV</w:t>
      </w:r>
      <w:r w:rsidR="00CE1862">
        <w:t>I</w:t>
      </w:r>
      <w:r w:rsidR="0075382F" w:rsidRPr="00D36B66">
        <w:t>II</w:t>
      </w:r>
      <w:r>
        <w:t>]</w:t>
      </w:r>
    </w:p>
    <w:p w:rsidR="000362AD" w:rsidRPr="00D36B66" w:rsidRDefault="000362AD" w:rsidP="000362AD">
      <w:pPr>
        <w:jc w:val="left"/>
        <w:sectPr w:rsidR="000362AD" w:rsidRPr="00D36B66" w:rsidSect="00F024F6">
          <w:headerReference w:type="default" r:id="rId42"/>
          <w:pgSz w:w="11907" w:h="16840" w:code="9"/>
          <w:pgMar w:top="510" w:right="1134" w:bottom="709" w:left="1134" w:header="510" w:footer="680" w:gutter="0"/>
          <w:cols w:space="720"/>
          <w:titlePg/>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75382F" w:rsidRPr="00D36B66">
        <w:t xml:space="preserve"> X</w:t>
      </w:r>
      <w:r w:rsidR="000362AD" w:rsidRPr="00D36B66">
        <w:t>V</w:t>
      </w:r>
      <w:r w:rsidR="0075382F" w:rsidRPr="00D36B66">
        <w:t>II</w:t>
      </w:r>
      <w:r w:rsidR="00CE1862">
        <w:t>I</w:t>
      </w:r>
    </w:p>
    <w:p w:rsidR="000362AD" w:rsidRPr="00D36B66" w:rsidRDefault="000362AD" w:rsidP="000362AD">
      <w:pPr>
        <w:jc w:val="center"/>
      </w:pPr>
    </w:p>
    <w:p w:rsidR="000362AD" w:rsidRPr="00D36B66" w:rsidRDefault="000362AD" w:rsidP="000362AD">
      <w:pPr>
        <w:jc w:val="center"/>
      </w:pPr>
    </w:p>
    <w:p w:rsidR="00242EA4" w:rsidRPr="00D36B66" w:rsidRDefault="000A2928" w:rsidP="00242EA4">
      <w:pPr>
        <w:jc w:val="center"/>
      </w:pPr>
      <w:r>
        <w:t>UC</w:t>
      </w:r>
      <w:r w:rsidR="0075382F" w:rsidRPr="00D36B66">
        <w:t>RAN</w:t>
      </w:r>
      <w:r>
        <w:t>IA</w:t>
      </w:r>
    </w:p>
    <w:p w:rsidR="00242EA4" w:rsidRPr="00D36B66" w:rsidRDefault="00242EA4" w:rsidP="00242EA4">
      <w:pPr>
        <w:jc w:val="center"/>
      </w:pPr>
    </w:p>
    <w:p w:rsidR="00242EA4" w:rsidRPr="00D36B66" w:rsidRDefault="00242EA4" w:rsidP="00242EA4">
      <w:pPr>
        <w:jc w:val="center"/>
      </w:pPr>
    </w:p>
    <w:p w:rsidR="00F024F6" w:rsidRPr="0075789D" w:rsidRDefault="00F024F6" w:rsidP="00F024F6">
      <w:pPr>
        <w:rPr>
          <w:lang w:val="es-419"/>
        </w:rPr>
      </w:pPr>
      <w:r w:rsidRPr="0075789D">
        <w:rPr>
          <w:lang w:val="es-419"/>
        </w:rPr>
        <w:t>I.</w:t>
      </w:r>
      <w:r w:rsidRPr="0075789D">
        <w:rPr>
          <w:lang w:val="es-419"/>
        </w:rPr>
        <w:tab/>
        <w:t>PROTECCIÓN DE LAS OBTENCIONES VEGETALES</w:t>
      </w:r>
    </w:p>
    <w:p w:rsidR="00F024F6" w:rsidRPr="0075789D" w:rsidRDefault="00F024F6" w:rsidP="00F024F6">
      <w:pPr>
        <w:rPr>
          <w:lang w:val="es-419"/>
        </w:rPr>
      </w:pPr>
    </w:p>
    <w:p w:rsidR="00F024F6" w:rsidRPr="0075789D" w:rsidRDefault="00F024F6" w:rsidP="00F024F6">
      <w:pPr>
        <w:rPr>
          <w:lang w:val="es-419"/>
        </w:rPr>
      </w:pPr>
      <w:r w:rsidRPr="0075789D">
        <w:rPr>
          <w:lang w:val="es-419"/>
        </w:rPr>
        <w:t>1.</w:t>
      </w:r>
      <w:r w:rsidRPr="0075789D">
        <w:rPr>
          <w:lang w:val="es-419"/>
        </w:rPr>
        <w:tab/>
      </w:r>
      <w:r w:rsidRPr="0075789D">
        <w:rPr>
          <w:u w:val="single"/>
          <w:lang w:val="es-419"/>
        </w:rPr>
        <w:t>Situación en el ámbito jurídico</w:t>
      </w:r>
      <w:r w:rsidRPr="0075789D">
        <w:rPr>
          <w:lang w:val="es-419"/>
        </w:rPr>
        <w:t xml:space="preserve"> </w:t>
      </w:r>
    </w:p>
    <w:p w:rsidR="00F024F6" w:rsidRPr="0075789D" w:rsidRDefault="00F024F6" w:rsidP="00F024F6">
      <w:pPr>
        <w:rPr>
          <w:lang w:val="es-419"/>
        </w:rPr>
      </w:pPr>
    </w:p>
    <w:p w:rsidR="00F024F6" w:rsidRPr="0075789D" w:rsidRDefault="00F024F6" w:rsidP="00F024F6">
      <w:pPr>
        <w:spacing w:after="120"/>
        <w:rPr>
          <w:lang w:val="es-419"/>
        </w:rPr>
      </w:pPr>
      <w:r w:rsidRPr="0075789D">
        <w:rPr>
          <w:lang w:val="es-419"/>
        </w:rPr>
        <w:t>Han dejado de estar en vigor las siguientes normas:</w:t>
      </w:r>
    </w:p>
    <w:p w:rsidR="00F024F6" w:rsidRPr="0075789D" w:rsidRDefault="00F024F6" w:rsidP="00F024F6">
      <w:pPr>
        <w:numPr>
          <w:ilvl w:val="0"/>
          <w:numId w:val="33"/>
        </w:numPr>
        <w:spacing w:after="120"/>
        <w:rPr>
          <w:lang w:val="es-419"/>
        </w:rPr>
      </w:pPr>
      <w:r w:rsidRPr="0075789D">
        <w:rPr>
          <w:lang w:val="es-419"/>
        </w:rPr>
        <w:t>Orden N.º 390 del Ministerio de Política Agraria Nacional de Ucrania, de 13 de diciembre de 2002, “Sobre la aprobación del Reglamento del Registro estatal de derechos de propiedad intelectual para variedades vegetales y concesión de patentes ucranianas para variedades vegetales” (título en la edición de la Orden N.º 515 del Ministerio de Política Agraria de Ucrania de 15 de agosto de 2008), registrada en el Ministerio de Justicia de Ucrania el 31 de enero de 2003 con el N.º 80/7401);</w:t>
      </w:r>
    </w:p>
    <w:p w:rsidR="00F024F6" w:rsidRPr="0075789D" w:rsidRDefault="00F024F6" w:rsidP="00F024F6">
      <w:pPr>
        <w:numPr>
          <w:ilvl w:val="0"/>
          <w:numId w:val="33"/>
        </w:numPr>
        <w:spacing w:after="120"/>
        <w:rPr>
          <w:lang w:val="es-419"/>
        </w:rPr>
      </w:pPr>
      <w:r w:rsidRPr="0075789D">
        <w:rPr>
          <w:lang w:val="es-419"/>
        </w:rPr>
        <w:t>Orden N.º 42 del Ministerio de Política Agraria de Ucrania, de 26 de febrero de 2003, “Sobre la aprobación del Reglamento de solicitud del registro estatal para variedades vegetales”, registrada en el Ministerio de Justicia de Ucrania el 19 de marzo de 2003 con el N.º 220/7541;</w:t>
      </w:r>
    </w:p>
    <w:p w:rsidR="00F024F6" w:rsidRPr="0075789D" w:rsidRDefault="00F024F6" w:rsidP="00F024F6">
      <w:pPr>
        <w:numPr>
          <w:ilvl w:val="0"/>
          <w:numId w:val="33"/>
        </w:numPr>
        <w:spacing w:after="120"/>
        <w:rPr>
          <w:lang w:val="es-419"/>
        </w:rPr>
      </w:pPr>
      <w:r w:rsidRPr="0075789D">
        <w:rPr>
          <w:lang w:val="es-419"/>
        </w:rPr>
        <w:t>Orden N.º 515 del Ministerio de Política Agraria de Ucrania, de 15 de agosto de 2008, “Sobre la modificación de la Orden N.º 390 del Ministerio de Política Agraria de Ucrania, de 13 de diciembre de 2002”, registrada en el Ministerio de Justicia de Ucrania el 2 de diciembre de 2008 con el N.º 1149/15840;</w:t>
      </w:r>
    </w:p>
    <w:p w:rsidR="00F024F6" w:rsidRPr="0075789D" w:rsidRDefault="00F024F6" w:rsidP="00F024F6">
      <w:pPr>
        <w:numPr>
          <w:ilvl w:val="0"/>
          <w:numId w:val="33"/>
        </w:numPr>
        <w:spacing w:after="120"/>
        <w:rPr>
          <w:lang w:val="es-419"/>
        </w:rPr>
      </w:pPr>
      <w:r w:rsidRPr="0075789D">
        <w:rPr>
          <w:lang w:val="es-419"/>
        </w:rPr>
        <w:t>Orden N.º 212 del Ministerio de Política Agraria y Alimentación de Ucrania, de 21 de junio de 2016, “Sobre la aprobación de la lista de géneros y especies de las que se examinan variedades en cuanto a la pertinencia de su distribución”.</w:t>
      </w:r>
    </w:p>
    <w:p w:rsidR="00F024F6" w:rsidRPr="0075789D" w:rsidRDefault="00F024F6" w:rsidP="00F024F6">
      <w:pPr>
        <w:rPr>
          <w:lang w:val="es-419"/>
        </w:rPr>
      </w:pPr>
      <w:r w:rsidRPr="0075789D">
        <w:rPr>
          <w:lang w:val="es-419"/>
        </w:rPr>
        <w:t>Se introdujeron modificaciones en la Orden N.º 151 del Ministerio de Política Agraria de Ucrania, de 28 de mayo de 2003, “Sobre la aprobación del Reglamento referido al Certificado de Autor de una variedad vegetal”.</w:t>
      </w:r>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rPr>
          <w:u w:val="single"/>
          <w:lang w:val="es-419"/>
        </w:rPr>
      </w:pPr>
      <w:r w:rsidRPr="0075789D">
        <w:rPr>
          <w:lang w:val="es-419"/>
        </w:rPr>
        <w:t>2.</w:t>
      </w:r>
      <w:r w:rsidRPr="0075789D">
        <w:rPr>
          <w:lang w:val="es-419"/>
        </w:rPr>
        <w:tab/>
      </w:r>
      <w:r w:rsidRPr="0075789D">
        <w:rPr>
          <w:u w:val="single"/>
          <w:lang w:val="es-419"/>
        </w:rPr>
        <w:t>Cooperación de expertos</w:t>
      </w:r>
    </w:p>
    <w:p w:rsidR="00F024F6" w:rsidRPr="0075789D" w:rsidRDefault="00F024F6" w:rsidP="00F024F6">
      <w:pPr>
        <w:rPr>
          <w:lang w:val="es-419"/>
        </w:rPr>
      </w:pPr>
    </w:p>
    <w:p w:rsidR="00F024F6" w:rsidRPr="0075789D" w:rsidRDefault="00F024F6" w:rsidP="00F024F6">
      <w:pPr>
        <w:rPr>
          <w:lang w:val="es-419"/>
        </w:rPr>
      </w:pPr>
      <w:r w:rsidRPr="0075789D">
        <w:rPr>
          <w:lang w:val="es-419"/>
        </w:rPr>
        <w:t>Durante 2021, Ucrania intercambió 104 informes de resultados de investigaciones de campo sobre DHE. Ucrania utilizó informes de expertos DHE de los países siguientes: Alemania, Austria, Bélgica, Bulgaria, Eslovaquia, España, Francia, Hungría, Italia, Países Bajos, Portugal, Rumania y Reino Unido. Además, Ucrania proporcionó informes a Serbia y Turquía.</w:t>
      </w:r>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rPr>
          <w:u w:val="single"/>
          <w:lang w:val="es-419"/>
        </w:rPr>
      </w:pPr>
      <w:r w:rsidRPr="0075789D">
        <w:rPr>
          <w:lang w:val="es-419"/>
        </w:rPr>
        <w:t>3.</w:t>
      </w:r>
      <w:r w:rsidRPr="0075789D">
        <w:rPr>
          <w:lang w:val="es-419"/>
        </w:rPr>
        <w:tab/>
      </w:r>
      <w:r w:rsidRPr="0075789D">
        <w:rPr>
          <w:u w:val="single"/>
          <w:lang w:val="es-419"/>
        </w:rPr>
        <w:t>Situación en el ámbito administrativo</w:t>
      </w:r>
    </w:p>
    <w:p w:rsidR="00F024F6" w:rsidRPr="0075789D" w:rsidRDefault="00F024F6" w:rsidP="00F024F6">
      <w:pPr>
        <w:rPr>
          <w:lang w:val="es-419"/>
        </w:rPr>
      </w:pPr>
    </w:p>
    <w:p w:rsidR="00F024F6" w:rsidRPr="0075789D" w:rsidRDefault="00F024F6" w:rsidP="00F024F6">
      <w:pPr>
        <w:rPr>
          <w:lang w:val="es-419"/>
        </w:rPr>
      </w:pPr>
      <w:r w:rsidRPr="0075789D">
        <w:rPr>
          <w:lang w:val="es-419"/>
        </w:rPr>
        <w:t>El Ministerio de Política Agraria y Alimentación de Ucrania es la autoridad competente para el registro de derechos sobre variedades vegetales en Ucrania desde 2020.</w:t>
      </w:r>
    </w:p>
    <w:p w:rsidR="00F024F6" w:rsidRPr="0075789D" w:rsidRDefault="00F024F6" w:rsidP="00F024F6">
      <w:pPr>
        <w:rPr>
          <w:lang w:val="es-419"/>
        </w:rPr>
      </w:pPr>
    </w:p>
    <w:p w:rsidR="00F024F6" w:rsidRPr="0075789D" w:rsidRDefault="00F024F6" w:rsidP="00F024F6">
      <w:pPr>
        <w:rPr>
          <w:lang w:val="es-419"/>
        </w:rPr>
      </w:pPr>
    </w:p>
    <w:p w:rsidR="00F024F6" w:rsidRPr="0075789D" w:rsidRDefault="00F024F6" w:rsidP="00F024F6">
      <w:pPr>
        <w:rPr>
          <w:u w:val="single"/>
          <w:lang w:val="es-419"/>
        </w:rPr>
      </w:pPr>
      <w:r w:rsidRPr="0075789D">
        <w:rPr>
          <w:lang w:val="es-419"/>
        </w:rPr>
        <w:t>4.</w:t>
      </w:r>
      <w:r w:rsidRPr="0075789D">
        <w:rPr>
          <w:lang w:val="es-419"/>
        </w:rPr>
        <w:tab/>
      </w:r>
      <w:r w:rsidRPr="0075789D">
        <w:rPr>
          <w:u w:val="single"/>
          <w:lang w:val="es-419"/>
        </w:rPr>
        <w:t>Situación en el ámbito técnico</w:t>
      </w:r>
    </w:p>
    <w:p w:rsidR="00F024F6" w:rsidRPr="0075789D" w:rsidRDefault="00F024F6" w:rsidP="00F024F6">
      <w:pPr>
        <w:rPr>
          <w:lang w:val="es-419"/>
        </w:rPr>
      </w:pPr>
    </w:p>
    <w:p w:rsidR="00F024F6" w:rsidRPr="0075789D" w:rsidRDefault="00F024F6" w:rsidP="00F024F6">
      <w:pPr>
        <w:rPr>
          <w:lang w:val="es-419"/>
        </w:rPr>
      </w:pPr>
      <w:r w:rsidRPr="0075789D">
        <w:rPr>
          <w:lang w:val="es-419"/>
        </w:rPr>
        <w:t>La Orden N.º 387 del Ministerio de Política Agraria y Alimentación de Ucrania, de 25 de noviembre de 2021, “Sobre la aprobación de la lista de géneros y especies de las que se examinan variedades en cuanto a la pertinencia de su distribución y a la distinción, la homogeneidad y la estabilidad” introdujo varios cambios:</w:t>
      </w:r>
    </w:p>
    <w:p w:rsidR="00F024F6" w:rsidRPr="0075789D" w:rsidRDefault="00F024F6" w:rsidP="00F024F6">
      <w:pPr>
        <w:rPr>
          <w:lang w:val="es-419"/>
        </w:rPr>
      </w:pPr>
    </w:p>
    <w:p w:rsidR="00F024F6" w:rsidRPr="0075789D" w:rsidRDefault="00F024F6" w:rsidP="00F024F6">
      <w:pPr>
        <w:rPr>
          <w:lang w:val="es-419"/>
        </w:rPr>
      </w:pPr>
      <w:r w:rsidRPr="0075789D">
        <w:rPr>
          <w:lang w:val="es-419"/>
        </w:rPr>
        <w:t>Se añadieron la lechuga (</w:t>
      </w:r>
      <w:proofErr w:type="spellStart"/>
      <w:r w:rsidRPr="0075789D">
        <w:rPr>
          <w:i/>
          <w:lang w:val="es-419"/>
        </w:rPr>
        <w:t>Latuca</w:t>
      </w:r>
      <w:proofErr w:type="spellEnd"/>
      <w:r w:rsidRPr="0075789D">
        <w:rPr>
          <w:i/>
          <w:lang w:val="es-419"/>
        </w:rPr>
        <w:t xml:space="preserve"> saliva</w:t>
      </w:r>
      <w:r w:rsidRPr="0075789D">
        <w:rPr>
          <w:lang w:val="es-419"/>
        </w:rPr>
        <w:t xml:space="preserve"> L.), el eneldo (</w:t>
      </w:r>
      <w:proofErr w:type="spellStart"/>
      <w:r w:rsidRPr="0075789D">
        <w:rPr>
          <w:i/>
          <w:lang w:val="es-419"/>
        </w:rPr>
        <w:t>Anethum</w:t>
      </w:r>
      <w:proofErr w:type="spellEnd"/>
      <w:r w:rsidRPr="0075789D">
        <w:rPr>
          <w:i/>
          <w:lang w:val="es-419"/>
        </w:rPr>
        <w:t xml:space="preserve"> </w:t>
      </w:r>
      <w:proofErr w:type="spellStart"/>
      <w:r w:rsidRPr="0075789D">
        <w:rPr>
          <w:i/>
          <w:lang w:val="es-419"/>
        </w:rPr>
        <w:t>graveolens</w:t>
      </w:r>
      <w:proofErr w:type="spellEnd"/>
      <w:r w:rsidRPr="0075789D">
        <w:rPr>
          <w:lang w:val="es-419"/>
        </w:rPr>
        <w:t xml:space="preserve"> L.), el perejil (</w:t>
      </w:r>
      <w:proofErr w:type="spellStart"/>
      <w:r w:rsidRPr="0075789D">
        <w:rPr>
          <w:i/>
          <w:lang w:val="es-419"/>
        </w:rPr>
        <w:t>Petroselinum</w:t>
      </w:r>
      <w:proofErr w:type="spellEnd"/>
      <w:r w:rsidRPr="0075789D">
        <w:rPr>
          <w:i/>
          <w:lang w:val="es-419"/>
        </w:rPr>
        <w:t xml:space="preserve"> </w:t>
      </w:r>
      <w:proofErr w:type="spellStart"/>
      <w:r w:rsidRPr="0075789D">
        <w:rPr>
          <w:i/>
          <w:lang w:val="es-419"/>
        </w:rPr>
        <w:t>crispum</w:t>
      </w:r>
      <w:proofErr w:type="spellEnd"/>
      <w:r w:rsidRPr="0075789D">
        <w:rPr>
          <w:lang w:val="es-419"/>
        </w:rPr>
        <w:t xml:space="preserve"> (</w:t>
      </w:r>
      <w:proofErr w:type="spellStart"/>
      <w:r w:rsidRPr="0075789D">
        <w:rPr>
          <w:lang w:val="es-419"/>
        </w:rPr>
        <w:t>Mill</w:t>
      </w:r>
      <w:proofErr w:type="spellEnd"/>
      <w:r w:rsidRPr="0075789D">
        <w:rPr>
          <w:lang w:val="es-419"/>
        </w:rPr>
        <w:t xml:space="preserve">.) </w:t>
      </w:r>
      <w:proofErr w:type="spellStart"/>
      <w:r w:rsidRPr="0075789D">
        <w:rPr>
          <w:lang w:val="es-419"/>
        </w:rPr>
        <w:t>Nyman</w:t>
      </w:r>
      <w:proofErr w:type="spellEnd"/>
      <w:r w:rsidRPr="0075789D">
        <w:rPr>
          <w:lang w:val="es-419"/>
        </w:rPr>
        <w:t xml:space="preserve"> ex </w:t>
      </w:r>
      <w:proofErr w:type="spellStart"/>
      <w:r w:rsidRPr="0075789D">
        <w:rPr>
          <w:lang w:val="es-419"/>
        </w:rPr>
        <w:t>A.W.Hill</w:t>
      </w:r>
      <w:proofErr w:type="spellEnd"/>
      <w:r w:rsidRPr="0075789D">
        <w:rPr>
          <w:lang w:val="es-419"/>
        </w:rPr>
        <w:t>)), la espinaca (</w:t>
      </w:r>
      <w:proofErr w:type="spellStart"/>
      <w:r w:rsidRPr="0075789D">
        <w:rPr>
          <w:i/>
          <w:lang w:val="es-419"/>
        </w:rPr>
        <w:t>Spinacea</w:t>
      </w:r>
      <w:proofErr w:type="spellEnd"/>
      <w:r w:rsidRPr="0075789D">
        <w:rPr>
          <w:i/>
          <w:lang w:val="es-419"/>
        </w:rPr>
        <w:t xml:space="preserve"> </w:t>
      </w:r>
      <w:proofErr w:type="spellStart"/>
      <w:r w:rsidRPr="0075789D">
        <w:rPr>
          <w:i/>
          <w:lang w:val="es-419"/>
        </w:rPr>
        <w:t>oleracea</w:t>
      </w:r>
      <w:proofErr w:type="spellEnd"/>
      <w:r w:rsidRPr="0075789D">
        <w:rPr>
          <w:lang w:val="es-419"/>
        </w:rPr>
        <w:t xml:space="preserve"> L.) y la fresa/frutilla (</w:t>
      </w:r>
      <w:r w:rsidRPr="0075789D">
        <w:rPr>
          <w:i/>
          <w:lang w:val="es-419"/>
        </w:rPr>
        <w:t>Fragaria</w:t>
      </w:r>
      <w:r w:rsidRPr="0075789D">
        <w:rPr>
          <w:lang w:val="es-419"/>
        </w:rPr>
        <w:t xml:space="preserve"> L.) y se eliminaron el trébol (todas las especies) (</w:t>
      </w:r>
      <w:proofErr w:type="spellStart"/>
      <w:r w:rsidRPr="0075789D">
        <w:rPr>
          <w:i/>
          <w:lang w:val="es-419"/>
        </w:rPr>
        <w:t>Trifolium</w:t>
      </w:r>
      <w:proofErr w:type="spellEnd"/>
      <w:r w:rsidRPr="0075789D">
        <w:rPr>
          <w:lang w:val="es-419"/>
        </w:rPr>
        <w:t xml:space="preserve"> L.) y la alfalfa (todas las especies) (</w:t>
      </w:r>
      <w:proofErr w:type="spellStart"/>
      <w:r w:rsidRPr="0075789D">
        <w:rPr>
          <w:i/>
          <w:lang w:val="es-419"/>
        </w:rPr>
        <w:t>Medicago</w:t>
      </w:r>
      <w:proofErr w:type="spellEnd"/>
      <w:r w:rsidRPr="0075789D">
        <w:rPr>
          <w:lang w:val="es-419"/>
        </w:rPr>
        <w:t xml:space="preserve"> L.) de la lista válida en 2020.</w:t>
      </w:r>
    </w:p>
    <w:p w:rsidR="00F024F6" w:rsidRPr="0075789D" w:rsidRDefault="00F024F6" w:rsidP="00F024F6">
      <w:pPr>
        <w:rPr>
          <w:lang w:val="es-419"/>
        </w:rPr>
      </w:pPr>
    </w:p>
    <w:p w:rsidR="00F024F6" w:rsidRPr="0075789D" w:rsidRDefault="00F024F6" w:rsidP="00F024F6">
      <w:pPr>
        <w:rPr>
          <w:lang w:val="es-419"/>
        </w:rPr>
      </w:pPr>
      <w:r w:rsidRPr="0075789D">
        <w:rPr>
          <w:lang w:val="es-419"/>
        </w:rPr>
        <w:t>En 2021, se desarrollaron los métodos siguientes para el examen de variedades vegetales:</w:t>
      </w:r>
    </w:p>
    <w:p w:rsidR="00F024F6" w:rsidRPr="0075789D" w:rsidRDefault="00F024F6" w:rsidP="00F024F6">
      <w:pPr>
        <w:rPr>
          <w:lang w:val="es-419"/>
        </w:rPr>
      </w:pPr>
    </w:p>
    <w:p w:rsidR="00F024F6" w:rsidRPr="0075789D" w:rsidRDefault="00F024F6" w:rsidP="00F024F6">
      <w:pPr>
        <w:numPr>
          <w:ilvl w:val="0"/>
          <w:numId w:val="32"/>
        </w:numPr>
        <w:spacing w:after="120"/>
        <w:rPr>
          <w:lang w:val="es-419"/>
        </w:rPr>
      </w:pPr>
      <w:r w:rsidRPr="0075789D">
        <w:rPr>
          <w:lang w:val="es-419"/>
        </w:rPr>
        <w:t>El método de examen de la distinción, la homogeneidad y la estabilidad de variedades de pistacho (</w:t>
      </w:r>
      <w:proofErr w:type="spellStart"/>
      <w:r w:rsidRPr="0075789D">
        <w:rPr>
          <w:i/>
          <w:lang w:val="es-419"/>
        </w:rPr>
        <w:t>Pistacia</w:t>
      </w:r>
      <w:proofErr w:type="spellEnd"/>
      <w:r w:rsidRPr="0075789D">
        <w:rPr>
          <w:i/>
          <w:lang w:val="es-419"/>
        </w:rPr>
        <w:t xml:space="preserve"> vera</w:t>
      </w:r>
      <w:r w:rsidRPr="0075789D">
        <w:rPr>
          <w:lang w:val="es-419"/>
        </w:rPr>
        <w:t xml:space="preserve"> L.) para la distinción, la homogeneidad y la estabilidad del grupo de los frutos, las bayas, los frutos de pericarpio duro y las vides (se utilizó el documento TG/PISTA (proj.4) de la UPOV, de 2020. Nuevo);</w:t>
      </w:r>
    </w:p>
    <w:p w:rsidR="00F024F6" w:rsidRPr="0075789D" w:rsidRDefault="00F024F6" w:rsidP="00F024F6">
      <w:pPr>
        <w:numPr>
          <w:ilvl w:val="0"/>
          <w:numId w:val="32"/>
        </w:numPr>
        <w:spacing w:after="120"/>
        <w:rPr>
          <w:lang w:val="es-419"/>
        </w:rPr>
      </w:pPr>
      <w:r w:rsidRPr="0075789D">
        <w:rPr>
          <w:lang w:val="es-419"/>
        </w:rPr>
        <w:lastRenderedPageBreak/>
        <w:t>El método de examen de la distinción, la homogeneidad y la estabilidad de variedades de ruibarbo (</w:t>
      </w:r>
      <w:proofErr w:type="spellStart"/>
      <w:r w:rsidRPr="0075789D">
        <w:rPr>
          <w:i/>
          <w:iCs/>
          <w:lang w:val="es-419"/>
        </w:rPr>
        <w:t>Rheum</w:t>
      </w:r>
      <w:proofErr w:type="spellEnd"/>
      <w:r w:rsidRPr="0075789D">
        <w:rPr>
          <w:lang w:val="es-419"/>
        </w:rPr>
        <w:t xml:space="preserve"> L.) para la distinción, la homogeneidad y la estabilidad del grupo de las hortalizas, la papa/patata y los hongos (se utilizó el documento de la UPOV TG/62/6 de 1999; se realizaron cambios y añadidos);</w:t>
      </w:r>
    </w:p>
    <w:p w:rsidR="00F024F6" w:rsidRPr="0075789D" w:rsidRDefault="00F024F6" w:rsidP="00F024F6">
      <w:pPr>
        <w:numPr>
          <w:ilvl w:val="0"/>
          <w:numId w:val="32"/>
        </w:numPr>
        <w:spacing w:after="120"/>
        <w:rPr>
          <w:lang w:val="es-419"/>
        </w:rPr>
      </w:pPr>
      <w:r w:rsidRPr="0075789D">
        <w:rPr>
          <w:lang w:val="es-419"/>
        </w:rPr>
        <w:t>El método de examen de la distinción, la homogeneidad y la estabilidad de variedades de hinojo (</w:t>
      </w:r>
      <w:proofErr w:type="spellStart"/>
      <w:r w:rsidRPr="0075789D">
        <w:rPr>
          <w:i/>
          <w:lang w:val="es-419"/>
        </w:rPr>
        <w:t>Foeniculum</w:t>
      </w:r>
      <w:proofErr w:type="spellEnd"/>
      <w:r w:rsidRPr="0075789D">
        <w:rPr>
          <w:i/>
          <w:lang w:val="es-419"/>
        </w:rPr>
        <w:t xml:space="preserve"> </w:t>
      </w:r>
      <w:proofErr w:type="spellStart"/>
      <w:r w:rsidRPr="0075789D">
        <w:rPr>
          <w:i/>
          <w:lang w:val="es-419"/>
        </w:rPr>
        <w:t>vulgare</w:t>
      </w:r>
      <w:proofErr w:type="spellEnd"/>
      <w:r w:rsidRPr="0075789D">
        <w:rPr>
          <w:i/>
          <w:lang w:val="es-419"/>
        </w:rPr>
        <w:t xml:space="preserve"> </w:t>
      </w:r>
      <w:r w:rsidRPr="0075789D">
        <w:rPr>
          <w:lang w:val="es-419"/>
        </w:rPr>
        <w:t>Miller) para la distinción, la homogeneidad y la estabilidad del grupo de las hortalizas, la papa/patata y los hongos (se utilizaron los documentos de la UPOV TG/183/3 de 2001 y TG/183/4 de 2019; se realizaron cambios y añadidos);</w:t>
      </w:r>
    </w:p>
    <w:p w:rsidR="00F024F6" w:rsidRPr="0075789D" w:rsidRDefault="00F024F6" w:rsidP="00F024F6">
      <w:pPr>
        <w:numPr>
          <w:ilvl w:val="0"/>
          <w:numId w:val="32"/>
        </w:numPr>
        <w:spacing w:after="120"/>
        <w:rPr>
          <w:lang w:val="es-419"/>
        </w:rPr>
      </w:pPr>
      <w:r w:rsidRPr="0075789D">
        <w:rPr>
          <w:lang w:val="es-419"/>
        </w:rPr>
        <w:t>El método de examen de la distinción, la homogeneidad y la estabilidad de variedades de centeno (</w:t>
      </w:r>
      <w:proofErr w:type="spellStart"/>
      <w:r w:rsidRPr="0075789D">
        <w:rPr>
          <w:i/>
          <w:iCs/>
          <w:lang w:val="es-419"/>
        </w:rPr>
        <w:t>Secale</w:t>
      </w:r>
      <w:proofErr w:type="spellEnd"/>
      <w:r w:rsidRPr="0075789D">
        <w:rPr>
          <w:i/>
          <w:iCs/>
          <w:lang w:val="es-419"/>
        </w:rPr>
        <w:t xml:space="preserve"> </w:t>
      </w:r>
      <w:proofErr w:type="spellStart"/>
      <w:r w:rsidRPr="0075789D">
        <w:rPr>
          <w:i/>
          <w:iCs/>
          <w:lang w:val="es-419"/>
        </w:rPr>
        <w:t>cereale</w:t>
      </w:r>
      <w:proofErr w:type="spellEnd"/>
      <w:r w:rsidRPr="0075789D">
        <w:rPr>
          <w:lang w:val="es-419"/>
        </w:rPr>
        <w:t xml:space="preserve"> L.) para la distinción, la homogeneidad y la estabilidad del grupo de los cereales (se utilizaron los documentos de la UPOV TG/58/6 de 1999 y TG/58/7 de 2020; se realizaron cambios y añadidos);</w:t>
      </w:r>
    </w:p>
    <w:p w:rsidR="00F024F6" w:rsidRPr="0075789D" w:rsidRDefault="00F024F6" w:rsidP="00F024F6">
      <w:pPr>
        <w:numPr>
          <w:ilvl w:val="0"/>
          <w:numId w:val="32"/>
        </w:numPr>
        <w:spacing w:after="120"/>
        <w:rPr>
          <w:lang w:val="es-419"/>
        </w:rPr>
      </w:pPr>
      <w:r w:rsidRPr="0075789D">
        <w:rPr>
          <w:lang w:val="es-419"/>
        </w:rPr>
        <w:t xml:space="preserve">El método de examen de la distinción, la homogeneidad y la estabilidad de variedades de </w:t>
      </w:r>
      <w:proofErr w:type="spellStart"/>
      <w:r w:rsidRPr="0075789D">
        <w:rPr>
          <w:lang w:val="es-419"/>
        </w:rPr>
        <w:t>triticale</w:t>
      </w:r>
      <w:proofErr w:type="spellEnd"/>
      <w:r w:rsidRPr="0075789D">
        <w:rPr>
          <w:lang w:val="es-419"/>
        </w:rPr>
        <w:t xml:space="preserve"> (</w:t>
      </w:r>
      <w:proofErr w:type="spellStart"/>
      <w:r w:rsidRPr="0075789D">
        <w:rPr>
          <w:i/>
          <w:lang w:val="es-419"/>
        </w:rPr>
        <w:t>Triticosecale</w:t>
      </w:r>
      <w:proofErr w:type="spellEnd"/>
      <w:r w:rsidRPr="0075789D">
        <w:rPr>
          <w:lang w:val="es-419"/>
        </w:rPr>
        <w:t xml:space="preserve"> Witt.) para la distinción, la homogeneidad y la estabilidad del grupo de los cereales (se utilizaron los documentos de la UPOV TG/121/3 de 1989 y TG/121/4 de 2020; se realizaron cambios y añadidos);</w:t>
      </w:r>
    </w:p>
    <w:p w:rsidR="00F024F6" w:rsidRPr="0075789D" w:rsidRDefault="00F024F6" w:rsidP="00F024F6">
      <w:pPr>
        <w:numPr>
          <w:ilvl w:val="0"/>
          <w:numId w:val="32"/>
        </w:numPr>
        <w:spacing w:after="120"/>
        <w:rPr>
          <w:lang w:val="es-419"/>
        </w:rPr>
      </w:pPr>
      <w:r w:rsidRPr="0075789D">
        <w:rPr>
          <w:lang w:val="es-419"/>
        </w:rPr>
        <w:t>El método de examen de la distinción, la homogeneidad y la estabilidad de la subespecie del trigo macarrón o duro (</w:t>
      </w:r>
      <w:proofErr w:type="spellStart"/>
      <w:r w:rsidRPr="0075789D">
        <w:rPr>
          <w:i/>
          <w:lang w:val="es-419"/>
        </w:rPr>
        <w:t>Triticum</w:t>
      </w:r>
      <w:proofErr w:type="spellEnd"/>
      <w:r w:rsidRPr="0075789D">
        <w:rPr>
          <w:i/>
          <w:lang w:val="es-419"/>
        </w:rPr>
        <w:t xml:space="preserve"> </w:t>
      </w:r>
      <w:proofErr w:type="spellStart"/>
      <w:r w:rsidRPr="0075789D">
        <w:rPr>
          <w:i/>
          <w:lang w:val="es-419"/>
        </w:rPr>
        <w:t>turgidum</w:t>
      </w:r>
      <w:proofErr w:type="spellEnd"/>
      <w:r w:rsidRPr="0075789D">
        <w:rPr>
          <w:lang w:val="es-419"/>
        </w:rPr>
        <w:t xml:space="preserve"> L. </w:t>
      </w:r>
      <w:proofErr w:type="spellStart"/>
      <w:r w:rsidRPr="0075789D">
        <w:rPr>
          <w:lang w:val="es-419"/>
        </w:rPr>
        <w:t>subsp</w:t>
      </w:r>
      <w:proofErr w:type="spellEnd"/>
      <w:r w:rsidRPr="0075789D">
        <w:rPr>
          <w:lang w:val="es-419"/>
        </w:rPr>
        <w:t xml:space="preserve">. </w:t>
      </w:r>
      <w:proofErr w:type="spellStart"/>
      <w:r w:rsidRPr="0075789D">
        <w:rPr>
          <w:i/>
          <w:lang w:val="es-419"/>
        </w:rPr>
        <w:t>durum</w:t>
      </w:r>
      <w:proofErr w:type="spellEnd"/>
      <w:r w:rsidRPr="0075789D">
        <w:rPr>
          <w:lang w:val="es-419"/>
        </w:rPr>
        <w:t xml:space="preserve"> (</w:t>
      </w:r>
      <w:proofErr w:type="spellStart"/>
      <w:r w:rsidRPr="0075789D">
        <w:rPr>
          <w:lang w:val="es-419"/>
        </w:rPr>
        <w:t>Desf</w:t>
      </w:r>
      <w:proofErr w:type="spellEnd"/>
      <w:r w:rsidRPr="0075789D">
        <w:rPr>
          <w:lang w:val="es-419"/>
        </w:rPr>
        <w:t xml:space="preserve">) </w:t>
      </w:r>
      <w:proofErr w:type="spellStart"/>
      <w:r w:rsidRPr="0075789D">
        <w:rPr>
          <w:lang w:val="es-419"/>
        </w:rPr>
        <w:t>Husn</w:t>
      </w:r>
      <w:proofErr w:type="spellEnd"/>
      <w:r w:rsidRPr="0075789D">
        <w:rPr>
          <w:lang w:val="es-419"/>
        </w:rPr>
        <w:t>.), trigo persa (</w:t>
      </w:r>
      <w:proofErr w:type="spellStart"/>
      <w:r w:rsidRPr="0075789D">
        <w:rPr>
          <w:i/>
          <w:lang w:val="es-419"/>
        </w:rPr>
        <w:t>Triticum</w:t>
      </w:r>
      <w:proofErr w:type="spellEnd"/>
      <w:r w:rsidRPr="0075789D">
        <w:rPr>
          <w:i/>
          <w:lang w:val="es-419"/>
        </w:rPr>
        <w:t xml:space="preserve"> </w:t>
      </w:r>
      <w:proofErr w:type="spellStart"/>
      <w:r w:rsidRPr="0075789D">
        <w:rPr>
          <w:i/>
          <w:lang w:val="es-419"/>
        </w:rPr>
        <w:t>turgidum</w:t>
      </w:r>
      <w:proofErr w:type="spellEnd"/>
      <w:r w:rsidRPr="0075789D">
        <w:rPr>
          <w:lang w:val="es-419"/>
        </w:rPr>
        <w:t xml:space="preserve"> L. </w:t>
      </w:r>
      <w:proofErr w:type="spellStart"/>
      <w:r w:rsidRPr="0075789D">
        <w:rPr>
          <w:lang w:val="es-419"/>
        </w:rPr>
        <w:t>subsp</w:t>
      </w:r>
      <w:proofErr w:type="spellEnd"/>
      <w:r w:rsidRPr="0075789D">
        <w:rPr>
          <w:lang w:val="es-419"/>
        </w:rPr>
        <w:t xml:space="preserve">. </w:t>
      </w:r>
      <w:proofErr w:type="spellStart"/>
      <w:r w:rsidRPr="0075789D">
        <w:rPr>
          <w:i/>
          <w:lang w:val="es-419"/>
        </w:rPr>
        <w:t>carthlicum</w:t>
      </w:r>
      <w:proofErr w:type="spellEnd"/>
      <w:r w:rsidRPr="0075789D">
        <w:rPr>
          <w:lang w:val="es-419"/>
        </w:rPr>
        <w:t xml:space="preserve"> (</w:t>
      </w:r>
      <w:proofErr w:type="spellStart"/>
      <w:r w:rsidRPr="0075789D">
        <w:rPr>
          <w:lang w:val="es-419"/>
        </w:rPr>
        <w:t>Nevski</w:t>
      </w:r>
      <w:proofErr w:type="spellEnd"/>
      <w:r w:rsidRPr="0075789D">
        <w:rPr>
          <w:lang w:val="es-419"/>
        </w:rPr>
        <w:t xml:space="preserve">) À. </w:t>
      </w:r>
      <w:proofErr w:type="spellStart"/>
      <w:r w:rsidRPr="0075789D">
        <w:rPr>
          <w:lang w:val="es-419"/>
        </w:rPr>
        <w:t>Löve</w:t>
      </w:r>
      <w:proofErr w:type="spellEnd"/>
      <w:r w:rsidRPr="0075789D">
        <w:rPr>
          <w:lang w:val="es-419"/>
        </w:rPr>
        <w:t xml:space="preserve"> &amp; D. </w:t>
      </w:r>
      <w:proofErr w:type="spellStart"/>
      <w:r w:rsidRPr="0075789D">
        <w:rPr>
          <w:lang w:val="es-419"/>
        </w:rPr>
        <w:t>Löve</w:t>
      </w:r>
      <w:proofErr w:type="spellEnd"/>
      <w:r w:rsidRPr="0075789D">
        <w:rPr>
          <w:lang w:val="es-419"/>
        </w:rPr>
        <w:t xml:space="preserve">), trigo </w:t>
      </w:r>
      <w:proofErr w:type="spellStart"/>
      <w:r w:rsidRPr="0075789D">
        <w:rPr>
          <w:lang w:val="es-419"/>
        </w:rPr>
        <w:t>Emmer</w:t>
      </w:r>
      <w:proofErr w:type="spellEnd"/>
      <w:r w:rsidRPr="0075789D">
        <w:rPr>
          <w:lang w:val="es-419"/>
        </w:rPr>
        <w:t xml:space="preserve"> (</w:t>
      </w:r>
      <w:proofErr w:type="spellStart"/>
      <w:r w:rsidRPr="0075789D">
        <w:rPr>
          <w:i/>
          <w:lang w:val="es-419"/>
        </w:rPr>
        <w:t>Triticum</w:t>
      </w:r>
      <w:proofErr w:type="spellEnd"/>
      <w:r w:rsidRPr="0075789D">
        <w:rPr>
          <w:i/>
          <w:lang w:val="es-419"/>
        </w:rPr>
        <w:t xml:space="preserve"> </w:t>
      </w:r>
      <w:proofErr w:type="spellStart"/>
      <w:r w:rsidRPr="0075789D">
        <w:rPr>
          <w:i/>
          <w:lang w:val="es-419"/>
        </w:rPr>
        <w:t>turgidum</w:t>
      </w:r>
      <w:proofErr w:type="spellEnd"/>
      <w:r w:rsidRPr="0075789D">
        <w:rPr>
          <w:lang w:val="es-419"/>
        </w:rPr>
        <w:t xml:space="preserve"> (</w:t>
      </w:r>
      <w:proofErr w:type="spellStart"/>
      <w:r w:rsidRPr="0075789D">
        <w:rPr>
          <w:i/>
          <w:lang w:val="es-419"/>
        </w:rPr>
        <w:t>Triticum</w:t>
      </w:r>
      <w:proofErr w:type="spellEnd"/>
      <w:r w:rsidRPr="0075789D">
        <w:rPr>
          <w:i/>
          <w:lang w:val="es-419"/>
        </w:rPr>
        <w:t xml:space="preserve"> </w:t>
      </w:r>
      <w:proofErr w:type="spellStart"/>
      <w:r w:rsidRPr="0075789D">
        <w:rPr>
          <w:i/>
          <w:lang w:val="es-419"/>
        </w:rPr>
        <w:t>dicoccum</w:t>
      </w:r>
      <w:proofErr w:type="spellEnd"/>
      <w:r w:rsidRPr="0075789D">
        <w:rPr>
          <w:lang w:val="es-419"/>
        </w:rPr>
        <w:t xml:space="preserve"> </w:t>
      </w:r>
      <w:proofErr w:type="spellStart"/>
      <w:r w:rsidRPr="0075789D">
        <w:rPr>
          <w:lang w:val="es-419"/>
        </w:rPr>
        <w:t>Schrank</w:t>
      </w:r>
      <w:proofErr w:type="spellEnd"/>
      <w:r w:rsidRPr="0075789D">
        <w:rPr>
          <w:lang w:val="es-419"/>
        </w:rPr>
        <w:t xml:space="preserve"> ex </w:t>
      </w:r>
      <w:proofErr w:type="spellStart"/>
      <w:r w:rsidRPr="0075789D">
        <w:rPr>
          <w:lang w:val="es-419"/>
        </w:rPr>
        <w:t>Schübl</w:t>
      </w:r>
      <w:proofErr w:type="spellEnd"/>
      <w:r w:rsidRPr="0075789D">
        <w:rPr>
          <w:lang w:val="es-419"/>
        </w:rPr>
        <w:t xml:space="preserve">)), trigo </w:t>
      </w:r>
      <w:proofErr w:type="spellStart"/>
      <w:r w:rsidRPr="0075789D">
        <w:rPr>
          <w:lang w:val="es-419"/>
        </w:rPr>
        <w:t>Khorassan</w:t>
      </w:r>
      <w:proofErr w:type="spellEnd"/>
      <w:r w:rsidRPr="0075789D">
        <w:rPr>
          <w:lang w:val="es-419"/>
        </w:rPr>
        <w:t xml:space="preserve"> (</w:t>
      </w:r>
      <w:proofErr w:type="spellStart"/>
      <w:r w:rsidRPr="0075789D">
        <w:rPr>
          <w:i/>
          <w:lang w:val="es-419"/>
        </w:rPr>
        <w:t>Triticum</w:t>
      </w:r>
      <w:proofErr w:type="spellEnd"/>
      <w:r w:rsidRPr="0075789D">
        <w:rPr>
          <w:i/>
          <w:lang w:val="es-419"/>
        </w:rPr>
        <w:t xml:space="preserve"> </w:t>
      </w:r>
      <w:proofErr w:type="spellStart"/>
      <w:r w:rsidRPr="0075789D">
        <w:rPr>
          <w:i/>
          <w:lang w:val="es-419"/>
        </w:rPr>
        <w:t>turgidum</w:t>
      </w:r>
      <w:proofErr w:type="spellEnd"/>
      <w:r w:rsidRPr="0075789D">
        <w:rPr>
          <w:lang w:val="es-419"/>
        </w:rPr>
        <w:t xml:space="preserve"> L. </w:t>
      </w:r>
      <w:proofErr w:type="spellStart"/>
      <w:r w:rsidRPr="0075789D">
        <w:rPr>
          <w:lang w:val="es-419"/>
        </w:rPr>
        <w:t>subsp</w:t>
      </w:r>
      <w:proofErr w:type="spellEnd"/>
      <w:r w:rsidRPr="0075789D">
        <w:rPr>
          <w:lang w:val="es-419"/>
        </w:rPr>
        <w:t xml:space="preserve">. </w:t>
      </w:r>
      <w:proofErr w:type="spellStart"/>
      <w:r w:rsidRPr="0075789D">
        <w:rPr>
          <w:i/>
          <w:lang w:val="es-419"/>
        </w:rPr>
        <w:t>turanicum</w:t>
      </w:r>
      <w:proofErr w:type="spellEnd"/>
      <w:r w:rsidRPr="0075789D">
        <w:rPr>
          <w:lang w:val="es-419"/>
        </w:rPr>
        <w:t xml:space="preserve"> (</w:t>
      </w:r>
      <w:proofErr w:type="spellStart"/>
      <w:r w:rsidRPr="0075789D">
        <w:rPr>
          <w:lang w:val="es-419"/>
        </w:rPr>
        <w:t>Jakubz</w:t>
      </w:r>
      <w:proofErr w:type="spellEnd"/>
      <w:r w:rsidRPr="0075789D">
        <w:rPr>
          <w:lang w:val="es-419"/>
        </w:rPr>
        <w:t xml:space="preserve">.) À. </w:t>
      </w:r>
      <w:proofErr w:type="spellStart"/>
      <w:r w:rsidRPr="0075789D">
        <w:rPr>
          <w:lang w:val="es-419"/>
        </w:rPr>
        <w:t>Löve</w:t>
      </w:r>
      <w:proofErr w:type="spellEnd"/>
      <w:r w:rsidRPr="0075789D">
        <w:rPr>
          <w:lang w:val="es-419"/>
        </w:rPr>
        <w:t xml:space="preserve"> &amp; D. </w:t>
      </w:r>
      <w:proofErr w:type="spellStart"/>
      <w:r w:rsidRPr="0075789D">
        <w:rPr>
          <w:lang w:val="es-419"/>
        </w:rPr>
        <w:t>Löve</w:t>
      </w:r>
      <w:proofErr w:type="spellEnd"/>
      <w:r w:rsidRPr="0075789D">
        <w:rPr>
          <w:lang w:val="es-419"/>
        </w:rPr>
        <w:t>) (se utilizaron los documentos de la UPOV TG/120/3 de 1988 y TG/120/4 de 2012; se realizaron cambios y añadidos);</w:t>
      </w:r>
    </w:p>
    <w:p w:rsidR="00F024F6" w:rsidRPr="0075789D" w:rsidRDefault="00F024F6" w:rsidP="00F024F6">
      <w:pPr>
        <w:numPr>
          <w:ilvl w:val="0"/>
          <w:numId w:val="32"/>
        </w:numPr>
        <w:spacing w:after="120"/>
        <w:rPr>
          <w:lang w:val="es-419"/>
        </w:rPr>
      </w:pPr>
      <w:r w:rsidRPr="0075789D">
        <w:rPr>
          <w:lang w:val="es-419"/>
        </w:rPr>
        <w:t>El método para determinar el tipo de almidón en el material de semillas de cultivos de grano y de cereal (método cualitativo) (nueva metodología nacional);</w:t>
      </w:r>
    </w:p>
    <w:p w:rsidR="00F024F6" w:rsidRPr="0075789D" w:rsidRDefault="00F024F6" w:rsidP="00F024F6">
      <w:pPr>
        <w:numPr>
          <w:ilvl w:val="0"/>
          <w:numId w:val="32"/>
        </w:numPr>
        <w:rPr>
          <w:lang w:val="es-419"/>
        </w:rPr>
      </w:pPr>
      <w:r w:rsidRPr="0075789D">
        <w:rPr>
          <w:lang w:val="es-419"/>
        </w:rPr>
        <w:t xml:space="preserve">El método de examen de la distinción, la homogeneidad y la estabilidad de variedades de atropa </w:t>
      </w:r>
      <w:proofErr w:type="spellStart"/>
      <w:r w:rsidRPr="0075789D">
        <w:rPr>
          <w:lang w:val="es-419"/>
        </w:rPr>
        <w:t>belladonna</w:t>
      </w:r>
      <w:proofErr w:type="spellEnd"/>
      <w:r w:rsidRPr="0075789D">
        <w:rPr>
          <w:lang w:val="es-419"/>
        </w:rPr>
        <w:t xml:space="preserve"> (</w:t>
      </w:r>
      <w:proofErr w:type="spellStart"/>
      <w:r w:rsidRPr="0075789D">
        <w:rPr>
          <w:i/>
          <w:lang w:val="es-419"/>
        </w:rPr>
        <w:t>Solanum</w:t>
      </w:r>
      <w:proofErr w:type="spellEnd"/>
      <w:r w:rsidRPr="0075789D">
        <w:rPr>
          <w:i/>
          <w:lang w:val="es-419"/>
        </w:rPr>
        <w:t xml:space="preserve"> </w:t>
      </w:r>
      <w:proofErr w:type="spellStart"/>
      <w:r w:rsidRPr="0075789D">
        <w:rPr>
          <w:i/>
          <w:lang w:val="es-419"/>
        </w:rPr>
        <w:t>glaucophyllum</w:t>
      </w:r>
      <w:proofErr w:type="spellEnd"/>
      <w:r w:rsidRPr="0075789D">
        <w:rPr>
          <w:i/>
          <w:lang w:val="es-419"/>
        </w:rPr>
        <w:t xml:space="preserve"> </w:t>
      </w:r>
      <w:proofErr w:type="spellStart"/>
      <w:r w:rsidRPr="0075789D">
        <w:rPr>
          <w:i/>
          <w:lang w:val="es-419"/>
        </w:rPr>
        <w:t>Desf</w:t>
      </w:r>
      <w:proofErr w:type="spellEnd"/>
      <w:r w:rsidRPr="0075789D">
        <w:rPr>
          <w:i/>
          <w:lang w:val="es-419"/>
        </w:rPr>
        <w:t>.</w:t>
      </w:r>
      <w:r w:rsidRPr="0075789D">
        <w:rPr>
          <w:lang w:val="es-419"/>
        </w:rPr>
        <w:t>) para la distinción, la homogeneidad y la estabilidad del grupo de las plantas ornamentales (nuevo método nacional; se utilizó el documento TG/326/1 de la UPOV, de 2018).</w:t>
      </w:r>
    </w:p>
    <w:p w:rsidR="00F024F6" w:rsidRDefault="00F024F6" w:rsidP="00F024F6">
      <w:pPr>
        <w:rPr>
          <w:lang w:val="es-419"/>
        </w:rPr>
        <w:sectPr w:rsidR="00F024F6" w:rsidSect="0049108C">
          <w:headerReference w:type="default" r:id="rId43"/>
          <w:pgSz w:w="11907" w:h="16840" w:code="9"/>
          <w:pgMar w:top="510" w:right="1134" w:bottom="1134" w:left="1134" w:header="510" w:footer="680" w:gutter="0"/>
          <w:pgNumType w:start="1"/>
          <w:cols w:space="720"/>
          <w:titlePg/>
        </w:sectPr>
      </w:pPr>
    </w:p>
    <w:p w:rsidR="00F024F6" w:rsidRPr="0075789D" w:rsidRDefault="00F024F6" w:rsidP="00F024F6">
      <w:pPr>
        <w:rPr>
          <w:u w:val="single"/>
          <w:lang w:val="es-419"/>
        </w:rPr>
      </w:pPr>
      <w:r w:rsidRPr="0075789D">
        <w:rPr>
          <w:lang w:val="es-419"/>
        </w:rPr>
        <w:lastRenderedPageBreak/>
        <w:t>5.</w:t>
      </w:r>
      <w:r w:rsidRPr="0075789D">
        <w:rPr>
          <w:lang w:val="es-419"/>
        </w:rPr>
        <w:tab/>
      </w:r>
      <w:r w:rsidRPr="0075789D">
        <w:rPr>
          <w:u w:val="single"/>
          <w:lang w:val="es-419"/>
        </w:rPr>
        <w:t>Actividades para promover los derechos sobre las obtenciones vegetales</w:t>
      </w:r>
    </w:p>
    <w:p w:rsidR="00F024F6" w:rsidRPr="0075789D" w:rsidRDefault="00F024F6" w:rsidP="00F024F6">
      <w:pPr>
        <w:rPr>
          <w:lang w:val="es-419"/>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261"/>
        <w:gridCol w:w="992"/>
        <w:gridCol w:w="992"/>
        <w:gridCol w:w="3686"/>
        <w:gridCol w:w="3544"/>
        <w:gridCol w:w="1559"/>
        <w:gridCol w:w="1276"/>
      </w:tblGrid>
      <w:tr w:rsidR="00F024F6" w:rsidRPr="0075789D" w:rsidTr="00F024F6">
        <w:tc>
          <w:tcPr>
            <w:tcW w:w="3261"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Título de la actividad</w:t>
            </w:r>
          </w:p>
        </w:tc>
        <w:tc>
          <w:tcPr>
            <w:tcW w:w="992"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Fecha</w:t>
            </w:r>
          </w:p>
        </w:tc>
        <w:tc>
          <w:tcPr>
            <w:tcW w:w="992"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Lugar</w:t>
            </w:r>
          </w:p>
        </w:tc>
        <w:tc>
          <w:tcPr>
            <w:tcW w:w="3686"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Organizador(es)</w:t>
            </w:r>
          </w:p>
        </w:tc>
        <w:tc>
          <w:tcPr>
            <w:tcW w:w="3544"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Finalidad de la actividad</w:t>
            </w:r>
          </w:p>
        </w:tc>
        <w:tc>
          <w:tcPr>
            <w:tcW w:w="1559" w:type="dxa"/>
            <w:shd w:val="clear" w:color="auto" w:fill="auto"/>
            <w:tcMar>
              <w:top w:w="17" w:type="dxa"/>
              <w:left w:w="28" w:type="dxa"/>
              <w:bottom w:w="17" w:type="dxa"/>
              <w:right w:w="28" w:type="dxa"/>
            </w:tcMar>
            <w:vAlign w:val="center"/>
            <w:hideMark/>
          </w:tcPr>
          <w:p w:rsidR="00F024F6" w:rsidRPr="00F024F6" w:rsidRDefault="00F024F6" w:rsidP="00F024F6">
            <w:pPr>
              <w:keepNext/>
              <w:jc w:val="left"/>
              <w:rPr>
                <w:rFonts w:cs="Arial"/>
                <w:sz w:val="16"/>
                <w:szCs w:val="18"/>
                <w:lang w:val="es-419"/>
              </w:rPr>
            </w:pPr>
            <w:r w:rsidRPr="00F024F6">
              <w:rPr>
                <w:sz w:val="16"/>
                <w:lang w:val="es-419"/>
              </w:rPr>
              <w:t>Países u organizaciones participantes (</w:t>
            </w:r>
            <w:r>
              <w:rPr>
                <w:sz w:val="16"/>
                <w:lang w:val="es-419"/>
              </w:rPr>
              <w:t>número</w:t>
            </w:r>
            <w:r w:rsidRPr="00F024F6">
              <w:rPr>
                <w:sz w:val="16"/>
                <w:lang w:val="es-419"/>
              </w:rPr>
              <w:t xml:space="preserve"> de participantes en cada caso)</w:t>
            </w:r>
          </w:p>
        </w:tc>
        <w:tc>
          <w:tcPr>
            <w:tcW w:w="1276" w:type="dxa"/>
            <w:shd w:val="clear" w:color="auto" w:fill="auto"/>
            <w:tcMar>
              <w:top w:w="17" w:type="dxa"/>
              <w:left w:w="28" w:type="dxa"/>
              <w:bottom w:w="17" w:type="dxa"/>
              <w:right w:w="28" w:type="dxa"/>
            </w:tcMar>
            <w:vAlign w:val="center"/>
            <w:hideMark/>
          </w:tcPr>
          <w:p w:rsidR="00F024F6" w:rsidRPr="00F024F6" w:rsidRDefault="00F024F6" w:rsidP="004D1E3E">
            <w:pPr>
              <w:keepNext/>
              <w:jc w:val="left"/>
              <w:rPr>
                <w:rFonts w:cs="Arial"/>
                <w:sz w:val="16"/>
                <w:szCs w:val="18"/>
                <w:lang w:val="es-419"/>
              </w:rPr>
            </w:pPr>
            <w:r w:rsidRPr="00F024F6">
              <w:rPr>
                <w:sz w:val="16"/>
                <w:lang w:val="es-419"/>
              </w:rPr>
              <w:t>Comentarios</w:t>
            </w:r>
          </w:p>
        </w:tc>
      </w:tr>
      <w:tr w:rsidR="00F024F6" w:rsidRPr="0075789D" w:rsidTr="00F024F6">
        <w:trPr>
          <w:trHeight w:val="1587"/>
        </w:trPr>
        <w:tc>
          <w:tcPr>
            <w:tcW w:w="3261" w:type="dxa"/>
            <w:shd w:val="clear" w:color="auto" w:fill="auto"/>
            <w:tcMar>
              <w:top w:w="17" w:type="dxa"/>
              <w:left w:w="28" w:type="dxa"/>
              <w:bottom w:w="17" w:type="dxa"/>
              <w:right w:w="28" w:type="dxa"/>
            </w:tcMar>
            <w:hideMark/>
          </w:tcPr>
          <w:p w:rsidR="00F024F6" w:rsidRPr="00F024F6" w:rsidRDefault="00F024F6" w:rsidP="004D1E3E">
            <w:pPr>
              <w:jc w:val="left"/>
              <w:rPr>
                <w:sz w:val="16"/>
                <w:lang w:val="es-419"/>
              </w:rPr>
            </w:pPr>
            <w:r w:rsidRPr="00F024F6">
              <w:rPr>
                <w:i/>
                <w:iCs/>
                <w:sz w:val="16"/>
                <w:lang w:val="es-419"/>
              </w:rPr>
              <w:t>“</w:t>
            </w:r>
            <w:proofErr w:type="spellStart"/>
            <w:r w:rsidRPr="00F024F6">
              <w:rPr>
                <w:i/>
                <w:iCs/>
                <w:sz w:val="16"/>
                <w:lang w:val="es-419"/>
              </w:rPr>
              <w:t>Plant</w:t>
            </w:r>
            <w:proofErr w:type="spellEnd"/>
            <w:r w:rsidRPr="00F024F6">
              <w:rPr>
                <w:i/>
                <w:iCs/>
                <w:sz w:val="16"/>
                <w:lang w:val="es-419"/>
              </w:rPr>
              <w:t xml:space="preserve"> </w:t>
            </w:r>
            <w:proofErr w:type="spellStart"/>
            <w:r w:rsidRPr="00F024F6">
              <w:rPr>
                <w:i/>
                <w:iCs/>
                <w:sz w:val="16"/>
                <w:lang w:val="es-419"/>
              </w:rPr>
              <w:t>Varieties</w:t>
            </w:r>
            <w:proofErr w:type="spellEnd"/>
            <w:r w:rsidRPr="00F024F6">
              <w:rPr>
                <w:i/>
                <w:iCs/>
                <w:sz w:val="16"/>
                <w:lang w:val="es-419"/>
              </w:rPr>
              <w:t xml:space="preserve"> </w:t>
            </w:r>
            <w:proofErr w:type="spellStart"/>
            <w:r w:rsidRPr="00F024F6">
              <w:rPr>
                <w:i/>
                <w:iCs/>
                <w:sz w:val="16"/>
                <w:lang w:val="es-419"/>
              </w:rPr>
              <w:t>Studying</w:t>
            </w:r>
            <w:proofErr w:type="spellEnd"/>
            <w:r w:rsidRPr="00F024F6">
              <w:rPr>
                <w:i/>
                <w:iCs/>
                <w:sz w:val="16"/>
                <w:lang w:val="es-419"/>
              </w:rPr>
              <w:t xml:space="preserve"> and </w:t>
            </w:r>
            <w:proofErr w:type="spellStart"/>
            <w:r w:rsidRPr="00F024F6">
              <w:rPr>
                <w:i/>
                <w:iCs/>
                <w:sz w:val="16"/>
                <w:lang w:val="es-419"/>
              </w:rPr>
              <w:t>Protection</w:t>
            </w:r>
            <w:proofErr w:type="spellEnd"/>
            <w:r w:rsidRPr="00F024F6">
              <w:rPr>
                <w:i/>
                <w:iCs/>
                <w:sz w:val="16"/>
                <w:lang w:val="es-419"/>
              </w:rPr>
              <w:t>”</w:t>
            </w:r>
            <w:r w:rsidRPr="00F024F6">
              <w:rPr>
                <w:sz w:val="16"/>
                <w:lang w:val="es-419"/>
              </w:rPr>
              <w:t xml:space="preserve"> (Estudio y protección de variedades vegetales)</w:t>
            </w:r>
          </w:p>
          <w:p w:rsidR="00F024F6" w:rsidRPr="00F024F6" w:rsidRDefault="00F024F6" w:rsidP="004D1E3E">
            <w:pPr>
              <w:jc w:val="left"/>
              <w:rPr>
                <w:sz w:val="16"/>
                <w:lang w:val="es-419"/>
              </w:rPr>
            </w:pPr>
            <w:r w:rsidRPr="00F024F6">
              <w:rPr>
                <w:sz w:val="16"/>
                <w:lang w:val="es-419"/>
              </w:rPr>
              <w:t>ISSN impreso 2518-1017</w:t>
            </w:r>
          </w:p>
          <w:p w:rsidR="00F024F6" w:rsidRPr="00F024F6" w:rsidRDefault="00F024F6" w:rsidP="004D1E3E">
            <w:pPr>
              <w:jc w:val="left"/>
              <w:rPr>
                <w:sz w:val="16"/>
                <w:lang w:val="es-419"/>
              </w:rPr>
            </w:pPr>
            <w:r w:rsidRPr="00F024F6">
              <w:rPr>
                <w:sz w:val="16"/>
                <w:lang w:val="es-419"/>
              </w:rPr>
              <w:t>ISSN electrónico 2518-7457</w:t>
            </w:r>
          </w:p>
          <w:p w:rsidR="00F024F6" w:rsidRPr="00F024F6" w:rsidRDefault="00F024F6" w:rsidP="004D1E3E">
            <w:pPr>
              <w:jc w:val="left"/>
              <w:rPr>
                <w:sz w:val="16"/>
                <w:lang w:val="es-419"/>
              </w:rPr>
            </w:pPr>
            <w:proofErr w:type="spellStart"/>
            <w:r w:rsidRPr="00F024F6">
              <w:rPr>
                <w:sz w:val="16"/>
                <w:lang w:val="es-419"/>
              </w:rPr>
              <w:t>N.</w:t>
            </w:r>
            <w:r w:rsidRPr="00F024F6">
              <w:rPr>
                <w:sz w:val="16"/>
                <w:vertAlign w:val="superscript"/>
                <w:lang w:val="es-419"/>
              </w:rPr>
              <w:t>os</w:t>
            </w:r>
            <w:proofErr w:type="spellEnd"/>
            <w:r w:rsidRPr="00F024F6">
              <w:rPr>
                <w:sz w:val="16"/>
                <w:lang w:val="es-419"/>
              </w:rPr>
              <w:t> 1, 2, 3 y 4, volumen 17, 2021</w:t>
            </w:r>
          </w:p>
          <w:p w:rsidR="00F024F6" w:rsidRPr="00F024F6" w:rsidRDefault="00F024F6" w:rsidP="004D1E3E">
            <w:pPr>
              <w:jc w:val="left"/>
              <w:rPr>
                <w:sz w:val="16"/>
                <w:lang w:val="es-419"/>
              </w:rPr>
            </w:pPr>
            <w:hyperlink r:id="rId44" w:history="1">
              <w:r w:rsidRPr="00F024F6">
                <w:rPr>
                  <w:rStyle w:val="Hyperlink"/>
                  <w:sz w:val="16"/>
                  <w:lang w:val="es-419"/>
                </w:rPr>
                <w:t>http://journal.sops.gov.ua/issue/archive</w:t>
              </w:r>
            </w:hyperlink>
            <w:r w:rsidRPr="00F024F6">
              <w:rPr>
                <w:sz w:val="16"/>
                <w:lang w:val="es-419"/>
              </w:rPr>
              <w:t xml:space="preserve"> </w:t>
            </w:r>
          </w:p>
        </w:tc>
        <w:tc>
          <w:tcPr>
            <w:tcW w:w="992"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Trimestral</w:t>
            </w:r>
          </w:p>
        </w:tc>
        <w:tc>
          <w:tcPr>
            <w:tcW w:w="992"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Kiev</w:t>
            </w:r>
          </w:p>
          <w:p w:rsidR="00F024F6" w:rsidRPr="00F024F6" w:rsidRDefault="00F024F6" w:rsidP="004D1E3E">
            <w:pPr>
              <w:keepNext/>
              <w:jc w:val="left"/>
              <w:rPr>
                <w:rFonts w:cs="Arial"/>
                <w:sz w:val="16"/>
                <w:szCs w:val="18"/>
                <w:lang w:val="es-419"/>
              </w:rPr>
            </w:pPr>
            <w:r w:rsidRPr="00F024F6">
              <w:rPr>
                <w:sz w:val="16"/>
                <w:lang w:val="es-419"/>
              </w:rPr>
              <w:t>(Ucrania)</w:t>
            </w:r>
          </w:p>
        </w:tc>
        <w:tc>
          <w:tcPr>
            <w:tcW w:w="3686"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 xml:space="preserve">Instituto de Examen de Variedades Vegetales de Ucrania, </w:t>
            </w:r>
          </w:p>
          <w:p w:rsidR="00F024F6" w:rsidRPr="00F024F6" w:rsidRDefault="00F024F6" w:rsidP="004D1E3E">
            <w:pPr>
              <w:keepNext/>
              <w:jc w:val="left"/>
              <w:rPr>
                <w:rFonts w:cs="Arial"/>
                <w:sz w:val="16"/>
                <w:szCs w:val="18"/>
                <w:lang w:val="es-419"/>
              </w:rPr>
            </w:pPr>
            <w:r w:rsidRPr="00F024F6">
              <w:rPr>
                <w:sz w:val="16"/>
                <w:lang w:val="es-419"/>
              </w:rPr>
              <w:t xml:space="preserve">Instituto de </w:t>
            </w:r>
            <w:proofErr w:type="spellStart"/>
            <w:r w:rsidRPr="00F024F6">
              <w:rPr>
                <w:sz w:val="16"/>
                <w:lang w:val="es-419"/>
              </w:rPr>
              <w:t>Fitomejoramiento</w:t>
            </w:r>
            <w:proofErr w:type="spellEnd"/>
            <w:r w:rsidRPr="00F024F6">
              <w:rPr>
                <w:sz w:val="16"/>
                <w:lang w:val="es-419"/>
              </w:rPr>
              <w:t xml:space="preserve"> y </w:t>
            </w:r>
            <w:proofErr w:type="spellStart"/>
            <w:r w:rsidRPr="00F024F6">
              <w:rPr>
                <w:sz w:val="16"/>
                <w:lang w:val="es-419"/>
              </w:rPr>
              <w:t>Fitogenética</w:t>
            </w:r>
            <w:proofErr w:type="spellEnd"/>
            <w:r w:rsidRPr="00F024F6">
              <w:rPr>
                <w:sz w:val="16"/>
                <w:lang w:val="es-419"/>
              </w:rPr>
              <w:t xml:space="preserve">, Centro Nacional de Semillas e Investigación de Cultivares de la NAAS, </w:t>
            </w:r>
          </w:p>
          <w:p w:rsidR="00F024F6" w:rsidRPr="00F024F6" w:rsidRDefault="00F024F6" w:rsidP="004D1E3E">
            <w:pPr>
              <w:keepNext/>
              <w:jc w:val="left"/>
              <w:rPr>
                <w:rFonts w:cs="Arial"/>
                <w:sz w:val="16"/>
                <w:szCs w:val="18"/>
                <w:lang w:val="es-419"/>
              </w:rPr>
            </w:pPr>
            <w:r w:rsidRPr="00F024F6">
              <w:rPr>
                <w:sz w:val="16"/>
                <w:lang w:val="es-419"/>
              </w:rPr>
              <w:t xml:space="preserve">Instituto de Fisiología Vegetal y </w:t>
            </w:r>
            <w:proofErr w:type="spellStart"/>
            <w:r w:rsidRPr="00F024F6">
              <w:rPr>
                <w:sz w:val="16"/>
                <w:lang w:val="es-419"/>
              </w:rPr>
              <w:t>Fitogenética</w:t>
            </w:r>
            <w:proofErr w:type="spellEnd"/>
            <w:r w:rsidRPr="00F024F6">
              <w:rPr>
                <w:sz w:val="16"/>
                <w:lang w:val="es-419"/>
              </w:rPr>
              <w:t>, Academia Nacional de Ciencias de Ucrania</w:t>
            </w:r>
          </w:p>
        </w:tc>
        <w:tc>
          <w:tcPr>
            <w:tcW w:w="3544"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 xml:space="preserve">Publicaciones sobre el estudio de variedades vegetales y ciencia, genética, </w:t>
            </w:r>
            <w:proofErr w:type="spellStart"/>
            <w:r w:rsidRPr="00F024F6">
              <w:rPr>
                <w:sz w:val="16"/>
                <w:lang w:val="es-419"/>
              </w:rPr>
              <w:t>fitomejoramiento</w:t>
            </w:r>
            <w:proofErr w:type="spellEnd"/>
            <w:r w:rsidRPr="00F024F6">
              <w:rPr>
                <w:sz w:val="16"/>
                <w:lang w:val="es-419"/>
              </w:rPr>
              <w:t xml:space="preserve"> y producción de semillas, fisiología vegetal, biotecnología y bioseguridad, producción agrícola, comercialización de variedades vegetales, protección de las obtenciones vegetales, cooperación internacional, sistemas y tecnologías de la información, opiniones de científicos jóvenes, historia de la ciencia y efemérides</w:t>
            </w:r>
          </w:p>
        </w:tc>
        <w:tc>
          <w:tcPr>
            <w:tcW w:w="1559"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 xml:space="preserve">Ucrania, Albania, Nigeria y Sudáfrica </w:t>
            </w:r>
          </w:p>
        </w:tc>
        <w:tc>
          <w:tcPr>
            <w:tcW w:w="1276" w:type="dxa"/>
            <w:shd w:val="clear" w:color="auto" w:fill="auto"/>
            <w:tcMar>
              <w:top w:w="17" w:type="dxa"/>
              <w:left w:w="28" w:type="dxa"/>
              <w:bottom w:w="17" w:type="dxa"/>
              <w:right w:w="28" w:type="dxa"/>
            </w:tcMar>
            <w:hideMark/>
          </w:tcPr>
          <w:p w:rsidR="00F024F6" w:rsidRPr="00F024F6" w:rsidRDefault="00F024F6" w:rsidP="004D1E3E">
            <w:pPr>
              <w:pStyle w:val="NoSpacing"/>
              <w:rPr>
                <w:rFonts w:ascii="Arial" w:hAnsi="Arial" w:cs="Arial"/>
                <w:sz w:val="16"/>
                <w:szCs w:val="18"/>
                <w:lang w:val="es-419" w:eastAsia="uk-UA"/>
              </w:rPr>
            </w:pPr>
          </w:p>
        </w:tc>
      </w:tr>
      <w:tr w:rsidR="00F024F6" w:rsidRPr="0075789D" w:rsidTr="00F024F6">
        <w:trPr>
          <w:trHeight w:val="1313"/>
        </w:trPr>
        <w:tc>
          <w:tcPr>
            <w:tcW w:w="3261" w:type="dxa"/>
            <w:shd w:val="clear" w:color="auto" w:fill="auto"/>
            <w:tcMar>
              <w:top w:w="17" w:type="dxa"/>
              <w:left w:w="28" w:type="dxa"/>
              <w:bottom w:w="17" w:type="dxa"/>
              <w:right w:w="28" w:type="dxa"/>
            </w:tcMar>
            <w:hideMark/>
          </w:tcPr>
          <w:p w:rsidR="00F024F6" w:rsidRPr="00F024F6" w:rsidRDefault="00F024F6" w:rsidP="004D1E3E">
            <w:pPr>
              <w:jc w:val="left"/>
              <w:rPr>
                <w:rFonts w:cs="Arial"/>
                <w:sz w:val="16"/>
                <w:szCs w:val="18"/>
                <w:lang w:val="es-419"/>
              </w:rPr>
            </w:pPr>
            <w:r w:rsidRPr="00F024F6">
              <w:rPr>
                <w:sz w:val="16"/>
                <w:lang w:val="es-419"/>
              </w:rPr>
              <w:t>Boletín “</w:t>
            </w:r>
            <w:r w:rsidRPr="00F024F6">
              <w:rPr>
                <w:i/>
                <w:iCs/>
                <w:sz w:val="16"/>
                <w:lang w:val="es-419"/>
              </w:rPr>
              <w:t>Protección de las variedades vegetales</w:t>
            </w:r>
            <w:r w:rsidRPr="00F024F6">
              <w:rPr>
                <w:sz w:val="16"/>
                <w:lang w:val="es-419"/>
              </w:rPr>
              <w:t xml:space="preserve">”, </w:t>
            </w:r>
            <w:proofErr w:type="spellStart"/>
            <w:r w:rsidRPr="00F024F6">
              <w:rPr>
                <w:sz w:val="16"/>
                <w:lang w:val="es-419"/>
              </w:rPr>
              <w:t>N.</w:t>
            </w:r>
            <w:r w:rsidRPr="00F024F6">
              <w:rPr>
                <w:sz w:val="16"/>
                <w:vertAlign w:val="superscript"/>
                <w:lang w:val="es-419"/>
              </w:rPr>
              <w:t>os</w:t>
            </w:r>
            <w:proofErr w:type="spellEnd"/>
            <w:r w:rsidRPr="00F024F6">
              <w:rPr>
                <w:sz w:val="16"/>
                <w:lang w:val="es-419"/>
              </w:rPr>
              <w:t> 1, 2, 3, 4, 5 y 6 de 2021</w:t>
            </w:r>
          </w:p>
          <w:p w:rsidR="00F024F6" w:rsidRPr="00F024F6" w:rsidRDefault="00F024F6" w:rsidP="004D1E3E">
            <w:pPr>
              <w:jc w:val="left"/>
              <w:rPr>
                <w:rFonts w:cs="Arial"/>
                <w:sz w:val="16"/>
                <w:szCs w:val="18"/>
                <w:lang w:val="es-419"/>
              </w:rPr>
            </w:pPr>
            <w:hyperlink r:id="rId45" w:history="1">
              <w:r w:rsidRPr="00F024F6">
                <w:rPr>
                  <w:rStyle w:val="Hyperlink"/>
                  <w:sz w:val="16"/>
                  <w:lang w:val="es-419"/>
                </w:rPr>
                <w:t>https://sops.gov.ua/publication/buleten-3</w:t>
              </w:r>
            </w:hyperlink>
            <w:r w:rsidRPr="00F024F6">
              <w:rPr>
                <w:sz w:val="16"/>
                <w:lang w:val="es-419"/>
              </w:rPr>
              <w:t xml:space="preserve"> </w:t>
            </w:r>
          </w:p>
        </w:tc>
        <w:tc>
          <w:tcPr>
            <w:tcW w:w="992"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Trimestral</w:t>
            </w:r>
          </w:p>
        </w:tc>
        <w:tc>
          <w:tcPr>
            <w:tcW w:w="992"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Kiev</w:t>
            </w:r>
          </w:p>
          <w:p w:rsidR="00F024F6" w:rsidRPr="00F024F6" w:rsidRDefault="00F024F6" w:rsidP="004D1E3E">
            <w:pPr>
              <w:keepNext/>
              <w:jc w:val="left"/>
              <w:rPr>
                <w:rFonts w:cs="Arial"/>
                <w:sz w:val="16"/>
                <w:szCs w:val="18"/>
                <w:lang w:val="es-419"/>
              </w:rPr>
            </w:pPr>
            <w:r w:rsidRPr="00F024F6">
              <w:rPr>
                <w:sz w:val="16"/>
                <w:lang w:val="es-419"/>
              </w:rPr>
              <w:t>(Ucrania)</w:t>
            </w:r>
          </w:p>
        </w:tc>
        <w:tc>
          <w:tcPr>
            <w:tcW w:w="3686"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Instituto de Examen de Variedades Vegetales de Ucrania</w:t>
            </w:r>
          </w:p>
        </w:tc>
        <w:tc>
          <w:tcPr>
            <w:tcW w:w="3544" w:type="dxa"/>
            <w:shd w:val="clear" w:color="auto" w:fill="auto"/>
            <w:tcMar>
              <w:top w:w="17" w:type="dxa"/>
              <w:left w:w="28" w:type="dxa"/>
              <w:bottom w:w="17" w:type="dxa"/>
              <w:right w:w="28" w:type="dxa"/>
            </w:tcMar>
            <w:hideMark/>
          </w:tcPr>
          <w:p w:rsidR="00F024F6" w:rsidRPr="00F024F6" w:rsidRDefault="00F024F6" w:rsidP="004D1E3E">
            <w:pPr>
              <w:keepNext/>
              <w:jc w:val="left"/>
              <w:rPr>
                <w:rFonts w:cs="Arial"/>
                <w:sz w:val="16"/>
                <w:szCs w:val="18"/>
                <w:lang w:val="es-419"/>
              </w:rPr>
            </w:pPr>
            <w:r w:rsidRPr="00F024F6">
              <w:rPr>
                <w:sz w:val="16"/>
                <w:lang w:val="es-419"/>
              </w:rPr>
              <w:t>Este boletín se edita conforme a lo dispuesto en la “Ley de Protección de las Obtenciones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1559" w:type="dxa"/>
            <w:shd w:val="clear" w:color="auto" w:fill="auto"/>
            <w:tcMar>
              <w:top w:w="17" w:type="dxa"/>
              <w:left w:w="28" w:type="dxa"/>
              <w:bottom w:w="17" w:type="dxa"/>
              <w:right w:w="28" w:type="dxa"/>
            </w:tcMar>
            <w:hideMark/>
          </w:tcPr>
          <w:p w:rsidR="00F024F6" w:rsidRPr="00F024F6" w:rsidRDefault="00F024F6" w:rsidP="004D1E3E">
            <w:pPr>
              <w:jc w:val="left"/>
              <w:rPr>
                <w:rFonts w:cs="Arial"/>
                <w:sz w:val="16"/>
                <w:szCs w:val="18"/>
                <w:lang w:val="es-419"/>
              </w:rPr>
            </w:pPr>
            <w:r w:rsidRPr="00F024F6">
              <w:rPr>
                <w:sz w:val="16"/>
                <w:lang w:val="es-419"/>
              </w:rPr>
              <w:t xml:space="preserve">Ucrania </w:t>
            </w:r>
          </w:p>
        </w:tc>
        <w:tc>
          <w:tcPr>
            <w:tcW w:w="1276" w:type="dxa"/>
            <w:shd w:val="clear" w:color="auto" w:fill="auto"/>
            <w:tcMar>
              <w:top w:w="17" w:type="dxa"/>
              <w:left w:w="28" w:type="dxa"/>
              <w:bottom w:w="17" w:type="dxa"/>
              <w:right w:w="28" w:type="dxa"/>
            </w:tcMar>
            <w:hideMark/>
          </w:tcPr>
          <w:p w:rsidR="00F024F6" w:rsidRPr="00F024F6" w:rsidRDefault="00F024F6" w:rsidP="004D1E3E">
            <w:pPr>
              <w:pStyle w:val="ListParagraph"/>
              <w:ind w:left="0"/>
              <w:rPr>
                <w:rFonts w:cs="Arial"/>
                <w:sz w:val="16"/>
                <w:szCs w:val="18"/>
                <w:highlight w:val="yellow"/>
                <w:lang w:val="es-419" w:eastAsia="uk-UA"/>
              </w:rPr>
            </w:pPr>
          </w:p>
        </w:tc>
      </w:tr>
      <w:tr w:rsidR="00F024F6" w:rsidRPr="0075789D" w:rsidTr="00F024F6">
        <w:trPr>
          <w:trHeight w:val="1313"/>
        </w:trPr>
        <w:tc>
          <w:tcPr>
            <w:tcW w:w="3261"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IX Conferencia internacional de investigación aplicada de científicos y especialistas jóvenes “</w:t>
            </w:r>
            <w:proofErr w:type="spellStart"/>
            <w:r w:rsidRPr="00F024F6">
              <w:rPr>
                <w:sz w:val="16"/>
                <w:lang w:val="es-419"/>
              </w:rPr>
              <w:t>Fitomejoramiento</w:t>
            </w:r>
            <w:proofErr w:type="spellEnd"/>
            <w:r w:rsidRPr="00F024F6">
              <w:rPr>
                <w:sz w:val="16"/>
                <w:lang w:val="es-419"/>
              </w:rPr>
              <w:t xml:space="preserve">, genética y tecnología para los cultivos agrícolas” </w:t>
            </w:r>
            <w:hyperlink r:id="rId46" w:history="1">
              <w:r w:rsidRPr="00F024F6">
                <w:rPr>
                  <w:rStyle w:val="Hyperlink"/>
                  <w:sz w:val="16"/>
                  <w:lang w:val="es-419"/>
                </w:rPr>
                <w:t>http://confer.uiesr.sops.gov.ua/genetika2021/schedConf/presentations</w:t>
              </w:r>
            </w:hyperlink>
          </w:p>
        </w:tc>
        <w:tc>
          <w:tcPr>
            <w:tcW w:w="992"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23 de abril de 2021</w:t>
            </w:r>
          </w:p>
        </w:tc>
        <w:tc>
          <w:tcPr>
            <w:tcW w:w="992"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 xml:space="preserve">Localidad de </w:t>
            </w:r>
            <w:proofErr w:type="spellStart"/>
            <w:r w:rsidRPr="00F024F6">
              <w:rPr>
                <w:sz w:val="16"/>
                <w:lang w:val="es-419"/>
              </w:rPr>
              <w:t>Centralne</w:t>
            </w:r>
            <w:proofErr w:type="spellEnd"/>
            <w:r w:rsidRPr="00F024F6">
              <w:rPr>
                <w:sz w:val="16"/>
                <w:lang w:val="es-419"/>
              </w:rPr>
              <w:t>, región de Kiev</w:t>
            </w:r>
          </w:p>
        </w:tc>
        <w:tc>
          <w:tcPr>
            <w:tcW w:w="3686"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 xml:space="preserve">Instituto del Trigo V.M. </w:t>
            </w:r>
            <w:proofErr w:type="spellStart"/>
            <w:r w:rsidRPr="00F024F6">
              <w:rPr>
                <w:sz w:val="16"/>
                <w:lang w:val="es-419"/>
              </w:rPr>
              <w:t>Remeslo</w:t>
            </w:r>
            <w:proofErr w:type="spellEnd"/>
            <w:r w:rsidRPr="00F024F6">
              <w:rPr>
                <w:sz w:val="16"/>
                <w:lang w:val="es-419"/>
              </w:rPr>
              <w:t xml:space="preserve"> </w:t>
            </w:r>
            <w:proofErr w:type="spellStart"/>
            <w:r w:rsidRPr="00F024F6">
              <w:rPr>
                <w:sz w:val="16"/>
                <w:lang w:val="es-419"/>
              </w:rPr>
              <w:t>Myronivka</w:t>
            </w:r>
            <w:proofErr w:type="spellEnd"/>
            <w:r w:rsidRPr="00F024F6">
              <w:rPr>
                <w:sz w:val="16"/>
                <w:lang w:val="es-419"/>
              </w:rPr>
              <w:t>,</w:t>
            </w:r>
          </w:p>
          <w:p w:rsidR="00F024F6" w:rsidRPr="00F024F6" w:rsidRDefault="00F024F6" w:rsidP="004D1E3E">
            <w:pPr>
              <w:jc w:val="left"/>
              <w:rPr>
                <w:rFonts w:cs="Arial"/>
                <w:sz w:val="16"/>
                <w:szCs w:val="18"/>
                <w:lang w:val="es-419"/>
              </w:rPr>
            </w:pPr>
            <w:r w:rsidRPr="00F024F6">
              <w:rPr>
                <w:sz w:val="16"/>
                <w:lang w:val="es-419"/>
              </w:rPr>
              <w:t>Academia Nacional de Ciencias Agrarias de Ucrania,</w:t>
            </w:r>
          </w:p>
          <w:p w:rsidR="00F024F6" w:rsidRPr="00F024F6" w:rsidRDefault="00F024F6" w:rsidP="004D1E3E">
            <w:pPr>
              <w:jc w:val="left"/>
              <w:rPr>
                <w:rFonts w:cs="Arial"/>
                <w:sz w:val="16"/>
                <w:szCs w:val="18"/>
                <w:lang w:val="es-419"/>
              </w:rPr>
            </w:pPr>
            <w:r w:rsidRPr="00F024F6">
              <w:rPr>
                <w:sz w:val="16"/>
                <w:lang w:val="es-419"/>
              </w:rPr>
              <w:t>Instituto de Examen de Variedades Vegetales de Ucrania</w:t>
            </w:r>
          </w:p>
        </w:tc>
        <w:tc>
          <w:tcPr>
            <w:tcW w:w="3544"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Definición de las tendencias actuales en investigación agrícola y evaluación de variedades vegetales</w:t>
            </w:r>
          </w:p>
        </w:tc>
        <w:tc>
          <w:tcPr>
            <w:tcW w:w="1559"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Ucrania (171 participantes)</w:t>
            </w:r>
          </w:p>
        </w:tc>
        <w:tc>
          <w:tcPr>
            <w:tcW w:w="1276"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Se ha publicado una colección de materiales de la conferencia</w:t>
            </w:r>
          </w:p>
        </w:tc>
      </w:tr>
      <w:tr w:rsidR="00F024F6" w:rsidRPr="0075789D" w:rsidTr="00F024F6">
        <w:trPr>
          <w:trHeight w:val="1313"/>
        </w:trPr>
        <w:tc>
          <w:tcPr>
            <w:tcW w:w="3261"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 xml:space="preserve">II Conferencia internacional de ciencias aplicadas “Las nuevas </w:t>
            </w:r>
            <w:proofErr w:type="spellStart"/>
            <w:r w:rsidRPr="00F024F6">
              <w:rPr>
                <w:sz w:val="16"/>
                <w:lang w:val="es-419"/>
              </w:rPr>
              <w:t>agrotecnologías</w:t>
            </w:r>
            <w:proofErr w:type="spellEnd"/>
            <w:r w:rsidRPr="00F024F6">
              <w:rPr>
                <w:sz w:val="16"/>
                <w:lang w:val="es-419"/>
              </w:rPr>
              <w:t>”</w:t>
            </w:r>
          </w:p>
          <w:p w:rsidR="00F024F6" w:rsidRPr="00F024F6" w:rsidRDefault="00F024F6" w:rsidP="004D1E3E">
            <w:pPr>
              <w:jc w:val="left"/>
              <w:rPr>
                <w:rFonts w:cs="Arial"/>
                <w:sz w:val="16"/>
                <w:szCs w:val="18"/>
                <w:lang w:val="es-419"/>
              </w:rPr>
            </w:pPr>
          </w:p>
          <w:p w:rsidR="00F024F6" w:rsidRPr="00F024F6" w:rsidRDefault="00F024F6" w:rsidP="004D1E3E">
            <w:pPr>
              <w:jc w:val="left"/>
              <w:rPr>
                <w:rFonts w:cs="Arial"/>
                <w:sz w:val="16"/>
                <w:szCs w:val="18"/>
                <w:lang w:val="es-419"/>
              </w:rPr>
            </w:pPr>
            <w:hyperlink r:id="rId47" w:history="1">
              <w:r w:rsidRPr="00F024F6">
                <w:rPr>
                  <w:rStyle w:val="Hyperlink"/>
                  <w:sz w:val="16"/>
                  <w:lang w:val="es-419"/>
                </w:rPr>
                <w:t>https://conference.ukragroexpert.com.ua/</w:t>
              </w:r>
            </w:hyperlink>
          </w:p>
          <w:p w:rsidR="00F024F6" w:rsidRPr="00F024F6" w:rsidRDefault="00F024F6" w:rsidP="004D1E3E">
            <w:pPr>
              <w:jc w:val="left"/>
              <w:rPr>
                <w:rFonts w:cs="Arial"/>
                <w:sz w:val="16"/>
                <w:szCs w:val="18"/>
                <w:lang w:val="es-419"/>
              </w:rPr>
            </w:pPr>
          </w:p>
          <w:p w:rsidR="00F024F6" w:rsidRPr="00F024F6" w:rsidRDefault="00F024F6" w:rsidP="004D1E3E">
            <w:pPr>
              <w:jc w:val="left"/>
              <w:rPr>
                <w:rFonts w:cs="Arial"/>
                <w:sz w:val="16"/>
                <w:szCs w:val="18"/>
                <w:lang w:val="es-419"/>
              </w:rPr>
            </w:pPr>
            <w:hyperlink r:id="rId48" w:history="1">
              <w:r w:rsidRPr="00F024F6">
                <w:rPr>
                  <w:rStyle w:val="Hyperlink"/>
                  <w:sz w:val="16"/>
                  <w:lang w:val="es-419"/>
                </w:rPr>
                <w:t>https://conference.ukragroexpert.com.ua/wp-content/uploads/2021/06/Book-of-proceedings-2021.pdf</w:t>
              </w:r>
            </w:hyperlink>
          </w:p>
          <w:p w:rsidR="00F024F6" w:rsidRPr="00F024F6" w:rsidRDefault="00F024F6" w:rsidP="004D1E3E">
            <w:pPr>
              <w:jc w:val="left"/>
              <w:rPr>
                <w:rFonts w:cs="Arial"/>
                <w:sz w:val="16"/>
                <w:szCs w:val="18"/>
                <w:lang w:val="es-419"/>
              </w:rPr>
            </w:pPr>
          </w:p>
        </w:tc>
        <w:tc>
          <w:tcPr>
            <w:tcW w:w="992"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3 de junio de 2021</w:t>
            </w:r>
          </w:p>
        </w:tc>
        <w:tc>
          <w:tcPr>
            <w:tcW w:w="992"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Kiev</w:t>
            </w:r>
          </w:p>
        </w:tc>
        <w:tc>
          <w:tcPr>
            <w:tcW w:w="3686"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Instituto de Examen de Variedades Vegetales de Ucrania; Universidad Nacional de Ciencias de la Vida y el Medio Ambiente de Ucrania;</w:t>
            </w:r>
          </w:p>
          <w:p w:rsidR="00F024F6" w:rsidRPr="00F024F6" w:rsidRDefault="00F024F6" w:rsidP="004D1E3E">
            <w:pPr>
              <w:jc w:val="left"/>
              <w:rPr>
                <w:rFonts w:cs="Arial"/>
                <w:sz w:val="16"/>
                <w:szCs w:val="18"/>
                <w:lang w:val="es-419"/>
              </w:rPr>
            </w:pPr>
            <w:r w:rsidRPr="00F024F6">
              <w:rPr>
                <w:sz w:val="16"/>
                <w:lang w:val="es-419"/>
              </w:rPr>
              <w:t xml:space="preserve">Instituto de Cultivos </w:t>
            </w:r>
            <w:proofErr w:type="spellStart"/>
            <w:r w:rsidRPr="00F024F6">
              <w:rPr>
                <w:sz w:val="16"/>
                <w:lang w:val="es-419"/>
              </w:rPr>
              <w:t>Bioenergéticos</w:t>
            </w:r>
            <w:proofErr w:type="spellEnd"/>
            <w:r w:rsidRPr="00F024F6">
              <w:rPr>
                <w:sz w:val="16"/>
                <w:lang w:val="es-419"/>
              </w:rPr>
              <w:t xml:space="preserve"> y Remolacha Azucarera de la NAAS (Ucrania); Universidad Agraria Nacional </w:t>
            </w:r>
            <w:proofErr w:type="spellStart"/>
            <w:r w:rsidRPr="00F024F6">
              <w:rPr>
                <w:sz w:val="16"/>
                <w:lang w:val="es-419"/>
              </w:rPr>
              <w:t>Bila</w:t>
            </w:r>
            <w:proofErr w:type="spellEnd"/>
            <w:r w:rsidRPr="00F024F6">
              <w:rPr>
                <w:sz w:val="16"/>
                <w:lang w:val="es-419"/>
              </w:rPr>
              <w:t xml:space="preserve"> </w:t>
            </w:r>
            <w:proofErr w:type="spellStart"/>
            <w:r w:rsidRPr="00F024F6">
              <w:rPr>
                <w:sz w:val="16"/>
                <w:lang w:val="es-419"/>
              </w:rPr>
              <w:t>Tserkva</w:t>
            </w:r>
            <w:proofErr w:type="spellEnd"/>
            <w:r w:rsidRPr="00F024F6">
              <w:rPr>
                <w:sz w:val="16"/>
                <w:lang w:val="es-419"/>
              </w:rPr>
              <w:t xml:space="preserve"> (Ucrania);</w:t>
            </w:r>
          </w:p>
          <w:p w:rsidR="00F024F6" w:rsidRPr="00F024F6" w:rsidRDefault="00F024F6" w:rsidP="004D1E3E">
            <w:pPr>
              <w:jc w:val="left"/>
              <w:rPr>
                <w:rFonts w:cs="Arial"/>
                <w:sz w:val="16"/>
                <w:szCs w:val="18"/>
                <w:lang w:val="es-419"/>
              </w:rPr>
            </w:pPr>
            <w:r w:rsidRPr="00F024F6">
              <w:rPr>
                <w:sz w:val="16"/>
                <w:lang w:val="es-419"/>
              </w:rPr>
              <w:t xml:space="preserve">Instituto de Fisiología y Genética Vegetales de la NAAS (Ucrania); </w:t>
            </w:r>
            <w:r w:rsidRPr="00F024F6">
              <w:rPr>
                <w:i/>
                <w:iCs/>
                <w:sz w:val="16"/>
                <w:lang w:val="es-419"/>
              </w:rPr>
              <w:t xml:space="preserve">Ltd. </w:t>
            </w:r>
            <w:proofErr w:type="spellStart"/>
            <w:r w:rsidRPr="00F024F6">
              <w:rPr>
                <w:i/>
                <w:iCs/>
                <w:sz w:val="16"/>
                <w:lang w:val="es-419"/>
              </w:rPr>
              <w:t>Research</w:t>
            </w:r>
            <w:proofErr w:type="spellEnd"/>
            <w:r w:rsidRPr="00F024F6">
              <w:rPr>
                <w:i/>
                <w:iCs/>
                <w:sz w:val="16"/>
                <w:lang w:val="es-419"/>
              </w:rPr>
              <w:t xml:space="preserve"> </w:t>
            </w:r>
            <w:proofErr w:type="spellStart"/>
            <w:r w:rsidRPr="00F024F6">
              <w:rPr>
                <w:i/>
                <w:iCs/>
                <w:sz w:val="16"/>
                <w:lang w:val="es-419"/>
              </w:rPr>
              <w:t>Institute</w:t>
            </w:r>
            <w:proofErr w:type="spellEnd"/>
            <w:r w:rsidRPr="00F024F6">
              <w:rPr>
                <w:i/>
                <w:iCs/>
                <w:sz w:val="16"/>
                <w:lang w:val="es-419"/>
              </w:rPr>
              <w:t xml:space="preserve"> of </w:t>
            </w:r>
            <w:proofErr w:type="spellStart"/>
            <w:r w:rsidRPr="00F024F6">
              <w:rPr>
                <w:i/>
                <w:iCs/>
                <w:sz w:val="16"/>
                <w:lang w:val="es-419"/>
              </w:rPr>
              <w:t>Agrarian</w:t>
            </w:r>
            <w:proofErr w:type="spellEnd"/>
            <w:r w:rsidRPr="00F024F6">
              <w:rPr>
                <w:i/>
                <w:iCs/>
                <w:sz w:val="16"/>
                <w:lang w:val="es-419"/>
              </w:rPr>
              <w:t xml:space="preserve"> Business</w:t>
            </w:r>
            <w:r w:rsidRPr="00F024F6">
              <w:rPr>
                <w:sz w:val="16"/>
                <w:lang w:val="es-419"/>
              </w:rPr>
              <w:t xml:space="preserve"> (Ucrania); Universidad de Sarajevo Oriental (Bosnia y Herzegovina)</w:t>
            </w:r>
          </w:p>
        </w:tc>
        <w:tc>
          <w:tcPr>
            <w:tcW w:w="3544"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El establecimiento y la profundización de conexiones científicas, el intercambio de experiencias y la difusión de conocimientos sobre la importancia del enfoque científico en la agricultura, la búsqueda de soluciones para las labores aplicadas y teóricas que se llevan a cabo en el sector agrícola y para el examen de variedades vegetales</w:t>
            </w:r>
          </w:p>
        </w:tc>
        <w:tc>
          <w:tcPr>
            <w:tcW w:w="1559"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Ucrania, Albania, Egipto, Hungría, Lituania, Macedonia del Norte y Turquía (44 participantes)</w:t>
            </w:r>
          </w:p>
        </w:tc>
        <w:tc>
          <w:tcPr>
            <w:tcW w:w="1276" w:type="dxa"/>
            <w:shd w:val="clear" w:color="auto" w:fill="auto"/>
            <w:tcMar>
              <w:top w:w="17" w:type="dxa"/>
              <w:left w:w="28" w:type="dxa"/>
              <w:bottom w:w="17" w:type="dxa"/>
              <w:right w:w="28" w:type="dxa"/>
            </w:tcMar>
          </w:tcPr>
          <w:p w:rsidR="00F024F6" w:rsidRPr="00F024F6" w:rsidRDefault="00F024F6" w:rsidP="004D1E3E">
            <w:pPr>
              <w:jc w:val="left"/>
              <w:rPr>
                <w:rFonts w:cs="Arial"/>
                <w:sz w:val="16"/>
                <w:szCs w:val="18"/>
                <w:lang w:val="es-419"/>
              </w:rPr>
            </w:pPr>
            <w:r w:rsidRPr="00F024F6">
              <w:rPr>
                <w:sz w:val="16"/>
                <w:lang w:val="es-419"/>
              </w:rPr>
              <w:t>Se ha publicado una colección de materiales de la conferencia</w:t>
            </w:r>
          </w:p>
        </w:tc>
      </w:tr>
    </w:tbl>
    <w:p w:rsidR="00F024F6" w:rsidRPr="0075789D" w:rsidRDefault="00F024F6" w:rsidP="00F024F6">
      <w:pPr>
        <w:rPr>
          <w:lang w:val="es-419"/>
        </w:rPr>
      </w:pPr>
    </w:p>
    <w:p w:rsidR="00557C49" w:rsidRDefault="00557C49" w:rsidP="00242EA4">
      <w:pPr>
        <w:jc w:val="left"/>
        <w:sectPr w:rsidR="00557C49" w:rsidSect="00F024F6">
          <w:pgSz w:w="16840" w:h="11907" w:orient="landscape" w:code="9"/>
          <w:pgMar w:top="510" w:right="1134" w:bottom="1134" w:left="1134" w:header="510" w:footer="680" w:gutter="0"/>
          <w:cols w:space="720"/>
          <w:docGrid w:linePitch="272"/>
        </w:sectPr>
      </w:pPr>
    </w:p>
    <w:p w:rsidR="00557C49" w:rsidRPr="0075789D" w:rsidRDefault="00557C49" w:rsidP="00557C49">
      <w:pPr>
        <w:rPr>
          <w:lang w:val="es-419"/>
        </w:rPr>
      </w:pPr>
      <w:r w:rsidRPr="0075789D">
        <w:rPr>
          <w:lang w:val="es-419"/>
        </w:rPr>
        <w:lastRenderedPageBreak/>
        <w:t>II.</w:t>
      </w:r>
      <w:r w:rsidRPr="0075789D">
        <w:rPr>
          <w:lang w:val="es-419"/>
        </w:rPr>
        <w:tab/>
        <w:t>OTRAS MODIFICACIONES DE INTERÉS PARA LA UPOV</w:t>
      </w:r>
    </w:p>
    <w:p w:rsidR="00557C49" w:rsidRPr="0075789D" w:rsidRDefault="00557C49" w:rsidP="00557C49">
      <w:pPr>
        <w:rPr>
          <w:lang w:val="es-419"/>
        </w:rPr>
      </w:pPr>
    </w:p>
    <w:p w:rsidR="00557C49" w:rsidRPr="0075789D" w:rsidRDefault="00557C49" w:rsidP="00557C49">
      <w:pPr>
        <w:rPr>
          <w:lang w:val="es-419"/>
        </w:rPr>
      </w:pPr>
      <w:r w:rsidRPr="0075789D">
        <w:rPr>
          <w:lang w:val="es-419"/>
        </w:rPr>
        <w:t xml:space="preserve">La información estadística sobre la protección de las obtenciones vegetales en Ucrania en 2021 se transmitió por correo electrónico </w:t>
      </w:r>
      <w:hyperlink r:id="rId49" w:history="1">
        <w:r w:rsidRPr="0075789D">
          <w:rPr>
            <w:rStyle w:val="Hyperlink"/>
            <w:lang w:val="es-419"/>
          </w:rPr>
          <w:t>upov.mail@upov.int</w:t>
        </w:r>
      </w:hyperlink>
      <w:r w:rsidRPr="0075789D">
        <w:rPr>
          <w:lang w:val="es-419"/>
        </w:rPr>
        <w:t xml:space="preserve"> en su debido momento.</w:t>
      </w:r>
    </w:p>
    <w:p w:rsidR="00242EA4" w:rsidRPr="00D36B66" w:rsidRDefault="00242EA4" w:rsidP="00242EA4">
      <w:pPr>
        <w:jc w:val="left"/>
      </w:pPr>
    </w:p>
    <w:p w:rsidR="000362AD" w:rsidRPr="00D36B66" w:rsidRDefault="000362AD" w:rsidP="000362AD">
      <w:pPr>
        <w:jc w:val="left"/>
      </w:pPr>
    </w:p>
    <w:p w:rsidR="000362AD" w:rsidRPr="00D36B66" w:rsidRDefault="000362AD" w:rsidP="000362AD">
      <w:pPr>
        <w:jc w:val="left"/>
      </w:pPr>
    </w:p>
    <w:p w:rsidR="000362AD" w:rsidRPr="00D36B66" w:rsidRDefault="000A2928" w:rsidP="000362AD">
      <w:pPr>
        <w:jc w:val="right"/>
      </w:pPr>
      <w:r>
        <w:t>[Sigue el Anexo</w:t>
      </w:r>
      <w:r w:rsidR="000362AD" w:rsidRPr="00D36B66">
        <w:t xml:space="preserve"> X</w:t>
      </w:r>
      <w:r w:rsidR="0075382F" w:rsidRPr="00D36B66">
        <w:t>I</w:t>
      </w:r>
      <w:r w:rsidR="00CE1862">
        <w:t>X</w:t>
      </w:r>
      <w:r>
        <w:t>]</w:t>
      </w:r>
    </w:p>
    <w:p w:rsidR="000362AD" w:rsidRPr="00D36B66" w:rsidRDefault="000362AD" w:rsidP="000362AD"/>
    <w:p w:rsidR="000362AD" w:rsidRPr="00D36B66" w:rsidRDefault="000362AD" w:rsidP="000362AD">
      <w:pPr>
        <w:jc w:val="left"/>
        <w:sectPr w:rsidR="000362AD" w:rsidRPr="00D36B66" w:rsidSect="00557C49">
          <w:pgSz w:w="11907" w:h="16840" w:code="9"/>
          <w:pgMar w:top="510" w:right="1134" w:bottom="1134" w:left="1134" w:header="510" w:footer="680" w:gutter="0"/>
          <w:cols w:space="720"/>
          <w:docGrid w:linePitch="272"/>
        </w:sectPr>
      </w:pPr>
    </w:p>
    <w:p w:rsidR="000362AD" w:rsidRPr="00D36B66" w:rsidRDefault="005A5958" w:rsidP="000362AD">
      <w:pPr>
        <w:jc w:val="center"/>
      </w:pPr>
      <w:r w:rsidRPr="00D36B66">
        <w:lastRenderedPageBreak/>
        <w:t>C/56</w:t>
      </w:r>
      <w:r w:rsidR="000362AD" w:rsidRPr="00D36B66">
        <w:t>/INF/4</w:t>
      </w:r>
    </w:p>
    <w:p w:rsidR="000362AD" w:rsidRPr="00D36B66" w:rsidRDefault="000362AD" w:rsidP="000362AD">
      <w:pPr>
        <w:jc w:val="center"/>
      </w:pPr>
    </w:p>
    <w:p w:rsidR="000362AD" w:rsidRPr="00D36B66" w:rsidRDefault="000A2928" w:rsidP="000362AD">
      <w:pPr>
        <w:jc w:val="center"/>
      </w:pPr>
      <w:r>
        <w:t>ANEXO</w:t>
      </w:r>
      <w:r w:rsidR="00CE1862">
        <w:t xml:space="preserve"> XIX</w:t>
      </w:r>
    </w:p>
    <w:p w:rsidR="000362AD" w:rsidRPr="00D36B66" w:rsidRDefault="000362AD" w:rsidP="000362AD">
      <w:pPr>
        <w:jc w:val="center"/>
      </w:pPr>
    </w:p>
    <w:p w:rsidR="000362AD" w:rsidRPr="00D36B66" w:rsidRDefault="000362AD" w:rsidP="000362AD">
      <w:pPr>
        <w:jc w:val="center"/>
      </w:pPr>
    </w:p>
    <w:p w:rsidR="000362AD" w:rsidRPr="00D36B66" w:rsidRDefault="000A2928" w:rsidP="000362AD">
      <w:pPr>
        <w:jc w:val="center"/>
      </w:pPr>
      <w:r>
        <w:t>UNIÓ</w:t>
      </w:r>
      <w:r w:rsidR="000362AD" w:rsidRPr="00D36B66">
        <w:t>N</w:t>
      </w:r>
      <w:r>
        <w:t xml:space="preserve"> EUROPEA</w:t>
      </w:r>
      <w:r w:rsidR="00E70F71" w:rsidRPr="00D11CAE">
        <w:rPr>
          <w:rStyle w:val="EndnoteReference"/>
          <w:lang w:val="es-419"/>
        </w:rPr>
        <w:endnoteReference w:id="2"/>
      </w:r>
    </w:p>
    <w:p w:rsidR="00E70F71" w:rsidRPr="0075789D" w:rsidRDefault="00E70F71" w:rsidP="00E70F71">
      <w:pPr>
        <w:jc w:val="center"/>
        <w:rPr>
          <w:lang w:val="es-419"/>
        </w:rPr>
      </w:pPr>
      <w:r w:rsidRPr="0075789D">
        <w:rPr>
          <w:lang w:val="es-419"/>
        </w:rPr>
        <w:t>Período: julio de 2021 a julio de 2022</w:t>
      </w:r>
    </w:p>
    <w:p w:rsidR="00E70F71" w:rsidRPr="0075789D" w:rsidRDefault="00E70F71" w:rsidP="00E70F71">
      <w:pPr>
        <w:jc w:val="center"/>
        <w:rPr>
          <w:lang w:val="es-419"/>
        </w:rPr>
      </w:pPr>
    </w:p>
    <w:p w:rsidR="00E70F71" w:rsidRPr="0075789D" w:rsidRDefault="00E70F71" w:rsidP="00E70F71">
      <w:pPr>
        <w:shd w:val="clear" w:color="auto" w:fill="FFFFFF"/>
        <w:jc w:val="center"/>
        <w:rPr>
          <w:rFonts w:cs="Arial"/>
          <w:lang w:val="es-419"/>
        </w:rPr>
      </w:pPr>
      <w:r w:rsidRPr="0075789D">
        <w:rPr>
          <w:lang w:val="es-419"/>
        </w:rPr>
        <w:t xml:space="preserve">(Informe elaborado por la Comisión Europea en estrecha colaboración con </w:t>
      </w:r>
      <w:r>
        <w:rPr>
          <w:lang w:val="es-419"/>
        </w:rPr>
        <w:br/>
      </w:r>
      <w:r w:rsidRPr="0075789D">
        <w:rPr>
          <w:lang w:val="es-419"/>
        </w:rPr>
        <w:t>la Oficina Comunitaria de Variedades Vegetales)</w:t>
      </w:r>
    </w:p>
    <w:p w:rsidR="00E70F71" w:rsidRPr="0075789D" w:rsidRDefault="00E70F71" w:rsidP="00E70F71">
      <w:pPr>
        <w:shd w:val="clear" w:color="auto" w:fill="FFFFFF"/>
        <w:jc w:val="center"/>
        <w:rPr>
          <w:rFonts w:cs="Arial"/>
          <w:lang w:val="es-419"/>
        </w:rPr>
      </w:pPr>
    </w:p>
    <w:p w:rsidR="00E70F71" w:rsidRPr="0075789D" w:rsidRDefault="00E70F71" w:rsidP="00E70F71">
      <w:pPr>
        <w:shd w:val="clear" w:color="auto" w:fill="FFFFFF"/>
        <w:jc w:val="center"/>
        <w:rPr>
          <w:rFonts w:cs="Arial"/>
          <w:lang w:val="es-419"/>
        </w:rPr>
      </w:pPr>
    </w:p>
    <w:p w:rsidR="00E70F71" w:rsidRPr="0075789D" w:rsidRDefault="00E70F71" w:rsidP="00E70F71">
      <w:pPr>
        <w:rPr>
          <w:lang w:val="es-419"/>
        </w:rPr>
      </w:pPr>
      <w:r w:rsidRPr="0075789D">
        <w:rPr>
          <w:lang w:val="es-419"/>
        </w:rPr>
        <w:t>PROTECCIÓN DE LAS OBTENCIONES VEGETALES</w:t>
      </w:r>
    </w:p>
    <w:p w:rsidR="00E70F71" w:rsidRPr="0075789D" w:rsidRDefault="00E70F71" w:rsidP="00E70F71">
      <w:pPr>
        <w:rPr>
          <w:lang w:val="es-419"/>
        </w:rPr>
      </w:pPr>
    </w:p>
    <w:p w:rsidR="00E70F71" w:rsidRPr="0075789D" w:rsidRDefault="00E70F71" w:rsidP="00E70F71">
      <w:pPr>
        <w:rPr>
          <w:rFonts w:cs="Calibri"/>
          <w:u w:val="single"/>
          <w:lang w:val="es-419"/>
        </w:rPr>
      </w:pPr>
      <w:r w:rsidRPr="0075789D">
        <w:rPr>
          <w:u w:val="single"/>
          <w:lang w:val="es-419"/>
        </w:rPr>
        <w:t>1)</w:t>
      </w:r>
      <w:r w:rsidRPr="0075789D">
        <w:rPr>
          <w:u w:val="single"/>
          <w:lang w:val="es-419"/>
        </w:rPr>
        <w:tab/>
        <w:t>Legislación</w:t>
      </w:r>
    </w:p>
    <w:p w:rsidR="00E70F71" w:rsidRPr="0075789D" w:rsidRDefault="00E70F71" w:rsidP="00E70F71">
      <w:pPr>
        <w:pStyle w:val="ListBullet"/>
        <w:numPr>
          <w:ilvl w:val="0"/>
          <w:numId w:val="0"/>
        </w:numPr>
        <w:tabs>
          <w:tab w:val="left" w:pos="720"/>
        </w:tabs>
        <w:spacing w:after="0"/>
        <w:ind w:firstLine="1"/>
        <w:rPr>
          <w:rFonts w:cs="Calibri"/>
          <w:lang w:val="es-419"/>
        </w:rPr>
      </w:pPr>
    </w:p>
    <w:p w:rsidR="00E70F71" w:rsidRPr="0075789D" w:rsidRDefault="00E70F71" w:rsidP="00E70F71">
      <w:pPr>
        <w:pStyle w:val="ListBullet"/>
        <w:numPr>
          <w:ilvl w:val="0"/>
          <w:numId w:val="0"/>
        </w:numPr>
        <w:tabs>
          <w:tab w:val="left" w:pos="720"/>
        </w:tabs>
        <w:spacing w:after="0"/>
        <w:ind w:firstLine="1"/>
        <w:rPr>
          <w:rFonts w:cs="Calibri"/>
          <w:u w:val="single"/>
          <w:lang w:val="es-419"/>
        </w:rPr>
      </w:pPr>
      <w:r w:rsidRPr="0075789D">
        <w:rPr>
          <w:u w:val="single"/>
          <w:lang w:val="es-419"/>
        </w:rPr>
        <w:t xml:space="preserve">General: </w:t>
      </w:r>
    </w:p>
    <w:p w:rsidR="00E70F71" w:rsidRPr="0075789D" w:rsidRDefault="00E70F71" w:rsidP="00E70F71">
      <w:pPr>
        <w:pStyle w:val="ListBullet"/>
        <w:numPr>
          <w:ilvl w:val="0"/>
          <w:numId w:val="0"/>
        </w:numPr>
        <w:tabs>
          <w:tab w:val="left" w:pos="720"/>
        </w:tabs>
        <w:spacing w:after="0"/>
        <w:ind w:firstLine="1"/>
        <w:rPr>
          <w:rFonts w:cs="Calibri"/>
          <w:lang w:val="es-419"/>
        </w:rPr>
      </w:pPr>
    </w:p>
    <w:p w:rsidR="00E70F71" w:rsidRPr="0075789D" w:rsidRDefault="00E70F71" w:rsidP="00E70F71">
      <w:pPr>
        <w:pStyle w:val="ListBullet"/>
        <w:numPr>
          <w:ilvl w:val="0"/>
          <w:numId w:val="0"/>
        </w:numPr>
        <w:tabs>
          <w:tab w:val="left" w:pos="720"/>
        </w:tabs>
        <w:spacing w:after="0"/>
        <w:ind w:firstLine="1"/>
        <w:rPr>
          <w:rFonts w:cs="Calibri"/>
          <w:lang w:val="es-419"/>
        </w:rPr>
      </w:pPr>
      <w:r w:rsidRPr="0075789D">
        <w:rPr>
          <w:lang w:val="es-419"/>
        </w:rPr>
        <w:t xml:space="preserve">Un estudio europeo, del que es coautora la Oficina de la Propiedad Intelectual de la Unión Europea (EUIPO), por medio del Observatorio Europeo de las Vulneraciones de los Derechos de Propiedad Intelectual y la Oficina Comunitaria de Variedades Vegetales (OCVV), investigó las repercusiones del sistema de protección comunitaria de las obtenciones vegetales (PCOV) sobre la economía de la Unión Europea (UE) y el medio ambiente. El estudio se publicó en abril de 2022. </w:t>
      </w:r>
    </w:p>
    <w:p w:rsidR="00E70F71" w:rsidRPr="0075789D" w:rsidRDefault="00E70F71" w:rsidP="00E70F71">
      <w:pPr>
        <w:pStyle w:val="ListBullet"/>
        <w:numPr>
          <w:ilvl w:val="0"/>
          <w:numId w:val="0"/>
        </w:numPr>
        <w:tabs>
          <w:tab w:val="left" w:pos="720"/>
        </w:tabs>
        <w:spacing w:after="0"/>
        <w:ind w:firstLine="1"/>
        <w:rPr>
          <w:rFonts w:cs="Calibri"/>
          <w:lang w:val="es-419"/>
        </w:rPr>
      </w:pPr>
    </w:p>
    <w:p w:rsidR="00E70F71" w:rsidRPr="0075789D" w:rsidRDefault="00E70F71" w:rsidP="00E70F71">
      <w:pPr>
        <w:pStyle w:val="ListBullet"/>
        <w:numPr>
          <w:ilvl w:val="0"/>
          <w:numId w:val="0"/>
        </w:numPr>
        <w:tabs>
          <w:tab w:val="left" w:pos="720"/>
        </w:tabs>
        <w:spacing w:after="0"/>
        <w:ind w:firstLine="1"/>
        <w:rPr>
          <w:rFonts w:cs="Calibri"/>
          <w:lang w:val="es-419"/>
        </w:rPr>
      </w:pPr>
      <w:r w:rsidRPr="0075789D">
        <w:rPr>
          <w:lang w:val="es-419"/>
        </w:rPr>
        <w:t>Sus principales conclusiones son las siguientes:</w:t>
      </w:r>
    </w:p>
    <w:p w:rsidR="00E70F71" w:rsidRPr="0075789D" w:rsidRDefault="00E70F71" w:rsidP="00E70F71">
      <w:pPr>
        <w:pStyle w:val="ListBullet"/>
        <w:numPr>
          <w:ilvl w:val="0"/>
          <w:numId w:val="0"/>
        </w:numPr>
        <w:tabs>
          <w:tab w:val="left" w:pos="720"/>
        </w:tabs>
        <w:spacing w:after="0"/>
        <w:ind w:firstLine="1"/>
        <w:rPr>
          <w:rFonts w:cs="Calibri"/>
          <w:lang w:val="es-419"/>
        </w:rPr>
      </w:pPr>
    </w:p>
    <w:p w:rsidR="00E70F71" w:rsidRPr="0075789D" w:rsidRDefault="00E70F71" w:rsidP="00E70F71">
      <w:pPr>
        <w:pStyle w:val="ListBullet"/>
        <w:numPr>
          <w:ilvl w:val="0"/>
          <w:numId w:val="35"/>
        </w:numPr>
        <w:tabs>
          <w:tab w:val="left" w:pos="284"/>
        </w:tabs>
        <w:spacing w:after="120"/>
        <w:ind w:left="284" w:hanging="296"/>
        <w:rPr>
          <w:rFonts w:cs="Calibri"/>
          <w:lang w:val="es-419"/>
        </w:rPr>
      </w:pPr>
      <w:r w:rsidRPr="0075789D">
        <w:rPr>
          <w:lang w:val="es-419"/>
        </w:rPr>
        <w:t>El sistema de protección comunitaria de las obtenciones vegetales (PCOV) contribuye a reducir las emisiones de gases de efecto invernadero (GEI) procedentes de la agricultura y la horticultura en 62 millones de toneladas anuales. Además, permite ahorrar más de 14 millones de metros cúbicos de agua en la agricultura y la horticultura.</w:t>
      </w:r>
    </w:p>
    <w:p w:rsidR="00E70F71" w:rsidRPr="0075789D" w:rsidRDefault="00E70F71" w:rsidP="00E70F71">
      <w:pPr>
        <w:pStyle w:val="ListBullet"/>
        <w:tabs>
          <w:tab w:val="left" w:pos="720"/>
        </w:tabs>
        <w:spacing w:after="120"/>
        <w:rPr>
          <w:rFonts w:cs="Calibri"/>
          <w:lang w:val="es-419"/>
        </w:rPr>
      </w:pPr>
      <w:r w:rsidRPr="0075789D">
        <w:rPr>
          <w:lang w:val="es-419"/>
        </w:rPr>
        <w:t>Si no existiera el sistema de PCOV, la producción de cultivos herbáceos en la UE sería un 6,4% menor, la producción de fruta, un 2,6% menor, la de verdura, un 4,7% menor y, por último, la producción de plantas ornamentales sería un 15,1% menor.</w:t>
      </w:r>
    </w:p>
    <w:p w:rsidR="00E70F71" w:rsidRPr="0075789D" w:rsidRDefault="00E70F71" w:rsidP="00E70F71">
      <w:pPr>
        <w:pStyle w:val="ListBullet"/>
        <w:tabs>
          <w:tab w:val="left" w:pos="720"/>
        </w:tabs>
        <w:spacing w:after="120"/>
        <w:rPr>
          <w:rFonts w:cs="Calibri"/>
          <w:lang w:val="es-419"/>
        </w:rPr>
      </w:pPr>
      <w:r w:rsidRPr="0075789D">
        <w:rPr>
          <w:lang w:val="es-419"/>
        </w:rPr>
        <w:t>Sin la producción suplementaria atribuida a los cultivos protegidos por los derechos de PCOV, la situación comercial de la UE respecto del resto del mundo se deterioraría y los consumidores de la UE se enfrentarían a un aumento del precio de los alimentos. La contribución suplementaria al PIB generada por los cultivos que se benefician de la PCOV equivale a 13.000 millones de euros.</w:t>
      </w:r>
    </w:p>
    <w:p w:rsidR="00E70F71" w:rsidRPr="0075789D" w:rsidRDefault="00E70F71" w:rsidP="00E70F71">
      <w:pPr>
        <w:pStyle w:val="ListBullet"/>
        <w:tabs>
          <w:tab w:val="left" w:pos="720"/>
        </w:tabs>
        <w:spacing w:after="120"/>
        <w:rPr>
          <w:rFonts w:cs="Calibri"/>
          <w:lang w:val="es-419"/>
        </w:rPr>
      </w:pPr>
      <w:r w:rsidRPr="0075789D">
        <w:rPr>
          <w:lang w:val="es-419"/>
        </w:rPr>
        <w:t>Los cultivos protegidos por derechos de PCOV generan empleo en la agricultura de la UE. En consecuencia, el sector de los cultivos herbáceos emplea a 25.000 trabajadores adicionales, el de la horticultura, 19.500 trabajadores más y el de las plantas ornamentales, 45.000, lo cual representa un incremento del empleo de cerca de 90.000 personas.</w:t>
      </w:r>
    </w:p>
    <w:p w:rsidR="00E70F71" w:rsidRPr="0075789D" w:rsidRDefault="00E70F71" w:rsidP="00E70F71">
      <w:pPr>
        <w:pStyle w:val="ListBullet"/>
        <w:tabs>
          <w:tab w:val="left" w:pos="720"/>
        </w:tabs>
        <w:spacing w:after="0"/>
        <w:rPr>
          <w:rFonts w:cs="Calibri"/>
          <w:lang w:val="es-419"/>
        </w:rPr>
      </w:pPr>
      <w:r w:rsidRPr="0075789D">
        <w:rPr>
          <w:lang w:val="es-419"/>
        </w:rPr>
        <w:t>Muchas de las empresas que protegen sus innovaciones con el sistema de PCOV son pequeñas y medianas empresas (pymes). Estas pequeñas empresas (así como personas físicas titulares de derechos de PCOV) representan más del 90% de los titulares de derechos de PCOV y son titulares del 60% de todos los derechos de PCOV en vigor actualmente.</w:t>
      </w:r>
    </w:p>
    <w:p w:rsidR="00E70F71" w:rsidRPr="0075789D" w:rsidRDefault="00E70F71" w:rsidP="00E70F71">
      <w:pPr>
        <w:pStyle w:val="ListBullet"/>
        <w:numPr>
          <w:ilvl w:val="0"/>
          <w:numId w:val="0"/>
        </w:numPr>
        <w:tabs>
          <w:tab w:val="left" w:pos="720"/>
        </w:tabs>
        <w:spacing w:after="0"/>
        <w:rPr>
          <w:rFonts w:cs="Calibri"/>
          <w:lang w:val="es-419"/>
        </w:rPr>
      </w:pPr>
    </w:p>
    <w:p w:rsidR="00E70F71" w:rsidRPr="0075789D" w:rsidRDefault="00E70F71" w:rsidP="00E70F71">
      <w:pPr>
        <w:pStyle w:val="ListBullet"/>
        <w:numPr>
          <w:ilvl w:val="0"/>
          <w:numId w:val="0"/>
        </w:numPr>
        <w:tabs>
          <w:tab w:val="left" w:pos="720"/>
        </w:tabs>
        <w:spacing w:after="0"/>
        <w:rPr>
          <w:rFonts w:cs="Calibri"/>
          <w:lang w:val="es-419"/>
        </w:rPr>
      </w:pPr>
      <w:r w:rsidRPr="0075789D">
        <w:rPr>
          <w:lang w:val="es-419"/>
        </w:rPr>
        <w:t>El estudio se presentó públicamente durante una conferencia sobre políticas organizado por la OCVV en Angers en abril de 2022, en la que participaron unas 150 personas. Las grabaciones de la conferencia pueden consultarse en línea en el sitio web de la OCVV.</w:t>
      </w:r>
    </w:p>
    <w:p w:rsidR="00E70F71" w:rsidRPr="0075789D" w:rsidRDefault="00E70F71" w:rsidP="00E70F71">
      <w:pPr>
        <w:pStyle w:val="ListBullet"/>
        <w:numPr>
          <w:ilvl w:val="0"/>
          <w:numId w:val="0"/>
        </w:numPr>
        <w:tabs>
          <w:tab w:val="left" w:pos="720"/>
        </w:tabs>
        <w:spacing w:after="0"/>
        <w:rPr>
          <w:rFonts w:cs="Calibri"/>
          <w:lang w:val="es-419"/>
        </w:rPr>
      </w:pPr>
    </w:p>
    <w:p w:rsidR="00E70F71" w:rsidRPr="0075789D" w:rsidRDefault="00E70F71" w:rsidP="00E70F71">
      <w:pPr>
        <w:pStyle w:val="ListBullet"/>
        <w:numPr>
          <w:ilvl w:val="0"/>
          <w:numId w:val="0"/>
        </w:numPr>
        <w:tabs>
          <w:tab w:val="left" w:pos="720"/>
        </w:tabs>
        <w:spacing w:after="0"/>
        <w:rPr>
          <w:rFonts w:cs="Calibri"/>
          <w:lang w:val="es-419"/>
        </w:rPr>
      </w:pPr>
      <w:r w:rsidRPr="0075789D">
        <w:rPr>
          <w:lang w:val="es-419"/>
        </w:rPr>
        <w:t>El estudio completo se ha publicado en inglés en el sitio web de la OCVV y el resumen está disponible en los 24 idiomas oficiales de la UE.</w:t>
      </w:r>
    </w:p>
    <w:p w:rsidR="00E70F71" w:rsidRPr="0075789D" w:rsidRDefault="00E70F71" w:rsidP="00E70F71">
      <w:pPr>
        <w:pStyle w:val="ListBullet"/>
        <w:numPr>
          <w:ilvl w:val="0"/>
          <w:numId w:val="0"/>
        </w:numPr>
        <w:tabs>
          <w:tab w:val="left" w:pos="720"/>
        </w:tabs>
        <w:spacing w:after="0"/>
        <w:rPr>
          <w:rFonts w:cs="Calibri"/>
          <w:lang w:val="es-419"/>
        </w:rPr>
      </w:pPr>
    </w:p>
    <w:p w:rsidR="00E70F71" w:rsidRPr="0075789D" w:rsidRDefault="00E70F71" w:rsidP="00E70F71">
      <w:pPr>
        <w:rPr>
          <w:rFonts w:cs="Calibri"/>
          <w:u w:val="single"/>
          <w:lang w:val="es-419"/>
        </w:rPr>
      </w:pPr>
      <w:r w:rsidRPr="0075789D">
        <w:rPr>
          <w:u w:val="single"/>
          <w:lang w:val="es-419"/>
        </w:rPr>
        <w:t xml:space="preserve">1.1 Modificaciones de la ley y de los reglamentos: </w:t>
      </w:r>
    </w:p>
    <w:p w:rsidR="00E70F71" w:rsidRPr="0075789D" w:rsidRDefault="00E70F71" w:rsidP="00E70F71">
      <w:pPr>
        <w:rPr>
          <w:rFonts w:cs="Calibri"/>
          <w:lang w:val="es-419"/>
        </w:rPr>
      </w:pPr>
    </w:p>
    <w:p w:rsidR="00E70F71" w:rsidRPr="0075789D" w:rsidRDefault="00E70F71" w:rsidP="00E70F71">
      <w:pPr>
        <w:rPr>
          <w:rFonts w:cs="Calibri"/>
          <w:u w:val="single"/>
          <w:lang w:val="es-419"/>
        </w:rPr>
      </w:pPr>
      <w:r w:rsidRPr="0075789D">
        <w:rPr>
          <w:lang w:val="es-419"/>
        </w:rPr>
        <w:t xml:space="preserve">Se ha publicado el Reglamento (UE) 2021/1873 del Parlamento Europeo y del Consejo por el que se amplía la duración de la protección comunitaria de las obtenciones vegetales para variedades de la especie </w:t>
      </w:r>
      <w:proofErr w:type="spellStart"/>
      <w:r w:rsidRPr="0075789D">
        <w:rPr>
          <w:i/>
          <w:iCs/>
          <w:lang w:val="es-419"/>
        </w:rPr>
        <w:t>Asparagus</w:t>
      </w:r>
      <w:proofErr w:type="spellEnd"/>
      <w:r w:rsidRPr="0075789D">
        <w:rPr>
          <w:i/>
          <w:iCs/>
          <w:lang w:val="es-419"/>
        </w:rPr>
        <w:t xml:space="preserve"> </w:t>
      </w:r>
      <w:proofErr w:type="spellStart"/>
      <w:r w:rsidRPr="0075789D">
        <w:rPr>
          <w:i/>
          <w:iCs/>
          <w:lang w:val="es-419"/>
        </w:rPr>
        <w:t>officinalis</w:t>
      </w:r>
      <w:proofErr w:type="spellEnd"/>
      <w:r w:rsidRPr="0075789D">
        <w:rPr>
          <w:lang w:val="es-419"/>
        </w:rPr>
        <w:t xml:space="preserve"> L. y de los grupos de especies de bulbos de flores, pequeños frutos de plantas leñosas y plantas ornamentales leñosas.</w:t>
      </w:r>
    </w:p>
    <w:p w:rsidR="00E70F71" w:rsidRPr="0075789D" w:rsidRDefault="00E70F71" w:rsidP="00E70F71">
      <w:pPr>
        <w:rPr>
          <w:rFonts w:cs="Calibri"/>
          <w:u w:val="single"/>
          <w:lang w:val="es-419"/>
        </w:rPr>
      </w:pPr>
    </w:p>
    <w:p w:rsidR="00E70F71" w:rsidRPr="0075789D" w:rsidRDefault="00E70F71" w:rsidP="00E70F71">
      <w:pPr>
        <w:keepNext/>
        <w:rPr>
          <w:rFonts w:cs="Calibri"/>
          <w:u w:val="single"/>
          <w:lang w:val="es-419"/>
        </w:rPr>
      </w:pPr>
      <w:r w:rsidRPr="0075789D">
        <w:rPr>
          <w:u w:val="single"/>
          <w:lang w:val="es-419"/>
        </w:rPr>
        <w:lastRenderedPageBreak/>
        <w:t xml:space="preserve">1.2 Jurisprudencia: </w:t>
      </w:r>
    </w:p>
    <w:p w:rsidR="00E70F71" w:rsidRPr="0075789D" w:rsidRDefault="00E70F71" w:rsidP="00E70F71">
      <w:pPr>
        <w:keepNext/>
        <w:rPr>
          <w:rFonts w:eastAsia="Cambria" w:cs="Calibri"/>
          <w:spacing w:val="-3"/>
          <w:sz w:val="18"/>
          <w:szCs w:val="18"/>
          <w:lang w:val="es-419"/>
        </w:rPr>
      </w:pPr>
    </w:p>
    <w:p w:rsidR="00E70F71" w:rsidRPr="0075789D" w:rsidRDefault="00E70F71" w:rsidP="00E70F71">
      <w:pPr>
        <w:keepNext/>
        <w:rPr>
          <w:rFonts w:eastAsia="Cambria" w:cs="Calibri"/>
          <w:i/>
          <w:spacing w:val="-3"/>
          <w:szCs w:val="18"/>
          <w:lang w:val="es-419"/>
        </w:rPr>
      </w:pPr>
      <w:r w:rsidRPr="0075789D">
        <w:rPr>
          <w:i/>
          <w:iCs/>
          <w:lang w:val="es-419"/>
        </w:rPr>
        <w:t xml:space="preserve">Resolución de la Sala de Recurso de la OCVV de 3 de noviembre de 2021 en </w:t>
      </w:r>
      <w:bookmarkStart w:id="2" w:name="_Hlk112678503"/>
      <w:r w:rsidRPr="0075789D">
        <w:rPr>
          <w:i/>
          <w:iCs/>
          <w:lang w:val="es-419"/>
        </w:rPr>
        <w:t>el asunto N.º A013/2020 “Red Queen”</w:t>
      </w:r>
    </w:p>
    <w:bookmarkEnd w:id="2"/>
    <w:p w:rsidR="00E70F71" w:rsidRPr="0075789D" w:rsidRDefault="00E70F71" w:rsidP="00E70F71">
      <w:pPr>
        <w:keepNext/>
        <w:rPr>
          <w:rFonts w:eastAsia="Calibri" w:cs="Calibri"/>
          <w:lang w:val="es-419"/>
        </w:rPr>
      </w:pPr>
    </w:p>
    <w:p w:rsidR="00E70F71" w:rsidRPr="0075789D" w:rsidRDefault="00E70F71" w:rsidP="00E70F71">
      <w:pPr>
        <w:rPr>
          <w:rFonts w:eastAsia="Calibri" w:cs="Calibri"/>
          <w:lang w:val="es-419"/>
        </w:rPr>
      </w:pPr>
      <w:r w:rsidRPr="0075789D">
        <w:rPr>
          <w:lang w:val="es-419"/>
        </w:rPr>
        <w:t xml:space="preserve">Mediante una resolución de 3 de noviembre de 2021, la Sala de Recurso estimó el recurso en cuestión y ordenó a la OCVV modificar la fecha de la solicitud de PCOV relativa a la variedad “Red Queen” de </w:t>
      </w:r>
      <w:proofErr w:type="spellStart"/>
      <w:r w:rsidRPr="0075789D">
        <w:rPr>
          <w:i/>
          <w:lang w:val="es-419"/>
        </w:rPr>
        <w:t>Actinidia</w:t>
      </w:r>
      <w:proofErr w:type="spellEnd"/>
      <w:r w:rsidRPr="0075789D">
        <w:rPr>
          <w:i/>
          <w:lang w:val="es-419"/>
        </w:rPr>
        <w:t xml:space="preserve"> </w:t>
      </w:r>
      <w:proofErr w:type="spellStart"/>
      <w:r w:rsidRPr="0075789D">
        <w:rPr>
          <w:i/>
          <w:lang w:val="es-419"/>
        </w:rPr>
        <w:t>chinensis</w:t>
      </w:r>
      <w:proofErr w:type="spellEnd"/>
      <w:r w:rsidRPr="0075789D">
        <w:rPr>
          <w:lang w:val="es-419"/>
        </w:rPr>
        <w:t xml:space="preserve"> </w:t>
      </w:r>
      <w:proofErr w:type="spellStart"/>
      <w:r w:rsidRPr="0075789D">
        <w:rPr>
          <w:lang w:val="es-419"/>
        </w:rPr>
        <w:t>Planch</w:t>
      </w:r>
      <w:proofErr w:type="spellEnd"/>
      <w:r w:rsidRPr="0075789D">
        <w:rPr>
          <w:lang w:val="es-419"/>
        </w:rPr>
        <w:t xml:space="preserve">. </w:t>
      </w:r>
    </w:p>
    <w:p w:rsidR="00E70F71" w:rsidRPr="0075789D" w:rsidRDefault="00E70F71" w:rsidP="00E70F71">
      <w:pPr>
        <w:rPr>
          <w:rFonts w:eastAsia="Calibri" w:cs="Calibri"/>
          <w:lang w:val="es-419"/>
        </w:rPr>
      </w:pPr>
    </w:p>
    <w:p w:rsidR="00E70F71" w:rsidRPr="0075789D" w:rsidRDefault="00E70F71" w:rsidP="00E70F71">
      <w:pPr>
        <w:rPr>
          <w:rFonts w:eastAsia="Calibri" w:cs="Calibri"/>
          <w:lang w:val="es-419"/>
        </w:rPr>
      </w:pPr>
      <w:r w:rsidRPr="0075789D">
        <w:rPr>
          <w:lang w:val="es-419"/>
        </w:rPr>
        <w:t>El recurrente presentó una solicitud de PCOV el 23 de febrero de 2019. Sin embargo, la OCVV inicialmente no asignó una fecha de solicitud debido a la falta de información (esto es, sobre los caracteres de agrupamiento) como consecuencia del uso de un cuestionario técnico incorrecto e invocando la letra f) del apartado 1 del artículo 50 del Reglamento (CE) 2100/1994 (reglamento de base, “BR”). La fecha de solicitud se asignó recién cuando se proporcionó dicha información técnica a la Oficina, el 11 de marzo de 2019.</w:t>
      </w:r>
    </w:p>
    <w:p w:rsidR="00E70F71" w:rsidRPr="0075789D" w:rsidRDefault="00E70F71" w:rsidP="00E70F71">
      <w:pPr>
        <w:rPr>
          <w:rFonts w:eastAsia="Calibri" w:cs="Calibri"/>
          <w:lang w:val="es-419"/>
        </w:rPr>
      </w:pPr>
    </w:p>
    <w:p w:rsidR="00E70F71" w:rsidRPr="0075789D" w:rsidRDefault="00E70F71" w:rsidP="00E70F71">
      <w:pPr>
        <w:rPr>
          <w:rFonts w:eastAsia="Calibri" w:cs="Calibri"/>
          <w:lang w:val="es-419"/>
        </w:rPr>
      </w:pPr>
      <w:r w:rsidRPr="0075789D">
        <w:rPr>
          <w:lang w:val="es-419"/>
        </w:rPr>
        <w:t xml:space="preserve">La Sala de Recurso puso de relieve que, conforme al artículo 51 del BR, la fecha de solicitud para una PCOV es la fecha en la que la Oficina recibe una solicitud válida, siempre que cumpla con lo dispuesto en el apartado 1 del artículo 50 del BR y a reserva del pago de la tasa de solicitud. </w:t>
      </w:r>
    </w:p>
    <w:p w:rsidR="00E70F71" w:rsidRPr="0075789D" w:rsidRDefault="00E70F71" w:rsidP="00E70F71">
      <w:pPr>
        <w:rPr>
          <w:rFonts w:eastAsia="Calibri" w:cs="Calibri"/>
          <w:lang w:val="es-419"/>
        </w:rPr>
      </w:pPr>
    </w:p>
    <w:p w:rsidR="00E70F71" w:rsidRPr="0075789D" w:rsidRDefault="00E70F71" w:rsidP="00E70F71">
      <w:pPr>
        <w:rPr>
          <w:rFonts w:cs="Calibri"/>
          <w:lang w:val="es-419"/>
        </w:rPr>
      </w:pPr>
      <w:r w:rsidRPr="0075789D">
        <w:rPr>
          <w:lang w:val="es-419"/>
        </w:rPr>
        <w:t>Con arreglo al apartado 2 del artículo 50 del BR, las precisiones relativas a las condiciones a las que se refiere el apartado del artículo 50 del BR, entre ellas la aportación de información adicional, se disponen en el artículo 19 del Reglamento (CE) N.º 874/2009 (reglamento de procedimiento, “PR”), referente, en especial, a “los caracteres de la variedad, incluido el nivel de expresión de determinados caracteres sobre la base del cuestionario técnico” (artículo 19, apartado 2, letra f) del PR).</w:t>
      </w:r>
    </w:p>
    <w:p w:rsidR="00E70F71" w:rsidRPr="0075789D" w:rsidRDefault="00E70F71" w:rsidP="00E70F71">
      <w:pPr>
        <w:rPr>
          <w:rFonts w:cs="Calibri"/>
          <w:lang w:val="es-419"/>
        </w:rPr>
      </w:pPr>
    </w:p>
    <w:p w:rsidR="00E70F71" w:rsidRPr="0075789D" w:rsidRDefault="00E70F71" w:rsidP="00E70F71">
      <w:pPr>
        <w:rPr>
          <w:rFonts w:cs="Calibri"/>
          <w:lang w:val="es-419"/>
        </w:rPr>
      </w:pPr>
      <w:r w:rsidRPr="0075789D">
        <w:rPr>
          <w:lang w:val="es-419"/>
        </w:rPr>
        <w:t xml:space="preserve">La Sala de Recurso explicó que el incumplimiento del párrafo 1 del artículo 50 del BR impide asignar una fecha de solicitud. Corresponde al caso en que una descripción técnica no se ha presentado o está incompleta, carece de alguna información fundamental u obligatoria, conforme al citado artículo 50, apartado 1, letra f) del BR. Por otra parte, no proporcionar la información mencionada en el párrafo 2 del artículo 50 del BR, incluso la de naturaleza técnica, no interfiere con esa fecha de la solicitud. </w:t>
      </w:r>
    </w:p>
    <w:p w:rsidR="00E70F71" w:rsidRPr="0075789D" w:rsidRDefault="00E70F71" w:rsidP="00E70F71">
      <w:pPr>
        <w:rPr>
          <w:rFonts w:cs="Calibri"/>
          <w:lang w:val="es-419"/>
        </w:rPr>
      </w:pPr>
    </w:p>
    <w:p w:rsidR="00E70F71" w:rsidRPr="0075789D" w:rsidRDefault="00E70F71" w:rsidP="00E70F71">
      <w:pPr>
        <w:rPr>
          <w:rFonts w:cs="Calibri"/>
          <w:lang w:val="es-419"/>
        </w:rPr>
      </w:pPr>
      <w:r w:rsidRPr="0075789D">
        <w:rPr>
          <w:lang w:val="es-419"/>
        </w:rPr>
        <w:t xml:space="preserve">Como la información facilitada en el asunto en cuestión se consideró suficiente, dado que permitió identificar la variedad, la Sala de Recurso estableció que debió aplicarse el párrafo 2 del artículo 50 del BR. En consecuencia, debió permitirse al recurrente mantener una fecha de solicitud más temprana. </w:t>
      </w:r>
    </w:p>
    <w:p w:rsidR="00E70F71" w:rsidRPr="0075789D" w:rsidRDefault="00E70F71" w:rsidP="00E70F71">
      <w:pPr>
        <w:rPr>
          <w:rFonts w:eastAsia="Calibri" w:cs="Calibri"/>
          <w:i/>
          <w:sz w:val="22"/>
          <w:lang w:val="es-419"/>
        </w:rPr>
      </w:pPr>
    </w:p>
    <w:p w:rsidR="00E70F71" w:rsidRPr="0075789D" w:rsidRDefault="00E70F71" w:rsidP="00E70F71">
      <w:pPr>
        <w:rPr>
          <w:rFonts w:eastAsia="Cambria" w:cs="Calibri"/>
          <w:i/>
          <w:spacing w:val="-3"/>
          <w:szCs w:val="18"/>
          <w:lang w:val="es-419"/>
        </w:rPr>
      </w:pPr>
      <w:r w:rsidRPr="0075789D">
        <w:rPr>
          <w:i/>
          <w:iCs/>
          <w:lang w:val="es-419"/>
        </w:rPr>
        <w:t>Resolución de la Sala de Recurso de la OCVV de 11 de enero de 2022 en el asunto A002/2021 “</w:t>
      </w:r>
      <w:proofErr w:type="spellStart"/>
      <w:r w:rsidRPr="0075789D">
        <w:rPr>
          <w:i/>
          <w:iCs/>
          <w:lang w:val="es-419"/>
        </w:rPr>
        <w:t>Cripps</w:t>
      </w:r>
      <w:proofErr w:type="spellEnd"/>
      <w:r w:rsidRPr="0075789D">
        <w:rPr>
          <w:i/>
          <w:iCs/>
          <w:lang w:val="es-419"/>
        </w:rPr>
        <w:t xml:space="preserve"> Pink”.</w:t>
      </w:r>
    </w:p>
    <w:p w:rsidR="00E70F71" w:rsidRPr="0075789D" w:rsidRDefault="00E70F71" w:rsidP="00E70F71">
      <w:pPr>
        <w:rPr>
          <w:rFonts w:eastAsia="Calibri" w:cs="Calibri"/>
          <w:i/>
          <w:sz w:val="22"/>
          <w:lang w:val="es-419"/>
        </w:rPr>
      </w:pPr>
    </w:p>
    <w:p w:rsidR="00E70F71" w:rsidRPr="0075789D" w:rsidRDefault="00E70F71" w:rsidP="00E70F71">
      <w:pPr>
        <w:rPr>
          <w:rFonts w:eastAsia="Calibri" w:cs="Calibri"/>
          <w:lang w:val="es-419"/>
        </w:rPr>
      </w:pPr>
      <w:r w:rsidRPr="0075789D">
        <w:rPr>
          <w:lang w:val="es-419"/>
        </w:rPr>
        <w:t>Mediante una resolución de 11 de enero de 2022, la Sala de Recurso rechazó el recurso por inadmisible e imputó los costos al recurrente. El 14 de septiembre de 2020, el recurrente presentó dos peticiones relativas a su PCOV para la variedad “</w:t>
      </w:r>
      <w:proofErr w:type="spellStart"/>
      <w:r w:rsidRPr="0075789D">
        <w:rPr>
          <w:lang w:val="es-419"/>
        </w:rPr>
        <w:t>Cripps</w:t>
      </w:r>
      <w:proofErr w:type="spellEnd"/>
      <w:r w:rsidRPr="0075789D">
        <w:rPr>
          <w:lang w:val="es-419"/>
        </w:rPr>
        <w:t xml:space="preserve"> Pink” de </w:t>
      </w:r>
      <w:proofErr w:type="spellStart"/>
      <w:r w:rsidRPr="0075789D">
        <w:rPr>
          <w:i/>
          <w:lang w:val="es-419"/>
        </w:rPr>
        <w:t>Malus</w:t>
      </w:r>
      <w:proofErr w:type="spellEnd"/>
      <w:r w:rsidRPr="0075789D">
        <w:rPr>
          <w:i/>
          <w:lang w:val="es-419"/>
        </w:rPr>
        <w:t xml:space="preserve"> domestica</w:t>
      </w:r>
      <w:r w:rsidRPr="0075789D">
        <w:rPr>
          <w:lang w:val="es-419"/>
        </w:rPr>
        <w:t xml:space="preserve"> </w:t>
      </w:r>
      <w:proofErr w:type="spellStart"/>
      <w:r w:rsidRPr="0075789D">
        <w:rPr>
          <w:lang w:val="es-419"/>
        </w:rPr>
        <w:t>Borkh</w:t>
      </w:r>
      <w:proofErr w:type="spellEnd"/>
      <w:r w:rsidRPr="0075789D">
        <w:rPr>
          <w:lang w:val="es-419"/>
        </w:rPr>
        <w:t xml:space="preserve">., en concreto: 1) modificar la fecha de primera comercialización, de 1 de enero de 1994 a 1 de julio de 1992; y 2) modificar la fecha de caducidad, de 1 de agosto de 2022 a 16 de junio de 2023. Estas peticiones se basaron en que considera que ambas fechas constituyen “errores evidentes”, del tipo de los referidos en el apartado 4 del artículo 53 del Reglamento (CE) 874/2009 de procedimiento ante la OCVV (“PR”). La OCVV corrigió la fecha de la primera comercialización que estaba mal transcrita, aunque mantuvo sin modificar la fecha de caducidad del derecho. </w:t>
      </w:r>
    </w:p>
    <w:p w:rsidR="00E70F71" w:rsidRPr="0075789D" w:rsidRDefault="00E70F71" w:rsidP="00E70F71">
      <w:pPr>
        <w:rPr>
          <w:rFonts w:eastAsia="Calibri" w:cs="Calibri"/>
          <w:lang w:val="es-419"/>
        </w:rPr>
      </w:pPr>
    </w:p>
    <w:p w:rsidR="00E70F71" w:rsidRPr="0075789D" w:rsidRDefault="00E70F71" w:rsidP="00E70F71">
      <w:pPr>
        <w:rPr>
          <w:rFonts w:eastAsia="Calibri" w:cs="Calibri"/>
          <w:lang w:val="es-419"/>
        </w:rPr>
      </w:pPr>
      <w:r w:rsidRPr="0075789D">
        <w:rPr>
          <w:lang w:val="es-419"/>
        </w:rPr>
        <w:t>El recurrente afirmó que, ya en noviembre de 2020, presentó nuevos elementos relativos a la fecha de la primera comercialización, los cuales justifican que vuelva a examinarse la resolución de la OCVV según la cual no se ha de corregir la fecha de caducidad de la PCOV, al amparo del artículo 53, apartado 4, del PR. Además, argumentó que el artículo 67, apartado 1, del Reglamento (CE) 2100/1994 (“BR”) debía haberse interpretado como abarcador de las resoluciones recurribles, no solo de la entrada original en el registro, sino de la resolución de la OCVV por la que rehúsa corregir una entrada en el registro.</w:t>
      </w:r>
    </w:p>
    <w:p w:rsidR="00E70F71" w:rsidRPr="0075789D" w:rsidRDefault="00E70F71" w:rsidP="00E70F71">
      <w:pPr>
        <w:rPr>
          <w:rFonts w:eastAsia="Calibri" w:cs="Calibri"/>
          <w:lang w:val="es-419"/>
        </w:rPr>
      </w:pPr>
    </w:p>
    <w:p w:rsidR="00E70F71" w:rsidRPr="0075789D" w:rsidRDefault="00E70F71" w:rsidP="00E70F71">
      <w:pPr>
        <w:rPr>
          <w:rFonts w:eastAsia="Calibri" w:cs="Calibri"/>
          <w:lang w:val="es-419"/>
        </w:rPr>
      </w:pPr>
      <w:r w:rsidRPr="0075789D">
        <w:rPr>
          <w:lang w:val="es-419"/>
        </w:rPr>
        <w:t>La Sala de Recurso estableció que el apelante no había presentado nuevos hechos fundamentales, dado que la fecha de la primera comercialización era conocida desde 1996. Además, la corrección de esa fecha no afectó la fecha de caducidad de la PCOV. Tal afirmación no corresponde a un error de forma evidente, el cual puede corregirse conforme al apartado 4 del artículo 53 del PR, y pudo tomarse como argumento para eludir el plazo de recurso de las resoluciones de la OCVV (en el caso que nos ocupa, la resolución de concesión). La Sala de Recurso también recordó que el rechazo de una petición de corrección de la entrada en el registro no es una resolución sujeta a recurso en virtud de lo dispuesto en el artículo 67, apartado 1, del BR.</w:t>
      </w:r>
    </w:p>
    <w:p w:rsidR="00E70F71" w:rsidRPr="0075789D" w:rsidRDefault="00E70F71" w:rsidP="00E70F71">
      <w:pPr>
        <w:rPr>
          <w:rFonts w:eastAsia="Calibri" w:cs="Calibri"/>
          <w:lang w:val="es-419"/>
        </w:rPr>
      </w:pPr>
    </w:p>
    <w:p w:rsidR="00E70F71" w:rsidRPr="0075789D" w:rsidRDefault="00E70F71" w:rsidP="00E70F71">
      <w:pPr>
        <w:keepNext/>
        <w:rPr>
          <w:rFonts w:eastAsia="Cambria" w:cs="Calibri"/>
          <w:i/>
          <w:spacing w:val="-3"/>
          <w:szCs w:val="18"/>
          <w:lang w:val="es-419"/>
        </w:rPr>
      </w:pPr>
      <w:r w:rsidRPr="0075789D">
        <w:rPr>
          <w:i/>
          <w:iCs/>
          <w:lang w:val="es-419"/>
        </w:rPr>
        <w:lastRenderedPageBreak/>
        <w:t>Resolución de la Sala de Recurso de la OCVV de 1 de julio de 2022 en el asunto N.º A018/2021 “SK20”.</w:t>
      </w:r>
    </w:p>
    <w:p w:rsidR="00E70F71" w:rsidRPr="0075789D" w:rsidRDefault="00E70F71" w:rsidP="00E70F71">
      <w:pPr>
        <w:keepNext/>
        <w:rPr>
          <w:rFonts w:eastAsia="Calibri" w:cs="Calibri"/>
          <w:lang w:val="es-419"/>
        </w:rPr>
      </w:pPr>
    </w:p>
    <w:p w:rsidR="00E70F71" w:rsidRPr="0075789D" w:rsidRDefault="00E70F71" w:rsidP="00E70F71">
      <w:pPr>
        <w:rPr>
          <w:rFonts w:cs="Calibri"/>
          <w:lang w:val="es-419"/>
        </w:rPr>
      </w:pPr>
      <w:r w:rsidRPr="0075789D">
        <w:rPr>
          <w:lang w:val="es-419"/>
        </w:rPr>
        <w:t xml:space="preserve">Mediante una resolución de 1 de julio de 2022, la Sala de Recurso rechazó el recurso por inadmisible e imputó los costos al recurrente. Se concedió al recurrente un derecho sobre la variedad “SK20” de </w:t>
      </w:r>
      <w:proofErr w:type="spellStart"/>
      <w:r w:rsidRPr="0075789D">
        <w:rPr>
          <w:i/>
          <w:iCs/>
          <w:lang w:val="es-419"/>
        </w:rPr>
        <w:t>Allium</w:t>
      </w:r>
      <w:proofErr w:type="spellEnd"/>
      <w:r w:rsidRPr="0075789D">
        <w:rPr>
          <w:i/>
          <w:iCs/>
          <w:lang w:val="es-419"/>
        </w:rPr>
        <w:t xml:space="preserve"> cepa</w:t>
      </w:r>
      <w:r w:rsidRPr="0075789D">
        <w:rPr>
          <w:lang w:val="es-419"/>
        </w:rPr>
        <w:t xml:space="preserve">, teniendo en cuenta varios caracteres morfológicos. El recurrente pidió incluir un carácter adicional en la descripción de la variedad. La Oficina rechazó la petición, porque ya se había determinado que la variedad se distinguía de las notoriamente conocidas. </w:t>
      </w:r>
    </w:p>
    <w:p w:rsidR="00E70F71" w:rsidRPr="0075789D" w:rsidRDefault="00E70F71" w:rsidP="00E70F71">
      <w:pPr>
        <w:rPr>
          <w:rFonts w:cs="Calibri"/>
          <w:lang w:val="es-419"/>
        </w:rPr>
      </w:pPr>
    </w:p>
    <w:p w:rsidR="00E70F71" w:rsidRPr="0075789D" w:rsidRDefault="00E70F71" w:rsidP="00E70F71">
      <w:pPr>
        <w:rPr>
          <w:rFonts w:cs="Calibri"/>
          <w:lang w:val="es-419"/>
        </w:rPr>
      </w:pPr>
      <w:r w:rsidRPr="0075789D">
        <w:rPr>
          <w:lang w:val="es-419"/>
        </w:rPr>
        <w:t xml:space="preserve">La Sala de Recurso estableció que, dado que el derecho en cuestión se concedió, el recurrente no cumple los requisitos de “parte perdedora” de un derecho, cuyo interés se ha visto perjudicado por la resolución de la OCVV de no incluir el carácter adicional según se ha solicitado. En consecuencia, el recurso se consideró inadmisible en virtud del artículo 49, apartado 1 del Reglamento (CE) N.º 874/2009 junto con el artículo 81 del Reglamento (CE) 2100/1994. </w:t>
      </w:r>
    </w:p>
    <w:p w:rsidR="00E70F71" w:rsidRPr="0075789D" w:rsidRDefault="00E70F71" w:rsidP="00E70F71">
      <w:pPr>
        <w:rPr>
          <w:rFonts w:cs="Calibri"/>
          <w:lang w:val="es-419"/>
        </w:rPr>
      </w:pPr>
    </w:p>
    <w:p w:rsidR="00E70F71" w:rsidRPr="0075789D" w:rsidRDefault="00E70F71" w:rsidP="00E70F71">
      <w:pPr>
        <w:rPr>
          <w:rFonts w:cs="Calibri"/>
          <w:lang w:val="es-419"/>
        </w:rPr>
      </w:pPr>
      <w:r w:rsidRPr="0075789D">
        <w:rPr>
          <w:lang w:val="es-419"/>
        </w:rPr>
        <w:t xml:space="preserve">En lo que se refiere a la base jurídica, la Sala de Recurso confirmó que es posible añadir caracteres adicionales, a discreción del presidente de la OCVV, en aquellos casos en que no sea posible establecer la distinción a partir de los caracteres incluidos en el protocolo técnico aplicable, según argumentó la OCVV. En este caso, no era necesario un carácter adicional para determinar la distinción de la variedad. </w:t>
      </w:r>
    </w:p>
    <w:p w:rsidR="00E70F71" w:rsidRPr="0075789D" w:rsidRDefault="00E70F71" w:rsidP="00E70F71">
      <w:pPr>
        <w:rPr>
          <w:rFonts w:cs="Calibri"/>
          <w:lang w:val="es-419"/>
        </w:rPr>
      </w:pPr>
    </w:p>
    <w:p w:rsidR="00E70F71" w:rsidRPr="0075789D" w:rsidRDefault="00E70F71" w:rsidP="00E70F71">
      <w:pPr>
        <w:rPr>
          <w:rFonts w:cs="Calibri"/>
          <w:u w:val="single"/>
          <w:lang w:val="es-419"/>
        </w:rPr>
      </w:pPr>
      <w:r w:rsidRPr="0075789D">
        <w:rPr>
          <w:u w:val="single"/>
          <w:lang w:val="es-419"/>
        </w:rPr>
        <w:t>2)</w:t>
      </w:r>
      <w:r w:rsidRPr="0075789D">
        <w:rPr>
          <w:u w:val="single"/>
          <w:lang w:val="es-419"/>
        </w:rPr>
        <w:tab/>
        <w:t xml:space="preserve">Cooperación en el examen </w:t>
      </w:r>
    </w:p>
    <w:p w:rsidR="00E70F71" w:rsidRPr="0075789D" w:rsidRDefault="00E70F71" w:rsidP="00E70F71">
      <w:pPr>
        <w:rPr>
          <w:lang w:val="es-419"/>
        </w:rPr>
      </w:pPr>
    </w:p>
    <w:p w:rsidR="00E70F71" w:rsidRPr="0075789D" w:rsidRDefault="00E70F71" w:rsidP="00E70F71">
      <w:pPr>
        <w:rPr>
          <w:rFonts w:cs="Calibri"/>
          <w:lang w:val="es-419"/>
        </w:rPr>
      </w:pPr>
      <w:r w:rsidRPr="0075789D">
        <w:rPr>
          <w:lang w:val="es-419"/>
        </w:rPr>
        <w:t>No hay novedades reseñables.</w:t>
      </w:r>
    </w:p>
    <w:p w:rsidR="00E70F71" w:rsidRPr="0075789D" w:rsidRDefault="00E70F71" w:rsidP="00E70F71">
      <w:pPr>
        <w:rPr>
          <w:rFonts w:cs="Calibri"/>
          <w:lang w:val="es-419"/>
        </w:rPr>
      </w:pPr>
    </w:p>
    <w:p w:rsidR="00E70F71" w:rsidRPr="0075789D" w:rsidRDefault="00E70F71" w:rsidP="00E70F71">
      <w:pPr>
        <w:rPr>
          <w:rFonts w:cs="Calibri"/>
          <w:u w:val="single"/>
          <w:lang w:val="es-419"/>
        </w:rPr>
      </w:pPr>
    </w:p>
    <w:p w:rsidR="00E70F71" w:rsidRPr="0075789D" w:rsidRDefault="00E70F71" w:rsidP="00E70F71">
      <w:pPr>
        <w:rPr>
          <w:rFonts w:cs="Calibri"/>
          <w:u w:val="single"/>
          <w:lang w:val="es-419"/>
        </w:rPr>
      </w:pPr>
      <w:r w:rsidRPr="0075789D">
        <w:rPr>
          <w:u w:val="single"/>
          <w:lang w:val="es-419"/>
        </w:rPr>
        <w:t>3)</w:t>
      </w:r>
      <w:r w:rsidRPr="0075789D">
        <w:rPr>
          <w:u w:val="single"/>
          <w:lang w:val="es-419"/>
        </w:rPr>
        <w:tab/>
        <w:t>Situación en el ámbito administrativo</w:t>
      </w:r>
    </w:p>
    <w:p w:rsidR="00E70F71" w:rsidRPr="0075789D" w:rsidRDefault="00E70F71" w:rsidP="00E70F71">
      <w:pPr>
        <w:autoSpaceDE w:val="0"/>
        <w:autoSpaceDN w:val="0"/>
        <w:adjustRightInd w:val="0"/>
        <w:rPr>
          <w:rFonts w:cs="Calibri"/>
          <w:lang w:val="es-419"/>
        </w:rPr>
      </w:pPr>
    </w:p>
    <w:p w:rsidR="00E70F71" w:rsidRPr="0075789D" w:rsidRDefault="00E70F71" w:rsidP="00E70F71">
      <w:pPr>
        <w:rPr>
          <w:rFonts w:cs="Calibri"/>
          <w:lang w:val="es-419"/>
        </w:rPr>
      </w:pPr>
      <w:r w:rsidRPr="0075789D">
        <w:rPr>
          <w:lang w:val="es-419"/>
        </w:rPr>
        <w:t>No hay novedades reseñables.</w:t>
      </w:r>
    </w:p>
    <w:p w:rsidR="00E70F71" w:rsidRPr="0075789D" w:rsidRDefault="00E70F71" w:rsidP="00E70F71">
      <w:pPr>
        <w:rPr>
          <w:rFonts w:cs="Calibri"/>
          <w:lang w:val="es-419"/>
        </w:rPr>
      </w:pPr>
    </w:p>
    <w:p w:rsidR="00E70F71" w:rsidRPr="0075789D" w:rsidRDefault="00E70F71" w:rsidP="00E70F71">
      <w:pPr>
        <w:rPr>
          <w:rFonts w:cs="Calibri"/>
          <w:lang w:val="es-419"/>
        </w:rPr>
      </w:pPr>
    </w:p>
    <w:p w:rsidR="00E70F71" w:rsidRPr="0075789D" w:rsidRDefault="00E70F71" w:rsidP="00E70F71">
      <w:pPr>
        <w:rPr>
          <w:rFonts w:cs="Calibri"/>
          <w:lang w:val="es-419"/>
        </w:rPr>
      </w:pPr>
      <w:r w:rsidRPr="0075789D">
        <w:rPr>
          <w:u w:val="single"/>
          <w:lang w:val="es-419"/>
        </w:rPr>
        <w:t>4)</w:t>
      </w:r>
      <w:r w:rsidRPr="0075789D">
        <w:rPr>
          <w:u w:val="single"/>
          <w:lang w:val="es-419"/>
        </w:rPr>
        <w:tab/>
        <w:t>Situación en el ámbito técnico</w:t>
      </w:r>
    </w:p>
    <w:p w:rsidR="00E70F71" w:rsidRPr="0075789D" w:rsidRDefault="00E70F71" w:rsidP="00E70F71">
      <w:pPr>
        <w:rPr>
          <w:rFonts w:cs="Calibri"/>
          <w:lang w:val="es-419"/>
        </w:rPr>
      </w:pPr>
    </w:p>
    <w:p w:rsidR="00E70F71" w:rsidRPr="0075789D" w:rsidRDefault="00E70F71" w:rsidP="00E70F71">
      <w:pPr>
        <w:rPr>
          <w:rFonts w:cs="Calibri"/>
          <w:u w:val="single"/>
          <w:lang w:val="es-419"/>
        </w:rPr>
      </w:pPr>
      <w:r w:rsidRPr="0075789D">
        <w:rPr>
          <w:u w:val="single"/>
          <w:lang w:val="es-419"/>
        </w:rPr>
        <w:t>4.1</w:t>
      </w:r>
      <w:r w:rsidRPr="0075789D">
        <w:rPr>
          <w:u w:val="single"/>
          <w:lang w:val="es-419"/>
        </w:rPr>
        <w:tab/>
        <w:t xml:space="preserve">Información sobre el funcionamiento de la protección de las obtenciones vegetales en la Unión Europea </w:t>
      </w:r>
    </w:p>
    <w:p w:rsidR="00E70F71" w:rsidRPr="0075789D" w:rsidRDefault="00E70F71" w:rsidP="00E70F71">
      <w:pPr>
        <w:rPr>
          <w:rFonts w:cs="Calibri"/>
          <w:u w:val="single"/>
          <w:lang w:val="es-419"/>
        </w:rPr>
      </w:pPr>
    </w:p>
    <w:p w:rsidR="00E70F71" w:rsidRPr="0075789D" w:rsidRDefault="00E70F71" w:rsidP="00E70F71">
      <w:pPr>
        <w:rPr>
          <w:rFonts w:cs="Calibri"/>
          <w:bCs/>
          <w:u w:val="single"/>
          <w:lang w:val="es-419"/>
        </w:rPr>
      </w:pPr>
      <w:r w:rsidRPr="0075789D">
        <w:rPr>
          <w:u w:val="single"/>
          <w:lang w:val="es-419"/>
        </w:rPr>
        <w:t>a. Relación con las oficinas de examen</w:t>
      </w:r>
    </w:p>
    <w:p w:rsidR="00E70F71" w:rsidRPr="0075789D" w:rsidRDefault="00E70F71" w:rsidP="00E70F71">
      <w:pPr>
        <w:rPr>
          <w:lang w:val="es-419"/>
        </w:rPr>
      </w:pPr>
    </w:p>
    <w:p w:rsidR="00E70F71" w:rsidRPr="0075789D" w:rsidRDefault="00E70F71" w:rsidP="00E70F71">
      <w:pPr>
        <w:rPr>
          <w:lang w:val="es-419"/>
        </w:rPr>
      </w:pPr>
      <w:r w:rsidRPr="0075789D">
        <w:rPr>
          <w:lang w:val="es-419"/>
        </w:rPr>
        <w:t>En diciembre de 2021, se celebró la 25.ª reunión anual de la OCVV con sus oficinas de examen, a la que también asistieron representantes de la Comisión Europea, la Oficina de la UPOV y las organizaciones de obtentores (CIOPORA,</w:t>
      </w:r>
      <w:r w:rsidRPr="0075789D">
        <w:rPr>
          <w:i/>
          <w:iCs/>
          <w:lang w:val="es-419"/>
        </w:rPr>
        <w:t xml:space="preserve"> </w:t>
      </w:r>
      <w:proofErr w:type="spellStart"/>
      <w:r w:rsidRPr="0075789D">
        <w:rPr>
          <w:i/>
          <w:iCs/>
          <w:lang w:val="es-419"/>
        </w:rPr>
        <w:t>Euroseed</w:t>
      </w:r>
      <w:proofErr w:type="spellEnd"/>
      <w:r w:rsidRPr="0075789D">
        <w:rPr>
          <w:i/>
          <w:iCs/>
          <w:lang w:val="es-419"/>
        </w:rPr>
        <w:t xml:space="preserve">, </w:t>
      </w:r>
      <w:proofErr w:type="spellStart"/>
      <w:r w:rsidRPr="0075789D">
        <w:rPr>
          <w:i/>
          <w:iCs/>
          <w:lang w:val="es-419"/>
        </w:rPr>
        <w:t>Plantum</w:t>
      </w:r>
      <w:proofErr w:type="spellEnd"/>
      <w:r w:rsidRPr="0075789D">
        <w:rPr>
          <w:lang w:val="es-419"/>
        </w:rPr>
        <w:t xml:space="preserve"> y ECO-PB), así como representantes de Suiza y Noruega en calidad de oficinas de protección de las obtenciones vegetales ajenas a la Unión. La reunión se celebró por videoconferencia. Los principales temas tratados fueron los siguientes:</w:t>
      </w:r>
    </w:p>
    <w:p w:rsidR="00E70F71" w:rsidRPr="0075789D" w:rsidRDefault="00E70F71" w:rsidP="00E70F71">
      <w:pPr>
        <w:rPr>
          <w:lang w:val="es-419"/>
        </w:rPr>
      </w:pPr>
    </w:p>
    <w:p w:rsidR="00E70F71" w:rsidRPr="0075789D" w:rsidRDefault="00E70F71" w:rsidP="00E70F71">
      <w:pPr>
        <w:numPr>
          <w:ilvl w:val="0"/>
          <w:numId w:val="34"/>
        </w:numPr>
        <w:ind w:right="4"/>
        <w:rPr>
          <w:rFonts w:cs="Calibri"/>
          <w:lang w:val="es-419"/>
        </w:rPr>
      </w:pPr>
      <w:r w:rsidRPr="0075789D">
        <w:rPr>
          <w:lang w:val="es-419"/>
        </w:rPr>
        <w:t>Presentación de material vegetal para los ensayos DHE;</w:t>
      </w:r>
    </w:p>
    <w:p w:rsidR="00E70F71" w:rsidRPr="0075789D" w:rsidRDefault="00E70F71" w:rsidP="00E70F71">
      <w:pPr>
        <w:numPr>
          <w:ilvl w:val="0"/>
          <w:numId w:val="34"/>
        </w:numPr>
        <w:ind w:right="4"/>
        <w:rPr>
          <w:rFonts w:cs="Calibri"/>
          <w:lang w:val="es-419"/>
        </w:rPr>
      </w:pPr>
      <w:r w:rsidRPr="0075789D">
        <w:rPr>
          <w:lang w:val="es-419"/>
        </w:rPr>
        <w:t>Caracteres adicionales y el correspondiente proceso de decisión;</w:t>
      </w:r>
    </w:p>
    <w:p w:rsidR="00E70F71" w:rsidRPr="0075789D" w:rsidRDefault="00E70F71" w:rsidP="00E70F71">
      <w:pPr>
        <w:numPr>
          <w:ilvl w:val="0"/>
          <w:numId w:val="34"/>
        </w:numPr>
        <w:ind w:right="4"/>
        <w:rPr>
          <w:rFonts w:cs="Calibri"/>
          <w:lang w:val="es-419"/>
        </w:rPr>
      </w:pPr>
      <w:r w:rsidRPr="0075789D">
        <w:rPr>
          <w:lang w:val="es-419"/>
        </w:rPr>
        <w:t>Contenido y formato de los informes de examen;</w:t>
      </w:r>
    </w:p>
    <w:p w:rsidR="00E70F71" w:rsidRPr="0075789D" w:rsidRDefault="00E70F71" w:rsidP="00E70F71">
      <w:pPr>
        <w:numPr>
          <w:ilvl w:val="0"/>
          <w:numId w:val="34"/>
        </w:numPr>
        <w:ind w:right="4"/>
        <w:rPr>
          <w:rFonts w:cs="Calibri"/>
          <w:lang w:val="es-419"/>
        </w:rPr>
      </w:pPr>
      <w:r w:rsidRPr="0075789D">
        <w:rPr>
          <w:lang w:val="es-419"/>
        </w:rPr>
        <w:t>Notificación de caracteres de agrupamiento no incluidos en los protocolos técnicos</w:t>
      </w:r>
    </w:p>
    <w:p w:rsidR="00E70F71" w:rsidRPr="0075789D" w:rsidRDefault="00E70F71" w:rsidP="00E70F71">
      <w:pPr>
        <w:numPr>
          <w:ilvl w:val="0"/>
          <w:numId w:val="34"/>
        </w:numPr>
        <w:ind w:right="4"/>
        <w:rPr>
          <w:rFonts w:cs="Calibri"/>
          <w:lang w:val="es-419"/>
        </w:rPr>
      </w:pPr>
      <w:r w:rsidRPr="0075789D">
        <w:rPr>
          <w:lang w:val="es-419"/>
        </w:rPr>
        <w:t>La asunción de los informes de los procedimientos nacionales de examen DHE;</w:t>
      </w:r>
    </w:p>
    <w:p w:rsidR="00E70F71" w:rsidRPr="0075789D" w:rsidRDefault="00E70F71" w:rsidP="00E70F71">
      <w:pPr>
        <w:numPr>
          <w:ilvl w:val="0"/>
          <w:numId w:val="34"/>
        </w:numPr>
        <w:ind w:right="4"/>
        <w:rPr>
          <w:rFonts w:cs="Calibri"/>
          <w:lang w:val="es-419"/>
        </w:rPr>
      </w:pPr>
      <w:r w:rsidRPr="0075789D">
        <w:rPr>
          <w:lang w:val="es-419"/>
        </w:rPr>
        <w:t>Prolongación del período de protección para determinadas especies;</w:t>
      </w:r>
    </w:p>
    <w:p w:rsidR="00E70F71" w:rsidRPr="0075789D" w:rsidRDefault="00E70F71" w:rsidP="00E70F71">
      <w:pPr>
        <w:numPr>
          <w:ilvl w:val="0"/>
          <w:numId w:val="34"/>
        </w:numPr>
        <w:ind w:right="4"/>
        <w:rPr>
          <w:rFonts w:cs="Calibri"/>
          <w:lang w:val="es-419"/>
        </w:rPr>
      </w:pPr>
      <w:r w:rsidRPr="0075789D">
        <w:rPr>
          <w:lang w:val="es-419"/>
        </w:rPr>
        <w:t>Requisitos de acreditación revisados.</w:t>
      </w:r>
    </w:p>
    <w:p w:rsidR="00E70F71" w:rsidRPr="0075789D" w:rsidRDefault="00E70F71" w:rsidP="00E70F71">
      <w:pPr>
        <w:shd w:val="clear" w:color="auto" w:fill="FFFFFF"/>
        <w:tabs>
          <w:tab w:val="left" w:pos="567"/>
          <w:tab w:val="left" w:pos="9072"/>
          <w:tab w:val="left" w:pos="9214"/>
        </w:tabs>
        <w:rPr>
          <w:rFonts w:cs="Calibri"/>
          <w:lang w:val="es-419"/>
        </w:rPr>
      </w:pPr>
    </w:p>
    <w:p w:rsidR="00E70F71" w:rsidRPr="0075789D" w:rsidRDefault="00E70F71" w:rsidP="00E70F71">
      <w:pPr>
        <w:shd w:val="clear" w:color="auto" w:fill="FFFFFF"/>
        <w:tabs>
          <w:tab w:val="left" w:pos="567"/>
          <w:tab w:val="left" w:pos="9072"/>
          <w:tab w:val="left" w:pos="9214"/>
        </w:tabs>
        <w:rPr>
          <w:rFonts w:cs="Calibri"/>
          <w:lang w:val="es-419"/>
        </w:rPr>
      </w:pPr>
      <w:r w:rsidRPr="0075789D">
        <w:rPr>
          <w:lang w:val="es-419"/>
        </w:rPr>
        <w:t>Además, se informó a los participantes de la situación de los proyectos de I+D, los proyectos informáticos y el cálculo de los costos por parte de las oficinas de examen</w:t>
      </w:r>
    </w:p>
    <w:p w:rsidR="00E70F71" w:rsidRPr="0075789D" w:rsidRDefault="00E70F71" w:rsidP="00E70F71">
      <w:pPr>
        <w:shd w:val="clear" w:color="auto" w:fill="FFFFFF"/>
        <w:tabs>
          <w:tab w:val="left" w:pos="567"/>
          <w:tab w:val="left" w:pos="9072"/>
          <w:tab w:val="left" w:pos="9214"/>
        </w:tabs>
        <w:rPr>
          <w:rFonts w:cs="Calibri"/>
          <w:lang w:val="es-419"/>
        </w:rPr>
      </w:pPr>
    </w:p>
    <w:p w:rsidR="00E70F71" w:rsidRPr="0075789D" w:rsidRDefault="00E70F71" w:rsidP="00E70F71">
      <w:pPr>
        <w:rPr>
          <w:rFonts w:cs="Calibri"/>
          <w:u w:val="single"/>
          <w:lang w:val="es-419"/>
        </w:rPr>
      </w:pPr>
      <w:r w:rsidRPr="0075789D">
        <w:rPr>
          <w:u w:val="single"/>
          <w:lang w:val="es-419"/>
        </w:rPr>
        <w:t>b. Preparación de los protocolos de la OCVV</w:t>
      </w:r>
    </w:p>
    <w:p w:rsidR="00E70F71" w:rsidRPr="0075789D" w:rsidRDefault="00E70F71" w:rsidP="00E70F71">
      <w:pPr>
        <w:ind w:right="43"/>
        <w:rPr>
          <w:rFonts w:cs="Calibri"/>
          <w:lang w:val="es-419"/>
        </w:rPr>
      </w:pPr>
    </w:p>
    <w:p w:rsidR="00E70F71" w:rsidRPr="0075789D" w:rsidRDefault="00E70F71" w:rsidP="00E70F71">
      <w:pPr>
        <w:ind w:right="43"/>
        <w:rPr>
          <w:rFonts w:cs="Calibri"/>
          <w:lang w:val="es-419"/>
        </w:rPr>
      </w:pPr>
      <w:r w:rsidRPr="0075789D">
        <w:rPr>
          <w:lang w:val="es-419"/>
        </w:rPr>
        <w:t>En 2021, se invitó a los expertos de las oficinas de examen de los Estados miembros de la Unión Europea a participar en la elaboración o la revisión de los protocolos técnicos para el examen DHE que posteriormente el Consejo de Administración ha aprobado o se prevé que apruebe en 2022. Se celebraron reuniones de expertos para examinar los protocolos técnicos correspondientes a las siguientes especies:</w:t>
      </w:r>
    </w:p>
    <w:p w:rsidR="00E70F71" w:rsidRPr="0075789D" w:rsidRDefault="00E70F71" w:rsidP="00E70F71">
      <w:pPr>
        <w:ind w:right="43"/>
        <w:rPr>
          <w:rFonts w:cs="Calibri"/>
          <w:lang w:val="es-419"/>
        </w:rPr>
      </w:pPr>
    </w:p>
    <w:p w:rsidR="00E70F71" w:rsidRPr="0075789D" w:rsidRDefault="00E70F71" w:rsidP="00E70F71">
      <w:pPr>
        <w:numPr>
          <w:ilvl w:val="0"/>
          <w:numId w:val="34"/>
        </w:numPr>
        <w:ind w:right="4"/>
        <w:rPr>
          <w:rFonts w:cs="Calibri"/>
          <w:lang w:val="es-419"/>
        </w:rPr>
      </w:pPr>
      <w:r w:rsidRPr="0075789D">
        <w:rPr>
          <w:lang w:val="es-419"/>
        </w:rPr>
        <w:t xml:space="preserve">Especies agrícolas: </w:t>
      </w:r>
      <w:r w:rsidRPr="0075789D">
        <w:rPr>
          <w:color w:val="000000"/>
          <w:lang w:val="es-419"/>
        </w:rPr>
        <w:t xml:space="preserve">alfalfa, cáñamo, </w:t>
      </w:r>
      <w:proofErr w:type="spellStart"/>
      <w:r w:rsidRPr="0075789D">
        <w:rPr>
          <w:color w:val="000000"/>
          <w:lang w:val="es-419"/>
        </w:rPr>
        <w:t>triticale</w:t>
      </w:r>
      <w:proofErr w:type="spellEnd"/>
      <w:r w:rsidRPr="0075789D">
        <w:rPr>
          <w:color w:val="000000"/>
          <w:lang w:val="es-419"/>
        </w:rPr>
        <w:t>, trébol rojo, arroz, fleo y arroz</w:t>
      </w:r>
    </w:p>
    <w:p w:rsidR="00E70F71" w:rsidRPr="0075789D" w:rsidRDefault="00E70F71" w:rsidP="00E70F71">
      <w:pPr>
        <w:numPr>
          <w:ilvl w:val="0"/>
          <w:numId w:val="34"/>
        </w:numPr>
        <w:ind w:right="4"/>
        <w:rPr>
          <w:rFonts w:cs="Calibri"/>
          <w:lang w:val="es-419"/>
        </w:rPr>
      </w:pPr>
      <w:r w:rsidRPr="0075789D">
        <w:rPr>
          <w:lang w:val="es-419"/>
        </w:rPr>
        <w:t xml:space="preserve">Especies hortícolas: lechuga, roqueta salvaje, roqueta, </w:t>
      </w:r>
      <w:proofErr w:type="spellStart"/>
      <w:r w:rsidRPr="0075789D">
        <w:rPr>
          <w:color w:val="000000"/>
          <w:lang w:val="es-419"/>
        </w:rPr>
        <w:t>portainjertos</w:t>
      </w:r>
      <w:proofErr w:type="spellEnd"/>
      <w:r w:rsidRPr="0075789D">
        <w:rPr>
          <w:color w:val="000000"/>
          <w:lang w:val="es-419"/>
        </w:rPr>
        <w:t xml:space="preserve"> de tomate y espinaca</w:t>
      </w:r>
      <w:r w:rsidRPr="0075789D">
        <w:rPr>
          <w:lang w:val="es-419"/>
        </w:rPr>
        <w:t>.</w:t>
      </w:r>
    </w:p>
    <w:p w:rsidR="00E70F71" w:rsidRPr="0075789D" w:rsidRDefault="00E70F71" w:rsidP="00E70F71">
      <w:pPr>
        <w:numPr>
          <w:ilvl w:val="0"/>
          <w:numId w:val="34"/>
        </w:numPr>
        <w:ind w:right="4"/>
        <w:rPr>
          <w:rFonts w:cs="Calibri"/>
          <w:i/>
          <w:iCs/>
          <w:u w:val="single"/>
          <w:lang w:val="es-419"/>
        </w:rPr>
      </w:pPr>
      <w:r w:rsidRPr="0075789D">
        <w:rPr>
          <w:lang w:val="es-419"/>
        </w:rPr>
        <w:t xml:space="preserve">Especies ornamentales: </w:t>
      </w:r>
      <w:bookmarkStart w:id="3" w:name="_Toc25329854"/>
      <w:r w:rsidRPr="0075789D">
        <w:rPr>
          <w:i/>
          <w:color w:val="000000"/>
          <w:lang w:val="es-419"/>
        </w:rPr>
        <w:t>Alstroemeria</w:t>
      </w:r>
      <w:r w:rsidRPr="0075789D">
        <w:rPr>
          <w:color w:val="000000"/>
          <w:lang w:val="es-419"/>
        </w:rPr>
        <w:t xml:space="preserve"> L., </w:t>
      </w:r>
      <w:proofErr w:type="spellStart"/>
      <w:r w:rsidRPr="0075789D">
        <w:rPr>
          <w:i/>
          <w:color w:val="000000"/>
          <w:lang w:val="es-419"/>
        </w:rPr>
        <w:t>Phalaenpsis</w:t>
      </w:r>
      <w:proofErr w:type="spellEnd"/>
      <w:r w:rsidRPr="0075789D">
        <w:rPr>
          <w:color w:val="000000"/>
          <w:lang w:val="es-419"/>
        </w:rPr>
        <w:t xml:space="preserve"> </w:t>
      </w:r>
      <w:proofErr w:type="spellStart"/>
      <w:r w:rsidRPr="0075789D">
        <w:rPr>
          <w:color w:val="000000"/>
          <w:lang w:val="es-419"/>
        </w:rPr>
        <w:t>Blume</w:t>
      </w:r>
      <w:proofErr w:type="spellEnd"/>
      <w:r w:rsidRPr="0075789D">
        <w:rPr>
          <w:color w:val="000000"/>
          <w:lang w:val="es-419"/>
        </w:rPr>
        <w:t xml:space="preserve">, </w:t>
      </w:r>
      <w:proofErr w:type="spellStart"/>
      <w:r w:rsidRPr="0075789D">
        <w:rPr>
          <w:i/>
          <w:lang w:val="es-419"/>
        </w:rPr>
        <w:t>Anigozanthos</w:t>
      </w:r>
      <w:proofErr w:type="spellEnd"/>
      <w:r w:rsidRPr="0075789D">
        <w:rPr>
          <w:lang w:val="es-419"/>
        </w:rPr>
        <w:t xml:space="preserve"> </w:t>
      </w:r>
      <w:proofErr w:type="spellStart"/>
      <w:r w:rsidRPr="0075789D">
        <w:rPr>
          <w:lang w:val="es-419"/>
        </w:rPr>
        <w:t>Labill</w:t>
      </w:r>
      <w:proofErr w:type="spellEnd"/>
      <w:r w:rsidRPr="0075789D">
        <w:rPr>
          <w:lang w:val="es-419"/>
        </w:rPr>
        <w:t xml:space="preserve">. y </w:t>
      </w:r>
      <w:proofErr w:type="spellStart"/>
      <w:r w:rsidRPr="0075789D">
        <w:rPr>
          <w:i/>
          <w:lang w:val="es-419"/>
        </w:rPr>
        <w:t>Macropidia</w:t>
      </w:r>
      <w:proofErr w:type="spellEnd"/>
      <w:r w:rsidRPr="0075789D">
        <w:rPr>
          <w:i/>
          <w:lang w:val="es-419"/>
        </w:rPr>
        <w:t xml:space="preserve"> fuliginosa</w:t>
      </w:r>
      <w:r w:rsidRPr="0075789D">
        <w:rPr>
          <w:lang w:val="es-419"/>
        </w:rPr>
        <w:t xml:space="preserve"> (Hook.) </w:t>
      </w:r>
      <w:proofErr w:type="spellStart"/>
      <w:r w:rsidRPr="0075789D">
        <w:rPr>
          <w:lang w:val="es-419"/>
        </w:rPr>
        <w:t>Druce</w:t>
      </w:r>
      <w:bookmarkEnd w:id="3"/>
      <w:proofErr w:type="spellEnd"/>
      <w:r w:rsidRPr="0075789D">
        <w:rPr>
          <w:lang w:val="es-419"/>
        </w:rPr>
        <w:t xml:space="preserve"> </w:t>
      </w:r>
      <w:proofErr w:type="spellStart"/>
      <w:r w:rsidRPr="0075789D">
        <w:rPr>
          <w:i/>
          <w:lang w:val="es-419"/>
        </w:rPr>
        <w:t>Chrysanthemum</w:t>
      </w:r>
      <w:proofErr w:type="spellEnd"/>
    </w:p>
    <w:p w:rsidR="00E70F71" w:rsidRPr="0075789D" w:rsidRDefault="00E70F71" w:rsidP="00E70F71">
      <w:pPr>
        <w:numPr>
          <w:ilvl w:val="0"/>
          <w:numId w:val="34"/>
        </w:numPr>
        <w:rPr>
          <w:rFonts w:cs="Calibri"/>
          <w:lang w:val="es-419"/>
        </w:rPr>
      </w:pPr>
      <w:r w:rsidRPr="0075789D">
        <w:rPr>
          <w:lang w:val="es-419"/>
        </w:rPr>
        <w:t xml:space="preserve">Especies frutales: </w:t>
      </w:r>
      <w:proofErr w:type="spellStart"/>
      <w:r w:rsidRPr="0075789D">
        <w:rPr>
          <w:i/>
          <w:iCs/>
          <w:lang w:val="es-419"/>
        </w:rPr>
        <w:t>Hippophae</w:t>
      </w:r>
      <w:proofErr w:type="spellEnd"/>
      <w:r w:rsidRPr="0075789D">
        <w:rPr>
          <w:i/>
          <w:iCs/>
          <w:lang w:val="es-419"/>
        </w:rPr>
        <w:t xml:space="preserve"> </w:t>
      </w:r>
      <w:proofErr w:type="spellStart"/>
      <w:r w:rsidRPr="0075789D">
        <w:rPr>
          <w:i/>
          <w:iCs/>
          <w:lang w:val="es-419"/>
        </w:rPr>
        <w:t>rhamnoides</w:t>
      </w:r>
      <w:proofErr w:type="spellEnd"/>
      <w:r w:rsidRPr="0075789D">
        <w:rPr>
          <w:lang w:val="es-419"/>
        </w:rPr>
        <w:t> L.</w:t>
      </w:r>
    </w:p>
    <w:p w:rsidR="00E70F71" w:rsidRPr="0075789D" w:rsidRDefault="00E70F71" w:rsidP="00E70F71">
      <w:pPr>
        <w:rPr>
          <w:lang w:val="es-419"/>
        </w:rPr>
      </w:pPr>
    </w:p>
    <w:p w:rsidR="00E70F71" w:rsidRPr="0075789D" w:rsidRDefault="00E70F71" w:rsidP="00E70F71">
      <w:pPr>
        <w:rPr>
          <w:rFonts w:cs="Calibri"/>
          <w:u w:val="single"/>
          <w:lang w:val="es-419"/>
        </w:rPr>
      </w:pPr>
      <w:r w:rsidRPr="0075789D">
        <w:rPr>
          <w:u w:val="single"/>
          <w:lang w:val="es-419"/>
        </w:rPr>
        <w:t>c.</w:t>
      </w:r>
      <w:r w:rsidRPr="0075789D">
        <w:rPr>
          <w:u w:val="single"/>
          <w:lang w:val="es-419"/>
        </w:rPr>
        <w:tab/>
        <w:t xml:space="preserve">Novedades relativas a la base de datos </w:t>
      </w:r>
      <w:proofErr w:type="spellStart"/>
      <w:r w:rsidRPr="0075789D">
        <w:rPr>
          <w:u w:val="single"/>
          <w:lang w:val="es-419"/>
        </w:rPr>
        <w:t>Variety</w:t>
      </w:r>
      <w:proofErr w:type="spellEnd"/>
      <w:r w:rsidRPr="0075789D">
        <w:rPr>
          <w:u w:val="single"/>
          <w:lang w:val="es-419"/>
        </w:rPr>
        <w:t xml:space="preserve"> </w:t>
      </w:r>
      <w:proofErr w:type="spellStart"/>
      <w:r w:rsidRPr="0075789D">
        <w:rPr>
          <w:u w:val="single"/>
          <w:lang w:val="es-419"/>
        </w:rPr>
        <w:t>Finder</w:t>
      </w:r>
      <w:proofErr w:type="spellEnd"/>
      <w:r w:rsidRPr="0075789D">
        <w:rPr>
          <w:u w:val="single"/>
          <w:lang w:val="es-419"/>
        </w:rPr>
        <w:t xml:space="preserve"> de la OCVV </w:t>
      </w:r>
    </w:p>
    <w:p w:rsidR="00E70F71" w:rsidRPr="0075789D" w:rsidRDefault="00E70F71" w:rsidP="00E70F71">
      <w:pPr>
        <w:rPr>
          <w:rFonts w:cs="Calibri"/>
          <w:color w:val="222222"/>
          <w:lang w:val="es-419"/>
        </w:rPr>
      </w:pPr>
    </w:p>
    <w:p w:rsidR="00E70F71" w:rsidRPr="0075789D" w:rsidRDefault="00E70F71" w:rsidP="00E70F71">
      <w:pPr>
        <w:rPr>
          <w:rFonts w:cs="Calibri"/>
          <w:color w:val="222222"/>
          <w:lang w:val="es-419"/>
        </w:rPr>
      </w:pPr>
      <w:proofErr w:type="spellStart"/>
      <w:r w:rsidRPr="0075789D">
        <w:rPr>
          <w:color w:val="222222"/>
          <w:lang w:val="es-419"/>
        </w:rPr>
        <w:t>Variety</w:t>
      </w:r>
      <w:proofErr w:type="spellEnd"/>
      <w:r w:rsidRPr="0075789D">
        <w:rPr>
          <w:color w:val="222222"/>
          <w:lang w:val="es-419"/>
        </w:rPr>
        <w:t xml:space="preserve"> </w:t>
      </w:r>
      <w:proofErr w:type="spellStart"/>
      <w:r w:rsidRPr="0075789D">
        <w:rPr>
          <w:color w:val="222222"/>
          <w:lang w:val="es-419"/>
        </w:rPr>
        <w:t>Finder</w:t>
      </w:r>
      <w:proofErr w:type="spellEnd"/>
      <w:r w:rsidRPr="0075789D">
        <w:rPr>
          <w:color w:val="222222"/>
          <w:lang w:val="es-419"/>
        </w:rPr>
        <w:t xml:space="preserve"> de la OCVV es una aplicación en línea que contiene información sobre los registros de más de 70 países y cuenta con una herramienta de búsqueda general. </w:t>
      </w:r>
      <w:r w:rsidRPr="0075789D">
        <w:rPr>
          <w:lang w:val="es-419"/>
        </w:rPr>
        <w:t xml:space="preserve">En 2021, la OCVV publicó una nueva versión rediseñada de su aplicación </w:t>
      </w:r>
      <w:proofErr w:type="spellStart"/>
      <w:r w:rsidRPr="0075789D">
        <w:rPr>
          <w:lang w:val="es-419"/>
        </w:rPr>
        <w:t>Variety</w:t>
      </w:r>
      <w:proofErr w:type="spellEnd"/>
      <w:r w:rsidRPr="0075789D">
        <w:rPr>
          <w:lang w:val="es-419"/>
        </w:rPr>
        <w:t xml:space="preserve"> </w:t>
      </w:r>
      <w:proofErr w:type="spellStart"/>
      <w:r w:rsidRPr="0075789D">
        <w:rPr>
          <w:lang w:val="es-419"/>
        </w:rPr>
        <w:t>Finder</w:t>
      </w:r>
      <w:proofErr w:type="spellEnd"/>
      <w:r w:rsidRPr="0075789D">
        <w:rPr>
          <w:lang w:val="es-419"/>
        </w:rPr>
        <w:t xml:space="preserve"> y mejoró de manera considerable la facilidad de uso de la herramienta. </w:t>
      </w:r>
    </w:p>
    <w:p w:rsidR="00E70F71" w:rsidRPr="0075789D" w:rsidRDefault="00E70F71" w:rsidP="00E70F71">
      <w:pPr>
        <w:rPr>
          <w:rFonts w:cs="Calibri"/>
          <w:color w:val="222222"/>
          <w:lang w:val="es-419"/>
        </w:rPr>
      </w:pPr>
    </w:p>
    <w:p w:rsidR="00E70F71" w:rsidRPr="0075789D" w:rsidRDefault="00E70F71" w:rsidP="00E70F71">
      <w:pPr>
        <w:rPr>
          <w:rFonts w:cs="Calibri"/>
          <w:color w:val="222222"/>
          <w:lang w:val="es-419"/>
        </w:rPr>
      </w:pPr>
      <w:r w:rsidRPr="0075789D">
        <w:rPr>
          <w:color w:val="222222"/>
          <w:lang w:val="es-419"/>
        </w:rPr>
        <w:t xml:space="preserve">La OCVV centraliza los datos de diversos registros, como por ejemplo los de las oficinas de derechos de obtentor (entre ellos el registro de la OCVV), las listas nacionales de obtenciones vegetales, los registros de patentes vegetales, el registro de marcas comerciales de la EUIPO (las marcas comerciales inscritas en la clase 31) y los registros comerciales. El objetivo es ofrecer a los obtentores, las autoridades nacionales y el público en general un servicio centralizado de búsqueda. </w:t>
      </w:r>
    </w:p>
    <w:p w:rsidR="00E70F71" w:rsidRPr="0075789D" w:rsidRDefault="00E70F71" w:rsidP="00E70F71">
      <w:pPr>
        <w:rPr>
          <w:rFonts w:cs="Calibri"/>
          <w:color w:val="222222"/>
          <w:lang w:val="es-419"/>
        </w:rPr>
      </w:pPr>
    </w:p>
    <w:p w:rsidR="00E70F71" w:rsidRPr="0075789D" w:rsidRDefault="00E70F71" w:rsidP="00E70F71">
      <w:pPr>
        <w:rPr>
          <w:rFonts w:cs="Calibri"/>
          <w:color w:val="222222"/>
          <w:lang w:val="es-419"/>
        </w:rPr>
      </w:pPr>
      <w:r w:rsidRPr="0075789D">
        <w:rPr>
          <w:color w:val="222222"/>
          <w:lang w:val="es-419"/>
        </w:rPr>
        <w:t xml:space="preserve">Se ha puesto a disposición un eficiente instrumento de búsqueda de similitud para comprobar la admisibilidad de las denominaciones de variedades. </w:t>
      </w:r>
    </w:p>
    <w:p w:rsidR="00E70F71" w:rsidRPr="0075789D" w:rsidRDefault="00E70F71" w:rsidP="00E70F71">
      <w:pPr>
        <w:autoSpaceDE w:val="0"/>
        <w:autoSpaceDN w:val="0"/>
        <w:adjustRightInd w:val="0"/>
        <w:textAlignment w:val="center"/>
        <w:rPr>
          <w:rFonts w:cs="Calibri"/>
          <w:lang w:val="es-419"/>
        </w:rPr>
      </w:pPr>
    </w:p>
    <w:p w:rsidR="00E70F71" w:rsidRPr="0075789D" w:rsidRDefault="00E70F71" w:rsidP="00E70F71">
      <w:pPr>
        <w:autoSpaceDE w:val="0"/>
        <w:autoSpaceDN w:val="0"/>
        <w:adjustRightInd w:val="0"/>
        <w:textAlignment w:val="center"/>
        <w:rPr>
          <w:rFonts w:cs="Calibri"/>
          <w:lang w:val="es-419"/>
        </w:rPr>
      </w:pPr>
      <w:r w:rsidRPr="0075789D">
        <w:rPr>
          <w:lang w:val="es-419"/>
        </w:rPr>
        <w:t>Los distintos aportadores de datos, los actualizan en la base de datos en cuanto se publican oficialmente y se ha firmado un memorando de entendimiento con la Oficina de la UPOV para compartir las tareas de recopilación de datos de los Estados miembros de la Unión Europea y de terceros países y garantizar un intercambio periódico de datos.</w:t>
      </w:r>
    </w:p>
    <w:p w:rsidR="00E70F71" w:rsidRPr="0075789D" w:rsidRDefault="00E70F71" w:rsidP="00E70F71">
      <w:pPr>
        <w:autoSpaceDE w:val="0"/>
        <w:autoSpaceDN w:val="0"/>
        <w:adjustRightInd w:val="0"/>
        <w:textAlignment w:val="center"/>
        <w:rPr>
          <w:rFonts w:cs="Calibri"/>
          <w:color w:val="000000"/>
          <w:lang w:val="es-419"/>
        </w:rPr>
      </w:pPr>
    </w:p>
    <w:p w:rsidR="00E70F71" w:rsidRPr="0075789D" w:rsidRDefault="00E70F71" w:rsidP="00E70F71">
      <w:pPr>
        <w:autoSpaceDE w:val="0"/>
        <w:autoSpaceDN w:val="0"/>
        <w:adjustRightInd w:val="0"/>
        <w:textAlignment w:val="center"/>
        <w:rPr>
          <w:rFonts w:cs="Calibri"/>
          <w:lang w:val="es-419"/>
        </w:rPr>
      </w:pPr>
      <w:r w:rsidRPr="0075789D">
        <w:rPr>
          <w:lang w:val="es-419"/>
        </w:rPr>
        <w:t xml:space="preserve">Hasta la fecha </w:t>
      </w:r>
      <w:proofErr w:type="spellStart"/>
      <w:r w:rsidRPr="0075789D">
        <w:rPr>
          <w:lang w:val="es-419"/>
        </w:rPr>
        <w:t>Variety</w:t>
      </w:r>
      <w:proofErr w:type="spellEnd"/>
      <w:r w:rsidRPr="0075789D">
        <w:rPr>
          <w:lang w:val="es-419"/>
        </w:rPr>
        <w:t xml:space="preserve"> </w:t>
      </w:r>
      <w:proofErr w:type="spellStart"/>
      <w:r w:rsidRPr="0075789D">
        <w:rPr>
          <w:lang w:val="es-419"/>
        </w:rPr>
        <w:t>Finder</w:t>
      </w:r>
      <w:proofErr w:type="spellEnd"/>
      <w:r w:rsidRPr="0075789D">
        <w:rPr>
          <w:lang w:val="es-419"/>
        </w:rPr>
        <w:t xml:space="preserve"> contiene más de 1,2 millones de inscripciones de países miembros de la Unión Europea y de terceros países. El uso de </w:t>
      </w:r>
      <w:proofErr w:type="spellStart"/>
      <w:r w:rsidRPr="0075789D">
        <w:rPr>
          <w:lang w:val="es-419"/>
        </w:rPr>
        <w:t>Variety</w:t>
      </w:r>
      <w:proofErr w:type="spellEnd"/>
      <w:r w:rsidRPr="0075789D">
        <w:rPr>
          <w:lang w:val="es-419"/>
        </w:rPr>
        <w:t xml:space="preserve"> </w:t>
      </w:r>
      <w:proofErr w:type="spellStart"/>
      <w:r w:rsidRPr="0075789D">
        <w:rPr>
          <w:lang w:val="es-419"/>
        </w:rPr>
        <w:t>Finder</w:t>
      </w:r>
      <w:proofErr w:type="spellEnd"/>
      <w:r w:rsidRPr="0075789D">
        <w:rPr>
          <w:lang w:val="es-419"/>
        </w:rPr>
        <w:t xml:space="preserve"> ha aumentado sin cesar en los últimos años. Los clientes de la OCVV constituyen el mayor grupo de usuarios y las comprobaciones de similitud que ejecutan representan más del 50% del total. </w:t>
      </w:r>
    </w:p>
    <w:p w:rsidR="00E70F71" w:rsidRPr="0075789D" w:rsidRDefault="00E70F71" w:rsidP="00E70F71">
      <w:pPr>
        <w:autoSpaceDE w:val="0"/>
        <w:autoSpaceDN w:val="0"/>
        <w:adjustRightInd w:val="0"/>
        <w:textAlignment w:val="center"/>
        <w:rPr>
          <w:rFonts w:cs="Calibri"/>
          <w:lang w:val="es-419"/>
        </w:rPr>
      </w:pPr>
    </w:p>
    <w:p w:rsidR="00E70F71" w:rsidRPr="0075789D" w:rsidRDefault="00E70F71" w:rsidP="00E70F71">
      <w:pPr>
        <w:autoSpaceDE w:val="0"/>
        <w:autoSpaceDN w:val="0"/>
        <w:adjustRightInd w:val="0"/>
        <w:textAlignment w:val="center"/>
        <w:rPr>
          <w:rFonts w:cs="Calibri"/>
          <w:lang w:val="es-419"/>
        </w:rPr>
      </w:pPr>
      <w:r w:rsidRPr="0075789D">
        <w:rPr>
          <w:lang w:val="es-419"/>
        </w:rPr>
        <w:t>La OCVV y la Dirección General de Salud y Seguridad Alimentaria (DG SANTE) han realizado una intensa labor en 2021 en el proyecto conjunto denominado “Portal de Variedades Vegetales de la Unión Europea (EUPVP)”. Su objetivo es que los Estados Miembros cubran con una presentación única toda la información que se ha de aportar a las distintas bases de datos (</w:t>
      </w:r>
      <w:proofErr w:type="spellStart"/>
      <w:r w:rsidRPr="0075789D">
        <w:rPr>
          <w:lang w:val="es-419"/>
        </w:rPr>
        <w:t>Variety</w:t>
      </w:r>
      <w:proofErr w:type="spellEnd"/>
      <w:r w:rsidRPr="0075789D">
        <w:rPr>
          <w:lang w:val="es-419"/>
        </w:rPr>
        <w:t xml:space="preserve"> </w:t>
      </w:r>
      <w:proofErr w:type="spellStart"/>
      <w:r w:rsidRPr="0075789D">
        <w:rPr>
          <w:lang w:val="es-419"/>
        </w:rPr>
        <w:t>Finder</w:t>
      </w:r>
      <w:proofErr w:type="spellEnd"/>
      <w:r w:rsidRPr="0075789D">
        <w:rPr>
          <w:lang w:val="es-419"/>
        </w:rPr>
        <w:t xml:space="preserve"> de la OCVV y las bases de datos de la Comisión). </w:t>
      </w:r>
    </w:p>
    <w:p w:rsidR="00E70F71" w:rsidRPr="0075789D" w:rsidRDefault="00E70F71" w:rsidP="00E70F71">
      <w:pPr>
        <w:rPr>
          <w:rFonts w:cs="Calibri"/>
          <w:sz w:val="18"/>
          <w:lang w:val="es-419"/>
        </w:rPr>
      </w:pPr>
    </w:p>
    <w:p w:rsidR="00E70F71" w:rsidRPr="0075789D" w:rsidRDefault="00E70F71" w:rsidP="00E70F71">
      <w:pPr>
        <w:tabs>
          <w:tab w:val="left" w:pos="142"/>
        </w:tabs>
        <w:autoSpaceDE w:val="0"/>
        <w:autoSpaceDN w:val="0"/>
        <w:adjustRightInd w:val="0"/>
        <w:rPr>
          <w:rFonts w:cs="Calibri"/>
          <w:u w:val="single"/>
          <w:lang w:val="es-419"/>
        </w:rPr>
      </w:pPr>
      <w:r w:rsidRPr="0075789D">
        <w:rPr>
          <w:u w:val="single"/>
          <w:lang w:val="es-419"/>
        </w:rPr>
        <w:t>d.</w:t>
      </w:r>
      <w:r w:rsidRPr="0075789D">
        <w:rPr>
          <w:u w:val="single"/>
          <w:lang w:val="es-419"/>
        </w:rPr>
        <w:tab/>
        <w:t xml:space="preserve">Cooperación en la comprobación de denominaciones con los Estados miembros de la Unión Europea </w:t>
      </w:r>
    </w:p>
    <w:p w:rsidR="00E70F71" w:rsidRPr="0075789D" w:rsidRDefault="00E70F71" w:rsidP="00E70F71">
      <w:pPr>
        <w:tabs>
          <w:tab w:val="left" w:pos="142"/>
        </w:tabs>
        <w:autoSpaceDE w:val="0"/>
        <w:autoSpaceDN w:val="0"/>
        <w:adjustRightInd w:val="0"/>
        <w:rPr>
          <w:rFonts w:eastAsia="MyriadPro-Light" w:cs="Calibri"/>
          <w:lang w:val="es-419"/>
        </w:rPr>
      </w:pPr>
      <w:bookmarkStart w:id="4" w:name="_Hlk109657995"/>
    </w:p>
    <w:p w:rsidR="00E70F71" w:rsidRPr="0075789D" w:rsidRDefault="00E70F71" w:rsidP="00E70F71">
      <w:pPr>
        <w:tabs>
          <w:tab w:val="left" w:pos="142"/>
        </w:tabs>
        <w:autoSpaceDE w:val="0"/>
        <w:autoSpaceDN w:val="0"/>
        <w:adjustRightInd w:val="0"/>
        <w:rPr>
          <w:rFonts w:eastAsia="MyriadPro-Light" w:cs="Calibri"/>
          <w:lang w:val="es-419"/>
        </w:rPr>
      </w:pPr>
      <w:r w:rsidRPr="0075789D">
        <w:rPr>
          <w:lang w:val="es-419"/>
        </w:rPr>
        <w:t>Con aproximadamente 7.000 opiniones ofrecidas cada año a los Estados miembros de la UE, el servicio de cooperación en las comprobaciones de similitud de las denominaciones sigue teniendo una gran vitalidad y es un instrumento esencial para asegurar que se cumplan las normas sobre denominaciones de variedades y para contribuir a la coherencia entre decisiones. Sin embargo, la centralización del análisis también puede tener la desventaja de limitar la diversidad de opiniones. Cabe señalar que, en el marco de este servicio de cooperación, los intercambios entre la Oficina y las autoridades nacionales siguen siendo con fines específicos, es decir que la mayoría se refieren a casos concretos. Es muy poco frecuente que la Oficina reciba observaciones u objeciones de los obtentores respecto de denominaciones que consideran en conflicto con sus propias denominaciones.</w:t>
      </w:r>
    </w:p>
    <w:p w:rsidR="00E70F71" w:rsidRPr="0075789D" w:rsidRDefault="00E70F71" w:rsidP="00E70F71">
      <w:pPr>
        <w:tabs>
          <w:tab w:val="left" w:pos="142"/>
        </w:tabs>
        <w:autoSpaceDE w:val="0"/>
        <w:autoSpaceDN w:val="0"/>
        <w:adjustRightInd w:val="0"/>
        <w:rPr>
          <w:rFonts w:eastAsia="MyriadPro-Light" w:cs="Calibri"/>
          <w:lang w:val="es-419"/>
        </w:rPr>
      </w:pPr>
    </w:p>
    <w:p w:rsidR="00E70F71" w:rsidRPr="0075789D" w:rsidRDefault="00E70F71" w:rsidP="00E70F71">
      <w:pPr>
        <w:tabs>
          <w:tab w:val="left" w:pos="142"/>
        </w:tabs>
        <w:autoSpaceDE w:val="0"/>
        <w:autoSpaceDN w:val="0"/>
        <w:adjustRightInd w:val="0"/>
        <w:rPr>
          <w:rFonts w:cs="Calibri"/>
          <w:lang w:val="es-419"/>
        </w:rPr>
      </w:pPr>
      <w:r w:rsidRPr="0075789D">
        <w:rPr>
          <w:lang w:val="es-419"/>
        </w:rPr>
        <w:t>La estrecha supervisión que Oficina realiza de las observaciones sobre denominaciones, la identificación de su naturaleza y su evolución temporal permiten detectar aquellos aspectos que suscitan dudas sobre la aplicación práctica de las normas y que tal vez deban examinarse más detenidamente.</w:t>
      </w:r>
    </w:p>
    <w:p w:rsidR="00E70F71" w:rsidRPr="0075789D" w:rsidRDefault="00E70F71" w:rsidP="00E70F71">
      <w:pPr>
        <w:tabs>
          <w:tab w:val="left" w:pos="142"/>
        </w:tabs>
        <w:autoSpaceDE w:val="0"/>
        <w:autoSpaceDN w:val="0"/>
        <w:adjustRightInd w:val="0"/>
        <w:rPr>
          <w:rFonts w:eastAsia="MyriadPro-Light" w:cs="Calibri"/>
          <w:lang w:val="es-419"/>
        </w:rPr>
      </w:pPr>
    </w:p>
    <w:p w:rsidR="00E70F71" w:rsidRPr="0075789D" w:rsidRDefault="00E70F71" w:rsidP="00E70F71">
      <w:pPr>
        <w:tabs>
          <w:tab w:val="left" w:pos="142"/>
        </w:tabs>
        <w:autoSpaceDE w:val="0"/>
        <w:autoSpaceDN w:val="0"/>
        <w:adjustRightInd w:val="0"/>
        <w:rPr>
          <w:rFonts w:eastAsia="MyriadPro-Light" w:cs="Calibri"/>
          <w:lang w:val="es-419"/>
        </w:rPr>
      </w:pPr>
      <w:r w:rsidRPr="0075789D">
        <w:rPr>
          <w:lang w:val="es-419"/>
        </w:rPr>
        <w:t xml:space="preserve">En 2021, un grupo de trabajo sobre denominaciones de variedades se reunió para continuar el debate de las notas explicativas sobre las directrices relativas a las denominaciones de las variedades, tras la suspensión posterior a su aprobación por el Consejo de Administración en 2018 y durante la revisión del Reglamento 637/2009 de la Comisión referente a la adecuación de las denominaciones de las variedades de las especies de plantas agrícolas y especies hortícolas. </w:t>
      </w:r>
    </w:p>
    <w:p w:rsidR="00E70F71" w:rsidRPr="0075789D" w:rsidRDefault="00E70F71" w:rsidP="00E70F71">
      <w:pPr>
        <w:tabs>
          <w:tab w:val="left" w:pos="142"/>
        </w:tabs>
        <w:autoSpaceDE w:val="0"/>
        <w:autoSpaceDN w:val="0"/>
        <w:adjustRightInd w:val="0"/>
        <w:rPr>
          <w:rFonts w:eastAsia="MyriadPro-Light" w:cs="Calibri"/>
          <w:lang w:val="es-419"/>
        </w:rPr>
      </w:pPr>
    </w:p>
    <w:p w:rsidR="00E70F71" w:rsidRPr="0075789D" w:rsidRDefault="00E70F71" w:rsidP="00E70F71">
      <w:pPr>
        <w:tabs>
          <w:tab w:val="left" w:pos="142"/>
        </w:tabs>
        <w:autoSpaceDE w:val="0"/>
        <w:autoSpaceDN w:val="0"/>
        <w:adjustRightInd w:val="0"/>
        <w:rPr>
          <w:rFonts w:eastAsia="MyriadPro-Light" w:cs="Calibri"/>
          <w:sz w:val="18"/>
          <w:szCs w:val="18"/>
          <w:lang w:val="es-419"/>
        </w:rPr>
      </w:pPr>
      <w:r w:rsidRPr="0075789D">
        <w:rPr>
          <w:lang w:val="es-419"/>
        </w:rPr>
        <w:t xml:space="preserve">Este grupo de trabajo ofreció una oportunidad de volver a analizar algunas modificaciones introducidas en las notas explicativas en 2018, a fin de hacerlas más precisas e incluso más prácticas, teniendo en cuenta, en la medida de lo posible, las especificidades de los mercados y de los sectores en crecimiento, antes de su entrada en vigor el 1 de enero de 2022 junto con el nuevo Reglamento de Ejecución 2021/384 de la Comisión sobre la adecuación de las denominaciones de las variedades de las especies de plantas agrícolas y especies hortícolas. </w:t>
      </w:r>
    </w:p>
    <w:bookmarkEnd w:id="4"/>
    <w:p w:rsidR="00E70F71" w:rsidRPr="0075789D" w:rsidRDefault="00E70F71" w:rsidP="00E70F71">
      <w:pPr>
        <w:tabs>
          <w:tab w:val="left" w:pos="142"/>
        </w:tabs>
        <w:autoSpaceDE w:val="0"/>
        <w:autoSpaceDN w:val="0"/>
        <w:adjustRightInd w:val="0"/>
        <w:rPr>
          <w:rFonts w:cs="Calibri"/>
          <w:lang w:val="es-419"/>
        </w:rPr>
      </w:pPr>
    </w:p>
    <w:p w:rsidR="00E70F71" w:rsidRPr="0075789D" w:rsidRDefault="00E70F71" w:rsidP="00E70F71">
      <w:pPr>
        <w:keepNext/>
        <w:rPr>
          <w:rFonts w:cs="Calibri"/>
          <w:u w:val="single"/>
          <w:lang w:val="es-419"/>
        </w:rPr>
      </w:pPr>
      <w:r w:rsidRPr="0075789D">
        <w:rPr>
          <w:u w:val="single"/>
          <w:lang w:val="es-419"/>
        </w:rPr>
        <w:lastRenderedPageBreak/>
        <w:t>4.2 Reuniones de expertos en cultivos</w:t>
      </w:r>
    </w:p>
    <w:p w:rsidR="00E70F71" w:rsidRPr="0075789D" w:rsidRDefault="00E70F71" w:rsidP="00E70F71">
      <w:pPr>
        <w:keepNext/>
        <w:autoSpaceDE w:val="0"/>
        <w:autoSpaceDN w:val="0"/>
        <w:adjustRightInd w:val="0"/>
        <w:rPr>
          <w:rFonts w:cs="Calibri"/>
          <w:color w:val="000000"/>
          <w:lang w:val="es-419" w:eastAsia="en-GB"/>
        </w:rPr>
      </w:pPr>
    </w:p>
    <w:p w:rsidR="00E70F71" w:rsidRPr="0075789D" w:rsidRDefault="00E70F71" w:rsidP="00E70F71">
      <w:pPr>
        <w:autoSpaceDE w:val="0"/>
        <w:autoSpaceDN w:val="0"/>
        <w:adjustRightInd w:val="0"/>
        <w:rPr>
          <w:rFonts w:cs="Calibri"/>
          <w:color w:val="000000"/>
          <w:lang w:val="es-419"/>
        </w:rPr>
      </w:pPr>
      <w:r w:rsidRPr="0075789D">
        <w:rPr>
          <w:color w:val="000000"/>
          <w:lang w:val="es-419"/>
        </w:rPr>
        <w:t>En octubre de 2021 se celebró una reunión de expertos en cultivos agrícolas para examinar los asuntos siguientes:</w:t>
      </w:r>
    </w:p>
    <w:p w:rsidR="00E70F71" w:rsidRPr="0075789D" w:rsidRDefault="00E70F71" w:rsidP="00E70F71">
      <w:pPr>
        <w:autoSpaceDE w:val="0"/>
        <w:autoSpaceDN w:val="0"/>
        <w:adjustRightInd w:val="0"/>
        <w:rPr>
          <w:rFonts w:cs="Calibri"/>
          <w:color w:val="000000"/>
          <w:lang w:val="es-419" w:eastAsia="en-GB"/>
        </w:rPr>
      </w:pPr>
    </w:p>
    <w:p w:rsidR="00E70F71" w:rsidRPr="0075789D" w:rsidRDefault="00E70F71" w:rsidP="00E70F71">
      <w:pPr>
        <w:numPr>
          <w:ilvl w:val="0"/>
          <w:numId w:val="34"/>
        </w:numPr>
        <w:ind w:right="4"/>
        <w:rPr>
          <w:rFonts w:cs="Calibri"/>
          <w:lang w:val="es-419"/>
        </w:rPr>
      </w:pPr>
      <w:r w:rsidRPr="0075789D">
        <w:rPr>
          <w:lang w:val="es-419"/>
        </w:rPr>
        <w:t xml:space="preserve">Es ensayos del trigo híbrido y la observación de los siguientes caracteres: </w:t>
      </w:r>
      <w:proofErr w:type="spellStart"/>
      <w:r w:rsidRPr="0075789D">
        <w:rPr>
          <w:lang w:val="es-419"/>
        </w:rPr>
        <w:t>Coleóptilo</w:t>
      </w:r>
      <w:proofErr w:type="spellEnd"/>
      <w:r w:rsidRPr="0075789D">
        <w:rPr>
          <w:lang w:val="es-419"/>
        </w:rPr>
        <w:t xml:space="preserve">: pigmentación </w:t>
      </w:r>
      <w:proofErr w:type="spellStart"/>
      <w:r w:rsidRPr="0075789D">
        <w:rPr>
          <w:lang w:val="es-419"/>
        </w:rPr>
        <w:t>antociánica</w:t>
      </w:r>
      <w:proofErr w:type="spellEnd"/>
      <w:r w:rsidRPr="0075789D">
        <w:rPr>
          <w:lang w:val="es-419"/>
        </w:rPr>
        <w:t xml:space="preserve"> y Espiga: longitud de las barbas</w:t>
      </w:r>
    </w:p>
    <w:p w:rsidR="00E70F71" w:rsidRPr="0075789D" w:rsidRDefault="00E70F71" w:rsidP="00E70F71">
      <w:pPr>
        <w:numPr>
          <w:ilvl w:val="0"/>
          <w:numId w:val="34"/>
        </w:numPr>
        <w:ind w:right="4"/>
        <w:rPr>
          <w:rFonts w:cs="Calibri"/>
          <w:lang w:val="es-419"/>
        </w:rPr>
      </w:pPr>
      <w:r w:rsidRPr="0075789D">
        <w:rPr>
          <w:lang w:val="es-419"/>
        </w:rPr>
        <w:t xml:space="preserve">Observación de determinados caracteres una sola vez en los ensayos plurianuales; </w:t>
      </w:r>
    </w:p>
    <w:p w:rsidR="00E70F71" w:rsidRPr="0075789D" w:rsidRDefault="00E70F71" w:rsidP="00E70F71">
      <w:pPr>
        <w:numPr>
          <w:ilvl w:val="0"/>
          <w:numId w:val="34"/>
        </w:numPr>
        <w:ind w:right="4"/>
        <w:rPr>
          <w:rFonts w:cs="Calibri"/>
          <w:lang w:val="es-419"/>
        </w:rPr>
      </w:pPr>
      <w:r w:rsidRPr="0075789D">
        <w:rPr>
          <w:lang w:val="es-419"/>
        </w:rPr>
        <w:t>Carácter ‘</w:t>
      </w:r>
      <w:proofErr w:type="spellStart"/>
      <w:r w:rsidRPr="0075789D">
        <w:rPr>
          <w:lang w:val="es-419"/>
        </w:rPr>
        <w:t>Ploidía</w:t>
      </w:r>
      <w:proofErr w:type="spellEnd"/>
      <w:r w:rsidRPr="0075789D">
        <w:rPr>
          <w:lang w:val="es-419"/>
        </w:rPr>
        <w:t xml:space="preserve">’: revisión del número de plantas </w:t>
      </w:r>
    </w:p>
    <w:p w:rsidR="00E70F71" w:rsidRPr="0075789D" w:rsidRDefault="00E70F71" w:rsidP="00E70F71">
      <w:pPr>
        <w:numPr>
          <w:ilvl w:val="0"/>
          <w:numId w:val="34"/>
        </w:numPr>
        <w:ind w:right="4"/>
        <w:rPr>
          <w:rFonts w:cs="Calibri"/>
          <w:lang w:val="es-419"/>
        </w:rPr>
      </w:pPr>
      <w:r w:rsidRPr="0075789D">
        <w:rPr>
          <w:lang w:val="es-419"/>
        </w:rPr>
        <w:t xml:space="preserve">Sustitución de los números de la FAO por la época de floración en el maíz </w:t>
      </w:r>
    </w:p>
    <w:p w:rsidR="00E70F71" w:rsidRPr="0075789D" w:rsidRDefault="00E70F71" w:rsidP="00E70F71">
      <w:pPr>
        <w:numPr>
          <w:ilvl w:val="0"/>
          <w:numId w:val="34"/>
        </w:numPr>
        <w:ind w:right="4"/>
        <w:rPr>
          <w:rFonts w:cs="Calibri"/>
          <w:lang w:val="es-419"/>
        </w:rPr>
      </w:pPr>
      <w:r w:rsidRPr="0075789D">
        <w:rPr>
          <w:lang w:val="es-419"/>
        </w:rPr>
        <w:t>Variedades de semilla verdadera de papa/patata</w:t>
      </w:r>
    </w:p>
    <w:p w:rsidR="00E70F71" w:rsidRPr="0075789D" w:rsidRDefault="00E70F71" w:rsidP="00E70F71">
      <w:pPr>
        <w:numPr>
          <w:ilvl w:val="0"/>
          <w:numId w:val="34"/>
        </w:numPr>
        <w:ind w:right="4"/>
        <w:rPr>
          <w:rFonts w:cs="Calibri"/>
          <w:lang w:val="es-419"/>
        </w:rPr>
      </w:pPr>
      <w:r w:rsidRPr="0075789D">
        <w:rPr>
          <w:lang w:val="es-419"/>
        </w:rPr>
        <w:t>Métodos de plantación cíclica en el examen de las gramíneas</w:t>
      </w:r>
    </w:p>
    <w:p w:rsidR="00E70F71" w:rsidRPr="0075789D" w:rsidRDefault="00E70F71" w:rsidP="00E70F71">
      <w:pPr>
        <w:numPr>
          <w:ilvl w:val="0"/>
          <w:numId w:val="34"/>
        </w:numPr>
        <w:ind w:right="4"/>
        <w:rPr>
          <w:rFonts w:cs="Calibri"/>
          <w:lang w:val="es-419"/>
        </w:rPr>
      </w:pPr>
      <w:r w:rsidRPr="0075789D">
        <w:rPr>
          <w:lang w:val="es-419"/>
        </w:rPr>
        <w:t xml:space="preserve">Examen DHE de variedades híbridas de colza </w:t>
      </w:r>
    </w:p>
    <w:p w:rsidR="00E70F71" w:rsidRPr="0075789D" w:rsidRDefault="00E70F71" w:rsidP="00E70F71">
      <w:pPr>
        <w:numPr>
          <w:ilvl w:val="0"/>
          <w:numId w:val="34"/>
        </w:numPr>
        <w:ind w:right="4"/>
        <w:rPr>
          <w:rFonts w:cs="Calibri"/>
          <w:lang w:val="es-419"/>
        </w:rPr>
      </w:pPr>
      <w:r w:rsidRPr="0075789D">
        <w:rPr>
          <w:lang w:val="es-419"/>
        </w:rPr>
        <w:t>Información adicional vinculada al código UPOV para agrupar variedades</w:t>
      </w:r>
    </w:p>
    <w:p w:rsidR="00E70F71" w:rsidRPr="0075789D" w:rsidRDefault="00E70F71" w:rsidP="00E70F71">
      <w:pPr>
        <w:numPr>
          <w:ilvl w:val="0"/>
          <w:numId w:val="34"/>
        </w:numPr>
        <w:ind w:right="4"/>
        <w:rPr>
          <w:rFonts w:cs="Calibri"/>
          <w:lang w:val="es-419"/>
        </w:rPr>
      </w:pPr>
      <w:r w:rsidRPr="0075789D">
        <w:rPr>
          <w:lang w:val="es-419"/>
        </w:rPr>
        <w:t xml:space="preserve">Revisión de varios protocolos técnicos y la introducción de nuevos protocolos </w:t>
      </w:r>
    </w:p>
    <w:p w:rsidR="00E70F71" w:rsidRPr="0075789D" w:rsidRDefault="00E70F71" w:rsidP="00E70F71">
      <w:pPr>
        <w:autoSpaceDE w:val="0"/>
        <w:autoSpaceDN w:val="0"/>
        <w:adjustRightInd w:val="0"/>
        <w:ind w:left="782"/>
        <w:rPr>
          <w:rFonts w:cs="Calibri"/>
          <w:color w:val="000000"/>
          <w:lang w:val="es-419" w:eastAsia="en-GB"/>
        </w:rPr>
      </w:pPr>
    </w:p>
    <w:p w:rsidR="00E70F71" w:rsidRPr="0075789D" w:rsidRDefault="00E70F71" w:rsidP="00E70F71">
      <w:pPr>
        <w:keepNext/>
        <w:autoSpaceDE w:val="0"/>
        <w:autoSpaceDN w:val="0"/>
        <w:adjustRightInd w:val="0"/>
        <w:rPr>
          <w:rFonts w:cs="Calibri"/>
          <w:color w:val="000000"/>
          <w:lang w:val="es-419"/>
        </w:rPr>
      </w:pPr>
      <w:r w:rsidRPr="0075789D">
        <w:rPr>
          <w:color w:val="000000"/>
          <w:lang w:val="es-419"/>
        </w:rPr>
        <w:t>Los días 9 y 10 de diciembre de 2021 se celebró una reunión de expertos en plantas hortícolas para examinar los asuntos siguientes:</w:t>
      </w:r>
    </w:p>
    <w:p w:rsidR="00E70F71" w:rsidRPr="0075789D" w:rsidRDefault="00E70F71" w:rsidP="00E70F71">
      <w:pPr>
        <w:keepNext/>
        <w:autoSpaceDE w:val="0"/>
        <w:autoSpaceDN w:val="0"/>
        <w:adjustRightInd w:val="0"/>
        <w:rPr>
          <w:rFonts w:cs="Calibri"/>
          <w:color w:val="000000"/>
          <w:lang w:val="es-419" w:eastAsia="en-GB"/>
        </w:rPr>
      </w:pPr>
    </w:p>
    <w:p w:rsidR="00E70F71" w:rsidRPr="0075789D" w:rsidRDefault="00E70F71" w:rsidP="00E70F71">
      <w:pPr>
        <w:numPr>
          <w:ilvl w:val="0"/>
          <w:numId w:val="34"/>
        </w:numPr>
        <w:ind w:right="4"/>
        <w:rPr>
          <w:rFonts w:cs="Calibri"/>
          <w:lang w:val="es-419"/>
        </w:rPr>
      </w:pPr>
      <w:r w:rsidRPr="0075789D">
        <w:rPr>
          <w:lang w:val="es-419"/>
        </w:rPr>
        <w:t xml:space="preserve">Informes definitivos con distinción basada en notas idénticas </w:t>
      </w:r>
    </w:p>
    <w:p w:rsidR="00E70F71" w:rsidRPr="0075789D" w:rsidRDefault="00E70F71" w:rsidP="00E70F71">
      <w:pPr>
        <w:numPr>
          <w:ilvl w:val="0"/>
          <w:numId w:val="34"/>
        </w:numPr>
        <w:ind w:right="4"/>
        <w:rPr>
          <w:rFonts w:cs="Calibri"/>
          <w:lang w:val="es-419"/>
        </w:rPr>
      </w:pPr>
      <w:r w:rsidRPr="0075789D">
        <w:rPr>
          <w:lang w:val="es-419"/>
        </w:rPr>
        <w:t>Caracteres con un solo año de observación</w:t>
      </w:r>
    </w:p>
    <w:p w:rsidR="00E70F71" w:rsidRPr="0075789D" w:rsidRDefault="00E70F71" w:rsidP="00E70F71">
      <w:pPr>
        <w:numPr>
          <w:ilvl w:val="0"/>
          <w:numId w:val="34"/>
        </w:numPr>
        <w:ind w:right="4"/>
        <w:rPr>
          <w:rFonts w:cs="Calibri"/>
          <w:lang w:val="es-419"/>
        </w:rPr>
      </w:pPr>
      <w:proofErr w:type="spellStart"/>
      <w:r w:rsidRPr="0075789D">
        <w:rPr>
          <w:lang w:val="es-419"/>
        </w:rPr>
        <w:t>Ploidía</w:t>
      </w:r>
      <w:proofErr w:type="spellEnd"/>
      <w:r w:rsidRPr="0075789D">
        <w:rPr>
          <w:lang w:val="es-419"/>
        </w:rPr>
        <w:t xml:space="preserve"> característica en especies hortícolas y agrícolas </w:t>
      </w:r>
    </w:p>
    <w:p w:rsidR="00E70F71" w:rsidRPr="0075789D" w:rsidRDefault="00E70F71" w:rsidP="00E70F71">
      <w:pPr>
        <w:numPr>
          <w:ilvl w:val="0"/>
          <w:numId w:val="34"/>
        </w:numPr>
        <w:ind w:right="4"/>
        <w:rPr>
          <w:rFonts w:cs="Calibri"/>
          <w:lang w:val="es-419"/>
        </w:rPr>
      </w:pPr>
      <w:r w:rsidRPr="0075789D">
        <w:rPr>
          <w:lang w:val="es-419"/>
        </w:rPr>
        <w:t xml:space="preserve">Líneas parentales protegidas y colecciones de variedades </w:t>
      </w:r>
    </w:p>
    <w:p w:rsidR="00E70F71" w:rsidRPr="0075789D" w:rsidRDefault="00E70F71" w:rsidP="00E70F71">
      <w:pPr>
        <w:numPr>
          <w:ilvl w:val="0"/>
          <w:numId w:val="34"/>
        </w:numPr>
        <w:ind w:right="4"/>
        <w:rPr>
          <w:rFonts w:cs="Calibri"/>
          <w:lang w:val="es-419"/>
        </w:rPr>
      </w:pPr>
      <w:r w:rsidRPr="0075789D">
        <w:rPr>
          <w:lang w:val="es-419"/>
        </w:rPr>
        <w:t>Notificación de la ausencia de variedades de referencia</w:t>
      </w:r>
    </w:p>
    <w:p w:rsidR="00E70F71" w:rsidRPr="0075789D" w:rsidRDefault="00E70F71" w:rsidP="00E70F71">
      <w:pPr>
        <w:numPr>
          <w:ilvl w:val="0"/>
          <w:numId w:val="34"/>
        </w:numPr>
        <w:ind w:right="4"/>
        <w:rPr>
          <w:rFonts w:cs="Calibri"/>
          <w:lang w:val="es-419"/>
        </w:rPr>
      </w:pPr>
      <w:r w:rsidRPr="0075789D">
        <w:rPr>
          <w:lang w:val="es-419"/>
        </w:rPr>
        <w:t>Revisión de varios protocolos técnicos sobre hortalizas</w:t>
      </w:r>
    </w:p>
    <w:p w:rsidR="00E70F71" w:rsidRPr="0075789D" w:rsidRDefault="00E70F71" w:rsidP="00E70F71">
      <w:pPr>
        <w:autoSpaceDE w:val="0"/>
        <w:autoSpaceDN w:val="0"/>
        <w:adjustRightInd w:val="0"/>
        <w:ind w:left="720"/>
        <w:rPr>
          <w:rFonts w:cs="Calibri"/>
          <w:color w:val="000000"/>
          <w:lang w:val="es-419" w:eastAsia="en-GB"/>
        </w:rPr>
      </w:pPr>
    </w:p>
    <w:p w:rsidR="00E70F71" w:rsidRPr="0075789D" w:rsidRDefault="00E70F71" w:rsidP="00E70F71">
      <w:pPr>
        <w:keepNext/>
        <w:autoSpaceDE w:val="0"/>
        <w:autoSpaceDN w:val="0"/>
        <w:adjustRightInd w:val="0"/>
        <w:rPr>
          <w:rFonts w:cs="Calibri"/>
          <w:color w:val="000000"/>
          <w:lang w:val="es-419"/>
        </w:rPr>
      </w:pPr>
      <w:r w:rsidRPr="0075789D">
        <w:rPr>
          <w:color w:val="000000"/>
          <w:lang w:val="es-419"/>
        </w:rPr>
        <w:t>En octubre de 2021, se celebró una reunión de expertos en plantas frutales para examinar los asuntos siguientes, entre otros:</w:t>
      </w:r>
    </w:p>
    <w:p w:rsidR="00E70F71" w:rsidRPr="0075789D" w:rsidRDefault="00E70F71" w:rsidP="00E70F71">
      <w:pPr>
        <w:keepNext/>
        <w:autoSpaceDE w:val="0"/>
        <w:autoSpaceDN w:val="0"/>
        <w:adjustRightInd w:val="0"/>
        <w:rPr>
          <w:rFonts w:cs="Calibri"/>
          <w:color w:val="000000"/>
          <w:lang w:val="es-419" w:eastAsia="en-GB"/>
        </w:rPr>
      </w:pPr>
    </w:p>
    <w:p w:rsidR="00E70F71" w:rsidRPr="0075789D" w:rsidRDefault="00E70F71" w:rsidP="00E70F71">
      <w:pPr>
        <w:numPr>
          <w:ilvl w:val="0"/>
          <w:numId w:val="34"/>
        </w:numPr>
        <w:ind w:right="4"/>
        <w:rPr>
          <w:rFonts w:cs="Calibri"/>
          <w:lang w:val="es-419"/>
        </w:rPr>
      </w:pPr>
      <w:r w:rsidRPr="0075789D">
        <w:rPr>
          <w:lang w:val="es-419"/>
        </w:rPr>
        <w:t>Ensayos de grupos de mutantes del manzano</w:t>
      </w:r>
    </w:p>
    <w:p w:rsidR="00E70F71" w:rsidRPr="0075789D" w:rsidRDefault="00E70F71" w:rsidP="00E70F71">
      <w:pPr>
        <w:numPr>
          <w:ilvl w:val="0"/>
          <w:numId w:val="34"/>
        </w:numPr>
        <w:ind w:right="4"/>
        <w:rPr>
          <w:rFonts w:cs="Calibri"/>
          <w:lang w:val="es-419"/>
        </w:rPr>
      </w:pPr>
      <w:r w:rsidRPr="0075789D">
        <w:rPr>
          <w:lang w:val="es-419"/>
        </w:rPr>
        <w:t>Envío de muestras</w:t>
      </w:r>
    </w:p>
    <w:p w:rsidR="00E70F71" w:rsidRPr="0075789D" w:rsidRDefault="00E70F71" w:rsidP="00E70F71">
      <w:pPr>
        <w:numPr>
          <w:ilvl w:val="0"/>
          <w:numId w:val="34"/>
        </w:numPr>
        <w:ind w:right="4"/>
        <w:rPr>
          <w:rFonts w:cs="Calibri"/>
          <w:lang w:val="es-419"/>
        </w:rPr>
      </w:pPr>
      <w:r w:rsidRPr="0075789D">
        <w:rPr>
          <w:lang w:val="es-419"/>
        </w:rPr>
        <w:t xml:space="preserve">Confirmación a los solicitantes que se ha recibido el material vegetal </w:t>
      </w:r>
    </w:p>
    <w:p w:rsidR="00E70F71" w:rsidRPr="0075789D" w:rsidRDefault="00E70F71" w:rsidP="00E70F71">
      <w:pPr>
        <w:numPr>
          <w:ilvl w:val="0"/>
          <w:numId w:val="34"/>
        </w:numPr>
        <w:ind w:right="4"/>
        <w:rPr>
          <w:rFonts w:cs="Calibri"/>
          <w:lang w:val="es-419"/>
        </w:rPr>
      </w:pPr>
      <w:r w:rsidRPr="0075789D">
        <w:rPr>
          <w:lang w:val="es-419"/>
        </w:rPr>
        <w:t xml:space="preserve">Examen del arándano americano </w:t>
      </w:r>
    </w:p>
    <w:p w:rsidR="00E70F71" w:rsidRPr="0075789D" w:rsidRDefault="00E70F71" w:rsidP="00E70F71">
      <w:pPr>
        <w:numPr>
          <w:ilvl w:val="0"/>
          <w:numId w:val="34"/>
        </w:numPr>
        <w:ind w:right="4"/>
        <w:rPr>
          <w:rFonts w:cs="Calibri"/>
          <w:lang w:val="es-419"/>
        </w:rPr>
      </w:pPr>
      <w:r w:rsidRPr="0075789D">
        <w:rPr>
          <w:lang w:val="es-419"/>
        </w:rPr>
        <w:t>Taxón botánico de variedades de vid resistentes a enfermedades</w:t>
      </w:r>
    </w:p>
    <w:p w:rsidR="00E70F71" w:rsidRPr="0075789D" w:rsidRDefault="00E70F71" w:rsidP="00E70F71">
      <w:pPr>
        <w:numPr>
          <w:ilvl w:val="0"/>
          <w:numId w:val="34"/>
        </w:numPr>
        <w:ind w:right="4"/>
        <w:rPr>
          <w:rFonts w:cs="Calibri"/>
          <w:lang w:val="es-419"/>
        </w:rPr>
      </w:pPr>
      <w:r w:rsidRPr="0075789D">
        <w:rPr>
          <w:lang w:val="es-419"/>
        </w:rPr>
        <w:t>Medidas para proteger los ensayos de las condiciones adversas</w:t>
      </w:r>
    </w:p>
    <w:p w:rsidR="00E70F71" w:rsidRPr="0075789D" w:rsidRDefault="00E70F71" w:rsidP="00E70F71">
      <w:pPr>
        <w:numPr>
          <w:ilvl w:val="0"/>
          <w:numId w:val="34"/>
        </w:numPr>
        <w:ind w:right="4"/>
        <w:rPr>
          <w:rFonts w:cs="Calibri"/>
          <w:lang w:val="es-419"/>
        </w:rPr>
      </w:pPr>
      <w:r w:rsidRPr="0075789D">
        <w:rPr>
          <w:lang w:val="es-419"/>
        </w:rPr>
        <w:t>Términos: período de crecimiento, ciclo de cultivo, duración del examen y período de establecimiento</w:t>
      </w:r>
    </w:p>
    <w:p w:rsidR="00E70F71" w:rsidRPr="0075789D" w:rsidRDefault="00E70F71" w:rsidP="00E70F71">
      <w:pPr>
        <w:numPr>
          <w:ilvl w:val="0"/>
          <w:numId w:val="34"/>
        </w:numPr>
        <w:ind w:right="4"/>
        <w:rPr>
          <w:rFonts w:cs="Calibri"/>
          <w:lang w:val="es-419"/>
        </w:rPr>
      </w:pPr>
      <w:r w:rsidRPr="0075789D">
        <w:rPr>
          <w:lang w:val="es-419"/>
        </w:rPr>
        <w:t>Necesidades de material vegetal del peral,</w:t>
      </w:r>
    </w:p>
    <w:p w:rsidR="00E70F71" w:rsidRPr="0075789D" w:rsidRDefault="00E70F71" w:rsidP="00E70F71">
      <w:pPr>
        <w:numPr>
          <w:ilvl w:val="0"/>
          <w:numId w:val="34"/>
        </w:numPr>
        <w:ind w:right="4"/>
        <w:rPr>
          <w:rFonts w:cs="Calibri"/>
          <w:lang w:val="es-419"/>
        </w:rPr>
      </w:pPr>
      <w:r w:rsidRPr="0075789D">
        <w:rPr>
          <w:lang w:val="es-419"/>
        </w:rPr>
        <w:t>Fresa/frutilla: situación actual y novedades en el mejoramiento y el cultivo</w:t>
      </w:r>
    </w:p>
    <w:p w:rsidR="00E70F71" w:rsidRPr="0075789D" w:rsidRDefault="00E70F71" w:rsidP="00E70F71">
      <w:pPr>
        <w:numPr>
          <w:ilvl w:val="0"/>
          <w:numId w:val="34"/>
        </w:numPr>
        <w:ind w:right="4"/>
        <w:rPr>
          <w:rFonts w:cs="Calibri"/>
          <w:lang w:val="es-419"/>
        </w:rPr>
      </w:pPr>
      <w:r w:rsidRPr="0075789D">
        <w:rPr>
          <w:lang w:val="es-419"/>
        </w:rPr>
        <w:t>Cuestiones fitosanitarias y proyectos de I+D.</w:t>
      </w:r>
    </w:p>
    <w:p w:rsidR="00E70F71" w:rsidRPr="0075789D" w:rsidRDefault="00E70F71" w:rsidP="00E70F71">
      <w:pPr>
        <w:autoSpaceDE w:val="0"/>
        <w:autoSpaceDN w:val="0"/>
        <w:adjustRightInd w:val="0"/>
        <w:ind w:left="783"/>
        <w:rPr>
          <w:rFonts w:cs="Calibri"/>
          <w:color w:val="000000"/>
          <w:lang w:val="es-419" w:eastAsia="en-GB"/>
        </w:rPr>
      </w:pPr>
    </w:p>
    <w:p w:rsidR="00E70F71" w:rsidRPr="0075789D" w:rsidRDefault="00E70F71" w:rsidP="00E70F71">
      <w:pPr>
        <w:autoSpaceDE w:val="0"/>
        <w:autoSpaceDN w:val="0"/>
        <w:adjustRightInd w:val="0"/>
        <w:rPr>
          <w:rFonts w:cs="Calibri"/>
          <w:color w:val="000000"/>
          <w:lang w:val="es-419"/>
        </w:rPr>
      </w:pPr>
      <w:r w:rsidRPr="0075789D">
        <w:rPr>
          <w:color w:val="000000"/>
          <w:lang w:val="es-419"/>
        </w:rPr>
        <w:t>Los días 14 y 15 de octubre de 2021, se celebró una reunión de expertos en plantas ornamentales para examinar o aportar información sobre varios asuntos, entre otros:</w:t>
      </w:r>
    </w:p>
    <w:p w:rsidR="00E70F71" w:rsidRPr="0075789D" w:rsidRDefault="00E70F71" w:rsidP="00E70F71">
      <w:pPr>
        <w:autoSpaceDE w:val="0"/>
        <w:autoSpaceDN w:val="0"/>
        <w:adjustRightInd w:val="0"/>
        <w:rPr>
          <w:rFonts w:cs="Calibri"/>
          <w:color w:val="000000"/>
          <w:lang w:val="es-419" w:eastAsia="en-GB"/>
        </w:rPr>
      </w:pPr>
    </w:p>
    <w:p w:rsidR="00E70F71" w:rsidRPr="0075789D" w:rsidRDefault="00E70F71" w:rsidP="00E70F71">
      <w:pPr>
        <w:numPr>
          <w:ilvl w:val="0"/>
          <w:numId w:val="34"/>
        </w:numPr>
        <w:ind w:right="4"/>
        <w:rPr>
          <w:rFonts w:cs="Calibri"/>
          <w:lang w:val="es-419"/>
        </w:rPr>
      </w:pPr>
      <w:r w:rsidRPr="0075789D">
        <w:rPr>
          <w:lang w:val="es-419"/>
        </w:rPr>
        <w:t xml:space="preserve">Cambio en la duración de los exámenes DHE después de la transferencia de exámenes desde el Instituto Nacional de Botánica Agrícola del Reino Unido (NIAB) a otra oficina de examen en la UE; modificación del cuestionario técnico para árboles y arbustos </w:t>
      </w:r>
    </w:p>
    <w:p w:rsidR="00E70F71" w:rsidRPr="0075789D" w:rsidRDefault="00E70F71" w:rsidP="00E70F71">
      <w:pPr>
        <w:numPr>
          <w:ilvl w:val="0"/>
          <w:numId w:val="34"/>
        </w:numPr>
        <w:ind w:right="4"/>
        <w:rPr>
          <w:rFonts w:cs="Calibri"/>
          <w:lang w:val="es-419"/>
        </w:rPr>
      </w:pPr>
      <w:r w:rsidRPr="0075789D">
        <w:rPr>
          <w:lang w:val="es-419"/>
        </w:rPr>
        <w:t>Adopción y publicación de protocolos nacionales (procedimiento en discusión);</w:t>
      </w:r>
    </w:p>
    <w:p w:rsidR="00E70F71" w:rsidRPr="0075789D" w:rsidRDefault="00E70F71" w:rsidP="00E70F71">
      <w:pPr>
        <w:numPr>
          <w:ilvl w:val="0"/>
          <w:numId w:val="34"/>
        </w:numPr>
        <w:ind w:right="4"/>
        <w:rPr>
          <w:rFonts w:cs="Calibri"/>
          <w:lang w:val="es-419"/>
        </w:rPr>
      </w:pPr>
      <w:r w:rsidRPr="0075789D">
        <w:rPr>
          <w:lang w:val="es-419"/>
        </w:rPr>
        <w:t xml:space="preserve">Prolongación del período de protección para variedades de especies leñosas ornamentales y bulbosas </w:t>
      </w:r>
    </w:p>
    <w:p w:rsidR="00E70F71" w:rsidRPr="0075789D" w:rsidRDefault="00E70F71" w:rsidP="00E70F71">
      <w:pPr>
        <w:numPr>
          <w:ilvl w:val="0"/>
          <w:numId w:val="34"/>
        </w:numPr>
        <w:ind w:right="4"/>
        <w:rPr>
          <w:rFonts w:cs="Calibri"/>
          <w:lang w:val="es-419"/>
        </w:rPr>
      </w:pPr>
      <w:r w:rsidRPr="0075789D">
        <w:rPr>
          <w:lang w:val="es-419"/>
        </w:rPr>
        <w:t xml:space="preserve">Información adicional vinculada al código UPOV para agrupar variedades </w:t>
      </w:r>
    </w:p>
    <w:p w:rsidR="00E70F71" w:rsidRPr="0075789D" w:rsidRDefault="00E70F71" w:rsidP="00E70F71">
      <w:pPr>
        <w:rPr>
          <w:rFonts w:cs="Calibri"/>
          <w:u w:val="single"/>
          <w:lang w:val="es-419"/>
        </w:rPr>
      </w:pPr>
    </w:p>
    <w:p w:rsidR="00E70F71" w:rsidRPr="0075789D" w:rsidRDefault="00E70F71" w:rsidP="00E70F71">
      <w:pPr>
        <w:rPr>
          <w:rFonts w:cs="Calibri"/>
          <w:u w:val="single"/>
          <w:lang w:val="es-419"/>
        </w:rPr>
      </w:pPr>
      <w:r w:rsidRPr="0075789D">
        <w:rPr>
          <w:u w:val="single"/>
          <w:lang w:val="es-419"/>
        </w:rPr>
        <w:t>4.3</w:t>
      </w:r>
      <w:r w:rsidRPr="0075789D">
        <w:rPr>
          <w:u w:val="single"/>
          <w:lang w:val="es-419"/>
        </w:rPr>
        <w:tab/>
        <w:t>Servicio de Auditoría de la Calidad (QAS)</w:t>
      </w:r>
    </w:p>
    <w:p w:rsidR="00E70F71" w:rsidRPr="0075789D" w:rsidRDefault="00E70F71" w:rsidP="00E70F71">
      <w:pPr>
        <w:autoSpaceDE w:val="0"/>
        <w:autoSpaceDN w:val="0"/>
        <w:adjustRightInd w:val="0"/>
        <w:rPr>
          <w:rFonts w:cs="Calibri"/>
          <w:lang w:val="es-419"/>
        </w:rPr>
      </w:pPr>
    </w:p>
    <w:p w:rsidR="00E70F71" w:rsidRPr="0075789D" w:rsidRDefault="00E70F71" w:rsidP="00E70F71">
      <w:pPr>
        <w:autoSpaceDE w:val="0"/>
        <w:autoSpaceDN w:val="0"/>
        <w:adjustRightInd w:val="0"/>
        <w:rPr>
          <w:rFonts w:cs="Calibri"/>
          <w:lang w:val="es-419"/>
        </w:rPr>
      </w:pPr>
      <w:r w:rsidRPr="0075789D">
        <w:rPr>
          <w:lang w:val="es-419"/>
        </w:rPr>
        <w:t xml:space="preserve">Las actividades del Servicio de Auditoría de la Calidad (QAS) han vuelto a la normalidad en el período que abarca el presente informe, tras haber tenido que llevar a cabo todos sus ejercicios de evaluación de manera virtual durante el primer semestre de 2021. El QAS realizó ocho ejercicios de evaluación sobre el terreno a oficinas de examen acreditadas de la UE en los doce meses transcurridos hasta julio de 2022, para asegurar que los requisitos de acreditación de la OCVV se estaban aplicando correctamente. </w:t>
      </w:r>
    </w:p>
    <w:p w:rsidR="00E70F71" w:rsidRPr="0075789D" w:rsidRDefault="00E70F71" w:rsidP="00E70F71">
      <w:pPr>
        <w:autoSpaceDE w:val="0"/>
        <w:autoSpaceDN w:val="0"/>
        <w:adjustRightInd w:val="0"/>
        <w:rPr>
          <w:rFonts w:cs="Calibri"/>
          <w:lang w:val="es-419"/>
        </w:rPr>
      </w:pPr>
    </w:p>
    <w:p w:rsidR="00E70F71" w:rsidRPr="0075789D" w:rsidRDefault="00E70F71" w:rsidP="00E70F71">
      <w:pPr>
        <w:autoSpaceDE w:val="0"/>
        <w:autoSpaceDN w:val="0"/>
        <w:adjustRightInd w:val="0"/>
        <w:rPr>
          <w:rFonts w:cs="Calibri"/>
          <w:lang w:val="es-419"/>
        </w:rPr>
      </w:pPr>
      <w:r w:rsidRPr="0075789D">
        <w:rPr>
          <w:lang w:val="es-419"/>
        </w:rPr>
        <w:t xml:space="preserve">Durante el segundo semestre de 2021 y principios de 2022, continuó el proceso de revisión de los requisitos de la OCVV para la acreditación de oficinas de examen. Estos requisitos regulan la manera en que se organizan las oficinas de examen y el procedimiento según el cual se realizan los exámenes DHE. El proceso se llevó a cabo tras consultar a las partes interesadas del ámbito de la OCVV —oficinas de examen </w:t>
      </w:r>
      <w:r w:rsidRPr="0075789D">
        <w:rPr>
          <w:lang w:val="es-419"/>
        </w:rPr>
        <w:lastRenderedPageBreak/>
        <w:t>acreditadas, organizaciones de obtentores y expertos técnicos del QAS— para tener en cuenta los avances y las mejoras en el examen DHE. El mayor número de propuestas de mejora se realizaron durante la reunión anual de la oficina de examen de la OCVV en diciembre de 2021, cuando la mayoría de las partes interesadas antes mencionadas pudieron participar en los debates. Las principales mejoras de los requisitos de acreditación son las relativas a la formación, el mantenimiento de registros, los avances en los procesos de examen DHE, la actualización de colecciones de variedades y las medidas que se han de tomar en los ensayos DHE para mitigar los efectos del cambio climático. En abril de 2022, el Consejo de Administración de la OCVV aprobó los nuevos requisitos de acreditación (revisados), los cuales entrarán en vigor el 1 de enero de 2023, en coincidencia con el nuevo ciclo de evaluaciones del QAS para el período 2023-2025.</w:t>
      </w:r>
    </w:p>
    <w:p w:rsidR="00E70F71" w:rsidRPr="0075789D" w:rsidRDefault="00E70F71" w:rsidP="00E70F71">
      <w:pPr>
        <w:autoSpaceDE w:val="0"/>
        <w:autoSpaceDN w:val="0"/>
        <w:adjustRightInd w:val="0"/>
        <w:rPr>
          <w:rFonts w:cs="Calibri"/>
          <w:lang w:val="es-419"/>
        </w:rPr>
      </w:pPr>
    </w:p>
    <w:p w:rsidR="00E70F71" w:rsidRPr="0075789D" w:rsidRDefault="00E70F71" w:rsidP="00E70F71">
      <w:pPr>
        <w:autoSpaceDE w:val="0"/>
        <w:autoSpaceDN w:val="0"/>
        <w:adjustRightInd w:val="0"/>
        <w:rPr>
          <w:rFonts w:cs="Calibri"/>
          <w:lang w:val="es-419"/>
        </w:rPr>
      </w:pPr>
      <w:r w:rsidRPr="0075789D">
        <w:rPr>
          <w:lang w:val="es-419"/>
        </w:rPr>
        <w:t xml:space="preserve">Durante el primer semestre de 2021, el QAS llevó a cabo actividades de evaluación continua respecto del proyecto de la OAPI a sus oficinas de examen designadas del Camerún y Burkina Faso por medio de teleconferencias y a las oficinas de examen del Senegal y </w:t>
      </w:r>
      <w:proofErr w:type="spellStart"/>
      <w:r w:rsidRPr="0075789D">
        <w:rPr>
          <w:lang w:val="es-419"/>
        </w:rPr>
        <w:t>Côte</w:t>
      </w:r>
      <w:proofErr w:type="spellEnd"/>
      <w:r w:rsidRPr="0075789D">
        <w:rPr>
          <w:lang w:val="es-419"/>
        </w:rPr>
        <w:t xml:space="preserve"> </w:t>
      </w:r>
      <w:proofErr w:type="spellStart"/>
      <w:r w:rsidRPr="0075789D">
        <w:rPr>
          <w:lang w:val="es-419"/>
        </w:rPr>
        <w:t>d’Ivoire</w:t>
      </w:r>
      <w:proofErr w:type="spellEnd"/>
      <w:r w:rsidRPr="0075789D">
        <w:rPr>
          <w:lang w:val="es-419"/>
        </w:rPr>
        <w:t xml:space="preserve"> mediante visitas sobre el terreno. Durante este período, el QAS también impartió formación por medio de un seminario web celebrado en febrero de 2022, además de visitas sobre el terreno en el marco del programa TAIWX de la UE a las autoridades de protección de las obtenciones vegetales de la República Dominicana, para proporcionar formación sobre la organización de los ensayos DHE en condiciones óptimas y con el fin de garantizar la independencia e imparcialidad de los exámenes técnicos.</w:t>
      </w:r>
    </w:p>
    <w:p w:rsidR="00E70F71" w:rsidRPr="0075789D" w:rsidRDefault="00E70F71" w:rsidP="00E70F71">
      <w:pPr>
        <w:autoSpaceDE w:val="0"/>
        <w:autoSpaceDN w:val="0"/>
        <w:adjustRightInd w:val="0"/>
        <w:rPr>
          <w:rFonts w:cs="Calibri"/>
          <w:lang w:val="es-419"/>
        </w:rPr>
      </w:pPr>
    </w:p>
    <w:p w:rsidR="00E70F71" w:rsidRPr="0075789D" w:rsidRDefault="00E70F71" w:rsidP="00E70F71">
      <w:pPr>
        <w:autoSpaceDE w:val="0"/>
        <w:autoSpaceDN w:val="0"/>
        <w:adjustRightInd w:val="0"/>
        <w:rPr>
          <w:rFonts w:cs="Calibri"/>
          <w:lang w:val="es-419"/>
        </w:rPr>
      </w:pPr>
    </w:p>
    <w:p w:rsidR="00E70F71" w:rsidRPr="0075789D" w:rsidRDefault="00E70F71" w:rsidP="00E70F71">
      <w:pPr>
        <w:keepNext/>
        <w:rPr>
          <w:u w:val="single"/>
          <w:lang w:val="es-419"/>
        </w:rPr>
      </w:pPr>
      <w:r w:rsidRPr="0075789D">
        <w:rPr>
          <w:u w:val="single"/>
          <w:lang w:val="es-419"/>
        </w:rPr>
        <w:t>5)</w:t>
      </w:r>
      <w:r w:rsidRPr="0075789D">
        <w:rPr>
          <w:u w:val="single"/>
          <w:lang w:val="es-419"/>
        </w:rPr>
        <w:tab/>
        <w:t xml:space="preserve">Actividades para la promoción de la protección de las obtenciones vegetales </w:t>
      </w:r>
    </w:p>
    <w:p w:rsidR="00E70F71" w:rsidRPr="0075789D" w:rsidRDefault="00E70F71" w:rsidP="00E70F71">
      <w:pPr>
        <w:keepNext/>
        <w:rPr>
          <w:lang w:val="es-419"/>
        </w:rPr>
      </w:pPr>
    </w:p>
    <w:p w:rsidR="00E70F71" w:rsidRPr="0075789D" w:rsidRDefault="00E70F71" w:rsidP="00E70F71">
      <w:pPr>
        <w:keepNext/>
        <w:rPr>
          <w:u w:val="single"/>
          <w:lang w:val="es-419"/>
        </w:rPr>
      </w:pPr>
      <w:r w:rsidRPr="0075789D">
        <w:rPr>
          <w:u w:val="single"/>
          <w:lang w:val="es-419"/>
        </w:rPr>
        <w:t>5.1 Cooperación internacional</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En 2021, la OCVV revisó su estrategia de relaciones internacionales. El alcance de la cooperación de la Oficina se extendió de manera considerable en los últimos años, a fin de adaptarse a las políticas en continua evolución que emprende el sector del </w:t>
      </w:r>
      <w:proofErr w:type="spellStart"/>
      <w:r w:rsidRPr="0075789D">
        <w:rPr>
          <w:lang w:val="es-419"/>
        </w:rPr>
        <w:t>fitomejoramiento</w:t>
      </w:r>
      <w:proofErr w:type="spellEnd"/>
      <w:r w:rsidRPr="0075789D">
        <w:rPr>
          <w:lang w:val="es-419"/>
        </w:rPr>
        <w:t xml:space="preserve">. </w:t>
      </w:r>
    </w:p>
    <w:p w:rsidR="00E70F71" w:rsidRPr="0075789D" w:rsidRDefault="00E70F71" w:rsidP="00E70F71">
      <w:pPr>
        <w:rPr>
          <w:lang w:val="es-419"/>
        </w:rPr>
      </w:pPr>
    </w:p>
    <w:p w:rsidR="00E70F71" w:rsidRPr="0075789D" w:rsidRDefault="00E70F71" w:rsidP="00E70F71">
      <w:pPr>
        <w:rPr>
          <w:lang w:val="es-419"/>
        </w:rPr>
      </w:pPr>
      <w:r w:rsidRPr="0075789D">
        <w:rPr>
          <w:lang w:val="es-419"/>
        </w:rPr>
        <w:t>La OCVV sigue ofreciendo sus conocimientos especializados por medio de la cooperación bilateral y multilateral con socios estratégicos, tales como la EUIPO, la EPO y la UPOV, las oficinas de protección de las obtenciones vegetales y de examen, las organizaciones sectoriales, aparte de las relaciones bilaterales continuas con países y organizaciones internacionales clave concretos, como por ejemplo diálogos perdurables con China, el Japón, la OAPI y la ARIPO.</w:t>
      </w:r>
    </w:p>
    <w:p w:rsidR="00E70F71" w:rsidRPr="0075789D" w:rsidRDefault="00E70F71" w:rsidP="00E70F71">
      <w:pPr>
        <w:rPr>
          <w:lang w:val="es-419"/>
        </w:rPr>
      </w:pPr>
    </w:p>
    <w:p w:rsidR="00E70F71" w:rsidRPr="0075789D" w:rsidRDefault="00E70F71" w:rsidP="00E70F71">
      <w:pPr>
        <w:rPr>
          <w:lang w:val="es-419"/>
        </w:rPr>
      </w:pPr>
      <w:r w:rsidRPr="0075789D">
        <w:rPr>
          <w:lang w:val="es-419"/>
        </w:rPr>
        <w:t>Los proyectos IP Key de cooperación internacional se llevan a cabo bajo la dirección de la Comisión Europea y en colaboración con la Oficina de Propiedad Intelectual de la Unión Europea (EUIPO), y su objetivo es fortalecer la protección de la propiedad intelectual en China, América Latina y los países de la ASEAN. Además de los proyectos IP Key, la EUIPO ejecuta, en nombre de la Comisión Europea, un proyecto en el Caribe (</w:t>
      </w:r>
      <w:proofErr w:type="spellStart"/>
      <w:r w:rsidRPr="0075789D">
        <w:rPr>
          <w:lang w:val="es-419"/>
        </w:rPr>
        <w:t>CarIPI</w:t>
      </w:r>
      <w:proofErr w:type="spellEnd"/>
      <w:r w:rsidRPr="0075789D">
        <w:rPr>
          <w:lang w:val="es-419"/>
        </w:rPr>
        <w:t>), otro en África (</w:t>
      </w:r>
      <w:proofErr w:type="spellStart"/>
      <w:r w:rsidRPr="0075789D">
        <w:rPr>
          <w:lang w:val="es-419"/>
        </w:rPr>
        <w:t>AfrIPI</w:t>
      </w:r>
      <w:proofErr w:type="spellEnd"/>
      <w:r w:rsidRPr="0075789D">
        <w:rPr>
          <w:lang w:val="es-419"/>
        </w:rPr>
        <w:t xml:space="preserve">) y otro en los países del Mercosur (AL-INVEST PI). En el marco de estos proyectos se organizan seminarios y talleres de capacitación recíproca y se facilitan estudios y apoyo jurídico a los países beneficiarios, entre otras actividades. </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A partir de las lecciones extraídas de los momentos más difíciles de la pandemia de COVID-19, muchos proyectos se ejecutaron en línea o mediante actividades híbridas, aunque también se organizaron algunas presenciales. </w:t>
      </w:r>
    </w:p>
    <w:p w:rsidR="00E70F71" w:rsidRPr="0075789D" w:rsidRDefault="00E70F71" w:rsidP="00E70F71">
      <w:pPr>
        <w:rPr>
          <w:sz w:val="18"/>
          <w:szCs w:val="18"/>
          <w:lang w:val="es-419"/>
        </w:rPr>
      </w:pPr>
    </w:p>
    <w:p w:rsidR="00E70F71" w:rsidRPr="0075789D" w:rsidRDefault="00E70F71" w:rsidP="00E70F71">
      <w:pPr>
        <w:keepNext/>
        <w:rPr>
          <w:i/>
          <w:szCs w:val="18"/>
          <w:lang w:val="es-419"/>
        </w:rPr>
      </w:pPr>
      <w:proofErr w:type="spellStart"/>
      <w:r w:rsidRPr="0075789D">
        <w:rPr>
          <w:i/>
          <w:lang w:val="es-419"/>
        </w:rPr>
        <w:t>IPKey</w:t>
      </w:r>
      <w:proofErr w:type="spellEnd"/>
      <w:r w:rsidRPr="0075789D">
        <w:rPr>
          <w:i/>
          <w:lang w:val="es-419"/>
        </w:rPr>
        <w:t xml:space="preserve"> China:</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Seminario de fomento de la sensibilización, el 8 de noviembre de 2021: los representantes de la Unión Internacional para la Protección de las Obtenciones Vegetales (UPOV) informaron de las últimas novedades en materia de protección de las obtenciones vegetales a más de 130 participantes de la Unión Europea y China. Posteriormente, las partes interesadas del sector agrícola y el sector del </w:t>
      </w:r>
      <w:proofErr w:type="spellStart"/>
      <w:r w:rsidRPr="0075789D">
        <w:rPr>
          <w:lang w:val="es-419"/>
        </w:rPr>
        <w:t>fitomejoramiento</w:t>
      </w:r>
      <w:proofErr w:type="spellEnd"/>
      <w:r w:rsidRPr="0075789D">
        <w:rPr>
          <w:lang w:val="es-419"/>
        </w:rPr>
        <w:t xml:space="preserve">, tales como los responsables de hacer cumplir las normas, productores y científicos intercambiaron sus experiencias y puntos de vista acerca de la importancia de la protección de las obtenciones vegetales y acerca de los mecanismos disponibles para defender sus derechos sobre las obtenciones vegetales. La protección de las obtenciones vegetales es fundamental para promover la innovación y tiene un efecto directo en la economía, la sociedad y el medio ambiente (se encontrará la fuente y más información en la dirección: </w:t>
      </w:r>
      <w:hyperlink r:id="rId50" w:history="1">
        <w:r w:rsidRPr="0075789D">
          <w:rPr>
            <w:rStyle w:val="Hyperlink"/>
            <w:lang w:val="es-419"/>
          </w:rPr>
          <w:t>https://ipkey.eu/en/china/activities/plant-variety-protection-awareness-raising-seminar</w:t>
        </w:r>
      </w:hyperlink>
      <w:r w:rsidRPr="0075789D">
        <w:rPr>
          <w:lang w:val="es-419"/>
        </w:rPr>
        <w:t xml:space="preserve">). </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Formación técnica, del 3 al 5 de noviembre de 2021: la OCVV y las oficinas de examen acreditadas de Alemania, España, Francia y los Países Bajos celebraron sesiones sobre asuntos relativos al proceso de examen de la distinción, la homogeneidad y la estabilidad (DHE), centradas en la introducción de un enfoque más horizontal o en la experiencia de la UE en el examen de cultivos concretos tales como el melón, el tomate, el rododendro y el crisantemo (se encontrará la fuente y más información en la dirección: </w:t>
      </w:r>
      <w:hyperlink r:id="rId51" w:history="1">
        <w:r w:rsidRPr="0075789D">
          <w:rPr>
            <w:rStyle w:val="Hyperlink"/>
            <w:lang w:val="es-419"/>
          </w:rPr>
          <w:t>https://ipkey.eu/en/china/activities/2021-plant-variety-rights-online-technical-training</w:t>
        </w:r>
      </w:hyperlink>
      <w:r w:rsidRPr="0075789D">
        <w:rPr>
          <w:lang w:val="es-419"/>
        </w:rPr>
        <w:t>).</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Seminario sobre legislación: modificaciones de los derechos sobre obtenciones vegetales, el 6 de mayo de 2022, centrado en la reciente modificación de la ley china de semillas (se encontrará más información en la dirección: </w:t>
      </w:r>
      <w:hyperlink r:id="rId52" w:history="1">
        <w:r w:rsidRPr="0075789D">
          <w:rPr>
            <w:rStyle w:val="Hyperlink"/>
            <w:lang w:val="es-419"/>
          </w:rPr>
          <w:t>https://ipkey.eu/en/china/activities/legislation-seminar-plant-variety-rights-amendments</w:t>
        </w:r>
      </w:hyperlink>
      <w:r w:rsidRPr="0075789D">
        <w:rPr>
          <w:lang w:val="es-419"/>
        </w:rPr>
        <w:t xml:space="preserve">). </w:t>
      </w:r>
    </w:p>
    <w:p w:rsidR="00E70F71" w:rsidRPr="0075789D" w:rsidRDefault="00E70F71" w:rsidP="00E70F71">
      <w:pPr>
        <w:rPr>
          <w:lang w:val="es-419"/>
        </w:rPr>
      </w:pPr>
    </w:p>
    <w:p w:rsidR="00E70F71" w:rsidRPr="0075789D" w:rsidRDefault="00E70F71" w:rsidP="00E70F71">
      <w:pPr>
        <w:keepNext/>
        <w:rPr>
          <w:i/>
          <w:szCs w:val="18"/>
          <w:lang w:val="es-419"/>
        </w:rPr>
      </w:pPr>
      <w:r w:rsidRPr="0075789D">
        <w:rPr>
          <w:i/>
          <w:lang w:val="es-419"/>
        </w:rPr>
        <w:t xml:space="preserve">IP Key Sudeste Asiático: </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Seminario web de fomento de la sensibilización respecto del Acta de 1991 del Convenio la UPOV, el </w:t>
      </w:r>
      <w:r>
        <w:rPr>
          <w:lang w:val="es-419"/>
        </w:rPr>
        <w:br/>
      </w:r>
      <w:r w:rsidRPr="0075789D">
        <w:rPr>
          <w:lang w:val="es-419"/>
        </w:rPr>
        <w:t xml:space="preserve">17 de enero de 2022: seguimiento de actividades anteriores sobre la protección de las obtenciones vegetales dirigido a promover sistemas eficaces de protección de las obtenciones vegetales en el Sudeste Asiático a fin de respaldar la adhesión de los países de la región al Acta de 1991 del Convenio de la UPOV. En la actividad se pusieron de relieve los beneficios que la protección de las obtenciones vegetales acarrea para el desarrollo socioeconómico y su contribución a la sostenibilidad agrícola. El seminario web también abordó las cuestiones planteadas respecto de la protección de las obtenciones vegetales y la adhesión al Acta de 1991 del Convenio de la UPOV (se encontrará la fuente y más información en la dirección: </w:t>
      </w:r>
      <w:hyperlink r:id="rId53" w:history="1">
        <w:r w:rsidRPr="0075789D">
          <w:rPr>
            <w:rStyle w:val="Hyperlink"/>
            <w:lang w:val="es-419"/>
          </w:rPr>
          <w:t>https://ipkey.eu/en/south-east-asia/activities/webinar-plant-variety-protection-and-upov-1991</w:t>
        </w:r>
      </w:hyperlink>
      <w:r w:rsidRPr="0075789D">
        <w:rPr>
          <w:lang w:val="es-419"/>
        </w:rPr>
        <w:t xml:space="preserve">). </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Respaldo a la adhesión de los países del Sudeste Asiático al Acta de 1991 del Convenio de la UPOV, el </w:t>
      </w:r>
      <w:r>
        <w:rPr>
          <w:lang w:val="es-419"/>
        </w:rPr>
        <w:br/>
      </w:r>
      <w:r w:rsidRPr="0075789D">
        <w:rPr>
          <w:lang w:val="es-419"/>
        </w:rPr>
        <w:t xml:space="preserve">18 de enero de 2022: sesión a puerta cerrada y participación limitada a los funcionarios de protección de las obtenciones vegetales de los países del Sudeste Asiático (se encontrará más información en la dirección: </w:t>
      </w:r>
      <w:hyperlink r:id="rId54" w:history="1">
        <w:r w:rsidRPr="0075789D">
          <w:rPr>
            <w:rStyle w:val="Hyperlink"/>
            <w:lang w:val="es-419"/>
          </w:rPr>
          <w:t>https://ipkey.eu/en/south-east-asia/activities/support-accession-sea-countries-upov-1991-convention</w:t>
        </w:r>
      </w:hyperlink>
      <w:r w:rsidRPr="0075789D">
        <w:rPr>
          <w:lang w:val="es-419"/>
        </w:rPr>
        <w:t xml:space="preserve">) </w:t>
      </w:r>
    </w:p>
    <w:p w:rsidR="00E70F71" w:rsidRPr="0075789D" w:rsidRDefault="00E70F71" w:rsidP="00E70F71">
      <w:pPr>
        <w:rPr>
          <w:lang w:val="es-419"/>
        </w:rPr>
      </w:pPr>
    </w:p>
    <w:p w:rsidR="00E70F71" w:rsidRPr="0075789D" w:rsidRDefault="00E70F71" w:rsidP="00E70F71">
      <w:pPr>
        <w:keepNext/>
        <w:rPr>
          <w:bCs/>
          <w:i/>
          <w:szCs w:val="18"/>
          <w:lang w:val="es-419"/>
        </w:rPr>
      </w:pPr>
      <w:proofErr w:type="spellStart"/>
      <w:r w:rsidRPr="0075789D">
        <w:rPr>
          <w:i/>
          <w:lang w:val="es-419"/>
        </w:rPr>
        <w:t>IPKey</w:t>
      </w:r>
      <w:proofErr w:type="spellEnd"/>
      <w:r w:rsidRPr="0075789D">
        <w:rPr>
          <w:i/>
          <w:lang w:val="es-419"/>
        </w:rPr>
        <w:t xml:space="preserve"> América Latina: </w:t>
      </w:r>
    </w:p>
    <w:p w:rsidR="00E70F71" w:rsidRPr="0075789D" w:rsidRDefault="00E70F71" w:rsidP="00E70F71">
      <w:pPr>
        <w:keepNext/>
        <w:rPr>
          <w:bCs/>
          <w:lang w:val="es-419"/>
        </w:rPr>
      </w:pPr>
    </w:p>
    <w:p w:rsidR="00E70F71" w:rsidRPr="0075789D" w:rsidRDefault="00E70F71" w:rsidP="00E70F71">
      <w:pPr>
        <w:rPr>
          <w:bCs/>
          <w:lang w:val="es-419"/>
        </w:rPr>
      </w:pPr>
      <w:r w:rsidRPr="0075789D">
        <w:rPr>
          <w:lang w:val="es-419"/>
        </w:rPr>
        <w:t xml:space="preserve">En 2021, en el marco del proyecto, se llevó a cabo un estudio sobre la protección de las obtenciones vegetales en el Ecuador. El estudio se presentó en abril de 2022 durante una actividad a puerta cerrada entre autoridades ecuatorianas, la EUIPO y la Comisión Europea (delegación). </w:t>
      </w:r>
    </w:p>
    <w:p w:rsidR="00E70F71" w:rsidRPr="0075789D" w:rsidRDefault="00E70F71" w:rsidP="00E70F71">
      <w:pPr>
        <w:rPr>
          <w:bCs/>
          <w:lang w:val="es-419"/>
        </w:rPr>
      </w:pPr>
    </w:p>
    <w:p w:rsidR="00E70F71" w:rsidRPr="0075789D" w:rsidRDefault="00E70F71" w:rsidP="00E70F71">
      <w:pPr>
        <w:keepNext/>
        <w:rPr>
          <w:i/>
          <w:szCs w:val="18"/>
          <w:lang w:val="es-419"/>
        </w:rPr>
      </w:pPr>
      <w:proofErr w:type="spellStart"/>
      <w:r w:rsidRPr="0075789D">
        <w:rPr>
          <w:i/>
          <w:lang w:val="es-419"/>
        </w:rPr>
        <w:t>CarIPI</w:t>
      </w:r>
      <w:proofErr w:type="spellEnd"/>
      <w:r w:rsidRPr="0075789D">
        <w:rPr>
          <w:i/>
          <w:lang w:val="es-419"/>
        </w:rPr>
        <w:t xml:space="preserve">: </w:t>
      </w:r>
    </w:p>
    <w:p w:rsidR="00E70F71" w:rsidRPr="0075789D" w:rsidRDefault="00E70F71" w:rsidP="00E70F71">
      <w:pPr>
        <w:keepNext/>
        <w:rPr>
          <w:rFonts w:eastAsia="Calibri"/>
          <w:lang w:val="es-419"/>
        </w:rPr>
      </w:pPr>
    </w:p>
    <w:p w:rsidR="00E70F71" w:rsidRPr="0075789D" w:rsidRDefault="00E70F71" w:rsidP="00E70F71">
      <w:pPr>
        <w:rPr>
          <w:rFonts w:eastAsia="Calibri"/>
          <w:lang w:val="es-419"/>
        </w:rPr>
      </w:pPr>
      <w:r w:rsidRPr="0075789D">
        <w:rPr>
          <w:lang w:val="es-419"/>
        </w:rPr>
        <w:t>Participación en la Semana de la Agricultura del Caribe en octubre de 2021</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Cooperación regional en materia de derechos sobre las obtenciones vegetales y visita de estudio los días 19 y 20 de mayo de 2022. Fue una de las pocas actividades presenciales; se organizó un seminario regional en persona en la República Dominicana sobre cooperación en materia de derechos de obtentor, sumado a visitas a algunas de las empresas obtentoras que se benefician del sistema de protección de las obtenciones vegetales. La actividad estuvo dirigida a las instancias decisorias de los ministerios de agricultura, oficinas de PI o coordinadores de la EPA (se encontrará la fuente y más información en la dirección: </w:t>
      </w:r>
      <w:hyperlink r:id="rId55" w:history="1">
        <w:r w:rsidRPr="0075789D">
          <w:rPr>
            <w:rStyle w:val="Hyperlink"/>
            <w:lang w:val="es-419"/>
          </w:rPr>
          <w:t>https://internationalipcooperation.eu/en/caripi/activities/regional-cooperation-plant-variety-rights-study-visit</w:t>
        </w:r>
      </w:hyperlink>
      <w:r w:rsidRPr="0075789D">
        <w:rPr>
          <w:lang w:val="es-419"/>
        </w:rPr>
        <w:t xml:space="preserve">). </w:t>
      </w:r>
    </w:p>
    <w:p w:rsidR="00E70F71" w:rsidRPr="0075789D" w:rsidRDefault="00E70F71" w:rsidP="00E70F71">
      <w:pPr>
        <w:rPr>
          <w:lang w:val="es-419"/>
        </w:rPr>
      </w:pPr>
    </w:p>
    <w:p w:rsidR="00E70F71" w:rsidRPr="0075789D" w:rsidRDefault="00E70F71" w:rsidP="00E70F71">
      <w:pPr>
        <w:keepNext/>
        <w:rPr>
          <w:i/>
          <w:szCs w:val="18"/>
          <w:lang w:val="es-419"/>
        </w:rPr>
      </w:pPr>
      <w:proofErr w:type="spellStart"/>
      <w:r w:rsidRPr="0075789D">
        <w:rPr>
          <w:i/>
          <w:lang w:val="es-419"/>
        </w:rPr>
        <w:t>AfrIPI</w:t>
      </w:r>
      <w:proofErr w:type="spellEnd"/>
      <w:r w:rsidRPr="0075789D">
        <w:rPr>
          <w:i/>
          <w:lang w:val="es-419"/>
        </w:rPr>
        <w:t>:</w:t>
      </w:r>
    </w:p>
    <w:p w:rsidR="00E70F71" w:rsidRPr="0075789D" w:rsidRDefault="00E70F71" w:rsidP="00E70F71">
      <w:pPr>
        <w:keepNext/>
        <w:rPr>
          <w:bCs/>
          <w:lang w:val="es-419"/>
        </w:rPr>
      </w:pPr>
    </w:p>
    <w:p w:rsidR="00E70F71" w:rsidRPr="0075789D" w:rsidRDefault="00E70F71" w:rsidP="00E70F71">
      <w:pPr>
        <w:rPr>
          <w:lang w:val="es-419"/>
        </w:rPr>
      </w:pPr>
      <w:r w:rsidRPr="0075789D">
        <w:rPr>
          <w:lang w:val="es-419"/>
        </w:rPr>
        <w:t>En el marco del proyecto </w:t>
      </w:r>
      <w:proofErr w:type="spellStart"/>
      <w:r w:rsidRPr="0075789D">
        <w:rPr>
          <w:lang w:val="es-419"/>
        </w:rPr>
        <w:t>AfrIPI</w:t>
      </w:r>
      <w:proofErr w:type="spellEnd"/>
      <w:r w:rsidRPr="0075789D">
        <w:rPr>
          <w:lang w:val="es-419"/>
        </w:rPr>
        <w:t xml:space="preserve">, la OCVV junto con la UPOV y el equipo del proyecto organizaron una actividad, el 9 de noviembre de 2021, centrada en las posibilidades y los beneficios que ofrece el Protocolo de </w:t>
      </w:r>
      <w:proofErr w:type="spellStart"/>
      <w:r w:rsidRPr="0075789D">
        <w:rPr>
          <w:lang w:val="es-419"/>
        </w:rPr>
        <w:t>Arusha</w:t>
      </w:r>
      <w:proofErr w:type="spellEnd"/>
      <w:r w:rsidRPr="0075789D">
        <w:rPr>
          <w:lang w:val="es-419"/>
        </w:rPr>
        <w:t xml:space="preserve">. </w:t>
      </w:r>
    </w:p>
    <w:p w:rsidR="00E70F71" w:rsidRPr="0075789D" w:rsidRDefault="00E70F71" w:rsidP="00E70F71">
      <w:pPr>
        <w:rPr>
          <w:lang w:val="es-419"/>
        </w:rPr>
      </w:pPr>
    </w:p>
    <w:p w:rsidR="00E70F71" w:rsidRPr="0075789D" w:rsidRDefault="00E70F71" w:rsidP="00E70F71">
      <w:pPr>
        <w:rPr>
          <w:lang w:val="es-419"/>
        </w:rPr>
      </w:pPr>
      <w:r w:rsidRPr="0075789D">
        <w:rPr>
          <w:lang w:val="es-419"/>
        </w:rPr>
        <w:t>La OCVV continuó también proporcionando a la OAPI asistencia técnica en el proyecto “Fortalecimiento y promoción del sistema de protección de las obtenciones vegetales” (Proyecto PPOV), y además organizó actividades en el Caribe, bajo la supervisión del Instrumento de asistencia técnica e intercambio de información de la Unión Europea (TAIEX), para respaldar la implantación del sistema de protección de las obtenciones vegetales en la República Dominicana. Las actividades organizadas fueron las siguientes:</w:t>
      </w:r>
    </w:p>
    <w:p w:rsidR="00E70F71" w:rsidRPr="0075789D" w:rsidRDefault="00E70F71" w:rsidP="00E70F71">
      <w:pPr>
        <w:rPr>
          <w:lang w:val="es-419"/>
        </w:rPr>
      </w:pPr>
    </w:p>
    <w:p w:rsidR="00E70F71" w:rsidRPr="0075789D" w:rsidRDefault="00E70F71" w:rsidP="00E70F71">
      <w:pPr>
        <w:numPr>
          <w:ilvl w:val="0"/>
          <w:numId w:val="36"/>
        </w:numPr>
        <w:rPr>
          <w:lang w:val="es-419"/>
        </w:rPr>
      </w:pPr>
      <w:r w:rsidRPr="0075789D">
        <w:rPr>
          <w:lang w:val="es-419"/>
        </w:rPr>
        <w:t>Visita de estudio a Santo Domingo, en marzo de 2022</w:t>
      </w:r>
    </w:p>
    <w:p w:rsidR="00E70F71" w:rsidRPr="0075789D" w:rsidRDefault="00E70F71" w:rsidP="00E70F71">
      <w:pPr>
        <w:rPr>
          <w:lang w:val="es-419"/>
        </w:rPr>
      </w:pPr>
    </w:p>
    <w:p w:rsidR="00E70F71" w:rsidRPr="0075789D" w:rsidRDefault="00E70F71" w:rsidP="00E70F71">
      <w:pPr>
        <w:numPr>
          <w:ilvl w:val="0"/>
          <w:numId w:val="36"/>
        </w:numPr>
        <w:rPr>
          <w:lang w:val="es-419"/>
        </w:rPr>
      </w:pPr>
      <w:r w:rsidRPr="0075789D">
        <w:rPr>
          <w:lang w:val="es-419"/>
        </w:rPr>
        <w:t>Visita de estudio de una delegación de la República Dominicana a España a fin de llevar a cabo actividades de fortalecimiento de capacidades de los expertos técnicos, específicamente en materia del examen DHE para el arroz (en cooperación con la Oficina Española de Variedades Vegetales (OEVV) en julio de 2022.</w:t>
      </w:r>
    </w:p>
    <w:p w:rsidR="00E70F71" w:rsidRPr="0075789D" w:rsidRDefault="00E70F71" w:rsidP="00E70F71">
      <w:pPr>
        <w:rPr>
          <w:lang w:val="es-419"/>
        </w:rPr>
      </w:pPr>
    </w:p>
    <w:p w:rsidR="00E70F71" w:rsidRPr="0075789D" w:rsidRDefault="00E70F71" w:rsidP="00E70F71">
      <w:pPr>
        <w:numPr>
          <w:ilvl w:val="0"/>
          <w:numId w:val="36"/>
        </w:numPr>
        <w:rPr>
          <w:lang w:val="es-419"/>
        </w:rPr>
      </w:pPr>
      <w:r w:rsidRPr="0075789D">
        <w:rPr>
          <w:lang w:val="es-419"/>
        </w:rPr>
        <w:t>Visita de estudio de la directora de la Oficina para el Registro de Variedades y Obtenciones Vegetales (OREVADO), en julio de 2022.</w:t>
      </w:r>
    </w:p>
    <w:p w:rsidR="00E70F71" w:rsidRPr="0075789D" w:rsidRDefault="00E70F71" w:rsidP="00E70F71">
      <w:pPr>
        <w:rPr>
          <w:lang w:val="es-419"/>
        </w:rPr>
      </w:pPr>
    </w:p>
    <w:p w:rsidR="00E70F71" w:rsidRPr="0075789D" w:rsidRDefault="00E70F71" w:rsidP="00E70F71">
      <w:pPr>
        <w:numPr>
          <w:ilvl w:val="0"/>
          <w:numId w:val="36"/>
        </w:numPr>
        <w:rPr>
          <w:lang w:val="es-419"/>
        </w:rPr>
      </w:pPr>
      <w:r w:rsidRPr="0075789D">
        <w:rPr>
          <w:lang w:val="es-419"/>
        </w:rPr>
        <w:t xml:space="preserve">Como seguimiento y dado que se trata de una actividad parcialmente subvencionada, se concedió una beca de corto plazo al responsable de Asuntos Jurídicos de la OREVADO, para julio-agosto </w:t>
      </w:r>
      <w:r w:rsidRPr="0075789D">
        <w:rPr>
          <w:lang w:val="es-419"/>
        </w:rPr>
        <w:lastRenderedPageBreak/>
        <w:t xml:space="preserve">de 2022, a fin de cambiar impresiones acerca de las mejores prácticas de gestión del proceso de recepción en los procedimientos jurídicos. </w:t>
      </w:r>
    </w:p>
    <w:p w:rsidR="00E70F71" w:rsidRPr="0075789D" w:rsidRDefault="00E70F71" w:rsidP="00E70F71">
      <w:pPr>
        <w:rPr>
          <w:sz w:val="18"/>
          <w:szCs w:val="18"/>
          <w:lang w:val="es-419"/>
        </w:rPr>
      </w:pPr>
    </w:p>
    <w:p w:rsidR="00E70F71" w:rsidRPr="0075789D" w:rsidRDefault="00E70F71" w:rsidP="00E70F71">
      <w:pPr>
        <w:keepNext/>
        <w:rPr>
          <w:bCs/>
          <w:i/>
          <w:szCs w:val="18"/>
          <w:lang w:val="es-419"/>
        </w:rPr>
      </w:pPr>
      <w:r w:rsidRPr="0075789D">
        <w:rPr>
          <w:i/>
          <w:lang w:val="es-419"/>
        </w:rPr>
        <w:t>Reuniones de la UPOV</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La Comisión y los representantes de la OCVV que integran la delegación de la UE asistieron a las reuniones del Consejo, el Comité Consultivo, el Comité Administrativo y Jurídico y el Comité Técnico de la UPOV. La OCVV asistió a los TWP. En concreto, asistió a los grupos de trabajo sobre el formulario electrónico de solicitud, sobre el producto de la cosecha y la utilización no autorizada de material de reproducción o de multiplicación (WG-HRG), sobre orientaciones relativas a los agricultores a pequeña escala en un marco privado y con fines no comerciales (WS-SHF) y sobre variedades esencialmente derivadas (WG-EDV)</w:t>
      </w:r>
    </w:p>
    <w:p w:rsidR="00E70F71" w:rsidRPr="0075789D" w:rsidRDefault="00E70F71" w:rsidP="00E70F71">
      <w:pPr>
        <w:rPr>
          <w:lang w:val="es-419"/>
        </w:rPr>
      </w:pPr>
    </w:p>
    <w:p w:rsidR="00E70F71" w:rsidRPr="0075789D" w:rsidRDefault="00E70F71" w:rsidP="00E70F71">
      <w:pPr>
        <w:keepNext/>
        <w:rPr>
          <w:bCs/>
          <w:i/>
          <w:szCs w:val="18"/>
          <w:lang w:val="es-419"/>
        </w:rPr>
      </w:pPr>
      <w:r w:rsidRPr="0075789D">
        <w:rPr>
          <w:i/>
          <w:lang w:val="es-419"/>
        </w:rPr>
        <w:t>Foro EAPVP</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Participación en el 14.º y 15.º foro anual (agosto-septiembre de 2021 y julio de 2022). La reunión anual del Foro EAPVP tiene por objeto informar sobre las actividades del año anterior y planificar futuras iniciativas de cooperación, incluida la actualización del proyecto piloto del Foro EAPVP sobre el establecimiento de una plataforma de e-PVP </w:t>
      </w:r>
    </w:p>
    <w:p w:rsidR="00E70F71" w:rsidRPr="0075789D" w:rsidRDefault="00E70F71" w:rsidP="00E70F71">
      <w:pPr>
        <w:rPr>
          <w:sz w:val="18"/>
          <w:szCs w:val="18"/>
          <w:lang w:val="es-419"/>
        </w:rPr>
      </w:pPr>
    </w:p>
    <w:p w:rsidR="00E70F71" w:rsidRPr="0075789D" w:rsidRDefault="00E70F71" w:rsidP="00E70F71">
      <w:pPr>
        <w:keepNext/>
        <w:rPr>
          <w:bCs/>
          <w:i/>
          <w:szCs w:val="18"/>
          <w:lang w:val="es-419"/>
        </w:rPr>
      </w:pPr>
      <w:r w:rsidRPr="0075789D">
        <w:rPr>
          <w:i/>
          <w:lang w:val="es-419"/>
        </w:rPr>
        <w:t xml:space="preserve">La OCVV y la Organización Europea de Patentes </w:t>
      </w:r>
    </w:p>
    <w:p w:rsidR="00E70F71" w:rsidRPr="0075789D" w:rsidRDefault="00E70F71" w:rsidP="00E70F71">
      <w:pPr>
        <w:keepNext/>
        <w:rPr>
          <w:sz w:val="18"/>
          <w:szCs w:val="18"/>
          <w:lang w:val="es-419"/>
        </w:rPr>
      </w:pPr>
    </w:p>
    <w:p w:rsidR="00E70F71" w:rsidRPr="0075789D" w:rsidRDefault="00E70F71" w:rsidP="00E70F71">
      <w:pPr>
        <w:rPr>
          <w:lang w:val="es-419"/>
        </w:rPr>
      </w:pPr>
      <w:r w:rsidRPr="0075789D">
        <w:rPr>
          <w:lang w:val="es-419"/>
        </w:rPr>
        <w:t>El 31 de marzo de 2022, la OCVV renovó su acuerdo de cooperación por un período de cinco años con la Oficina Europea de Patentes (OEP) al suscribir el “Acuerdo administrativo N.º 2022/01373 de cooperación bilateral entre la EPO y la OCVV”, que incluye dos planes de ejecución. El acuerdo de cooperación renovado es continuación del acuerdo administrativo anterior (y primero), que se firmó en febrero de 2016 y permitió mayor transparencia e intercambio de conocimientos entre ambas organizaciones en el ámbito de las patentes de plantas y los derechos de obtentor, respectivamente. Los planes de cooperación contemplados en el nuevo acuerdo de cooperación se centran en el intercambio de datos y en prácticas de trabajo compartidas en lo que se refiere al uso de bases de datos y otros instrumentos de trabajo. El intercambio de datos permite a los examinadores buscar variedades vegetales protegidas por certificado y, de esta manera, reforzar la validez de las patentes europeas. Las bases de datos pertinentes también se han puesto a disposición de los Estados miembros de la Organización Europea de Patentes. En esencia, la OEP y la OCVV mantienen un diálogo permanente. Hasta ahora, este diálogo ha sido fundamental para la protección de innovaciones vegetales y será clave para hacer frente a los desafíos del siglo XXI.</w:t>
      </w:r>
    </w:p>
    <w:p w:rsidR="00E70F71" w:rsidRPr="0075789D" w:rsidRDefault="00E70F71" w:rsidP="00E70F71">
      <w:pPr>
        <w:rPr>
          <w:sz w:val="18"/>
          <w:szCs w:val="18"/>
          <w:lang w:val="es-419"/>
        </w:rPr>
      </w:pPr>
    </w:p>
    <w:p w:rsidR="00E70F71" w:rsidRPr="0075789D" w:rsidRDefault="00E70F71" w:rsidP="00E70F71">
      <w:pPr>
        <w:keepNext/>
        <w:rPr>
          <w:bCs/>
          <w:i/>
          <w:szCs w:val="18"/>
          <w:lang w:val="es-419"/>
        </w:rPr>
      </w:pPr>
      <w:r w:rsidRPr="0075789D">
        <w:rPr>
          <w:i/>
          <w:lang w:val="es-419"/>
        </w:rPr>
        <w:t>OAPI</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A comienzos de julio de 2019, la Comisión Europea firmó en Ginebra un contrato con la Organización Africana de la Propiedad Intelectual (OAPI) a fin de aportar fondos a la denominada “hoja de ruta” para la promoción de la propiedad intelectual, con objeto de fomentar la creación de nuevas variedades adaptadas al mercado africano e incentivar la puesta a disposición en el territorio de la OAPI de variedades mejoradas de otros países. La gestión del proyecto corresponde a la OAPI; la OCVV participa como asociado, junto con la UPOV, el </w:t>
      </w:r>
      <w:proofErr w:type="spellStart"/>
      <w:r w:rsidRPr="0075789D">
        <w:rPr>
          <w:i/>
          <w:iCs/>
          <w:lang w:val="es-419"/>
        </w:rPr>
        <w:t>Groupe</w:t>
      </w:r>
      <w:proofErr w:type="spellEnd"/>
      <w:r w:rsidRPr="0075789D">
        <w:rPr>
          <w:i/>
          <w:iCs/>
          <w:lang w:val="es-419"/>
        </w:rPr>
        <w:t xml:space="preserve"> </w:t>
      </w:r>
      <w:proofErr w:type="spellStart"/>
      <w:r w:rsidRPr="0075789D">
        <w:rPr>
          <w:i/>
          <w:iCs/>
          <w:lang w:val="es-419"/>
        </w:rPr>
        <w:t>d'Étude</w:t>
      </w:r>
      <w:proofErr w:type="spellEnd"/>
      <w:r w:rsidRPr="0075789D">
        <w:rPr>
          <w:i/>
          <w:iCs/>
          <w:lang w:val="es-419"/>
        </w:rPr>
        <w:t xml:space="preserve"> et de </w:t>
      </w:r>
      <w:proofErr w:type="spellStart"/>
      <w:r w:rsidRPr="0075789D">
        <w:rPr>
          <w:i/>
          <w:iCs/>
          <w:lang w:val="es-419"/>
        </w:rPr>
        <w:t>contrôle</w:t>
      </w:r>
      <w:proofErr w:type="spellEnd"/>
      <w:r w:rsidRPr="0075789D">
        <w:rPr>
          <w:i/>
          <w:iCs/>
          <w:lang w:val="es-419"/>
        </w:rPr>
        <w:t xml:space="preserve"> des </w:t>
      </w:r>
      <w:proofErr w:type="spellStart"/>
      <w:r w:rsidRPr="0075789D">
        <w:rPr>
          <w:i/>
          <w:iCs/>
          <w:lang w:val="es-419"/>
        </w:rPr>
        <w:t>Variétés</w:t>
      </w:r>
      <w:proofErr w:type="spellEnd"/>
      <w:r w:rsidRPr="0075789D">
        <w:rPr>
          <w:i/>
          <w:iCs/>
          <w:lang w:val="es-419"/>
        </w:rPr>
        <w:t xml:space="preserve"> Et des </w:t>
      </w:r>
      <w:proofErr w:type="spellStart"/>
      <w:r w:rsidRPr="0075789D">
        <w:rPr>
          <w:i/>
          <w:iCs/>
          <w:lang w:val="es-419"/>
        </w:rPr>
        <w:t>Semences</w:t>
      </w:r>
      <w:proofErr w:type="spellEnd"/>
      <w:r w:rsidRPr="0075789D">
        <w:rPr>
          <w:lang w:val="es-419"/>
        </w:rPr>
        <w:t xml:space="preserve"> (Grupo de Estudio y Control de Variedades y Semillas de Francia (GEVES)), el </w:t>
      </w:r>
      <w:proofErr w:type="spellStart"/>
      <w:r w:rsidRPr="0075789D">
        <w:rPr>
          <w:i/>
          <w:iCs/>
          <w:lang w:val="es-419"/>
        </w:rPr>
        <w:t>Groupement</w:t>
      </w:r>
      <w:proofErr w:type="spellEnd"/>
      <w:r w:rsidRPr="0075789D">
        <w:rPr>
          <w:i/>
          <w:iCs/>
          <w:lang w:val="es-419"/>
        </w:rPr>
        <w:t xml:space="preserve"> </w:t>
      </w:r>
      <w:proofErr w:type="spellStart"/>
      <w:r w:rsidRPr="0075789D">
        <w:rPr>
          <w:i/>
          <w:iCs/>
          <w:lang w:val="es-419"/>
        </w:rPr>
        <w:t>national</w:t>
      </w:r>
      <w:proofErr w:type="spellEnd"/>
      <w:r w:rsidRPr="0075789D">
        <w:rPr>
          <w:i/>
          <w:iCs/>
          <w:lang w:val="es-419"/>
        </w:rPr>
        <w:t xml:space="preserve"> </w:t>
      </w:r>
      <w:proofErr w:type="spellStart"/>
      <w:r w:rsidRPr="0075789D">
        <w:rPr>
          <w:i/>
          <w:iCs/>
          <w:lang w:val="es-419"/>
        </w:rPr>
        <w:t>interprofessionnel</w:t>
      </w:r>
      <w:proofErr w:type="spellEnd"/>
      <w:r w:rsidRPr="0075789D">
        <w:rPr>
          <w:i/>
          <w:iCs/>
          <w:lang w:val="es-419"/>
        </w:rPr>
        <w:t xml:space="preserve"> des </w:t>
      </w:r>
      <w:proofErr w:type="spellStart"/>
      <w:r w:rsidRPr="0075789D">
        <w:rPr>
          <w:i/>
          <w:iCs/>
          <w:lang w:val="es-419"/>
        </w:rPr>
        <w:t>semences</w:t>
      </w:r>
      <w:proofErr w:type="spellEnd"/>
      <w:r w:rsidRPr="0075789D">
        <w:rPr>
          <w:i/>
          <w:iCs/>
          <w:lang w:val="es-419"/>
        </w:rPr>
        <w:t xml:space="preserve"> et </w:t>
      </w:r>
      <w:proofErr w:type="spellStart"/>
      <w:r w:rsidRPr="0075789D">
        <w:rPr>
          <w:i/>
          <w:iCs/>
          <w:lang w:val="es-419"/>
        </w:rPr>
        <w:t>plants</w:t>
      </w:r>
      <w:proofErr w:type="spellEnd"/>
      <w:r w:rsidRPr="0075789D">
        <w:rPr>
          <w:lang w:val="es-419"/>
        </w:rPr>
        <w:t xml:space="preserve"> (Grupo Nacional Interprofesional de las Semillas y Plantas de Francia (GNIS)) y el </w:t>
      </w:r>
      <w:proofErr w:type="spellStart"/>
      <w:r w:rsidRPr="0075789D">
        <w:rPr>
          <w:i/>
          <w:iCs/>
          <w:lang w:val="es-419"/>
        </w:rPr>
        <w:t>Naktuinbouw</w:t>
      </w:r>
      <w:proofErr w:type="spellEnd"/>
      <w:r w:rsidRPr="0075789D">
        <w:rPr>
          <w:lang w:val="es-419"/>
        </w:rPr>
        <w:t xml:space="preserve">. </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Debido a las restricciones sanitarias relacionadas con la pandemia de COVID-19, hubo que posponer las actividades previstas para enero y febrero de 2021 que requerían la presencia física de los expertos de la OCVV (evaluación de las instalaciones donde se realizan los ensayos). La ejecución del proyecto continuará hasta el segundo trimestre de 2022. Se ha solicitado a la Comisión Europea otra prolongación hasta finales de 2022. No obstante, la OAPI organizó seminarios destinados a los obtentores y productores de semillas en Brazzaville, en Libreville, en Bissau y en Conakry; la OCVV participó en ellos por medios electrónicos. En junio de 2022, unos 20 expertos nacionales en cultivos recibieron formación práctica en el examen DHE durante una semana en el GEVES (Francia) y durante otra semana en el </w:t>
      </w:r>
      <w:proofErr w:type="spellStart"/>
      <w:r w:rsidRPr="0075789D">
        <w:rPr>
          <w:i/>
          <w:iCs/>
          <w:lang w:val="es-419"/>
        </w:rPr>
        <w:t>Naktuinbouw</w:t>
      </w:r>
      <w:proofErr w:type="spellEnd"/>
      <w:r w:rsidRPr="0075789D">
        <w:rPr>
          <w:lang w:val="es-419"/>
        </w:rPr>
        <w:t xml:space="preserve"> (Países Bajos). En el segundo trimestre de 2022, el QAS llevó a cabo evaluaciones de seguimiento virtual a las autoridades de examen DHE de la OAPI de Burkina Faso y el Camerún, además de evaluaciones de seguimiento sobre el terreno a las autoridades de examen del Senegal y </w:t>
      </w:r>
      <w:proofErr w:type="spellStart"/>
      <w:r w:rsidRPr="0075789D">
        <w:rPr>
          <w:lang w:val="es-419"/>
        </w:rPr>
        <w:t>Côte</w:t>
      </w:r>
      <w:proofErr w:type="spellEnd"/>
      <w:r w:rsidRPr="0075789D">
        <w:rPr>
          <w:lang w:val="es-419"/>
        </w:rPr>
        <w:t xml:space="preserve"> </w:t>
      </w:r>
      <w:proofErr w:type="spellStart"/>
      <w:r w:rsidRPr="0075789D">
        <w:rPr>
          <w:lang w:val="es-419"/>
        </w:rPr>
        <w:t>d’Ivoire</w:t>
      </w:r>
      <w:proofErr w:type="spellEnd"/>
      <w:r w:rsidRPr="0075789D">
        <w:rPr>
          <w:lang w:val="es-419"/>
        </w:rPr>
        <w:t xml:space="preserve">. </w:t>
      </w:r>
    </w:p>
    <w:p w:rsidR="00E70F71" w:rsidRPr="0075789D" w:rsidRDefault="00E70F71" w:rsidP="00E70F71">
      <w:pPr>
        <w:rPr>
          <w:sz w:val="18"/>
          <w:szCs w:val="18"/>
          <w:lang w:val="es-419"/>
        </w:rPr>
      </w:pPr>
    </w:p>
    <w:p w:rsidR="00E70F71" w:rsidRPr="0075789D" w:rsidRDefault="00E70F71" w:rsidP="00E70F71">
      <w:pPr>
        <w:keepNext/>
        <w:rPr>
          <w:u w:val="single"/>
          <w:lang w:val="es-419"/>
        </w:rPr>
      </w:pPr>
      <w:r w:rsidRPr="0075789D">
        <w:rPr>
          <w:u w:val="single"/>
          <w:lang w:val="es-419"/>
        </w:rPr>
        <w:t>5.2 Formación</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Durante el período 2021-2022, la OCVV participó en la preparación de varias actividades de formación que se llevaron a cabo principalmente en línea a causa de la pandemia de COVID-19, entre ellas: </w:t>
      </w:r>
    </w:p>
    <w:p w:rsidR="00E70F71" w:rsidRPr="0075789D" w:rsidRDefault="00E70F71" w:rsidP="00E70F71">
      <w:pPr>
        <w:rPr>
          <w:lang w:val="es-419"/>
        </w:rPr>
      </w:pPr>
    </w:p>
    <w:p w:rsidR="00E70F71" w:rsidRPr="0075789D" w:rsidRDefault="00E70F71" w:rsidP="00E70F71">
      <w:pPr>
        <w:keepNext/>
        <w:numPr>
          <w:ilvl w:val="0"/>
          <w:numId w:val="37"/>
        </w:numPr>
        <w:spacing w:after="120"/>
        <w:ind w:left="714" w:hanging="357"/>
        <w:rPr>
          <w:lang w:val="es-419"/>
        </w:rPr>
      </w:pPr>
      <w:r w:rsidRPr="0075789D">
        <w:rPr>
          <w:lang w:val="es-419"/>
        </w:rPr>
        <w:lastRenderedPageBreak/>
        <w:t>Mesa redonda organizada por ESSCA, el 22 de septiembre de 2021</w:t>
      </w:r>
    </w:p>
    <w:p w:rsidR="00E70F71" w:rsidRPr="0075789D" w:rsidRDefault="00E70F71" w:rsidP="00E70F71">
      <w:pPr>
        <w:numPr>
          <w:ilvl w:val="0"/>
          <w:numId w:val="37"/>
        </w:numPr>
        <w:spacing w:after="120"/>
        <w:ind w:left="714" w:hanging="357"/>
        <w:rPr>
          <w:lang w:val="es-419"/>
        </w:rPr>
      </w:pPr>
      <w:r w:rsidRPr="0075789D">
        <w:rPr>
          <w:lang w:val="es-419"/>
        </w:rPr>
        <w:t xml:space="preserve">Seminario internacional sobre derechos de obtentor, </w:t>
      </w:r>
      <w:proofErr w:type="spellStart"/>
      <w:r w:rsidRPr="0075789D">
        <w:rPr>
          <w:lang w:val="es-419"/>
        </w:rPr>
        <w:t>Garrigues</w:t>
      </w:r>
      <w:proofErr w:type="spellEnd"/>
      <w:r w:rsidRPr="0075789D">
        <w:rPr>
          <w:lang w:val="es-419"/>
        </w:rPr>
        <w:t xml:space="preserve"> (América Latina), 28 de septiembre de 2022</w:t>
      </w:r>
    </w:p>
    <w:p w:rsidR="00E70F71" w:rsidRPr="0075789D" w:rsidRDefault="00E70F71" w:rsidP="00E70F71">
      <w:pPr>
        <w:numPr>
          <w:ilvl w:val="0"/>
          <w:numId w:val="37"/>
        </w:numPr>
        <w:spacing w:after="120"/>
        <w:ind w:left="714" w:hanging="357"/>
        <w:rPr>
          <w:lang w:val="es-419"/>
        </w:rPr>
      </w:pPr>
      <w:r w:rsidRPr="0075789D">
        <w:rPr>
          <w:lang w:val="es-419"/>
        </w:rPr>
        <w:t>Seminarios web organizados junto con los Servicios de Ayuda (</w:t>
      </w:r>
      <w:proofErr w:type="spellStart"/>
      <w:r w:rsidRPr="0075789D">
        <w:rPr>
          <w:i/>
          <w:iCs/>
          <w:lang w:val="es-419"/>
        </w:rPr>
        <w:t>Helpdesks</w:t>
      </w:r>
      <w:proofErr w:type="spellEnd"/>
      <w:r w:rsidRPr="0075789D">
        <w:rPr>
          <w:lang w:val="es-419"/>
        </w:rPr>
        <w:t>) en PI (europeos e internacionales o regionales)</w:t>
      </w:r>
    </w:p>
    <w:p w:rsidR="00E70F71" w:rsidRPr="0075789D" w:rsidRDefault="00E70F71" w:rsidP="00E70F71">
      <w:pPr>
        <w:numPr>
          <w:ilvl w:val="0"/>
          <w:numId w:val="38"/>
        </w:numPr>
        <w:spacing w:after="120"/>
        <w:rPr>
          <w:lang w:val="es-419"/>
        </w:rPr>
      </w:pPr>
      <w:r w:rsidRPr="0075789D">
        <w:rPr>
          <w:lang w:val="es-419"/>
        </w:rPr>
        <w:t>La PI en el sector agroalimentario II: interfaz entre marca, publicación de descripciones de variedades (PVD) e indicaciones geográficas (GI), 28 de septiembre de 2021</w:t>
      </w:r>
    </w:p>
    <w:p w:rsidR="00E70F71" w:rsidRPr="0075789D" w:rsidRDefault="00E70F71" w:rsidP="00E70F71">
      <w:pPr>
        <w:numPr>
          <w:ilvl w:val="0"/>
          <w:numId w:val="38"/>
        </w:numPr>
        <w:spacing w:after="120"/>
        <w:rPr>
          <w:lang w:val="es-419"/>
        </w:rPr>
      </w:pPr>
      <w:r w:rsidRPr="0075789D">
        <w:rPr>
          <w:lang w:val="es-419"/>
        </w:rPr>
        <w:t>La función fundamental de la auditoría de calidad de oficinas de examen para los derechos sobre variedades vegetales en la UE, 17 de febrero de 2022</w:t>
      </w:r>
    </w:p>
    <w:p w:rsidR="00E70F71" w:rsidRPr="0075789D" w:rsidRDefault="00E70F71" w:rsidP="00E70F71">
      <w:pPr>
        <w:numPr>
          <w:ilvl w:val="0"/>
          <w:numId w:val="38"/>
        </w:numPr>
        <w:spacing w:after="120"/>
        <w:rPr>
          <w:lang w:val="es-419"/>
        </w:rPr>
      </w:pPr>
      <w:r w:rsidRPr="0075789D">
        <w:rPr>
          <w:lang w:val="es-419"/>
        </w:rPr>
        <w:t xml:space="preserve">Seminario web sobre servicios internacionales de ayuda en PI: PI en el sector de los </w:t>
      </w:r>
      <w:proofErr w:type="spellStart"/>
      <w:r w:rsidRPr="0075789D">
        <w:rPr>
          <w:lang w:val="es-419"/>
        </w:rPr>
        <w:t>agroalimentos</w:t>
      </w:r>
      <w:proofErr w:type="spellEnd"/>
      <w:r w:rsidRPr="0075789D">
        <w:rPr>
          <w:lang w:val="es-419"/>
        </w:rPr>
        <w:t xml:space="preserve"> (servicios de ayuda en China, Sudeste Asiático, África, pymes de América Latina, 16 de marzo de 2022</w:t>
      </w:r>
    </w:p>
    <w:p w:rsidR="00E70F71" w:rsidRPr="0075789D" w:rsidRDefault="00E70F71" w:rsidP="00E70F71">
      <w:pPr>
        <w:numPr>
          <w:ilvl w:val="0"/>
          <w:numId w:val="38"/>
        </w:numPr>
        <w:spacing w:after="120"/>
        <w:rPr>
          <w:lang w:val="es-419"/>
        </w:rPr>
      </w:pPr>
      <w:r w:rsidRPr="0075789D">
        <w:rPr>
          <w:lang w:val="es-419"/>
        </w:rPr>
        <w:t>Limitaciones y oportunidades para variedades modificadas, 12 de abril de 2022</w:t>
      </w:r>
    </w:p>
    <w:p w:rsidR="00E70F71" w:rsidRPr="0075789D" w:rsidRDefault="00E70F71" w:rsidP="00E70F71">
      <w:pPr>
        <w:numPr>
          <w:ilvl w:val="0"/>
          <w:numId w:val="38"/>
        </w:numPr>
        <w:spacing w:after="120"/>
        <w:rPr>
          <w:lang w:val="es-419"/>
        </w:rPr>
      </w:pPr>
      <w:r w:rsidRPr="0075789D">
        <w:rPr>
          <w:lang w:val="es-419"/>
        </w:rPr>
        <w:t>Introducción a la protección de las obtenciones vegetales en la Unión Europea: 21 de junio de 2022</w:t>
      </w:r>
    </w:p>
    <w:p w:rsidR="00E70F71" w:rsidRPr="0075789D" w:rsidRDefault="00E70F71" w:rsidP="00E70F71">
      <w:pPr>
        <w:numPr>
          <w:ilvl w:val="0"/>
          <w:numId w:val="37"/>
        </w:numPr>
        <w:spacing w:after="120"/>
        <w:ind w:left="714" w:hanging="357"/>
        <w:rPr>
          <w:lang w:val="es-419"/>
        </w:rPr>
      </w:pPr>
      <w:r w:rsidRPr="0075789D">
        <w:rPr>
          <w:lang w:val="es-419"/>
        </w:rPr>
        <w:t xml:space="preserve">Protección de la propiedad intelectual en el ámbito de la innovación vegetal, 2021: Foro ISF, </w:t>
      </w:r>
      <w:r>
        <w:rPr>
          <w:lang w:val="es-419"/>
        </w:rPr>
        <w:br/>
      </w:r>
      <w:r w:rsidRPr="0075789D">
        <w:rPr>
          <w:lang w:val="es-419"/>
        </w:rPr>
        <w:t>2 de diciembre de 2021</w:t>
      </w:r>
    </w:p>
    <w:p w:rsidR="00E70F71" w:rsidRPr="0075789D" w:rsidRDefault="00E70F71" w:rsidP="00E70F71">
      <w:pPr>
        <w:numPr>
          <w:ilvl w:val="0"/>
          <w:numId w:val="37"/>
        </w:numPr>
        <w:spacing w:after="120"/>
        <w:ind w:left="714" w:hanging="357"/>
        <w:rPr>
          <w:lang w:val="es-419"/>
        </w:rPr>
      </w:pPr>
      <w:r w:rsidRPr="0075789D">
        <w:rPr>
          <w:lang w:val="es-419"/>
        </w:rPr>
        <w:t>Presentación del sistema de PCOV en el máster en Derecho Propiedad Intelectual de la Universidad de Maastricht, el 11 de enero de 2022</w:t>
      </w:r>
    </w:p>
    <w:p w:rsidR="00E70F71" w:rsidRPr="0075789D" w:rsidRDefault="00E70F71" w:rsidP="00E70F71">
      <w:pPr>
        <w:numPr>
          <w:ilvl w:val="0"/>
          <w:numId w:val="37"/>
        </w:numPr>
        <w:spacing w:after="120"/>
        <w:ind w:left="714" w:hanging="357"/>
        <w:rPr>
          <w:lang w:val="es-419"/>
        </w:rPr>
      </w:pPr>
      <w:r w:rsidRPr="0075789D">
        <w:rPr>
          <w:lang w:val="es-419"/>
        </w:rPr>
        <w:t>Presentación del sistema de PCOV en el máster en legislación alimentaria, Universidad LUISS, Roma, 18 de marzo de 2022</w:t>
      </w:r>
    </w:p>
    <w:p w:rsidR="00E70F71" w:rsidRPr="0075789D" w:rsidRDefault="00E70F71" w:rsidP="00E70F71">
      <w:pPr>
        <w:numPr>
          <w:ilvl w:val="0"/>
          <w:numId w:val="37"/>
        </w:numPr>
        <w:spacing w:after="120"/>
        <w:ind w:left="714" w:hanging="357"/>
        <w:rPr>
          <w:lang w:val="es-419"/>
        </w:rPr>
      </w:pPr>
      <w:r w:rsidRPr="0075789D">
        <w:rPr>
          <w:lang w:val="es-419"/>
        </w:rPr>
        <w:t>Presentación del sistema de PCOV y la OCVV al ICEA (</w:t>
      </w:r>
      <w:proofErr w:type="spellStart"/>
      <w:r w:rsidRPr="0075789D">
        <w:rPr>
          <w:i/>
          <w:iCs/>
          <w:lang w:val="es-419"/>
        </w:rPr>
        <w:t>Institut</w:t>
      </w:r>
      <w:proofErr w:type="spellEnd"/>
      <w:r w:rsidRPr="0075789D">
        <w:rPr>
          <w:i/>
          <w:iCs/>
          <w:lang w:val="es-419"/>
        </w:rPr>
        <w:t xml:space="preserve"> </w:t>
      </w:r>
      <w:proofErr w:type="spellStart"/>
      <w:r w:rsidRPr="0075789D">
        <w:rPr>
          <w:i/>
          <w:iCs/>
          <w:lang w:val="es-419"/>
        </w:rPr>
        <w:t>Catalan</w:t>
      </w:r>
      <w:proofErr w:type="spellEnd"/>
      <w:r w:rsidRPr="0075789D">
        <w:rPr>
          <w:i/>
          <w:iCs/>
          <w:lang w:val="es-419"/>
        </w:rPr>
        <w:t xml:space="preserve"> </w:t>
      </w:r>
      <w:proofErr w:type="spellStart"/>
      <w:r w:rsidRPr="0075789D">
        <w:rPr>
          <w:i/>
          <w:iCs/>
          <w:lang w:val="es-419"/>
        </w:rPr>
        <w:t>d’Estudis</w:t>
      </w:r>
      <w:proofErr w:type="spellEnd"/>
      <w:r w:rsidRPr="0075789D">
        <w:rPr>
          <w:i/>
          <w:iCs/>
          <w:lang w:val="es-419"/>
        </w:rPr>
        <w:t xml:space="preserve"> </w:t>
      </w:r>
      <w:proofErr w:type="spellStart"/>
      <w:r w:rsidRPr="0075789D">
        <w:rPr>
          <w:i/>
          <w:iCs/>
          <w:lang w:val="es-419"/>
        </w:rPr>
        <w:t>Agraris</w:t>
      </w:r>
      <w:proofErr w:type="spellEnd"/>
      <w:r w:rsidRPr="0075789D">
        <w:rPr>
          <w:lang w:val="es-419"/>
        </w:rPr>
        <w:t>: Instituto Catalán de Estudios Agrarios)</w:t>
      </w:r>
    </w:p>
    <w:p w:rsidR="00E70F71" w:rsidRPr="0075789D" w:rsidRDefault="00E70F71" w:rsidP="00E70F71">
      <w:pPr>
        <w:numPr>
          <w:ilvl w:val="0"/>
          <w:numId w:val="37"/>
        </w:numPr>
        <w:spacing w:after="120"/>
        <w:ind w:left="714" w:hanging="357"/>
        <w:rPr>
          <w:lang w:val="es-419"/>
        </w:rPr>
      </w:pPr>
      <w:r w:rsidRPr="0075789D">
        <w:rPr>
          <w:lang w:val="es-419"/>
        </w:rPr>
        <w:t xml:space="preserve">Seminario sobre el estudio del impacto socioeconómico de la PCOV, en colaboración con la EUIPO, 28 de abril de 2022 </w:t>
      </w:r>
    </w:p>
    <w:p w:rsidR="00E70F71" w:rsidRPr="0075789D" w:rsidRDefault="00E70F71" w:rsidP="00E70F71">
      <w:pPr>
        <w:numPr>
          <w:ilvl w:val="0"/>
          <w:numId w:val="37"/>
        </w:numPr>
        <w:spacing w:after="120"/>
        <w:ind w:left="714" w:hanging="357"/>
        <w:rPr>
          <w:lang w:val="es-419"/>
        </w:rPr>
      </w:pPr>
      <w:r w:rsidRPr="0075789D">
        <w:rPr>
          <w:lang w:val="es-419"/>
        </w:rPr>
        <w:t xml:space="preserve">Presentación del sistema de PCOV en el </w:t>
      </w:r>
      <w:r w:rsidRPr="0075789D">
        <w:rPr>
          <w:i/>
          <w:iCs/>
          <w:lang w:val="es-419"/>
        </w:rPr>
        <w:t xml:space="preserve">Magister </w:t>
      </w:r>
      <w:proofErr w:type="spellStart"/>
      <w:r w:rsidRPr="0075789D">
        <w:rPr>
          <w:i/>
          <w:iCs/>
          <w:lang w:val="es-419"/>
        </w:rPr>
        <w:t>Lvcentinvs</w:t>
      </w:r>
      <w:proofErr w:type="spellEnd"/>
      <w:r w:rsidRPr="0075789D">
        <w:rPr>
          <w:lang w:val="es-419"/>
        </w:rPr>
        <w:t xml:space="preserve"> (máster en PI) de la Universidad de Alicante, el 6 de mayo de 2022</w:t>
      </w:r>
    </w:p>
    <w:p w:rsidR="00E70F71" w:rsidRPr="0075789D" w:rsidRDefault="00E70F71" w:rsidP="00E70F71">
      <w:pPr>
        <w:numPr>
          <w:ilvl w:val="0"/>
          <w:numId w:val="37"/>
        </w:numPr>
        <w:spacing w:after="120"/>
        <w:ind w:left="714" w:hanging="357"/>
        <w:rPr>
          <w:lang w:val="es-419"/>
        </w:rPr>
      </w:pPr>
      <w:r w:rsidRPr="0075789D">
        <w:rPr>
          <w:lang w:val="es-419"/>
        </w:rPr>
        <w:t>Formación interna para la Dirección General de Comercio (DG TRADE) y la Dirección General de Mercado Interior, Industria, Emprendimiento y Pymes (DG GROW) en materia de PCOV y asuntos sensibles al comercio (conceptos erróneos sobre la UPOV), 24 de junio de 2022</w:t>
      </w:r>
    </w:p>
    <w:p w:rsidR="00E70F71" w:rsidRPr="0075789D" w:rsidRDefault="00E70F71" w:rsidP="00E70F71">
      <w:pPr>
        <w:numPr>
          <w:ilvl w:val="0"/>
          <w:numId w:val="37"/>
        </w:numPr>
        <w:spacing w:after="120"/>
        <w:ind w:left="714" w:hanging="357"/>
        <w:rPr>
          <w:lang w:val="es-419"/>
        </w:rPr>
      </w:pPr>
      <w:r w:rsidRPr="0075789D">
        <w:rPr>
          <w:lang w:val="es-419"/>
        </w:rPr>
        <w:t>Conferencia de jurisprudencia sobre PI en la EUIPO, los días 7 y 8 de julio de 2022</w:t>
      </w:r>
    </w:p>
    <w:p w:rsidR="00E70F71" w:rsidRPr="0075789D" w:rsidRDefault="00E70F71" w:rsidP="00E70F71">
      <w:pPr>
        <w:numPr>
          <w:ilvl w:val="0"/>
          <w:numId w:val="37"/>
        </w:numPr>
        <w:spacing w:after="120"/>
        <w:ind w:left="714" w:hanging="357"/>
        <w:rPr>
          <w:lang w:val="es-419"/>
        </w:rPr>
      </w:pPr>
      <w:r w:rsidRPr="0075789D">
        <w:rPr>
          <w:lang w:val="es-419"/>
        </w:rPr>
        <w:t>Formación en nuevas técnicas genéticas para la Cámara de Comercio de Milán, 19 de julio de 2022</w:t>
      </w:r>
    </w:p>
    <w:p w:rsidR="00E70F71" w:rsidRPr="0075789D" w:rsidRDefault="00E70F71" w:rsidP="00E70F71">
      <w:pPr>
        <w:rPr>
          <w:sz w:val="18"/>
          <w:szCs w:val="18"/>
          <w:lang w:val="es-419"/>
        </w:rPr>
      </w:pPr>
    </w:p>
    <w:p w:rsidR="00E70F71" w:rsidRPr="0075789D" w:rsidRDefault="00E70F71" w:rsidP="00E70F71">
      <w:pPr>
        <w:keepNext/>
        <w:rPr>
          <w:u w:val="single"/>
          <w:lang w:val="es-419"/>
        </w:rPr>
      </w:pPr>
      <w:r w:rsidRPr="0075789D">
        <w:rPr>
          <w:u w:val="single"/>
          <w:lang w:val="es-419"/>
        </w:rPr>
        <w:t>5.3</w:t>
      </w:r>
      <w:r w:rsidRPr="0075789D">
        <w:rPr>
          <w:u w:val="single"/>
          <w:lang w:val="es-419"/>
        </w:rPr>
        <w:tab/>
        <w:t>Reuniones con organizaciones de partes interesadas</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La Comisión Europea y la OCVV asistieron a la Reunión anual de </w:t>
      </w:r>
      <w:proofErr w:type="spellStart"/>
      <w:r w:rsidRPr="0075789D">
        <w:rPr>
          <w:i/>
          <w:iCs/>
          <w:lang w:val="es-419"/>
        </w:rPr>
        <w:t>Euroseeds</w:t>
      </w:r>
      <w:proofErr w:type="spellEnd"/>
      <w:r w:rsidRPr="0075789D">
        <w:rPr>
          <w:lang w:val="es-419"/>
        </w:rPr>
        <w:t xml:space="preserve"> celebrada del 18 al 20 de octubre de 2021. La OCVV asistió a la reunión anual de la CIOPORA Internacional celebrada los días 25 y 26 de abril de 2022 y al Congreso de la ISF, los días 16, 17 y 18 de mayo de 2022. La OCVV también mantuvo reuniones bilaterales con organizaciones de obtentores: </w:t>
      </w:r>
      <w:proofErr w:type="spellStart"/>
      <w:r w:rsidRPr="0075789D">
        <w:rPr>
          <w:i/>
          <w:iCs/>
          <w:lang w:val="es-419"/>
        </w:rPr>
        <w:t>Euroseeds</w:t>
      </w:r>
      <w:proofErr w:type="spellEnd"/>
      <w:r w:rsidRPr="0075789D">
        <w:rPr>
          <w:lang w:val="es-419"/>
        </w:rPr>
        <w:t xml:space="preserve"> y </w:t>
      </w:r>
      <w:proofErr w:type="spellStart"/>
      <w:r w:rsidRPr="0075789D">
        <w:rPr>
          <w:i/>
          <w:iCs/>
          <w:lang w:val="es-419"/>
        </w:rPr>
        <w:t>Plantum</w:t>
      </w:r>
      <w:proofErr w:type="spellEnd"/>
      <w:r w:rsidRPr="0075789D">
        <w:rPr>
          <w:lang w:val="es-419"/>
        </w:rPr>
        <w:t xml:space="preserve"> el 7 de abril de 2022, </w:t>
      </w:r>
      <w:proofErr w:type="spellStart"/>
      <w:r w:rsidRPr="0075789D">
        <w:rPr>
          <w:i/>
          <w:iCs/>
          <w:lang w:val="es-419"/>
        </w:rPr>
        <w:t>Assosementi</w:t>
      </w:r>
      <w:proofErr w:type="spellEnd"/>
      <w:r w:rsidRPr="0075789D">
        <w:rPr>
          <w:lang w:val="es-419"/>
        </w:rPr>
        <w:t xml:space="preserve"> el </w:t>
      </w:r>
      <w:r>
        <w:rPr>
          <w:lang w:val="es-419"/>
        </w:rPr>
        <w:br/>
      </w:r>
      <w:r w:rsidRPr="0075789D">
        <w:rPr>
          <w:lang w:val="es-419"/>
        </w:rPr>
        <w:t>23 de marzo de 2022 y la CIOPORA el 31 de mayo de 2022.</w:t>
      </w:r>
    </w:p>
    <w:p w:rsidR="00E70F71" w:rsidRPr="0075789D" w:rsidRDefault="00E70F71" w:rsidP="00E70F71">
      <w:pPr>
        <w:rPr>
          <w:lang w:val="es-419"/>
        </w:rPr>
      </w:pPr>
    </w:p>
    <w:p w:rsidR="00E70F71" w:rsidRPr="0075789D" w:rsidRDefault="00E70F71" w:rsidP="00E70F71">
      <w:pPr>
        <w:rPr>
          <w:lang w:val="es-419"/>
        </w:rPr>
      </w:pPr>
      <w:r w:rsidRPr="0075789D">
        <w:rPr>
          <w:lang w:val="es-419"/>
        </w:rPr>
        <w:t>La OCVV también organizó una reunión anual bilateral formal (virtual) con la Asociación Internacional de Productores Hortícolas (AIPH) el 2 de febrero de 2022</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Además, en 2021 se iniciaron las visitas de estudio del presidente de la OCVV a los Estados miembros de la UE, en concreto a Italia (marzo de 2022), los Países Bajos (mayo de 2022), Alemania (mayo-junio de 2022) y España (junio de 2022). Estas visitas de estudio son una oportunidad para reunirse con las partes implicadas en el </w:t>
      </w:r>
      <w:proofErr w:type="spellStart"/>
      <w:r w:rsidRPr="0075789D">
        <w:rPr>
          <w:lang w:val="es-419"/>
        </w:rPr>
        <w:t>fitomejoramiento</w:t>
      </w:r>
      <w:proofErr w:type="spellEnd"/>
      <w:r w:rsidRPr="0075789D">
        <w:rPr>
          <w:lang w:val="es-419"/>
        </w:rPr>
        <w:t>, tanto del sector privado como del público. Por último la OCVV se reunión con colegisladores de la UE, tales como representantes de Comisión de Agricultura y Desarrollo Rural del Parlamento Europeo (30/11/2022 y 28/4/2022) y del Consejo de la Unión Europea —esto es una reunión con el ministro francés para Asuntos de la UE (3/2/2022) y la representación permanente de la República Checa en la UE (24/6/2022).</w:t>
      </w:r>
    </w:p>
    <w:p w:rsidR="00E70F71" w:rsidRPr="0075789D" w:rsidRDefault="00E70F71" w:rsidP="00E70F71">
      <w:pPr>
        <w:rPr>
          <w:sz w:val="18"/>
          <w:szCs w:val="18"/>
          <w:lang w:val="es-419"/>
        </w:rPr>
      </w:pPr>
    </w:p>
    <w:p w:rsidR="00E70F71" w:rsidRPr="0075789D" w:rsidRDefault="00E70F71" w:rsidP="00E70F71">
      <w:pPr>
        <w:keepNext/>
        <w:rPr>
          <w:u w:val="single"/>
          <w:lang w:val="es-419"/>
        </w:rPr>
      </w:pPr>
      <w:r w:rsidRPr="0075789D">
        <w:rPr>
          <w:u w:val="single"/>
          <w:lang w:val="es-419"/>
        </w:rPr>
        <w:lastRenderedPageBreak/>
        <w:t>5.4 Participación en ferias internacionales y jornadas de puertas abiertas</w:t>
      </w:r>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La OCVV entiende que su participación en las ferias internacionales y en las jornadas de puertas abiertas que celebran las oficinas de examen es útil para impulsar el sistema comunitario de protección de las obtenciones vegetales, conocer directamente a los solicitantes e informar a los agricultores. Sin embargo, las restricciones sanitarias vinculadas a la pandemia de COVID-19 obligaron a cancelar la feria “IPM” de </w:t>
      </w:r>
      <w:proofErr w:type="spellStart"/>
      <w:r w:rsidRPr="0075789D">
        <w:rPr>
          <w:lang w:val="es-419"/>
        </w:rPr>
        <w:t>Essen</w:t>
      </w:r>
      <w:proofErr w:type="spellEnd"/>
      <w:r w:rsidRPr="0075789D">
        <w:rPr>
          <w:lang w:val="es-419"/>
        </w:rPr>
        <w:t xml:space="preserve"> (Alemania). El “</w:t>
      </w:r>
      <w:proofErr w:type="spellStart"/>
      <w:r w:rsidRPr="0075789D">
        <w:rPr>
          <w:lang w:val="es-419"/>
        </w:rPr>
        <w:t>Salon</w:t>
      </w:r>
      <w:proofErr w:type="spellEnd"/>
      <w:r w:rsidRPr="0075789D">
        <w:rPr>
          <w:lang w:val="es-419"/>
        </w:rPr>
        <w:t xml:space="preserve"> </w:t>
      </w:r>
      <w:proofErr w:type="spellStart"/>
      <w:r w:rsidRPr="0075789D">
        <w:rPr>
          <w:lang w:val="es-419"/>
        </w:rPr>
        <w:t>Sival</w:t>
      </w:r>
      <w:proofErr w:type="spellEnd"/>
      <w:r w:rsidRPr="0075789D">
        <w:rPr>
          <w:lang w:val="es-419"/>
        </w:rPr>
        <w:t xml:space="preserve">” en Angers (Francia) se mantuvo y la OCVV presentó el sistema de PCOV en la zona del foro. La OCVV también visitó </w:t>
      </w:r>
      <w:proofErr w:type="spellStart"/>
      <w:r w:rsidRPr="0075789D">
        <w:rPr>
          <w:lang w:val="es-419"/>
        </w:rPr>
        <w:t>Fruitlogistica</w:t>
      </w:r>
      <w:proofErr w:type="spellEnd"/>
      <w:r w:rsidRPr="0075789D">
        <w:rPr>
          <w:lang w:val="es-419"/>
        </w:rPr>
        <w:t xml:space="preserve"> en abril en Berlín (Alemania), además de la </w:t>
      </w:r>
      <w:proofErr w:type="spellStart"/>
      <w:r w:rsidRPr="0075789D">
        <w:rPr>
          <w:lang w:val="es-419"/>
        </w:rPr>
        <w:t>Floriade</w:t>
      </w:r>
      <w:proofErr w:type="spellEnd"/>
      <w:r w:rsidRPr="0075789D">
        <w:rPr>
          <w:lang w:val="es-419"/>
        </w:rPr>
        <w:t xml:space="preserve"> Expo en los Países Bajos en mayo de 2022.</w:t>
      </w:r>
    </w:p>
    <w:p w:rsidR="00E70F71" w:rsidRPr="0075789D" w:rsidRDefault="00E70F71" w:rsidP="00E70F71">
      <w:pPr>
        <w:rPr>
          <w:lang w:val="es-419"/>
        </w:rPr>
      </w:pPr>
    </w:p>
    <w:p w:rsidR="00E70F71" w:rsidRPr="0075789D" w:rsidRDefault="00E70F71" w:rsidP="00E70F71">
      <w:pPr>
        <w:rPr>
          <w:u w:val="single"/>
          <w:lang w:val="es-419"/>
        </w:rPr>
      </w:pPr>
      <w:r w:rsidRPr="0075789D">
        <w:rPr>
          <w:u w:val="single"/>
          <w:lang w:val="es-419"/>
        </w:rPr>
        <w:t>5.5</w:t>
      </w:r>
      <w:r w:rsidRPr="0075789D">
        <w:rPr>
          <w:u w:val="single"/>
          <w:lang w:val="es-419"/>
        </w:rPr>
        <w:tab/>
        <w:t xml:space="preserve">Novedades en materia de tecnologías de la información </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Las plataformas de gestión de solicitudes de la OCVV (en especial la solicitud en línea) han sido objeto de una modificación importante para mejorar la facilidad de mantenimiento y de desarrollo de nuevas funciones, hacerlas más adecuadas para los entornos en la nube y más </w:t>
      </w:r>
      <w:proofErr w:type="spellStart"/>
      <w:r w:rsidRPr="0075789D">
        <w:rPr>
          <w:lang w:val="es-419"/>
        </w:rPr>
        <w:t>resilientes</w:t>
      </w:r>
      <w:proofErr w:type="spellEnd"/>
      <w:r w:rsidRPr="0075789D">
        <w:rPr>
          <w:lang w:val="es-419"/>
        </w:rPr>
        <w:t xml:space="preserve"> ante las de </w:t>
      </w:r>
      <w:proofErr w:type="spellStart"/>
      <w:r w:rsidRPr="0075789D">
        <w:rPr>
          <w:lang w:val="es-419"/>
        </w:rPr>
        <w:t>ciberamenazas</w:t>
      </w:r>
      <w:proofErr w:type="spellEnd"/>
      <w:r w:rsidRPr="0075789D">
        <w:rPr>
          <w:lang w:val="es-419"/>
        </w:rPr>
        <w:t>. La integración posterior de otros Estados miembros de la UE sigue siendo posible dado que avanza sin cesar la labor de armonización de los cuestionarios técnicos dentro de la Unión Europea. La OCVV ha fortalecido su cooperación con UPOV PRISMA y ya ha enviado dos de los cuatro proyectos originales que abordan diversas limitaciones de la cooperación inicial. Se han señalado las mejoras del intercambio de datos con la plataforma de gestión de denominaciones de la OCVV y se han aprobado recientemente. El objetivo es la transición desde las cargas manuales a la UPOV del catálogo de derechos de obtentor y las actualizaciones de las aportaciones nacionales a una integración sistema a sistema que garantice las actualizaciones casi inmediatas y un procesamiento más eficiente.</w:t>
      </w:r>
    </w:p>
    <w:p w:rsidR="00E70F71" w:rsidRPr="0075789D" w:rsidRDefault="00E70F71" w:rsidP="00E70F71">
      <w:pPr>
        <w:rPr>
          <w:lang w:val="es-419"/>
        </w:rPr>
      </w:pPr>
    </w:p>
    <w:p w:rsidR="00E70F71" w:rsidRPr="0075789D" w:rsidRDefault="00E70F71" w:rsidP="00E70F71">
      <w:pPr>
        <w:rPr>
          <w:u w:val="single"/>
          <w:lang w:val="es-419"/>
        </w:rPr>
      </w:pPr>
      <w:r w:rsidRPr="0075789D">
        <w:rPr>
          <w:u w:val="single"/>
          <w:lang w:val="es-419"/>
        </w:rPr>
        <w:t>6.</w:t>
      </w:r>
      <w:r w:rsidRPr="0075789D">
        <w:rPr>
          <w:u w:val="single"/>
          <w:lang w:val="es-419"/>
        </w:rPr>
        <w:tab/>
        <w:t xml:space="preserve">I+D </w:t>
      </w:r>
    </w:p>
    <w:p w:rsidR="00E70F71" w:rsidRPr="0075789D" w:rsidRDefault="00E70F71" w:rsidP="00E70F71">
      <w:pPr>
        <w:rPr>
          <w:lang w:val="es-419"/>
        </w:rPr>
      </w:pPr>
    </w:p>
    <w:p w:rsidR="00E70F71" w:rsidRPr="0075789D" w:rsidRDefault="00E70F71" w:rsidP="00E70F71">
      <w:pPr>
        <w:rPr>
          <w:u w:val="single"/>
          <w:lang w:val="es-419"/>
        </w:rPr>
      </w:pPr>
      <w:r w:rsidRPr="0075789D">
        <w:rPr>
          <w:u w:val="single"/>
          <w:lang w:val="es-419"/>
        </w:rPr>
        <w:t>6.1</w:t>
      </w:r>
      <w:r w:rsidRPr="0075789D">
        <w:rPr>
          <w:u w:val="single"/>
          <w:lang w:val="es-419"/>
        </w:rPr>
        <w:tab/>
        <w:t xml:space="preserve">Grupo </w:t>
      </w:r>
      <w:r w:rsidRPr="0075789D">
        <w:rPr>
          <w:i/>
          <w:iCs/>
          <w:u w:val="single"/>
          <w:lang w:val="es-419"/>
        </w:rPr>
        <w:t>ad hoc</w:t>
      </w:r>
      <w:r w:rsidRPr="0075789D">
        <w:rPr>
          <w:u w:val="single"/>
          <w:lang w:val="es-419"/>
        </w:rPr>
        <w:t xml:space="preserve"> de trabajo IMODDUS</w:t>
      </w:r>
    </w:p>
    <w:p w:rsidR="00E70F71" w:rsidRPr="0075789D" w:rsidRDefault="00E70F71" w:rsidP="00E70F71">
      <w:pPr>
        <w:rPr>
          <w:lang w:val="es-419"/>
        </w:rPr>
      </w:pPr>
    </w:p>
    <w:p w:rsidR="00E70F71" w:rsidRPr="0075789D" w:rsidRDefault="00E70F71" w:rsidP="00E70F71">
      <w:pPr>
        <w:rPr>
          <w:lang w:val="es-419"/>
        </w:rPr>
      </w:pPr>
      <w:r w:rsidRPr="0075789D">
        <w:rPr>
          <w:lang w:val="es-419"/>
        </w:rPr>
        <w:t>Como parte de la estrategia de I+D de la OCVV, el Consejo de Administración estableció en 2016 y confirmó en 2021 la creación de su grupo especial de trabajo sobre técnicas biomoleculares de dicha oficina. Este grupo de trabajo se denomina IMODDUS, abreviatura en inglés de “integración de los datos moleculares en el examen DHE”. El objetivo del grupo es hacer un seguimiento y debatir el desarrollo de las técnicas biomoleculares y valorar los proyectos I+D en cuanto a la aplicación de estas técnicas en los exámenes DHE de todos los sectores agrícolas, en los que podrían contribuir a mejorar la eficiencia y la calidad.</w:t>
      </w:r>
    </w:p>
    <w:p w:rsidR="00E70F71" w:rsidRPr="0075789D" w:rsidRDefault="00E70F71" w:rsidP="00E70F71">
      <w:pPr>
        <w:rPr>
          <w:lang w:val="es-419"/>
        </w:rPr>
      </w:pPr>
    </w:p>
    <w:p w:rsidR="00E70F71" w:rsidRPr="0075789D" w:rsidRDefault="00E70F71" w:rsidP="00E70F71">
      <w:pPr>
        <w:rPr>
          <w:lang w:val="es-419"/>
        </w:rPr>
      </w:pPr>
      <w:r w:rsidRPr="0075789D">
        <w:rPr>
          <w:lang w:val="es-419"/>
        </w:rPr>
        <w:t>El grupo está integrado por expertos en técnicas biomoleculares (BMT) de las oficinas de examen interesadas y por organizaciones de obtentores. La participación se limita a expertos que pueden colaborar activamente en la preparación de documentos y ponencias. El presidente del grupo también puede invitar a expertos de los laboratorios, las universidades, el sector, etc.</w:t>
      </w:r>
    </w:p>
    <w:p w:rsidR="00E70F71" w:rsidRPr="0075789D" w:rsidRDefault="00E70F71" w:rsidP="00E70F71">
      <w:pPr>
        <w:rPr>
          <w:lang w:val="es-419"/>
        </w:rPr>
      </w:pPr>
    </w:p>
    <w:p w:rsidR="00E70F71" w:rsidRPr="0075789D" w:rsidRDefault="00E70F71" w:rsidP="00E70F71">
      <w:pPr>
        <w:rPr>
          <w:lang w:val="es-419"/>
        </w:rPr>
      </w:pPr>
      <w:r w:rsidRPr="0075789D">
        <w:rPr>
          <w:lang w:val="es-419"/>
        </w:rPr>
        <w:t>En mayo de 2022, se organizó una reunión presencial en Bruselas, con el apoyo de DG SANTE. El orden del día incluía presentaciones y debates sobre los siguientes temas:</w:t>
      </w:r>
    </w:p>
    <w:p w:rsidR="00E70F71" w:rsidRPr="0075789D" w:rsidRDefault="00E70F71" w:rsidP="00E70F71">
      <w:pPr>
        <w:rPr>
          <w:lang w:val="es-419"/>
        </w:rPr>
      </w:pPr>
    </w:p>
    <w:p w:rsidR="00E70F71" w:rsidRPr="0075789D" w:rsidRDefault="00E70F71" w:rsidP="00E70F71">
      <w:pPr>
        <w:numPr>
          <w:ilvl w:val="0"/>
          <w:numId w:val="39"/>
        </w:numPr>
        <w:rPr>
          <w:lang w:val="es-419"/>
        </w:rPr>
      </w:pPr>
      <w:r w:rsidRPr="0075789D">
        <w:rPr>
          <w:lang w:val="es-419"/>
        </w:rPr>
        <w:t>Papel de las técnicas biomoleculares en la normativa de semillas en la UE: posible función del IMODDUS</w:t>
      </w:r>
    </w:p>
    <w:p w:rsidR="00E70F71" w:rsidRPr="0075789D" w:rsidRDefault="00E70F71" w:rsidP="00E70F71">
      <w:pPr>
        <w:numPr>
          <w:ilvl w:val="0"/>
          <w:numId w:val="39"/>
        </w:numPr>
        <w:rPr>
          <w:lang w:val="es-419"/>
        </w:rPr>
      </w:pPr>
      <w:r w:rsidRPr="0075789D">
        <w:rPr>
          <w:lang w:val="es-419"/>
        </w:rPr>
        <w:t>Puesta al día sobre el nuevo Grupo de Trabajo sobre Técnicas Bioquímicas y Moleculares de la OCDE, posibles interacciones con el IMODDUS.</w:t>
      </w:r>
    </w:p>
    <w:p w:rsidR="00E70F71" w:rsidRPr="0075789D" w:rsidRDefault="00E70F71" w:rsidP="00E70F71">
      <w:pPr>
        <w:numPr>
          <w:ilvl w:val="0"/>
          <w:numId w:val="39"/>
        </w:numPr>
        <w:rPr>
          <w:lang w:val="es-419"/>
        </w:rPr>
      </w:pPr>
      <w:r w:rsidRPr="0075789D">
        <w:rPr>
          <w:lang w:val="es-419"/>
        </w:rPr>
        <w:t>Información actualizada sobre el sistema de protección de las obtenciones vegetales de los Estados Unidos y el uso de técnicas moleculares en los procedimientos de toma de decisiones</w:t>
      </w:r>
    </w:p>
    <w:p w:rsidR="00E70F71" w:rsidRPr="0075789D" w:rsidRDefault="00E70F71" w:rsidP="00E70F71">
      <w:pPr>
        <w:numPr>
          <w:ilvl w:val="0"/>
          <w:numId w:val="39"/>
        </w:numPr>
        <w:rPr>
          <w:lang w:val="es-419"/>
        </w:rPr>
      </w:pPr>
      <w:r w:rsidRPr="0075789D">
        <w:rPr>
          <w:lang w:val="es-419"/>
        </w:rPr>
        <w:t>Los proyectos de I+D en curso del IMODDUS</w:t>
      </w:r>
    </w:p>
    <w:p w:rsidR="00E70F71" w:rsidRPr="0075789D" w:rsidRDefault="00E70F71" w:rsidP="00E70F71">
      <w:pPr>
        <w:numPr>
          <w:ilvl w:val="0"/>
          <w:numId w:val="39"/>
        </w:numPr>
        <w:rPr>
          <w:lang w:val="es-419"/>
        </w:rPr>
      </w:pPr>
      <w:r w:rsidRPr="0075789D">
        <w:rPr>
          <w:lang w:val="es-419"/>
        </w:rPr>
        <w:t xml:space="preserve">Las actividades moleculares del proyecto INVITE (centrado en el </w:t>
      </w:r>
      <w:proofErr w:type="spellStart"/>
      <w:r w:rsidRPr="0075789D">
        <w:rPr>
          <w:lang w:val="es-419"/>
        </w:rPr>
        <w:t>raygrás</w:t>
      </w:r>
      <w:proofErr w:type="spellEnd"/>
      <w:r w:rsidRPr="0075789D">
        <w:rPr>
          <w:lang w:val="es-419"/>
        </w:rPr>
        <w:t xml:space="preserve"> perenne) e INNOVAR</w:t>
      </w:r>
    </w:p>
    <w:p w:rsidR="00E70F71" w:rsidRPr="0075789D" w:rsidRDefault="00E70F71" w:rsidP="00E70F71">
      <w:pPr>
        <w:numPr>
          <w:ilvl w:val="0"/>
          <w:numId w:val="39"/>
        </w:numPr>
        <w:rPr>
          <w:lang w:val="es-419"/>
        </w:rPr>
      </w:pPr>
      <w:r w:rsidRPr="0075789D">
        <w:rPr>
          <w:lang w:val="es-419"/>
        </w:rPr>
        <w:t xml:space="preserve">Los marcadores moleculares como forma de apoyar la evaluación de la distinción: comentarios de los obtentores sobre el concepto de distinción molecular acotada por requisitos de valor </w:t>
      </w:r>
      <w:r w:rsidRPr="0075789D">
        <w:rPr>
          <w:i/>
          <w:iCs/>
          <w:lang w:val="es-419"/>
        </w:rPr>
        <w:t>(</w:t>
      </w:r>
      <w:proofErr w:type="spellStart"/>
      <w:r w:rsidRPr="0075789D">
        <w:rPr>
          <w:i/>
          <w:iCs/>
          <w:lang w:val="es-419"/>
        </w:rPr>
        <w:t>value</w:t>
      </w:r>
      <w:proofErr w:type="spellEnd"/>
      <w:r w:rsidRPr="0075789D">
        <w:rPr>
          <w:i/>
          <w:iCs/>
          <w:lang w:val="es-419"/>
        </w:rPr>
        <w:t xml:space="preserve"> molecular </w:t>
      </w:r>
      <w:proofErr w:type="spellStart"/>
      <w:r w:rsidRPr="0075789D">
        <w:rPr>
          <w:i/>
          <w:iCs/>
          <w:lang w:val="es-419"/>
        </w:rPr>
        <w:t>Distinctness</w:t>
      </w:r>
      <w:proofErr w:type="spellEnd"/>
      <w:r w:rsidRPr="0075789D">
        <w:rPr>
          <w:i/>
          <w:iCs/>
          <w:lang w:val="es-419"/>
        </w:rPr>
        <w:t>)</w:t>
      </w:r>
    </w:p>
    <w:p w:rsidR="00E70F71" w:rsidRPr="0075789D" w:rsidRDefault="00E70F71" w:rsidP="00E70F71">
      <w:pPr>
        <w:rPr>
          <w:lang w:val="es-419"/>
        </w:rPr>
      </w:pPr>
    </w:p>
    <w:p w:rsidR="00E70F71" w:rsidRPr="0075789D" w:rsidRDefault="00E70F71" w:rsidP="00E70F71">
      <w:pPr>
        <w:rPr>
          <w:lang w:val="es-419"/>
        </w:rPr>
      </w:pPr>
      <w:r w:rsidRPr="0075789D">
        <w:rPr>
          <w:lang w:val="es-419"/>
        </w:rPr>
        <w:t>En 2022, el IMODDUS no tuvo que evaluar ninguna nueva propuesta de proyecto de I+D.</w:t>
      </w:r>
    </w:p>
    <w:p w:rsidR="00E70F71" w:rsidRPr="0075789D" w:rsidRDefault="00E70F71" w:rsidP="00E70F71">
      <w:pPr>
        <w:rPr>
          <w:lang w:val="es-419"/>
        </w:rPr>
      </w:pPr>
    </w:p>
    <w:p w:rsidR="00E70F71" w:rsidRPr="0075789D" w:rsidRDefault="00E70F71" w:rsidP="00E70F71">
      <w:pPr>
        <w:rPr>
          <w:lang w:val="es-419"/>
        </w:rPr>
      </w:pPr>
      <w:r w:rsidRPr="0075789D">
        <w:rPr>
          <w:lang w:val="es-419"/>
        </w:rPr>
        <w:t>Los tres proyectos de I+D que el IMODDUS ha valorado positivamente y que recibieron cofinanciación han finalizado.</w:t>
      </w:r>
    </w:p>
    <w:p w:rsidR="00E70F71" w:rsidRPr="0075789D" w:rsidRDefault="00E70F71" w:rsidP="00E70F71">
      <w:pPr>
        <w:rPr>
          <w:lang w:val="es-419"/>
        </w:rPr>
      </w:pPr>
    </w:p>
    <w:p w:rsidR="00E70F71" w:rsidRPr="0075789D" w:rsidRDefault="00E70F71" w:rsidP="00E70F71">
      <w:pPr>
        <w:spacing w:after="120"/>
        <w:ind w:left="567"/>
        <w:rPr>
          <w:i/>
          <w:lang w:val="es-419"/>
        </w:rPr>
      </w:pPr>
      <w:r w:rsidRPr="0075789D">
        <w:rPr>
          <w:i/>
          <w:lang w:val="es-419"/>
        </w:rPr>
        <w:t>Manzano</w:t>
      </w:r>
    </w:p>
    <w:p w:rsidR="00E70F71" w:rsidRPr="0075789D" w:rsidRDefault="00E70F71" w:rsidP="00E70F71">
      <w:pPr>
        <w:spacing w:after="120"/>
        <w:ind w:left="567"/>
        <w:rPr>
          <w:lang w:val="es-419"/>
        </w:rPr>
      </w:pPr>
      <w:r w:rsidRPr="0075789D">
        <w:rPr>
          <w:lang w:val="es-419"/>
        </w:rPr>
        <w:t xml:space="preserve">“Desarrollo de marcadores moleculares que permitan distinguir mutantes (espontáneos) del manzano” (por asociación de datos de secuenciación, </w:t>
      </w:r>
      <w:proofErr w:type="spellStart"/>
      <w:r w:rsidRPr="0075789D">
        <w:rPr>
          <w:lang w:val="es-419"/>
        </w:rPr>
        <w:t>transcriptómicos</w:t>
      </w:r>
      <w:proofErr w:type="spellEnd"/>
      <w:r w:rsidRPr="0075789D">
        <w:rPr>
          <w:lang w:val="es-419"/>
        </w:rPr>
        <w:t xml:space="preserve"> y </w:t>
      </w:r>
      <w:proofErr w:type="spellStart"/>
      <w:r w:rsidRPr="0075789D">
        <w:rPr>
          <w:lang w:val="es-419"/>
        </w:rPr>
        <w:t>epigenéticos</w:t>
      </w:r>
      <w:proofErr w:type="spellEnd"/>
      <w:r w:rsidRPr="0075789D">
        <w:rPr>
          <w:lang w:val="es-419"/>
        </w:rPr>
        <w:t>)</w:t>
      </w:r>
    </w:p>
    <w:p w:rsidR="00E70F71" w:rsidRPr="0075789D" w:rsidRDefault="00E70F71" w:rsidP="00E70F71">
      <w:pPr>
        <w:spacing w:after="120"/>
        <w:ind w:left="567"/>
        <w:rPr>
          <w:i/>
          <w:lang w:val="es-419"/>
        </w:rPr>
      </w:pPr>
      <w:r w:rsidRPr="0075789D">
        <w:rPr>
          <w:i/>
          <w:lang w:val="es-419"/>
        </w:rPr>
        <w:lastRenderedPageBreak/>
        <w:t>Colza (segunda parte)</w:t>
      </w:r>
    </w:p>
    <w:p w:rsidR="00E70F71" w:rsidRPr="0075789D" w:rsidRDefault="00E70F71" w:rsidP="00E70F71">
      <w:pPr>
        <w:spacing w:after="120"/>
        <w:ind w:left="567"/>
        <w:rPr>
          <w:lang w:val="es-419"/>
        </w:rPr>
      </w:pPr>
      <w:r w:rsidRPr="0075789D">
        <w:rPr>
          <w:lang w:val="es-419"/>
        </w:rPr>
        <w:t>“Desarrollo de una estrategia para aplicar marcadores moleculares del tipo de polimorfismo de nucleótido único (SNP) en el marco del examen DHE de la colza de invierno”</w:t>
      </w:r>
      <w:r w:rsidRPr="0075789D">
        <w:rPr>
          <w:i/>
          <w:iCs/>
          <w:lang w:val="es-419"/>
        </w:rPr>
        <w:t>.</w:t>
      </w:r>
      <w:r w:rsidRPr="0075789D">
        <w:rPr>
          <w:lang w:val="es-419"/>
        </w:rPr>
        <w:t xml:space="preserve"> </w:t>
      </w:r>
    </w:p>
    <w:p w:rsidR="00E70F71" w:rsidRPr="0075789D" w:rsidRDefault="00E70F71" w:rsidP="00E70F71">
      <w:pPr>
        <w:spacing w:after="120"/>
        <w:ind w:left="567"/>
        <w:rPr>
          <w:i/>
          <w:lang w:val="es-419"/>
        </w:rPr>
      </w:pPr>
      <w:r w:rsidRPr="0075789D">
        <w:rPr>
          <w:i/>
          <w:lang w:val="es-419"/>
        </w:rPr>
        <w:t>Cáñamo</w:t>
      </w:r>
    </w:p>
    <w:p w:rsidR="00E70F71" w:rsidRPr="0075789D" w:rsidRDefault="00E70F71" w:rsidP="00E70F71">
      <w:pPr>
        <w:ind w:left="567"/>
        <w:rPr>
          <w:lang w:val="es-419"/>
        </w:rPr>
      </w:pPr>
      <w:r w:rsidRPr="0075789D">
        <w:rPr>
          <w:lang w:val="es-419"/>
        </w:rPr>
        <w:t xml:space="preserve">“Desarrollo de un conjunto de marcadores SNP en </w:t>
      </w:r>
      <w:r w:rsidRPr="0075789D">
        <w:rPr>
          <w:i/>
          <w:iCs/>
          <w:lang w:val="es-419"/>
        </w:rPr>
        <w:t>Cannabis</w:t>
      </w:r>
      <w:r w:rsidRPr="0075789D">
        <w:rPr>
          <w:lang w:val="es-419"/>
        </w:rPr>
        <w:t xml:space="preserve"> para respaldar el examen DHE”.</w:t>
      </w:r>
    </w:p>
    <w:p w:rsidR="00E70F71" w:rsidRPr="0075789D" w:rsidRDefault="00E70F71" w:rsidP="00E70F71">
      <w:pPr>
        <w:rPr>
          <w:lang w:val="es-419"/>
        </w:rPr>
      </w:pPr>
    </w:p>
    <w:p w:rsidR="00E70F71" w:rsidRPr="0075789D" w:rsidRDefault="00E70F71" w:rsidP="00E70F71">
      <w:pPr>
        <w:keepNext/>
        <w:rPr>
          <w:lang w:val="es-419"/>
        </w:rPr>
      </w:pPr>
      <w:r w:rsidRPr="0075789D">
        <w:rPr>
          <w:lang w:val="es-419"/>
        </w:rPr>
        <w:t>Otros proyectos de I+D que el IMODDUS validó avanzaron a buen ritmo durante el periodo:</w:t>
      </w:r>
    </w:p>
    <w:p w:rsidR="00E70F71" w:rsidRPr="0075789D" w:rsidRDefault="00E70F71" w:rsidP="00E70F71">
      <w:pPr>
        <w:keepNext/>
        <w:rPr>
          <w:lang w:val="es-419"/>
        </w:rPr>
      </w:pPr>
    </w:p>
    <w:p w:rsidR="00E70F71" w:rsidRPr="0075789D" w:rsidRDefault="00E70F71" w:rsidP="00E70F71">
      <w:pPr>
        <w:spacing w:after="120"/>
        <w:ind w:left="567"/>
        <w:rPr>
          <w:i/>
          <w:lang w:val="es-419"/>
        </w:rPr>
      </w:pPr>
      <w:r w:rsidRPr="0075789D">
        <w:rPr>
          <w:i/>
          <w:lang w:val="es-419"/>
        </w:rPr>
        <w:t>Tomate</w:t>
      </w:r>
    </w:p>
    <w:p w:rsidR="00E70F71" w:rsidRPr="0075789D" w:rsidRDefault="00E70F71" w:rsidP="00E70F71">
      <w:pPr>
        <w:spacing w:after="120"/>
        <w:ind w:left="567"/>
        <w:rPr>
          <w:lang w:val="es-419"/>
        </w:rPr>
      </w:pPr>
      <w:r w:rsidRPr="0075789D">
        <w:rPr>
          <w:lang w:val="es-419"/>
        </w:rPr>
        <w:t>“Validación internacional de un conjunto de marcadores SNP que permitan determinar las distancias genéticas para gestionar la colección de referencia del tomate”</w:t>
      </w:r>
    </w:p>
    <w:p w:rsidR="00E70F71" w:rsidRPr="0075789D" w:rsidRDefault="00E70F71" w:rsidP="00E70F71">
      <w:pPr>
        <w:spacing w:after="120"/>
        <w:ind w:left="567"/>
        <w:rPr>
          <w:bCs/>
          <w:i/>
          <w:iCs/>
          <w:lang w:val="es-419"/>
        </w:rPr>
      </w:pPr>
      <w:proofErr w:type="spellStart"/>
      <w:r w:rsidRPr="0075789D">
        <w:rPr>
          <w:i/>
          <w:lang w:val="es-419"/>
        </w:rPr>
        <w:t>DurdusTools</w:t>
      </w:r>
      <w:proofErr w:type="spellEnd"/>
    </w:p>
    <w:p w:rsidR="00E70F71" w:rsidRPr="0075789D" w:rsidRDefault="00E70F71" w:rsidP="00E70F71">
      <w:pPr>
        <w:ind w:left="567"/>
        <w:rPr>
          <w:lang w:val="es-419"/>
        </w:rPr>
      </w:pPr>
      <w:r w:rsidRPr="0075789D">
        <w:rPr>
          <w:lang w:val="es-419"/>
        </w:rPr>
        <w:t>“Integración de datos moleculares en el examen DHE del trigo duro: desarrollo de una base de datos molecular común en Internet y de una herramienta de cálculo de la distancia genética”</w:t>
      </w:r>
    </w:p>
    <w:p w:rsidR="00E70F71" w:rsidRPr="0075789D" w:rsidRDefault="00E70F71" w:rsidP="00E70F71">
      <w:pPr>
        <w:rPr>
          <w:lang w:val="es-419"/>
        </w:rPr>
      </w:pPr>
    </w:p>
    <w:p w:rsidR="00E70F71" w:rsidRPr="0075789D" w:rsidRDefault="00E70F71" w:rsidP="00E70F71">
      <w:pPr>
        <w:keepNext/>
        <w:rPr>
          <w:lang w:val="es-419"/>
        </w:rPr>
      </w:pPr>
      <w:r w:rsidRPr="0075789D">
        <w:rPr>
          <w:lang w:val="es-419"/>
        </w:rPr>
        <w:t>A principios de 2022 se inició la ejecución de dos nuevos proyectos de I+D validados por el IMODDUS en 2021:</w:t>
      </w:r>
    </w:p>
    <w:p w:rsidR="00E70F71" w:rsidRPr="0075789D" w:rsidRDefault="00E70F71" w:rsidP="00E70F71">
      <w:pPr>
        <w:keepNext/>
        <w:rPr>
          <w:lang w:val="es-419"/>
        </w:rPr>
      </w:pPr>
    </w:p>
    <w:p w:rsidR="00E70F71" w:rsidRPr="0075789D" w:rsidRDefault="00E70F71" w:rsidP="00E70F71">
      <w:pPr>
        <w:spacing w:after="120"/>
        <w:ind w:left="567"/>
        <w:rPr>
          <w:i/>
          <w:lang w:val="es-419"/>
        </w:rPr>
      </w:pPr>
      <w:r w:rsidRPr="0075789D">
        <w:rPr>
          <w:i/>
          <w:lang w:val="es-419"/>
        </w:rPr>
        <w:t>Hortensia</w:t>
      </w:r>
    </w:p>
    <w:p w:rsidR="00E70F71" w:rsidRPr="0075789D" w:rsidRDefault="00E70F71" w:rsidP="00E70F71">
      <w:pPr>
        <w:spacing w:after="120"/>
        <w:ind w:left="567"/>
        <w:rPr>
          <w:lang w:val="es-419"/>
        </w:rPr>
      </w:pPr>
      <w:r w:rsidRPr="0075789D">
        <w:rPr>
          <w:lang w:val="es-419"/>
        </w:rPr>
        <w:t xml:space="preserve">Utilización de datos moleculares para respaldar el examen DHE en plantas ornamentales: un estudio de caso sobre la hortensia. </w:t>
      </w:r>
    </w:p>
    <w:p w:rsidR="00E70F71" w:rsidRPr="0075789D" w:rsidRDefault="00E70F71" w:rsidP="00E70F71">
      <w:pPr>
        <w:spacing w:after="120"/>
        <w:ind w:left="567"/>
        <w:rPr>
          <w:i/>
          <w:lang w:val="es-419"/>
        </w:rPr>
      </w:pPr>
      <w:r w:rsidRPr="0075789D">
        <w:rPr>
          <w:i/>
          <w:lang w:val="es-419"/>
        </w:rPr>
        <w:t>Tomate – Pimiento – Melón</w:t>
      </w:r>
    </w:p>
    <w:p w:rsidR="00E70F71" w:rsidRPr="0075789D" w:rsidRDefault="00E70F71" w:rsidP="00E70F71">
      <w:pPr>
        <w:spacing w:after="120"/>
        <w:ind w:left="567"/>
        <w:rPr>
          <w:i/>
          <w:lang w:val="es-419"/>
        </w:rPr>
      </w:pPr>
      <w:r w:rsidRPr="0075789D">
        <w:rPr>
          <w:lang w:val="es-419"/>
        </w:rPr>
        <w:t>Actualización de los ensayos DHE de los caracteres de resistencia en función de la evolución de las plagas:</w:t>
      </w:r>
    </w:p>
    <w:p w:rsidR="00E70F71" w:rsidRPr="0075789D" w:rsidRDefault="00E70F71" w:rsidP="00E70F71">
      <w:pPr>
        <w:ind w:left="567"/>
        <w:rPr>
          <w:lang w:val="es-419"/>
        </w:rPr>
      </w:pPr>
      <w:r w:rsidRPr="0075789D">
        <w:rPr>
          <w:lang w:val="es-419"/>
        </w:rPr>
        <w:t xml:space="preserve">- Establecimiento de pruebas de resistencia al </w:t>
      </w:r>
      <w:proofErr w:type="spellStart"/>
      <w:r w:rsidRPr="0075789D">
        <w:rPr>
          <w:lang w:val="es-419"/>
        </w:rPr>
        <w:t>ToBRFV</w:t>
      </w:r>
      <w:proofErr w:type="spellEnd"/>
      <w:r w:rsidRPr="0075789D">
        <w:rPr>
          <w:lang w:val="es-419"/>
        </w:rPr>
        <w:t xml:space="preserve"> para el tomate y el pimiento;</w:t>
      </w:r>
    </w:p>
    <w:p w:rsidR="00E70F71" w:rsidRPr="0075789D" w:rsidRDefault="00E70F71" w:rsidP="00E70F71">
      <w:pPr>
        <w:ind w:left="567"/>
        <w:rPr>
          <w:lang w:val="es-419"/>
        </w:rPr>
      </w:pPr>
      <w:r w:rsidRPr="0075789D">
        <w:rPr>
          <w:lang w:val="es-419"/>
        </w:rPr>
        <w:t xml:space="preserve">- Mejora de la prueba de resistencia a </w:t>
      </w:r>
      <w:proofErr w:type="spellStart"/>
      <w:r w:rsidRPr="0075789D">
        <w:rPr>
          <w:i/>
          <w:iCs/>
          <w:lang w:val="es-419"/>
        </w:rPr>
        <w:t>Aphis</w:t>
      </w:r>
      <w:proofErr w:type="spellEnd"/>
      <w:r w:rsidRPr="0075789D">
        <w:rPr>
          <w:i/>
          <w:iCs/>
          <w:lang w:val="es-419"/>
        </w:rPr>
        <w:t xml:space="preserve"> </w:t>
      </w:r>
      <w:proofErr w:type="spellStart"/>
      <w:r w:rsidRPr="0075789D">
        <w:rPr>
          <w:i/>
          <w:iCs/>
          <w:lang w:val="es-419"/>
        </w:rPr>
        <w:t>gossypii</w:t>
      </w:r>
      <w:proofErr w:type="spellEnd"/>
      <w:r w:rsidRPr="0075789D">
        <w:rPr>
          <w:lang w:val="es-419"/>
        </w:rPr>
        <w:t xml:space="preserve"> para el melón.</w:t>
      </w:r>
    </w:p>
    <w:p w:rsidR="00E70F71" w:rsidRPr="0075789D" w:rsidRDefault="00E70F71" w:rsidP="00E70F71">
      <w:pPr>
        <w:rPr>
          <w:lang w:val="es-419"/>
        </w:rPr>
      </w:pPr>
    </w:p>
    <w:p w:rsidR="00E70F71" w:rsidRPr="0075789D" w:rsidRDefault="00E70F71" w:rsidP="00E70F71">
      <w:pPr>
        <w:rPr>
          <w:u w:val="single"/>
          <w:lang w:val="es-419"/>
        </w:rPr>
      </w:pPr>
      <w:r w:rsidRPr="0075789D">
        <w:rPr>
          <w:u w:val="single"/>
          <w:lang w:val="es-419"/>
        </w:rPr>
        <w:t>6.2</w:t>
      </w:r>
      <w:r w:rsidRPr="0075789D">
        <w:rPr>
          <w:u w:val="single"/>
          <w:lang w:val="es-419"/>
        </w:rPr>
        <w:tab/>
        <w:t>Proyecto INVITE</w:t>
      </w:r>
    </w:p>
    <w:p w:rsidR="00E70F71" w:rsidRPr="0075789D" w:rsidRDefault="00E70F71" w:rsidP="00E70F71">
      <w:pPr>
        <w:rPr>
          <w:lang w:val="es-419"/>
        </w:rPr>
      </w:pPr>
    </w:p>
    <w:p w:rsidR="00E70F71" w:rsidRPr="0075789D" w:rsidRDefault="00E70F71" w:rsidP="00E70F71">
      <w:pPr>
        <w:rPr>
          <w:lang w:val="es-419"/>
        </w:rPr>
      </w:pPr>
      <w:r w:rsidRPr="0075789D">
        <w:rPr>
          <w:lang w:val="es-419"/>
        </w:rPr>
        <w:t>INVITE (</w:t>
      </w:r>
      <w:proofErr w:type="spellStart"/>
      <w:r w:rsidRPr="0075789D">
        <w:rPr>
          <w:i/>
          <w:iCs/>
          <w:lang w:val="es-419"/>
        </w:rPr>
        <w:t>INnovations</w:t>
      </w:r>
      <w:proofErr w:type="spellEnd"/>
      <w:r w:rsidRPr="0075789D">
        <w:rPr>
          <w:i/>
          <w:iCs/>
          <w:lang w:val="es-419"/>
        </w:rPr>
        <w:t xml:space="preserve"> in </w:t>
      </w:r>
      <w:proofErr w:type="spellStart"/>
      <w:r w:rsidRPr="0075789D">
        <w:rPr>
          <w:i/>
          <w:iCs/>
          <w:lang w:val="es-419"/>
        </w:rPr>
        <w:t>plant</w:t>
      </w:r>
      <w:proofErr w:type="spellEnd"/>
      <w:r w:rsidRPr="0075789D">
        <w:rPr>
          <w:i/>
          <w:iCs/>
          <w:lang w:val="es-419"/>
        </w:rPr>
        <w:t xml:space="preserve"> </w:t>
      </w:r>
      <w:proofErr w:type="spellStart"/>
      <w:r w:rsidRPr="0075789D">
        <w:rPr>
          <w:i/>
          <w:iCs/>
          <w:lang w:val="es-419"/>
        </w:rPr>
        <w:t>VarIety</w:t>
      </w:r>
      <w:proofErr w:type="spellEnd"/>
      <w:r w:rsidRPr="0075789D">
        <w:rPr>
          <w:i/>
          <w:iCs/>
          <w:lang w:val="es-419"/>
        </w:rPr>
        <w:t xml:space="preserve"> </w:t>
      </w:r>
      <w:proofErr w:type="spellStart"/>
      <w:r w:rsidRPr="0075789D">
        <w:rPr>
          <w:i/>
          <w:iCs/>
          <w:lang w:val="es-419"/>
        </w:rPr>
        <w:t>Testing</w:t>
      </w:r>
      <w:proofErr w:type="spellEnd"/>
      <w:r w:rsidRPr="0075789D">
        <w:rPr>
          <w:i/>
          <w:iCs/>
          <w:lang w:val="es-419"/>
        </w:rPr>
        <w:t xml:space="preserve"> in </w:t>
      </w:r>
      <w:proofErr w:type="spellStart"/>
      <w:r w:rsidRPr="0075789D">
        <w:rPr>
          <w:i/>
          <w:iCs/>
          <w:lang w:val="es-419"/>
        </w:rPr>
        <w:t>Europe</w:t>
      </w:r>
      <w:proofErr w:type="spellEnd"/>
      <w:r w:rsidRPr="0075789D">
        <w:rPr>
          <w:lang w:val="es-419"/>
        </w:rPr>
        <w:t xml:space="preserve">) se refiere a “innovaciones en el examen de variedades vegetales en Europa, con objeto de promover la introducción de nuevas variedades mejor adaptadas a condiciones bióticas y abióticas variables y a prácticas más sostenibles de gestión de los cultivos”. INVITE, es uno de los dos proyectos galardonados de la convocatoria SFS-29-2018 “Innovaciones en el examen de variedades vegetales” del programa </w:t>
      </w:r>
      <w:proofErr w:type="spellStart"/>
      <w:r w:rsidRPr="0075789D">
        <w:rPr>
          <w:lang w:val="es-419"/>
        </w:rPr>
        <w:t>Horizon</w:t>
      </w:r>
      <w:proofErr w:type="spellEnd"/>
      <w:r w:rsidRPr="0075789D">
        <w:rPr>
          <w:lang w:val="es-419"/>
        </w:rPr>
        <w:t xml:space="preserve"> 2020. El proyecto tiene por finalidad mejorar la eficiencia del examen de variedades y la disponibilidad para los interesados de información sobre el rendimiento en diversas condiciones de producción y bajo estrés biótico y abiótico en relación con diez cultivos: siete cultivos “tipo” (maíz, trigo, raigrás, girasol, papa/patata, tomate y manzano) y tres cultivos “de solicitud” (alfalfa, soja y colza). El valor que reviste la variedad para el cultivo y los ensayos de DHE se abordan de manera equilibrada con intención de lograr la máxima sinergia entre ellos por medio de actividades conexas centradas en el </w:t>
      </w:r>
      <w:proofErr w:type="spellStart"/>
      <w:r w:rsidRPr="0075789D">
        <w:rPr>
          <w:lang w:val="es-419"/>
        </w:rPr>
        <w:t>fenotipado</w:t>
      </w:r>
      <w:proofErr w:type="spellEnd"/>
      <w:r w:rsidRPr="0075789D">
        <w:rPr>
          <w:lang w:val="es-419"/>
        </w:rPr>
        <w:t xml:space="preserve">, el </w:t>
      </w:r>
      <w:proofErr w:type="spellStart"/>
      <w:r w:rsidRPr="0075789D">
        <w:rPr>
          <w:lang w:val="es-419"/>
        </w:rPr>
        <w:t>genotipado</w:t>
      </w:r>
      <w:proofErr w:type="spellEnd"/>
      <w:r w:rsidRPr="0075789D">
        <w:rPr>
          <w:lang w:val="es-419"/>
        </w:rPr>
        <w:t>, la modelización y la gestión de bases de datos.</w:t>
      </w:r>
    </w:p>
    <w:p w:rsidR="00E70F71" w:rsidRPr="0075789D" w:rsidRDefault="00E70F71" w:rsidP="00E70F71">
      <w:pPr>
        <w:rPr>
          <w:lang w:val="es-419"/>
        </w:rPr>
      </w:pPr>
    </w:p>
    <w:p w:rsidR="00E70F71" w:rsidRPr="0075789D" w:rsidRDefault="00E70F71" w:rsidP="00E70F71">
      <w:pPr>
        <w:rPr>
          <w:lang w:val="es-419"/>
        </w:rPr>
      </w:pPr>
      <w:r w:rsidRPr="0075789D">
        <w:rPr>
          <w:lang w:val="es-419"/>
        </w:rPr>
        <w:t>El importe total adjudicado a los 29 asociados es de unos ocho millones de euros, para un período de cinco años, a partir de julio de 2019. La OCVV no recibirá financiación.</w:t>
      </w:r>
    </w:p>
    <w:p w:rsidR="00E70F71" w:rsidRPr="0075789D" w:rsidRDefault="00E70F71" w:rsidP="00E70F71">
      <w:pPr>
        <w:rPr>
          <w:lang w:val="es-419"/>
        </w:rPr>
      </w:pPr>
    </w:p>
    <w:p w:rsidR="00E70F71" w:rsidRPr="0075789D" w:rsidRDefault="00E70F71" w:rsidP="00E70F71">
      <w:pPr>
        <w:rPr>
          <w:lang w:val="es-419"/>
        </w:rPr>
      </w:pPr>
      <w:r w:rsidRPr="0075789D">
        <w:rPr>
          <w:lang w:val="es-419"/>
        </w:rPr>
        <w:t xml:space="preserve">La OCVV se encarga de todos los aspectos relativos al acceso a los datos históricos y materiales de referencia que poseen las oficinas de examen. Participa en las reuniones técnicas, codirige el módulo de trabajo 5 dedicado al ensayo y la validación de las nuevas herramientas desarrolladas por todos los módulos de trabajo y es miembro del comité ejecutivo del proyecto. En 2022, el trabajo técnico continuó de manera constante para todos los cultivos. La tercera reunión anual fue organizada por AGES en Viena en abril de 2022. En esta ocasión, se organizó una exposición tecnológica para presentar los primeros instrumentos de </w:t>
      </w:r>
      <w:proofErr w:type="spellStart"/>
      <w:r w:rsidRPr="0075789D">
        <w:rPr>
          <w:lang w:val="es-419"/>
        </w:rPr>
        <w:t>fenotipado</w:t>
      </w:r>
      <w:proofErr w:type="spellEnd"/>
      <w:r w:rsidRPr="0075789D">
        <w:rPr>
          <w:lang w:val="es-419"/>
        </w:rPr>
        <w:t xml:space="preserve"> desarrollados por el módulo 2 de INVITE, además de otros instrumentos y servicios propuestos por un grupo selecto de empresas privadas.</w:t>
      </w:r>
    </w:p>
    <w:p w:rsidR="00E70F71" w:rsidRPr="0075789D" w:rsidRDefault="00E70F71" w:rsidP="00E70F71">
      <w:pPr>
        <w:rPr>
          <w:lang w:val="es-419"/>
        </w:rPr>
      </w:pPr>
    </w:p>
    <w:p w:rsidR="00E70F71" w:rsidRPr="0075789D" w:rsidRDefault="00E70F71" w:rsidP="00E70F71">
      <w:pPr>
        <w:rPr>
          <w:lang w:val="es-419"/>
        </w:rPr>
      </w:pPr>
      <w:r w:rsidRPr="0075789D">
        <w:rPr>
          <w:lang w:val="es-419"/>
        </w:rPr>
        <w:t>Continuó la colaboración con INNOVAR (el segundo consorcio galardonado de la convocatoria SFS-29-2018, el cual está centrado en la optimización del examen de variedades en el trigo). Los datos se obtuvieron en ensayos con trigo blando. Se invitó a los representantes a participar en la reunión del IMODDUS de 2022.</w:t>
      </w:r>
    </w:p>
    <w:p w:rsidR="00E70F71" w:rsidRPr="0075789D" w:rsidRDefault="00E70F71" w:rsidP="00E70F71">
      <w:pPr>
        <w:rPr>
          <w:lang w:val="es-419"/>
        </w:rPr>
      </w:pPr>
    </w:p>
    <w:p w:rsidR="00E70F71" w:rsidRPr="0075789D" w:rsidRDefault="00E70F71" w:rsidP="00E70F71">
      <w:pPr>
        <w:keepNext/>
        <w:rPr>
          <w:u w:val="single"/>
          <w:lang w:val="es-419"/>
        </w:rPr>
      </w:pPr>
      <w:r w:rsidRPr="0075789D">
        <w:rPr>
          <w:u w:val="single"/>
          <w:lang w:val="es-419"/>
        </w:rPr>
        <w:lastRenderedPageBreak/>
        <w:t>6.3</w:t>
      </w:r>
      <w:r w:rsidRPr="0075789D">
        <w:rPr>
          <w:u w:val="single"/>
          <w:lang w:val="es-419"/>
        </w:rPr>
        <w:tab/>
        <w:t>Otros proyectos de I+D</w:t>
      </w:r>
    </w:p>
    <w:p w:rsidR="00E70F71" w:rsidRPr="0075789D" w:rsidRDefault="00E70F71" w:rsidP="00E70F71">
      <w:pPr>
        <w:keepNext/>
        <w:rPr>
          <w:lang w:val="es-419"/>
        </w:rPr>
      </w:pPr>
    </w:p>
    <w:p w:rsidR="00E70F71" w:rsidRPr="0075789D" w:rsidRDefault="00E70F71" w:rsidP="00E70F71">
      <w:pPr>
        <w:keepNext/>
        <w:rPr>
          <w:i/>
          <w:lang w:val="es-419"/>
        </w:rPr>
      </w:pPr>
      <w:proofErr w:type="spellStart"/>
      <w:r w:rsidRPr="0075789D">
        <w:rPr>
          <w:i/>
          <w:lang w:val="es-419"/>
        </w:rPr>
        <w:t>Harmorescoll</w:t>
      </w:r>
      <w:proofErr w:type="spellEnd"/>
    </w:p>
    <w:p w:rsidR="00E70F71" w:rsidRPr="0075789D" w:rsidRDefault="00E70F71" w:rsidP="00E70F71">
      <w:pPr>
        <w:keepNext/>
        <w:rPr>
          <w:lang w:val="es-419"/>
        </w:rPr>
      </w:pPr>
    </w:p>
    <w:p w:rsidR="00E70F71" w:rsidRPr="0075789D" w:rsidRDefault="00E70F71" w:rsidP="00E70F71">
      <w:pPr>
        <w:rPr>
          <w:lang w:val="es-419"/>
        </w:rPr>
      </w:pPr>
      <w:r w:rsidRPr="0075789D">
        <w:rPr>
          <w:lang w:val="es-419"/>
        </w:rPr>
        <w:t xml:space="preserve">El objetivo de HARMORESCOLL es establecer, en el ámbito europeo, un sistema coordinado que permita dar acceso al material de referencia que se utiliza en los ensayos de enfermedades realizados para el examen DHE, según los protocolos de la OCVV y las directrices de la UPOV. Cuenta con la participación de las oficinas de examen y las empresas de semillas adheridas a </w:t>
      </w:r>
      <w:proofErr w:type="spellStart"/>
      <w:r w:rsidRPr="0075789D">
        <w:rPr>
          <w:lang w:val="es-419"/>
        </w:rPr>
        <w:t>Euroseeds</w:t>
      </w:r>
      <w:proofErr w:type="spellEnd"/>
      <w:r w:rsidRPr="0075789D">
        <w:rPr>
          <w:lang w:val="es-419"/>
        </w:rPr>
        <w:t xml:space="preserve"> Los coordinadores del proyecto son el GEVES y </w:t>
      </w:r>
      <w:proofErr w:type="spellStart"/>
      <w:r w:rsidRPr="0075789D">
        <w:rPr>
          <w:i/>
          <w:iCs/>
          <w:lang w:val="es-419"/>
        </w:rPr>
        <w:t>Naktuinbouw</w:t>
      </w:r>
      <w:proofErr w:type="spellEnd"/>
      <w:r w:rsidRPr="0075789D">
        <w:rPr>
          <w:i/>
          <w:iCs/>
          <w:lang w:val="es-419"/>
        </w:rPr>
        <w:t>.</w:t>
      </w:r>
      <w:r w:rsidRPr="0075789D">
        <w:rPr>
          <w:lang w:val="es-419"/>
        </w:rPr>
        <w:t xml:space="preserve"> Se inició en 2020 y su duración prevista es de tres años.</w:t>
      </w:r>
    </w:p>
    <w:p w:rsidR="00384530" w:rsidRPr="006D23D0" w:rsidRDefault="00384530" w:rsidP="00384530">
      <w:pPr>
        <w:contextualSpacing/>
        <w:rPr>
          <w:rFonts w:cs="Arial"/>
          <w:lang w:val="en-US"/>
        </w:rPr>
      </w:pPr>
    </w:p>
    <w:p w:rsidR="00384530" w:rsidRPr="006D23D0" w:rsidRDefault="00384530" w:rsidP="00384530">
      <w:pPr>
        <w:contextualSpacing/>
        <w:jc w:val="left"/>
        <w:rPr>
          <w:rFonts w:cs="Arial"/>
          <w:lang w:val="en-US"/>
        </w:rPr>
      </w:pPr>
    </w:p>
    <w:p w:rsidR="00384530" w:rsidRPr="006D23D0" w:rsidRDefault="00384530" w:rsidP="00384530">
      <w:pPr>
        <w:contextualSpacing/>
        <w:rPr>
          <w:rFonts w:cs="Arial"/>
          <w:lang w:val="en-US"/>
        </w:rPr>
      </w:pPr>
    </w:p>
    <w:p w:rsidR="00050E16" w:rsidRPr="00D36B66" w:rsidRDefault="00050E16" w:rsidP="00384530"/>
    <w:sectPr w:rsidR="00050E16" w:rsidRPr="00D36B66" w:rsidSect="00E70F71">
      <w:headerReference w:type="default" r:id="rId56"/>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DF" w:rsidRDefault="00351ADF" w:rsidP="006655D3">
      <w:r>
        <w:separator/>
      </w:r>
    </w:p>
  </w:endnote>
  <w:endnote w:type="continuationSeparator" w:id="0">
    <w:p w:rsidR="00351ADF" w:rsidRDefault="00351ADF" w:rsidP="006655D3">
      <w:r>
        <w:separator/>
      </w:r>
    </w:p>
    <w:p w:rsidR="00351ADF" w:rsidRPr="00294751" w:rsidRDefault="00351ADF">
      <w:pPr>
        <w:pStyle w:val="Footer"/>
        <w:spacing w:after="60"/>
        <w:rPr>
          <w:sz w:val="18"/>
          <w:lang w:val="fr-FR"/>
        </w:rPr>
      </w:pPr>
      <w:r w:rsidRPr="00294751">
        <w:rPr>
          <w:sz w:val="18"/>
          <w:lang w:val="fr-FR"/>
        </w:rPr>
        <w:t>[Suite de la note de la page précédente]</w:t>
      </w:r>
    </w:p>
    <w:p w:rsidR="00351ADF" w:rsidRPr="00294751" w:rsidRDefault="00351ADF" w:rsidP="006655D3">
      <w:pPr>
        <w:rPr>
          <w:lang w:val="fr-FR"/>
        </w:rPr>
      </w:pPr>
    </w:p>
    <w:p w:rsidR="00351ADF" w:rsidRPr="00294751" w:rsidRDefault="00351ADF" w:rsidP="006655D3">
      <w:pPr>
        <w:rPr>
          <w:lang w:val="fr-FR"/>
        </w:rPr>
      </w:pPr>
    </w:p>
  </w:endnote>
  <w:endnote w:type="continuationNotice" w:id="1">
    <w:p w:rsidR="00351ADF" w:rsidRPr="00294751" w:rsidRDefault="00351ADF" w:rsidP="006655D3">
      <w:pPr>
        <w:rPr>
          <w:lang w:val="fr-FR"/>
        </w:rPr>
      </w:pPr>
      <w:r w:rsidRPr="00294751">
        <w:rPr>
          <w:lang w:val="fr-FR"/>
        </w:rPr>
        <w:t>[Suite de la note page suivante]</w:t>
      </w:r>
    </w:p>
    <w:p w:rsidR="00351ADF" w:rsidRPr="00294751" w:rsidRDefault="00351ADF" w:rsidP="006655D3">
      <w:pPr>
        <w:rPr>
          <w:lang w:val="fr-FR"/>
        </w:rPr>
      </w:pPr>
    </w:p>
    <w:p w:rsidR="00351ADF" w:rsidRPr="00294751" w:rsidRDefault="00351ADF" w:rsidP="006655D3">
      <w:pPr>
        <w:rPr>
          <w:lang w:val="fr-FR"/>
        </w:rPr>
      </w:pPr>
    </w:p>
  </w:endnote>
  <w:endnote w:id="2">
    <w:p w:rsidR="00E70F71" w:rsidRDefault="00E70F71" w:rsidP="00E70F71">
      <w:pPr>
        <w:pStyle w:val="EndnoteText"/>
        <w:tabs>
          <w:tab w:val="left" w:pos="284"/>
        </w:tabs>
        <w:spacing w:before="60"/>
      </w:pPr>
      <w:r>
        <w:rPr>
          <w:rStyle w:val="EndnoteReference"/>
        </w:rPr>
        <w:endnoteRef/>
      </w:r>
      <w:r>
        <w:tab/>
        <w:t>En el presente informe se emplea la terminología de las Naciones Unidas.</w:t>
      </w:r>
    </w:p>
    <w:p w:rsidR="00E70F71" w:rsidRDefault="00E70F71" w:rsidP="00E70F71"/>
    <w:p w:rsidR="00E70F71" w:rsidRDefault="00E70F71" w:rsidP="00E70F71"/>
    <w:p w:rsidR="00E70F71" w:rsidRPr="00E70F71" w:rsidRDefault="00E70F71" w:rsidP="00E70F71"/>
    <w:p w:rsidR="00E70F71" w:rsidRPr="00E562CC" w:rsidRDefault="00E70F71" w:rsidP="00E70F71">
      <w:pPr>
        <w:jc w:val="right"/>
      </w:pPr>
      <w:r w:rsidRPr="00D36B66">
        <w:t>[</w:t>
      </w:r>
      <w:r>
        <w:t>Fin del Anexo</w:t>
      </w:r>
      <w:r w:rsidRPr="00D36B66">
        <w:t xml:space="preserve"> XI</w:t>
      </w:r>
      <w:r>
        <w:t>X</w:t>
      </w:r>
      <w:r w:rsidRPr="00D36B66">
        <w:t xml:space="preserve"> </w:t>
      </w:r>
      <w:r>
        <w:t xml:space="preserve">y del </w:t>
      </w:r>
      <w:r w:rsidRPr="00D36B66">
        <w:t>document</w:t>
      </w:r>
      <w:r>
        <w:t>o</w:t>
      </w:r>
      <w:r w:rsidRPr="00D36B6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DF" w:rsidRDefault="00351ADF" w:rsidP="006655D3">
      <w:r>
        <w:separator/>
      </w:r>
    </w:p>
  </w:footnote>
  <w:footnote w:type="continuationSeparator" w:id="0">
    <w:p w:rsidR="00351ADF" w:rsidRDefault="00351ADF" w:rsidP="006655D3">
      <w:r>
        <w:separator/>
      </w:r>
    </w:p>
  </w:footnote>
  <w:footnote w:type="continuationNotice" w:id="1">
    <w:p w:rsidR="00351ADF" w:rsidRPr="00AB530F" w:rsidRDefault="00351AD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5A5958" w:rsidP="00EB048E">
    <w:pPr>
      <w:pStyle w:val="Header"/>
      <w:rPr>
        <w:rStyle w:val="PageNumber"/>
        <w:lang w:val="en-US"/>
      </w:rPr>
    </w:pPr>
    <w:r>
      <w:rPr>
        <w:rStyle w:val="PageNumber"/>
        <w:lang w:val="en-US"/>
      </w:rPr>
      <w:t>C/56</w:t>
    </w:r>
    <w:r w:rsidR="000362AD">
      <w:rPr>
        <w:rStyle w:val="PageNumber"/>
        <w:lang w:val="en-US"/>
      </w:rPr>
      <w:t>/INF/4</w:t>
    </w:r>
  </w:p>
  <w:p w:rsidR="000362AD" w:rsidRPr="00C5280D" w:rsidRDefault="000362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0362AD" w:rsidRPr="00C5280D" w:rsidRDefault="000362A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27" w:rsidRPr="006D23D0" w:rsidRDefault="00285F27" w:rsidP="00EB048E">
    <w:pPr>
      <w:pStyle w:val="Header"/>
      <w:rPr>
        <w:rStyle w:val="PageNumber"/>
        <w:lang w:val="es-ES"/>
      </w:rPr>
    </w:pPr>
    <w:r w:rsidRPr="006D23D0">
      <w:rPr>
        <w:rStyle w:val="PageNumber"/>
        <w:lang w:val="es-ES"/>
      </w:rPr>
      <w:t>C/56/INF/4</w:t>
    </w:r>
  </w:p>
  <w:p w:rsidR="00285F27" w:rsidRPr="006D23D0" w:rsidRDefault="00285F27" w:rsidP="00EB048E">
    <w:pPr>
      <w:pStyle w:val="Header"/>
      <w:rPr>
        <w:lang w:val="es-ES"/>
      </w:rPr>
    </w:pPr>
    <w:r w:rsidRPr="006D23D0">
      <w:rPr>
        <w:lang w:val="es-ES"/>
      </w:rPr>
      <w:t xml:space="preserve">Anexo </w:t>
    </w:r>
    <w:r>
      <w:rPr>
        <w:lang w:val="es-ES"/>
      </w:rPr>
      <w:t>X</w:t>
    </w:r>
    <w:r w:rsidRPr="006D23D0">
      <w:rPr>
        <w:lang w:val="es-ES"/>
      </w:rPr>
      <w:t xml:space="preserve">, página </w:t>
    </w:r>
    <w:r w:rsidRPr="003C641A">
      <w:rPr>
        <w:rStyle w:val="PageNumber"/>
        <w:lang w:val="en-US"/>
      </w:rPr>
      <w:fldChar w:fldCharType="begin"/>
    </w:r>
    <w:r w:rsidRPr="006D23D0">
      <w:rPr>
        <w:rStyle w:val="PageNumber"/>
        <w:lang w:val="es-ES"/>
      </w:rPr>
      <w:instrText xml:space="preserve"> PAGE </w:instrText>
    </w:r>
    <w:r w:rsidRPr="003C641A">
      <w:rPr>
        <w:rStyle w:val="PageNumber"/>
        <w:lang w:val="en-US"/>
      </w:rPr>
      <w:fldChar w:fldCharType="separate"/>
    </w:r>
    <w:r w:rsidR="00D11CAE">
      <w:rPr>
        <w:rStyle w:val="PageNumber"/>
        <w:noProof/>
        <w:lang w:val="es-ES"/>
      </w:rPr>
      <w:t>2</w:t>
    </w:r>
    <w:r w:rsidRPr="003C641A">
      <w:rPr>
        <w:rStyle w:val="PageNumber"/>
        <w:lang w:val="en-US"/>
      </w:rPr>
      <w:fldChar w:fldCharType="end"/>
    </w:r>
  </w:p>
  <w:p w:rsidR="00285F27" w:rsidRPr="003C641A" w:rsidRDefault="00285F27"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w:t>
    </w:r>
    <w:r w:rsidR="000C1557">
      <w:rPr>
        <w:lang w:val="es-ES"/>
      </w:rPr>
      <w:t>X</w:t>
    </w:r>
    <w:r w:rsidR="000362AD" w:rsidRPr="006D23D0">
      <w:rPr>
        <w:lang w:val="es-ES"/>
      </w:rPr>
      <w:t>I</w:t>
    </w:r>
    <w:r w:rsidRPr="006D23D0">
      <w:rPr>
        <w:lang w:val="es-ES"/>
      </w:rPr>
      <w:t>, página</w:t>
    </w:r>
    <w:r w:rsidR="000362AD" w:rsidRPr="006D23D0">
      <w:rPr>
        <w:lang w:val="es-ES"/>
      </w:rPr>
      <w:t xml:space="preserve"> </w:t>
    </w:r>
    <w:r w:rsidR="000362AD" w:rsidRPr="003C641A">
      <w:rPr>
        <w:rStyle w:val="PageNumber"/>
        <w:lang w:val="en-US"/>
      </w:rPr>
      <w:fldChar w:fldCharType="begin"/>
    </w:r>
    <w:r w:rsidR="000362AD" w:rsidRPr="006D23D0">
      <w:rPr>
        <w:rStyle w:val="PageNumber"/>
        <w:lang w:val="es-ES"/>
      </w:rPr>
      <w:instrText xml:space="preserve"> PAGE </w:instrText>
    </w:r>
    <w:r w:rsidR="000362AD" w:rsidRPr="003C641A">
      <w:rPr>
        <w:rStyle w:val="PageNumber"/>
        <w:lang w:val="en-US"/>
      </w:rPr>
      <w:fldChar w:fldCharType="separate"/>
    </w:r>
    <w:r w:rsidR="00D11CAE">
      <w:rPr>
        <w:rStyle w:val="PageNumber"/>
        <w:noProof/>
        <w:lang w:val="es-ES"/>
      </w:rPr>
      <w:t>2</w:t>
    </w:r>
    <w:r w:rsidR="000362AD" w:rsidRPr="003C641A">
      <w:rPr>
        <w:rStyle w:val="PageNumber"/>
        <w:lang w:val="en-US"/>
      </w:rPr>
      <w:fldChar w:fldCharType="end"/>
    </w:r>
  </w:p>
  <w:p w:rsidR="000362AD" w:rsidRPr="003C641A" w:rsidRDefault="000362AD"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w:t>
    </w:r>
    <w:r w:rsidR="009A70FB">
      <w:rPr>
        <w:lang w:val="es-ES"/>
      </w:rPr>
      <w:t>X</w:t>
    </w:r>
    <w:r w:rsidR="000362AD" w:rsidRPr="006D23D0">
      <w:rPr>
        <w:lang w:val="es-ES"/>
      </w:rPr>
      <w:t>II</w:t>
    </w:r>
    <w:r w:rsidRPr="006D23D0">
      <w:rPr>
        <w:lang w:val="es-ES"/>
      </w:rPr>
      <w:t>, página</w:t>
    </w:r>
    <w:r w:rsidR="000362AD" w:rsidRPr="006D23D0">
      <w:rPr>
        <w:lang w:val="es-ES"/>
      </w:rPr>
      <w:t xml:space="preserve"> </w:t>
    </w:r>
    <w:r w:rsidR="000362AD" w:rsidRPr="003C641A">
      <w:rPr>
        <w:rStyle w:val="PageNumber"/>
        <w:lang w:val="en-US"/>
      </w:rPr>
      <w:fldChar w:fldCharType="begin"/>
    </w:r>
    <w:r w:rsidR="000362AD" w:rsidRPr="006D23D0">
      <w:rPr>
        <w:rStyle w:val="PageNumber"/>
        <w:lang w:val="es-ES"/>
      </w:rPr>
      <w:instrText xml:space="preserve"> PAGE </w:instrText>
    </w:r>
    <w:r w:rsidR="000362AD" w:rsidRPr="003C641A">
      <w:rPr>
        <w:rStyle w:val="PageNumber"/>
        <w:lang w:val="en-US"/>
      </w:rPr>
      <w:fldChar w:fldCharType="separate"/>
    </w:r>
    <w:r w:rsidR="00D11CAE">
      <w:rPr>
        <w:rStyle w:val="PageNumber"/>
        <w:noProof/>
        <w:lang w:val="es-ES"/>
      </w:rPr>
      <w:t>4</w:t>
    </w:r>
    <w:r w:rsidR="000362AD" w:rsidRPr="003C641A">
      <w:rPr>
        <w:rStyle w:val="PageNumber"/>
        <w:lang w:val="en-US"/>
      </w:rPr>
      <w:fldChar w:fldCharType="end"/>
    </w:r>
  </w:p>
  <w:p w:rsidR="000362AD" w:rsidRPr="003C641A" w:rsidRDefault="000362AD"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IX</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3D00FA" w:rsidRPr="006D23D0">
      <w:rPr>
        <w:rStyle w:val="PageNumber"/>
        <w:noProof/>
        <w:lang w:val="es-ES"/>
      </w:rPr>
      <w:t>2</w:t>
    </w:r>
    <w:r w:rsidR="000362AD" w:rsidRPr="00C5280D">
      <w:rPr>
        <w:rStyle w:val="PageNumber"/>
        <w:lang w:val="en-US"/>
      </w:rPr>
      <w:fldChar w:fldCharType="end"/>
    </w:r>
  </w:p>
  <w:p w:rsidR="000362AD" w:rsidRPr="006D23D0" w:rsidRDefault="000362AD" w:rsidP="006655D3">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X</w:t>
    </w:r>
    <w:r w:rsidR="007F21B4">
      <w:rPr>
        <w:lang w:val="es-ES"/>
      </w:rPr>
      <w:t>IV</w:t>
    </w:r>
    <w:r w:rsidRPr="006D23D0">
      <w:rPr>
        <w:lang w:val="es-ES"/>
      </w:rPr>
      <w:t>, página</w:t>
    </w:r>
    <w:r w:rsidR="000362AD" w:rsidRPr="006D23D0">
      <w:rPr>
        <w:lang w:val="es-ES"/>
      </w:rPr>
      <w:t xml:space="preserve"> </w:t>
    </w:r>
    <w:r w:rsidR="000362AD" w:rsidRPr="003C641A">
      <w:rPr>
        <w:rStyle w:val="PageNumber"/>
        <w:lang w:val="en-US"/>
      </w:rPr>
      <w:fldChar w:fldCharType="begin"/>
    </w:r>
    <w:r w:rsidR="000362AD" w:rsidRPr="006D23D0">
      <w:rPr>
        <w:rStyle w:val="PageNumber"/>
        <w:lang w:val="es-ES"/>
      </w:rPr>
      <w:instrText xml:space="preserve"> PAGE </w:instrText>
    </w:r>
    <w:r w:rsidR="000362AD" w:rsidRPr="003C641A">
      <w:rPr>
        <w:rStyle w:val="PageNumber"/>
        <w:lang w:val="en-US"/>
      </w:rPr>
      <w:fldChar w:fldCharType="separate"/>
    </w:r>
    <w:r w:rsidR="00D11CAE">
      <w:rPr>
        <w:rStyle w:val="PageNumber"/>
        <w:noProof/>
        <w:lang w:val="es-ES"/>
      </w:rPr>
      <w:t>2</w:t>
    </w:r>
    <w:r w:rsidR="000362AD" w:rsidRPr="003C641A">
      <w:rPr>
        <w:rStyle w:val="PageNumber"/>
        <w:lang w:val="en-US"/>
      </w:rPr>
      <w:fldChar w:fldCharType="end"/>
    </w:r>
  </w:p>
  <w:p w:rsidR="000362AD" w:rsidRPr="003C641A" w:rsidRDefault="000362AD"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XI</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3D00FA" w:rsidRPr="006D23D0">
      <w:rPr>
        <w:rStyle w:val="PageNumber"/>
        <w:noProof/>
        <w:lang w:val="es-ES"/>
      </w:rPr>
      <w:t>4</w:t>
    </w:r>
    <w:r w:rsidR="000362AD" w:rsidRPr="00C5280D">
      <w:rPr>
        <w:rStyle w:val="PageNumber"/>
        <w:lang w:val="en-US"/>
      </w:rPr>
      <w:fldChar w:fldCharType="end"/>
    </w:r>
  </w:p>
  <w:p w:rsidR="000362AD" w:rsidRPr="006D23D0" w:rsidRDefault="000362AD" w:rsidP="006655D3">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X</w:t>
    </w:r>
    <w:r w:rsidR="00F024F6">
      <w:rPr>
        <w:lang w:val="es-ES"/>
      </w:rPr>
      <w:t>V</w:t>
    </w:r>
    <w:r w:rsidR="000362AD" w:rsidRPr="006D23D0">
      <w:rPr>
        <w:lang w:val="es-ES"/>
      </w:rPr>
      <w:t>I</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D11CAE">
      <w:rPr>
        <w:rStyle w:val="PageNumber"/>
        <w:noProof/>
        <w:lang w:val="es-ES"/>
      </w:rPr>
      <w:t>2</w:t>
    </w:r>
    <w:r w:rsidR="000362AD" w:rsidRPr="00C5280D">
      <w:rPr>
        <w:rStyle w:val="PageNumber"/>
        <w:lang w:val="en-US"/>
      </w:rPr>
      <w:fldChar w:fldCharType="end"/>
    </w:r>
  </w:p>
  <w:p w:rsidR="000362AD" w:rsidRPr="006D23D0" w:rsidRDefault="000362AD" w:rsidP="006655D3">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X</w:t>
    </w:r>
    <w:r w:rsidR="00F024F6">
      <w:rPr>
        <w:lang w:val="es-ES"/>
      </w:rPr>
      <w:t>VI</w:t>
    </w:r>
    <w:r w:rsidR="000362AD" w:rsidRPr="006D23D0">
      <w:rPr>
        <w:lang w:val="es-ES"/>
      </w:rPr>
      <w:t>I</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E70F71">
      <w:rPr>
        <w:rStyle w:val="PageNumber"/>
        <w:noProof/>
        <w:lang w:val="es-ES"/>
      </w:rPr>
      <w:t>2</w:t>
    </w:r>
    <w:r w:rsidR="000362AD" w:rsidRPr="00C5280D">
      <w:rPr>
        <w:rStyle w:val="PageNumber"/>
        <w:lang w:val="en-US"/>
      </w:rPr>
      <w:fldChar w:fldCharType="end"/>
    </w:r>
  </w:p>
  <w:p w:rsidR="000362AD" w:rsidRPr="006D23D0" w:rsidRDefault="000362AD" w:rsidP="006655D3">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F024F6">
      <w:rPr>
        <w:lang w:val="es-ES"/>
      </w:rPr>
      <w:t xml:space="preserve"> X</w:t>
    </w:r>
    <w:r w:rsidR="000362AD" w:rsidRPr="006D23D0">
      <w:rPr>
        <w:lang w:val="es-ES"/>
      </w:rPr>
      <w:t>V</w:t>
    </w:r>
    <w:r w:rsidR="00F024F6">
      <w:rPr>
        <w:lang w:val="es-ES"/>
      </w:rPr>
      <w:t>III</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D11CAE">
      <w:rPr>
        <w:rStyle w:val="PageNumber"/>
        <w:noProof/>
        <w:lang w:val="es-ES"/>
      </w:rPr>
      <w:t>4</w:t>
    </w:r>
    <w:r w:rsidR="000362AD" w:rsidRPr="00C5280D">
      <w:rPr>
        <w:rStyle w:val="PageNumber"/>
        <w:lang w:val="en-US"/>
      </w:rPr>
      <w:fldChar w:fldCharType="end"/>
    </w:r>
  </w:p>
  <w:p w:rsidR="000362AD" w:rsidRPr="006D23D0" w:rsidRDefault="000362AD" w:rsidP="006655D3">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6D23D0" w:rsidRDefault="005A5958" w:rsidP="00EB048E">
    <w:pPr>
      <w:pStyle w:val="Header"/>
      <w:rPr>
        <w:rStyle w:val="PageNumber"/>
        <w:lang w:val="es-ES"/>
      </w:rPr>
    </w:pPr>
    <w:r w:rsidRPr="006D23D0">
      <w:rPr>
        <w:rStyle w:val="PageNumber"/>
        <w:lang w:val="es-ES"/>
      </w:rPr>
      <w:t>C/56</w:t>
    </w:r>
    <w:r w:rsidR="00544B5B" w:rsidRPr="006D23D0">
      <w:rPr>
        <w:rStyle w:val="PageNumber"/>
        <w:lang w:val="es-ES"/>
      </w:rPr>
      <w:t>/INF/4</w:t>
    </w:r>
  </w:p>
  <w:p w:rsidR="0004198B" w:rsidRPr="006D23D0" w:rsidRDefault="00054F12" w:rsidP="00EB048E">
    <w:pPr>
      <w:pStyle w:val="Header"/>
      <w:rPr>
        <w:lang w:val="es-ES"/>
      </w:rPr>
    </w:pPr>
    <w:r w:rsidRPr="006D23D0">
      <w:rPr>
        <w:lang w:val="es-ES"/>
      </w:rPr>
      <w:t>Anexo</w:t>
    </w:r>
    <w:r w:rsidR="005F3EE3" w:rsidRPr="006D23D0">
      <w:rPr>
        <w:lang w:val="es-ES"/>
      </w:rPr>
      <w:t xml:space="preserve"> XI</w:t>
    </w:r>
    <w:r w:rsidR="00E70F71">
      <w:rPr>
        <w:lang w:val="es-ES"/>
      </w:rPr>
      <w:t>X</w:t>
    </w:r>
    <w:r w:rsidRPr="006D23D0">
      <w:rPr>
        <w:lang w:val="es-ES"/>
      </w:rPr>
      <w:t>, página</w:t>
    </w:r>
    <w:r w:rsidR="0004198B" w:rsidRPr="006D23D0">
      <w:rPr>
        <w:lang w:val="es-ES"/>
      </w:rPr>
      <w:t xml:space="preserve"> </w:t>
    </w:r>
    <w:r w:rsidR="0004198B" w:rsidRPr="00C5280D">
      <w:rPr>
        <w:rStyle w:val="PageNumber"/>
        <w:lang w:val="en-US"/>
      </w:rPr>
      <w:fldChar w:fldCharType="begin"/>
    </w:r>
    <w:r w:rsidR="0004198B" w:rsidRPr="006D23D0">
      <w:rPr>
        <w:rStyle w:val="PageNumber"/>
        <w:lang w:val="es-ES"/>
      </w:rPr>
      <w:instrText xml:space="preserve"> PAGE </w:instrText>
    </w:r>
    <w:r w:rsidR="0004198B" w:rsidRPr="00C5280D">
      <w:rPr>
        <w:rStyle w:val="PageNumber"/>
        <w:lang w:val="en-US"/>
      </w:rPr>
      <w:fldChar w:fldCharType="separate"/>
    </w:r>
    <w:r w:rsidR="00D11CAE">
      <w:rPr>
        <w:rStyle w:val="PageNumber"/>
        <w:noProof/>
        <w:lang w:val="es-ES"/>
      </w:rPr>
      <w:t>4</w:t>
    </w:r>
    <w:r w:rsidR="0004198B"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186F4C" w:rsidRDefault="005A5958" w:rsidP="00EB048E">
    <w:pPr>
      <w:pStyle w:val="Header"/>
      <w:rPr>
        <w:rStyle w:val="PageNumber"/>
        <w:lang w:val="es-ES_tradnl"/>
      </w:rPr>
    </w:pPr>
    <w:r w:rsidRPr="00186F4C">
      <w:rPr>
        <w:rStyle w:val="PageNumber"/>
        <w:lang w:val="es-ES_tradnl"/>
      </w:rPr>
      <w:t>C/56</w:t>
    </w:r>
    <w:r w:rsidR="000362AD" w:rsidRPr="00186F4C">
      <w:rPr>
        <w:rStyle w:val="PageNumber"/>
        <w:lang w:val="es-ES_tradnl"/>
      </w:rPr>
      <w:t>/INF/4</w:t>
    </w:r>
  </w:p>
  <w:p w:rsidR="000362AD" w:rsidRPr="00186F4C" w:rsidRDefault="00054F12" w:rsidP="00EB048E">
    <w:pPr>
      <w:pStyle w:val="Header"/>
      <w:rPr>
        <w:lang w:val="es-ES_tradnl"/>
      </w:rPr>
    </w:pPr>
    <w:r w:rsidRPr="00186F4C">
      <w:rPr>
        <w:lang w:val="es-ES_tradnl"/>
      </w:rPr>
      <w:t>Anexo</w:t>
    </w:r>
    <w:r w:rsidR="000362AD" w:rsidRPr="00186F4C">
      <w:rPr>
        <w:lang w:val="es-ES_tradnl"/>
      </w:rPr>
      <w:t xml:space="preserve"> I</w:t>
    </w:r>
    <w:r w:rsidRPr="00186F4C">
      <w:rPr>
        <w:lang w:val="es-ES_tradnl"/>
      </w:rPr>
      <w:t>, página</w:t>
    </w:r>
    <w:r w:rsidR="000362AD" w:rsidRPr="00186F4C">
      <w:rPr>
        <w:lang w:val="es-ES_tradnl"/>
      </w:rPr>
      <w:t xml:space="preserve"> </w:t>
    </w:r>
    <w:r w:rsidR="000362AD" w:rsidRPr="00186F4C">
      <w:rPr>
        <w:rStyle w:val="PageNumber"/>
        <w:lang w:val="es-ES_tradnl"/>
      </w:rPr>
      <w:fldChar w:fldCharType="begin"/>
    </w:r>
    <w:r w:rsidR="000362AD" w:rsidRPr="00186F4C">
      <w:rPr>
        <w:rStyle w:val="PageNumber"/>
        <w:lang w:val="es-ES_tradnl"/>
      </w:rPr>
      <w:instrText xml:space="preserve"> PAGE </w:instrText>
    </w:r>
    <w:r w:rsidR="000362AD" w:rsidRPr="00186F4C">
      <w:rPr>
        <w:rStyle w:val="PageNumber"/>
        <w:lang w:val="es-ES_tradnl"/>
      </w:rPr>
      <w:fldChar w:fldCharType="separate"/>
    </w:r>
    <w:r w:rsidR="00D11CAE">
      <w:rPr>
        <w:rStyle w:val="PageNumber"/>
        <w:noProof/>
        <w:lang w:val="es-ES_tradnl"/>
      </w:rPr>
      <w:t>2</w:t>
    </w:r>
    <w:r w:rsidR="000362AD" w:rsidRPr="00186F4C">
      <w:rPr>
        <w:rStyle w:val="PageNumber"/>
        <w:lang w:val="es-ES_tradnl"/>
      </w:rPr>
      <w:fldChar w:fldCharType="end"/>
    </w:r>
  </w:p>
  <w:p w:rsidR="000362AD" w:rsidRPr="00186F4C" w:rsidRDefault="000362A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34" w:rsidRPr="00186F4C" w:rsidRDefault="00A14934" w:rsidP="00EB048E">
    <w:pPr>
      <w:pStyle w:val="Header"/>
      <w:rPr>
        <w:rStyle w:val="PageNumber"/>
        <w:lang w:val="es-ES_tradnl"/>
      </w:rPr>
    </w:pPr>
    <w:r w:rsidRPr="00186F4C">
      <w:rPr>
        <w:rStyle w:val="PageNumber"/>
        <w:lang w:val="es-ES_tradnl"/>
      </w:rPr>
      <w:t>C/56/INF/4</w:t>
    </w:r>
  </w:p>
  <w:p w:rsidR="00A14934" w:rsidRPr="00186F4C" w:rsidRDefault="00A14934" w:rsidP="00EB048E">
    <w:pPr>
      <w:pStyle w:val="Header"/>
      <w:rPr>
        <w:lang w:val="es-ES_tradnl"/>
      </w:rPr>
    </w:pPr>
    <w:r w:rsidRPr="00186F4C">
      <w:rPr>
        <w:lang w:val="es-ES_tradnl"/>
      </w:rPr>
      <w:t xml:space="preserve">Anexo </w:t>
    </w:r>
    <w:r>
      <w:rPr>
        <w:lang w:val="es-ES_tradnl"/>
      </w:rPr>
      <w:t>I</w:t>
    </w:r>
    <w:r w:rsidRPr="00186F4C">
      <w:rPr>
        <w:lang w:val="es-ES_tradnl"/>
      </w:rPr>
      <w:t xml:space="preserve">I, página </w:t>
    </w:r>
    <w:r w:rsidRPr="00186F4C">
      <w:rPr>
        <w:rStyle w:val="PageNumber"/>
        <w:lang w:val="es-ES_tradnl"/>
      </w:rPr>
      <w:fldChar w:fldCharType="begin"/>
    </w:r>
    <w:r w:rsidRPr="00186F4C">
      <w:rPr>
        <w:rStyle w:val="PageNumber"/>
        <w:lang w:val="es-ES_tradnl"/>
      </w:rPr>
      <w:instrText xml:space="preserve"> PAGE </w:instrText>
    </w:r>
    <w:r w:rsidRPr="00186F4C">
      <w:rPr>
        <w:rStyle w:val="PageNumber"/>
        <w:lang w:val="es-ES_tradnl"/>
      </w:rPr>
      <w:fldChar w:fldCharType="separate"/>
    </w:r>
    <w:r w:rsidR="00D11CAE">
      <w:rPr>
        <w:rStyle w:val="PageNumber"/>
        <w:noProof/>
        <w:lang w:val="es-ES_tradnl"/>
      </w:rPr>
      <w:t>2</w:t>
    </w:r>
    <w:r w:rsidRPr="00186F4C">
      <w:rPr>
        <w:rStyle w:val="PageNumber"/>
        <w:lang w:val="es-ES_tradnl"/>
      </w:rPr>
      <w:fldChar w:fldCharType="end"/>
    </w:r>
  </w:p>
  <w:p w:rsidR="00A14934" w:rsidRPr="00186F4C" w:rsidRDefault="00A14934"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042" w:rsidRPr="00186F4C" w:rsidRDefault="00EB4042" w:rsidP="00EB048E">
    <w:pPr>
      <w:pStyle w:val="Header"/>
      <w:rPr>
        <w:rStyle w:val="PageNumber"/>
        <w:lang w:val="es-ES_tradnl"/>
      </w:rPr>
    </w:pPr>
    <w:r w:rsidRPr="00186F4C">
      <w:rPr>
        <w:rStyle w:val="PageNumber"/>
        <w:lang w:val="es-ES_tradnl"/>
      </w:rPr>
      <w:t>C/56/INF/4</w:t>
    </w:r>
  </w:p>
  <w:p w:rsidR="00EB4042" w:rsidRPr="00186F4C" w:rsidRDefault="00EB4042" w:rsidP="00EB048E">
    <w:pPr>
      <w:pStyle w:val="Header"/>
      <w:rPr>
        <w:lang w:val="es-ES_tradnl"/>
      </w:rPr>
    </w:pPr>
    <w:r w:rsidRPr="00186F4C">
      <w:rPr>
        <w:lang w:val="es-ES_tradnl"/>
      </w:rPr>
      <w:t xml:space="preserve">Anexo </w:t>
    </w:r>
    <w:r>
      <w:rPr>
        <w:lang w:val="es-ES_tradnl"/>
      </w:rPr>
      <w:t>II</w:t>
    </w:r>
    <w:r w:rsidRPr="00186F4C">
      <w:rPr>
        <w:lang w:val="es-ES_tradnl"/>
      </w:rPr>
      <w:t xml:space="preserve">I, página </w:t>
    </w:r>
    <w:r w:rsidRPr="00186F4C">
      <w:rPr>
        <w:rStyle w:val="PageNumber"/>
        <w:lang w:val="es-ES_tradnl"/>
      </w:rPr>
      <w:fldChar w:fldCharType="begin"/>
    </w:r>
    <w:r w:rsidRPr="00186F4C">
      <w:rPr>
        <w:rStyle w:val="PageNumber"/>
        <w:lang w:val="es-ES_tradnl"/>
      </w:rPr>
      <w:instrText xml:space="preserve"> PAGE </w:instrText>
    </w:r>
    <w:r w:rsidRPr="00186F4C">
      <w:rPr>
        <w:rStyle w:val="PageNumber"/>
        <w:lang w:val="es-ES_tradnl"/>
      </w:rPr>
      <w:fldChar w:fldCharType="separate"/>
    </w:r>
    <w:r w:rsidR="00D11CAE">
      <w:rPr>
        <w:rStyle w:val="PageNumber"/>
        <w:noProof/>
        <w:lang w:val="es-ES_tradnl"/>
      </w:rPr>
      <w:t>2</w:t>
    </w:r>
    <w:r w:rsidRPr="00186F4C">
      <w:rPr>
        <w:rStyle w:val="PageNumber"/>
        <w:lang w:val="es-ES_tradnl"/>
      </w:rPr>
      <w:fldChar w:fldCharType="end"/>
    </w:r>
  </w:p>
  <w:p w:rsidR="00EB4042" w:rsidRPr="00186F4C" w:rsidRDefault="00EB404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III</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3D00FA" w:rsidRPr="006D23D0">
      <w:rPr>
        <w:rStyle w:val="PageNumber"/>
        <w:noProof/>
        <w:lang w:val="es-ES"/>
      </w:rPr>
      <w:t>2</w:t>
    </w:r>
    <w:r w:rsidR="000362AD" w:rsidRPr="00C5280D">
      <w:rPr>
        <w:rStyle w:val="PageNumber"/>
        <w:lang w:val="en-US"/>
      </w:rPr>
      <w:fldChar w:fldCharType="end"/>
    </w:r>
  </w:p>
  <w:p w:rsidR="000362AD" w:rsidRPr="006D23D0" w:rsidRDefault="000362AD" w:rsidP="006655D3">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IV</w:t>
    </w:r>
    <w:r w:rsidRPr="006D23D0">
      <w:rPr>
        <w:lang w:val="es-ES"/>
      </w:rPr>
      <w:t>, página</w:t>
    </w:r>
    <w:r w:rsidR="000362AD" w:rsidRPr="006D23D0">
      <w:rPr>
        <w:lang w:val="es-ES"/>
      </w:rPr>
      <w:t xml:space="preserve"> </w:t>
    </w:r>
    <w:r w:rsidR="000362AD" w:rsidRPr="00C5280D">
      <w:rPr>
        <w:rStyle w:val="PageNumber"/>
        <w:lang w:val="en-US"/>
      </w:rPr>
      <w:fldChar w:fldCharType="begin"/>
    </w:r>
    <w:r w:rsidR="000362AD" w:rsidRPr="006D23D0">
      <w:rPr>
        <w:rStyle w:val="PageNumber"/>
        <w:lang w:val="es-ES"/>
      </w:rPr>
      <w:instrText xml:space="preserve"> PAGE </w:instrText>
    </w:r>
    <w:r w:rsidR="000362AD" w:rsidRPr="00C5280D">
      <w:rPr>
        <w:rStyle w:val="PageNumber"/>
        <w:lang w:val="en-US"/>
      </w:rPr>
      <w:fldChar w:fldCharType="separate"/>
    </w:r>
    <w:r w:rsidR="000362AD" w:rsidRPr="006D23D0">
      <w:rPr>
        <w:rStyle w:val="PageNumber"/>
        <w:noProof/>
        <w:lang w:val="es-ES"/>
      </w:rPr>
      <w:t>2</w:t>
    </w:r>
    <w:r w:rsidR="000362AD" w:rsidRPr="00C5280D">
      <w:rPr>
        <w:rStyle w:val="PageNumber"/>
        <w:lang w:val="en-US"/>
      </w:rPr>
      <w:fldChar w:fldCharType="end"/>
    </w:r>
  </w:p>
  <w:p w:rsidR="000362AD" w:rsidRPr="006D23D0" w:rsidRDefault="000362AD"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V</w:t>
    </w:r>
    <w:r w:rsidR="00E96CE4">
      <w:rPr>
        <w:lang w:val="es-ES"/>
      </w:rPr>
      <w:t>II</w:t>
    </w:r>
    <w:r w:rsidRPr="006D23D0">
      <w:rPr>
        <w:lang w:val="es-ES"/>
      </w:rPr>
      <w:t>, página</w:t>
    </w:r>
    <w:r w:rsidR="000362AD" w:rsidRPr="006D23D0">
      <w:rPr>
        <w:lang w:val="es-ES"/>
      </w:rPr>
      <w:t xml:space="preserve"> </w:t>
    </w:r>
    <w:r w:rsidR="000362AD" w:rsidRPr="00D46C5A">
      <w:rPr>
        <w:rStyle w:val="PageNumber"/>
        <w:lang w:val="en-US"/>
      </w:rPr>
      <w:fldChar w:fldCharType="begin"/>
    </w:r>
    <w:r w:rsidR="000362AD" w:rsidRPr="006D23D0">
      <w:rPr>
        <w:rStyle w:val="PageNumber"/>
        <w:lang w:val="es-ES"/>
      </w:rPr>
      <w:instrText xml:space="preserve"> PAGE </w:instrText>
    </w:r>
    <w:r w:rsidR="000362AD" w:rsidRPr="00D46C5A">
      <w:rPr>
        <w:rStyle w:val="PageNumber"/>
        <w:lang w:val="en-US"/>
      </w:rPr>
      <w:fldChar w:fldCharType="separate"/>
    </w:r>
    <w:r w:rsidR="00D11CAE">
      <w:rPr>
        <w:rStyle w:val="PageNumber"/>
        <w:noProof/>
        <w:lang w:val="es-ES"/>
      </w:rPr>
      <w:t>2</w:t>
    </w:r>
    <w:r w:rsidR="000362AD" w:rsidRPr="00D46C5A">
      <w:rPr>
        <w:rStyle w:val="PageNumber"/>
        <w:lang w:val="en-US"/>
      </w:rPr>
      <w:fldChar w:fldCharType="end"/>
    </w:r>
  </w:p>
  <w:p w:rsidR="000362AD" w:rsidRPr="00D46C5A" w:rsidRDefault="000362AD"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6D23D0" w:rsidRDefault="005A5958" w:rsidP="00EB048E">
    <w:pPr>
      <w:pStyle w:val="Header"/>
      <w:rPr>
        <w:rStyle w:val="PageNumber"/>
        <w:lang w:val="es-ES"/>
      </w:rPr>
    </w:pPr>
    <w:r w:rsidRPr="006D23D0">
      <w:rPr>
        <w:rStyle w:val="PageNumber"/>
        <w:lang w:val="es-ES"/>
      </w:rPr>
      <w:t>C/56</w:t>
    </w:r>
    <w:r w:rsidR="000362AD" w:rsidRPr="006D23D0">
      <w:rPr>
        <w:rStyle w:val="PageNumber"/>
        <w:lang w:val="es-ES"/>
      </w:rPr>
      <w:t>/INF/4</w:t>
    </w:r>
  </w:p>
  <w:p w:rsidR="000362AD" w:rsidRPr="006D23D0" w:rsidRDefault="00054F12" w:rsidP="00EB048E">
    <w:pPr>
      <w:pStyle w:val="Header"/>
      <w:rPr>
        <w:lang w:val="es-ES"/>
      </w:rPr>
    </w:pPr>
    <w:r w:rsidRPr="006D23D0">
      <w:rPr>
        <w:lang w:val="es-ES"/>
      </w:rPr>
      <w:t>Anexo</w:t>
    </w:r>
    <w:r w:rsidR="000362AD" w:rsidRPr="006D23D0">
      <w:rPr>
        <w:lang w:val="es-ES"/>
      </w:rPr>
      <w:t xml:space="preserve"> V</w:t>
    </w:r>
    <w:r w:rsidR="00E96CE4">
      <w:rPr>
        <w:lang w:val="es-ES"/>
      </w:rPr>
      <w:t>II</w:t>
    </w:r>
    <w:r w:rsidR="000362AD" w:rsidRPr="006D23D0">
      <w:rPr>
        <w:lang w:val="es-ES"/>
      </w:rPr>
      <w:t>I</w:t>
    </w:r>
    <w:r w:rsidRPr="006D23D0">
      <w:rPr>
        <w:lang w:val="es-ES"/>
      </w:rPr>
      <w:t>, página</w:t>
    </w:r>
    <w:r w:rsidR="000362AD" w:rsidRPr="006D23D0">
      <w:rPr>
        <w:lang w:val="es-ES"/>
      </w:rPr>
      <w:t xml:space="preserve"> </w:t>
    </w:r>
    <w:r w:rsidR="000362AD" w:rsidRPr="003C641A">
      <w:rPr>
        <w:rStyle w:val="PageNumber"/>
        <w:lang w:val="en-US"/>
      </w:rPr>
      <w:fldChar w:fldCharType="begin"/>
    </w:r>
    <w:r w:rsidR="000362AD" w:rsidRPr="006D23D0">
      <w:rPr>
        <w:rStyle w:val="PageNumber"/>
        <w:lang w:val="es-ES"/>
      </w:rPr>
      <w:instrText xml:space="preserve"> PAGE </w:instrText>
    </w:r>
    <w:r w:rsidR="000362AD" w:rsidRPr="003C641A">
      <w:rPr>
        <w:rStyle w:val="PageNumber"/>
        <w:lang w:val="en-US"/>
      </w:rPr>
      <w:fldChar w:fldCharType="separate"/>
    </w:r>
    <w:r w:rsidR="00D11CAE">
      <w:rPr>
        <w:rStyle w:val="PageNumber"/>
        <w:noProof/>
        <w:lang w:val="es-ES"/>
      </w:rPr>
      <w:t>4</w:t>
    </w:r>
    <w:r w:rsidR="000362AD" w:rsidRPr="003C641A">
      <w:rPr>
        <w:rStyle w:val="PageNumber"/>
        <w:lang w:val="en-US"/>
      </w:rPr>
      <w:fldChar w:fldCharType="end"/>
    </w:r>
  </w:p>
  <w:p w:rsidR="000362AD" w:rsidRPr="003C641A" w:rsidRDefault="000362AD"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8" w:rsidRPr="006D23D0" w:rsidRDefault="00DF76D8" w:rsidP="00EB048E">
    <w:pPr>
      <w:pStyle w:val="Header"/>
      <w:rPr>
        <w:rStyle w:val="PageNumber"/>
        <w:lang w:val="es-ES"/>
      </w:rPr>
    </w:pPr>
    <w:r w:rsidRPr="006D23D0">
      <w:rPr>
        <w:rStyle w:val="PageNumber"/>
        <w:lang w:val="es-ES"/>
      </w:rPr>
      <w:t>C/56/INF/4</w:t>
    </w:r>
  </w:p>
  <w:p w:rsidR="00DF76D8" w:rsidRPr="006D23D0" w:rsidRDefault="00DF76D8" w:rsidP="00EB048E">
    <w:pPr>
      <w:pStyle w:val="Header"/>
      <w:rPr>
        <w:lang w:val="es-ES"/>
      </w:rPr>
    </w:pPr>
    <w:r w:rsidRPr="006D23D0">
      <w:rPr>
        <w:lang w:val="es-ES"/>
      </w:rPr>
      <w:t>Anexo I</w:t>
    </w:r>
    <w:r>
      <w:rPr>
        <w:lang w:val="es-ES"/>
      </w:rPr>
      <w:t>X</w:t>
    </w:r>
    <w:r w:rsidRPr="006D23D0">
      <w:rPr>
        <w:lang w:val="es-ES"/>
      </w:rPr>
      <w:t xml:space="preserve">, página </w:t>
    </w:r>
    <w:r w:rsidRPr="003C641A">
      <w:rPr>
        <w:rStyle w:val="PageNumber"/>
        <w:lang w:val="en-US"/>
      </w:rPr>
      <w:fldChar w:fldCharType="begin"/>
    </w:r>
    <w:r w:rsidRPr="006D23D0">
      <w:rPr>
        <w:rStyle w:val="PageNumber"/>
        <w:lang w:val="es-ES"/>
      </w:rPr>
      <w:instrText xml:space="preserve"> PAGE </w:instrText>
    </w:r>
    <w:r w:rsidRPr="003C641A">
      <w:rPr>
        <w:rStyle w:val="PageNumber"/>
        <w:lang w:val="en-US"/>
      </w:rPr>
      <w:fldChar w:fldCharType="separate"/>
    </w:r>
    <w:r w:rsidR="00D11CAE">
      <w:rPr>
        <w:rStyle w:val="PageNumber"/>
        <w:noProof/>
        <w:lang w:val="es-ES"/>
      </w:rPr>
      <w:t>3</w:t>
    </w:r>
    <w:r w:rsidRPr="003C641A">
      <w:rPr>
        <w:rStyle w:val="PageNumber"/>
        <w:lang w:val="en-US"/>
      </w:rPr>
      <w:fldChar w:fldCharType="end"/>
    </w:r>
  </w:p>
  <w:p w:rsidR="00DF76D8" w:rsidRPr="003C641A" w:rsidRDefault="00DF76D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A4"/>
    <w:multiLevelType w:val="hybridMultilevel"/>
    <w:tmpl w:val="87E4C98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D6F"/>
    <w:multiLevelType w:val="hybridMultilevel"/>
    <w:tmpl w:val="0B28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62D2D8F"/>
    <w:multiLevelType w:val="hybridMultilevel"/>
    <w:tmpl w:val="5E880B30"/>
    <w:lvl w:ilvl="0" w:tplc="0DC23DEE">
      <w:start w:val="2"/>
      <w:numFmt w:val="bullet"/>
      <w:lvlText w:val="-"/>
      <w:lvlJc w:val="left"/>
      <w:pPr>
        <w:ind w:left="915" w:hanging="360"/>
      </w:pPr>
      <w:rPr>
        <w:rFonts w:ascii="Arial" w:eastAsiaTheme="minorEastAsia" w:hAnsi="Arial" w:cs="Arial" w:hint="default"/>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abstractNum w:abstractNumId="4" w15:restartNumberingAfterBreak="0">
    <w:nsid w:val="07002A28"/>
    <w:multiLevelType w:val="hybridMultilevel"/>
    <w:tmpl w:val="D868A16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11F7611"/>
    <w:multiLevelType w:val="hybridMultilevel"/>
    <w:tmpl w:val="57863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53B2"/>
    <w:multiLevelType w:val="hybridMultilevel"/>
    <w:tmpl w:val="1A76900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14AFF"/>
    <w:multiLevelType w:val="hybridMultilevel"/>
    <w:tmpl w:val="C916039E"/>
    <w:lvl w:ilvl="0" w:tplc="040C0001">
      <w:start w:val="1"/>
      <w:numFmt w:val="bullet"/>
      <w:lvlText w:val=""/>
      <w:lvlJc w:val="left"/>
      <w:pPr>
        <w:ind w:left="721" w:hanging="360"/>
      </w:pPr>
      <w:rPr>
        <w:rFonts w:ascii="Symbol" w:hAnsi="Symbol" w:hint="default"/>
        <w:color w:val="auto"/>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246F7948"/>
    <w:multiLevelType w:val="hybridMultilevel"/>
    <w:tmpl w:val="31DE663E"/>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016FE"/>
    <w:multiLevelType w:val="hybridMultilevel"/>
    <w:tmpl w:val="722EDDA8"/>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C86"/>
    <w:multiLevelType w:val="hybridMultilevel"/>
    <w:tmpl w:val="D0C81F40"/>
    <w:lvl w:ilvl="0" w:tplc="ED66064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FC2358"/>
    <w:multiLevelType w:val="hybridMultilevel"/>
    <w:tmpl w:val="4D08C29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2E2AC5"/>
    <w:multiLevelType w:val="hybridMultilevel"/>
    <w:tmpl w:val="03EE0F3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3194E"/>
    <w:multiLevelType w:val="hybridMultilevel"/>
    <w:tmpl w:val="D650364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70474"/>
    <w:multiLevelType w:val="hybridMultilevel"/>
    <w:tmpl w:val="00B4534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35"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6BF7"/>
    <w:multiLevelType w:val="hybridMultilevel"/>
    <w:tmpl w:val="4656C932"/>
    <w:lvl w:ilvl="0" w:tplc="54083482">
      <w:start w:val="1"/>
      <w:numFmt w:val="bullet"/>
      <w:lvlText w:val="-"/>
      <w:lvlJc w:val="left"/>
      <w:pPr>
        <w:ind w:left="1074" w:hanging="360"/>
      </w:pPr>
      <w:rPr>
        <w:rFonts w:ascii="Arial" w:hAnsi="Arial" w:hint="default"/>
        <w:sz w:val="16"/>
      </w:rPr>
    </w:lvl>
    <w:lvl w:ilvl="1" w:tplc="54083482">
      <w:start w:val="1"/>
      <w:numFmt w:val="bullet"/>
      <w:lvlText w:val="-"/>
      <w:lvlJc w:val="left"/>
      <w:pPr>
        <w:ind w:left="1794" w:hanging="360"/>
      </w:pPr>
      <w:rPr>
        <w:rFonts w:ascii="Arial" w:hAnsi="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8"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8"/>
  </w:num>
  <w:num w:numId="2">
    <w:abstractNumId w:val="23"/>
  </w:num>
  <w:num w:numId="3">
    <w:abstractNumId w:val="36"/>
  </w:num>
  <w:num w:numId="4">
    <w:abstractNumId w:val="17"/>
  </w:num>
  <w:num w:numId="5">
    <w:abstractNumId w:val="12"/>
  </w:num>
  <w:num w:numId="6">
    <w:abstractNumId w:val="11"/>
  </w:num>
  <w:num w:numId="7">
    <w:abstractNumId w:val="20"/>
  </w:num>
  <w:num w:numId="8">
    <w:abstractNumId w:val="16"/>
  </w:num>
  <w:num w:numId="9">
    <w:abstractNumId w:val="7"/>
  </w:num>
  <w:num w:numId="10">
    <w:abstractNumId w:val="24"/>
  </w:num>
  <w:num w:numId="11">
    <w:abstractNumId w:val="31"/>
  </w:num>
  <w:num w:numId="12">
    <w:abstractNumId w:val="26"/>
  </w:num>
  <w:num w:numId="13">
    <w:abstractNumId w:val="19"/>
  </w:num>
  <w:num w:numId="14">
    <w:abstractNumId w:val="10"/>
  </w:num>
  <w:num w:numId="15">
    <w:abstractNumId w:val="5"/>
  </w:num>
  <w:num w:numId="16">
    <w:abstractNumId w:val="8"/>
  </w:num>
  <w:num w:numId="17">
    <w:abstractNumId w:val="38"/>
  </w:num>
  <w:num w:numId="18">
    <w:abstractNumId w:val="32"/>
  </w:num>
  <w:num w:numId="19">
    <w:abstractNumId w:val="2"/>
  </w:num>
  <w:num w:numId="20">
    <w:abstractNumId w:val="29"/>
  </w:num>
  <w:num w:numId="21">
    <w:abstractNumId w:val="22"/>
  </w:num>
  <w:num w:numId="22">
    <w:abstractNumId w:val="27"/>
  </w:num>
  <w:num w:numId="23">
    <w:abstractNumId w:val="9"/>
  </w:num>
  <w:num w:numId="24">
    <w:abstractNumId w:val="1"/>
  </w:num>
  <w:num w:numId="25">
    <w:abstractNumId w:val="28"/>
  </w:num>
  <w:num w:numId="26">
    <w:abstractNumId w:val="15"/>
  </w:num>
  <w:num w:numId="27">
    <w:abstractNumId w:val="6"/>
  </w:num>
  <w:num w:numId="28">
    <w:abstractNumId w:val="3"/>
  </w:num>
  <w:num w:numId="29">
    <w:abstractNumId w:val="21"/>
  </w:num>
  <w:num w:numId="30">
    <w:abstractNumId w:val="34"/>
  </w:num>
  <w:num w:numId="31">
    <w:abstractNumId w:val="4"/>
  </w:num>
  <w:num w:numId="32">
    <w:abstractNumId w:val="33"/>
  </w:num>
  <w:num w:numId="33">
    <w:abstractNumId w:val="30"/>
  </w:num>
  <w:num w:numId="34">
    <w:abstractNumId w:val="35"/>
  </w:num>
  <w:num w:numId="35">
    <w:abstractNumId w:val="14"/>
  </w:num>
  <w:num w:numId="36">
    <w:abstractNumId w:val="0"/>
  </w:num>
  <w:num w:numId="37">
    <w:abstractNumId w:val="25"/>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F"/>
    <w:rsid w:val="00010CF3"/>
    <w:rsid w:val="00011E27"/>
    <w:rsid w:val="000148BC"/>
    <w:rsid w:val="00024AB8"/>
    <w:rsid w:val="00030854"/>
    <w:rsid w:val="00032BF0"/>
    <w:rsid w:val="00036028"/>
    <w:rsid w:val="000362AD"/>
    <w:rsid w:val="0004198B"/>
    <w:rsid w:val="00044642"/>
    <w:rsid w:val="000446B9"/>
    <w:rsid w:val="00047E21"/>
    <w:rsid w:val="00050E16"/>
    <w:rsid w:val="00054F12"/>
    <w:rsid w:val="000656A5"/>
    <w:rsid w:val="00070E67"/>
    <w:rsid w:val="00085505"/>
    <w:rsid w:val="000A2928"/>
    <w:rsid w:val="000C1557"/>
    <w:rsid w:val="000C4E25"/>
    <w:rsid w:val="000C7021"/>
    <w:rsid w:val="000D3C49"/>
    <w:rsid w:val="000D6BBC"/>
    <w:rsid w:val="000D7780"/>
    <w:rsid w:val="000E636A"/>
    <w:rsid w:val="000F2F11"/>
    <w:rsid w:val="000F5128"/>
    <w:rsid w:val="00100A5F"/>
    <w:rsid w:val="00105929"/>
    <w:rsid w:val="00110BED"/>
    <w:rsid w:val="00110C36"/>
    <w:rsid w:val="001131D5"/>
    <w:rsid w:val="00114547"/>
    <w:rsid w:val="001249C9"/>
    <w:rsid w:val="00141DB8"/>
    <w:rsid w:val="00172084"/>
    <w:rsid w:val="0017474A"/>
    <w:rsid w:val="001758C6"/>
    <w:rsid w:val="00182B99"/>
    <w:rsid w:val="00186F4C"/>
    <w:rsid w:val="001C1525"/>
    <w:rsid w:val="001D17AA"/>
    <w:rsid w:val="001D736D"/>
    <w:rsid w:val="0021332C"/>
    <w:rsid w:val="00213982"/>
    <w:rsid w:val="002145CE"/>
    <w:rsid w:val="00231512"/>
    <w:rsid w:val="00242EA4"/>
    <w:rsid w:val="0024416D"/>
    <w:rsid w:val="00271911"/>
    <w:rsid w:val="00273187"/>
    <w:rsid w:val="002800A0"/>
    <w:rsid w:val="002801B3"/>
    <w:rsid w:val="00281060"/>
    <w:rsid w:val="00285BD0"/>
    <w:rsid w:val="00285F27"/>
    <w:rsid w:val="002940E8"/>
    <w:rsid w:val="00294751"/>
    <w:rsid w:val="002976F7"/>
    <w:rsid w:val="002A6E50"/>
    <w:rsid w:val="002B4298"/>
    <w:rsid w:val="002B7A36"/>
    <w:rsid w:val="002C256A"/>
    <w:rsid w:val="002D5226"/>
    <w:rsid w:val="00303506"/>
    <w:rsid w:val="00305A7F"/>
    <w:rsid w:val="003152FE"/>
    <w:rsid w:val="00327436"/>
    <w:rsid w:val="00344BD6"/>
    <w:rsid w:val="00351ADF"/>
    <w:rsid w:val="0035528D"/>
    <w:rsid w:val="00361821"/>
    <w:rsid w:val="00361E9E"/>
    <w:rsid w:val="003753EE"/>
    <w:rsid w:val="00384530"/>
    <w:rsid w:val="003A0835"/>
    <w:rsid w:val="003A5AAF"/>
    <w:rsid w:val="003A632B"/>
    <w:rsid w:val="003B17C0"/>
    <w:rsid w:val="003B700A"/>
    <w:rsid w:val="003C641A"/>
    <w:rsid w:val="003C7FBE"/>
    <w:rsid w:val="003D00FA"/>
    <w:rsid w:val="003D227C"/>
    <w:rsid w:val="003D2B4D"/>
    <w:rsid w:val="003D54DF"/>
    <w:rsid w:val="003F37F5"/>
    <w:rsid w:val="00411EED"/>
    <w:rsid w:val="00444A88"/>
    <w:rsid w:val="00474DA4"/>
    <w:rsid w:val="00476B4D"/>
    <w:rsid w:val="004805FA"/>
    <w:rsid w:val="004935D2"/>
    <w:rsid w:val="004B1215"/>
    <w:rsid w:val="004B3B03"/>
    <w:rsid w:val="004D047D"/>
    <w:rsid w:val="004D2165"/>
    <w:rsid w:val="004F1E9E"/>
    <w:rsid w:val="004F305A"/>
    <w:rsid w:val="00512164"/>
    <w:rsid w:val="00520297"/>
    <w:rsid w:val="00522972"/>
    <w:rsid w:val="005338F9"/>
    <w:rsid w:val="0054281C"/>
    <w:rsid w:val="00544581"/>
    <w:rsid w:val="00544B5B"/>
    <w:rsid w:val="0055268D"/>
    <w:rsid w:val="00557C49"/>
    <w:rsid w:val="00575DE2"/>
    <w:rsid w:val="00576BE4"/>
    <w:rsid w:val="005779DB"/>
    <w:rsid w:val="005A400A"/>
    <w:rsid w:val="005A5958"/>
    <w:rsid w:val="005B269D"/>
    <w:rsid w:val="005B2D5C"/>
    <w:rsid w:val="005D2DD1"/>
    <w:rsid w:val="005F3EE3"/>
    <w:rsid w:val="005F7B92"/>
    <w:rsid w:val="00612379"/>
    <w:rsid w:val="006153B6"/>
    <w:rsid w:val="0061555F"/>
    <w:rsid w:val="006245ED"/>
    <w:rsid w:val="00636CA6"/>
    <w:rsid w:val="00641200"/>
    <w:rsid w:val="00645CA8"/>
    <w:rsid w:val="006655D3"/>
    <w:rsid w:val="00667404"/>
    <w:rsid w:val="00687EB4"/>
    <w:rsid w:val="0069058C"/>
    <w:rsid w:val="00695C56"/>
    <w:rsid w:val="006A5CDE"/>
    <w:rsid w:val="006A644A"/>
    <w:rsid w:val="006B17D2"/>
    <w:rsid w:val="006C224E"/>
    <w:rsid w:val="006D23D0"/>
    <w:rsid w:val="006D26CB"/>
    <w:rsid w:val="006D780A"/>
    <w:rsid w:val="006F1550"/>
    <w:rsid w:val="0071271E"/>
    <w:rsid w:val="00732DEC"/>
    <w:rsid w:val="00735BD5"/>
    <w:rsid w:val="007451CC"/>
    <w:rsid w:val="007451EC"/>
    <w:rsid w:val="00751613"/>
    <w:rsid w:val="0075382F"/>
    <w:rsid w:val="00753EE9"/>
    <w:rsid w:val="007556F6"/>
    <w:rsid w:val="00760EEF"/>
    <w:rsid w:val="00777EE5"/>
    <w:rsid w:val="00784836"/>
    <w:rsid w:val="0079023E"/>
    <w:rsid w:val="007A2854"/>
    <w:rsid w:val="007B1027"/>
    <w:rsid w:val="007C1D92"/>
    <w:rsid w:val="007C4CB9"/>
    <w:rsid w:val="007C55EF"/>
    <w:rsid w:val="007D0B9D"/>
    <w:rsid w:val="007D19B0"/>
    <w:rsid w:val="007D504F"/>
    <w:rsid w:val="007F21B4"/>
    <w:rsid w:val="007F498F"/>
    <w:rsid w:val="0080679D"/>
    <w:rsid w:val="008108B0"/>
    <w:rsid w:val="00811B20"/>
    <w:rsid w:val="00812609"/>
    <w:rsid w:val="008211B5"/>
    <w:rsid w:val="0082296E"/>
    <w:rsid w:val="00824099"/>
    <w:rsid w:val="00846BB6"/>
    <w:rsid w:val="00846D7C"/>
    <w:rsid w:val="008604FE"/>
    <w:rsid w:val="00867AC1"/>
    <w:rsid w:val="008751DE"/>
    <w:rsid w:val="00890DF8"/>
    <w:rsid w:val="00895296"/>
    <w:rsid w:val="008A0ADE"/>
    <w:rsid w:val="008A743F"/>
    <w:rsid w:val="008C0970"/>
    <w:rsid w:val="008D0BC5"/>
    <w:rsid w:val="008D1660"/>
    <w:rsid w:val="008D1FA9"/>
    <w:rsid w:val="008D2CF7"/>
    <w:rsid w:val="008D4D6D"/>
    <w:rsid w:val="00900C26"/>
    <w:rsid w:val="0090197F"/>
    <w:rsid w:val="00903264"/>
    <w:rsid w:val="00906DDC"/>
    <w:rsid w:val="00907EF8"/>
    <w:rsid w:val="00934E09"/>
    <w:rsid w:val="00936253"/>
    <w:rsid w:val="00940D46"/>
    <w:rsid w:val="009413F1"/>
    <w:rsid w:val="00952DD4"/>
    <w:rsid w:val="009561F4"/>
    <w:rsid w:val="00965AE7"/>
    <w:rsid w:val="00970FED"/>
    <w:rsid w:val="009859E1"/>
    <w:rsid w:val="00991884"/>
    <w:rsid w:val="00991CBD"/>
    <w:rsid w:val="0099245B"/>
    <w:rsid w:val="00992D82"/>
    <w:rsid w:val="00997029"/>
    <w:rsid w:val="009A70FB"/>
    <w:rsid w:val="009A7339"/>
    <w:rsid w:val="009B440E"/>
    <w:rsid w:val="009D690D"/>
    <w:rsid w:val="009E3085"/>
    <w:rsid w:val="009E65B6"/>
    <w:rsid w:val="009F0A51"/>
    <w:rsid w:val="009F77CF"/>
    <w:rsid w:val="00A14934"/>
    <w:rsid w:val="00A24C10"/>
    <w:rsid w:val="00A42AC3"/>
    <w:rsid w:val="00A430CF"/>
    <w:rsid w:val="00A54309"/>
    <w:rsid w:val="00A610A9"/>
    <w:rsid w:val="00A80F2A"/>
    <w:rsid w:val="00A96C33"/>
    <w:rsid w:val="00AA13A2"/>
    <w:rsid w:val="00AB10E5"/>
    <w:rsid w:val="00AB2B93"/>
    <w:rsid w:val="00AB530F"/>
    <w:rsid w:val="00AB7E5B"/>
    <w:rsid w:val="00AC2883"/>
    <w:rsid w:val="00AD57A2"/>
    <w:rsid w:val="00AE0EF1"/>
    <w:rsid w:val="00AE2937"/>
    <w:rsid w:val="00AF6750"/>
    <w:rsid w:val="00B05301"/>
    <w:rsid w:val="00B07301"/>
    <w:rsid w:val="00B11F3E"/>
    <w:rsid w:val="00B224DE"/>
    <w:rsid w:val="00B27A93"/>
    <w:rsid w:val="00B324D4"/>
    <w:rsid w:val="00B46575"/>
    <w:rsid w:val="00B53500"/>
    <w:rsid w:val="00B61777"/>
    <w:rsid w:val="00B622E6"/>
    <w:rsid w:val="00B83E82"/>
    <w:rsid w:val="00B84BBD"/>
    <w:rsid w:val="00B947BD"/>
    <w:rsid w:val="00BA43FB"/>
    <w:rsid w:val="00BB2F69"/>
    <w:rsid w:val="00BC127D"/>
    <w:rsid w:val="00BC1FE6"/>
    <w:rsid w:val="00C061B6"/>
    <w:rsid w:val="00C2446C"/>
    <w:rsid w:val="00C3342F"/>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D4DFE"/>
    <w:rsid w:val="00CE1862"/>
    <w:rsid w:val="00CF1330"/>
    <w:rsid w:val="00CF7E36"/>
    <w:rsid w:val="00D04701"/>
    <w:rsid w:val="00D05087"/>
    <w:rsid w:val="00D11CAE"/>
    <w:rsid w:val="00D36B66"/>
    <w:rsid w:val="00D3708D"/>
    <w:rsid w:val="00D40426"/>
    <w:rsid w:val="00D46C5A"/>
    <w:rsid w:val="00D52F5C"/>
    <w:rsid w:val="00D57C96"/>
    <w:rsid w:val="00D57D18"/>
    <w:rsid w:val="00D70E65"/>
    <w:rsid w:val="00D91203"/>
    <w:rsid w:val="00D95174"/>
    <w:rsid w:val="00DA4973"/>
    <w:rsid w:val="00DA6F36"/>
    <w:rsid w:val="00DB596E"/>
    <w:rsid w:val="00DB7773"/>
    <w:rsid w:val="00DC00EA"/>
    <w:rsid w:val="00DC3802"/>
    <w:rsid w:val="00DD09F6"/>
    <w:rsid w:val="00DD6208"/>
    <w:rsid w:val="00DE3B38"/>
    <w:rsid w:val="00DF76D8"/>
    <w:rsid w:val="00DF7E99"/>
    <w:rsid w:val="00E07D87"/>
    <w:rsid w:val="00E249C8"/>
    <w:rsid w:val="00E32F7E"/>
    <w:rsid w:val="00E5267B"/>
    <w:rsid w:val="00E559F0"/>
    <w:rsid w:val="00E63C0E"/>
    <w:rsid w:val="00E6644B"/>
    <w:rsid w:val="00E70F71"/>
    <w:rsid w:val="00E72D49"/>
    <w:rsid w:val="00E7593C"/>
    <w:rsid w:val="00E7678A"/>
    <w:rsid w:val="00E85020"/>
    <w:rsid w:val="00E935F1"/>
    <w:rsid w:val="00E94A81"/>
    <w:rsid w:val="00E96CE4"/>
    <w:rsid w:val="00EA1FFB"/>
    <w:rsid w:val="00EB048E"/>
    <w:rsid w:val="00EB4042"/>
    <w:rsid w:val="00EB4E9C"/>
    <w:rsid w:val="00ED33C5"/>
    <w:rsid w:val="00EE34DF"/>
    <w:rsid w:val="00EF0563"/>
    <w:rsid w:val="00EF2F89"/>
    <w:rsid w:val="00F024F6"/>
    <w:rsid w:val="00F03E98"/>
    <w:rsid w:val="00F1237A"/>
    <w:rsid w:val="00F22CBD"/>
    <w:rsid w:val="00F272F1"/>
    <w:rsid w:val="00F31412"/>
    <w:rsid w:val="00F40742"/>
    <w:rsid w:val="00F43FBA"/>
    <w:rsid w:val="00F45372"/>
    <w:rsid w:val="00F560F7"/>
    <w:rsid w:val="00F6334D"/>
    <w:rsid w:val="00F63599"/>
    <w:rsid w:val="00F71781"/>
    <w:rsid w:val="00F807C3"/>
    <w:rsid w:val="00F86A05"/>
    <w:rsid w:val="00FA49AB"/>
    <w:rsid w:val="00FB055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012091"/>
  <w15:docId w15:val="{9B99C9D8-3B5D-4068-B9FE-AAD3165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66"/>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0362A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384530"/>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0362AD"/>
    <w:rPr>
      <w:rFonts w:ascii="Arial" w:hAnsi="Arial"/>
      <w:u w:val="single"/>
      <w:lang w:val="en-GB" w:eastAsia="pl-PL"/>
    </w:rPr>
  </w:style>
  <w:style w:type="paragraph" w:styleId="ListParagraph">
    <w:name w:val="List Paragraph"/>
    <w:basedOn w:val="Normal"/>
    <w:uiPriority w:val="34"/>
    <w:qFormat/>
    <w:rsid w:val="000362AD"/>
    <w:pPr>
      <w:ind w:left="1134" w:hanging="567"/>
      <w:jc w:val="left"/>
    </w:pPr>
    <w:rPr>
      <w:szCs w:val="22"/>
    </w:rPr>
  </w:style>
  <w:style w:type="table" w:styleId="TableGrid">
    <w:name w:val="Table Grid"/>
    <w:basedOn w:val="TableNormal"/>
    <w:qFormat/>
    <w:rsid w:val="000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62AD"/>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0362AD"/>
    <w:rPr>
      <w:sz w:val="28"/>
      <w:lang w:val="pl-PL" w:eastAsia="pl-PL"/>
    </w:rPr>
  </w:style>
  <w:style w:type="character" w:customStyle="1" w:styleId="FooterChar">
    <w:name w:val="Footer Char"/>
    <w:aliases w:val="doc_path_name Char"/>
    <w:basedOn w:val="DefaultParagraphFont"/>
    <w:link w:val="Footer"/>
    <w:rsid w:val="000362AD"/>
    <w:rPr>
      <w:rFonts w:ascii="Arial" w:hAnsi="Arial"/>
      <w:sz w:val="14"/>
    </w:rPr>
  </w:style>
  <w:style w:type="paragraph" w:styleId="BodyTextIndent2">
    <w:name w:val="Body Text Indent 2"/>
    <w:basedOn w:val="Normal"/>
    <w:link w:val="BodyTextIndent2Char"/>
    <w:rsid w:val="000362AD"/>
    <w:pPr>
      <w:spacing w:after="120" w:line="480" w:lineRule="auto"/>
      <w:ind w:left="283"/>
    </w:pPr>
  </w:style>
  <w:style w:type="character" w:customStyle="1" w:styleId="BodyTextIndent2Char">
    <w:name w:val="Body Text Indent 2 Char"/>
    <w:basedOn w:val="DefaultParagraphFont"/>
    <w:link w:val="BodyTextIndent2"/>
    <w:rsid w:val="000362AD"/>
    <w:rPr>
      <w:rFonts w:ascii="Arial" w:hAnsi="Arial"/>
    </w:rPr>
  </w:style>
  <w:style w:type="character" w:styleId="FollowedHyperlink">
    <w:name w:val="FollowedHyperlink"/>
    <w:basedOn w:val="DefaultParagraphFont"/>
    <w:semiHidden/>
    <w:unhideWhenUsed/>
    <w:rsid w:val="000362AD"/>
    <w:rPr>
      <w:color w:val="800080" w:themeColor="followedHyperlink"/>
      <w:u w:val="single"/>
    </w:rPr>
  </w:style>
  <w:style w:type="paragraph" w:customStyle="1" w:styleId="TableParagraph">
    <w:name w:val="Table Paragraph"/>
    <w:basedOn w:val="Normal"/>
    <w:uiPriority w:val="1"/>
    <w:qFormat/>
    <w:rsid w:val="00411EED"/>
    <w:pPr>
      <w:widowControl w:val="0"/>
      <w:autoSpaceDE w:val="0"/>
      <w:autoSpaceDN w:val="0"/>
      <w:ind w:left="56"/>
      <w:jc w:val="left"/>
    </w:pPr>
    <w:rPr>
      <w:rFonts w:eastAsia="Arial" w:cs="Arial"/>
      <w:sz w:val="22"/>
      <w:szCs w:val="22"/>
      <w:lang w:val="de-DE" w:eastAsia="de-DE" w:bidi="de-DE"/>
    </w:rPr>
  </w:style>
  <w:style w:type="character" w:styleId="Emphasis">
    <w:name w:val="Emphasis"/>
    <w:uiPriority w:val="20"/>
    <w:qFormat/>
    <w:rsid w:val="00F43FBA"/>
    <w:rPr>
      <w:rFonts w:cs="Times New Roman"/>
      <w:i/>
      <w:iCs/>
    </w:rPr>
  </w:style>
  <w:style w:type="paragraph" w:styleId="ListBullet">
    <w:name w:val="List Bullet"/>
    <w:basedOn w:val="Normal"/>
    <w:rsid w:val="00384530"/>
    <w:pPr>
      <w:numPr>
        <w:numId w:val="12"/>
      </w:numPr>
      <w:spacing w:after="240"/>
    </w:pPr>
    <w:rPr>
      <w:lang w:val="en-GB"/>
    </w:rPr>
  </w:style>
  <w:style w:type="paragraph" w:customStyle="1" w:styleId="Default">
    <w:name w:val="Default"/>
    <w:rsid w:val="0038453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4530"/>
    <w:pPr>
      <w:spacing w:before="100" w:beforeAutospacing="1" w:after="100" w:afterAutospacing="1"/>
      <w:jc w:val="left"/>
    </w:pPr>
    <w:rPr>
      <w:rFonts w:ascii="Times New Roman" w:hAnsi="Times New Roman"/>
      <w:sz w:val="24"/>
      <w:szCs w:val="24"/>
    </w:rPr>
  </w:style>
  <w:style w:type="table" w:customStyle="1" w:styleId="TableNormal1">
    <w:name w:val="Table Normal1"/>
    <w:uiPriority w:val="2"/>
    <w:semiHidden/>
    <w:unhideWhenUsed/>
    <w:qFormat/>
    <w:rsid w:val="00A14934"/>
    <w:pPr>
      <w:widowControl w:val="0"/>
    </w:pPr>
    <w:rPr>
      <w:rFonts w:asciiTheme="minorHAnsi" w:eastAsiaTheme="minorHAnsi" w:hAnsiTheme="minorHAnsi" w:cstheme="minorBidi"/>
      <w:sz w:val="22"/>
      <w:szCs w:val="22"/>
      <w:lang w:val="es-ES"/>
    </w:rPr>
    <w:tblPr>
      <w:tblInd w:w="0" w:type="dxa"/>
      <w:tblCellMar>
        <w:top w:w="0" w:type="dxa"/>
        <w:left w:w="0" w:type="dxa"/>
        <w:bottom w:w="0" w:type="dxa"/>
        <w:right w:w="0" w:type="dxa"/>
      </w:tblCellMar>
    </w:tblPr>
  </w:style>
  <w:style w:type="character" w:styleId="SubtleEmphasis">
    <w:name w:val="Subtle Emphasis"/>
    <w:uiPriority w:val="19"/>
    <w:qFormat/>
    <w:rsid w:val="00DF76D8"/>
    <w:rPr>
      <w:i/>
      <w:iCs/>
      <w:color w:val="808080"/>
    </w:rPr>
  </w:style>
  <w:style w:type="paragraph" w:styleId="NoSpacing">
    <w:name w:val="No Spacing"/>
    <w:uiPriority w:val="1"/>
    <w:qFormat/>
    <w:rsid w:val="007F21B4"/>
    <w:pPr>
      <w:widowControl w:val="0"/>
      <w:autoSpaceDE w:val="0"/>
      <w:autoSpaceDN w:val="0"/>
      <w:adjustRightInd w:val="0"/>
    </w:pPr>
    <w:rPr>
      <w:rFonts w:eastAsia="MS Mincho"/>
      <w:lang w:val="es-ES" w:eastAsia="ru-RU"/>
    </w:rPr>
  </w:style>
  <w:style w:type="character" w:customStyle="1" w:styleId="EndnoteTextChar">
    <w:name w:val="Endnote Text Char"/>
    <w:basedOn w:val="DefaultParagraphFont"/>
    <w:link w:val="EndnoteText"/>
    <w:semiHidden/>
    <w:rsid w:val="00E70F71"/>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eapvp.org/report-data/japan/international_seminar2021/"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yperlink" Target="http://eapvp.org/report-data/indonesia/ministry-of-agriculture-of-indonesia-held-online-seminar-on-breeders-exemption-in-pvp-under-upov-convention/" TargetMode="External"/><Relationship Id="rId34" Type="http://schemas.openxmlformats.org/officeDocument/2006/relationships/hyperlink" Target="http://www.coboru.gov.pl/" TargetMode="External"/><Relationship Id="rId42" Type="http://schemas.openxmlformats.org/officeDocument/2006/relationships/header" Target="header17.xml"/><Relationship Id="rId47" Type="http://schemas.openxmlformats.org/officeDocument/2006/relationships/hyperlink" Target="https://conference.ukragroexpert.com.ua/" TargetMode="External"/><Relationship Id="rId50" Type="http://schemas.openxmlformats.org/officeDocument/2006/relationships/hyperlink" Target="https://ipkey.eu/en/china/activities/plant-variety-protection-awareness-raising-seminar" TargetMode="External"/><Relationship Id="rId55" Type="http://schemas.openxmlformats.org/officeDocument/2006/relationships/hyperlink" Target="https://internationalipcooperation.eu/en/caripi/activities/regional-cooperation-plant-variety-rights-study-vis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ro.affrc.go.jp/english/laboratory/ncss/dus_growing_test/index.html" TargetMode="Externa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image" Target="media/image2.emf"/><Relationship Id="rId32" Type="http://schemas.openxmlformats.org/officeDocument/2006/relationships/image" Target="media/image4.emf"/><Relationship Id="rId37" Type="http://schemas.openxmlformats.org/officeDocument/2006/relationships/hyperlink" Target="http://www.agepi.gov.md" TargetMode="Externa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publication/buleten-3" TargetMode="External"/><Relationship Id="rId53" Type="http://schemas.openxmlformats.org/officeDocument/2006/relationships/hyperlink" Target="https://ipkey.eu/en/south-east-asia/activities/webinar-plant-variety-protection-and-upov-199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eapvp.org/report-data/vietnam/ministry-of-agriculture-and-rural-development-of-vietnam-held-online-seminar-on-the-enforcement-of-plant-breeders-righ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eapvp.org/report-data/japan/ministry-of-agriculture-forestry-and-fisheries-of-japan-held-capacity-building-workshop2-technical-training-for-pvp-senior-staff/" TargetMode="External"/><Relationship Id="rId27" Type="http://schemas.openxmlformats.org/officeDocument/2006/relationships/header" Target="header10.xml"/><Relationship Id="rId30" Type="http://schemas.openxmlformats.org/officeDocument/2006/relationships/hyperlink" Target="http://www.coboru.pl/Polska/Podstawy_prawne/D20040567.pdf" TargetMode="External"/><Relationship Id="rId35"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hyperlink" Target="https://conference.ukragroexpert.com.ua/wp-content/uploads/2021/06/Book-of-proceedings-2021.pdf" TargetMode="External"/><Relationship Id="rId56" Type="http://schemas.openxmlformats.org/officeDocument/2006/relationships/header" Target="header19.xml"/><Relationship Id="rId8" Type="http://schemas.openxmlformats.org/officeDocument/2006/relationships/image" Target="media/image1.png"/><Relationship Id="rId51" Type="http://schemas.openxmlformats.org/officeDocument/2006/relationships/hyperlink" Target="https://ipkey.eu/en/china/activities/2021-plant-variety-rights-online-technical-training"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image" Target="media/image3.emf"/><Relationship Id="rId33" Type="http://schemas.openxmlformats.org/officeDocument/2006/relationships/hyperlink" Target="http://www.coboru.gov.pl" TargetMode="External"/><Relationship Id="rId38" Type="http://schemas.openxmlformats.org/officeDocument/2006/relationships/header" Target="header14.xml"/><Relationship Id="rId46" Type="http://schemas.openxmlformats.org/officeDocument/2006/relationships/hyperlink" Target="http://confer.uiesr.sops.gov.ua/genetika2021/schedConf/presentations" TargetMode="External"/><Relationship Id="rId20" Type="http://schemas.openxmlformats.org/officeDocument/2006/relationships/hyperlink" Target="http://eapvp.org/report-data/japan/ministry-of-agriculture-forestry-and-fisheries-of-japan-held-capacity-building-workshop-1-introduction-of-pvp-upov-tg1-3/" TargetMode="External"/><Relationship Id="rId41" Type="http://schemas.openxmlformats.org/officeDocument/2006/relationships/header" Target="header16.xml"/><Relationship Id="rId54" Type="http://schemas.openxmlformats.org/officeDocument/2006/relationships/hyperlink" Target="https://ipkey.eu/en/south-east-asia/activities/support-accession-sea-countries-upov-1991-conven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eapvp.org/report-data/cambodia/ministry-of-agriculture-forestry-and-fisheries-of-cambodia-held-online-workshop-on-plant-variety-protection-%e2%80%95plant-breeders-rights-and-farmers-benefits%e2%80%95/" TargetMode="External"/><Relationship Id="rId28" Type="http://schemas.openxmlformats.org/officeDocument/2006/relationships/hyperlink" Target="https://www.mbie.govt.nz/business-and-employment/business/intellectual-property/plant-variety-rights/plant-variety-rights-act-review/" TargetMode="External"/><Relationship Id="rId36" Type="http://schemas.openxmlformats.org/officeDocument/2006/relationships/header" Target="header13.xml"/><Relationship Id="rId49" Type="http://schemas.openxmlformats.org/officeDocument/2006/relationships/hyperlink" Target="mailto:upov.mail@upov.int"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coboru.pl/Polska/Podstawy_prawne/DU20152166.pdf" TargetMode="External"/><Relationship Id="rId44" Type="http://schemas.openxmlformats.org/officeDocument/2006/relationships/hyperlink" Target="http://journal.sops.gov.ua/issue/archive" TargetMode="External"/><Relationship Id="rId52" Type="http://schemas.openxmlformats.org/officeDocument/2006/relationships/hyperlink" Target="https://ipkey.eu/en/china/activities/legislation-seminar-plant-variety-rights-amend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50B8-4A1C-469E-9AF4-7BA20247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50</Pages>
  <Words>19413</Words>
  <Characters>110659</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C/56/INF/4</vt:lpstr>
    </vt:vector>
  </TitlesOfParts>
  <Company>UPOV</Company>
  <LinksUpToDate>false</LinksUpToDate>
  <CharactersWithSpaces>129813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C/56/INF/4</dc:title>
  <dc:creator>SANCHEZ VIZCAINO GOMEZ Rosa Maria</dc:creator>
  <cp:lastModifiedBy>SANCHEZ VIZCAINO GOMEZ Rosa Maria</cp:lastModifiedBy>
  <cp:revision>37</cp:revision>
  <cp:lastPrinted>2016-11-22T15:41:00Z</cp:lastPrinted>
  <dcterms:created xsi:type="dcterms:W3CDTF">2022-09-07T11:02:00Z</dcterms:created>
  <dcterms:modified xsi:type="dcterms:W3CDTF">2022-10-06T10:08:00Z</dcterms:modified>
</cp:coreProperties>
</file>