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F748C" w:rsidTr="00EB4E9C">
        <w:tc>
          <w:tcPr>
            <w:tcW w:w="6522" w:type="dxa"/>
          </w:tcPr>
          <w:p w:rsidR="00DC3802" w:rsidRPr="008F748C" w:rsidRDefault="00DC3802" w:rsidP="00AC2883">
            <w:pPr>
              <w:rPr>
                <w:lang w:val="es-419"/>
              </w:rPr>
            </w:pPr>
            <w:r w:rsidRPr="008F748C">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8F748C" w:rsidRDefault="00DC3802" w:rsidP="00AC2883">
            <w:pPr>
              <w:pStyle w:val="Lettrine"/>
              <w:rPr>
                <w:lang w:val="es-419"/>
              </w:rPr>
            </w:pPr>
            <w:r w:rsidRPr="008F748C">
              <w:rPr>
                <w:lang w:val="es-419"/>
              </w:rPr>
              <w:t>S</w:t>
            </w:r>
          </w:p>
        </w:tc>
      </w:tr>
      <w:tr w:rsidR="00DC3802" w:rsidRPr="008F748C" w:rsidTr="00645CA8">
        <w:trPr>
          <w:trHeight w:val="219"/>
        </w:trPr>
        <w:tc>
          <w:tcPr>
            <w:tcW w:w="6522" w:type="dxa"/>
          </w:tcPr>
          <w:p w:rsidR="00DC3802" w:rsidRPr="008F748C" w:rsidRDefault="00DC3802" w:rsidP="00AC2883">
            <w:pPr>
              <w:pStyle w:val="upove"/>
              <w:rPr>
                <w:lang w:val="es-419"/>
              </w:rPr>
            </w:pPr>
            <w:r w:rsidRPr="008F748C">
              <w:rPr>
                <w:lang w:val="es-419"/>
              </w:rPr>
              <w:t>Unión Internacional para la Protección de las Obtenciones Vegetales</w:t>
            </w:r>
          </w:p>
        </w:tc>
        <w:tc>
          <w:tcPr>
            <w:tcW w:w="3117" w:type="dxa"/>
          </w:tcPr>
          <w:p w:rsidR="00DC3802" w:rsidRPr="008F748C" w:rsidRDefault="00DC3802" w:rsidP="00DA4973">
            <w:pPr>
              <w:rPr>
                <w:lang w:val="es-419"/>
              </w:rPr>
            </w:pPr>
          </w:p>
        </w:tc>
      </w:tr>
    </w:tbl>
    <w:p w:rsidR="00DC3802" w:rsidRPr="008F748C" w:rsidRDefault="00DC3802" w:rsidP="00DC3802">
      <w:pPr>
        <w:rPr>
          <w:lang w:val="es-419"/>
        </w:rPr>
      </w:pPr>
    </w:p>
    <w:p w:rsidR="001D736D" w:rsidRPr="008F748C" w:rsidRDefault="001D736D" w:rsidP="001D736D">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D736D" w:rsidRPr="008F748C" w:rsidTr="00115400">
        <w:tc>
          <w:tcPr>
            <w:tcW w:w="6512" w:type="dxa"/>
          </w:tcPr>
          <w:p w:rsidR="001D736D" w:rsidRPr="008F748C" w:rsidRDefault="001D736D" w:rsidP="00115400">
            <w:pPr>
              <w:pStyle w:val="Sessiontc"/>
              <w:spacing w:line="240" w:lineRule="auto"/>
              <w:rPr>
                <w:lang w:val="es-419"/>
              </w:rPr>
            </w:pPr>
            <w:r w:rsidRPr="008F748C">
              <w:rPr>
                <w:lang w:val="es-419"/>
              </w:rPr>
              <w:t>Consejo</w:t>
            </w:r>
          </w:p>
          <w:p w:rsidR="007546B2" w:rsidRPr="008F748C" w:rsidRDefault="001D736D" w:rsidP="00EF6D30">
            <w:pPr>
              <w:pStyle w:val="Sessiontcplacedate"/>
              <w:rPr>
                <w:lang w:val="es-419"/>
              </w:rPr>
            </w:pPr>
            <w:r w:rsidRPr="008F748C">
              <w:rPr>
                <w:lang w:val="es-419"/>
              </w:rPr>
              <w:t>Quincuagésima sexta sesión ordinaria</w:t>
            </w:r>
          </w:p>
          <w:p w:rsidR="001D736D" w:rsidRPr="008F748C" w:rsidRDefault="001D736D" w:rsidP="00EF6D30">
            <w:pPr>
              <w:pStyle w:val="Sessiontcplacedate"/>
              <w:rPr>
                <w:sz w:val="22"/>
                <w:lang w:val="es-419"/>
              </w:rPr>
            </w:pPr>
            <w:r w:rsidRPr="008F748C">
              <w:rPr>
                <w:lang w:val="es-419"/>
              </w:rPr>
              <w:t>Ginebra, 28 de octubre de 2022</w:t>
            </w:r>
          </w:p>
        </w:tc>
        <w:tc>
          <w:tcPr>
            <w:tcW w:w="3127" w:type="dxa"/>
          </w:tcPr>
          <w:p w:rsidR="001D736D" w:rsidRPr="008F748C" w:rsidRDefault="00BE3659" w:rsidP="00115400">
            <w:pPr>
              <w:pStyle w:val="Doccode"/>
              <w:rPr>
                <w:lang w:val="es-419"/>
              </w:rPr>
            </w:pPr>
            <w:r w:rsidRPr="008F748C">
              <w:rPr>
                <w:lang w:val="es-419"/>
              </w:rPr>
              <w:t>C/56/3</w:t>
            </w:r>
          </w:p>
          <w:p w:rsidR="001D736D" w:rsidRPr="008F748C" w:rsidRDefault="001D736D" w:rsidP="00115400">
            <w:pPr>
              <w:pStyle w:val="Docoriginal"/>
              <w:rPr>
                <w:lang w:val="es-419"/>
              </w:rPr>
            </w:pPr>
            <w:r w:rsidRPr="008F748C">
              <w:rPr>
                <w:lang w:val="es-419"/>
              </w:rPr>
              <w:t>Original:</w:t>
            </w:r>
            <w:r w:rsidR="008F748C">
              <w:rPr>
                <w:b w:val="0"/>
                <w:lang w:val="es-419"/>
              </w:rPr>
              <w:t xml:space="preserve"> </w:t>
            </w:r>
            <w:proofErr w:type="gramStart"/>
            <w:r w:rsidRPr="008F748C">
              <w:rPr>
                <w:b w:val="0"/>
                <w:lang w:val="es-419"/>
              </w:rPr>
              <w:t>Inglés</w:t>
            </w:r>
            <w:proofErr w:type="gramEnd"/>
          </w:p>
          <w:p w:rsidR="001D736D" w:rsidRPr="008F748C" w:rsidRDefault="001D736D" w:rsidP="00B674AE">
            <w:pPr>
              <w:pStyle w:val="Docoriginal"/>
              <w:rPr>
                <w:lang w:val="es-419"/>
              </w:rPr>
            </w:pPr>
            <w:r w:rsidRPr="008F748C">
              <w:rPr>
                <w:lang w:val="es-419"/>
              </w:rPr>
              <w:t>Fecha:</w:t>
            </w:r>
            <w:r w:rsidR="008F748C">
              <w:rPr>
                <w:b w:val="0"/>
                <w:lang w:val="es-419"/>
              </w:rPr>
              <w:t xml:space="preserve"> </w:t>
            </w:r>
            <w:r w:rsidR="00B674AE">
              <w:rPr>
                <w:b w:val="0"/>
                <w:lang w:val="es-419"/>
              </w:rPr>
              <w:t>15</w:t>
            </w:r>
            <w:r w:rsidRPr="008F748C">
              <w:rPr>
                <w:b w:val="0"/>
                <w:lang w:val="es-419"/>
              </w:rPr>
              <w:t xml:space="preserve"> de julio de 2022</w:t>
            </w:r>
          </w:p>
        </w:tc>
      </w:tr>
    </w:tbl>
    <w:p w:rsidR="001D736D" w:rsidRPr="008F748C" w:rsidRDefault="00BE3659" w:rsidP="001D736D">
      <w:pPr>
        <w:pStyle w:val="Titleofdoc0"/>
        <w:rPr>
          <w:lang w:val="es-419"/>
        </w:rPr>
      </w:pPr>
      <w:r w:rsidRPr="008F748C">
        <w:rPr>
          <w:lang w:val="es-419"/>
        </w:rPr>
        <w:t>Aprobación de documentos</w:t>
      </w:r>
    </w:p>
    <w:p w:rsidR="001D736D" w:rsidRPr="008F748C" w:rsidRDefault="001D736D" w:rsidP="001D736D">
      <w:pPr>
        <w:pStyle w:val="preparedby1"/>
        <w:jc w:val="left"/>
        <w:rPr>
          <w:lang w:val="es-419"/>
        </w:rPr>
      </w:pPr>
      <w:r w:rsidRPr="008F748C">
        <w:rPr>
          <w:lang w:val="es-419"/>
        </w:rPr>
        <w:t>Documento preparado por la Oficina de la Unión</w:t>
      </w:r>
    </w:p>
    <w:p w:rsidR="001D736D" w:rsidRPr="008F748C" w:rsidRDefault="001D736D" w:rsidP="001D736D">
      <w:pPr>
        <w:pStyle w:val="Disclaimer"/>
        <w:rPr>
          <w:lang w:val="es-419"/>
        </w:rPr>
      </w:pPr>
      <w:r w:rsidRPr="008F748C">
        <w:rPr>
          <w:lang w:val="es-419"/>
        </w:rPr>
        <w:t>Descargo de responsabilidad:  el presente documento no constituye un documento de política u orientación de la UPOV</w:t>
      </w:r>
    </w:p>
    <w:p w:rsidR="00BE3659" w:rsidRPr="008F748C" w:rsidRDefault="00BE3659" w:rsidP="00BE3659">
      <w:pPr>
        <w:rPr>
          <w:spacing w:val="-2"/>
          <w:lang w:val="es-419"/>
        </w:rPr>
      </w:pPr>
      <w:r w:rsidRPr="008F748C">
        <w:rPr>
          <w:lang w:val="es-419"/>
        </w:rPr>
        <w:fldChar w:fldCharType="begin"/>
      </w:r>
      <w:r w:rsidRPr="008F748C">
        <w:rPr>
          <w:lang w:val="es-419"/>
        </w:rPr>
        <w:instrText xml:space="preserve"> AUTONUM  </w:instrText>
      </w:r>
      <w:r w:rsidRPr="008F748C">
        <w:rPr>
          <w:lang w:val="es-419"/>
        </w:rPr>
        <w:fldChar w:fldCharType="end"/>
      </w:r>
      <w:r w:rsidRPr="00254997">
        <w:tab/>
        <w:t>En el presente documento se ofrece información sobre los siguientes documentos y se invita a su aprobación:</w:t>
      </w:r>
    </w:p>
    <w:p w:rsidR="00BE3659" w:rsidRPr="008F748C" w:rsidRDefault="00BE3659" w:rsidP="00BE3659">
      <w:pPr>
        <w:ind w:left="2268" w:hanging="1701"/>
        <w:rPr>
          <w:bCs/>
          <w:snapToGrid w:val="0"/>
          <w:lang w:val="es-419"/>
        </w:rPr>
      </w:pPr>
    </w:p>
    <w:p w:rsidR="00BE3659" w:rsidRPr="008F748C" w:rsidRDefault="00BE3659" w:rsidP="000A132D">
      <w:pPr>
        <w:ind w:left="567"/>
        <w:rPr>
          <w:bCs/>
          <w:snapToGrid w:val="0"/>
          <w:u w:val="single"/>
          <w:lang w:val="es-419"/>
        </w:rPr>
      </w:pPr>
      <w:r w:rsidRPr="008F748C">
        <w:rPr>
          <w:snapToGrid w:val="0"/>
          <w:u w:val="single"/>
          <w:lang w:val="es-419"/>
        </w:rPr>
        <w:t>Documentos de información</w:t>
      </w:r>
    </w:p>
    <w:p w:rsidR="00BE3659" w:rsidRPr="008F748C" w:rsidRDefault="00BE3659" w:rsidP="00BE3659">
      <w:pPr>
        <w:rPr>
          <w:lang w:val="es-419"/>
        </w:rPr>
      </w:pPr>
    </w:p>
    <w:p w:rsidR="00BE3659" w:rsidRPr="008F748C" w:rsidRDefault="00BE3659" w:rsidP="000A132D">
      <w:pPr>
        <w:ind w:left="2880" w:hanging="1710"/>
        <w:jc w:val="left"/>
        <w:rPr>
          <w:lang w:val="es-419"/>
        </w:rPr>
      </w:pPr>
      <w:r w:rsidRPr="008F748C">
        <w:rPr>
          <w:lang w:val="es-419"/>
        </w:rPr>
        <w:t>UPOV/INF/16</w:t>
      </w:r>
      <w:r w:rsidRPr="008F748C">
        <w:rPr>
          <w:lang w:val="es-419"/>
        </w:rPr>
        <w:tab/>
        <w:t>Programas informáticos para intercambio (revisión) (documento UPOV/INF/16/11 Draft 1)</w:t>
      </w:r>
    </w:p>
    <w:p w:rsidR="00BE3659" w:rsidRPr="008F748C" w:rsidRDefault="00BE3659" w:rsidP="000A132D">
      <w:pPr>
        <w:jc w:val="left"/>
        <w:rPr>
          <w:lang w:val="es-419"/>
        </w:rPr>
      </w:pPr>
    </w:p>
    <w:p w:rsidR="00BE3659" w:rsidRPr="008F748C" w:rsidRDefault="00BE3659" w:rsidP="000A132D">
      <w:pPr>
        <w:ind w:left="2880" w:hanging="1710"/>
        <w:jc w:val="left"/>
        <w:rPr>
          <w:lang w:val="es-419"/>
        </w:rPr>
      </w:pPr>
      <w:r w:rsidRPr="008F748C">
        <w:rPr>
          <w:lang w:val="es-419"/>
        </w:rPr>
        <w:t>UPOV/INF/22</w:t>
      </w:r>
      <w:r w:rsidRPr="008F748C">
        <w:rPr>
          <w:lang w:val="es-419"/>
        </w:rPr>
        <w:tab/>
        <w:t xml:space="preserve">Programas informáticos y equipos utilizados por los miembros de la Unión (revisión) </w:t>
      </w:r>
    </w:p>
    <w:p w:rsidR="00BE3659" w:rsidRPr="008F748C" w:rsidRDefault="000A132D" w:rsidP="000A132D">
      <w:pPr>
        <w:ind w:left="2880"/>
        <w:jc w:val="left"/>
        <w:rPr>
          <w:lang w:val="es-419"/>
        </w:rPr>
      </w:pPr>
      <w:r w:rsidRPr="008F748C">
        <w:rPr>
          <w:lang w:val="es-419"/>
        </w:rPr>
        <w:t>(documento UPOV/INF/22/9 Draft 1)</w:t>
      </w:r>
    </w:p>
    <w:p w:rsidR="00BE3659" w:rsidRPr="008F748C" w:rsidRDefault="00BE3659" w:rsidP="000A132D">
      <w:pPr>
        <w:jc w:val="left"/>
        <w:rPr>
          <w:lang w:val="es-419"/>
        </w:rPr>
      </w:pPr>
    </w:p>
    <w:p w:rsidR="00BE3659" w:rsidRPr="008F748C" w:rsidRDefault="00BE3659" w:rsidP="000A132D">
      <w:pPr>
        <w:ind w:left="2835" w:hanging="1701"/>
        <w:jc w:val="left"/>
        <w:rPr>
          <w:lang w:val="es-419"/>
        </w:rPr>
      </w:pPr>
      <w:r w:rsidRPr="008F748C">
        <w:rPr>
          <w:lang w:val="es-419"/>
        </w:rPr>
        <w:t>UPOV/INF-EXN</w:t>
      </w:r>
      <w:r w:rsidRPr="008F748C">
        <w:rPr>
          <w:lang w:val="es-419"/>
        </w:rPr>
        <w:tab/>
        <w:t>Lista de documentos UPOV/INF EXN y fechas de última publicación (revisión)</w:t>
      </w:r>
      <w:r w:rsidRPr="008F748C">
        <w:rPr>
          <w:lang w:val="es-419"/>
        </w:rPr>
        <w:br/>
        <w:t>(documento UPOV/INF-EXN/16 Draft 1)</w:t>
      </w:r>
    </w:p>
    <w:p w:rsidR="00BE3659" w:rsidRPr="008F748C" w:rsidRDefault="00BE3659" w:rsidP="000A132D">
      <w:pPr>
        <w:ind w:left="2835" w:hanging="1701"/>
        <w:jc w:val="left"/>
        <w:rPr>
          <w:bCs/>
          <w:snapToGrid w:val="0"/>
          <w:lang w:val="es-419"/>
        </w:rPr>
      </w:pPr>
    </w:p>
    <w:p w:rsidR="00BE3659" w:rsidRPr="008F748C" w:rsidRDefault="00BE3659" w:rsidP="00BE3659">
      <w:pPr>
        <w:ind w:left="567"/>
        <w:rPr>
          <w:bCs/>
          <w:snapToGrid w:val="0"/>
          <w:u w:val="single"/>
          <w:lang w:val="es-419"/>
        </w:rPr>
      </w:pPr>
      <w:r w:rsidRPr="008F748C">
        <w:rPr>
          <w:snapToGrid w:val="0"/>
          <w:u w:val="single"/>
          <w:lang w:val="es-419"/>
        </w:rPr>
        <w:t xml:space="preserve">Notas Explicativas </w:t>
      </w:r>
    </w:p>
    <w:p w:rsidR="00BE3659" w:rsidRPr="008F748C" w:rsidRDefault="00BE3659" w:rsidP="00BE3659">
      <w:pPr>
        <w:ind w:left="1985" w:hanging="851"/>
        <w:jc w:val="left"/>
        <w:rPr>
          <w:lang w:val="es-419"/>
        </w:rPr>
      </w:pPr>
    </w:p>
    <w:p w:rsidR="00BE3659" w:rsidRPr="008F748C" w:rsidRDefault="00BE3659" w:rsidP="00BE3659">
      <w:pPr>
        <w:ind w:left="2880" w:hanging="1710"/>
        <w:jc w:val="left"/>
        <w:rPr>
          <w:lang w:val="es-419"/>
        </w:rPr>
      </w:pPr>
      <w:r w:rsidRPr="008F748C">
        <w:rPr>
          <w:lang w:val="es-419"/>
        </w:rPr>
        <w:t>UPOV/EXN/DEN</w:t>
      </w:r>
      <w:r w:rsidRPr="008F748C">
        <w:rPr>
          <w:lang w:val="es-419"/>
        </w:rPr>
        <w:tab/>
        <w:t>Notas explicativas sobre las denominaciones de variedades con arreglo al Convenio de la UPOV (revisión) (documento C/56/3, Anexo I)</w:t>
      </w:r>
    </w:p>
    <w:p w:rsidR="00BE3659" w:rsidRPr="008F748C" w:rsidRDefault="00BE3659" w:rsidP="00BE3659">
      <w:pPr>
        <w:ind w:left="2880" w:hanging="1710"/>
        <w:jc w:val="left"/>
        <w:rPr>
          <w:lang w:val="es-419"/>
        </w:rPr>
      </w:pPr>
    </w:p>
    <w:p w:rsidR="00BE3659" w:rsidRPr="008F748C" w:rsidRDefault="00BE3659" w:rsidP="000A132D">
      <w:pPr>
        <w:ind w:left="2835" w:hanging="1701"/>
        <w:jc w:val="left"/>
        <w:rPr>
          <w:lang w:val="es-419"/>
        </w:rPr>
      </w:pPr>
      <w:r w:rsidRPr="008F748C">
        <w:rPr>
          <w:lang w:val="es-419"/>
        </w:rPr>
        <w:t>UPOV/EXN/EDV</w:t>
      </w:r>
      <w:r w:rsidRPr="008F748C">
        <w:rPr>
          <w:lang w:val="es-419"/>
        </w:rPr>
        <w:tab/>
        <w:t>Notas explicativas sobre las variedades esencialmente derivadas con arreglo al Acta de 1991 del Convenio de la UPOV (revisión)</w:t>
      </w:r>
      <w:r w:rsidRPr="008F748C">
        <w:rPr>
          <w:lang w:val="es-419"/>
        </w:rPr>
        <w:br/>
        <w:t>(documentos C/56/9 y UPOV/EXN/EDV/3 Draft 3)</w:t>
      </w:r>
    </w:p>
    <w:p w:rsidR="00BE3659" w:rsidRPr="008F748C" w:rsidRDefault="00BE3659" w:rsidP="000A132D">
      <w:pPr>
        <w:ind w:left="2268" w:hanging="1701"/>
        <w:rPr>
          <w:bCs/>
          <w:snapToGrid w:val="0"/>
          <w:lang w:val="es-419"/>
        </w:rPr>
      </w:pPr>
    </w:p>
    <w:p w:rsidR="00BE3659" w:rsidRPr="008F748C" w:rsidRDefault="00BE3659" w:rsidP="00BE3659">
      <w:pPr>
        <w:ind w:left="567"/>
        <w:rPr>
          <w:bCs/>
          <w:snapToGrid w:val="0"/>
          <w:lang w:val="es-419"/>
        </w:rPr>
      </w:pPr>
      <w:r w:rsidRPr="008F748C">
        <w:rPr>
          <w:snapToGrid w:val="0"/>
          <w:u w:val="single"/>
          <w:lang w:val="es-419"/>
        </w:rPr>
        <w:t>Documentos TGP</w:t>
      </w:r>
      <w:r w:rsidRPr="008F748C">
        <w:rPr>
          <w:snapToGrid w:val="0"/>
          <w:lang w:val="es-419"/>
        </w:rPr>
        <w:t>:</w:t>
      </w:r>
    </w:p>
    <w:p w:rsidR="00BE3659" w:rsidRPr="008F748C" w:rsidRDefault="00BE3659" w:rsidP="00BE3659">
      <w:pPr>
        <w:ind w:left="1985" w:hanging="851"/>
        <w:jc w:val="left"/>
        <w:rPr>
          <w:lang w:val="es-419"/>
        </w:rPr>
      </w:pPr>
    </w:p>
    <w:p w:rsidR="00BE3659" w:rsidRPr="008F748C" w:rsidRDefault="00BE3659" w:rsidP="00BE3659">
      <w:pPr>
        <w:ind w:left="1985" w:hanging="851"/>
        <w:jc w:val="left"/>
        <w:rPr>
          <w:lang w:val="es-419"/>
        </w:rPr>
      </w:pPr>
      <w:r w:rsidRPr="008F748C">
        <w:rPr>
          <w:lang w:val="es-419"/>
        </w:rPr>
        <w:t>TGP/5</w:t>
      </w:r>
      <w:r w:rsidRPr="008F748C">
        <w:rPr>
          <w:lang w:val="es-419"/>
        </w:rPr>
        <w:tab/>
        <w:t>Experiencia y cooperación en el examen DHE</w:t>
      </w:r>
    </w:p>
    <w:p w:rsidR="00BE3659" w:rsidRPr="008F748C" w:rsidRDefault="00BE3659" w:rsidP="00BE3659">
      <w:pPr>
        <w:ind w:left="1985" w:hanging="851"/>
        <w:jc w:val="left"/>
        <w:rPr>
          <w:lang w:val="es-419"/>
        </w:rPr>
      </w:pPr>
    </w:p>
    <w:p w:rsidR="00BE3659" w:rsidRPr="008F748C" w:rsidRDefault="00BE3659" w:rsidP="000A132D">
      <w:pPr>
        <w:ind w:left="1985" w:hanging="851"/>
        <w:jc w:val="left"/>
        <w:rPr>
          <w:lang w:val="es-419"/>
        </w:rPr>
      </w:pPr>
      <w:r w:rsidRPr="008F748C">
        <w:rPr>
          <w:lang w:val="es-419"/>
        </w:rPr>
        <w:tab/>
        <w:t>Sección 6: Informe de la UPOV sobre el examen técnico y Formulario UPOV para la descripción de variedades (revisión) (documento TGP/5: Sección 6/4 Draft 1)</w:t>
      </w:r>
    </w:p>
    <w:p w:rsidR="00BE3659" w:rsidRPr="008F748C" w:rsidRDefault="00BE3659" w:rsidP="00BE3659">
      <w:pPr>
        <w:ind w:left="1985" w:hanging="851"/>
        <w:jc w:val="left"/>
        <w:rPr>
          <w:bCs/>
          <w:snapToGrid w:val="0"/>
          <w:lang w:val="es-419"/>
        </w:rPr>
      </w:pPr>
    </w:p>
    <w:p w:rsidR="00BE3659" w:rsidRPr="008F748C" w:rsidRDefault="00BE3659" w:rsidP="00BE3659">
      <w:pPr>
        <w:ind w:left="1985" w:hanging="851"/>
        <w:jc w:val="left"/>
        <w:rPr>
          <w:rFonts w:cs="Arial"/>
          <w:lang w:val="es-419"/>
        </w:rPr>
      </w:pPr>
      <w:r w:rsidRPr="008F748C">
        <w:rPr>
          <w:lang w:val="es-419"/>
        </w:rPr>
        <w:t>TGP/8</w:t>
      </w:r>
      <w:r w:rsidRPr="008F748C">
        <w:rPr>
          <w:lang w:val="es-419"/>
        </w:rPr>
        <w:tab/>
        <w:t xml:space="preserve">Diseño de ensayos y técnicas utilizados en el examen de la distinción, la homogeneidad y la estabilidad (revisión) (documento </w:t>
      </w:r>
      <w:r w:rsidRPr="008F748C">
        <w:rPr>
          <w:snapToGrid w:val="0"/>
          <w:lang w:val="es-419"/>
        </w:rPr>
        <w:t>C/56/3, Anexo II)</w:t>
      </w:r>
    </w:p>
    <w:p w:rsidR="00BE3659" w:rsidRPr="008F748C" w:rsidRDefault="00BE3659" w:rsidP="00BE3659">
      <w:pPr>
        <w:ind w:left="2127" w:hanging="993"/>
        <w:jc w:val="left"/>
        <w:rPr>
          <w:lang w:val="es-419"/>
        </w:rPr>
      </w:pPr>
    </w:p>
    <w:p w:rsidR="00BE3659" w:rsidRPr="008F748C" w:rsidRDefault="00BE3659" w:rsidP="000A132D">
      <w:pPr>
        <w:ind w:left="1985" w:right="-142" w:hanging="851"/>
        <w:jc w:val="left"/>
        <w:rPr>
          <w:rFonts w:cs="Arial"/>
          <w:lang w:val="es-419"/>
        </w:rPr>
      </w:pPr>
      <w:r w:rsidRPr="008F748C">
        <w:rPr>
          <w:lang w:val="es-419"/>
        </w:rPr>
        <w:t>TGP/12</w:t>
      </w:r>
      <w:r w:rsidRPr="008F748C">
        <w:rPr>
          <w:lang w:val="es-419"/>
        </w:rPr>
        <w:tab/>
        <w:t>Orientación sobre ciertos cara</w:t>
      </w:r>
      <w:r w:rsidR="00254997">
        <w:rPr>
          <w:lang w:val="es-419"/>
        </w:rPr>
        <w:t xml:space="preserve">cteres fisiológicos (revisión) </w:t>
      </w:r>
      <w:r w:rsidRPr="008F748C">
        <w:rPr>
          <w:lang w:val="es-419"/>
        </w:rPr>
        <w:br/>
        <w:t xml:space="preserve">(documento </w:t>
      </w:r>
      <w:r w:rsidRPr="008F748C">
        <w:rPr>
          <w:snapToGrid w:val="0"/>
          <w:lang w:val="es-419"/>
        </w:rPr>
        <w:t>C/56/3, Anexo  III)</w:t>
      </w:r>
    </w:p>
    <w:p w:rsidR="00BE3659" w:rsidRPr="008F748C" w:rsidRDefault="00BE3659" w:rsidP="000A132D">
      <w:pPr>
        <w:ind w:left="2127" w:hanging="993"/>
        <w:jc w:val="left"/>
        <w:rPr>
          <w:lang w:val="es-419"/>
        </w:rPr>
      </w:pPr>
    </w:p>
    <w:p w:rsidR="000A132D" w:rsidRPr="008F748C" w:rsidRDefault="00BE3659" w:rsidP="000A132D">
      <w:pPr>
        <w:ind w:left="1985" w:hanging="851"/>
        <w:jc w:val="left"/>
        <w:rPr>
          <w:bCs/>
          <w:snapToGrid w:val="0"/>
          <w:lang w:val="es-419"/>
        </w:rPr>
      </w:pPr>
      <w:r w:rsidRPr="008F748C">
        <w:rPr>
          <w:lang w:val="es-419"/>
        </w:rPr>
        <w:t>TGP</w:t>
      </w:r>
      <w:r w:rsidRPr="008F748C">
        <w:rPr>
          <w:snapToGrid w:val="0"/>
          <w:lang w:val="es-419"/>
        </w:rPr>
        <w:t>/0</w:t>
      </w:r>
      <w:r w:rsidRPr="008F748C">
        <w:rPr>
          <w:snapToGrid w:val="0"/>
          <w:lang w:val="es-419"/>
        </w:rPr>
        <w:tab/>
        <w:t>Lista de documentos TGP y fechas de última publicación (revisión) (documento TGP/0/14 Draft 1)</w:t>
      </w:r>
    </w:p>
    <w:p w:rsidR="00BE3659" w:rsidRPr="008F748C" w:rsidRDefault="00BE3659" w:rsidP="000A132D">
      <w:pPr>
        <w:ind w:left="1985" w:hanging="851"/>
        <w:jc w:val="left"/>
        <w:rPr>
          <w:bCs/>
          <w:snapToGrid w:val="0"/>
          <w:lang w:val="es-419"/>
        </w:rPr>
      </w:pPr>
    </w:p>
    <w:p w:rsidR="00BE3659" w:rsidRPr="008F748C" w:rsidRDefault="00BE3659" w:rsidP="00BE3659">
      <w:pPr>
        <w:keepNext/>
        <w:rPr>
          <w:color w:val="000000"/>
          <w:lang w:val="es-419"/>
        </w:rPr>
      </w:pPr>
      <w:r w:rsidRPr="008F748C">
        <w:rPr>
          <w:lang w:val="es-419"/>
        </w:rPr>
        <w:lastRenderedPageBreak/>
        <w:fldChar w:fldCharType="begin"/>
      </w:r>
      <w:r w:rsidRPr="008F748C">
        <w:rPr>
          <w:lang w:val="es-419"/>
        </w:rPr>
        <w:instrText xml:space="preserve"> AUTONUM  </w:instrText>
      </w:r>
      <w:r w:rsidRPr="008F748C">
        <w:rPr>
          <w:lang w:val="es-419"/>
        </w:rPr>
        <w:fldChar w:fldCharType="end"/>
      </w:r>
      <w:r w:rsidRPr="008F748C">
        <w:rPr>
          <w:color w:val="000000"/>
          <w:lang w:val="es-419"/>
        </w:rPr>
        <w:t>En el presente documento se utilizan las abreviaturas siguientes:</w:t>
      </w:r>
    </w:p>
    <w:p w:rsidR="00BE3659" w:rsidRPr="008F748C" w:rsidRDefault="00BE3659" w:rsidP="00BE3659">
      <w:pPr>
        <w:keepNext/>
        <w:ind w:left="1692" w:hanging="1125"/>
        <w:jc w:val="left"/>
        <w:rPr>
          <w:color w:val="000000"/>
          <w:lang w:val="es-419"/>
        </w:rPr>
      </w:pPr>
    </w:p>
    <w:p w:rsidR="00BE3659" w:rsidRPr="008F748C" w:rsidRDefault="00BE3659" w:rsidP="00BE3659">
      <w:pPr>
        <w:keepNext/>
        <w:tabs>
          <w:tab w:val="left" w:pos="567"/>
          <w:tab w:val="left" w:pos="1701"/>
        </w:tabs>
        <w:rPr>
          <w:lang w:val="es-419"/>
        </w:rPr>
      </w:pPr>
      <w:r w:rsidRPr="008F748C">
        <w:rPr>
          <w:lang w:val="es-419"/>
        </w:rPr>
        <w:tab/>
        <w:t>CAJ:</w:t>
      </w:r>
      <w:r w:rsidRPr="008F748C">
        <w:rPr>
          <w:lang w:val="es-419"/>
        </w:rPr>
        <w:tab/>
        <w:t>Comité Administrativo y Jurídico</w:t>
      </w:r>
    </w:p>
    <w:p w:rsidR="00BE3659" w:rsidRPr="008F748C" w:rsidRDefault="00BE3659" w:rsidP="00BE3659">
      <w:pPr>
        <w:tabs>
          <w:tab w:val="left" w:pos="567"/>
          <w:tab w:val="left" w:pos="1701"/>
        </w:tabs>
        <w:rPr>
          <w:lang w:val="es-419"/>
        </w:rPr>
      </w:pPr>
      <w:r w:rsidRPr="008F748C">
        <w:rPr>
          <w:lang w:val="es-419"/>
        </w:rPr>
        <w:tab/>
        <w:t>TC:</w:t>
      </w:r>
      <w:r w:rsidRPr="008F748C">
        <w:rPr>
          <w:lang w:val="es-419"/>
        </w:rPr>
        <w:tab/>
        <w:t xml:space="preserve">Comité Técnico  </w:t>
      </w:r>
    </w:p>
    <w:p w:rsidR="00BE3659" w:rsidRPr="008F748C" w:rsidRDefault="00BE3659" w:rsidP="00BE3659">
      <w:pPr>
        <w:tabs>
          <w:tab w:val="left" w:pos="567"/>
          <w:tab w:val="left" w:pos="1701"/>
        </w:tabs>
        <w:rPr>
          <w:lang w:val="es-419"/>
        </w:rPr>
      </w:pPr>
    </w:p>
    <w:p w:rsidR="00BE3659" w:rsidRPr="008F748C" w:rsidRDefault="00BE3659" w:rsidP="00BE3659">
      <w:pPr>
        <w:tabs>
          <w:tab w:val="left" w:pos="567"/>
          <w:tab w:val="left" w:pos="1701"/>
        </w:tabs>
        <w:rPr>
          <w:lang w:val="es-419"/>
        </w:rPr>
      </w:pPr>
    </w:p>
    <w:p w:rsidR="00BE3659" w:rsidRPr="008F748C" w:rsidRDefault="00BE3659" w:rsidP="00BE3659">
      <w:pPr>
        <w:tabs>
          <w:tab w:val="left" w:pos="567"/>
          <w:tab w:val="left" w:pos="1701"/>
        </w:tabs>
        <w:rPr>
          <w:lang w:val="es-419"/>
        </w:rPr>
      </w:pPr>
    </w:p>
    <w:p w:rsidR="00BE3659" w:rsidRPr="008F748C" w:rsidRDefault="00BE3659" w:rsidP="00254997">
      <w:pPr>
        <w:pStyle w:val="Heading1"/>
        <w:rPr>
          <w:snapToGrid w:val="0"/>
          <w:lang w:val="es-419"/>
        </w:rPr>
      </w:pPr>
      <w:r w:rsidRPr="008F748C">
        <w:rPr>
          <w:snapToGrid w:val="0"/>
          <w:lang w:val="es-419"/>
        </w:rPr>
        <w:t>Documentos de información</w:t>
      </w:r>
    </w:p>
    <w:p w:rsidR="00BE3659" w:rsidRPr="008F748C" w:rsidRDefault="00BE3659" w:rsidP="000A132D">
      <w:pPr>
        <w:keepNext/>
        <w:rPr>
          <w:bCs/>
          <w:snapToGrid w:val="0"/>
          <w:u w:val="single"/>
          <w:lang w:val="es-419"/>
        </w:rPr>
      </w:pPr>
    </w:p>
    <w:p w:rsidR="00BE3659" w:rsidRPr="008F748C" w:rsidRDefault="00BE3659" w:rsidP="00254997">
      <w:pPr>
        <w:pStyle w:val="Heading2"/>
      </w:pPr>
      <w:r w:rsidRPr="008F748C">
        <w:t xml:space="preserve">UPOV/INF/16: Programas informáticos para intercambio (revisión) (documento UPOV/INF/16/11 Draft 1)  </w:t>
      </w:r>
    </w:p>
    <w:p w:rsidR="00BE3659" w:rsidRPr="008F748C" w:rsidRDefault="00BE3659" w:rsidP="00BE3659">
      <w:pPr>
        <w:rPr>
          <w:snapToGrid w:val="0"/>
          <w:lang w:val="es-419"/>
        </w:rPr>
      </w:pPr>
    </w:p>
    <w:p w:rsidR="00BE3659" w:rsidRPr="008F748C" w:rsidRDefault="00BE3659" w:rsidP="00254997">
      <w:pPr>
        <w:rPr>
          <w:lang w:val="es-419"/>
        </w:rPr>
      </w:pPr>
      <w:r w:rsidRPr="008F748C">
        <w:rPr>
          <w:lang w:val="es-419"/>
        </w:rPr>
        <w:fldChar w:fldCharType="begin"/>
      </w:r>
      <w:r w:rsidRPr="008F748C">
        <w:rPr>
          <w:lang w:val="es-419"/>
        </w:rPr>
        <w:instrText xml:space="preserve"> AUTONUM  </w:instrText>
      </w:r>
      <w:r w:rsidRPr="008F748C">
        <w:rPr>
          <w:lang w:val="es-419"/>
        </w:rPr>
        <w:fldChar w:fldCharType="end"/>
      </w:r>
      <w:r w:rsidRPr="008F748C">
        <w:rPr>
          <w:lang w:val="es-419"/>
        </w:rPr>
        <w:tab/>
        <w:t>Se invitará al TC y al CAJ a acordar las propuestas de revisión del documento UPOV/INF/16/10 “Programas informáticos para intercambio”, que figuran en el documento UPOV/INF/16/11 Draft 1.</w:t>
      </w:r>
    </w:p>
    <w:p w:rsidR="00BE3659" w:rsidRPr="008F748C" w:rsidRDefault="00BE3659" w:rsidP="00254997">
      <w:pPr>
        <w:pStyle w:val="DecisionParagraphs"/>
        <w:rPr>
          <w:lang w:val="es-419"/>
        </w:rPr>
      </w:pPr>
    </w:p>
    <w:p w:rsidR="00BE3659" w:rsidRPr="008F748C" w:rsidRDefault="00BE3659" w:rsidP="00254997">
      <w:pPr>
        <w:pStyle w:val="DecisionParagraphs"/>
        <w:rPr>
          <w:spacing w:val="-2"/>
          <w:lang w:val="es-419"/>
        </w:rPr>
      </w:pPr>
      <w:r w:rsidRPr="008F748C">
        <w:rPr>
          <w:lang w:val="es-419"/>
        </w:rPr>
        <w:fldChar w:fldCharType="begin"/>
      </w:r>
      <w:r w:rsidRPr="008F748C">
        <w:rPr>
          <w:lang w:val="es-419"/>
        </w:rPr>
        <w:instrText xml:space="preserve"> AUTONUM  </w:instrText>
      </w:r>
      <w:r w:rsidRPr="008F748C">
        <w:rPr>
          <w:lang w:val="es-419"/>
        </w:rPr>
        <w:fldChar w:fldCharType="end"/>
      </w:r>
      <w:r w:rsidRPr="008F748C">
        <w:rPr>
          <w:lang w:val="es-419"/>
        </w:rPr>
        <w:tab/>
        <w:t xml:space="preserve">Se invita al Consejo a aprobar la revisión del documento UPOV/INF/16/10 “Programas informáticos para intercambio”, sobre la base del </w:t>
      </w:r>
      <w:r w:rsidR="00254997">
        <w:rPr>
          <w:lang w:val="es-419"/>
        </w:rPr>
        <w:br/>
      </w:r>
      <w:r w:rsidRPr="008F748C">
        <w:rPr>
          <w:lang w:val="es-419"/>
        </w:rPr>
        <w:t>documento UPOV/INF/16/11 Draft 1, a</w:t>
      </w:r>
      <w:r w:rsidR="00254997">
        <w:rPr>
          <w:lang w:val="es-419"/>
        </w:rPr>
        <w:t xml:space="preserve"> reserva de la </w:t>
      </w:r>
      <w:r w:rsidRPr="008F748C">
        <w:rPr>
          <w:lang w:val="es-419"/>
        </w:rPr>
        <w:t>aprobación del TC y el CAJ.</w:t>
      </w:r>
    </w:p>
    <w:p w:rsidR="00BE3659" w:rsidRPr="008F748C" w:rsidRDefault="00BE3659" w:rsidP="00BE3659">
      <w:pPr>
        <w:rPr>
          <w:lang w:val="es-419"/>
        </w:rPr>
      </w:pPr>
    </w:p>
    <w:p w:rsidR="00BE3659" w:rsidRPr="008F748C" w:rsidRDefault="00BE3659" w:rsidP="004D4C36">
      <w:pPr>
        <w:tabs>
          <w:tab w:val="left" w:pos="5387"/>
          <w:tab w:val="left" w:pos="5954"/>
        </w:tabs>
        <w:rPr>
          <w:i/>
          <w:spacing w:val="-2"/>
          <w:lang w:val="es-419"/>
        </w:rPr>
      </w:pPr>
    </w:p>
    <w:p w:rsidR="00BE3659" w:rsidRPr="008F748C" w:rsidRDefault="00B06733" w:rsidP="00254997">
      <w:pPr>
        <w:pStyle w:val="Heading2"/>
      </w:pPr>
      <w:r w:rsidRPr="008F748C">
        <w:t xml:space="preserve">UPOV/INF/22: Programas informáticos y equipos utilizados por los miembros de la Unión (revisión) (documento UPOV/INF/22/9 Draft 1) </w:t>
      </w:r>
    </w:p>
    <w:p w:rsidR="00BE3659" w:rsidRPr="008F748C" w:rsidRDefault="00BE3659" w:rsidP="00BE3659">
      <w:pPr>
        <w:keepNext/>
        <w:keepLines/>
        <w:jc w:val="left"/>
        <w:rPr>
          <w:bCs/>
          <w:snapToGrid w:val="0"/>
          <w:spacing w:val="-4"/>
          <w:u w:val="single"/>
          <w:lang w:val="es-419"/>
        </w:rPr>
      </w:pPr>
    </w:p>
    <w:p w:rsidR="00BE3659" w:rsidRPr="008F748C" w:rsidRDefault="00BE3659" w:rsidP="00254997">
      <w:pPr>
        <w:rPr>
          <w:lang w:val="es-419"/>
        </w:rPr>
      </w:pPr>
      <w:r w:rsidRPr="008F748C">
        <w:rPr>
          <w:lang w:val="es-419"/>
        </w:rPr>
        <w:fldChar w:fldCharType="begin"/>
      </w:r>
      <w:r w:rsidRPr="008F748C">
        <w:rPr>
          <w:lang w:val="es-419"/>
        </w:rPr>
        <w:instrText xml:space="preserve"> AUTONUM  </w:instrText>
      </w:r>
      <w:r w:rsidRPr="008F748C">
        <w:rPr>
          <w:lang w:val="es-419"/>
        </w:rPr>
        <w:fldChar w:fldCharType="end"/>
      </w:r>
      <w:r w:rsidRPr="008F748C">
        <w:rPr>
          <w:lang w:val="es-419"/>
        </w:rPr>
        <w:tab/>
        <w:t xml:space="preserve">Se invitará al TC y al CAJ a acordar las propuestas de revisión del documento UPOV/INF/22/8 “Programas informáticos y equipos utilizados por los miembros de la Unión”, que figuran en el </w:t>
      </w:r>
      <w:r w:rsidR="00254997">
        <w:rPr>
          <w:lang w:val="es-419"/>
        </w:rPr>
        <w:br/>
      </w:r>
      <w:r w:rsidRPr="008F748C">
        <w:rPr>
          <w:lang w:val="es-419"/>
        </w:rPr>
        <w:t xml:space="preserve">documento UPOV/INF/22/9 </w:t>
      </w:r>
      <w:proofErr w:type="spellStart"/>
      <w:r w:rsidRPr="008F748C">
        <w:rPr>
          <w:lang w:val="es-419"/>
        </w:rPr>
        <w:t>Draft</w:t>
      </w:r>
      <w:proofErr w:type="spellEnd"/>
      <w:r w:rsidRPr="008F748C">
        <w:rPr>
          <w:lang w:val="es-419"/>
        </w:rPr>
        <w:t xml:space="preserve"> 1.</w:t>
      </w:r>
    </w:p>
    <w:p w:rsidR="00BE3659" w:rsidRPr="008F748C" w:rsidRDefault="00BE3659" w:rsidP="00BE3659">
      <w:pPr>
        <w:keepNext/>
        <w:rPr>
          <w:lang w:val="es-419"/>
        </w:rPr>
      </w:pPr>
    </w:p>
    <w:p w:rsidR="00BE3659" w:rsidRPr="008F748C" w:rsidRDefault="00BE3659" w:rsidP="00254997">
      <w:pPr>
        <w:pStyle w:val="DecisionParagraphs"/>
        <w:rPr>
          <w:spacing w:val="-2"/>
          <w:lang w:val="es-419"/>
        </w:rPr>
      </w:pPr>
      <w:r w:rsidRPr="008F748C">
        <w:rPr>
          <w:lang w:val="es-419"/>
        </w:rPr>
        <w:fldChar w:fldCharType="begin"/>
      </w:r>
      <w:r w:rsidRPr="008F748C">
        <w:rPr>
          <w:lang w:val="es-419"/>
        </w:rPr>
        <w:instrText xml:space="preserve"> AUTONUM  </w:instrText>
      </w:r>
      <w:r w:rsidRPr="008F748C">
        <w:rPr>
          <w:lang w:val="es-419"/>
        </w:rPr>
        <w:fldChar w:fldCharType="end"/>
      </w:r>
      <w:r w:rsidRPr="008F748C">
        <w:rPr>
          <w:lang w:val="es-419"/>
        </w:rPr>
        <w:tab/>
        <w:t>Se invita al Consejo a aprobar la revisión del documento UPOV/INF/22/8 “Programas informáticos y equipos utilizados por los miembros de la Unión” sobre la base del documento UPOV/INF/22/9 Draft 1, a reserva de la aprobación del TC y el CAJ.</w:t>
      </w:r>
    </w:p>
    <w:p w:rsidR="00BE3659" w:rsidRPr="008F748C" w:rsidRDefault="00BE3659" w:rsidP="00BE3659">
      <w:pPr>
        <w:rPr>
          <w:lang w:val="es-419"/>
        </w:rPr>
      </w:pPr>
    </w:p>
    <w:p w:rsidR="00BE3659" w:rsidRPr="008F748C" w:rsidRDefault="00BE3659" w:rsidP="00254997">
      <w:pPr>
        <w:pStyle w:val="Heading2"/>
      </w:pPr>
    </w:p>
    <w:p w:rsidR="00BE3659" w:rsidRPr="008F748C" w:rsidRDefault="00B06733" w:rsidP="00254997">
      <w:pPr>
        <w:pStyle w:val="Heading2"/>
      </w:pPr>
      <w:r w:rsidRPr="008F748C">
        <w:t>UPOV/INF-EXN:  Lista de documentos UPOV/INF-EXN y fechas de última publicación (revisión)</w:t>
      </w:r>
      <w:r w:rsidRPr="008F748C">
        <w:br/>
        <w:t xml:space="preserve">(documento UPOV/INF-EXN/15 Draft 1) </w:t>
      </w:r>
    </w:p>
    <w:p w:rsidR="00BE3659" w:rsidRPr="008F748C" w:rsidRDefault="00BE3659" w:rsidP="00254997">
      <w:pPr>
        <w:rPr>
          <w:lang w:val="es-419"/>
        </w:rPr>
      </w:pPr>
    </w:p>
    <w:p w:rsidR="00BE3659" w:rsidRPr="008F748C" w:rsidRDefault="00BE3659" w:rsidP="00254997">
      <w:pPr>
        <w:rPr>
          <w:lang w:val="es-419"/>
        </w:rPr>
      </w:pPr>
      <w:r w:rsidRPr="008F748C">
        <w:rPr>
          <w:lang w:val="es-419"/>
        </w:rPr>
        <w:fldChar w:fldCharType="begin"/>
      </w:r>
      <w:r w:rsidRPr="008F748C">
        <w:rPr>
          <w:lang w:val="es-419"/>
        </w:rPr>
        <w:instrText xml:space="preserve"> AUTONUM  </w:instrText>
      </w:r>
      <w:r w:rsidRPr="008F748C">
        <w:rPr>
          <w:lang w:val="es-419"/>
        </w:rPr>
        <w:fldChar w:fldCharType="end"/>
      </w:r>
      <w:r w:rsidRPr="008F748C">
        <w:rPr>
          <w:lang w:val="es-419"/>
        </w:rPr>
        <w:tab/>
        <w:t>Junto con los documentos de información que se someterán a la aprobación del Consejo en 2022, se propone aprobar la revisión del documento UPOV/INF</w:t>
      </w:r>
      <w:r w:rsidRPr="008F748C">
        <w:rPr>
          <w:lang w:val="es-419"/>
        </w:rPr>
        <w:noBreakHyphen/>
        <w:t>EXN/15 “Lista de documentos UPOV/INF</w:t>
      </w:r>
      <w:r w:rsidRPr="008F748C">
        <w:rPr>
          <w:lang w:val="es-419"/>
        </w:rPr>
        <w:noBreakHyphen/>
        <w:t>EXN y fechas de última publicación” sobre la base del documento UPOV/INF</w:t>
      </w:r>
      <w:r w:rsidRPr="008F748C">
        <w:rPr>
          <w:lang w:val="es-419"/>
        </w:rPr>
        <w:noBreakHyphen/>
        <w:t>EXN/16 Draft 1.</w:t>
      </w:r>
    </w:p>
    <w:p w:rsidR="00BE3659" w:rsidRPr="008F748C" w:rsidRDefault="00BE3659" w:rsidP="00BE3659">
      <w:pPr>
        <w:rPr>
          <w:lang w:val="es-419"/>
        </w:rPr>
      </w:pPr>
    </w:p>
    <w:p w:rsidR="00BE3659" w:rsidRPr="008F748C" w:rsidRDefault="00BE3659" w:rsidP="00254997">
      <w:pPr>
        <w:pStyle w:val="DecisionParagraphs"/>
        <w:rPr>
          <w:lang w:val="es-419"/>
        </w:rPr>
      </w:pPr>
      <w:r w:rsidRPr="008F748C">
        <w:rPr>
          <w:lang w:val="es-419"/>
        </w:rPr>
        <w:fldChar w:fldCharType="begin"/>
      </w:r>
      <w:r w:rsidRPr="008F748C">
        <w:rPr>
          <w:lang w:val="es-419"/>
        </w:rPr>
        <w:instrText xml:space="preserve"> AUTONUM  </w:instrText>
      </w:r>
      <w:r w:rsidRPr="008F748C">
        <w:rPr>
          <w:lang w:val="es-419"/>
        </w:rPr>
        <w:fldChar w:fldCharType="end"/>
      </w:r>
      <w:r w:rsidRPr="008F748C">
        <w:rPr>
          <w:lang w:val="es-419"/>
        </w:rPr>
        <w:tab/>
        <w:t xml:space="preserve">Se invita al Consejo a aprobar </w:t>
      </w:r>
      <w:r w:rsidRPr="008F748C">
        <w:rPr>
          <w:lang w:val="es-419"/>
        </w:rPr>
        <w:br/>
        <w:t>el documento UPOV/INF-EXN/16 sobre la base del documento UPOV/INF</w:t>
      </w:r>
      <w:r w:rsidRPr="008F748C">
        <w:rPr>
          <w:lang w:val="es-419"/>
        </w:rPr>
        <w:noBreakHyphen/>
        <w:t xml:space="preserve">EXN/16 Draft 1 , a reserva de la aprobación de los documentos en cuestión. </w:t>
      </w:r>
    </w:p>
    <w:p w:rsidR="00BE3659" w:rsidRPr="008F748C" w:rsidRDefault="00BE3659" w:rsidP="00BE3659">
      <w:pPr>
        <w:rPr>
          <w:lang w:val="es-419"/>
        </w:rPr>
      </w:pPr>
    </w:p>
    <w:p w:rsidR="00BE3659" w:rsidRPr="008F748C" w:rsidRDefault="00BE3659" w:rsidP="00BE3659">
      <w:pPr>
        <w:rPr>
          <w:lang w:val="es-419"/>
        </w:rPr>
      </w:pPr>
    </w:p>
    <w:p w:rsidR="00BE3659" w:rsidRPr="008F748C" w:rsidRDefault="00BE3659" w:rsidP="00BE3659">
      <w:pPr>
        <w:rPr>
          <w:lang w:val="es-419"/>
        </w:rPr>
      </w:pPr>
    </w:p>
    <w:p w:rsidR="00BE3659" w:rsidRPr="008F748C" w:rsidRDefault="00BE3659" w:rsidP="00254997">
      <w:pPr>
        <w:pStyle w:val="Heading1"/>
        <w:rPr>
          <w:snapToGrid w:val="0"/>
          <w:lang w:val="es-419"/>
        </w:rPr>
      </w:pPr>
      <w:r w:rsidRPr="008F748C">
        <w:rPr>
          <w:snapToGrid w:val="0"/>
          <w:lang w:val="es-419"/>
        </w:rPr>
        <w:t>Notas Explicativas</w:t>
      </w:r>
    </w:p>
    <w:p w:rsidR="00BE3659" w:rsidRPr="008F748C" w:rsidRDefault="00BE3659" w:rsidP="00BE3659">
      <w:pPr>
        <w:keepNext/>
        <w:rPr>
          <w:snapToGrid w:val="0"/>
          <w:lang w:val="es-419"/>
        </w:rPr>
      </w:pPr>
    </w:p>
    <w:p w:rsidR="00BE3659" w:rsidRPr="008F748C" w:rsidRDefault="00B06733" w:rsidP="00254997">
      <w:pPr>
        <w:pStyle w:val="Heading2"/>
      </w:pPr>
      <w:r w:rsidRPr="008F748C">
        <w:t>UPOV/EXN/DEN: Notas explicativas sobre las denominaciones de variedades con arreglo al Convenio de la UPOV (revisión) (documento C/56/3, Anexo I)</w:t>
      </w:r>
    </w:p>
    <w:p w:rsidR="00BE3659" w:rsidRPr="008F748C" w:rsidRDefault="00BE3659" w:rsidP="00BE3659">
      <w:pPr>
        <w:rPr>
          <w:strike/>
          <w:snapToGrid w:val="0"/>
          <w:lang w:val="es-419"/>
        </w:rPr>
      </w:pPr>
    </w:p>
    <w:p w:rsidR="00632A44" w:rsidRPr="008F748C" w:rsidRDefault="00632A44" w:rsidP="00254997">
      <w:pPr>
        <w:rPr>
          <w:lang w:val="es-419"/>
        </w:rPr>
      </w:pPr>
      <w:r w:rsidRPr="008F748C">
        <w:rPr>
          <w:lang w:val="es-419"/>
        </w:rPr>
        <w:fldChar w:fldCharType="begin"/>
      </w:r>
      <w:r w:rsidRPr="008F748C">
        <w:rPr>
          <w:lang w:val="es-419"/>
        </w:rPr>
        <w:instrText xml:space="preserve"> AUTONUM  </w:instrText>
      </w:r>
      <w:r w:rsidRPr="008F748C">
        <w:rPr>
          <w:lang w:val="es-419"/>
        </w:rPr>
        <w:fldChar w:fldCharType="end"/>
      </w:r>
      <w:r w:rsidRPr="008F748C">
        <w:rPr>
          <w:lang w:val="es-419"/>
        </w:rPr>
        <w:tab/>
        <w:t xml:space="preserve">Se invitará al CAJ a acordar las propuestas de revisión del documento </w:t>
      </w:r>
      <w:r w:rsidR="00254997">
        <w:rPr>
          <w:lang w:val="es-419"/>
        </w:rPr>
        <w:t>UPOV/EXN/DEN/1</w:t>
      </w:r>
      <w:r w:rsidR="00254997">
        <w:rPr>
          <w:lang w:val="es-419"/>
        </w:rPr>
        <w:br/>
      </w:r>
      <w:r w:rsidRPr="008F748C">
        <w:rPr>
          <w:lang w:val="es-419"/>
        </w:rPr>
        <w:t>“Notas explicativas sobre las denominaciones de variedades con arreglo al Convenio de la UPOV”, que figuran en el Anexo I del presente documento.</w:t>
      </w:r>
    </w:p>
    <w:p w:rsidR="00632A44" w:rsidRPr="008F748C" w:rsidRDefault="00632A44" w:rsidP="00632A44">
      <w:pPr>
        <w:keepNext/>
        <w:rPr>
          <w:lang w:val="es-419"/>
        </w:rPr>
      </w:pPr>
    </w:p>
    <w:p w:rsidR="00632A44" w:rsidRPr="008F748C" w:rsidRDefault="00632A44" w:rsidP="00254997">
      <w:pPr>
        <w:pStyle w:val="DecisionParagraphs"/>
        <w:rPr>
          <w:spacing w:val="-2"/>
          <w:lang w:val="es-419"/>
        </w:rPr>
      </w:pPr>
      <w:r w:rsidRPr="008F748C">
        <w:rPr>
          <w:lang w:val="es-419"/>
        </w:rPr>
        <w:fldChar w:fldCharType="begin"/>
      </w:r>
      <w:r w:rsidRPr="008F748C">
        <w:rPr>
          <w:lang w:val="es-419"/>
        </w:rPr>
        <w:instrText xml:space="preserve"> AUTONUM  </w:instrText>
      </w:r>
      <w:r w:rsidRPr="008F748C">
        <w:rPr>
          <w:lang w:val="es-419"/>
        </w:rPr>
        <w:fldChar w:fldCharType="end"/>
      </w:r>
      <w:r w:rsidRPr="008F748C">
        <w:rPr>
          <w:lang w:val="es-419"/>
        </w:rPr>
        <w:tab/>
        <w:t xml:space="preserve">Se invita al Consejo a aprobar una revisión del documento UPOV/EXN/DEN/1, "Notas explicativas sobre las denominaciones de variedades con arreglo al Convenio de la UPOV", sobre la base de las </w:t>
      </w:r>
      <w:r w:rsidRPr="008F748C">
        <w:rPr>
          <w:lang w:val="es-419"/>
        </w:rPr>
        <w:lastRenderedPageBreak/>
        <w:t>modificaciones propuestas y que figuran en el Anexo I del presente documento, a reserva de la aprobación del CAJ.</w:t>
      </w:r>
    </w:p>
    <w:p w:rsidR="00CC04F2" w:rsidRPr="008F748C" w:rsidRDefault="00CC04F2" w:rsidP="00632A44">
      <w:pPr>
        <w:ind w:left="1843" w:hanging="1843"/>
        <w:jc w:val="left"/>
        <w:rPr>
          <w:u w:val="single"/>
          <w:lang w:val="es-419"/>
        </w:rPr>
      </w:pPr>
    </w:p>
    <w:p w:rsidR="00CC04F2" w:rsidRPr="008F748C" w:rsidRDefault="00CC04F2" w:rsidP="00632A44">
      <w:pPr>
        <w:ind w:left="1843" w:hanging="1843"/>
        <w:jc w:val="left"/>
        <w:rPr>
          <w:u w:val="single"/>
          <w:lang w:val="es-419"/>
        </w:rPr>
      </w:pPr>
    </w:p>
    <w:p w:rsidR="004D4C36" w:rsidRPr="008F748C" w:rsidRDefault="00632A44" w:rsidP="00254997">
      <w:pPr>
        <w:pStyle w:val="Heading2"/>
      </w:pPr>
      <w:r w:rsidRPr="008F748C">
        <w:t>UPOV/EXN/EDV: Notas explicativas sobre variedades esencialmente derivadas con arreglo al Acta de 1991 del Convenio de la UPOV (revisión) (documentos C/56/9 y UPOV/EXN/EDV/3 Draft 3)</w:t>
      </w:r>
    </w:p>
    <w:p w:rsidR="00BE3659" w:rsidRPr="008F748C" w:rsidRDefault="00BE3659" w:rsidP="008277D0">
      <w:pPr>
        <w:rPr>
          <w:lang w:val="es-419"/>
        </w:rPr>
      </w:pPr>
    </w:p>
    <w:p w:rsidR="00C61CCC" w:rsidRPr="008F748C" w:rsidRDefault="008277D0" w:rsidP="00254997">
      <w:pPr>
        <w:rPr>
          <w:lang w:val="es-419"/>
        </w:rPr>
      </w:pPr>
      <w:r w:rsidRPr="008F748C">
        <w:rPr>
          <w:rFonts w:cs="Arial"/>
          <w:lang w:val="es-419"/>
        </w:rPr>
        <w:fldChar w:fldCharType="begin"/>
      </w:r>
      <w:r w:rsidRPr="008F748C">
        <w:rPr>
          <w:rFonts w:cs="Arial"/>
          <w:lang w:val="es-419"/>
        </w:rPr>
        <w:instrText xml:space="preserve"> AUTONUM  </w:instrText>
      </w:r>
      <w:r w:rsidRPr="008F748C">
        <w:rPr>
          <w:rFonts w:cs="Arial"/>
          <w:lang w:val="es-419"/>
        </w:rPr>
        <w:fldChar w:fldCharType="end"/>
      </w:r>
      <w:r w:rsidRPr="008F748C">
        <w:rPr>
          <w:lang w:val="es-419"/>
        </w:rPr>
        <w:tab/>
        <w:t>El documento C/56/9 “Notas explicativas sobre variedades esencialmente derivadas con arreglo al Acta de 1991 del Convenio de la UPOV” proporciona información para ayudar al Consejo a examinar la revisión del documento UPOV/EXN/EDV2 (UPOV/EXN/EDV/3 Draft 3).</w:t>
      </w:r>
      <w:r w:rsidRPr="008F748C">
        <w:rPr>
          <w:lang w:val="es-419"/>
        </w:rPr>
        <w:tab/>
      </w:r>
    </w:p>
    <w:p w:rsidR="00C61CCC" w:rsidRPr="008F748C" w:rsidRDefault="00C61CCC" w:rsidP="004F5CE1">
      <w:pPr>
        <w:pStyle w:val="DecisionParagraphs"/>
        <w:rPr>
          <w:lang w:val="es-419"/>
        </w:rPr>
      </w:pPr>
    </w:p>
    <w:p w:rsidR="00CC04F2" w:rsidRPr="00254997" w:rsidRDefault="00C61CCC" w:rsidP="00254997">
      <w:pPr>
        <w:pStyle w:val="DecisionParagraphs"/>
      </w:pPr>
      <w:r w:rsidRPr="00254997">
        <w:fldChar w:fldCharType="begin"/>
      </w:r>
      <w:r w:rsidRPr="00254997">
        <w:instrText xml:space="preserve"> AUTONUM  </w:instrText>
      </w:r>
      <w:r w:rsidRPr="00254997">
        <w:fldChar w:fldCharType="end"/>
      </w:r>
      <w:r w:rsidRPr="00254997">
        <w:tab/>
        <w:t xml:space="preserve">Se invita al Consejo a tomar nota de que el documento C/56/9 proporciona información para ayudarlo a examinar la revisión del documento UPOV/EXN/EDV2 (UPOV/EXN/EDV/3 </w:t>
      </w:r>
      <w:proofErr w:type="spellStart"/>
      <w:r w:rsidRPr="00254997">
        <w:t>Draft</w:t>
      </w:r>
      <w:proofErr w:type="spellEnd"/>
      <w:r w:rsidRPr="00254997">
        <w:t xml:space="preserve"> 3).</w:t>
      </w:r>
    </w:p>
    <w:p w:rsidR="00CC04F2" w:rsidRPr="008F748C" w:rsidRDefault="00CC04F2" w:rsidP="008277D0">
      <w:pPr>
        <w:outlineLvl w:val="0"/>
        <w:rPr>
          <w:caps/>
          <w:snapToGrid w:val="0"/>
          <w:lang w:val="es-419"/>
        </w:rPr>
      </w:pPr>
    </w:p>
    <w:p w:rsidR="00BE3659" w:rsidRPr="008F748C" w:rsidRDefault="00BE3659" w:rsidP="00254997">
      <w:pPr>
        <w:pStyle w:val="Heading1"/>
        <w:rPr>
          <w:snapToGrid w:val="0"/>
          <w:lang w:val="es-419"/>
        </w:rPr>
      </w:pPr>
      <w:r w:rsidRPr="008F748C">
        <w:rPr>
          <w:snapToGrid w:val="0"/>
          <w:lang w:val="es-419"/>
        </w:rPr>
        <w:t>Documentos TGP</w:t>
      </w:r>
    </w:p>
    <w:p w:rsidR="00BE3659" w:rsidRPr="008F748C" w:rsidRDefault="00BE3659" w:rsidP="00BE3659">
      <w:pPr>
        <w:keepNext/>
        <w:rPr>
          <w:lang w:val="es-419"/>
        </w:rPr>
      </w:pPr>
    </w:p>
    <w:p w:rsidR="00BE3659" w:rsidRPr="008F748C" w:rsidRDefault="008277D0" w:rsidP="00254997">
      <w:pPr>
        <w:pStyle w:val="Heading2"/>
      </w:pPr>
      <w:r w:rsidRPr="008F748C">
        <w:t xml:space="preserve">TGP/5: Experiencia y cooperación en el examen DHE, sección 6: Informe de la UPOV sobre el examen técnico y Formulario UPOV para la descripción de variedades (revisión) (documento TGP/5: Sección 6/4 Draft 1) </w:t>
      </w:r>
    </w:p>
    <w:p w:rsidR="00BE3659" w:rsidRPr="008F748C" w:rsidRDefault="00BE3659" w:rsidP="00BE3659">
      <w:pPr>
        <w:keepNext/>
        <w:jc w:val="left"/>
        <w:rPr>
          <w:u w:val="single"/>
          <w:lang w:val="es-419"/>
        </w:rPr>
      </w:pPr>
    </w:p>
    <w:p w:rsidR="008277D0" w:rsidRPr="008F748C" w:rsidRDefault="008277D0" w:rsidP="00254997">
      <w:pPr>
        <w:rPr>
          <w:lang w:val="es-419"/>
        </w:rPr>
      </w:pPr>
      <w:r w:rsidRPr="008F748C">
        <w:rPr>
          <w:lang w:val="es-419"/>
        </w:rPr>
        <w:fldChar w:fldCharType="begin"/>
      </w:r>
      <w:r w:rsidRPr="008F748C">
        <w:rPr>
          <w:lang w:val="es-419"/>
        </w:rPr>
        <w:instrText xml:space="preserve"> AUTONUM  </w:instrText>
      </w:r>
      <w:r w:rsidRPr="008F748C">
        <w:rPr>
          <w:lang w:val="es-419"/>
        </w:rPr>
        <w:fldChar w:fldCharType="end"/>
      </w:r>
      <w:r w:rsidRPr="008F748C">
        <w:rPr>
          <w:lang w:val="es-419"/>
        </w:rPr>
        <w:tab/>
        <w:t>Se invitará al TC y al CAJ a acordar las propuestas de revisión de la sección 6 “Informe de la UPOV sobre el examen técnico y Formulario UPOV para la descripción de variedades” del documento TGP/5 “Experiencia y cooperación en el examen DHE”, según figuran en el documento TGP/5: Sección 6/4 Draft 1.</w:t>
      </w:r>
    </w:p>
    <w:p w:rsidR="008277D0" w:rsidRPr="008F748C" w:rsidRDefault="008277D0" w:rsidP="00254997">
      <w:pPr>
        <w:rPr>
          <w:lang w:val="es-419"/>
        </w:rPr>
      </w:pPr>
    </w:p>
    <w:p w:rsidR="008277D0" w:rsidRPr="008F748C" w:rsidRDefault="008277D0" w:rsidP="00254997">
      <w:pPr>
        <w:pStyle w:val="DecisionParagraphs"/>
        <w:rPr>
          <w:spacing w:val="-2"/>
          <w:lang w:val="es-419"/>
        </w:rPr>
      </w:pPr>
      <w:r w:rsidRPr="008F748C">
        <w:rPr>
          <w:lang w:val="es-419"/>
        </w:rPr>
        <w:fldChar w:fldCharType="begin"/>
      </w:r>
      <w:r w:rsidRPr="008F748C">
        <w:rPr>
          <w:lang w:val="es-419"/>
        </w:rPr>
        <w:instrText xml:space="preserve"> AUTONUM  </w:instrText>
      </w:r>
      <w:r w:rsidRPr="008F748C">
        <w:rPr>
          <w:lang w:val="es-419"/>
        </w:rPr>
        <w:fldChar w:fldCharType="end"/>
      </w:r>
      <w:r w:rsidRPr="008F748C">
        <w:rPr>
          <w:lang w:val="es-419"/>
        </w:rPr>
        <w:tab/>
        <w:t>Se invita al Consejo a aprobar la revisión de la sección 6/3 “Informe de la UPOV sobre el examen técnico y Formulario UPOV para la descripción de variedades” del documento TGP/5 “Experiencia y cooperación en el examen DHE”, sobre la base del documento TGP/5: Sección 6/4 Draft 1, a reserva de la aprobación del TC y el CAJ.</w:t>
      </w:r>
    </w:p>
    <w:p w:rsidR="00BE3659" w:rsidRPr="008F748C" w:rsidRDefault="00BE3659" w:rsidP="00BE3659">
      <w:pPr>
        <w:jc w:val="left"/>
        <w:rPr>
          <w:bCs/>
          <w:snapToGrid w:val="0"/>
          <w:szCs w:val="24"/>
          <w:u w:val="single"/>
          <w:lang w:val="es-419"/>
        </w:rPr>
      </w:pPr>
    </w:p>
    <w:p w:rsidR="004D4C36" w:rsidRPr="008F748C" w:rsidRDefault="004D4C36" w:rsidP="00BE3659">
      <w:pPr>
        <w:jc w:val="left"/>
        <w:rPr>
          <w:bCs/>
          <w:snapToGrid w:val="0"/>
          <w:szCs w:val="24"/>
          <w:u w:val="single"/>
          <w:lang w:val="es-419"/>
        </w:rPr>
      </w:pPr>
    </w:p>
    <w:p w:rsidR="004D4C36" w:rsidRPr="008F748C" w:rsidRDefault="00DF1DE6" w:rsidP="00254997">
      <w:pPr>
        <w:pStyle w:val="Heading2"/>
        <w:rPr>
          <w:rFonts w:cs="Arial"/>
        </w:rPr>
      </w:pPr>
      <w:r w:rsidRPr="008F748C">
        <w:t>TGP/8: Diseño de ensayos y técnicas utilizados en el examen de la distinción, la homogeneidad y la estabilidad (revisión) (documento C/56/3, Anexo II)</w:t>
      </w:r>
    </w:p>
    <w:p w:rsidR="004D4C36" w:rsidRPr="008F748C" w:rsidRDefault="004D4C36" w:rsidP="00254997">
      <w:pPr>
        <w:pStyle w:val="Heading2"/>
      </w:pPr>
    </w:p>
    <w:p w:rsidR="00D0044C" w:rsidRPr="008F748C" w:rsidRDefault="00DF1DE6" w:rsidP="00254997">
      <w:pPr>
        <w:rPr>
          <w:lang w:val="es-419"/>
        </w:rPr>
      </w:pPr>
      <w:r w:rsidRPr="008F748C">
        <w:rPr>
          <w:rFonts w:cs="Arial"/>
          <w:lang w:val="es-419"/>
        </w:rPr>
        <w:fldChar w:fldCharType="begin"/>
      </w:r>
      <w:r w:rsidRPr="008F748C">
        <w:rPr>
          <w:rFonts w:cs="Arial"/>
          <w:lang w:val="es-419"/>
        </w:rPr>
        <w:instrText xml:space="preserve"> AUTONUM  </w:instrText>
      </w:r>
      <w:r w:rsidRPr="008F748C">
        <w:rPr>
          <w:rFonts w:cs="Arial"/>
          <w:lang w:val="es-419"/>
        </w:rPr>
        <w:fldChar w:fldCharType="end"/>
      </w:r>
      <w:r w:rsidRPr="008F748C">
        <w:rPr>
          <w:lang w:val="es-419"/>
        </w:rPr>
        <w:tab/>
        <w:t xml:space="preserve">Se invitará al CAJ a acordar la propuesta del TC de modificar el documento TGP/8/4 “Diseño de ensayos y técnicas utilizados en el examen de la distinción, la homogeneidad y la estabilidad”, según figura en el Anexo II del presente documento. </w:t>
      </w:r>
    </w:p>
    <w:p w:rsidR="00D0044C" w:rsidRPr="008F748C" w:rsidRDefault="00D0044C" w:rsidP="00254997">
      <w:pPr>
        <w:rPr>
          <w:lang w:val="es-419"/>
        </w:rPr>
      </w:pPr>
    </w:p>
    <w:p w:rsidR="00DF1DE6" w:rsidRPr="008F748C" w:rsidRDefault="00DF1DE6" w:rsidP="00DF1DE6">
      <w:pPr>
        <w:rPr>
          <w:lang w:val="es-419"/>
        </w:rPr>
      </w:pPr>
    </w:p>
    <w:p w:rsidR="00D0044C" w:rsidRPr="00254997" w:rsidRDefault="00D0044C" w:rsidP="00254997">
      <w:pPr>
        <w:pStyle w:val="DecisionParagraphs"/>
      </w:pPr>
      <w:r w:rsidRPr="00254997">
        <w:fldChar w:fldCharType="begin"/>
      </w:r>
      <w:r w:rsidRPr="00254997">
        <w:instrText xml:space="preserve"> AUTONUM  </w:instrText>
      </w:r>
      <w:r w:rsidRPr="00254997">
        <w:fldChar w:fldCharType="end"/>
      </w:r>
      <w:r w:rsidRPr="00254997">
        <w:tab/>
        <w:t>Se invita al Consejo a aprobar la revisión del documento TGP/8/4 “Diseño de ensayos y técnicas utilizados en el examen de la distinción, la homogeneidad y la estabilidad”, según figura en el Anexo II del presente documento, a reserva de la aprobación del CAJ.</w:t>
      </w:r>
    </w:p>
    <w:p w:rsidR="00D0044C" w:rsidRPr="008F748C" w:rsidRDefault="00D0044C" w:rsidP="00D0044C">
      <w:pPr>
        <w:pStyle w:val="DecisionParagraphs"/>
        <w:rPr>
          <w:lang w:val="es-419"/>
        </w:rPr>
      </w:pPr>
    </w:p>
    <w:p w:rsidR="004D4C36" w:rsidRPr="008F748C" w:rsidRDefault="004D4C36" w:rsidP="00DF1DE6">
      <w:pPr>
        <w:rPr>
          <w:lang w:val="es-419"/>
        </w:rPr>
      </w:pPr>
    </w:p>
    <w:p w:rsidR="00DF1DE6" w:rsidRPr="008F748C" w:rsidRDefault="00DF1DE6" w:rsidP="00DF1DE6">
      <w:pPr>
        <w:rPr>
          <w:lang w:val="es-419"/>
        </w:rPr>
      </w:pPr>
    </w:p>
    <w:p w:rsidR="004D4C36" w:rsidRPr="008F748C" w:rsidRDefault="004D4C36" w:rsidP="00254997">
      <w:pPr>
        <w:pStyle w:val="Heading2"/>
      </w:pPr>
      <w:r w:rsidRPr="008F748C">
        <w:t>TGP/12: Orientación sobre ciertos caracteres fisiológicos (revisión) (documento C/56/3, Anexo III)</w:t>
      </w:r>
    </w:p>
    <w:p w:rsidR="004D4C36" w:rsidRPr="008F748C" w:rsidRDefault="004D4C36" w:rsidP="004D4C36">
      <w:pPr>
        <w:jc w:val="left"/>
        <w:rPr>
          <w:lang w:val="es-419"/>
        </w:rPr>
      </w:pPr>
    </w:p>
    <w:p w:rsidR="00DF1DE6" w:rsidRPr="008F748C" w:rsidRDefault="00D05685" w:rsidP="00254997">
      <w:pPr>
        <w:rPr>
          <w:lang w:val="es-419"/>
        </w:rPr>
      </w:pPr>
      <w:r w:rsidRPr="008F748C">
        <w:rPr>
          <w:lang w:val="es-419"/>
        </w:rPr>
        <w:fldChar w:fldCharType="begin"/>
      </w:r>
      <w:r w:rsidRPr="008F748C">
        <w:rPr>
          <w:lang w:val="es-419"/>
        </w:rPr>
        <w:instrText xml:space="preserve"> AUTONUM  </w:instrText>
      </w:r>
      <w:r w:rsidRPr="008F748C">
        <w:rPr>
          <w:lang w:val="es-419"/>
        </w:rPr>
        <w:fldChar w:fldCharType="end"/>
      </w:r>
      <w:r w:rsidRPr="008F748C">
        <w:rPr>
          <w:lang w:val="es-419"/>
        </w:rPr>
        <w:tab/>
        <w:t xml:space="preserve">Se invitará al CAJ a acordar la propuesta del TC de modificar el documento TGP/12/2 </w:t>
      </w:r>
      <w:r w:rsidR="00254997">
        <w:rPr>
          <w:lang w:val="es-419"/>
        </w:rPr>
        <w:br/>
      </w:r>
      <w:r w:rsidRPr="008F748C">
        <w:rPr>
          <w:lang w:val="es-419"/>
        </w:rPr>
        <w:t xml:space="preserve">“Orientación sobre ciertos caracteres fisiológicos”, según figura en el Anexo III del presente documento. </w:t>
      </w:r>
    </w:p>
    <w:p w:rsidR="00D05685" w:rsidRPr="008F748C" w:rsidRDefault="00D05685" w:rsidP="00D05685">
      <w:pPr>
        <w:keepNext/>
        <w:rPr>
          <w:lang w:val="es-419"/>
        </w:rPr>
      </w:pPr>
    </w:p>
    <w:p w:rsidR="00D05685" w:rsidRPr="008F748C" w:rsidRDefault="00D05685" w:rsidP="00D05685">
      <w:pPr>
        <w:keepNext/>
        <w:rPr>
          <w:lang w:val="es-419"/>
        </w:rPr>
      </w:pPr>
    </w:p>
    <w:p w:rsidR="00DF1DE6" w:rsidRPr="00254997" w:rsidRDefault="00DF1DE6" w:rsidP="00254997">
      <w:pPr>
        <w:pStyle w:val="DecisionParagraphs"/>
      </w:pPr>
      <w:r w:rsidRPr="00254997">
        <w:fldChar w:fldCharType="begin"/>
      </w:r>
      <w:r w:rsidRPr="00254997">
        <w:instrText xml:space="preserve"> AUTONUM  </w:instrText>
      </w:r>
      <w:r w:rsidRPr="00254997">
        <w:fldChar w:fldCharType="end"/>
      </w:r>
      <w:r w:rsidRPr="00254997">
        <w:tab/>
        <w:t xml:space="preserve">Se invita al Consejo a aprobar la revisión del documento TGP/12/2 “Orientación sobre ciertos caracteres fisiológicos”, según figura en el Anexo III del </w:t>
      </w:r>
      <w:r w:rsidRPr="00254997">
        <w:lastRenderedPageBreak/>
        <w:t>presente documento, a reserva de la aprobación del CAJ.</w:t>
      </w:r>
    </w:p>
    <w:p w:rsidR="00D05685" w:rsidRPr="00254997" w:rsidRDefault="00D05685" w:rsidP="00254997">
      <w:pPr>
        <w:pStyle w:val="DecisionParagraphs"/>
        <w:rPr>
          <w:highlight w:val="yellow"/>
        </w:rPr>
      </w:pPr>
    </w:p>
    <w:p w:rsidR="00DF1DE6" w:rsidRPr="008F748C" w:rsidRDefault="00DF1DE6" w:rsidP="00DF1DE6">
      <w:pPr>
        <w:rPr>
          <w:highlight w:val="yellow"/>
          <w:lang w:val="es-419"/>
        </w:rPr>
      </w:pPr>
    </w:p>
    <w:p w:rsidR="00BE3659" w:rsidRPr="00254997" w:rsidRDefault="00DF1DE6" w:rsidP="00254997">
      <w:pPr>
        <w:pStyle w:val="Heading2"/>
      </w:pPr>
      <w:r w:rsidRPr="00254997">
        <w:t xml:space="preserve">TGP/0: Lista de documentos TGP y fechas de última publicación (Revisión) (documento TGP/0/14 </w:t>
      </w:r>
      <w:proofErr w:type="spellStart"/>
      <w:r w:rsidRPr="00254997">
        <w:t>Draft</w:t>
      </w:r>
      <w:proofErr w:type="spellEnd"/>
      <w:r w:rsidRPr="00254997">
        <w:t xml:space="preserve"> 1) </w:t>
      </w:r>
    </w:p>
    <w:p w:rsidR="00BE3659" w:rsidRPr="008F748C" w:rsidRDefault="00BE3659" w:rsidP="00254997">
      <w:pPr>
        <w:rPr>
          <w:lang w:val="es-419"/>
        </w:rPr>
      </w:pPr>
    </w:p>
    <w:p w:rsidR="00BE3659" w:rsidRPr="008F748C" w:rsidRDefault="00BE3659" w:rsidP="00254997">
      <w:pPr>
        <w:rPr>
          <w:rFonts w:cs="Arial"/>
          <w:lang w:val="es-419"/>
        </w:rPr>
      </w:pPr>
      <w:r w:rsidRPr="008F748C">
        <w:rPr>
          <w:lang w:val="es-419"/>
        </w:rPr>
        <w:fldChar w:fldCharType="begin"/>
      </w:r>
      <w:r w:rsidRPr="008F748C">
        <w:rPr>
          <w:lang w:val="es-419"/>
        </w:rPr>
        <w:instrText xml:space="preserve"> AUTONUM  </w:instrText>
      </w:r>
      <w:r w:rsidRPr="008F748C">
        <w:rPr>
          <w:lang w:val="es-419"/>
        </w:rPr>
        <w:fldChar w:fldCharType="end"/>
      </w:r>
      <w:r w:rsidRPr="008F748C">
        <w:rPr>
          <w:lang w:val="es-419"/>
        </w:rPr>
        <w:tab/>
        <w:t>Se invita al Consejo a aprobar en 2022, junto con los documentos TGP revisados, la revisión del documento TGP/0 “Lista de documentos TGP y fechas de última publicación” (documento TGP/0/13) sobre la base del documento TGP/0/14 Draft 1.</w:t>
      </w:r>
    </w:p>
    <w:p w:rsidR="00BE3659" w:rsidRPr="008F748C" w:rsidRDefault="00BE3659" w:rsidP="00BE3659">
      <w:pPr>
        <w:rPr>
          <w:lang w:val="es-419"/>
        </w:rPr>
      </w:pPr>
    </w:p>
    <w:p w:rsidR="00BE3659" w:rsidRPr="00254997" w:rsidRDefault="00BE3659" w:rsidP="00254997">
      <w:pPr>
        <w:pStyle w:val="DecisionParagraphs"/>
      </w:pPr>
      <w:r w:rsidRPr="00254997">
        <w:fldChar w:fldCharType="begin"/>
      </w:r>
      <w:r w:rsidRPr="00254997">
        <w:instrText xml:space="preserve"> AUTONUM  </w:instrText>
      </w:r>
      <w:r w:rsidRPr="00254997">
        <w:fldChar w:fldCharType="end"/>
      </w:r>
      <w:r w:rsidRPr="00254997">
        <w:tab/>
        <w:t xml:space="preserve">Se invita al Consejo a aprobar el </w:t>
      </w:r>
      <w:r w:rsidR="00254997" w:rsidRPr="00254997">
        <w:br/>
      </w:r>
      <w:r w:rsidRPr="00254997">
        <w:t xml:space="preserve">documento TGP/0/14 </w:t>
      </w:r>
      <w:proofErr w:type="spellStart"/>
      <w:r w:rsidRPr="00254997">
        <w:t>Draft</w:t>
      </w:r>
      <w:proofErr w:type="spellEnd"/>
      <w:r w:rsidRPr="00254997">
        <w:t xml:space="preserve"> 1 “Lista de documentos TGP y fechas de última publicación”, a reserva de la aprobación de los documentos en cuestión. </w:t>
      </w:r>
    </w:p>
    <w:p w:rsidR="00BE3659" w:rsidRDefault="00BE3659" w:rsidP="00BE3659">
      <w:pPr>
        <w:rPr>
          <w:lang w:val="es-419"/>
        </w:rPr>
      </w:pPr>
    </w:p>
    <w:p w:rsidR="00254997" w:rsidRPr="008F748C" w:rsidRDefault="00254997" w:rsidP="00BE3659">
      <w:pPr>
        <w:rPr>
          <w:lang w:val="es-419"/>
        </w:rPr>
      </w:pPr>
    </w:p>
    <w:p w:rsidR="00E156CD" w:rsidRDefault="00BE3659" w:rsidP="00056167">
      <w:pPr>
        <w:jc w:val="right"/>
        <w:rPr>
          <w:lang w:val="es-419"/>
        </w:rPr>
      </w:pPr>
      <w:r w:rsidRPr="008F748C">
        <w:rPr>
          <w:lang w:val="es-419"/>
        </w:rPr>
        <w:t>[Siguen los Anexos]</w:t>
      </w:r>
    </w:p>
    <w:p w:rsidR="00254997" w:rsidRDefault="00254997" w:rsidP="00056167">
      <w:pPr>
        <w:jc w:val="right"/>
        <w:rPr>
          <w:lang w:val="es-419"/>
        </w:rPr>
      </w:pPr>
    </w:p>
    <w:p w:rsidR="00254997" w:rsidRDefault="00254997" w:rsidP="00056167">
      <w:pPr>
        <w:jc w:val="right"/>
        <w:rPr>
          <w:lang w:val="es-419"/>
        </w:rPr>
        <w:sectPr w:rsidR="00254997" w:rsidSect="00946E1B">
          <w:headerReference w:type="even" r:id="rId9"/>
          <w:headerReference w:type="default" r:id="rId10"/>
          <w:pgSz w:w="11907" w:h="16840" w:code="9"/>
          <w:pgMar w:top="510" w:right="1134" w:bottom="1134" w:left="1134" w:header="510" w:footer="680" w:gutter="0"/>
          <w:pgNumType w:start="1"/>
          <w:cols w:space="720"/>
          <w:titlePg/>
          <w:docGrid w:linePitch="272"/>
        </w:sectPr>
      </w:pPr>
    </w:p>
    <w:p w:rsidR="00254997" w:rsidRPr="006A629A" w:rsidRDefault="00254997" w:rsidP="00254997">
      <w:pPr>
        <w:jc w:val="center"/>
        <w:rPr>
          <w:lang w:val="es-419"/>
        </w:rPr>
      </w:pPr>
      <w:r>
        <w:rPr>
          <w:lang w:val="es-419"/>
        </w:rPr>
        <w:lastRenderedPageBreak/>
        <w:t>C/56/3</w:t>
      </w:r>
    </w:p>
    <w:p w:rsidR="00254997" w:rsidRPr="006A629A" w:rsidRDefault="00254997" w:rsidP="00254997">
      <w:pPr>
        <w:jc w:val="center"/>
        <w:rPr>
          <w:lang w:val="es-419"/>
        </w:rPr>
      </w:pPr>
    </w:p>
    <w:p w:rsidR="00254997" w:rsidRPr="006A629A" w:rsidRDefault="00254997" w:rsidP="00254997">
      <w:pPr>
        <w:jc w:val="center"/>
        <w:rPr>
          <w:lang w:val="es-419"/>
        </w:rPr>
      </w:pPr>
      <w:r w:rsidRPr="006A629A">
        <w:rPr>
          <w:lang w:val="es-419"/>
        </w:rPr>
        <w:t>ANEXO I</w:t>
      </w:r>
    </w:p>
    <w:p w:rsidR="00254997" w:rsidRPr="006A629A" w:rsidRDefault="00254997" w:rsidP="00254997">
      <w:pPr>
        <w:rPr>
          <w:lang w:val="es-419"/>
        </w:rPr>
      </w:pPr>
    </w:p>
    <w:p w:rsidR="00254997" w:rsidRPr="006A629A" w:rsidRDefault="00254997" w:rsidP="00254997">
      <w:pPr>
        <w:rPr>
          <w:lang w:val="es-419"/>
        </w:rPr>
      </w:pPr>
    </w:p>
    <w:p w:rsidR="00254997" w:rsidRPr="006A629A" w:rsidRDefault="00254997" w:rsidP="00254997">
      <w:pPr>
        <w:rPr>
          <w:u w:val="single"/>
          <w:lang w:val="es-419"/>
        </w:rPr>
      </w:pPr>
      <w:r w:rsidRPr="006A629A">
        <w:rPr>
          <w:u w:val="single"/>
          <w:lang w:val="es-419"/>
        </w:rPr>
        <w:t>UPOV/EXN/DEN: Notas explicativas sobre las denominaciones de variedades con arreglo al Convenio de la UPOV (revisión)</w:t>
      </w:r>
    </w:p>
    <w:p w:rsidR="00254997" w:rsidRPr="006A629A" w:rsidRDefault="00254997" w:rsidP="00254997">
      <w:pPr>
        <w:rPr>
          <w:lang w:val="es-419"/>
        </w:rPr>
      </w:pPr>
    </w:p>
    <w:p w:rsidR="00254997" w:rsidRPr="006A629A" w:rsidRDefault="00254997" w:rsidP="00254997">
      <w:pPr>
        <w:rPr>
          <w:i/>
          <w:lang w:val="es-419"/>
        </w:rPr>
      </w:pPr>
      <w:r w:rsidRPr="006A629A">
        <w:rPr>
          <w:i/>
          <w:lang w:val="es-419"/>
        </w:rPr>
        <w:t xml:space="preserve">Revisión de la clase de denominación 201 </w:t>
      </w:r>
    </w:p>
    <w:p w:rsidR="00254997" w:rsidRPr="006A629A" w:rsidRDefault="00254997" w:rsidP="00254997">
      <w:pPr>
        <w:rPr>
          <w:lang w:val="es-419"/>
        </w:rPr>
      </w:pPr>
    </w:p>
    <w:p w:rsidR="00254997" w:rsidRPr="006A629A" w:rsidRDefault="00254997" w:rsidP="00254997">
      <w:pPr>
        <w:rPr>
          <w:lang w:val="es-419"/>
        </w:rPr>
      </w:pPr>
      <w:r w:rsidRPr="006A629A">
        <w:rPr>
          <w:lang w:val="es-419"/>
        </w:rPr>
        <w:t>En su quincuagésima séptima sesión, celebrada por medios electrónicos los días 25 y 26 de octubre de 2021, el TC examinó una propuesta de revisión del Anexo I del documento UPOV/EXN/DEN/1, parte II: “Clases que comprenden más de un género”, y convino en proponer la inclusión del género “× </w:t>
      </w:r>
      <w:proofErr w:type="spellStart"/>
      <w:r w:rsidRPr="006A629A">
        <w:rPr>
          <w:i/>
          <w:iCs/>
          <w:lang w:val="es-419"/>
        </w:rPr>
        <w:t>Trititrigia</w:t>
      </w:r>
      <w:proofErr w:type="spellEnd"/>
      <w:r w:rsidRPr="006A629A">
        <w:rPr>
          <w:i/>
          <w:iCs/>
          <w:lang w:val="es-419"/>
        </w:rPr>
        <w:t>”</w:t>
      </w:r>
      <w:r w:rsidRPr="006A629A">
        <w:rPr>
          <w:lang w:val="es-419"/>
        </w:rPr>
        <w:t xml:space="preserve"> en la clase de denominación de variedades 201, como se indica a continuación (véase el párrafo 34 del documento TC/57/25 “Informe”).</w:t>
      </w:r>
    </w:p>
    <w:p w:rsidR="00254997" w:rsidRPr="006A629A" w:rsidRDefault="00254997" w:rsidP="00254997">
      <w:pPr>
        <w:rPr>
          <w:rFonts w:cs="Arial"/>
          <w:lang w:val="es-419"/>
        </w:rPr>
      </w:pPr>
    </w:p>
    <w:p w:rsidR="00254997" w:rsidRPr="006A629A" w:rsidRDefault="00254997" w:rsidP="00254997">
      <w:pPr>
        <w:jc w:val="center"/>
        <w:rPr>
          <w:lang w:val="es-419"/>
        </w:rPr>
      </w:pPr>
      <w:r w:rsidRPr="006A629A">
        <w:rPr>
          <w:lang w:val="es-419"/>
        </w:rPr>
        <w:t>LISTA DE CLASES (parte II)</w:t>
      </w:r>
    </w:p>
    <w:p w:rsidR="00254997" w:rsidRPr="006A629A" w:rsidRDefault="00254997" w:rsidP="00254997">
      <w:pPr>
        <w:rPr>
          <w:lang w:val="es-419"/>
        </w:rPr>
      </w:pPr>
    </w:p>
    <w:p w:rsidR="00254997" w:rsidRPr="006A629A" w:rsidRDefault="00254997" w:rsidP="00254997">
      <w:pPr>
        <w:jc w:val="center"/>
        <w:rPr>
          <w:i/>
          <w:lang w:val="es-419"/>
        </w:rPr>
      </w:pPr>
      <w:r w:rsidRPr="006A629A">
        <w:rPr>
          <w:i/>
          <w:lang w:val="es-419"/>
        </w:rPr>
        <w:t>Clases que comprenden más de un género</w:t>
      </w:r>
    </w:p>
    <w:p w:rsidR="00254997" w:rsidRPr="006A629A" w:rsidRDefault="00254997" w:rsidP="00254997">
      <w:pPr>
        <w:jc w:val="center"/>
        <w:rPr>
          <w:i/>
          <w:lang w:val="es-419"/>
        </w:rPr>
      </w:pPr>
    </w:p>
    <w:tbl>
      <w:tblPr>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7"/>
        <w:gridCol w:w="4473"/>
        <w:gridCol w:w="4034"/>
      </w:tblGrid>
      <w:tr w:rsidR="00254997" w:rsidRPr="006A629A" w:rsidTr="002002EE">
        <w:trPr>
          <w:cantSplit/>
          <w:tblHeader/>
        </w:trPr>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4997" w:rsidRPr="006A629A" w:rsidRDefault="00254997" w:rsidP="002002EE">
            <w:pPr>
              <w:spacing w:before="40" w:after="40"/>
              <w:jc w:val="left"/>
              <w:rPr>
                <w:sz w:val="18"/>
                <w:szCs w:val="18"/>
                <w:u w:val="single"/>
                <w:lang w:val="es-419"/>
              </w:rPr>
            </w:pPr>
          </w:p>
        </w:tc>
        <w:tc>
          <w:tcPr>
            <w:tcW w:w="4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54997" w:rsidRPr="006A629A" w:rsidRDefault="00254997" w:rsidP="002002EE">
            <w:pPr>
              <w:spacing w:before="40" w:after="40"/>
              <w:jc w:val="center"/>
              <w:rPr>
                <w:sz w:val="18"/>
                <w:szCs w:val="18"/>
                <w:lang w:val="es-419"/>
              </w:rPr>
            </w:pPr>
            <w:r w:rsidRPr="006A629A">
              <w:rPr>
                <w:sz w:val="18"/>
                <w:lang w:val="es-419"/>
              </w:rPr>
              <w:t>Nombre botánico</w:t>
            </w:r>
          </w:p>
        </w:tc>
        <w:tc>
          <w:tcPr>
            <w:tcW w:w="4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54997" w:rsidRPr="006A629A" w:rsidRDefault="00254997" w:rsidP="002002EE">
            <w:pPr>
              <w:spacing w:before="40" w:after="40"/>
              <w:jc w:val="center"/>
              <w:rPr>
                <w:sz w:val="18"/>
                <w:szCs w:val="18"/>
                <w:lang w:val="es-419"/>
              </w:rPr>
            </w:pPr>
            <w:r w:rsidRPr="006A629A">
              <w:rPr>
                <w:sz w:val="18"/>
                <w:lang w:val="es-419"/>
              </w:rPr>
              <w:t>Código UPOV</w:t>
            </w:r>
          </w:p>
        </w:tc>
      </w:tr>
      <w:tr w:rsidR="00254997" w:rsidRPr="006A629A" w:rsidTr="002002EE">
        <w:trPr>
          <w:cantSplit/>
          <w:tblHeader/>
        </w:trPr>
        <w:tc>
          <w:tcPr>
            <w:tcW w:w="1277" w:type="dxa"/>
            <w:tcBorders>
              <w:top w:val="nil"/>
              <w:left w:val="nil"/>
              <w:bottom w:val="nil"/>
              <w:right w:val="nil"/>
            </w:tcBorders>
          </w:tcPr>
          <w:p w:rsidR="00254997" w:rsidRPr="006A629A" w:rsidRDefault="00254997" w:rsidP="002002EE">
            <w:pPr>
              <w:keepNext/>
              <w:spacing w:before="40" w:after="40"/>
              <w:jc w:val="left"/>
              <w:rPr>
                <w:sz w:val="10"/>
                <w:szCs w:val="18"/>
                <w:lang w:val="es-419"/>
              </w:rPr>
            </w:pPr>
          </w:p>
        </w:tc>
        <w:tc>
          <w:tcPr>
            <w:tcW w:w="4473" w:type="dxa"/>
            <w:tcBorders>
              <w:top w:val="nil"/>
              <w:left w:val="nil"/>
              <w:bottom w:val="nil"/>
              <w:right w:val="nil"/>
            </w:tcBorders>
          </w:tcPr>
          <w:p w:rsidR="00254997" w:rsidRPr="006A629A" w:rsidRDefault="00254997" w:rsidP="002002EE">
            <w:pPr>
              <w:keepNext/>
              <w:spacing w:before="40" w:after="40"/>
              <w:jc w:val="left"/>
              <w:rPr>
                <w:sz w:val="10"/>
                <w:szCs w:val="18"/>
                <w:lang w:val="es-419"/>
              </w:rPr>
            </w:pPr>
          </w:p>
        </w:tc>
        <w:tc>
          <w:tcPr>
            <w:tcW w:w="4034" w:type="dxa"/>
            <w:tcBorders>
              <w:top w:val="nil"/>
              <w:left w:val="nil"/>
              <w:bottom w:val="nil"/>
              <w:right w:val="nil"/>
            </w:tcBorders>
          </w:tcPr>
          <w:p w:rsidR="00254997" w:rsidRPr="006A629A" w:rsidRDefault="00254997" w:rsidP="002002EE">
            <w:pPr>
              <w:keepNext/>
              <w:spacing w:before="40" w:after="40"/>
              <w:jc w:val="left"/>
              <w:rPr>
                <w:sz w:val="10"/>
                <w:szCs w:val="18"/>
                <w:lang w:val="es-419"/>
              </w:rPr>
            </w:pPr>
          </w:p>
        </w:tc>
      </w:tr>
      <w:tr w:rsidR="00254997" w:rsidRPr="006A629A" w:rsidTr="002002EE">
        <w:trPr>
          <w:cantSplit/>
        </w:trPr>
        <w:tc>
          <w:tcPr>
            <w:tcW w:w="1277" w:type="dxa"/>
            <w:tcBorders>
              <w:top w:val="single" w:sz="4" w:space="0" w:color="auto"/>
              <w:left w:val="single" w:sz="4" w:space="0" w:color="auto"/>
              <w:bottom w:val="single" w:sz="4" w:space="0" w:color="auto"/>
              <w:right w:val="single" w:sz="4" w:space="0" w:color="auto"/>
            </w:tcBorders>
            <w:hideMark/>
          </w:tcPr>
          <w:p w:rsidR="00254997" w:rsidRPr="006A629A" w:rsidRDefault="00254997" w:rsidP="002002EE">
            <w:pPr>
              <w:spacing w:before="40" w:after="40"/>
              <w:jc w:val="left"/>
              <w:rPr>
                <w:sz w:val="18"/>
                <w:szCs w:val="18"/>
                <w:lang w:val="es-419"/>
              </w:rPr>
            </w:pPr>
            <w:r w:rsidRPr="006A629A">
              <w:rPr>
                <w:sz w:val="18"/>
                <w:lang w:val="es-419"/>
              </w:rPr>
              <w:t>Clase 201</w:t>
            </w:r>
          </w:p>
        </w:tc>
        <w:tc>
          <w:tcPr>
            <w:tcW w:w="4473" w:type="dxa"/>
            <w:tcBorders>
              <w:top w:val="single" w:sz="4" w:space="0" w:color="auto"/>
              <w:left w:val="single" w:sz="4" w:space="0" w:color="auto"/>
              <w:bottom w:val="single" w:sz="4" w:space="0" w:color="auto"/>
              <w:right w:val="single" w:sz="4" w:space="0" w:color="auto"/>
            </w:tcBorders>
            <w:hideMark/>
          </w:tcPr>
          <w:p w:rsidR="00254997" w:rsidRPr="006A629A" w:rsidRDefault="00254997" w:rsidP="002002EE">
            <w:pPr>
              <w:keepNext/>
              <w:spacing w:before="40" w:after="40"/>
              <w:jc w:val="left"/>
              <w:rPr>
                <w:sz w:val="18"/>
                <w:szCs w:val="18"/>
                <w:lang w:val="es-419"/>
              </w:rPr>
            </w:pPr>
            <w:proofErr w:type="spellStart"/>
            <w:r w:rsidRPr="006A629A">
              <w:rPr>
                <w:i/>
                <w:sz w:val="18"/>
                <w:lang w:val="es-419"/>
              </w:rPr>
              <w:t>Secale</w:t>
            </w:r>
            <w:proofErr w:type="spellEnd"/>
            <w:r w:rsidRPr="006A629A">
              <w:rPr>
                <w:sz w:val="18"/>
                <w:lang w:val="es-419"/>
              </w:rPr>
              <w:t xml:space="preserve">, </w:t>
            </w:r>
            <w:proofErr w:type="spellStart"/>
            <w:r w:rsidRPr="006A629A">
              <w:rPr>
                <w:i/>
                <w:sz w:val="18"/>
                <w:lang w:val="es-419"/>
              </w:rPr>
              <w:t>Triticale</w:t>
            </w:r>
            <w:proofErr w:type="spellEnd"/>
            <w:r w:rsidRPr="006A629A">
              <w:rPr>
                <w:sz w:val="18"/>
                <w:lang w:val="es-419"/>
              </w:rPr>
              <w:t xml:space="preserve">, </w:t>
            </w:r>
            <w:proofErr w:type="spellStart"/>
            <w:r w:rsidRPr="006A629A">
              <w:rPr>
                <w:i/>
                <w:sz w:val="18"/>
                <w:lang w:val="es-419"/>
              </w:rPr>
              <w:t>Triticum</w:t>
            </w:r>
            <w:proofErr w:type="spellEnd"/>
            <w:r w:rsidRPr="006A629A">
              <w:rPr>
                <w:i/>
                <w:sz w:val="18"/>
                <w:lang w:val="es-419"/>
              </w:rPr>
              <w:t xml:space="preserve">, </w:t>
            </w:r>
            <w:r w:rsidRPr="0013205F">
              <w:rPr>
                <w:sz w:val="18"/>
                <w:highlight w:val="lightGray"/>
                <w:u w:val="single"/>
                <w:lang w:val="es-419"/>
              </w:rPr>
              <w:t>×</w:t>
            </w:r>
            <w:proofErr w:type="spellStart"/>
            <w:r w:rsidRPr="0013205F">
              <w:rPr>
                <w:i/>
                <w:sz w:val="18"/>
                <w:highlight w:val="lightGray"/>
                <w:u w:val="single"/>
                <w:lang w:val="es-419"/>
              </w:rPr>
              <w:t>Trititrigia</w:t>
            </w:r>
            <w:proofErr w:type="spellEnd"/>
          </w:p>
        </w:tc>
        <w:tc>
          <w:tcPr>
            <w:tcW w:w="4034" w:type="dxa"/>
            <w:tcBorders>
              <w:top w:val="single" w:sz="4" w:space="0" w:color="auto"/>
              <w:left w:val="single" w:sz="4" w:space="0" w:color="auto"/>
              <w:bottom w:val="single" w:sz="4" w:space="0" w:color="auto"/>
              <w:right w:val="single" w:sz="4" w:space="0" w:color="auto"/>
            </w:tcBorders>
            <w:hideMark/>
          </w:tcPr>
          <w:p w:rsidR="00254997" w:rsidRPr="006A629A" w:rsidRDefault="00254997" w:rsidP="002002EE">
            <w:pPr>
              <w:keepNext/>
              <w:spacing w:before="40" w:after="40"/>
              <w:jc w:val="left"/>
              <w:rPr>
                <w:sz w:val="18"/>
                <w:szCs w:val="18"/>
                <w:lang w:val="es-419"/>
              </w:rPr>
            </w:pPr>
            <w:r w:rsidRPr="006A629A">
              <w:rPr>
                <w:sz w:val="18"/>
                <w:lang w:val="es-419"/>
              </w:rPr>
              <w:t xml:space="preserve">SECAL; TRITL; TRITI; </w:t>
            </w:r>
            <w:r w:rsidRPr="0013205F">
              <w:rPr>
                <w:sz w:val="18"/>
                <w:highlight w:val="lightGray"/>
                <w:u w:val="single"/>
                <w:lang w:val="es-419"/>
              </w:rPr>
              <w:t>TRITT</w:t>
            </w:r>
          </w:p>
        </w:tc>
      </w:tr>
    </w:tbl>
    <w:p w:rsidR="00254997" w:rsidRPr="006A629A" w:rsidRDefault="00254997" w:rsidP="00254997">
      <w:pPr>
        <w:ind w:left="1134" w:hanging="567"/>
        <w:rPr>
          <w:lang w:val="es-419"/>
        </w:rPr>
      </w:pPr>
    </w:p>
    <w:p w:rsidR="00254997" w:rsidRPr="006A629A" w:rsidRDefault="00254997" w:rsidP="00254997">
      <w:pPr>
        <w:ind w:left="-142" w:right="312"/>
        <w:jc w:val="right"/>
        <w:rPr>
          <w:lang w:val="es-419"/>
        </w:rPr>
      </w:pPr>
    </w:p>
    <w:p w:rsidR="00254997" w:rsidRPr="006A629A" w:rsidRDefault="00254997" w:rsidP="00254997">
      <w:pPr>
        <w:jc w:val="left"/>
        <w:rPr>
          <w:lang w:val="es-419"/>
        </w:rPr>
      </w:pPr>
    </w:p>
    <w:p w:rsidR="00254997" w:rsidRPr="006A629A" w:rsidRDefault="00254997" w:rsidP="00254997">
      <w:pPr>
        <w:jc w:val="left"/>
        <w:rPr>
          <w:lang w:val="es-419"/>
        </w:rPr>
      </w:pPr>
    </w:p>
    <w:p w:rsidR="00254997" w:rsidRPr="006A629A" w:rsidRDefault="00254997" w:rsidP="00254997">
      <w:pPr>
        <w:jc w:val="left"/>
        <w:rPr>
          <w:lang w:val="es-419"/>
        </w:rPr>
      </w:pPr>
    </w:p>
    <w:p w:rsidR="00254997" w:rsidRPr="006A629A" w:rsidRDefault="00254997" w:rsidP="00254997">
      <w:pPr>
        <w:jc w:val="left"/>
        <w:rPr>
          <w:lang w:val="es-419"/>
        </w:rPr>
      </w:pPr>
    </w:p>
    <w:p w:rsidR="00254997" w:rsidRPr="006A629A" w:rsidRDefault="00254997" w:rsidP="00254997">
      <w:pPr>
        <w:jc w:val="right"/>
        <w:rPr>
          <w:lang w:val="es-419"/>
        </w:rPr>
      </w:pPr>
      <w:r w:rsidRPr="006A629A">
        <w:rPr>
          <w:lang w:val="es-419"/>
        </w:rPr>
        <w:t>[Sigue el Anexo II]</w:t>
      </w:r>
    </w:p>
    <w:p w:rsidR="00254997" w:rsidRPr="006A629A" w:rsidRDefault="00254997" w:rsidP="00254997">
      <w:pPr>
        <w:rPr>
          <w:lang w:val="es-419"/>
        </w:rPr>
        <w:sectPr w:rsidR="00254997" w:rsidRPr="006A629A" w:rsidSect="0004198B">
          <w:pgSz w:w="11907" w:h="16840" w:code="9"/>
          <w:pgMar w:top="510" w:right="1134" w:bottom="1134" w:left="1134" w:header="510" w:footer="680" w:gutter="0"/>
          <w:pgNumType w:start="1"/>
          <w:cols w:space="720"/>
          <w:titlePg/>
        </w:sectPr>
      </w:pPr>
    </w:p>
    <w:p w:rsidR="00254997" w:rsidRPr="006A629A" w:rsidRDefault="00254997" w:rsidP="00254997">
      <w:pPr>
        <w:jc w:val="center"/>
        <w:rPr>
          <w:lang w:val="es-419"/>
        </w:rPr>
      </w:pPr>
      <w:r>
        <w:rPr>
          <w:lang w:val="es-419"/>
        </w:rPr>
        <w:lastRenderedPageBreak/>
        <w:t>C/56/3</w:t>
      </w:r>
    </w:p>
    <w:p w:rsidR="00254997" w:rsidRPr="006A629A" w:rsidRDefault="00254997" w:rsidP="00254997">
      <w:pPr>
        <w:jc w:val="center"/>
        <w:rPr>
          <w:lang w:val="es-419"/>
        </w:rPr>
      </w:pPr>
    </w:p>
    <w:p w:rsidR="00254997" w:rsidRPr="006A629A" w:rsidRDefault="00254997" w:rsidP="00254997">
      <w:pPr>
        <w:jc w:val="center"/>
        <w:rPr>
          <w:lang w:val="es-419"/>
        </w:rPr>
      </w:pPr>
      <w:r w:rsidRPr="006A629A">
        <w:rPr>
          <w:lang w:val="es-419"/>
        </w:rPr>
        <w:t>ANEXO II</w:t>
      </w:r>
    </w:p>
    <w:p w:rsidR="00254997" w:rsidRPr="006A629A" w:rsidRDefault="00254997" w:rsidP="00254997">
      <w:pPr>
        <w:rPr>
          <w:lang w:val="es-419"/>
        </w:rPr>
      </w:pPr>
    </w:p>
    <w:p w:rsidR="00254997" w:rsidRPr="00647F92" w:rsidRDefault="00254997" w:rsidP="00254997">
      <w:pPr>
        <w:rPr>
          <w:sz w:val="18"/>
          <w:szCs w:val="18"/>
          <w:lang w:val="es-419"/>
        </w:rPr>
      </w:pPr>
    </w:p>
    <w:p w:rsidR="00254997" w:rsidRPr="00647F92" w:rsidRDefault="00254997" w:rsidP="00254997">
      <w:pPr>
        <w:rPr>
          <w:u w:val="single"/>
          <w:lang w:val="es-419"/>
        </w:rPr>
      </w:pPr>
      <w:r w:rsidRPr="00647F92">
        <w:rPr>
          <w:u w:val="single"/>
          <w:lang w:val="es-419"/>
        </w:rPr>
        <w:t>Documento TGP/8: Diseño de ensayos y técnicas utilizados en el examen de la distinción, la homogeneidad y la estabilidad (revisión)</w:t>
      </w:r>
    </w:p>
    <w:p w:rsidR="00254997" w:rsidRPr="006A629A" w:rsidRDefault="00254997" w:rsidP="00254997">
      <w:pPr>
        <w:keepNext/>
        <w:rPr>
          <w:lang w:val="es-419"/>
        </w:rPr>
      </w:pPr>
    </w:p>
    <w:p w:rsidR="00254997" w:rsidRPr="006A629A" w:rsidRDefault="00254997" w:rsidP="00254997">
      <w:pPr>
        <w:rPr>
          <w:rFonts w:eastAsia="MS Mincho"/>
          <w:i/>
          <w:lang w:val="es-419"/>
        </w:rPr>
      </w:pPr>
      <w:r w:rsidRPr="006A629A">
        <w:rPr>
          <w:i/>
          <w:lang w:val="es-419"/>
        </w:rPr>
        <w:t xml:space="preserve">Tratamiento de datos para la elaboración de descripciones de variedades en el caso de los caracteres cuantitativos medidos </w:t>
      </w:r>
    </w:p>
    <w:p w:rsidR="00254997" w:rsidRPr="006A629A" w:rsidRDefault="00254997" w:rsidP="00254997">
      <w:pPr>
        <w:rPr>
          <w:lang w:val="es-419"/>
        </w:rPr>
      </w:pPr>
    </w:p>
    <w:p w:rsidR="00254997" w:rsidRPr="006A629A" w:rsidRDefault="00254997" w:rsidP="00254997">
      <w:pPr>
        <w:rPr>
          <w:lang w:val="es-419"/>
        </w:rPr>
      </w:pPr>
      <w:r w:rsidRPr="006A629A">
        <w:rPr>
          <w:lang w:val="es-419"/>
        </w:rPr>
        <w:t>En su quincuagésima séptima sesión, celebrada por medios electrónicos los días 25 y 26 de octubre de 2021, el TC convino en que la orientación sobre “Diferentes formas que pueden adoptar las descripciones de variedades y la importancia de los niveles de escala” se incluya en el documento TGP/8, parte I, sección 2 “Datos que han de registrarse”, como una nueva sección 2.5, según se expone a continuación (véase el párrafo 27 del documento TC/57/25 “Informe”).</w:t>
      </w:r>
    </w:p>
    <w:p w:rsidR="00254997" w:rsidRPr="006A629A" w:rsidRDefault="00254997" w:rsidP="00254997">
      <w:pPr>
        <w:rPr>
          <w:lang w:val="es-419"/>
        </w:rPr>
      </w:pPr>
    </w:p>
    <w:p w:rsidR="00254997" w:rsidRPr="006A629A" w:rsidRDefault="00254997" w:rsidP="00254997">
      <w:pPr>
        <w:jc w:val="center"/>
        <w:rPr>
          <w:lang w:val="es-419"/>
        </w:rPr>
      </w:pPr>
    </w:p>
    <w:p w:rsidR="00254997" w:rsidRPr="006A629A" w:rsidRDefault="00254997" w:rsidP="00254997">
      <w:pPr>
        <w:jc w:val="center"/>
        <w:rPr>
          <w:sz w:val="18"/>
          <w:lang w:val="es-419"/>
        </w:rPr>
      </w:pPr>
      <w:r w:rsidRPr="006A629A">
        <w:rPr>
          <w:sz w:val="18"/>
          <w:lang w:val="es-419"/>
        </w:rPr>
        <w:t xml:space="preserve">DIFERENTES FORMAS QUE PUEDEN ADOPTAR LAS DESCRIPCIONES DE VARIEDADES </w:t>
      </w:r>
    </w:p>
    <w:p w:rsidR="00254997" w:rsidRPr="006A629A" w:rsidRDefault="00254997" w:rsidP="00254997">
      <w:pPr>
        <w:jc w:val="center"/>
        <w:rPr>
          <w:sz w:val="18"/>
          <w:lang w:val="es-419"/>
        </w:rPr>
      </w:pPr>
      <w:r w:rsidRPr="006A629A">
        <w:rPr>
          <w:sz w:val="18"/>
          <w:lang w:val="es-419"/>
        </w:rPr>
        <w:t>Y LA IMPORTANCIA DE LOS NIVELES DE ESCALA</w:t>
      </w:r>
    </w:p>
    <w:p w:rsidR="00254997" w:rsidRPr="006A629A" w:rsidRDefault="00254997" w:rsidP="00254997">
      <w:pPr>
        <w:rPr>
          <w:sz w:val="18"/>
          <w:lang w:val="es-419"/>
        </w:rPr>
      </w:pPr>
    </w:p>
    <w:p w:rsidR="00254997" w:rsidRPr="006A629A" w:rsidRDefault="00254997" w:rsidP="00254997">
      <w:pPr>
        <w:ind w:left="709" w:right="567"/>
        <w:rPr>
          <w:rFonts w:cs="Arial"/>
          <w:sz w:val="18"/>
          <w:lang w:val="es-419"/>
        </w:rPr>
      </w:pPr>
      <w:r w:rsidRPr="006A629A">
        <w:rPr>
          <w:sz w:val="18"/>
          <w:lang w:val="es-419"/>
        </w:rPr>
        <w:t>Las descripciones de variedades se pueden basar en diferentes datos, según la finalidad de la descripción.  Las descripciones de variedades pueden ser diferentes si se las utiliza para evaluar la distinción o en el documento oficial en que se fundamenta la concesión de la protección. Cuando las descripciones de variedades se emplean para evaluar la distinción, es importante tener en cuenta en qué datos se basan las descripciones de las diferentes variedades. Se debe prestar una atención especial a la posible influencia de los años y los lugares de cultivo.</w:t>
      </w:r>
    </w:p>
    <w:p w:rsidR="00254997" w:rsidRPr="006A629A" w:rsidRDefault="00254997" w:rsidP="00254997">
      <w:pPr>
        <w:ind w:left="709" w:right="567"/>
        <w:rPr>
          <w:rFonts w:cs="Arial"/>
          <w:sz w:val="18"/>
          <w:lang w:val="es-419"/>
        </w:rPr>
      </w:pPr>
    </w:p>
    <w:p w:rsidR="00254997" w:rsidRPr="006A629A" w:rsidRDefault="00254997" w:rsidP="00254997">
      <w:pPr>
        <w:ind w:left="709" w:right="567"/>
        <w:rPr>
          <w:rFonts w:cs="Arial"/>
          <w:sz w:val="18"/>
          <w:lang w:val="es-419"/>
        </w:rPr>
      </w:pPr>
      <w:r w:rsidRPr="006A629A">
        <w:rPr>
          <w:sz w:val="18"/>
          <w:lang w:val="es-419"/>
        </w:rPr>
        <w:t>Las diferentes formas que adoptan las descripciones de variedades y su importancia en la evaluación de la distinción se pueden clasificar según los distintos niveles del proceso de examen de un carácter. Los niveles del proceso se definen en el documento TGP/8: Parte I “Diseño de ensayos DHE y análisis de datos” sección 2 “Datos que han de registrarse” de la siguiente manera:</w:t>
      </w:r>
    </w:p>
    <w:p w:rsidR="00254997" w:rsidRPr="006A629A" w:rsidRDefault="00254997" w:rsidP="00254997">
      <w:pPr>
        <w:rPr>
          <w:rFonts w:cs="Arial"/>
          <w:lang w:val="es-419"/>
        </w:rPr>
      </w:pPr>
    </w:p>
    <w:p w:rsidR="00254997" w:rsidRPr="006A629A" w:rsidRDefault="00254997" w:rsidP="00254997">
      <w:pPr>
        <w:tabs>
          <w:tab w:val="left" w:pos="9072"/>
        </w:tabs>
        <w:autoSpaceDE w:val="0"/>
        <w:autoSpaceDN w:val="0"/>
        <w:adjustRightInd w:val="0"/>
        <w:spacing w:line="271" w:lineRule="exact"/>
        <w:ind w:left="567"/>
        <w:rPr>
          <w:rFonts w:cs="Arial"/>
          <w:sz w:val="18"/>
          <w:lang w:val="es-419"/>
        </w:rPr>
      </w:pPr>
      <w:r w:rsidRPr="006A629A">
        <w:rPr>
          <w:i/>
          <w:sz w:val="18"/>
          <w:lang w:val="es-419"/>
        </w:rPr>
        <w:t>Cuadro 5: Definición de los distintos niveles del proceso de examen de los caracteres</w:t>
      </w:r>
    </w:p>
    <w:p w:rsidR="00254997" w:rsidRPr="006A629A" w:rsidRDefault="00254997" w:rsidP="00254997">
      <w:pPr>
        <w:autoSpaceDE w:val="0"/>
        <w:autoSpaceDN w:val="0"/>
        <w:adjustRightInd w:val="0"/>
        <w:spacing w:before="2" w:line="280" w:lineRule="exact"/>
        <w:rPr>
          <w:rFonts w:cs="Arial"/>
          <w:sz w:val="10"/>
          <w:szCs w:val="12"/>
          <w:lang w:val="es-419"/>
        </w:rPr>
      </w:pPr>
    </w:p>
    <w:tbl>
      <w:tblPr>
        <w:tblW w:w="0" w:type="auto"/>
        <w:tblInd w:w="572" w:type="dxa"/>
        <w:tblLayout w:type="fixed"/>
        <w:tblCellMar>
          <w:left w:w="0" w:type="dxa"/>
          <w:right w:w="0" w:type="dxa"/>
        </w:tblCellMar>
        <w:tblLook w:val="04A0" w:firstRow="1" w:lastRow="0" w:firstColumn="1" w:lastColumn="0" w:noHBand="0" w:noVBand="1"/>
      </w:tblPr>
      <w:tblGrid>
        <w:gridCol w:w="1680"/>
        <w:gridCol w:w="5245"/>
      </w:tblGrid>
      <w:tr w:rsidR="00254997" w:rsidRPr="006A629A" w:rsidTr="002002EE">
        <w:trPr>
          <w:trHeight w:hRule="exact" w:val="343"/>
        </w:trPr>
        <w:tc>
          <w:tcPr>
            <w:tcW w:w="1680" w:type="dxa"/>
            <w:tcBorders>
              <w:top w:val="single" w:sz="4" w:space="0" w:color="auto"/>
              <w:left w:val="single" w:sz="4" w:space="0" w:color="auto"/>
              <w:bottom w:val="single" w:sz="4" w:space="0" w:color="auto"/>
              <w:right w:val="single" w:sz="4" w:space="0" w:color="auto"/>
            </w:tcBorders>
            <w:shd w:val="clear" w:color="auto" w:fill="DFDFDF"/>
            <w:hideMark/>
          </w:tcPr>
          <w:p w:rsidR="00254997" w:rsidRPr="006A629A" w:rsidRDefault="00254997" w:rsidP="002002EE">
            <w:pPr>
              <w:autoSpaceDE w:val="0"/>
              <w:autoSpaceDN w:val="0"/>
              <w:adjustRightInd w:val="0"/>
              <w:spacing w:before="37"/>
              <w:ind w:left="35"/>
              <w:jc w:val="center"/>
              <w:rPr>
                <w:rFonts w:cs="Arial"/>
                <w:sz w:val="18"/>
                <w:lang w:val="es-419"/>
              </w:rPr>
            </w:pPr>
            <w:r w:rsidRPr="006A629A">
              <w:rPr>
                <w:sz w:val="18"/>
                <w:lang w:val="es-419"/>
              </w:rPr>
              <w:t>Nivel del proceso</w:t>
            </w:r>
          </w:p>
        </w:tc>
        <w:tc>
          <w:tcPr>
            <w:tcW w:w="5245" w:type="dxa"/>
            <w:tcBorders>
              <w:top w:val="single" w:sz="4" w:space="0" w:color="auto"/>
              <w:left w:val="single" w:sz="4" w:space="0" w:color="auto"/>
              <w:bottom w:val="single" w:sz="4" w:space="0" w:color="auto"/>
              <w:right w:val="single" w:sz="4" w:space="0" w:color="auto"/>
            </w:tcBorders>
            <w:shd w:val="clear" w:color="auto" w:fill="DFDFDF"/>
            <w:hideMark/>
          </w:tcPr>
          <w:p w:rsidR="00254997" w:rsidRPr="006A629A" w:rsidRDefault="00254997" w:rsidP="002002EE">
            <w:pPr>
              <w:autoSpaceDE w:val="0"/>
              <w:autoSpaceDN w:val="0"/>
              <w:adjustRightInd w:val="0"/>
              <w:spacing w:before="37"/>
              <w:ind w:left="231"/>
              <w:rPr>
                <w:rFonts w:cs="Arial"/>
                <w:sz w:val="18"/>
                <w:lang w:val="es-419"/>
              </w:rPr>
            </w:pPr>
            <w:r w:rsidRPr="006A629A">
              <w:rPr>
                <w:sz w:val="18"/>
                <w:lang w:val="es-419"/>
              </w:rPr>
              <w:t>Descripción del nivel del proceso</w:t>
            </w:r>
          </w:p>
        </w:tc>
      </w:tr>
      <w:tr w:rsidR="00254997" w:rsidRPr="006A629A" w:rsidTr="002002EE">
        <w:trPr>
          <w:trHeight w:hRule="exact" w:val="342"/>
        </w:trPr>
        <w:tc>
          <w:tcPr>
            <w:tcW w:w="1680" w:type="dxa"/>
            <w:tcBorders>
              <w:top w:val="single" w:sz="4" w:space="0" w:color="auto"/>
              <w:left w:val="single" w:sz="4" w:space="0" w:color="auto"/>
              <w:bottom w:val="single" w:sz="4" w:space="0" w:color="auto"/>
              <w:right w:val="single" w:sz="4" w:space="0" w:color="auto"/>
            </w:tcBorders>
            <w:hideMark/>
          </w:tcPr>
          <w:p w:rsidR="00254997" w:rsidRPr="006A629A" w:rsidRDefault="00254997" w:rsidP="002002EE">
            <w:pPr>
              <w:autoSpaceDE w:val="0"/>
              <w:autoSpaceDN w:val="0"/>
              <w:adjustRightInd w:val="0"/>
              <w:spacing w:before="37"/>
              <w:ind w:left="60"/>
              <w:jc w:val="center"/>
              <w:rPr>
                <w:rFonts w:cs="Arial"/>
                <w:sz w:val="18"/>
                <w:lang w:val="es-419"/>
              </w:rPr>
            </w:pPr>
            <w:r w:rsidRPr="006A629A">
              <w:rPr>
                <w:sz w:val="18"/>
                <w:lang w:val="es-419"/>
              </w:rPr>
              <w:t>1</w:t>
            </w:r>
          </w:p>
        </w:tc>
        <w:tc>
          <w:tcPr>
            <w:tcW w:w="5245" w:type="dxa"/>
            <w:tcBorders>
              <w:top w:val="single" w:sz="4" w:space="0" w:color="auto"/>
              <w:left w:val="single" w:sz="4" w:space="0" w:color="auto"/>
              <w:bottom w:val="single" w:sz="4" w:space="0" w:color="auto"/>
              <w:right w:val="single" w:sz="4" w:space="0" w:color="auto"/>
            </w:tcBorders>
            <w:hideMark/>
          </w:tcPr>
          <w:p w:rsidR="00254997" w:rsidRPr="006A629A" w:rsidRDefault="00254997" w:rsidP="002002EE">
            <w:pPr>
              <w:autoSpaceDE w:val="0"/>
              <w:autoSpaceDN w:val="0"/>
              <w:adjustRightInd w:val="0"/>
              <w:spacing w:before="37"/>
              <w:ind w:left="231"/>
              <w:rPr>
                <w:rFonts w:cs="Arial"/>
                <w:sz w:val="18"/>
                <w:lang w:val="es-419"/>
              </w:rPr>
            </w:pPr>
            <w:r w:rsidRPr="006A629A">
              <w:rPr>
                <w:sz w:val="18"/>
                <w:lang w:val="es-419"/>
              </w:rPr>
              <w:t>caracteres expresados en el ensayo</w:t>
            </w:r>
          </w:p>
        </w:tc>
      </w:tr>
      <w:tr w:rsidR="00254997" w:rsidRPr="006A629A" w:rsidTr="002002EE">
        <w:trPr>
          <w:trHeight w:hRule="exact" w:val="343"/>
        </w:trPr>
        <w:tc>
          <w:tcPr>
            <w:tcW w:w="1680" w:type="dxa"/>
            <w:tcBorders>
              <w:top w:val="single" w:sz="4" w:space="0" w:color="auto"/>
              <w:left w:val="single" w:sz="4" w:space="0" w:color="auto"/>
              <w:bottom w:val="single" w:sz="4" w:space="0" w:color="auto"/>
              <w:right w:val="single" w:sz="4" w:space="0" w:color="auto"/>
            </w:tcBorders>
            <w:hideMark/>
          </w:tcPr>
          <w:p w:rsidR="00254997" w:rsidRPr="006A629A" w:rsidRDefault="00254997" w:rsidP="002002EE">
            <w:pPr>
              <w:autoSpaceDE w:val="0"/>
              <w:autoSpaceDN w:val="0"/>
              <w:adjustRightInd w:val="0"/>
              <w:spacing w:before="37"/>
              <w:ind w:left="60"/>
              <w:jc w:val="center"/>
              <w:rPr>
                <w:rFonts w:cs="Arial"/>
                <w:sz w:val="18"/>
                <w:lang w:val="es-419"/>
              </w:rPr>
            </w:pPr>
            <w:r w:rsidRPr="006A629A">
              <w:rPr>
                <w:sz w:val="18"/>
                <w:lang w:val="es-419"/>
              </w:rPr>
              <w:t>2</w:t>
            </w:r>
          </w:p>
        </w:tc>
        <w:tc>
          <w:tcPr>
            <w:tcW w:w="5245" w:type="dxa"/>
            <w:tcBorders>
              <w:top w:val="single" w:sz="4" w:space="0" w:color="auto"/>
              <w:left w:val="single" w:sz="4" w:space="0" w:color="auto"/>
              <w:bottom w:val="single" w:sz="4" w:space="0" w:color="auto"/>
              <w:right w:val="single" w:sz="4" w:space="0" w:color="auto"/>
            </w:tcBorders>
            <w:hideMark/>
          </w:tcPr>
          <w:p w:rsidR="00254997" w:rsidRPr="006A629A" w:rsidRDefault="00254997" w:rsidP="002002EE">
            <w:pPr>
              <w:autoSpaceDE w:val="0"/>
              <w:autoSpaceDN w:val="0"/>
              <w:adjustRightInd w:val="0"/>
              <w:spacing w:before="37"/>
              <w:ind w:left="231"/>
              <w:rPr>
                <w:rFonts w:cs="Arial"/>
                <w:sz w:val="18"/>
                <w:lang w:val="es-419"/>
              </w:rPr>
            </w:pPr>
            <w:r w:rsidRPr="006A629A">
              <w:rPr>
                <w:sz w:val="18"/>
                <w:lang w:val="es-419"/>
              </w:rPr>
              <w:t>datos para la evaluación de los caracteres</w:t>
            </w:r>
          </w:p>
        </w:tc>
      </w:tr>
      <w:tr w:rsidR="00254997" w:rsidRPr="006A629A" w:rsidTr="002002EE">
        <w:trPr>
          <w:trHeight w:hRule="exact" w:val="343"/>
        </w:trPr>
        <w:tc>
          <w:tcPr>
            <w:tcW w:w="1680" w:type="dxa"/>
            <w:tcBorders>
              <w:top w:val="single" w:sz="4" w:space="0" w:color="auto"/>
              <w:left w:val="single" w:sz="4" w:space="0" w:color="auto"/>
              <w:bottom w:val="single" w:sz="4" w:space="0" w:color="auto"/>
              <w:right w:val="single" w:sz="4" w:space="0" w:color="auto"/>
            </w:tcBorders>
            <w:hideMark/>
          </w:tcPr>
          <w:p w:rsidR="00254997" w:rsidRPr="006A629A" w:rsidRDefault="00254997" w:rsidP="002002EE">
            <w:pPr>
              <w:autoSpaceDE w:val="0"/>
              <w:autoSpaceDN w:val="0"/>
              <w:adjustRightInd w:val="0"/>
              <w:spacing w:before="37"/>
              <w:ind w:left="60"/>
              <w:jc w:val="center"/>
              <w:rPr>
                <w:rFonts w:cs="Arial"/>
                <w:sz w:val="18"/>
                <w:lang w:val="es-419"/>
              </w:rPr>
            </w:pPr>
            <w:r w:rsidRPr="006A629A">
              <w:rPr>
                <w:sz w:val="18"/>
                <w:lang w:val="es-419"/>
              </w:rPr>
              <w:t>3</w:t>
            </w:r>
          </w:p>
        </w:tc>
        <w:tc>
          <w:tcPr>
            <w:tcW w:w="5245" w:type="dxa"/>
            <w:tcBorders>
              <w:top w:val="single" w:sz="4" w:space="0" w:color="auto"/>
              <w:left w:val="single" w:sz="4" w:space="0" w:color="auto"/>
              <w:bottom w:val="single" w:sz="4" w:space="0" w:color="auto"/>
              <w:right w:val="single" w:sz="4" w:space="0" w:color="auto"/>
            </w:tcBorders>
            <w:hideMark/>
          </w:tcPr>
          <w:p w:rsidR="00254997" w:rsidRPr="006A629A" w:rsidRDefault="00254997" w:rsidP="002002EE">
            <w:pPr>
              <w:autoSpaceDE w:val="0"/>
              <w:autoSpaceDN w:val="0"/>
              <w:adjustRightInd w:val="0"/>
              <w:spacing w:before="37"/>
              <w:ind w:left="231"/>
              <w:rPr>
                <w:rFonts w:cs="Arial"/>
                <w:sz w:val="18"/>
                <w:lang w:val="es-419"/>
              </w:rPr>
            </w:pPr>
            <w:r w:rsidRPr="006A629A">
              <w:rPr>
                <w:sz w:val="18"/>
                <w:lang w:val="es-419"/>
              </w:rPr>
              <w:t>descripción de la variedad</w:t>
            </w:r>
          </w:p>
        </w:tc>
      </w:tr>
    </w:tbl>
    <w:p w:rsidR="00254997" w:rsidRPr="006A629A" w:rsidRDefault="00254997" w:rsidP="00254997">
      <w:pPr>
        <w:autoSpaceDE w:val="0"/>
        <w:autoSpaceDN w:val="0"/>
        <w:adjustRightInd w:val="0"/>
        <w:spacing w:before="18" w:line="220" w:lineRule="exact"/>
        <w:rPr>
          <w:rFonts w:cs="Arial"/>
          <w:lang w:val="es-419"/>
        </w:rPr>
      </w:pPr>
    </w:p>
    <w:p w:rsidR="00254997" w:rsidRPr="006A629A" w:rsidRDefault="00254997" w:rsidP="00254997">
      <w:pPr>
        <w:ind w:left="567" w:right="567"/>
        <w:rPr>
          <w:rFonts w:cs="Arial"/>
          <w:sz w:val="18"/>
          <w:lang w:val="es-419"/>
        </w:rPr>
      </w:pPr>
      <w:r w:rsidRPr="006A629A">
        <w:rPr>
          <w:sz w:val="18"/>
          <w:lang w:val="es-419"/>
        </w:rPr>
        <w:t>Los niveles del proceso que tienen importancia para la evaluación de la distinción son el nivel 2 y el nivel 3. Cualquier comparación entre variedades en un mismo ensayo [mismo(s) año(s), mismo lugar] se lleva a cabo con los datos reales registrados en el ensayo. Este planteamiento es el que corresponde al nivel 2 del proceso. Si las variedades no se cultivan en el mismo ensayo, se las debe comparar a partir de las descripciones de variedades, planteamiento que se aplica al nivel 3 del proceso. En general, la identificación de las variedades similares que se han de incluir en el ensayo en cultivo (“Gestión de las colecciones de variedades”) concierne al nivel 3 del proceso; mientras que la evaluación de datos en el ensayo en cultivo atañe al nivel 2 del proceso.</w:t>
      </w:r>
    </w:p>
    <w:p w:rsidR="00254997" w:rsidRPr="006A629A" w:rsidRDefault="00254997" w:rsidP="00254997">
      <w:pPr>
        <w:rPr>
          <w:rFonts w:cs="Arial"/>
          <w:lang w:val="es-419"/>
        </w:rPr>
      </w:pPr>
    </w:p>
    <w:tbl>
      <w:tblPr>
        <w:tblStyle w:val="TableGrid"/>
        <w:tblpPr w:leftFromText="141" w:rightFromText="141" w:vertAnchor="text" w:tblpX="108" w:tblpY="1"/>
        <w:tblOverlap w:val="never"/>
        <w:tblW w:w="0" w:type="auto"/>
        <w:tblInd w:w="0" w:type="dxa"/>
        <w:tblLook w:val="04A0" w:firstRow="1" w:lastRow="0" w:firstColumn="1" w:lastColumn="0" w:noHBand="0" w:noVBand="1"/>
      </w:tblPr>
      <w:tblGrid>
        <w:gridCol w:w="1101"/>
        <w:gridCol w:w="2268"/>
        <w:gridCol w:w="2976"/>
        <w:gridCol w:w="2867"/>
      </w:tblGrid>
      <w:tr w:rsidR="00254997" w:rsidRPr="006A629A" w:rsidTr="002002EE">
        <w:tc>
          <w:tcPr>
            <w:tcW w:w="1101" w:type="dxa"/>
            <w:tcBorders>
              <w:top w:val="single" w:sz="4" w:space="0" w:color="auto"/>
              <w:left w:val="single" w:sz="4" w:space="0" w:color="auto"/>
              <w:bottom w:val="single" w:sz="4" w:space="0" w:color="auto"/>
              <w:right w:val="single" w:sz="4" w:space="0" w:color="auto"/>
            </w:tcBorders>
            <w:hideMark/>
          </w:tcPr>
          <w:p w:rsidR="00254997" w:rsidRPr="006A629A" w:rsidRDefault="00254997" w:rsidP="002002EE">
            <w:pPr>
              <w:jc w:val="center"/>
              <w:rPr>
                <w:rFonts w:cs="Arial"/>
                <w:sz w:val="18"/>
                <w:lang w:val="es-419"/>
              </w:rPr>
            </w:pPr>
            <w:r w:rsidRPr="006A629A">
              <w:rPr>
                <w:sz w:val="18"/>
                <w:lang w:val="es-419"/>
              </w:rPr>
              <w:t>Nivel del proceso</w:t>
            </w:r>
          </w:p>
        </w:tc>
        <w:tc>
          <w:tcPr>
            <w:tcW w:w="2268" w:type="dxa"/>
            <w:tcBorders>
              <w:top w:val="single" w:sz="4" w:space="0" w:color="auto"/>
              <w:left w:val="single" w:sz="4" w:space="0" w:color="auto"/>
              <w:bottom w:val="single" w:sz="4" w:space="0" w:color="auto"/>
              <w:right w:val="single" w:sz="4" w:space="0" w:color="auto"/>
            </w:tcBorders>
            <w:hideMark/>
          </w:tcPr>
          <w:p w:rsidR="00254997" w:rsidRPr="006A629A" w:rsidRDefault="00254997" w:rsidP="002002EE">
            <w:pPr>
              <w:jc w:val="center"/>
              <w:rPr>
                <w:rFonts w:cs="Arial"/>
                <w:sz w:val="18"/>
                <w:lang w:val="es-419"/>
              </w:rPr>
            </w:pPr>
            <w:r w:rsidRPr="006A629A">
              <w:rPr>
                <w:sz w:val="18"/>
                <w:lang w:val="es-419"/>
              </w:rPr>
              <w:t>Mediciones</w:t>
            </w:r>
          </w:p>
          <w:p w:rsidR="00254997" w:rsidRPr="006A629A" w:rsidRDefault="00254997" w:rsidP="002002EE">
            <w:pPr>
              <w:jc w:val="center"/>
              <w:rPr>
                <w:rFonts w:cs="Arial"/>
                <w:sz w:val="18"/>
                <w:lang w:val="es-419"/>
              </w:rPr>
            </w:pPr>
            <w:r w:rsidRPr="006A629A">
              <w:rPr>
                <w:sz w:val="18"/>
                <w:lang w:val="es-419"/>
              </w:rPr>
              <w:t>QN</w:t>
            </w:r>
          </w:p>
        </w:tc>
        <w:tc>
          <w:tcPr>
            <w:tcW w:w="2976" w:type="dxa"/>
            <w:tcBorders>
              <w:top w:val="single" w:sz="4" w:space="0" w:color="auto"/>
              <w:left w:val="single" w:sz="4" w:space="0" w:color="auto"/>
              <w:bottom w:val="single" w:sz="4" w:space="0" w:color="auto"/>
              <w:right w:val="single" w:sz="4" w:space="0" w:color="auto"/>
            </w:tcBorders>
            <w:hideMark/>
          </w:tcPr>
          <w:p w:rsidR="00254997" w:rsidRPr="006A629A" w:rsidRDefault="00254997" w:rsidP="002002EE">
            <w:pPr>
              <w:jc w:val="center"/>
              <w:rPr>
                <w:rFonts w:cs="Arial"/>
                <w:sz w:val="18"/>
                <w:lang w:val="es-419"/>
              </w:rPr>
            </w:pPr>
            <w:r w:rsidRPr="006A629A">
              <w:rPr>
                <w:sz w:val="18"/>
                <w:lang w:val="es-419"/>
              </w:rPr>
              <w:t>Evaluación visual</w:t>
            </w:r>
          </w:p>
          <w:p w:rsidR="00254997" w:rsidRPr="006A629A" w:rsidRDefault="00254997" w:rsidP="002002EE">
            <w:pPr>
              <w:jc w:val="center"/>
              <w:rPr>
                <w:rFonts w:cs="Arial"/>
                <w:sz w:val="18"/>
                <w:lang w:val="es-419"/>
              </w:rPr>
            </w:pPr>
            <w:r w:rsidRPr="006A629A">
              <w:rPr>
                <w:sz w:val="18"/>
                <w:lang w:val="es-419"/>
              </w:rPr>
              <w:t>(QN/QL/PQ)</w:t>
            </w:r>
          </w:p>
        </w:tc>
        <w:tc>
          <w:tcPr>
            <w:tcW w:w="2867" w:type="dxa"/>
            <w:tcBorders>
              <w:top w:val="single" w:sz="4" w:space="0" w:color="auto"/>
              <w:left w:val="single" w:sz="4" w:space="0" w:color="auto"/>
              <w:bottom w:val="single" w:sz="4" w:space="0" w:color="auto"/>
              <w:right w:val="single" w:sz="4" w:space="0" w:color="auto"/>
            </w:tcBorders>
            <w:hideMark/>
          </w:tcPr>
          <w:p w:rsidR="00254997" w:rsidRPr="006A629A" w:rsidRDefault="00254997" w:rsidP="002002EE">
            <w:pPr>
              <w:rPr>
                <w:rFonts w:cs="Arial"/>
                <w:sz w:val="18"/>
                <w:lang w:val="es-419"/>
              </w:rPr>
            </w:pPr>
            <w:r w:rsidRPr="006A629A">
              <w:rPr>
                <w:sz w:val="18"/>
                <w:lang w:val="es-419"/>
              </w:rPr>
              <w:t>Observaciones</w:t>
            </w:r>
          </w:p>
        </w:tc>
      </w:tr>
      <w:tr w:rsidR="00254997" w:rsidRPr="006A629A" w:rsidTr="002002EE">
        <w:tc>
          <w:tcPr>
            <w:tcW w:w="1101" w:type="dxa"/>
            <w:tcBorders>
              <w:top w:val="single" w:sz="4" w:space="0" w:color="auto"/>
              <w:left w:val="single" w:sz="4" w:space="0" w:color="auto"/>
              <w:bottom w:val="single" w:sz="4" w:space="0" w:color="auto"/>
              <w:right w:val="single" w:sz="4" w:space="0" w:color="auto"/>
            </w:tcBorders>
            <w:hideMark/>
          </w:tcPr>
          <w:p w:rsidR="00254997" w:rsidRPr="006A629A" w:rsidRDefault="00254997" w:rsidP="002002EE">
            <w:pPr>
              <w:spacing w:before="240"/>
              <w:jc w:val="center"/>
              <w:rPr>
                <w:rFonts w:cs="Arial"/>
                <w:sz w:val="18"/>
                <w:lang w:val="es-419"/>
              </w:rPr>
            </w:pPr>
            <w:r w:rsidRPr="006A629A">
              <w:rPr>
                <w:sz w:val="18"/>
                <w:lang w:val="es-419"/>
              </w:rPr>
              <w:t>2</w:t>
            </w:r>
          </w:p>
        </w:tc>
        <w:tc>
          <w:tcPr>
            <w:tcW w:w="2268" w:type="dxa"/>
            <w:tcBorders>
              <w:top w:val="single" w:sz="4" w:space="0" w:color="auto"/>
              <w:left w:val="single" w:sz="4" w:space="0" w:color="auto"/>
              <w:bottom w:val="single" w:sz="4" w:space="0" w:color="auto"/>
              <w:right w:val="single" w:sz="4" w:space="0" w:color="auto"/>
            </w:tcBorders>
            <w:hideMark/>
          </w:tcPr>
          <w:p w:rsidR="00254997" w:rsidRPr="006A629A" w:rsidRDefault="00254997" w:rsidP="002002EE">
            <w:pPr>
              <w:rPr>
                <w:rFonts w:cs="Arial"/>
                <w:sz w:val="18"/>
                <w:lang w:val="es-419"/>
              </w:rPr>
            </w:pPr>
            <w:r w:rsidRPr="006A629A">
              <w:rPr>
                <w:noProof/>
                <w:lang w:val="en-US"/>
              </w:rPr>
              <mc:AlternateContent>
                <mc:Choice Requires="wps">
                  <w:drawing>
                    <wp:anchor distT="0" distB="0" distL="114300" distR="114300" simplePos="0" relativeHeight="251659264" behindDoc="0" locked="0" layoutInCell="1" allowOverlap="1" wp14:anchorId="483A584B" wp14:editId="015A0F64">
                      <wp:simplePos x="0" y="0"/>
                      <wp:positionH relativeFrom="column">
                        <wp:posOffset>118110</wp:posOffset>
                      </wp:positionH>
                      <wp:positionV relativeFrom="paragraph">
                        <wp:posOffset>461991</wp:posOffset>
                      </wp:positionV>
                      <wp:extent cx="116840" cy="619125"/>
                      <wp:effectExtent l="19050" t="0" r="35560" b="47625"/>
                      <wp:wrapNone/>
                      <wp:docPr id="18" name="Down Arrow 18"/>
                      <wp:cNvGraphicFramePr/>
                      <a:graphic xmlns:a="http://schemas.openxmlformats.org/drawingml/2006/main">
                        <a:graphicData uri="http://schemas.microsoft.com/office/word/2010/wordprocessingShape">
                          <wps:wsp>
                            <wps:cNvSpPr/>
                            <wps:spPr>
                              <a:xfrm flipH="1">
                                <a:off x="0" y="0"/>
                                <a:ext cx="116840" cy="619125"/>
                              </a:xfrm>
                              <a:prstGeom prst="downArrow">
                                <a:avLst/>
                              </a:prstGeom>
                              <a:solidFill>
                                <a:srgbClr val="4F81BD"/>
                              </a:solidFill>
                              <a:ln w="25400" cap="flat" cmpd="sng" algn="ctr">
                                <a:solidFill>
                                  <a:srgbClr val="4F81BD">
                                    <a:shade val="50000"/>
                                  </a:srgbClr>
                                </a:solidFill>
                                <a:prstDash val="solid"/>
                              </a:ln>
                              <a:effectLst/>
                            </wps:spPr>
                            <wps:txbx>
                              <w:txbxContent>
                                <w:p w:rsidR="00254997" w:rsidRDefault="00254997" w:rsidP="002549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A584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left:0;text-align:left;margin-left:9.3pt;margin-top:36.4pt;width:9.2pt;height:48.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" adj="19562" fillcolor="#4f81bd" strokecolor="#385d8a" strokeweight="2pt">
                      <v:textbox>
                        <w:txbxContent>
                          <w:p w:rsidR="00254997" w:rsidRDefault="00254997" w:rsidP="00254997">
                            <w:pPr>
                              <w:jc w:val="center"/>
                            </w:pPr>
                          </w:p>
                        </w:txbxContent>
                      </v:textbox>
                    </v:shape>
                  </w:pict>
                </mc:Fallback>
              </mc:AlternateContent>
            </w:r>
            <w:r w:rsidRPr="006A629A">
              <w:rPr>
                <w:sz w:val="18"/>
                <w:lang w:val="es-419"/>
              </w:rPr>
              <w:t>[</w:t>
            </w:r>
            <w:r w:rsidRPr="006A629A">
              <w:rPr>
                <w:b/>
                <w:bCs/>
                <w:sz w:val="18"/>
                <w:lang w:val="es-419"/>
              </w:rPr>
              <w:t>Valores</w:t>
            </w:r>
            <w:r w:rsidRPr="006A629A">
              <w:rPr>
                <w:sz w:val="18"/>
                <w:lang w:val="es-419"/>
              </w:rPr>
              <w:t>]</w:t>
            </w:r>
          </w:p>
        </w:tc>
        <w:tc>
          <w:tcPr>
            <w:tcW w:w="2976" w:type="dxa"/>
            <w:tcBorders>
              <w:top w:val="single" w:sz="4" w:space="0" w:color="auto"/>
              <w:left w:val="single" w:sz="4" w:space="0" w:color="auto"/>
              <w:bottom w:val="single" w:sz="4" w:space="0" w:color="auto"/>
              <w:right w:val="single" w:sz="4" w:space="0" w:color="auto"/>
            </w:tcBorders>
            <w:hideMark/>
          </w:tcPr>
          <w:p w:rsidR="00254997" w:rsidRPr="006A629A" w:rsidRDefault="00254997" w:rsidP="002002EE">
            <w:pPr>
              <w:rPr>
                <w:rFonts w:cs="Arial"/>
                <w:sz w:val="18"/>
                <w:lang w:val="es-419"/>
              </w:rPr>
            </w:pPr>
            <w:r w:rsidRPr="006A629A">
              <w:rPr>
                <w:noProof/>
                <w:lang w:val="en-US"/>
              </w:rPr>
              <mc:AlternateContent>
                <mc:Choice Requires="wps">
                  <w:drawing>
                    <wp:anchor distT="0" distB="0" distL="114300" distR="114300" simplePos="0" relativeHeight="251660288" behindDoc="0" locked="0" layoutInCell="1" allowOverlap="1" wp14:anchorId="770D1025" wp14:editId="4B314AB6">
                      <wp:simplePos x="0" y="0"/>
                      <wp:positionH relativeFrom="column">
                        <wp:posOffset>122555</wp:posOffset>
                      </wp:positionH>
                      <wp:positionV relativeFrom="paragraph">
                        <wp:posOffset>461991</wp:posOffset>
                      </wp:positionV>
                      <wp:extent cx="116840" cy="619125"/>
                      <wp:effectExtent l="19050" t="0" r="35560" b="47625"/>
                      <wp:wrapNone/>
                      <wp:docPr id="19" name="Down Arrow 19"/>
                      <wp:cNvGraphicFramePr/>
                      <a:graphic xmlns:a="http://schemas.openxmlformats.org/drawingml/2006/main">
                        <a:graphicData uri="http://schemas.microsoft.com/office/word/2010/wordprocessingShape">
                          <wps:wsp>
                            <wps:cNvSpPr/>
                            <wps:spPr>
                              <a:xfrm flipH="1">
                                <a:off x="0" y="0"/>
                                <a:ext cx="116840" cy="619125"/>
                              </a:xfrm>
                              <a:prstGeom prst="downArrow">
                                <a:avLst/>
                              </a:prstGeom>
                              <a:solidFill>
                                <a:srgbClr val="4F81BD"/>
                              </a:solidFill>
                              <a:ln w="25400" cap="flat" cmpd="sng" algn="ctr">
                                <a:solidFill>
                                  <a:srgbClr val="4F81BD">
                                    <a:shade val="50000"/>
                                  </a:srgbClr>
                                </a:solidFill>
                                <a:prstDash val="solid"/>
                              </a:ln>
                              <a:effectLst/>
                            </wps:spPr>
                            <wps:txbx>
                              <w:txbxContent>
                                <w:p w:rsidR="00254997" w:rsidRDefault="00254997" w:rsidP="002549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D1025" id="Down Arrow 19" o:spid="_x0000_s1027" type="#_x0000_t67" style="position:absolute;left:0;text-align:left;margin-left:9.65pt;margin-top:36.4pt;width:9.2pt;height:48.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" adj="19562" fillcolor="#4f81bd" strokecolor="#385d8a" strokeweight="2pt">
                      <v:textbox>
                        <w:txbxContent>
                          <w:p w:rsidR="00254997" w:rsidRDefault="00254997" w:rsidP="00254997">
                            <w:pPr>
                              <w:jc w:val="center"/>
                            </w:pPr>
                          </w:p>
                        </w:txbxContent>
                      </v:textbox>
                    </v:shape>
                  </w:pict>
                </mc:Fallback>
              </mc:AlternateContent>
            </w:r>
            <w:r w:rsidRPr="006A629A">
              <w:rPr>
                <w:sz w:val="18"/>
                <w:lang w:val="es-419"/>
              </w:rPr>
              <w:t>Notas</w:t>
            </w:r>
          </w:p>
        </w:tc>
        <w:tc>
          <w:tcPr>
            <w:tcW w:w="2867" w:type="dxa"/>
            <w:tcBorders>
              <w:top w:val="single" w:sz="4" w:space="0" w:color="auto"/>
              <w:left w:val="single" w:sz="4" w:space="0" w:color="auto"/>
              <w:bottom w:val="single" w:sz="4" w:space="0" w:color="auto"/>
              <w:right w:val="single" w:sz="4" w:space="0" w:color="auto"/>
            </w:tcBorders>
          </w:tcPr>
          <w:p w:rsidR="00254997" w:rsidRPr="006A629A" w:rsidRDefault="00254997" w:rsidP="002002EE">
            <w:pPr>
              <w:spacing w:before="240"/>
              <w:rPr>
                <w:sz w:val="18"/>
                <w:lang w:val="es-419"/>
              </w:rPr>
            </w:pPr>
            <w:r w:rsidRPr="006A629A">
              <w:rPr>
                <w:sz w:val="18"/>
                <w:lang w:val="es-419"/>
              </w:rPr>
              <w:t>Elemento en que se basa la comparación en el mismo ensayo</w:t>
            </w:r>
          </w:p>
          <w:p w:rsidR="00254997" w:rsidRPr="006A629A" w:rsidRDefault="00254997" w:rsidP="002002EE">
            <w:pPr>
              <w:spacing w:before="240"/>
              <w:rPr>
                <w:rFonts w:cs="Arial"/>
                <w:sz w:val="18"/>
                <w:lang w:val="es-419"/>
              </w:rPr>
            </w:pPr>
          </w:p>
        </w:tc>
      </w:tr>
      <w:tr w:rsidR="00254997" w:rsidRPr="006A629A" w:rsidTr="002002EE">
        <w:tc>
          <w:tcPr>
            <w:tcW w:w="1101" w:type="dxa"/>
            <w:tcBorders>
              <w:top w:val="single" w:sz="4" w:space="0" w:color="auto"/>
              <w:left w:val="single" w:sz="4" w:space="0" w:color="auto"/>
              <w:bottom w:val="nil"/>
              <w:right w:val="single" w:sz="4" w:space="0" w:color="auto"/>
            </w:tcBorders>
            <w:hideMark/>
          </w:tcPr>
          <w:p w:rsidR="00254997" w:rsidRPr="006A629A" w:rsidRDefault="00254997" w:rsidP="002002EE">
            <w:pPr>
              <w:spacing w:before="240"/>
              <w:jc w:val="center"/>
              <w:rPr>
                <w:rFonts w:cs="Arial"/>
                <w:sz w:val="18"/>
                <w:lang w:val="es-419"/>
              </w:rPr>
            </w:pPr>
            <w:r w:rsidRPr="006A629A">
              <w:rPr>
                <w:sz w:val="18"/>
                <w:lang w:val="es-419"/>
              </w:rPr>
              <w:t>3</w:t>
            </w:r>
          </w:p>
        </w:tc>
        <w:tc>
          <w:tcPr>
            <w:tcW w:w="2268" w:type="dxa"/>
            <w:tcBorders>
              <w:top w:val="single" w:sz="4" w:space="0" w:color="auto"/>
              <w:left w:val="single" w:sz="4" w:space="0" w:color="auto"/>
              <w:bottom w:val="nil"/>
              <w:right w:val="single" w:sz="4" w:space="0" w:color="auto"/>
            </w:tcBorders>
            <w:hideMark/>
          </w:tcPr>
          <w:p w:rsidR="00254997" w:rsidRPr="006A629A" w:rsidRDefault="00254997" w:rsidP="002002EE">
            <w:pPr>
              <w:spacing w:before="120"/>
              <w:ind w:left="600"/>
              <w:rPr>
                <w:rFonts w:cs="Arial"/>
                <w:sz w:val="18"/>
                <w:lang w:val="es-419"/>
              </w:rPr>
            </w:pPr>
            <w:r w:rsidRPr="006A629A">
              <w:rPr>
                <w:sz w:val="18"/>
                <w:lang w:val="es-419"/>
              </w:rPr>
              <w:t xml:space="preserve">Transformación en notas </w:t>
            </w:r>
          </w:p>
          <w:p w:rsidR="00254997" w:rsidRPr="006A629A" w:rsidRDefault="00254997" w:rsidP="002002EE">
            <w:pPr>
              <w:spacing w:before="120"/>
              <w:rPr>
                <w:rFonts w:cs="Arial"/>
                <w:sz w:val="18"/>
                <w:lang w:val="es-419"/>
              </w:rPr>
            </w:pPr>
            <w:r w:rsidRPr="006A629A">
              <w:rPr>
                <w:sz w:val="18"/>
                <w:lang w:val="es-419"/>
              </w:rPr>
              <w:t>Notas</w:t>
            </w:r>
          </w:p>
        </w:tc>
        <w:tc>
          <w:tcPr>
            <w:tcW w:w="2976" w:type="dxa"/>
            <w:tcBorders>
              <w:top w:val="single" w:sz="4" w:space="0" w:color="auto"/>
              <w:left w:val="single" w:sz="4" w:space="0" w:color="auto"/>
              <w:bottom w:val="nil"/>
              <w:right w:val="single" w:sz="4" w:space="0" w:color="auto"/>
            </w:tcBorders>
          </w:tcPr>
          <w:p w:rsidR="00254997" w:rsidRPr="006A629A" w:rsidRDefault="00254997" w:rsidP="002002EE">
            <w:pPr>
              <w:spacing w:before="120"/>
              <w:ind w:left="459"/>
              <w:rPr>
                <w:rFonts w:cs="Arial"/>
                <w:sz w:val="18"/>
                <w:lang w:val="es-419"/>
              </w:rPr>
            </w:pPr>
            <w:r w:rsidRPr="006A629A">
              <w:rPr>
                <w:sz w:val="18"/>
                <w:lang w:val="es-419"/>
              </w:rPr>
              <w:t>Mismas notas que en el nivel 1 del proceso</w:t>
            </w:r>
          </w:p>
          <w:p w:rsidR="00254997" w:rsidRPr="006A629A" w:rsidRDefault="00254997" w:rsidP="002002EE">
            <w:pPr>
              <w:spacing w:before="120"/>
              <w:ind w:left="34"/>
              <w:rPr>
                <w:rFonts w:cs="Arial"/>
                <w:sz w:val="2"/>
                <w:szCs w:val="2"/>
                <w:lang w:val="es-419"/>
              </w:rPr>
            </w:pPr>
          </w:p>
          <w:p w:rsidR="00254997" w:rsidRPr="006A629A" w:rsidRDefault="00254997" w:rsidP="002002EE">
            <w:pPr>
              <w:ind w:left="34"/>
              <w:rPr>
                <w:rFonts w:cs="Arial"/>
                <w:sz w:val="18"/>
                <w:lang w:val="es-419"/>
              </w:rPr>
            </w:pPr>
            <w:r w:rsidRPr="006A629A">
              <w:rPr>
                <w:sz w:val="18"/>
                <w:lang w:val="es-419"/>
              </w:rPr>
              <w:t>Notas</w:t>
            </w:r>
          </w:p>
        </w:tc>
        <w:tc>
          <w:tcPr>
            <w:tcW w:w="2867" w:type="dxa"/>
            <w:tcBorders>
              <w:top w:val="single" w:sz="4" w:space="0" w:color="auto"/>
              <w:left w:val="single" w:sz="4" w:space="0" w:color="auto"/>
              <w:bottom w:val="nil"/>
              <w:right w:val="single" w:sz="4" w:space="0" w:color="auto"/>
            </w:tcBorders>
            <w:hideMark/>
          </w:tcPr>
          <w:p w:rsidR="00254997" w:rsidRPr="006A629A" w:rsidRDefault="00254997" w:rsidP="002002EE">
            <w:pPr>
              <w:spacing w:before="240"/>
              <w:rPr>
                <w:rFonts w:cs="Arial"/>
                <w:sz w:val="18"/>
                <w:lang w:val="es-419"/>
              </w:rPr>
            </w:pPr>
            <w:r w:rsidRPr="006A629A">
              <w:rPr>
                <w:sz w:val="18"/>
                <w:lang w:val="es-419"/>
              </w:rPr>
              <w:t>Notas resultantes de un año y un lugar</w:t>
            </w:r>
          </w:p>
        </w:tc>
      </w:tr>
      <w:tr w:rsidR="00254997" w:rsidRPr="006A629A" w:rsidTr="002002EE">
        <w:tc>
          <w:tcPr>
            <w:tcW w:w="1101" w:type="dxa"/>
            <w:tcBorders>
              <w:top w:val="nil"/>
              <w:left w:val="single" w:sz="4" w:space="0" w:color="auto"/>
              <w:bottom w:val="single" w:sz="4" w:space="0" w:color="auto"/>
              <w:right w:val="single" w:sz="4" w:space="0" w:color="auto"/>
            </w:tcBorders>
          </w:tcPr>
          <w:p w:rsidR="00254997" w:rsidRPr="006A629A" w:rsidRDefault="00254997" w:rsidP="002002EE">
            <w:pPr>
              <w:jc w:val="center"/>
              <w:rPr>
                <w:rFonts w:cs="Arial"/>
                <w:sz w:val="18"/>
                <w:lang w:val="es-419"/>
              </w:rPr>
            </w:pPr>
          </w:p>
        </w:tc>
        <w:tc>
          <w:tcPr>
            <w:tcW w:w="5244" w:type="dxa"/>
            <w:gridSpan w:val="2"/>
            <w:tcBorders>
              <w:top w:val="nil"/>
              <w:left w:val="single" w:sz="4" w:space="0" w:color="auto"/>
              <w:bottom w:val="single" w:sz="4" w:space="0" w:color="auto"/>
              <w:right w:val="single" w:sz="4" w:space="0" w:color="auto"/>
            </w:tcBorders>
            <w:hideMark/>
          </w:tcPr>
          <w:p w:rsidR="00254997" w:rsidRPr="006A629A" w:rsidRDefault="00254997" w:rsidP="002002EE">
            <w:pPr>
              <w:jc w:val="center"/>
              <w:rPr>
                <w:rFonts w:cs="Arial"/>
                <w:sz w:val="18"/>
                <w:lang w:val="es-419"/>
              </w:rPr>
            </w:pPr>
            <w:r w:rsidRPr="006A629A">
              <w:rPr>
                <w:noProof/>
                <w:lang w:val="en-US"/>
              </w:rPr>
              <mc:AlternateContent>
                <mc:Choice Requires="wps">
                  <w:drawing>
                    <wp:anchor distT="0" distB="0" distL="114300" distR="114300" simplePos="0" relativeHeight="251661312" behindDoc="0" locked="0" layoutInCell="1" allowOverlap="1" wp14:anchorId="3D0C0375" wp14:editId="10ED6318">
                      <wp:simplePos x="0" y="0"/>
                      <wp:positionH relativeFrom="column">
                        <wp:posOffset>1311621</wp:posOffset>
                      </wp:positionH>
                      <wp:positionV relativeFrom="paragraph">
                        <wp:posOffset>-28824</wp:posOffset>
                      </wp:positionV>
                      <wp:extent cx="116840" cy="314325"/>
                      <wp:effectExtent l="19050" t="0" r="35560" b="47625"/>
                      <wp:wrapNone/>
                      <wp:docPr id="20" name="Down Arrow 20"/>
                      <wp:cNvGraphicFramePr/>
                      <a:graphic xmlns:a="http://schemas.openxmlformats.org/drawingml/2006/main">
                        <a:graphicData uri="http://schemas.microsoft.com/office/word/2010/wordprocessingShape">
                          <wps:wsp>
                            <wps:cNvSpPr/>
                            <wps:spPr>
                              <a:xfrm flipH="1">
                                <a:off x="0" y="0"/>
                                <a:ext cx="116840" cy="314325"/>
                              </a:xfrm>
                              <a:prstGeom prst="downArrow">
                                <a:avLst/>
                              </a:prstGeom>
                              <a:solidFill>
                                <a:srgbClr val="4F81BD"/>
                              </a:solidFill>
                              <a:ln w="25400" cap="flat" cmpd="sng" algn="ctr">
                                <a:solidFill>
                                  <a:srgbClr val="4F81BD">
                                    <a:shade val="50000"/>
                                  </a:srgbClr>
                                </a:solidFill>
                                <a:prstDash val="solid"/>
                              </a:ln>
                              <a:effectLst/>
                            </wps:spPr>
                            <wps:txbx>
                              <w:txbxContent>
                                <w:p w:rsidR="00254997" w:rsidRDefault="00254997" w:rsidP="002549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C0375" id="Down Arrow 20" o:spid="_x0000_s1028" type="#_x0000_t67" style="position:absolute;left:0;text-align:left;margin-left:103.3pt;margin-top:-2.25pt;width:9.2pt;height:24.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" adj="17585" fillcolor="#4f81bd" strokecolor="#385d8a" strokeweight="2pt">
                      <v:textbox>
                        <w:txbxContent>
                          <w:p w:rsidR="00254997" w:rsidRDefault="00254997" w:rsidP="00254997">
                            <w:pPr>
                              <w:jc w:val="center"/>
                            </w:pPr>
                          </w:p>
                        </w:txbxContent>
                      </v:textbox>
                    </v:shape>
                  </w:pict>
                </mc:Fallback>
              </mc:AlternateContent>
            </w:r>
          </w:p>
          <w:p w:rsidR="00254997" w:rsidRPr="006A629A" w:rsidRDefault="00254997" w:rsidP="002002EE">
            <w:pPr>
              <w:spacing w:before="240"/>
              <w:jc w:val="center"/>
              <w:rPr>
                <w:rFonts w:cs="Arial"/>
                <w:sz w:val="18"/>
                <w:lang w:val="es-419"/>
              </w:rPr>
            </w:pPr>
            <w:r w:rsidRPr="006A629A">
              <w:rPr>
                <w:sz w:val="18"/>
                <w:lang w:val="es-419"/>
              </w:rPr>
              <w:t>“</w:t>
            </w:r>
            <w:r w:rsidRPr="006A629A">
              <w:rPr>
                <w:b/>
                <w:sz w:val="18"/>
                <w:lang w:val="es-419"/>
              </w:rPr>
              <w:t>Descripción media de la variedad</w:t>
            </w:r>
            <w:r w:rsidRPr="006A629A">
              <w:rPr>
                <w:sz w:val="18"/>
                <w:lang w:val="es-419"/>
              </w:rPr>
              <w:t xml:space="preserve">” </w:t>
            </w:r>
          </w:p>
          <w:p w:rsidR="00254997" w:rsidRPr="006A629A" w:rsidRDefault="00254997" w:rsidP="002002EE">
            <w:pPr>
              <w:spacing w:before="120"/>
              <w:jc w:val="center"/>
              <w:rPr>
                <w:rFonts w:cs="Arial"/>
                <w:sz w:val="18"/>
                <w:lang w:val="es-419"/>
              </w:rPr>
            </w:pPr>
            <w:r w:rsidRPr="006A629A">
              <w:rPr>
                <w:sz w:val="18"/>
                <w:lang w:val="es-419"/>
              </w:rPr>
              <w:t>Si las variedades se evalúan en varios ensayos/años/lugares, es posible establecer descripciones medias.</w:t>
            </w:r>
          </w:p>
        </w:tc>
        <w:tc>
          <w:tcPr>
            <w:tcW w:w="2867" w:type="dxa"/>
            <w:tcBorders>
              <w:top w:val="nil"/>
              <w:left w:val="single" w:sz="4" w:space="0" w:color="auto"/>
              <w:bottom w:val="single" w:sz="4" w:space="0" w:color="auto"/>
              <w:right w:val="single" w:sz="4" w:space="0" w:color="auto"/>
            </w:tcBorders>
          </w:tcPr>
          <w:p w:rsidR="00254997" w:rsidRPr="006A629A" w:rsidRDefault="00254997" w:rsidP="002002EE">
            <w:pPr>
              <w:spacing w:before="240"/>
              <w:rPr>
                <w:rFonts w:cs="Arial"/>
                <w:sz w:val="18"/>
                <w:lang w:val="es-419"/>
              </w:rPr>
            </w:pPr>
            <w:r w:rsidRPr="006A629A">
              <w:rPr>
                <w:sz w:val="18"/>
                <w:lang w:val="es-419"/>
              </w:rPr>
              <w:t>Elemento en que se basa la gestión de la colección de variedades</w:t>
            </w:r>
          </w:p>
        </w:tc>
      </w:tr>
    </w:tbl>
    <w:p w:rsidR="00254997" w:rsidRPr="006A629A" w:rsidRDefault="00254997" w:rsidP="00254997">
      <w:pPr>
        <w:rPr>
          <w:rFonts w:cs="Arial"/>
          <w:sz w:val="18"/>
          <w:lang w:val="es-419"/>
        </w:rPr>
      </w:pPr>
    </w:p>
    <w:p w:rsidR="00254997" w:rsidRPr="006A629A" w:rsidRDefault="00254997" w:rsidP="00254997">
      <w:pPr>
        <w:ind w:left="567" w:right="567"/>
        <w:rPr>
          <w:rFonts w:cs="Arial"/>
          <w:sz w:val="18"/>
          <w:lang w:val="es-419"/>
        </w:rPr>
      </w:pPr>
      <w:r w:rsidRPr="006A629A">
        <w:rPr>
          <w:sz w:val="18"/>
          <w:lang w:val="es-419"/>
        </w:rPr>
        <w:t>En general, los caracteres cuantitativos están sujetos a la influencia del medio ambiente. Una manera eficiente de reducir la influencia medioambiental es transformar las mediciones reales en notas. Las notas representan una descripción normalizada de las variedades en relación con las variedades ejemplo (véase TGP/7). Además, si se calcula una descripción media de varios ciclos de cultivo, es posible mejorar la comparabilidad de las descripciones de variedades de aquellas variedades que no se examinen en el mismo ensayo. En especial, la descripción media de varios ciclos de cultivo en un mismo lugar puede brindar una descripción representativa asociada al lugar. El cálculo de una descripción media en diferentes lugares solo se debe considerar si se conocen muy bien los efectos de estos lugares y es posible excluir las interacciones entre variedad y lugar para ese carácter. El cálculo de las descripciones medias de varios lugares debe limitarse a los casos en que se cumplan estas condiciones.</w:t>
      </w:r>
    </w:p>
    <w:p w:rsidR="00254997" w:rsidRPr="006A629A" w:rsidRDefault="00254997" w:rsidP="00254997">
      <w:pPr>
        <w:ind w:left="567" w:right="567"/>
        <w:rPr>
          <w:rFonts w:cs="Arial"/>
          <w:sz w:val="18"/>
          <w:lang w:val="es-419"/>
        </w:rPr>
      </w:pPr>
    </w:p>
    <w:p w:rsidR="00254997" w:rsidRPr="006A629A" w:rsidRDefault="00254997" w:rsidP="00254997">
      <w:pPr>
        <w:ind w:left="567" w:right="567"/>
        <w:rPr>
          <w:rFonts w:cs="Arial"/>
          <w:sz w:val="18"/>
          <w:lang w:val="es-419"/>
        </w:rPr>
      </w:pPr>
      <w:r w:rsidRPr="006A629A">
        <w:rPr>
          <w:sz w:val="18"/>
          <w:lang w:val="es-419"/>
        </w:rPr>
        <w:t xml:space="preserve">Si las descripciones de diferentes ensayos en cultivo se utilizan para evaluar la distinción —es decir, para la gestión de las colecciones de variedades— es importante tener en cuenta el origen de las diferentes descripciones de variedades de la variedad candidata y las variedades notoriamente conocidas. La comparabilidad de las descripciones de variedades depende de muchos factores, </w:t>
      </w:r>
      <w:proofErr w:type="gramStart"/>
      <w:r w:rsidRPr="006A629A">
        <w:rPr>
          <w:sz w:val="18"/>
          <w:lang w:val="es-419"/>
        </w:rPr>
        <w:t>como</w:t>
      </w:r>
      <w:proofErr w:type="gramEnd"/>
      <w:r w:rsidRPr="006A629A">
        <w:rPr>
          <w:sz w:val="18"/>
          <w:lang w:val="es-419"/>
        </w:rPr>
        <w:t xml:space="preserve"> por ejemplo:</w:t>
      </w:r>
    </w:p>
    <w:p w:rsidR="00254997" w:rsidRPr="006A629A" w:rsidRDefault="00254997" w:rsidP="00254997">
      <w:pPr>
        <w:ind w:left="567" w:right="567"/>
        <w:rPr>
          <w:rFonts w:cs="Arial"/>
          <w:sz w:val="18"/>
          <w:lang w:val="es-419"/>
        </w:rPr>
      </w:pPr>
    </w:p>
    <w:p w:rsidR="00254997" w:rsidRPr="006A629A" w:rsidRDefault="00254997" w:rsidP="00254997">
      <w:pPr>
        <w:numPr>
          <w:ilvl w:val="0"/>
          <w:numId w:val="2"/>
        </w:numPr>
        <w:ind w:left="567" w:right="567"/>
        <w:rPr>
          <w:rFonts w:cs="Arial"/>
          <w:sz w:val="18"/>
          <w:lang w:val="es-419"/>
        </w:rPr>
      </w:pPr>
      <w:r w:rsidRPr="006A629A">
        <w:rPr>
          <w:sz w:val="18"/>
          <w:lang w:val="es-419"/>
        </w:rPr>
        <w:t>La descripción, ¿se basa en un solo año o es la media de varios años?</w:t>
      </w:r>
    </w:p>
    <w:p w:rsidR="00254997" w:rsidRPr="006A629A" w:rsidRDefault="00254997" w:rsidP="00254997">
      <w:pPr>
        <w:numPr>
          <w:ilvl w:val="0"/>
          <w:numId w:val="2"/>
        </w:numPr>
        <w:ind w:left="567" w:right="567"/>
        <w:rPr>
          <w:rFonts w:cs="Arial"/>
          <w:sz w:val="18"/>
          <w:lang w:val="es-419"/>
        </w:rPr>
      </w:pPr>
      <w:r w:rsidRPr="006A629A">
        <w:rPr>
          <w:sz w:val="18"/>
          <w:lang w:val="es-419"/>
        </w:rPr>
        <w:t>La descripción, ¿se basa en un mismo lugar o en diferentes lugares?</w:t>
      </w:r>
    </w:p>
    <w:p w:rsidR="00254997" w:rsidRPr="006A629A" w:rsidRDefault="00254997" w:rsidP="00254997">
      <w:pPr>
        <w:numPr>
          <w:ilvl w:val="0"/>
          <w:numId w:val="2"/>
        </w:numPr>
        <w:ind w:left="567" w:right="567"/>
        <w:rPr>
          <w:rFonts w:cs="Arial"/>
          <w:sz w:val="18"/>
          <w:lang w:val="es-419"/>
        </w:rPr>
      </w:pPr>
      <w:proofErr w:type="gramStart"/>
      <w:r w:rsidRPr="006A629A">
        <w:rPr>
          <w:sz w:val="18"/>
          <w:lang w:val="es-419"/>
        </w:rPr>
        <w:t>Se conocen los efectos de los diferentes lugares?</w:t>
      </w:r>
      <w:proofErr w:type="gramEnd"/>
    </w:p>
    <w:p w:rsidR="00254997" w:rsidRPr="006A629A" w:rsidRDefault="00254997" w:rsidP="00254997">
      <w:pPr>
        <w:numPr>
          <w:ilvl w:val="0"/>
          <w:numId w:val="2"/>
        </w:numPr>
        <w:ind w:left="567" w:right="567"/>
        <w:rPr>
          <w:rFonts w:cs="Arial"/>
          <w:sz w:val="18"/>
          <w:lang w:val="es-419"/>
        </w:rPr>
      </w:pPr>
      <w:r w:rsidRPr="006A629A">
        <w:rPr>
          <w:sz w:val="18"/>
          <w:lang w:val="es-419"/>
        </w:rPr>
        <w:t>Las variedades, ¿se describen en relación con una misma colección de variedades o con una colección de variedades que podría abarcar una gama diferente de variación?</w:t>
      </w:r>
    </w:p>
    <w:p w:rsidR="00254997" w:rsidRPr="006A629A" w:rsidRDefault="00254997" w:rsidP="00254997">
      <w:pPr>
        <w:ind w:left="567" w:right="567"/>
        <w:rPr>
          <w:rFonts w:cs="Arial"/>
          <w:sz w:val="18"/>
          <w:lang w:val="es-419"/>
        </w:rPr>
      </w:pPr>
    </w:p>
    <w:p w:rsidR="00254997" w:rsidRPr="006A629A" w:rsidRDefault="00254997" w:rsidP="00254997">
      <w:pPr>
        <w:ind w:left="567" w:right="567"/>
        <w:rPr>
          <w:rFonts w:cs="Arial"/>
          <w:sz w:val="18"/>
          <w:lang w:val="es-419"/>
        </w:rPr>
      </w:pPr>
      <w:r w:rsidRPr="006A629A">
        <w:rPr>
          <w:sz w:val="18"/>
          <w:lang w:val="es-419"/>
        </w:rPr>
        <w:t>El posible sesgo en las descripciones de variedades debido a efectos ambientales diferentes entre las variedades candidatas y las variedades de la colección de variedades se debe tener en cuenta en el proceso del examen de la distinción y, en concreto, para identificar las variedades notoriamente conocidas que se han de incluir en el ensayo en cultivo.</w:t>
      </w:r>
    </w:p>
    <w:p w:rsidR="00254997" w:rsidRPr="006A629A" w:rsidRDefault="00254997" w:rsidP="00254997">
      <w:pPr>
        <w:ind w:left="567" w:right="567"/>
        <w:rPr>
          <w:rFonts w:cs="Arial"/>
          <w:sz w:val="18"/>
          <w:lang w:val="es-419"/>
        </w:rPr>
      </w:pPr>
    </w:p>
    <w:p w:rsidR="00254997" w:rsidRPr="006A629A" w:rsidRDefault="00254997" w:rsidP="00254997">
      <w:pPr>
        <w:ind w:left="567" w:right="567"/>
        <w:rPr>
          <w:rFonts w:cs="Arial"/>
          <w:sz w:val="18"/>
          <w:lang w:val="es-419"/>
        </w:rPr>
      </w:pPr>
    </w:p>
    <w:p w:rsidR="00254997" w:rsidRPr="006A629A" w:rsidRDefault="00254997" w:rsidP="00254997">
      <w:pPr>
        <w:ind w:left="567" w:right="567"/>
        <w:rPr>
          <w:rFonts w:cs="Arial"/>
          <w:sz w:val="18"/>
          <w:lang w:val="es-419"/>
        </w:rPr>
      </w:pPr>
    </w:p>
    <w:p w:rsidR="00254997" w:rsidRPr="006A629A" w:rsidRDefault="00254997" w:rsidP="00254997">
      <w:pPr>
        <w:jc w:val="right"/>
        <w:rPr>
          <w:lang w:val="es-419"/>
        </w:rPr>
      </w:pPr>
      <w:r w:rsidRPr="006A629A">
        <w:rPr>
          <w:lang w:val="es-419"/>
        </w:rPr>
        <w:t>[Sigue el Anexo III]</w:t>
      </w:r>
    </w:p>
    <w:p w:rsidR="00254997" w:rsidRPr="006A629A" w:rsidRDefault="00254997" w:rsidP="00254997">
      <w:pPr>
        <w:jc w:val="right"/>
        <w:rPr>
          <w:lang w:val="es-419"/>
        </w:rPr>
        <w:sectPr w:rsidR="00254997" w:rsidRPr="006A629A" w:rsidSect="0004198B">
          <w:headerReference w:type="default" r:id="rId11"/>
          <w:headerReference w:type="first" r:id="rId12"/>
          <w:pgSz w:w="11907" w:h="16840" w:code="9"/>
          <w:pgMar w:top="510" w:right="1134" w:bottom="1134" w:left="1134" w:header="510" w:footer="680" w:gutter="0"/>
          <w:pgNumType w:start="1"/>
          <w:cols w:space="720"/>
          <w:titlePg/>
        </w:sectPr>
      </w:pPr>
    </w:p>
    <w:p w:rsidR="00254997" w:rsidRPr="006A629A" w:rsidRDefault="00254997" w:rsidP="00254997">
      <w:pPr>
        <w:jc w:val="right"/>
        <w:rPr>
          <w:lang w:val="es-419"/>
        </w:rPr>
      </w:pPr>
    </w:p>
    <w:p w:rsidR="00254997" w:rsidRPr="006A629A" w:rsidRDefault="00254997" w:rsidP="00254997">
      <w:pPr>
        <w:jc w:val="center"/>
        <w:rPr>
          <w:lang w:val="es-419"/>
        </w:rPr>
      </w:pPr>
      <w:r>
        <w:rPr>
          <w:lang w:val="es-419"/>
        </w:rPr>
        <w:t>C/56/3</w:t>
      </w:r>
    </w:p>
    <w:p w:rsidR="00254997" w:rsidRPr="006A629A" w:rsidRDefault="00254997" w:rsidP="00254997">
      <w:pPr>
        <w:jc w:val="center"/>
        <w:rPr>
          <w:lang w:val="es-419"/>
        </w:rPr>
      </w:pPr>
    </w:p>
    <w:p w:rsidR="00254997" w:rsidRPr="006A629A" w:rsidRDefault="00254997" w:rsidP="00254997">
      <w:pPr>
        <w:jc w:val="center"/>
        <w:rPr>
          <w:lang w:val="es-419"/>
        </w:rPr>
      </w:pPr>
      <w:r w:rsidRPr="006A629A">
        <w:rPr>
          <w:lang w:val="es-419"/>
        </w:rPr>
        <w:t>ANEXO III</w:t>
      </w:r>
    </w:p>
    <w:p w:rsidR="00254997" w:rsidRPr="006A629A" w:rsidRDefault="00254997" w:rsidP="00254997">
      <w:pPr>
        <w:rPr>
          <w:lang w:val="es-419"/>
        </w:rPr>
      </w:pPr>
    </w:p>
    <w:p w:rsidR="00254997" w:rsidRPr="006A629A" w:rsidRDefault="00254997" w:rsidP="00254997">
      <w:pPr>
        <w:rPr>
          <w:lang w:val="es-419"/>
        </w:rPr>
      </w:pPr>
    </w:p>
    <w:p w:rsidR="00254997" w:rsidRPr="006A629A" w:rsidRDefault="00254997" w:rsidP="00254997">
      <w:pPr>
        <w:rPr>
          <w:u w:val="single"/>
          <w:lang w:val="es-419"/>
        </w:rPr>
      </w:pPr>
      <w:r w:rsidRPr="006A629A">
        <w:rPr>
          <w:u w:val="single"/>
          <w:lang w:val="es-419"/>
        </w:rPr>
        <w:t>Documento TGP/12: Orientación sobre ciertos caracteres fisiológicos (revisión)</w:t>
      </w:r>
    </w:p>
    <w:p w:rsidR="00254997" w:rsidRPr="006A629A" w:rsidRDefault="00254997" w:rsidP="00254997">
      <w:pPr>
        <w:rPr>
          <w:u w:val="single"/>
          <w:lang w:val="es-419"/>
        </w:rPr>
      </w:pPr>
    </w:p>
    <w:p w:rsidR="00254997" w:rsidRPr="006A629A" w:rsidRDefault="00254997" w:rsidP="00254997">
      <w:pPr>
        <w:rPr>
          <w:lang w:val="es-419"/>
        </w:rPr>
      </w:pPr>
    </w:p>
    <w:p w:rsidR="00254997" w:rsidRPr="006A629A" w:rsidRDefault="00254997" w:rsidP="00254997">
      <w:pPr>
        <w:rPr>
          <w:snapToGrid w:val="0"/>
          <w:lang w:val="es-419"/>
        </w:rPr>
      </w:pPr>
      <w:r w:rsidRPr="006A629A">
        <w:rPr>
          <w:lang w:val="es-419"/>
        </w:rPr>
        <w:t xml:space="preserve">En su quincuagésima séptima sesión, celebrada por medios electrónicos los días 25 y 26 de octubre de 2021, el TC convino en modificar el apartado 2.3.2 del documento TGP/12/2, </w:t>
      </w:r>
      <w:r w:rsidRPr="006A629A">
        <w:rPr>
          <w:snapToGrid w:val="0"/>
          <w:lang w:val="es-419"/>
        </w:rPr>
        <w:t>a fin de sustituir el nivel de expresión “moderadamente resistente” por “intermedia” en el ejemplo de carácter de resistencia a una enfermedad con escala de ‘1 a 3’, de manera que el texto fuera el siguiente (véanse los párrafos 44 y 45 del documento TC/57/25 “Informe”):</w:t>
      </w:r>
    </w:p>
    <w:p w:rsidR="00254997" w:rsidRPr="006A629A" w:rsidRDefault="00254997" w:rsidP="00254997">
      <w:pPr>
        <w:rPr>
          <w:snapToGrid w:val="0"/>
          <w:lang w:val="es-419"/>
        </w:rPr>
      </w:pPr>
    </w:p>
    <w:p w:rsidR="00254997" w:rsidRPr="006A629A" w:rsidRDefault="00254997" w:rsidP="00254997">
      <w:pPr>
        <w:keepNext/>
        <w:keepLines/>
        <w:ind w:left="567"/>
        <w:jc w:val="left"/>
        <w:rPr>
          <w:lang w:val="es-419"/>
        </w:rPr>
      </w:pPr>
      <w:r w:rsidRPr="006A629A">
        <w:rPr>
          <w:u w:val="single"/>
          <w:lang w:val="es-419"/>
        </w:rPr>
        <w:t>Ejemplo con escala de ‘1 a 3’</w:t>
      </w:r>
      <w:r w:rsidRPr="006A629A">
        <w:rPr>
          <w:lang w:val="es-419"/>
        </w:rPr>
        <w:t xml:space="preserve">: Resistencia a </w:t>
      </w:r>
      <w:proofErr w:type="spellStart"/>
      <w:r w:rsidRPr="006A629A">
        <w:rPr>
          <w:i/>
          <w:lang w:val="es-419"/>
        </w:rPr>
        <w:t>Sphaerotheca</w:t>
      </w:r>
      <w:proofErr w:type="spellEnd"/>
      <w:r w:rsidRPr="006A629A">
        <w:rPr>
          <w:i/>
          <w:lang w:val="es-419"/>
        </w:rPr>
        <w:t xml:space="preserve"> </w:t>
      </w:r>
      <w:proofErr w:type="spellStart"/>
      <w:r w:rsidRPr="006A629A">
        <w:rPr>
          <w:i/>
          <w:lang w:val="es-419"/>
        </w:rPr>
        <w:t>fuliginea</w:t>
      </w:r>
      <w:proofErr w:type="spellEnd"/>
      <w:r w:rsidRPr="006A629A">
        <w:rPr>
          <w:lang w:val="es-419"/>
        </w:rPr>
        <w:t xml:space="preserve"> (</w:t>
      </w:r>
      <w:proofErr w:type="spellStart"/>
      <w:r w:rsidRPr="006A629A">
        <w:rPr>
          <w:i/>
          <w:lang w:val="es-419"/>
        </w:rPr>
        <w:t>Podosphaera</w:t>
      </w:r>
      <w:proofErr w:type="spellEnd"/>
      <w:r w:rsidRPr="006A629A">
        <w:rPr>
          <w:i/>
          <w:lang w:val="es-419"/>
        </w:rPr>
        <w:t xml:space="preserve"> </w:t>
      </w:r>
      <w:proofErr w:type="spellStart"/>
      <w:r w:rsidRPr="006A629A">
        <w:rPr>
          <w:i/>
          <w:lang w:val="es-419"/>
        </w:rPr>
        <w:t>xanthii</w:t>
      </w:r>
      <w:proofErr w:type="spellEnd"/>
      <w:r w:rsidRPr="006A629A">
        <w:rPr>
          <w:lang w:val="es-419"/>
        </w:rPr>
        <w:t>) (oídio) en el melón (directrices de examen de la UPOV: TG/104/5)</w:t>
      </w:r>
    </w:p>
    <w:p w:rsidR="00254997" w:rsidRPr="006A629A" w:rsidRDefault="00254997" w:rsidP="00254997">
      <w:pPr>
        <w:keepNext/>
        <w:keepLines/>
        <w:rPr>
          <w:sz w:val="18"/>
          <w:lang w:val="es-419"/>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8"/>
        <w:gridCol w:w="425"/>
        <w:gridCol w:w="1733"/>
        <w:gridCol w:w="1734"/>
        <w:gridCol w:w="1734"/>
        <w:gridCol w:w="851"/>
        <w:gridCol w:w="567"/>
      </w:tblGrid>
      <w:tr w:rsidR="00254997" w:rsidRPr="006A629A" w:rsidTr="002002EE">
        <w:trPr>
          <w:cantSplit/>
          <w:tblHeader/>
          <w:jc w:val="center"/>
        </w:trPr>
        <w:tc>
          <w:tcPr>
            <w:tcW w:w="578" w:type="dxa"/>
            <w:tcBorders>
              <w:top w:val="single" w:sz="6" w:space="0" w:color="auto"/>
              <w:left w:val="nil"/>
              <w:bottom w:val="single" w:sz="4" w:space="0" w:color="auto"/>
              <w:right w:val="nil"/>
            </w:tcBorders>
            <w:vAlign w:val="center"/>
          </w:tcPr>
          <w:p w:rsidR="00254997" w:rsidRPr="006A629A" w:rsidRDefault="00254997" w:rsidP="002002EE">
            <w:pPr>
              <w:keepNext/>
              <w:keepLines/>
              <w:spacing w:before="120" w:after="120"/>
              <w:jc w:val="left"/>
              <w:rPr>
                <w:sz w:val="16"/>
                <w:lang w:val="es-419"/>
              </w:rPr>
            </w:pPr>
          </w:p>
        </w:tc>
        <w:tc>
          <w:tcPr>
            <w:tcW w:w="425" w:type="dxa"/>
            <w:tcBorders>
              <w:top w:val="single" w:sz="6" w:space="0" w:color="auto"/>
              <w:left w:val="nil"/>
              <w:bottom w:val="single" w:sz="4" w:space="0" w:color="auto"/>
              <w:right w:val="nil"/>
            </w:tcBorders>
            <w:vAlign w:val="center"/>
          </w:tcPr>
          <w:p w:rsidR="00254997" w:rsidRPr="006A629A" w:rsidRDefault="00254997" w:rsidP="002002EE">
            <w:pPr>
              <w:keepNext/>
              <w:keepLines/>
              <w:spacing w:before="120" w:after="120"/>
              <w:jc w:val="left"/>
              <w:rPr>
                <w:sz w:val="16"/>
                <w:lang w:val="es-419"/>
              </w:rPr>
            </w:pPr>
          </w:p>
        </w:tc>
        <w:tc>
          <w:tcPr>
            <w:tcW w:w="1733" w:type="dxa"/>
            <w:tcBorders>
              <w:top w:val="single" w:sz="6" w:space="0" w:color="auto"/>
              <w:left w:val="nil"/>
              <w:bottom w:val="single" w:sz="4" w:space="0" w:color="auto"/>
              <w:right w:val="nil"/>
            </w:tcBorders>
            <w:vAlign w:val="center"/>
            <w:hideMark/>
          </w:tcPr>
          <w:p w:rsidR="00254997" w:rsidRPr="006A629A" w:rsidRDefault="00254997" w:rsidP="002002EE">
            <w:pPr>
              <w:keepNext/>
              <w:keepLines/>
              <w:spacing w:before="120" w:after="120"/>
              <w:jc w:val="left"/>
              <w:rPr>
                <w:sz w:val="16"/>
                <w:lang w:val="es-419"/>
              </w:rPr>
            </w:pPr>
            <w:r w:rsidRPr="006A629A">
              <w:rPr>
                <w:sz w:val="16"/>
                <w:lang w:val="es-419"/>
              </w:rPr>
              <w:t>Inglés</w:t>
            </w:r>
          </w:p>
        </w:tc>
        <w:tc>
          <w:tcPr>
            <w:tcW w:w="1734" w:type="dxa"/>
            <w:tcBorders>
              <w:top w:val="single" w:sz="6" w:space="0" w:color="auto"/>
              <w:left w:val="nil"/>
              <w:bottom w:val="single" w:sz="4" w:space="0" w:color="auto"/>
              <w:right w:val="nil"/>
            </w:tcBorders>
            <w:vAlign w:val="center"/>
          </w:tcPr>
          <w:p w:rsidR="00254997" w:rsidRPr="006A629A" w:rsidRDefault="00254997" w:rsidP="002002EE">
            <w:pPr>
              <w:keepNext/>
              <w:keepLines/>
              <w:spacing w:before="120" w:after="120"/>
              <w:jc w:val="left"/>
              <w:rPr>
                <w:sz w:val="16"/>
                <w:lang w:val="es-419"/>
              </w:rPr>
            </w:pPr>
          </w:p>
        </w:tc>
        <w:tc>
          <w:tcPr>
            <w:tcW w:w="1734" w:type="dxa"/>
            <w:tcBorders>
              <w:top w:val="single" w:sz="6" w:space="0" w:color="auto"/>
              <w:left w:val="nil"/>
              <w:bottom w:val="single" w:sz="4" w:space="0" w:color="auto"/>
              <w:right w:val="nil"/>
            </w:tcBorders>
            <w:vAlign w:val="center"/>
          </w:tcPr>
          <w:p w:rsidR="00254997" w:rsidRPr="006A629A" w:rsidRDefault="00254997" w:rsidP="002002EE">
            <w:pPr>
              <w:keepNext/>
              <w:keepLines/>
              <w:spacing w:before="120" w:after="120"/>
              <w:jc w:val="left"/>
              <w:rPr>
                <w:sz w:val="16"/>
                <w:lang w:val="es-419"/>
              </w:rPr>
            </w:pPr>
          </w:p>
        </w:tc>
        <w:tc>
          <w:tcPr>
            <w:tcW w:w="851" w:type="dxa"/>
            <w:tcBorders>
              <w:top w:val="single" w:sz="6" w:space="0" w:color="auto"/>
              <w:left w:val="nil"/>
              <w:bottom w:val="single" w:sz="4" w:space="0" w:color="auto"/>
              <w:right w:val="nil"/>
            </w:tcBorders>
            <w:vAlign w:val="center"/>
            <w:hideMark/>
          </w:tcPr>
          <w:p w:rsidR="00254997" w:rsidRPr="006A629A" w:rsidRDefault="00254997" w:rsidP="002002EE">
            <w:pPr>
              <w:keepNext/>
              <w:keepLines/>
              <w:spacing w:before="120" w:after="120"/>
              <w:jc w:val="left"/>
              <w:rPr>
                <w:sz w:val="16"/>
                <w:lang w:val="es-419"/>
              </w:rPr>
            </w:pPr>
            <w:r w:rsidRPr="006A629A">
              <w:rPr>
                <w:sz w:val="16"/>
                <w:lang w:val="es-419"/>
              </w:rPr>
              <w:t>Variedades ejemplo</w:t>
            </w:r>
          </w:p>
        </w:tc>
        <w:tc>
          <w:tcPr>
            <w:tcW w:w="567" w:type="dxa"/>
            <w:tcBorders>
              <w:top w:val="single" w:sz="6" w:space="0" w:color="auto"/>
              <w:left w:val="nil"/>
              <w:bottom w:val="single" w:sz="4" w:space="0" w:color="auto"/>
              <w:right w:val="nil"/>
            </w:tcBorders>
            <w:vAlign w:val="center"/>
            <w:hideMark/>
          </w:tcPr>
          <w:p w:rsidR="00254997" w:rsidRPr="006A629A" w:rsidRDefault="00254997" w:rsidP="002002EE">
            <w:pPr>
              <w:keepNext/>
              <w:keepLines/>
              <w:spacing w:before="120" w:after="120"/>
              <w:jc w:val="left"/>
              <w:rPr>
                <w:sz w:val="16"/>
                <w:lang w:val="es-419"/>
              </w:rPr>
            </w:pPr>
            <w:r w:rsidRPr="006A629A">
              <w:rPr>
                <w:sz w:val="16"/>
                <w:lang w:val="es-419"/>
              </w:rPr>
              <w:t>Nota</w:t>
            </w:r>
          </w:p>
        </w:tc>
      </w:tr>
      <w:tr w:rsidR="00254997" w:rsidRPr="006A629A" w:rsidTr="002002EE">
        <w:trPr>
          <w:cantSplit/>
          <w:jc w:val="center"/>
        </w:trPr>
        <w:tc>
          <w:tcPr>
            <w:tcW w:w="578" w:type="dxa"/>
            <w:tcBorders>
              <w:top w:val="single" w:sz="4" w:space="0" w:color="auto"/>
              <w:left w:val="nil"/>
              <w:bottom w:val="nil"/>
              <w:right w:val="nil"/>
            </w:tcBorders>
            <w:hideMark/>
          </w:tcPr>
          <w:p w:rsidR="00254997" w:rsidRPr="006A629A" w:rsidRDefault="00254997" w:rsidP="002002EE">
            <w:pPr>
              <w:keepNext/>
              <w:keepLines/>
              <w:spacing w:before="120" w:after="120"/>
              <w:jc w:val="left"/>
              <w:rPr>
                <w:b/>
                <w:bCs/>
                <w:sz w:val="16"/>
                <w:lang w:val="es-419"/>
              </w:rPr>
            </w:pPr>
            <w:r w:rsidRPr="006A629A">
              <w:rPr>
                <w:b/>
                <w:sz w:val="16"/>
                <w:lang w:val="es-419"/>
              </w:rPr>
              <w:t>70.</w:t>
            </w:r>
            <w:r w:rsidRPr="006A629A">
              <w:rPr>
                <w:b/>
                <w:sz w:val="16"/>
                <w:lang w:val="es-419"/>
              </w:rPr>
              <w:br/>
            </w:r>
            <w:r w:rsidRPr="006A629A">
              <w:rPr>
                <w:b/>
                <w:sz w:val="16"/>
                <w:lang w:val="es-419"/>
              </w:rPr>
              <w:br/>
              <w:t>(+)</w:t>
            </w:r>
          </w:p>
        </w:tc>
        <w:tc>
          <w:tcPr>
            <w:tcW w:w="425" w:type="dxa"/>
            <w:tcBorders>
              <w:top w:val="single" w:sz="4" w:space="0" w:color="auto"/>
              <w:left w:val="nil"/>
              <w:bottom w:val="nil"/>
              <w:right w:val="nil"/>
            </w:tcBorders>
            <w:hideMark/>
          </w:tcPr>
          <w:p w:rsidR="00254997" w:rsidRPr="006A629A" w:rsidRDefault="00254997" w:rsidP="002002EE">
            <w:pPr>
              <w:keepNext/>
              <w:keepLines/>
              <w:spacing w:before="120" w:after="120"/>
              <w:jc w:val="left"/>
              <w:rPr>
                <w:b/>
                <w:bCs/>
                <w:sz w:val="16"/>
                <w:lang w:val="es-419"/>
              </w:rPr>
            </w:pPr>
            <w:r w:rsidRPr="006A629A">
              <w:rPr>
                <w:b/>
                <w:sz w:val="16"/>
                <w:lang w:val="es-419"/>
              </w:rPr>
              <w:t>VG</w:t>
            </w:r>
          </w:p>
        </w:tc>
        <w:tc>
          <w:tcPr>
            <w:tcW w:w="1733" w:type="dxa"/>
            <w:tcBorders>
              <w:top w:val="single" w:sz="4" w:space="0" w:color="auto"/>
              <w:left w:val="nil"/>
              <w:bottom w:val="nil"/>
              <w:right w:val="nil"/>
            </w:tcBorders>
            <w:hideMark/>
          </w:tcPr>
          <w:p w:rsidR="00254997" w:rsidRPr="006A629A" w:rsidRDefault="00254997" w:rsidP="002002EE">
            <w:pPr>
              <w:keepNext/>
              <w:keepLines/>
              <w:spacing w:before="120" w:after="120"/>
              <w:jc w:val="left"/>
              <w:rPr>
                <w:b/>
                <w:bCs/>
                <w:sz w:val="16"/>
                <w:lang w:val="es-419"/>
              </w:rPr>
            </w:pPr>
            <w:r w:rsidRPr="006A629A">
              <w:rPr>
                <w:b/>
                <w:sz w:val="16"/>
                <w:lang w:val="es-419"/>
              </w:rPr>
              <w:t xml:space="preserve">Resistencia a </w:t>
            </w:r>
            <w:proofErr w:type="spellStart"/>
            <w:r w:rsidRPr="006A629A">
              <w:rPr>
                <w:b/>
                <w:i/>
                <w:sz w:val="16"/>
                <w:lang w:val="es-419"/>
              </w:rPr>
              <w:t>Sphaerotheca</w:t>
            </w:r>
            <w:proofErr w:type="spellEnd"/>
            <w:r w:rsidRPr="006A629A">
              <w:rPr>
                <w:b/>
                <w:i/>
                <w:sz w:val="16"/>
                <w:lang w:val="es-419"/>
              </w:rPr>
              <w:t xml:space="preserve"> </w:t>
            </w:r>
            <w:proofErr w:type="spellStart"/>
            <w:r w:rsidRPr="006A629A">
              <w:rPr>
                <w:b/>
                <w:i/>
                <w:sz w:val="16"/>
                <w:lang w:val="es-419"/>
              </w:rPr>
              <w:t>fuliginea</w:t>
            </w:r>
            <w:proofErr w:type="spellEnd"/>
            <w:r w:rsidRPr="006A629A">
              <w:rPr>
                <w:b/>
                <w:sz w:val="16"/>
                <w:lang w:val="es-419"/>
              </w:rPr>
              <w:t xml:space="preserve"> (</w:t>
            </w:r>
            <w:proofErr w:type="spellStart"/>
            <w:r w:rsidRPr="006A629A">
              <w:rPr>
                <w:b/>
                <w:i/>
                <w:sz w:val="16"/>
                <w:lang w:val="es-419"/>
              </w:rPr>
              <w:t>Podosphaera</w:t>
            </w:r>
            <w:proofErr w:type="spellEnd"/>
            <w:r w:rsidRPr="006A629A">
              <w:rPr>
                <w:b/>
                <w:i/>
                <w:sz w:val="16"/>
                <w:lang w:val="es-419"/>
              </w:rPr>
              <w:t xml:space="preserve"> </w:t>
            </w:r>
            <w:proofErr w:type="spellStart"/>
            <w:r w:rsidRPr="006A629A">
              <w:rPr>
                <w:b/>
                <w:i/>
                <w:sz w:val="16"/>
                <w:lang w:val="es-419"/>
              </w:rPr>
              <w:t>xanthii</w:t>
            </w:r>
            <w:proofErr w:type="spellEnd"/>
            <w:r w:rsidRPr="006A629A">
              <w:rPr>
                <w:b/>
                <w:sz w:val="16"/>
                <w:lang w:val="es-419"/>
              </w:rPr>
              <w:t>)</w:t>
            </w:r>
            <w:r w:rsidRPr="006A629A">
              <w:rPr>
                <w:sz w:val="16"/>
                <w:lang w:val="es-419"/>
              </w:rPr>
              <w:t xml:space="preserve"> </w:t>
            </w:r>
            <w:r w:rsidRPr="006A629A">
              <w:rPr>
                <w:b/>
                <w:sz w:val="16"/>
                <w:lang w:val="es-419"/>
              </w:rPr>
              <w:t>(Oídio)</w:t>
            </w:r>
          </w:p>
        </w:tc>
        <w:tc>
          <w:tcPr>
            <w:tcW w:w="1734" w:type="dxa"/>
            <w:tcBorders>
              <w:top w:val="single" w:sz="4" w:space="0" w:color="auto"/>
              <w:left w:val="nil"/>
              <w:bottom w:val="nil"/>
              <w:right w:val="nil"/>
            </w:tcBorders>
          </w:tcPr>
          <w:p w:rsidR="00254997" w:rsidRPr="006A629A" w:rsidRDefault="00254997" w:rsidP="002002EE">
            <w:pPr>
              <w:keepNext/>
              <w:keepLines/>
              <w:spacing w:before="120" w:after="120"/>
              <w:jc w:val="left"/>
              <w:rPr>
                <w:b/>
                <w:bCs/>
                <w:sz w:val="16"/>
                <w:lang w:val="es-419"/>
              </w:rPr>
            </w:pPr>
          </w:p>
        </w:tc>
        <w:tc>
          <w:tcPr>
            <w:tcW w:w="1734" w:type="dxa"/>
            <w:tcBorders>
              <w:top w:val="single" w:sz="4" w:space="0" w:color="auto"/>
              <w:left w:val="nil"/>
              <w:bottom w:val="nil"/>
              <w:right w:val="nil"/>
            </w:tcBorders>
          </w:tcPr>
          <w:p w:rsidR="00254997" w:rsidRPr="006A629A" w:rsidRDefault="00254997" w:rsidP="002002EE">
            <w:pPr>
              <w:keepNext/>
              <w:keepLines/>
              <w:spacing w:before="120" w:after="120"/>
              <w:jc w:val="left"/>
              <w:rPr>
                <w:b/>
                <w:bCs/>
                <w:sz w:val="16"/>
                <w:lang w:val="es-419"/>
              </w:rPr>
            </w:pPr>
          </w:p>
        </w:tc>
        <w:tc>
          <w:tcPr>
            <w:tcW w:w="851" w:type="dxa"/>
            <w:tcBorders>
              <w:top w:val="single" w:sz="4" w:space="0" w:color="auto"/>
              <w:left w:val="nil"/>
              <w:bottom w:val="nil"/>
              <w:right w:val="nil"/>
            </w:tcBorders>
          </w:tcPr>
          <w:p w:rsidR="00254997" w:rsidRPr="006A629A" w:rsidRDefault="00254997" w:rsidP="002002EE">
            <w:pPr>
              <w:keepNext/>
              <w:keepLines/>
              <w:spacing w:before="120" w:after="120"/>
              <w:jc w:val="left"/>
              <w:rPr>
                <w:b/>
                <w:bCs/>
                <w:sz w:val="16"/>
                <w:lang w:val="es-419"/>
              </w:rPr>
            </w:pPr>
          </w:p>
        </w:tc>
        <w:tc>
          <w:tcPr>
            <w:tcW w:w="567" w:type="dxa"/>
            <w:tcBorders>
              <w:top w:val="single" w:sz="4" w:space="0" w:color="auto"/>
              <w:left w:val="nil"/>
              <w:bottom w:val="nil"/>
              <w:right w:val="nil"/>
            </w:tcBorders>
          </w:tcPr>
          <w:p w:rsidR="00254997" w:rsidRPr="006A629A" w:rsidRDefault="00254997" w:rsidP="002002EE">
            <w:pPr>
              <w:keepNext/>
              <w:keepLines/>
              <w:spacing w:before="120" w:after="120"/>
              <w:jc w:val="left"/>
              <w:rPr>
                <w:b/>
                <w:bCs/>
                <w:sz w:val="16"/>
                <w:lang w:val="es-419"/>
              </w:rPr>
            </w:pPr>
          </w:p>
        </w:tc>
      </w:tr>
      <w:tr w:rsidR="00254997" w:rsidRPr="006A629A" w:rsidTr="002002EE">
        <w:trPr>
          <w:cantSplit/>
          <w:jc w:val="center"/>
        </w:trPr>
        <w:tc>
          <w:tcPr>
            <w:tcW w:w="578" w:type="dxa"/>
            <w:tcBorders>
              <w:top w:val="nil"/>
              <w:left w:val="nil"/>
              <w:bottom w:val="nil"/>
              <w:right w:val="nil"/>
            </w:tcBorders>
            <w:hideMark/>
          </w:tcPr>
          <w:p w:rsidR="00254997" w:rsidRPr="006A629A" w:rsidRDefault="00254997" w:rsidP="002002EE">
            <w:pPr>
              <w:keepNext/>
              <w:keepLines/>
              <w:spacing w:before="120" w:after="120"/>
              <w:jc w:val="left"/>
              <w:rPr>
                <w:b/>
                <w:sz w:val="16"/>
                <w:lang w:val="es-419"/>
              </w:rPr>
            </w:pPr>
            <w:r w:rsidRPr="006A629A">
              <w:rPr>
                <w:b/>
                <w:sz w:val="16"/>
                <w:lang w:val="es-419"/>
              </w:rPr>
              <w:t>70.1</w:t>
            </w:r>
          </w:p>
        </w:tc>
        <w:tc>
          <w:tcPr>
            <w:tcW w:w="425" w:type="dxa"/>
            <w:tcBorders>
              <w:top w:val="nil"/>
              <w:left w:val="nil"/>
              <w:bottom w:val="nil"/>
              <w:right w:val="nil"/>
            </w:tcBorders>
          </w:tcPr>
          <w:p w:rsidR="00254997" w:rsidRPr="006A629A" w:rsidRDefault="00254997" w:rsidP="002002EE">
            <w:pPr>
              <w:keepNext/>
              <w:keepLines/>
              <w:spacing w:before="120" w:after="120"/>
              <w:jc w:val="left"/>
              <w:rPr>
                <w:b/>
                <w:sz w:val="16"/>
                <w:lang w:val="es-419"/>
              </w:rPr>
            </w:pPr>
          </w:p>
        </w:tc>
        <w:tc>
          <w:tcPr>
            <w:tcW w:w="1733" w:type="dxa"/>
            <w:tcBorders>
              <w:top w:val="nil"/>
              <w:left w:val="nil"/>
              <w:bottom w:val="nil"/>
              <w:right w:val="nil"/>
            </w:tcBorders>
            <w:hideMark/>
          </w:tcPr>
          <w:p w:rsidR="00254997" w:rsidRPr="006A629A" w:rsidRDefault="00254997" w:rsidP="002002EE">
            <w:pPr>
              <w:keepNext/>
              <w:keepLines/>
              <w:spacing w:before="120" w:after="120"/>
              <w:jc w:val="left"/>
              <w:rPr>
                <w:b/>
                <w:sz w:val="16"/>
                <w:lang w:val="es-419"/>
              </w:rPr>
            </w:pPr>
            <w:r w:rsidRPr="006A629A">
              <w:rPr>
                <w:b/>
                <w:sz w:val="16"/>
                <w:lang w:val="es-419"/>
              </w:rPr>
              <w:t>Raza 1</w:t>
            </w:r>
          </w:p>
        </w:tc>
        <w:tc>
          <w:tcPr>
            <w:tcW w:w="1734" w:type="dxa"/>
            <w:tcBorders>
              <w:top w:val="nil"/>
              <w:left w:val="nil"/>
              <w:bottom w:val="nil"/>
              <w:right w:val="nil"/>
            </w:tcBorders>
          </w:tcPr>
          <w:p w:rsidR="00254997" w:rsidRPr="006A629A" w:rsidRDefault="00254997" w:rsidP="002002EE">
            <w:pPr>
              <w:keepNext/>
              <w:keepLines/>
              <w:spacing w:before="120" w:after="120"/>
              <w:jc w:val="left"/>
              <w:rPr>
                <w:b/>
                <w:sz w:val="16"/>
                <w:lang w:val="es-419"/>
              </w:rPr>
            </w:pPr>
          </w:p>
        </w:tc>
        <w:tc>
          <w:tcPr>
            <w:tcW w:w="1734" w:type="dxa"/>
            <w:tcBorders>
              <w:top w:val="nil"/>
              <w:left w:val="nil"/>
              <w:bottom w:val="nil"/>
              <w:right w:val="nil"/>
            </w:tcBorders>
          </w:tcPr>
          <w:p w:rsidR="00254997" w:rsidRPr="006A629A" w:rsidRDefault="00254997" w:rsidP="002002EE">
            <w:pPr>
              <w:keepNext/>
              <w:keepLines/>
              <w:spacing w:before="120" w:after="120"/>
              <w:jc w:val="left"/>
              <w:rPr>
                <w:b/>
                <w:sz w:val="16"/>
                <w:lang w:val="es-419"/>
              </w:rPr>
            </w:pPr>
          </w:p>
        </w:tc>
        <w:tc>
          <w:tcPr>
            <w:tcW w:w="851" w:type="dxa"/>
            <w:tcBorders>
              <w:top w:val="nil"/>
              <w:left w:val="nil"/>
              <w:bottom w:val="nil"/>
              <w:right w:val="nil"/>
            </w:tcBorders>
          </w:tcPr>
          <w:p w:rsidR="00254997" w:rsidRPr="006A629A" w:rsidRDefault="00254997" w:rsidP="002002EE">
            <w:pPr>
              <w:keepNext/>
              <w:keepLines/>
              <w:spacing w:before="120" w:after="120"/>
              <w:jc w:val="left"/>
              <w:rPr>
                <w:sz w:val="16"/>
                <w:lang w:val="es-419"/>
              </w:rPr>
            </w:pPr>
          </w:p>
        </w:tc>
        <w:tc>
          <w:tcPr>
            <w:tcW w:w="567" w:type="dxa"/>
            <w:tcBorders>
              <w:top w:val="nil"/>
              <w:left w:val="nil"/>
              <w:bottom w:val="nil"/>
              <w:right w:val="nil"/>
            </w:tcBorders>
          </w:tcPr>
          <w:p w:rsidR="00254997" w:rsidRPr="006A629A" w:rsidRDefault="00254997" w:rsidP="002002EE">
            <w:pPr>
              <w:keepNext/>
              <w:keepLines/>
              <w:spacing w:before="120" w:after="120"/>
              <w:jc w:val="left"/>
              <w:rPr>
                <w:sz w:val="16"/>
                <w:lang w:val="es-419"/>
              </w:rPr>
            </w:pPr>
          </w:p>
        </w:tc>
      </w:tr>
      <w:tr w:rsidR="00254997" w:rsidRPr="006A629A" w:rsidTr="002002EE">
        <w:trPr>
          <w:cantSplit/>
          <w:jc w:val="center"/>
        </w:trPr>
        <w:tc>
          <w:tcPr>
            <w:tcW w:w="578" w:type="dxa"/>
            <w:tcBorders>
              <w:top w:val="nil"/>
              <w:left w:val="nil"/>
              <w:bottom w:val="nil"/>
              <w:right w:val="nil"/>
            </w:tcBorders>
            <w:hideMark/>
          </w:tcPr>
          <w:p w:rsidR="00254997" w:rsidRPr="006A629A" w:rsidRDefault="00254997" w:rsidP="002002EE">
            <w:pPr>
              <w:keepNext/>
              <w:keepLines/>
              <w:spacing w:before="120" w:after="120"/>
              <w:jc w:val="left"/>
              <w:rPr>
                <w:sz w:val="16"/>
                <w:lang w:val="es-419"/>
              </w:rPr>
            </w:pPr>
            <w:r w:rsidRPr="006A629A">
              <w:rPr>
                <w:sz w:val="16"/>
                <w:lang w:val="es-419"/>
              </w:rPr>
              <w:t>QN</w:t>
            </w:r>
          </w:p>
        </w:tc>
        <w:tc>
          <w:tcPr>
            <w:tcW w:w="425" w:type="dxa"/>
            <w:tcBorders>
              <w:top w:val="nil"/>
              <w:left w:val="nil"/>
              <w:bottom w:val="nil"/>
              <w:right w:val="nil"/>
            </w:tcBorders>
          </w:tcPr>
          <w:p w:rsidR="00254997" w:rsidRPr="006A629A" w:rsidRDefault="00254997" w:rsidP="002002EE">
            <w:pPr>
              <w:keepNext/>
              <w:keepLines/>
              <w:spacing w:before="120" w:after="120"/>
              <w:jc w:val="left"/>
              <w:rPr>
                <w:sz w:val="16"/>
                <w:lang w:val="es-419"/>
              </w:rPr>
            </w:pPr>
          </w:p>
        </w:tc>
        <w:tc>
          <w:tcPr>
            <w:tcW w:w="1733" w:type="dxa"/>
            <w:tcBorders>
              <w:top w:val="nil"/>
              <w:left w:val="nil"/>
              <w:bottom w:val="nil"/>
              <w:right w:val="nil"/>
            </w:tcBorders>
            <w:hideMark/>
          </w:tcPr>
          <w:p w:rsidR="00254997" w:rsidRPr="006A629A" w:rsidRDefault="00254997" w:rsidP="002002EE">
            <w:pPr>
              <w:keepNext/>
              <w:keepLines/>
              <w:spacing w:before="120" w:after="120"/>
              <w:jc w:val="left"/>
              <w:rPr>
                <w:sz w:val="16"/>
                <w:lang w:val="es-419"/>
              </w:rPr>
            </w:pPr>
            <w:r w:rsidRPr="006A629A">
              <w:rPr>
                <w:sz w:val="16"/>
                <w:lang w:val="es-419"/>
              </w:rPr>
              <w:t>susceptible</w:t>
            </w:r>
          </w:p>
        </w:tc>
        <w:tc>
          <w:tcPr>
            <w:tcW w:w="1734" w:type="dxa"/>
            <w:tcBorders>
              <w:top w:val="nil"/>
              <w:left w:val="nil"/>
              <w:bottom w:val="nil"/>
              <w:right w:val="nil"/>
            </w:tcBorders>
          </w:tcPr>
          <w:p w:rsidR="00254997" w:rsidRPr="006A629A" w:rsidRDefault="00254997" w:rsidP="002002EE">
            <w:pPr>
              <w:keepNext/>
              <w:keepLines/>
              <w:spacing w:before="120" w:after="120"/>
              <w:jc w:val="left"/>
              <w:rPr>
                <w:sz w:val="16"/>
                <w:lang w:val="es-419"/>
              </w:rPr>
            </w:pPr>
          </w:p>
        </w:tc>
        <w:tc>
          <w:tcPr>
            <w:tcW w:w="1734" w:type="dxa"/>
            <w:tcBorders>
              <w:top w:val="nil"/>
              <w:left w:val="nil"/>
              <w:bottom w:val="nil"/>
              <w:right w:val="nil"/>
            </w:tcBorders>
          </w:tcPr>
          <w:p w:rsidR="00254997" w:rsidRPr="006A629A" w:rsidRDefault="00254997" w:rsidP="002002EE">
            <w:pPr>
              <w:keepNext/>
              <w:keepLines/>
              <w:spacing w:before="120" w:after="120"/>
              <w:jc w:val="left"/>
              <w:rPr>
                <w:sz w:val="16"/>
                <w:lang w:val="es-419"/>
              </w:rPr>
            </w:pPr>
          </w:p>
        </w:tc>
        <w:tc>
          <w:tcPr>
            <w:tcW w:w="851" w:type="dxa"/>
            <w:tcBorders>
              <w:top w:val="nil"/>
              <w:left w:val="nil"/>
              <w:bottom w:val="nil"/>
              <w:right w:val="nil"/>
            </w:tcBorders>
            <w:hideMark/>
          </w:tcPr>
          <w:p w:rsidR="00254997" w:rsidRPr="006A629A" w:rsidRDefault="00254997" w:rsidP="002002EE">
            <w:pPr>
              <w:keepNext/>
              <w:keepLines/>
              <w:spacing w:before="120" w:after="120"/>
              <w:jc w:val="left"/>
              <w:rPr>
                <w:sz w:val="16"/>
                <w:lang w:val="es-419"/>
              </w:rPr>
            </w:pPr>
            <w:r w:rsidRPr="006A629A">
              <w:rPr>
                <w:sz w:val="16"/>
                <w:lang w:val="es-419"/>
              </w:rPr>
              <w:t>[…]</w:t>
            </w:r>
          </w:p>
        </w:tc>
        <w:tc>
          <w:tcPr>
            <w:tcW w:w="567" w:type="dxa"/>
            <w:tcBorders>
              <w:top w:val="nil"/>
              <w:left w:val="nil"/>
              <w:bottom w:val="nil"/>
              <w:right w:val="nil"/>
            </w:tcBorders>
            <w:hideMark/>
          </w:tcPr>
          <w:p w:rsidR="00254997" w:rsidRPr="006A629A" w:rsidRDefault="00254997" w:rsidP="002002EE">
            <w:pPr>
              <w:keepNext/>
              <w:keepLines/>
              <w:spacing w:before="120" w:after="120"/>
              <w:jc w:val="left"/>
              <w:rPr>
                <w:sz w:val="16"/>
                <w:lang w:val="es-419"/>
              </w:rPr>
            </w:pPr>
            <w:r w:rsidRPr="006A629A">
              <w:rPr>
                <w:sz w:val="16"/>
                <w:lang w:val="es-419"/>
              </w:rPr>
              <w:t>1</w:t>
            </w:r>
          </w:p>
        </w:tc>
      </w:tr>
      <w:tr w:rsidR="00254997" w:rsidRPr="006A629A" w:rsidTr="002002EE">
        <w:trPr>
          <w:cantSplit/>
          <w:jc w:val="center"/>
        </w:trPr>
        <w:tc>
          <w:tcPr>
            <w:tcW w:w="578" w:type="dxa"/>
            <w:tcBorders>
              <w:top w:val="nil"/>
              <w:left w:val="nil"/>
              <w:bottom w:val="nil"/>
              <w:right w:val="nil"/>
            </w:tcBorders>
          </w:tcPr>
          <w:p w:rsidR="00254997" w:rsidRPr="006A629A" w:rsidRDefault="00254997" w:rsidP="002002EE">
            <w:pPr>
              <w:keepNext/>
              <w:keepLines/>
              <w:spacing w:before="120" w:after="120"/>
              <w:jc w:val="left"/>
              <w:rPr>
                <w:sz w:val="16"/>
                <w:lang w:val="es-419"/>
              </w:rPr>
            </w:pPr>
          </w:p>
        </w:tc>
        <w:tc>
          <w:tcPr>
            <w:tcW w:w="425" w:type="dxa"/>
            <w:tcBorders>
              <w:top w:val="nil"/>
              <w:left w:val="nil"/>
              <w:bottom w:val="nil"/>
              <w:right w:val="nil"/>
            </w:tcBorders>
          </w:tcPr>
          <w:p w:rsidR="00254997" w:rsidRPr="006A629A" w:rsidRDefault="00254997" w:rsidP="002002EE">
            <w:pPr>
              <w:keepNext/>
              <w:keepLines/>
              <w:spacing w:before="120" w:after="120"/>
              <w:jc w:val="left"/>
              <w:rPr>
                <w:sz w:val="16"/>
                <w:lang w:val="es-419"/>
              </w:rPr>
            </w:pPr>
          </w:p>
        </w:tc>
        <w:tc>
          <w:tcPr>
            <w:tcW w:w="3467" w:type="dxa"/>
            <w:gridSpan w:val="2"/>
            <w:tcBorders>
              <w:top w:val="nil"/>
              <w:left w:val="nil"/>
              <w:bottom w:val="nil"/>
              <w:right w:val="nil"/>
            </w:tcBorders>
            <w:hideMark/>
          </w:tcPr>
          <w:p w:rsidR="00254997" w:rsidRPr="006A629A" w:rsidRDefault="00254997" w:rsidP="002002EE">
            <w:pPr>
              <w:keepNext/>
              <w:keepLines/>
              <w:spacing w:before="120" w:after="120"/>
              <w:jc w:val="left"/>
              <w:rPr>
                <w:sz w:val="16"/>
                <w:lang w:val="es-419"/>
              </w:rPr>
            </w:pPr>
            <w:r w:rsidRPr="00B9008D">
              <w:rPr>
                <w:strike/>
                <w:sz w:val="16"/>
                <w:highlight w:val="lightGray"/>
                <w:lang w:val="es-419"/>
              </w:rPr>
              <w:t xml:space="preserve">moderadamente </w:t>
            </w:r>
            <w:r w:rsidRPr="00B9008D">
              <w:rPr>
                <w:sz w:val="16"/>
                <w:highlight w:val="lightGray"/>
                <w:u w:val="single"/>
                <w:lang w:val="es-419"/>
              </w:rPr>
              <w:t>resistencia intermedia</w:t>
            </w:r>
            <w:r w:rsidRPr="006A629A">
              <w:rPr>
                <w:rStyle w:val="FootnoteReference"/>
                <w:sz w:val="16"/>
                <w:lang w:val="es-419"/>
              </w:rPr>
              <w:footnoteReference w:id="2"/>
            </w:r>
            <w:r w:rsidRPr="006A629A">
              <w:rPr>
                <w:sz w:val="16"/>
                <w:lang w:val="es-419"/>
              </w:rPr>
              <w:t xml:space="preserve"> </w:t>
            </w:r>
          </w:p>
        </w:tc>
        <w:tc>
          <w:tcPr>
            <w:tcW w:w="1734" w:type="dxa"/>
            <w:tcBorders>
              <w:top w:val="nil"/>
              <w:left w:val="nil"/>
              <w:bottom w:val="nil"/>
              <w:right w:val="nil"/>
            </w:tcBorders>
          </w:tcPr>
          <w:p w:rsidR="00254997" w:rsidRPr="006A629A" w:rsidRDefault="00254997" w:rsidP="002002EE">
            <w:pPr>
              <w:keepNext/>
              <w:keepLines/>
              <w:spacing w:before="120" w:after="120"/>
              <w:jc w:val="left"/>
              <w:rPr>
                <w:sz w:val="16"/>
                <w:lang w:val="es-419"/>
              </w:rPr>
            </w:pPr>
          </w:p>
        </w:tc>
        <w:tc>
          <w:tcPr>
            <w:tcW w:w="851" w:type="dxa"/>
            <w:tcBorders>
              <w:top w:val="nil"/>
              <w:left w:val="nil"/>
              <w:bottom w:val="nil"/>
              <w:right w:val="nil"/>
            </w:tcBorders>
            <w:hideMark/>
          </w:tcPr>
          <w:p w:rsidR="00254997" w:rsidRPr="006A629A" w:rsidRDefault="00254997" w:rsidP="002002EE">
            <w:pPr>
              <w:keepNext/>
              <w:keepLines/>
              <w:spacing w:before="120" w:after="120"/>
              <w:jc w:val="left"/>
              <w:rPr>
                <w:sz w:val="16"/>
                <w:lang w:val="es-419"/>
              </w:rPr>
            </w:pPr>
            <w:r w:rsidRPr="006A629A">
              <w:rPr>
                <w:sz w:val="16"/>
                <w:lang w:val="es-419"/>
              </w:rPr>
              <w:t>[…]</w:t>
            </w:r>
          </w:p>
        </w:tc>
        <w:tc>
          <w:tcPr>
            <w:tcW w:w="567" w:type="dxa"/>
            <w:tcBorders>
              <w:top w:val="nil"/>
              <w:left w:val="nil"/>
              <w:bottom w:val="nil"/>
              <w:right w:val="nil"/>
            </w:tcBorders>
            <w:hideMark/>
          </w:tcPr>
          <w:p w:rsidR="00254997" w:rsidRPr="006A629A" w:rsidRDefault="00254997" w:rsidP="002002EE">
            <w:pPr>
              <w:keepNext/>
              <w:keepLines/>
              <w:spacing w:before="120" w:after="120"/>
              <w:jc w:val="left"/>
              <w:rPr>
                <w:sz w:val="16"/>
                <w:lang w:val="es-419"/>
              </w:rPr>
            </w:pPr>
            <w:r w:rsidRPr="006A629A">
              <w:rPr>
                <w:sz w:val="16"/>
                <w:lang w:val="es-419"/>
              </w:rPr>
              <w:t>2</w:t>
            </w:r>
          </w:p>
        </w:tc>
      </w:tr>
      <w:tr w:rsidR="00254997" w:rsidRPr="006A629A" w:rsidTr="002002EE">
        <w:trPr>
          <w:cantSplit/>
          <w:jc w:val="center"/>
        </w:trPr>
        <w:tc>
          <w:tcPr>
            <w:tcW w:w="578" w:type="dxa"/>
            <w:tcBorders>
              <w:top w:val="nil"/>
              <w:left w:val="nil"/>
              <w:bottom w:val="single" w:sz="4" w:space="0" w:color="auto"/>
              <w:right w:val="nil"/>
            </w:tcBorders>
          </w:tcPr>
          <w:p w:rsidR="00254997" w:rsidRPr="006A629A" w:rsidRDefault="00254997" w:rsidP="002002EE">
            <w:pPr>
              <w:keepNext/>
              <w:keepLines/>
              <w:spacing w:before="120" w:after="120"/>
              <w:jc w:val="left"/>
              <w:rPr>
                <w:sz w:val="16"/>
                <w:lang w:val="es-419"/>
              </w:rPr>
            </w:pPr>
          </w:p>
        </w:tc>
        <w:tc>
          <w:tcPr>
            <w:tcW w:w="425" w:type="dxa"/>
            <w:tcBorders>
              <w:top w:val="nil"/>
              <w:left w:val="nil"/>
              <w:bottom w:val="single" w:sz="4" w:space="0" w:color="auto"/>
              <w:right w:val="nil"/>
            </w:tcBorders>
          </w:tcPr>
          <w:p w:rsidR="00254997" w:rsidRPr="006A629A" w:rsidRDefault="00254997" w:rsidP="002002EE">
            <w:pPr>
              <w:keepNext/>
              <w:keepLines/>
              <w:spacing w:before="120" w:after="120"/>
              <w:jc w:val="left"/>
              <w:rPr>
                <w:sz w:val="16"/>
                <w:lang w:val="es-419"/>
              </w:rPr>
            </w:pPr>
          </w:p>
        </w:tc>
        <w:tc>
          <w:tcPr>
            <w:tcW w:w="1733" w:type="dxa"/>
            <w:tcBorders>
              <w:top w:val="nil"/>
              <w:left w:val="nil"/>
              <w:bottom w:val="single" w:sz="4" w:space="0" w:color="auto"/>
              <w:right w:val="nil"/>
            </w:tcBorders>
            <w:hideMark/>
          </w:tcPr>
          <w:p w:rsidR="00254997" w:rsidRPr="006A629A" w:rsidRDefault="00254997" w:rsidP="002002EE">
            <w:pPr>
              <w:keepNext/>
              <w:keepLines/>
              <w:spacing w:before="120" w:after="120"/>
              <w:jc w:val="left"/>
              <w:rPr>
                <w:sz w:val="16"/>
                <w:lang w:val="es-419"/>
              </w:rPr>
            </w:pPr>
            <w:r w:rsidRPr="006A629A">
              <w:rPr>
                <w:sz w:val="16"/>
                <w:lang w:val="es-419"/>
              </w:rPr>
              <w:t>altamente resistente</w:t>
            </w:r>
          </w:p>
        </w:tc>
        <w:tc>
          <w:tcPr>
            <w:tcW w:w="1734" w:type="dxa"/>
            <w:tcBorders>
              <w:top w:val="nil"/>
              <w:left w:val="nil"/>
              <w:bottom w:val="single" w:sz="4" w:space="0" w:color="auto"/>
              <w:right w:val="nil"/>
            </w:tcBorders>
          </w:tcPr>
          <w:p w:rsidR="00254997" w:rsidRPr="006A629A" w:rsidRDefault="00254997" w:rsidP="002002EE">
            <w:pPr>
              <w:keepNext/>
              <w:keepLines/>
              <w:spacing w:before="120" w:after="120"/>
              <w:jc w:val="left"/>
              <w:rPr>
                <w:sz w:val="16"/>
                <w:lang w:val="es-419"/>
              </w:rPr>
            </w:pPr>
          </w:p>
        </w:tc>
        <w:tc>
          <w:tcPr>
            <w:tcW w:w="1734" w:type="dxa"/>
            <w:tcBorders>
              <w:top w:val="nil"/>
              <w:left w:val="nil"/>
              <w:bottom w:val="single" w:sz="4" w:space="0" w:color="auto"/>
              <w:right w:val="nil"/>
            </w:tcBorders>
          </w:tcPr>
          <w:p w:rsidR="00254997" w:rsidRPr="006A629A" w:rsidRDefault="00254997" w:rsidP="002002EE">
            <w:pPr>
              <w:keepNext/>
              <w:keepLines/>
              <w:spacing w:before="120" w:after="120"/>
              <w:jc w:val="left"/>
              <w:rPr>
                <w:sz w:val="16"/>
                <w:lang w:val="es-419"/>
              </w:rPr>
            </w:pPr>
          </w:p>
        </w:tc>
        <w:tc>
          <w:tcPr>
            <w:tcW w:w="851" w:type="dxa"/>
            <w:tcBorders>
              <w:top w:val="nil"/>
              <w:left w:val="nil"/>
              <w:bottom w:val="single" w:sz="4" w:space="0" w:color="auto"/>
              <w:right w:val="nil"/>
            </w:tcBorders>
            <w:hideMark/>
          </w:tcPr>
          <w:p w:rsidR="00254997" w:rsidRPr="006A629A" w:rsidRDefault="00254997" w:rsidP="002002EE">
            <w:pPr>
              <w:keepNext/>
              <w:keepLines/>
              <w:spacing w:before="120" w:after="120"/>
              <w:jc w:val="left"/>
              <w:rPr>
                <w:sz w:val="16"/>
                <w:lang w:val="es-419"/>
              </w:rPr>
            </w:pPr>
            <w:r w:rsidRPr="006A629A">
              <w:rPr>
                <w:sz w:val="16"/>
                <w:lang w:val="es-419"/>
              </w:rPr>
              <w:t>[…]</w:t>
            </w:r>
          </w:p>
        </w:tc>
        <w:tc>
          <w:tcPr>
            <w:tcW w:w="567" w:type="dxa"/>
            <w:tcBorders>
              <w:top w:val="nil"/>
              <w:left w:val="nil"/>
              <w:bottom w:val="single" w:sz="4" w:space="0" w:color="auto"/>
              <w:right w:val="nil"/>
            </w:tcBorders>
            <w:hideMark/>
          </w:tcPr>
          <w:p w:rsidR="00254997" w:rsidRPr="006A629A" w:rsidRDefault="00254997" w:rsidP="002002EE">
            <w:pPr>
              <w:keepNext/>
              <w:keepLines/>
              <w:spacing w:before="120" w:after="120"/>
              <w:jc w:val="left"/>
              <w:rPr>
                <w:sz w:val="16"/>
                <w:lang w:val="es-419"/>
              </w:rPr>
            </w:pPr>
            <w:r w:rsidRPr="006A629A">
              <w:rPr>
                <w:sz w:val="16"/>
                <w:lang w:val="es-419"/>
              </w:rPr>
              <w:t>3</w:t>
            </w:r>
          </w:p>
        </w:tc>
      </w:tr>
    </w:tbl>
    <w:p w:rsidR="00254997" w:rsidRPr="006A629A" w:rsidRDefault="00254997" w:rsidP="00254997">
      <w:pPr>
        <w:ind w:left="1134" w:hanging="567"/>
        <w:rPr>
          <w:lang w:val="es-419"/>
        </w:rPr>
      </w:pPr>
    </w:p>
    <w:p w:rsidR="00254997" w:rsidRPr="006A629A" w:rsidRDefault="00254997" w:rsidP="00254997">
      <w:pPr>
        <w:rPr>
          <w:lang w:val="es-419"/>
        </w:rPr>
      </w:pPr>
    </w:p>
    <w:p w:rsidR="00254997" w:rsidRPr="006A629A" w:rsidRDefault="00254997" w:rsidP="00254997">
      <w:pPr>
        <w:rPr>
          <w:lang w:val="es-419"/>
        </w:rPr>
      </w:pPr>
    </w:p>
    <w:p w:rsidR="00254997" w:rsidRPr="006A629A" w:rsidRDefault="00254997" w:rsidP="00254997">
      <w:pPr>
        <w:rPr>
          <w:lang w:val="es-419"/>
        </w:rPr>
      </w:pPr>
    </w:p>
    <w:p w:rsidR="00254997" w:rsidRPr="006A629A" w:rsidRDefault="00254997" w:rsidP="00254997">
      <w:pPr>
        <w:rPr>
          <w:lang w:val="es-419"/>
        </w:rPr>
      </w:pPr>
    </w:p>
    <w:p w:rsidR="00254997" w:rsidRPr="006A629A" w:rsidRDefault="00254997" w:rsidP="00254997">
      <w:pPr>
        <w:jc w:val="right"/>
        <w:rPr>
          <w:lang w:val="es-419"/>
        </w:rPr>
      </w:pPr>
      <w:r w:rsidRPr="006A629A">
        <w:rPr>
          <w:lang w:val="es-419"/>
        </w:rPr>
        <w:t>[Fin del Anexo III y del documento]</w:t>
      </w:r>
    </w:p>
    <w:p w:rsidR="00254997" w:rsidRPr="008F748C" w:rsidRDefault="00254997" w:rsidP="00056167">
      <w:pPr>
        <w:jc w:val="right"/>
        <w:rPr>
          <w:lang w:val="es-419"/>
        </w:rPr>
      </w:pPr>
    </w:p>
    <w:sectPr w:rsidR="00254997" w:rsidRPr="008F748C" w:rsidSect="00946E1B">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234" w:rsidRDefault="00B27234" w:rsidP="006655D3">
      <w:r>
        <w:separator/>
      </w:r>
    </w:p>
    <w:p w:rsidR="00B27234" w:rsidRDefault="00B27234" w:rsidP="006655D3"/>
    <w:p w:rsidR="00B27234" w:rsidRDefault="00B27234" w:rsidP="006655D3"/>
  </w:endnote>
  <w:endnote w:type="continuationSeparator" w:id="0">
    <w:p w:rsidR="00B27234" w:rsidRDefault="00B27234" w:rsidP="006655D3">
      <w:r>
        <w:separator/>
      </w:r>
    </w:p>
    <w:p w:rsidR="00B27234" w:rsidRPr="00294751" w:rsidRDefault="00B27234">
      <w:pPr>
        <w:pStyle w:val="Footer"/>
        <w:spacing w:after="60"/>
        <w:rPr>
          <w:sz w:val="18"/>
          <w:lang w:val="fr-FR"/>
        </w:rPr>
      </w:pPr>
      <w:r w:rsidRPr="00294751">
        <w:rPr>
          <w:sz w:val="18"/>
          <w:lang w:val="fr-FR"/>
        </w:rPr>
        <w:t>[Suite de la note de la page précédente]</w:t>
      </w:r>
    </w:p>
    <w:p w:rsidR="00B27234" w:rsidRPr="00294751" w:rsidRDefault="00B27234" w:rsidP="006655D3">
      <w:pPr>
        <w:rPr>
          <w:lang w:val="fr-FR"/>
        </w:rPr>
      </w:pPr>
    </w:p>
    <w:p w:rsidR="00B27234" w:rsidRPr="00294751" w:rsidRDefault="00B27234" w:rsidP="006655D3">
      <w:pPr>
        <w:rPr>
          <w:lang w:val="fr-FR"/>
        </w:rPr>
      </w:pPr>
    </w:p>
  </w:endnote>
  <w:endnote w:type="continuationNotice" w:id="1">
    <w:p w:rsidR="00B27234" w:rsidRPr="00294751" w:rsidRDefault="00B27234" w:rsidP="006655D3">
      <w:pPr>
        <w:rPr>
          <w:lang w:val="fr-FR"/>
        </w:rPr>
      </w:pPr>
      <w:r w:rsidRPr="00294751">
        <w:rPr>
          <w:lang w:val="fr-FR"/>
        </w:rPr>
        <w:t>[Suite de la note page suivante]</w:t>
      </w:r>
    </w:p>
    <w:p w:rsidR="00B27234" w:rsidRPr="00294751" w:rsidRDefault="00B27234" w:rsidP="006655D3">
      <w:pPr>
        <w:rPr>
          <w:lang w:val="fr-FR"/>
        </w:rPr>
      </w:pPr>
    </w:p>
    <w:p w:rsidR="00B27234" w:rsidRPr="00294751" w:rsidRDefault="00B2723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234" w:rsidRDefault="00B27234" w:rsidP="006655D3">
      <w:r>
        <w:separator/>
      </w:r>
    </w:p>
  </w:footnote>
  <w:footnote w:type="continuationSeparator" w:id="0">
    <w:p w:rsidR="00B27234" w:rsidRDefault="00B27234" w:rsidP="006655D3">
      <w:r>
        <w:separator/>
      </w:r>
    </w:p>
  </w:footnote>
  <w:footnote w:type="continuationNotice" w:id="1">
    <w:p w:rsidR="00B27234" w:rsidRPr="00AB530F" w:rsidRDefault="00B27234" w:rsidP="00AB530F">
      <w:pPr>
        <w:pStyle w:val="Footer"/>
      </w:pPr>
    </w:p>
  </w:footnote>
  <w:footnote w:id="2">
    <w:p w:rsidR="00254997" w:rsidRPr="0045127B" w:rsidRDefault="00254997" w:rsidP="00254997">
      <w:pPr>
        <w:pStyle w:val="FootnoteText"/>
      </w:pPr>
      <w:r w:rsidRPr="0013205F">
        <w:rPr>
          <w:rStyle w:val="FootnoteReference"/>
        </w:rPr>
        <w:footnoteRef/>
      </w:r>
      <w:r w:rsidR="00647F92">
        <w:t xml:space="preserve">    </w:t>
      </w:r>
      <w:bookmarkStart w:id="0" w:name="_GoBack"/>
      <w:bookmarkEnd w:id="0"/>
      <w:r w:rsidRPr="0013205F">
        <w:t xml:space="preserve">En su quincuagésima sexta sesión, </w:t>
      </w:r>
      <w:r>
        <w:t>celebrada por medios electrónicos del 18 al 22 de abril de 2022, el TWV convino en que el nivel de expresión “intermedia” del ejemplo del párrafo 28 del documento TWP/6/1, debe sustituirse por “resistencia intermedia” (véase el párrafo 20 del documento TWV/56/22 “</w:t>
      </w:r>
      <w:proofErr w:type="spellStart"/>
      <w:r>
        <w:rPr>
          <w:i/>
          <w:iCs/>
        </w:rPr>
        <w:t>Report</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6CD" w:rsidRDefault="00946E1B" w:rsidP="004D4C36">
    <w:pPr>
      <w:jc w:val="center"/>
      <w:rPr>
        <w:lang w:val="fr-CH"/>
      </w:rPr>
    </w:pPr>
    <w:r>
      <w:rPr>
        <w:lang w:val="fr-CH"/>
      </w:rPr>
      <w:t>C/56/3</w:t>
    </w:r>
  </w:p>
  <w:p w:rsidR="00946E1B" w:rsidRDefault="00946E1B" w:rsidP="004D4C36">
    <w:pPr>
      <w:jc w:val="center"/>
      <w:rPr>
        <w:lang w:val="fr-CH"/>
      </w:rPr>
    </w:pPr>
    <w:r>
      <w:rPr>
        <w:lang w:val="fr-CH"/>
      </w:rPr>
      <w:t xml:space="preserve">página </w:t>
    </w:r>
    <w:r w:rsidRPr="00946E1B">
      <w:rPr>
        <w:lang w:val="fr-CH"/>
      </w:rPr>
      <w:fldChar w:fldCharType="begin"/>
    </w:r>
    <w:r w:rsidRPr="00946E1B">
      <w:rPr>
        <w:lang w:val="fr-CH"/>
      </w:rPr>
      <w:instrText>PAGE   \* MERGEFORMAT</w:instrText>
    </w:r>
    <w:r w:rsidRPr="00946E1B">
      <w:rPr>
        <w:lang w:val="fr-CH"/>
      </w:rPr>
      <w:fldChar w:fldCharType="separate"/>
    </w:r>
    <w:r w:rsidR="008F748C">
      <w:rPr>
        <w:noProof/>
        <w:lang w:val="fr-CH"/>
      </w:rPr>
      <w:t>2</w:t>
    </w:r>
    <w:r w:rsidRPr="00946E1B">
      <w:rPr>
        <w:lang w:val="fr-CH"/>
      </w:rPr>
      <w:fldChar w:fldCharType="end"/>
    </w:r>
  </w:p>
  <w:p w:rsidR="00946E1B" w:rsidRDefault="00946E1B" w:rsidP="004D4C36">
    <w:pPr>
      <w:jc w:val="center"/>
      <w:rPr>
        <w:lang w:val="fr-CH"/>
      </w:rPr>
    </w:pPr>
  </w:p>
  <w:p w:rsidR="00946E1B" w:rsidRPr="00B632A2" w:rsidRDefault="00946E1B" w:rsidP="004D4C36">
    <w:pPr>
      <w:jc w:val="cent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E1B" w:rsidRDefault="00946E1B">
    <w:pPr>
      <w:pStyle w:val="Header"/>
    </w:pPr>
    <w:r>
      <w:t>C/56/3</w:t>
    </w:r>
  </w:p>
  <w:p w:rsidR="00946E1B" w:rsidRDefault="00946E1B">
    <w:pPr>
      <w:pStyle w:val="Header"/>
    </w:pPr>
    <w:r>
      <w:t xml:space="preserve">página </w:t>
    </w:r>
    <w:r>
      <w:fldChar w:fldCharType="begin"/>
    </w:r>
    <w:r>
      <w:instrText>PAGE   \* MERGEFORMAT</w:instrText>
    </w:r>
    <w:r>
      <w:fldChar w:fldCharType="separate"/>
    </w:r>
    <w:r w:rsidR="00647F92">
      <w:rPr>
        <w:noProof/>
      </w:rPr>
      <w:t>4</w:t>
    </w:r>
    <w:r>
      <w:fldChar w:fldCharType="end"/>
    </w:r>
  </w:p>
  <w:p w:rsidR="00946E1B" w:rsidRDefault="00946E1B">
    <w:pPr>
      <w:pStyle w:val="Header"/>
    </w:pPr>
  </w:p>
  <w:p w:rsidR="00946E1B" w:rsidRDefault="00946E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997" w:rsidRPr="006B5EBA" w:rsidRDefault="00254997" w:rsidP="00980145">
    <w:pPr>
      <w:pStyle w:val="Header"/>
      <w:rPr>
        <w:rStyle w:val="PageNumber"/>
      </w:rPr>
    </w:pPr>
    <w:r>
      <w:rPr>
        <w:rStyle w:val="PageNumber"/>
      </w:rPr>
      <w:t>C/56/3</w:t>
    </w:r>
  </w:p>
  <w:p w:rsidR="00254997" w:rsidRPr="006B5EBA" w:rsidRDefault="00254997" w:rsidP="00980145">
    <w:pPr>
      <w:pStyle w:val="Header"/>
    </w:pPr>
    <w:r>
      <w:t xml:space="preserve">Anexo II, página </w:t>
    </w:r>
    <w:r w:rsidRPr="006B5EBA">
      <w:rPr>
        <w:rStyle w:val="PageNumber"/>
      </w:rPr>
      <w:fldChar w:fldCharType="begin"/>
    </w:r>
    <w:r w:rsidRPr="006B5EBA">
      <w:rPr>
        <w:rStyle w:val="PageNumber"/>
      </w:rPr>
      <w:instrText xml:space="preserve"> PAGE </w:instrText>
    </w:r>
    <w:r w:rsidRPr="006B5EBA">
      <w:rPr>
        <w:rStyle w:val="PageNumber"/>
      </w:rPr>
      <w:fldChar w:fldCharType="separate"/>
    </w:r>
    <w:r w:rsidR="00647F92">
      <w:rPr>
        <w:rStyle w:val="PageNumber"/>
        <w:noProof/>
      </w:rPr>
      <w:t>2</w:t>
    </w:r>
    <w:r w:rsidRPr="006B5EBA">
      <w:rPr>
        <w:rStyle w:val="PageNumber"/>
      </w:rPr>
      <w:fldChar w:fldCharType="end"/>
    </w:r>
  </w:p>
  <w:p w:rsidR="00254997" w:rsidRPr="006B5EBA" w:rsidRDefault="00254997"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997" w:rsidRPr="0004198B" w:rsidRDefault="00254997"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B71EE"/>
    <w:multiLevelType w:val="hybridMultilevel"/>
    <w:tmpl w:val="DDACCD44"/>
    <w:lvl w:ilvl="0" w:tplc="06286B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34"/>
    <w:rsid w:val="00010CF3"/>
    <w:rsid w:val="00011E27"/>
    <w:rsid w:val="000148BC"/>
    <w:rsid w:val="00024AB8"/>
    <w:rsid w:val="00030854"/>
    <w:rsid w:val="00036028"/>
    <w:rsid w:val="0004198B"/>
    <w:rsid w:val="00044642"/>
    <w:rsid w:val="000446B9"/>
    <w:rsid w:val="00047E21"/>
    <w:rsid w:val="00050E16"/>
    <w:rsid w:val="00056167"/>
    <w:rsid w:val="0008271E"/>
    <w:rsid w:val="00085505"/>
    <w:rsid w:val="000A132D"/>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C1525"/>
    <w:rsid w:val="001D736D"/>
    <w:rsid w:val="0021332C"/>
    <w:rsid w:val="00213982"/>
    <w:rsid w:val="00243FD3"/>
    <w:rsid w:val="0024416D"/>
    <w:rsid w:val="00254997"/>
    <w:rsid w:val="00271911"/>
    <w:rsid w:val="00273187"/>
    <w:rsid w:val="002800A0"/>
    <w:rsid w:val="002801B3"/>
    <w:rsid w:val="00281060"/>
    <w:rsid w:val="00285BD0"/>
    <w:rsid w:val="002940E8"/>
    <w:rsid w:val="00294751"/>
    <w:rsid w:val="002A6E50"/>
    <w:rsid w:val="002B4298"/>
    <w:rsid w:val="002B7A36"/>
    <w:rsid w:val="002C256A"/>
    <w:rsid w:val="002D465A"/>
    <w:rsid w:val="002D5226"/>
    <w:rsid w:val="00305A7F"/>
    <w:rsid w:val="003152FE"/>
    <w:rsid w:val="00321ABA"/>
    <w:rsid w:val="00327436"/>
    <w:rsid w:val="00344BD6"/>
    <w:rsid w:val="0035528D"/>
    <w:rsid w:val="00361821"/>
    <w:rsid w:val="00361E9E"/>
    <w:rsid w:val="003753EE"/>
    <w:rsid w:val="003A0835"/>
    <w:rsid w:val="003A5AAF"/>
    <w:rsid w:val="003B700A"/>
    <w:rsid w:val="003C7FBE"/>
    <w:rsid w:val="003D227C"/>
    <w:rsid w:val="003D2B4D"/>
    <w:rsid w:val="003F37F5"/>
    <w:rsid w:val="00412EBD"/>
    <w:rsid w:val="00444A88"/>
    <w:rsid w:val="0046041E"/>
    <w:rsid w:val="00474DA4"/>
    <w:rsid w:val="00476B4D"/>
    <w:rsid w:val="004805FA"/>
    <w:rsid w:val="004935D2"/>
    <w:rsid w:val="004B1215"/>
    <w:rsid w:val="004D047D"/>
    <w:rsid w:val="004D4C36"/>
    <w:rsid w:val="004F1E9E"/>
    <w:rsid w:val="004F305A"/>
    <w:rsid w:val="004F5CE1"/>
    <w:rsid w:val="00512164"/>
    <w:rsid w:val="005159E4"/>
    <w:rsid w:val="00520297"/>
    <w:rsid w:val="005338F9"/>
    <w:rsid w:val="0054281C"/>
    <w:rsid w:val="00544581"/>
    <w:rsid w:val="00551568"/>
    <w:rsid w:val="0055268D"/>
    <w:rsid w:val="0056466D"/>
    <w:rsid w:val="00567C6E"/>
    <w:rsid w:val="00572934"/>
    <w:rsid w:val="00575DE2"/>
    <w:rsid w:val="00576BE4"/>
    <w:rsid w:val="005779DB"/>
    <w:rsid w:val="005A400A"/>
    <w:rsid w:val="005B269D"/>
    <w:rsid w:val="005F7B92"/>
    <w:rsid w:val="00612379"/>
    <w:rsid w:val="006153B6"/>
    <w:rsid w:val="0061555F"/>
    <w:rsid w:val="006245ED"/>
    <w:rsid w:val="00632A44"/>
    <w:rsid w:val="00636CA6"/>
    <w:rsid w:val="00641200"/>
    <w:rsid w:val="00645CA8"/>
    <w:rsid w:val="00647F92"/>
    <w:rsid w:val="006655D3"/>
    <w:rsid w:val="00667404"/>
    <w:rsid w:val="00676EFE"/>
    <w:rsid w:val="006868F8"/>
    <w:rsid w:val="00687EB4"/>
    <w:rsid w:val="00695C56"/>
    <w:rsid w:val="006A5CDE"/>
    <w:rsid w:val="006A644A"/>
    <w:rsid w:val="006B17D2"/>
    <w:rsid w:val="006C224E"/>
    <w:rsid w:val="006C4A97"/>
    <w:rsid w:val="006D780A"/>
    <w:rsid w:val="006F5505"/>
    <w:rsid w:val="0071271E"/>
    <w:rsid w:val="00732DEC"/>
    <w:rsid w:val="00735BD5"/>
    <w:rsid w:val="007451EC"/>
    <w:rsid w:val="00751613"/>
    <w:rsid w:val="00753EE9"/>
    <w:rsid w:val="007546B2"/>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274CC"/>
    <w:rsid w:val="008277D0"/>
    <w:rsid w:val="00827ED2"/>
    <w:rsid w:val="00846D7C"/>
    <w:rsid w:val="00867AC1"/>
    <w:rsid w:val="008751DE"/>
    <w:rsid w:val="00890DF8"/>
    <w:rsid w:val="008A0ADE"/>
    <w:rsid w:val="008A743F"/>
    <w:rsid w:val="008C0970"/>
    <w:rsid w:val="008D0BC5"/>
    <w:rsid w:val="008D2CF7"/>
    <w:rsid w:val="008F748C"/>
    <w:rsid w:val="00900C26"/>
    <w:rsid w:val="0090197F"/>
    <w:rsid w:val="00903264"/>
    <w:rsid w:val="00906DDC"/>
    <w:rsid w:val="009308D4"/>
    <w:rsid w:val="00934E09"/>
    <w:rsid w:val="00936253"/>
    <w:rsid w:val="00940D46"/>
    <w:rsid w:val="009413F1"/>
    <w:rsid w:val="00946E1B"/>
    <w:rsid w:val="00952DD4"/>
    <w:rsid w:val="009561F4"/>
    <w:rsid w:val="00965AE7"/>
    <w:rsid w:val="00970FED"/>
    <w:rsid w:val="00992D82"/>
    <w:rsid w:val="00997029"/>
    <w:rsid w:val="009A7339"/>
    <w:rsid w:val="009B440E"/>
    <w:rsid w:val="009D690D"/>
    <w:rsid w:val="009E65B6"/>
    <w:rsid w:val="009F0A51"/>
    <w:rsid w:val="009F77CF"/>
    <w:rsid w:val="00A24C10"/>
    <w:rsid w:val="00A42AC3"/>
    <w:rsid w:val="00A430CF"/>
    <w:rsid w:val="00A54309"/>
    <w:rsid w:val="00A610A9"/>
    <w:rsid w:val="00A80F2A"/>
    <w:rsid w:val="00A9099F"/>
    <w:rsid w:val="00A96C33"/>
    <w:rsid w:val="00AA13A2"/>
    <w:rsid w:val="00AB2B93"/>
    <w:rsid w:val="00AB530F"/>
    <w:rsid w:val="00AB7E5B"/>
    <w:rsid w:val="00AC2883"/>
    <w:rsid w:val="00AE0EF1"/>
    <w:rsid w:val="00AE2937"/>
    <w:rsid w:val="00AF3BBF"/>
    <w:rsid w:val="00AF3CC0"/>
    <w:rsid w:val="00B06733"/>
    <w:rsid w:val="00B07301"/>
    <w:rsid w:val="00B11F3E"/>
    <w:rsid w:val="00B17279"/>
    <w:rsid w:val="00B224DE"/>
    <w:rsid w:val="00B27234"/>
    <w:rsid w:val="00B324D4"/>
    <w:rsid w:val="00B46575"/>
    <w:rsid w:val="00B61777"/>
    <w:rsid w:val="00B622E6"/>
    <w:rsid w:val="00B632A2"/>
    <w:rsid w:val="00B674AE"/>
    <w:rsid w:val="00B83E82"/>
    <w:rsid w:val="00B84BBD"/>
    <w:rsid w:val="00BA43FB"/>
    <w:rsid w:val="00BC127D"/>
    <w:rsid w:val="00BC1FE6"/>
    <w:rsid w:val="00BE3659"/>
    <w:rsid w:val="00C061B6"/>
    <w:rsid w:val="00C2446C"/>
    <w:rsid w:val="00C36AE5"/>
    <w:rsid w:val="00C41F17"/>
    <w:rsid w:val="00C527FA"/>
    <w:rsid w:val="00C5280D"/>
    <w:rsid w:val="00C53EB3"/>
    <w:rsid w:val="00C5791C"/>
    <w:rsid w:val="00C61CCC"/>
    <w:rsid w:val="00C66290"/>
    <w:rsid w:val="00C72B7A"/>
    <w:rsid w:val="00C973F2"/>
    <w:rsid w:val="00CA0F03"/>
    <w:rsid w:val="00CA304C"/>
    <w:rsid w:val="00CA774A"/>
    <w:rsid w:val="00CB4921"/>
    <w:rsid w:val="00CC04F2"/>
    <w:rsid w:val="00CC11B0"/>
    <w:rsid w:val="00CC2841"/>
    <w:rsid w:val="00CF1330"/>
    <w:rsid w:val="00CF7E36"/>
    <w:rsid w:val="00D0044C"/>
    <w:rsid w:val="00D05685"/>
    <w:rsid w:val="00D3708D"/>
    <w:rsid w:val="00D40426"/>
    <w:rsid w:val="00D52F5C"/>
    <w:rsid w:val="00D57C96"/>
    <w:rsid w:val="00D57D18"/>
    <w:rsid w:val="00D70E65"/>
    <w:rsid w:val="00D91203"/>
    <w:rsid w:val="00D95174"/>
    <w:rsid w:val="00DA4973"/>
    <w:rsid w:val="00DA6F36"/>
    <w:rsid w:val="00DB0C62"/>
    <w:rsid w:val="00DB596E"/>
    <w:rsid w:val="00DB7773"/>
    <w:rsid w:val="00DC00EA"/>
    <w:rsid w:val="00DC3802"/>
    <w:rsid w:val="00DC6A83"/>
    <w:rsid w:val="00DD6208"/>
    <w:rsid w:val="00DE3773"/>
    <w:rsid w:val="00DF1DE6"/>
    <w:rsid w:val="00DF4D0B"/>
    <w:rsid w:val="00DF7E99"/>
    <w:rsid w:val="00E07D87"/>
    <w:rsid w:val="00E156CD"/>
    <w:rsid w:val="00E249C8"/>
    <w:rsid w:val="00E32F7E"/>
    <w:rsid w:val="00E5267B"/>
    <w:rsid w:val="00E559F0"/>
    <w:rsid w:val="00E63C0E"/>
    <w:rsid w:val="00E72D49"/>
    <w:rsid w:val="00E7593C"/>
    <w:rsid w:val="00E7678A"/>
    <w:rsid w:val="00E935F1"/>
    <w:rsid w:val="00E94A81"/>
    <w:rsid w:val="00EA1FFB"/>
    <w:rsid w:val="00EB048E"/>
    <w:rsid w:val="00EB4E9C"/>
    <w:rsid w:val="00EE34DF"/>
    <w:rsid w:val="00EF2F89"/>
    <w:rsid w:val="00EF6D30"/>
    <w:rsid w:val="00F03E98"/>
    <w:rsid w:val="00F1237A"/>
    <w:rsid w:val="00F22CBD"/>
    <w:rsid w:val="00F272F1"/>
    <w:rsid w:val="00F31412"/>
    <w:rsid w:val="00F45372"/>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6F372EC"/>
  <w15:docId w15:val="{5D5F1204-87AF-40BA-9A30-B439CDF8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68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254997"/>
    <w:pPr>
      <w:keepNext/>
      <w:jc w:val="both"/>
      <w:outlineLvl w:val="1"/>
    </w:pPr>
    <w:rPr>
      <w:rFonts w:ascii="Arial" w:hAnsi="Arial"/>
      <w:snapToGrid w:val="0"/>
      <w:u w:val="single"/>
      <w:lang w:val="es-419"/>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08271E"/>
    <w:pPr>
      <w:spacing w:before="60"/>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basedOn w:val="DefaultParagraphFont"/>
    <w:link w:val="Titleofdoc0"/>
    <w:rsid w:val="00BE3659"/>
    <w:rPr>
      <w:rFonts w:ascii="Arial" w:hAnsi="Arial"/>
      <w:b/>
      <w:caps/>
    </w:rPr>
  </w:style>
  <w:style w:type="character" w:customStyle="1" w:styleId="FootnoteTextChar">
    <w:name w:val="Footnote Text Char"/>
    <w:basedOn w:val="DefaultParagraphFont"/>
    <w:link w:val="FootnoteText"/>
    <w:rsid w:val="0008271E"/>
    <w:rPr>
      <w:rFonts w:ascii="Arial" w:hAnsi="Arial"/>
      <w:sz w:val="16"/>
    </w:rPr>
  </w:style>
  <w:style w:type="character" w:customStyle="1" w:styleId="HeaderChar">
    <w:name w:val="Header Char"/>
    <w:basedOn w:val="DefaultParagraphFont"/>
    <w:link w:val="Header"/>
    <w:rsid w:val="00BE3659"/>
    <w:rPr>
      <w:rFonts w:ascii="Arial" w:hAnsi="Arial"/>
      <w:lang w:val="es-ES"/>
    </w:rPr>
  </w:style>
  <w:style w:type="paragraph" w:styleId="ListParagraph">
    <w:name w:val="List Paragraph"/>
    <w:aliases w:val="auto_list_(i),List Paragraph1"/>
    <w:basedOn w:val="Normal"/>
    <w:link w:val="ListParagraphChar"/>
    <w:uiPriority w:val="34"/>
    <w:qFormat/>
    <w:rsid w:val="008277D0"/>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8277D0"/>
    <w:rPr>
      <w:rFonts w:ascii="Arial" w:hAnsi="Arial"/>
    </w:rPr>
  </w:style>
  <w:style w:type="table" w:styleId="TableGrid">
    <w:name w:val="Table Grid"/>
    <w:basedOn w:val="TableNormal"/>
    <w:uiPriority w:val="59"/>
    <w:rsid w:val="00243FD3"/>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0865">
      <w:bodyDiv w:val="1"/>
      <w:marLeft w:val="0"/>
      <w:marRight w:val="0"/>
      <w:marTop w:val="0"/>
      <w:marBottom w:val="0"/>
      <w:divBdr>
        <w:top w:val="none" w:sz="0" w:space="0" w:color="auto"/>
        <w:left w:val="none" w:sz="0" w:space="0" w:color="auto"/>
        <w:bottom w:val="none" w:sz="0" w:space="0" w:color="auto"/>
        <w:right w:val="none" w:sz="0" w:space="0" w:color="auto"/>
      </w:divBdr>
    </w:div>
    <w:div w:id="1310862050">
      <w:bodyDiv w:val="1"/>
      <w:marLeft w:val="0"/>
      <w:marRight w:val="0"/>
      <w:marTop w:val="0"/>
      <w:marBottom w:val="0"/>
      <w:divBdr>
        <w:top w:val="none" w:sz="0" w:space="0" w:color="auto"/>
        <w:left w:val="none" w:sz="0" w:space="0" w:color="auto"/>
        <w:bottom w:val="none" w:sz="0" w:space="0" w:color="auto"/>
        <w:right w:val="none" w:sz="0" w:space="0" w:color="auto"/>
      </w:divBdr>
    </w:div>
    <w:div w:id="1817332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929BE-6270-4E8A-BD4B-4BA80A56C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2298</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C/56/3</vt:lpstr>
    </vt:vector>
  </TitlesOfParts>
  <Company>UPOV</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C/56/3</dc:title>
  <dc:creator>SANCHEZ VIZCAINO GOMEZ Rosa Maria</dc:creator>
  <cp:lastModifiedBy>HUERTA-CASADO Yolanda</cp:lastModifiedBy>
  <cp:revision>7</cp:revision>
  <cp:lastPrinted>2016-11-22T15:41:00Z</cp:lastPrinted>
  <dcterms:created xsi:type="dcterms:W3CDTF">2022-07-19T14:49:00Z</dcterms:created>
  <dcterms:modified xsi:type="dcterms:W3CDTF">2022-07-29T16:01:00Z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ab062603-0c19-409b-8017-67ea48c9ef10</vt:lpwstr>
  </property>
</Properties>
</file>