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64DD0" w14:textId="77777777" w:rsidR="005861E0" w:rsidRPr="002D774B" w:rsidRDefault="005861E0">
      <w:pPr>
        <w:rPr>
          <w:lang w:val="es-ES_tradnl"/>
        </w:rPr>
      </w:pPr>
    </w:p>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2D774B" w14:paraId="43674779" w14:textId="77777777" w:rsidTr="00EB4E9C">
        <w:tc>
          <w:tcPr>
            <w:tcW w:w="6522" w:type="dxa"/>
          </w:tcPr>
          <w:p w14:paraId="27142B23" w14:textId="77777777" w:rsidR="00DC3802" w:rsidRPr="002D774B" w:rsidRDefault="00DC3802" w:rsidP="00AC2883">
            <w:pPr>
              <w:rPr>
                <w:lang w:val="es-ES_tradnl"/>
              </w:rPr>
            </w:pPr>
            <w:r w:rsidRPr="002D774B">
              <w:rPr>
                <w:noProof/>
              </w:rPr>
              <w:drawing>
                <wp:inline distT="0" distB="0" distL="0" distR="0" wp14:anchorId="1DEF06EA" wp14:editId="75E8FC85">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BC799E2" w14:textId="6EB6657E" w:rsidR="00DC3802" w:rsidRPr="002D774B" w:rsidRDefault="00465A49" w:rsidP="00AC2883">
            <w:pPr>
              <w:pStyle w:val="Lettrine"/>
              <w:rPr>
                <w:lang w:val="es-ES_tradnl"/>
              </w:rPr>
            </w:pPr>
            <w:r w:rsidRPr="002D774B">
              <w:rPr>
                <w:lang w:val="es-ES_tradnl"/>
              </w:rPr>
              <w:t>S</w:t>
            </w:r>
          </w:p>
        </w:tc>
      </w:tr>
      <w:tr w:rsidR="00DC3802" w:rsidRPr="002D774B" w14:paraId="212E2582" w14:textId="77777777" w:rsidTr="00645CA8">
        <w:trPr>
          <w:trHeight w:val="219"/>
        </w:trPr>
        <w:tc>
          <w:tcPr>
            <w:tcW w:w="6522" w:type="dxa"/>
          </w:tcPr>
          <w:p w14:paraId="6C2DB4A9" w14:textId="05D18707" w:rsidR="00DC3802" w:rsidRPr="002D774B" w:rsidRDefault="00313D81" w:rsidP="00AC2883">
            <w:pPr>
              <w:pStyle w:val="upove"/>
              <w:rPr>
                <w:lang w:val="es-ES_tradnl"/>
              </w:rPr>
            </w:pPr>
            <w:r w:rsidRPr="002D774B">
              <w:rPr>
                <w:lang w:val="es-ES_tradnl"/>
              </w:rPr>
              <w:t>Unión Internacional para la Protección de las Obtenciones Vegetales</w:t>
            </w:r>
          </w:p>
        </w:tc>
        <w:tc>
          <w:tcPr>
            <w:tcW w:w="3117" w:type="dxa"/>
          </w:tcPr>
          <w:p w14:paraId="3078B114" w14:textId="77777777" w:rsidR="00DC3802" w:rsidRPr="002D774B" w:rsidRDefault="00DC3802" w:rsidP="00DA4973">
            <w:pPr>
              <w:rPr>
                <w:lang w:val="es-ES_tradnl"/>
              </w:rPr>
            </w:pPr>
          </w:p>
        </w:tc>
      </w:tr>
    </w:tbl>
    <w:p w14:paraId="0261AC85" w14:textId="77777777" w:rsidR="00DC3802" w:rsidRPr="002D774B" w:rsidRDefault="00DC3802" w:rsidP="00DC3802">
      <w:pPr>
        <w:rPr>
          <w:lang w:val="es-ES_tradnl"/>
        </w:rPr>
      </w:pPr>
    </w:p>
    <w:p w14:paraId="782417F2" w14:textId="77777777" w:rsidR="00DA4973" w:rsidRPr="002D774B" w:rsidRDefault="00DA4973" w:rsidP="00DC3802">
      <w:pPr>
        <w:rPr>
          <w:lang w:val="es-ES_tradnl"/>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2D774B" w14:paraId="73B91D89" w14:textId="77777777" w:rsidTr="00EB4E9C">
        <w:tc>
          <w:tcPr>
            <w:tcW w:w="6512" w:type="dxa"/>
          </w:tcPr>
          <w:p w14:paraId="1BB79083" w14:textId="6DCC50B0" w:rsidR="00EB4E9C" w:rsidRPr="00C91044" w:rsidRDefault="00313D81" w:rsidP="00AC2883">
            <w:pPr>
              <w:pStyle w:val="Sessiontc"/>
              <w:spacing w:line="240" w:lineRule="auto"/>
              <w:rPr>
                <w:lang w:val="es-ES_tradnl"/>
              </w:rPr>
            </w:pPr>
            <w:r w:rsidRPr="00C91044">
              <w:rPr>
                <w:lang w:val="es-ES_tradnl"/>
              </w:rPr>
              <w:t>C</w:t>
            </w:r>
            <w:r w:rsidR="00F90EEE" w:rsidRPr="00C91044">
              <w:rPr>
                <w:lang w:val="es-ES_tradnl"/>
              </w:rPr>
              <w:t>onsejo</w:t>
            </w:r>
          </w:p>
          <w:p w14:paraId="6C2FA3DD" w14:textId="642E603F" w:rsidR="00F067C6" w:rsidRPr="00C91044" w:rsidRDefault="00BA0C93" w:rsidP="00216C0E">
            <w:pPr>
              <w:pStyle w:val="Sessiontcplacedate"/>
              <w:rPr>
                <w:lang w:val="es-ES_tradnl"/>
              </w:rPr>
            </w:pPr>
            <w:r w:rsidRPr="00C91044">
              <w:rPr>
                <w:lang w:val="es-ES_tradnl"/>
              </w:rPr>
              <w:t>Quincuagésima sexta sesión ordinaria</w:t>
            </w:r>
          </w:p>
          <w:p w14:paraId="7AAE50EA" w14:textId="5E5B36FC" w:rsidR="00EB4E9C" w:rsidRPr="00C91044" w:rsidRDefault="00313D81" w:rsidP="00BA0C93">
            <w:pPr>
              <w:pStyle w:val="Sessiontcplacedate"/>
              <w:rPr>
                <w:sz w:val="22"/>
                <w:lang w:val="es-ES_tradnl"/>
              </w:rPr>
            </w:pPr>
            <w:r w:rsidRPr="00C91044">
              <w:rPr>
                <w:lang w:val="es-ES_tradnl"/>
              </w:rPr>
              <w:t>Ginebra</w:t>
            </w:r>
            <w:r w:rsidR="00EB4E9C" w:rsidRPr="00C91044">
              <w:rPr>
                <w:lang w:val="es-ES_tradnl"/>
              </w:rPr>
              <w:t xml:space="preserve">, </w:t>
            </w:r>
            <w:r w:rsidR="00216C0E" w:rsidRPr="00C91044">
              <w:rPr>
                <w:lang w:val="es-ES_tradnl"/>
              </w:rPr>
              <w:t>2</w:t>
            </w:r>
            <w:r w:rsidR="00BA0C93" w:rsidRPr="00C91044">
              <w:rPr>
                <w:lang w:val="es-ES_tradnl"/>
              </w:rPr>
              <w:t>8</w:t>
            </w:r>
            <w:r w:rsidRPr="00C91044">
              <w:rPr>
                <w:lang w:val="es-ES_tradnl"/>
              </w:rPr>
              <w:t xml:space="preserve"> de octubre de</w:t>
            </w:r>
            <w:r w:rsidR="00AD1DE6" w:rsidRPr="00C91044">
              <w:rPr>
                <w:lang w:val="es-ES_tradnl"/>
              </w:rPr>
              <w:t xml:space="preserve"> </w:t>
            </w:r>
            <w:r w:rsidR="00216C0E" w:rsidRPr="00C91044">
              <w:rPr>
                <w:lang w:val="es-ES_tradnl"/>
              </w:rPr>
              <w:t>2022</w:t>
            </w:r>
          </w:p>
        </w:tc>
        <w:tc>
          <w:tcPr>
            <w:tcW w:w="3127" w:type="dxa"/>
          </w:tcPr>
          <w:p w14:paraId="0C631620" w14:textId="29E263FF" w:rsidR="00EB4E9C" w:rsidRPr="00C91044" w:rsidRDefault="00BA0C93" w:rsidP="003C7FBE">
            <w:pPr>
              <w:pStyle w:val="Doccode"/>
              <w:rPr>
                <w:lang w:val="es-ES_tradnl"/>
              </w:rPr>
            </w:pPr>
            <w:r w:rsidRPr="00C91044">
              <w:rPr>
                <w:lang w:val="es-ES_tradnl"/>
              </w:rPr>
              <w:t>C/56/10</w:t>
            </w:r>
          </w:p>
          <w:p w14:paraId="50547981" w14:textId="56B2B116" w:rsidR="00EB4E9C" w:rsidRPr="00C91044" w:rsidRDefault="00EB4E9C" w:rsidP="003C7FBE">
            <w:pPr>
              <w:pStyle w:val="Docoriginal"/>
              <w:rPr>
                <w:lang w:val="es-ES_tradnl"/>
              </w:rPr>
            </w:pPr>
            <w:r w:rsidRPr="00C91044">
              <w:rPr>
                <w:lang w:val="es-ES_tradnl"/>
              </w:rPr>
              <w:t>Original:</w:t>
            </w:r>
            <w:r w:rsidR="00320560" w:rsidRPr="00C91044">
              <w:rPr>
                <w:b w:val="0"/>
                <w:spacing w:val="0"/>
                <w:lang w:val="es-ES_tradnl"/>
              </w:rPr>
              <w:t xml:space="preserve"> </w:t>
            </w:r>
            <w:r w:rsidR="00313D81" w:rsidRPr="00C91044">
              <w:rPr>
                <w:b w:val="0"/>
                <w:spacing w:val="0"/>
                <w:lang w:val="es-ES_tradnl"/>
              </w:rPr>
              <w:t>Inglés</w:t>
            </w:r>
          </w:p>
          <w:p w14:paraId="53C62653" w14:textId="7997412A" w:rsidR="00EB4E9C" w:rsidRPr="002D774B" w:rsidRDefault="00313D81" w:rsidP="00BA0C93">
            <w:pPr>
              <w:pStyle w:val="Docoriginal"/>
              <w:rPr>
                <w:lang w:val="es-ES_tradnl"/>
              </w:rPr>
            </w:pPr>
            <w:r w:rsidRPr="00C91044">
              <w:rPr>
                <w:lang w:val="es-ES_tradnl"/>
              </w:rPr>
              <w:t>Fecha</w:t>
            </w:r>
            <w:r w:rsidR="00EB4E9C" w:rsidRPr="00C91044">
              <w:rPr>
                <w:lang w:val="es-ES_tradnl"/>
              </w:rPr>
              <w:t>:</w:t>
            </w:r>
            <w:r w:rsidR="00320560" w:rsidRPr="00C91044">
              <w:rPr>
                <w:b w:val="0"/>
                <w:spacing w:val="0"/>
                <w:lang w:val="es-ES_tradnl"/>
              </w:rPr>
              <w:t xml:space="preserve"> </w:t>
            </w:r>
            <w:r w:rsidR="002309A9" w:rsidRPr="00C91044">
              <w:rPr>
                <w:b w:val="0"/>
                <w:spacing w:val="0"/>
                <w:lang w:val="es-ES_tradnl"/>
              </w:rPr>
              <w:t>28</w:t>
            </w:r>
            <w:r w:rsidRPr="00C91044">
              <w:rPr>
                <w:b w:val="0"/>
                <w:spacing w:val="0"/>
                <w:lang w:val="es-ES_tradnl"/>
              </w:rPr>
              <w:t xml:space="preserve"> de </w:t>
            </w:r>
            <w:r w:rsidR="00BA0C93" w:rsidRPr="00C91044">
              <w:rPr>
                <w:b w:val="0"/>
                <w:spacing w:val="0"/>
                <w:lang w:val="es-ES_tradnl"/>
              </w:rPr>
              <w:t>octubre</w:t>
            </w:r>
            <w:r w:rsidRPr="00C91044">
              <w:rPr>
                <w:b w:val="0"/>
                <w:spacing w:val="0"/>
                <w:lang w:val="es-ES_tradnl"/>
              </w:rPr>
              <w:t xml:space="preserve"> de</w:t>
            </w:r>
            <w:r w:rsidR="00EB4E9C" w:rsidRPr="00C91044">
              <w:rPr>
                <w:b w:val="0"/>
                <w:spacing w:val="0"/>
                <w:lang w:val="es-ES_tradnl"/>
              </w:rPr>
              <w:t xml:space="preserve"> </w:t>
            </w:r>
            <w:r w:rsidR="00DA1977" w:rsidRPr="00C91044">
              <w:rPr>
                <w:b w:val="0"/>
                <w:spacing w:val="0"/>
                <w:lang w:val="es-ES_tradnl"/>
              </w:rPr>
              <w:t>202</w:t>
            </w:r>
            <w:r w:rsidR="00216C0E" w:rsidRPr="00C91044">
              <w:rPr>
                <w:b w:val="0"/>
                <w:spacing w:val="0"/>
                <w:lang w:val="es-ES_tradnl"/>
              </w:rPr>
              <w:t>2</w:t>
            </w:r>
          </w:p>
        </w:tc>
      </w:tr>
    </w:tbl>
    <w:p w14:paraId="1FAEF361" w14:textId="27714F0F" w:rsidR="000D7780" w:rsidRPr="002D774B" w:rsidRDefault="00313D81" w:rsidP="006A644A">
      <w:pPr>
        <w:pStyle w:val="Titleofdoc0"/>
        <w:rPr>
          <w:lang w:val="es-ES_tradnl"/>
        </w:rPr>
      </w:pPr>
      <w:r w:rsidRPr="002D774B">
        <w:rPr>
          <w:lang w:val="es-ES_tradnl"/>
        </w:rPr>
        <w:t xml:space="preserve">PLAN OPERATIVO ESTRATÉGICO PARA </w:t>
      </w:r>
      <w:r w:rsidR="00F223C9" w:rsidRPr="002D774B">
        <w:rPr>
          <w:lang w:val="es-ES_tradnl"/>
        </w:rPr>
        <w:t>2023-2027</w:t>
      </w:r>
    </w:p>
    <w:p w14:paraId="15BB8537" w14:textId="023C4761" w:rsidR="006A644A" w:rsidRPr="002D774B" w:rsidRDefault="00313D81" w:rsidP="006A644A">
      <w:pPr>
        <w:pStyle w:val="preparedby1"/>
        <w:jc w:val="left"/>
        <w:rPr>
          <w:lang w:val="es-ES_tradnl"/>
        </w:rPr>
      </w:pPr>
      <w:r w:rsidRPr="002D774B">
        <w:rPr>
          <w:lang w:val="es-ES_tradnl"/>
        </w:rPr>
        <w:t>preparado por la Oficina de la Unión</w:t>
      </w:r>
    </w:p>
    <w:p w14:paraId="55F25291" w14:textId="2B007684" w:rsidR="00050E16" w:rsidRPr="002D774B" w:rsidRDefault="00313D81" w:rsidP="006A644A">
      <w:pPr>
        <w:pStyle w:val="Disclaimer"/>
        <w:rPr>
          <w:lang w:val="es-ES_tradnl"/>
        </w:rPr>
      </w:pPr>
      <w:r w:rsidRPr="002D774B">
        <w:rPr>
          <w:color w:val="A6A6A6"/>
          <w:lang w:val="es-ES_tradnl"/>
        </w:rPr>
        <w:t>Descargo de responsabilidad: el presente documento no constituye un documento de política u orientación de la UPOV</w:t>
      </w:r>
    </w:p>
    <w:p w14:paraId="05D99836" w14:textId="59875AE6" w:rsidR="006B4B27" w:rsidRPr="002D774B" w:rsidRDefault="003E1000" w:rsidP="006B4B27">
      <w:pPr>
        <w:rPr>
          <w:lang w:val="es-ES_tradnl"/>
        </w:rPr>
      </w:pPr>
      <w:r w:rsidRPr="002D774B">
        <w:rPr>
          <w:lang w:val="es-ES_tradnl"/>
        </w:rPr>
        <w:t>1.</w:t>
      </w:r>
      <w:r w:rsidR="00EE5A65" w:rsidRPr="002D774B">
        <w:rPr>
          <w:lang w:val="es-ES_tradnl"/>
        </w:rPr>
        <w:tab/>
      </w:r>
      <w:r w:rsidR="0072226B" w:rsidRPr="002D774B">
        <w:rPr>
          <w:lang w:val="es-ES_tradnl"/>
        </w:rPr>
        <w:t xml:space="preserve">En su nonagésima </w:t>
      </w:r>
      <w:r w:rsidR="00BA0C93" w:rsidRPr="002D774B">
        <w:rPr>
          <w:lang w:val="es-ES_tradnl"/>
        </w:rPr>
        <w:t>novena</w:t>
      </w:r>
      <w:r w:rsidR="0072226B" w:rsidRPr="002D774B">
        <w:rPr>
          <w:lang w:val="es-ES_tradnl"/>
        </w:rPr>
        <w:t xml:space="preserve"> sesión, celebrada </w:t>
      </w:r>
      <w:r w:rsidR="00BA0C93" w:rsidRPr="002D774B">
        <w:rPr>
          <w:lang w:val="es-ES_tradnl"/>
        </w:rPr>
        <w:t xml:space="preserve">los días 27 y </w:t>
      </w:r>
      <w:r w:rsidR="00D2673A" w:rsidRPr="002D774B">
        <w:rPr>
          <w:lang w:val="es-ES_tradnl"/>
        </w:rPr>
        <w:t>28 de octubre de </w:t>
      </w:r>
      <w:r w:rsidR="00BA0C93" w:rsidRPr="002D774B">
        <w:rPr>
          <w:lang w:val="es-ES_tradnl"/>
        </w:rPr>
        <w:t>2022</w:t>
      </w:r>
      <w:r w:rsidR="0072226B" w:rsidRPr="002D774B">
        <w:rPr>
          <w:lang w:val="es-ES_tradnl"/>
        </w:rPr>
        <w:t>, el Comité Consultivo</w:t>
      </w:r>
      <w:r w:rsidR="00F223C9" w:rsidRPr="002D774B">
        <w:rPr>
          <w:lang w:val="es-ES_tradnl"/>
        </w:rPr>
        <w:t xml:space="preserve"> </w:t>
      </w:r>
      <w:r w:rsidR="00F90EEE" w:rsidRPr="002D774B">
        <w:rPr>
          <w:lang w:val="es-ES_tradnl"/>
        </w:rPr>
        <w:t>acordó que el Plan Operativo E</w:t>
      </w:r>
      <w:r w:rsidR="0072226B" w:rsidRPr="002D774B">
        <w:rPr>
          <w:lang w:val="es-ES_tradnl"/>
        </w:rPr>
        <w:t xml:space="preserve">stratégico </w:t>
      </w:r>
      <w:r w:rsidR="009749CF" w:rsidRPr="002D774B">
        <w:rPr>
          <w:lang w:val="es-ES_tradnl"/>
        </w:rPr>
        <w:t xml:space="preserve">para </w:t>
      </w:r>
      <w:r w:rsidR="0072226B" w:rsidRPr="002D774B">
        <w:rPr>
          <w:lang w:val="es-ES_tradnl"/>
        </w:rPr>
        <w:t>2023-2027</w:t>
      </w:r>
      <w:r w:rsidR="00894958" w:rsidRPr="002D774B">
        <w:rPr>
          <w:lang w:val="es-ES_tradnl"/>
        </w:rPr>
        <w:t>, según consta en el A</w:t>
      </w:r>
      <w:r w:rsidR="00066764" w:rsidRPr="002D774B">
        <w:rPr>
          <w:lang w:val="es-ES_tradnl"/>
        </w:rPr>
        <w:t xml:space="preserve">nexo </w:t>
      </w:r>
      <w:r w:rsidR="00894958" w:rsidRPr="002D774B">
        <w:rPr>
          <w:lang w:val="es-ES_tradnl"/>
        </w:rPr>
        <w:t xml:space="preserve">del presente </w:t>
      </w:r>
      <w:r w:rsidR="00066764" w:rsidRPr="002D774B">
        <w:rPr>
          <w:lang w:val="es-ES_tradnl"/>
        </w:rPr>
        <w:t>documento, se somet</w:t>
      </w:r>
      <w:r w:rsidR="009749CF" w:rsidRPr="002D774B">
        <w:rPr>
          <w:lang w:val="es-ES_tradnl"/>
        </w:rPr>
        <w:t>a</w:t>
      </w:r>
      <w:r w:rsidR="00066764" w:rsidRPr="002D774B">
        <w:rPr>
          <w:lang w:val="es-ES_tradnl"/>
        </w:rPr>
        <w:t xml:space="preserve"> a la consideración del Consejo en su quincuagésima sexta sesión ordinaria, </w:t>
      </w:r>
      <w:r w:rsidR="00D2673A" w:rsidRPr="002D774B">
        <w:rPr>
          <w:lang w:val="es-ES_tradnl"/>
        </w:rPr>
        <w:t>el 28 de octubre de </w:t>
      </w:r>
      <w:r w:rsidR="00F90EEE" w:rsidRPr="002D774B">
        <w:rPr>
          <w:lang w:val="es-ES_tradnl"/>
        </w:rPr>
        <w:t>2022 (véase el</w:t>
      </w:r>
      <w:r w:rsidR="00066764" w:rsidRPr="002D774B">
        <w:rPr>
          <w:lang w:val="es-ES_tradnl"/>
        </w:rPr>
        <w:t xml:space="preserve"> documento C/56/13 </w:t>
      </w:r>
      <w:r w:rsidR="00981DAF" w:rsidRPr="002D774B">
        <w:rPr>
          <w:lang w:val="es-ES_tradnl"/>
        </w:rPr>
        <w:t>“</w:t>
      </w:r>
      <w:r w:rsidR="00981DAF" w:rsidRPr="002D774B">
        <w:rPr>
          <w:i/>
          <w:lang w:val="es-ES_tradnl"/>
        </w:rPr>
        <w:t>Report by the President on the work of the ninety-ninth session of the Consultative Committee; adoption of recommendations, if any, prepared by that Committee</w:t>
      </w:r>
      <w:r w:rsidR="00981DAF" w:rsidRPr="002D774B">
        <w:rPr>
          <w:lang w:val="es-ES_tradnl"/>
        </w:rPr>
        <w:t>” (</w:t>
      </w:r>
      <w:r w:rsidR="00066764" w:rsidRPr="002D774B">
        <w:rPr>
          <w:lang w:val="es-ES_tradnl"/>
        </w:rPr>
        <w:t>Informe del presidente sobre los trabajos de la nonagésima novena sesión del Comité Consultivo; aprobación, si procede, de las recomendaciones preparadas por dicho Comité</w:t>
      </w:r>
      <w:r w:rsidR="00981DAF" w:rsidRPr="002D774B">
        <w:rPr>
          <w:lang w:val="es-ES_tradnl"/>
        </w:rPr>
        <w:t>)</w:t>
      </w:r>
      <w:r w:rsidR="00F90EEE" w:rsidRPr="002D774B">
        <w:rPr>
          <w:lang w:val="es-ES_tradnl"/>
        </w:rPr>
        <w:t>)</w:t>
      </w:r>
      <w:r w:rsidR="00066764" w:rsidRPr="002D774B">
        <w:rPr>
          <w:lang w:val="es-ES_tradnl"/>
        </w:rPr>
        <w:t>.</w:t>
      </w:r>
    </w:p>
    <w:p w14:paraId="07B0F6E2" w14:textId="77777777" w:rsidR="006B4B27" w:rsidRPr="002D774B" w:rsidRDefault="006B4B27" w:rsidP="006B4B27">
      <w:pPr>
        <w:rPr>
          <w:lang w:val="es-ES_tradnl"/>
        </w:rPr>
      </w:pPr>
    </w:p>
    <w:p w14:paraId="1BE17C6A" w14:textId="27C36EB8" w:rsidR="00945B66" w:rsidRPr="002D774B" w:rsidRDefault="003E1000" w:rsidP="00F90EEE">
      <w:pPr>
        <w:pStyle w:val="DecisionParagraphs"/>
        <w:rPr>
          <w:lang w:val="es-ES_tradnl"/>
        </w:rPr>
      </w:pPr>
      <w:r w:rsidRPr="002D774B">
        <w:rPr>
          <w:lang w:val="es-ES_tradnl"/>
        </w:rPr>
        <w:t>2.</w:t>
      </w:r>
      <w:r w:rsidR="00EE5A65" w:rsidRPr="002D774B">
        <w:rPr>
          <w:lang w:val="es-ES_tradnl"/>
        </w:rPr>
        <w:tab/>
      </w:r>
      <w:r w:rsidR="00066764" w:rsidRPr="002D774B">
        <w:rPr>
          <w:lang w:val="es-ES_tradnl"/>
        </w:rPr>
        <w:t>Se invita al Co</w:t>
      </w:r>
      <w:r w:rsidR="00F90EEE" w:rsidRPr="002D774B">
        <w:rPr>
          <w:lang w:val="es-ES_tradnl"/>
        </w:rPr>
        <w:t xml:space="preserve">nsejo a adoptar </w:t>
      </w:r>
      <w:r w:rsidR="00981DAF" w:rsidRPr="002D774B">
        <w:rPr>
          <w:lang w:val="es-ES_tradnl"/>
        </w:rPr>
        <w:t xml:space="preserve">el </w:t>
      </w:r>
      <w:r w:rsidR="00F90EEE" w:rsidRPr="002D774B">
        <w:rPr>
          <w:lang w:val="es-ES_tradnl"/>
        </w:rPr>
        <w:t xml:space="preserve">Plan Operativo Estratégico </w:t>
      </w:r>
      <w:r w:rsidR="009749CF" w:rsidRPr="002D774B">
        <w:rPr>
          <w:lang w:val="es-ES_tradnl"/>
        </w:rPr>
        <w:t xml:space="preserve">para </w:t>
      </w:r>
      <w:r w:rsidR="00F90EEE" w:rsidRPr="002D774B">
        <w:rPr>
          <w:lang w:val="es-ES_tradnl"/>
        </w:rPr>
        <w:t>2023-2027, según consta en el Anexo del presente documento.</w:t>
      </w:r>
    </w:p>
    <w:p w14:paraId="346EBBE9" w14:textId="77777777" w:rsidR="009C6B3A" w:rsidRPr="002D774B" w:rsidRDefault="009C6B3A" w:rsidP="00C5582D">
      <w:pPr>
        <w:rPr>
          <w:lang w:val="es-ES_tradnl"/>
        </w:rPr>
      </w:pPr>
    </w:p>
    <w:p w14:paraId="172BA57A" w14:textId="77777777" w:rsidR="009B4DB7" w:rsidRPr="002D774B" w:rsidRDefault="009B4DB7" w:rsidP="00C5582D">
      <w:pPr>
        <w:rPr>
          <w:lang w:val="es-ES_tradnl"/>
        </w:rPr>
      </w:pPr>
    </w:p>
    <w:p w14:paraId="0077E5E8" w14:textId="77777777" w:rsidR="00412EDF" w:rsidRPr="002D774B" w:rsidRDefault="00412EDF" w:rsidP="00C5582D">
      <w:pPr>
        <w:rPr>
          <w:lang w:val="es-ES_tradnl"/>
        </w:rPr>
      </w:pPr>
    </w:p>
    <w:p w14:paraId="12BBABAF" w14:textId="4980ACD9" w:rsidR="00412EDF" w:rsidRPr="002D774B" w:rsidRDefault="00412EDF" w:rsidP="00412EDF">
      <w:pPr>
        <w:jc w:val="right"/>
        <w:rPr>
          <w:lang w:val="es-ES_tradnl"/>
        </w:rPr>
      </w:pPr>
      <w:r w:rsidRPr="002D774B">
        <w:rPr>
          <w:lang w:val="es-ES_tradnl"/>
        </w:rPr>
        <w:t>[</w:t>
      </w:r>
      <w:r w:rsidR="00041099" w:rsidRPr="002D774B">
        <w:rPr>
          <w:lang w:val="es-ES_tradnl"/>
        </w:rPr>
        <w:t>Sigue el anexo</w:t>
      </w:r>
      <w:r w:rsidRPr="002D774B">
        <w:rPr>
          <w:lang w:val="es-ES_tradnl"/>
        </w:rPr>
        <w:t>]</w:t>
      </w:r>
    </w:p>
    <w:p w14:paraId="6873CA56" w14:textId="3D26265A" w:rsidR="00E97EE6" w:rsidRPr="002D774B" w:rsidRDefault="00E97EE6" w:rsidP="00E97EE6">
      <w:pPr>
        <w:rPr>
          <w:lang w:val="es-ES_tradnl"/>
        </w:rPr>
      </w:pPr>
    </w:p>
    <w:p w14:paraId="7B9A0DC1" w14:textId="600E94C1" w:rsidR="00E97EE6" w:rsidRPr="002D774B" w:rsidRDefault="00E97EE6" w:rsidP="00E97EE6">
      <w:pPr>
        <w:rPr>
          <w:lang w:val="es-ES_tradnl"/>
        </w:rPr>
      </w:pPr>
    </w:p>
    <w:p w14:paraId="292B90B0" w14:textId="77777777" w:rsidR="00E97EE6" w:rsidRPr="002D774B" w:rsidRDefault="00E97EE6" w:rsidP="00E97EE6">
      <w:pPr>
        <w:rPr>
          <w:lang w:val="es-ES_tradnl"/>
        </w:rPr>
        <w:sectPr w:rsidR="00E97EE6" w:rsidRPr="002D774B" w:rsidSect="00F90EEE">
          <w:headerReference w:type="default" r:id="rId9"/>
          <w:pgSz w:w="11907" w:h="16840" w:code="9"/>
          <w:pgMar w:top="510" w:right="1134" w:bottom="1134" w:left="1134" w:header="510" w:footer="680" w:gutter="0"/>
          <w:cols w:space="720"/>
          <w:titlePg/>
        </w:sectPr>
      </w:pPr>
    </w:p>
    <w:p w14:paraId="37A21115" w14:textId="77777777" w:rsidR="00E97EE6" w:rsidRPr="002D774B" w:rsidRDefault="00E97EE6" w:rsidP="00E97EE6">
      <w:pPr>
        <w:jc w:val="center"/>
        <w:rPr>
          <w:b/>
          <w:lang w:val="es-ES_tradnl"/>
        </w:rPr>
      </w:pPr>
      <w:r w:rsidRPr="002D774B">
        <w:rPr>
          <w:b/>
          <w:lang w:val="es-ES_tradnl"/>
        </w:rPr>
        <w:lastRenderedPageBreak/>
        <w:t>PLAN OPERATIVO ESTRATÉGICO PARA 2023-2027</w:t>
      </w:r>
    </w:p>
    <w:p w14:paraId="5F762F77" w14:textId="77777777" w:rsidR="00E97EE6" w:rsidRPr="002D774B" w:rsidRDefault="00E97EE6" w:rsidP="00E97EE6">
      <w:pPr>
        <w:rPr>
          <w:lang w:val="es-ES_tradnl"/>
        </w:rPr>
      </w:pPr>
    </w:p>
    <w:p w14:paraId="4D96AFFE" w14:textId="0276721F" w:rsidR="006B4362" w:rsidRDefault="00E97EE6">
      <w:pPr>
        <w:pStyle w:val="TOC1"/>
        <w:rPr>
          <w:rFonts w:asciiTheme="minorHAnsi" w:eastAsiaTheme="minorEastAsia" w:hAnsiTheme="minorHAnsi" w:cstheme="minorBidi"/>
          <w:b w:val="0"/>
          <w:caps w:val="0"/>
          <w:sz w:val="22"/>
          <w:szCs w:val="22"/>
        </w:rPr>
      </w:pPr>
      <w:r w:rsidRPr="002D774B">
        <w:rPr>
          <w:noProof w:val="0"/>
          <w:lang w:val="es-ES_tradnl"/>
        </w:rPr>
        <w:fldChar w:fldCharType="begin"/>
      </w:r>
      <w:r w:rsidRPr="002D774B">
        <w:rPr>
          <w:noProof w:val="0"/>
          <w:lang w:val="es-ES_tradnl"/>
        </w:rPr>
        <w:instrText xml:space="preserve"> TOC \o "1-6" \u </w:instrText>
      </w:r>
      <w:r w:rsidRPr="002D774B">
        <w:rPr>
          <w:noProof w:val="0"/>
          <w:lang w:val="es-ES_tradnl"/>
        </w:rPr>
        <w:fldChar w:fldCharType="separate"/>
      </w:r>
      <w:r w:rsidR="006B4362" w:rsidRPr="00DF582E">
        <w:rPr>
          <w:lang w:val="es-ES_tradnl"/>
        </w:rPr>
        <w:t>I.</w:t>
      </w:r>
      <w:r w:rsidR="006B4362">
        <w:rPr>
          <w:rFonts w:asciiTheme="minorHAnsi" w:eastAsiaTheme="minorEastAsia" w:hAnsiTheme="minorHAnsi" w:cstheme="minorBidi"/>
          <w:b w:val="0"/>
          <w:caps w:val="0"/>
          <w:sz w:val="22"/>
          <w:szCs w:val="22"/>
        </w:rPr>
        <w:tab/>
      </w:r>
      <w:r w:rsidR="006B4362" w:rsidRPr="00DF582E">
        <w:rPr>
          <w:lang w:val="es-ES_tradnl"/>
        </w:rPr>
        <w:t>INTRODUCCIÓN</w:t>
      </w:r>
      <w:r w:rsidR="006B4362">
        <w:tab/>
      </w:r>
      <w:r w:rsidR="006B4362">
        <w:fldChar w:fldCharType="begin"/>
      </w:r>
      <w:r w:rsidR="006B4362">
        <w:instrText xml:space="preserve"> PAGEREF _Toc117802092 \h </w:instrText>
      </w:r>
      <w:r w:rsidR="006B4362">
        <w:fldChar w:fldCharType="separate"/>
      </w:r>
      <w:r w:rsidR="006B4362">
        <w:t>2</w:t>
      </w:r>
      <w:r w:rsidR="006B4362">
        <w:fldChar w:fldCharType="end"/>
      </w:r>
    </w:p>
    <w:p w14:paraId="28EA7339" w14:textId="2F383C08" w:rsidR="006B4362" w:rsidRDefault="006B4362">
      <w:pPr>
        <w:pStyle w:val="TOC1"/>
        <w:rPr>
          <w:rFonts w:asciiTheme="minorHAnsi" w:eastAsiaTheme="minorEastAsia" w:hAnsiTheme="minorHAnsi" w:cstheme="minorBidi"/>
          <w:b w:val="0"/>
          <w:caps w:val="0"/>
          <w:sz w:val="22"/>
          <w:szCs w:val="22"/>
        </w:rPr>
      </w:pPr>
      <w:r w:rsidRPr="00DF582E">
        <w:rPr>
          <w:lang w:val="es-ES_tradnl"/>
        </w:rPr>
        <w:t>II.</w:t>
      </w:r>
      <w:r>
        <w:rPr>
          <w:rFonts w:asciiTheme="minorHAnsi" w:eastAsiaTheme="minorEastAsia" w:hAnsiTheme="minorHAnsi" w:cstheme="minorBidi"/>
          <w:b w:val="0"/>
          <w:caps w:val="0"/>
          <w:sz w:val="22"/>
          <w:szCs w:val="22"/>
        </w:rPr>
        <w:tab/>
      </w:r>
      <w:r w:rsidRPr="00DF582E">
        <w:rPr>
          <w:lang w:val="es-ES_tradnl"/>
        </w:rPr>
        <w:t>PANORAMA</w:t>
      </w:r>
      <w:r>
        <w:tab/>
      </w:r>
      <w:r>
        <w:fldChar w:fldCharType="begin"/>
      </w:r>
      <w:r>
        <w:instrText xml:space="preserve"> PAGEREF _Toc117802093 \h </w:instrText>
      </w:r>
      <w:r>
        <w:fldChar w:fldCharType="separate"/>
      </w:r>
      <w:r>
        <w:t>2</w:t>
      </w:r>
      <w:r>
        <w:fldChar w:fldCharType="end"/>
      </w:r>
    </w:p>
    <w:p w14:paraId="45532447" w14:textId="601A59BF" w:rsidR="006B4362" w:rsidRDefault="006B4362">
      <w:pPr>
        <w:pStyle w:val="TOC1"/>
        <w:rPr>
          <w:rFonts w:asciiTheme="minorHAnsi" w:eastAsiaTheme="minorEastAsia" w:hAnsiTheme="minorHAnsi" w:cstheme="minorBidi"/>
          <w:b w:val="0"/>
          <w:caps w:val="0"/>
          <w:sz w:val="22"/>
          <w:szCs w:val="22"/>
        </w:rPr>
      </w:pPr>
      <w:r w:rsidRPr="00DF582E">
        <w:rPr>
          <w:lang w:val="es-ES_tradnl"/>
        </w:rPr>
        <w:t>III.</w:t>
      </w:r>
      <w:r>
        <w:rPr>
          <w:rFonts w:asciiTheme="minorHAnsi" w:eastAsiaTheme="minorEastAsia" w:hAnsiTheme="minorHAnsi" w:cstheme="minorBidi"/>
          <w:b w:val="0"/>
          <w:caps w:val="0"/>
          <w:sz w:val="22"/>
          <w:szCs w:val="22"/>
        </w:rPr>
        <w:tab/>
      </w:r>
      <w:r w:rsidRPr="00DF582E">
        <w:rPr>
          <w:lang w:val="es-ES_tradnl"/>
        </w:rPr>
        <w:t>EDIFICIO DE LA ESTRATEGIA</w:t>
      </w:r>
      <w:r>
        <w:tab/>
      </w:r>
      <w:r>
        <w:fldChar w:fldCharType="begin"/>
      </w:r>
      <w:r>
        <w:instrText xml:space="preserve"> PAGEREF _Toc117802094 \h </w:instrText>
      </w:r>
      <w:r>
        <w:fldChar w:fldCharType="separate"/>
      </w:r>
      <w:r>
        <w:t>3</w:t>
      </w:r>
      <w:r>
        <w:fldChar w:fldCharType="end"/>
      </w:r>
    </w:p>
    <w:p w14:paraId="21A39814" w14:textId="4A5938FB" w:rsidR="006B4362" w:rsidRDefault="006B4362">
      <w:pPr>
        <w:pStyle w:val="TOC2"/>
        <w:rPr>
          <w:rFonts w:asciiTheme="minorHAnsi" w:eastAsiaTheme="minorEastAsia" w:hAnsiTheme="minorHAnsi" w:cstheme="minorBidi"/>
          <w:smallCaps w:val="0"/>
          <w:sz w:val="22"/>
          <w:szCs w:val="22"/>
        </w:rPr>
      </w:pPr>
      <w:r w:rsidRPr="00DF582E">
        <w:rPr>
          <w:lang w:val="es-ES_tradnl"/>
        </w:rPr>
        <w:t>LA MISIÓN</w:t>
      </w:r>
      <w:r>
        <w:tab/>
      </w:r>
      <w:r>
        <w:fldChar w:fldCharType="begin"/>
      </w:r>
      <w:r>
        <w:instrText xml:space="preserve"> PAGEREF _Toc117802095 \h </w:instrText>
      </w:r>
      <w:r>
        <w:fldChar w:fldCharType="separate"/>
      </w:r>
      <w:r>
        <w:t>3</w:t>
      </w:r>
      <w:r>
        <w:fldChar w:fldCharType="end"/>
      </w:r>
    </w:p>
    <w:p w14:paraId="1C0DFA67" w14:textId="5E8B63AD" w:rsidR="006B4362" w:rsidRDefault="006B4362">
      <w:pPr>
        <w:pStyle w:val="TOC2"/>
        <w:rPr>
          <w:rFonts w:asciiTheme="minorHAnsi" w:eastAsiaTheme="minorEastAsia" w:hAnsiTheme="minorHAnsi" w:cstheme="minorBidi"/>
          <w:smallCaps w:val="0"/>
          <w:sz w:val="22"/>
          <w:szCs w:val="22"/>
        </w:rPr>
      </w:pPr>
      <w:r w:rsidRPr="00DF582E">
        <w:rPr>
          <w:lang w:val="es-ES_tradnl"/>
        </w:rPr>
        <w:t>LOS TRES PILARES ESTRATÉGICOS Y EL FUNDAMENTO</w:t>
      </w:r>
      <w:r>
        <w:tab/>
      </w:r>
      <w:r>
        <w:fldChar w:fldCharType="begin"/>
      </w:r>
      <w:r>
        <w:instrText xml:space="preserve"> PAGEREF _Toc117802096 \h </w:instrText>
      </w:r>
      <w:r>
        <w:fldChar w:fldCharType="separate"/>
      </w:r>
      <w:r>
        <w:t>4</w:t>
      </w:r>
      <w:r>
        <w:fldChar w:fldCharType="end"/>
      </w:r>
    </w:p>
    <w:p w14:paraId="5F4C11AA" w14:textId="0CF04FAB" w:rsidR="006B4362" w:rsidRDefault="006B4362">
      <w:pPr>
        <w:pStyle w:val="TOC3"/>
        <w:rPr>
          <w:rFonts w:asciiTheme="minorHAnsi" w:eastAsiaTheme="minorEastAsia" w:hAnsiTheme="minorHAnsi" w:cstheme="minorBidi"/>
          <w:i w:val="0"/>
          <w:sz w:val="22"/>
          <w:szCs w:val="22"/>
          <w:lang w:val="en-US"/>
        </w:rPr>
      </w:pPr>
      <w:r w:rsidRPr="00DF582E">
        <w:rPr>
          <w:lang w:val="es-ES_tradnl"/>
        </w:rPr>
        <w:t>Pilar 1: Reunir a las partes interesadas para que contribuyan a dar forma al sistema de la UPOV</w:t>
      </w:r>
      <w:r>
        <w:tab/>
      </w:r>
      <w:r>
        <w:fldChar w:fldCharType="begin"/>
      </w:r>
      <w:r>
        <w:instrText xml:space="preserve"> PAGEREF _Toc117802097 \h </w:instrText>
      </w:r>
      <w:r>
        <w:fldChar w:fldCharType="separate"/>
      </w:r>
      <w:r>
        <w:t>4</w:t>
      </w:r>
      <w:r>
        <w:fldChar w:fldCharType="end"/>
      </w:r>
    </w:p>
    <w:p w14:paraId="044E9535" w14:textId="6C1B9437" w:rsidR="006B4362" w:rsidRDefault="006B4362">
      <w:pPr>
        <w:pStyle w:val="TOC4"/>
        <w:rPr>
          <w:rFonts w:asciiTheme="minorHAnsi" w:eastAsiaTheme="minorEastAsia" w:hAnsiTheme="minorHAnsi" w:cstheme="minorBidi"/>
          <w:sz w:val="22"/>
          <w:szCs w:val="22"/>
        </w:rPr>
      </w:pPr>
      <w:r w:rsidRPr="00DF582E">
        <w:rPr>
          <w:lang w:val="es-ES_tradnl"/>
        </w:rPr>
        <w:t>Antecedentes</w:t>
      </w:r>
      <w:r>
        <w:tab/>
      </w:r>
      <w:r>
        <w:fldChar w:fldCharType="begin"/>
      </w:r>
      <w:r>
        <w:instrText xml:space="preserve"> PAGEREF _Toc117802098 \h </w:instrText>
      </w:r>
      <w:r>
        <w:fldChar w:fldCharType="separate"/>
      </w:r>
      <w:r>
        <w:t>4</w:t>
      </w:r>
      <w:r>
        <w:fldChar w:fldCharType="end"/>
      </w:r>
    </w:p>
    <w:p w14:paraId="55BEBBB0" w14:textId="13E13581" w:rsidR="006B4362" w:rsidRDefault="006B4362">
      <w:pPr>
        <w:pStyle w:val="TOC4"/>
        <w:rPr>
          <w:rFonts w:asciiTheme="minorHAnsi" w:eastAsiaTheme="minorEastAsia" w:hAnsiTheme="minorHAnsi" w:cstheme="minorBidi"/>
          <w:sz w:val="22"/>
          <w:szCs w:val="22"/>
        </w:rPr>
      </w:pPr>
      <w:r w:rsidRPr="00DF582E">
        <w:rPr>
          <w:lang w:val="es-ES_tradnl"/>
        </w:rPr>
        <w:t>Orientaciones para el futuro</w:t>
      </w:r>
      <w:r>
        <w:tab/>
      </w:r>
      <w:r>
        <w:fldChar w:fldCharType="begin"/>
      </w:r>
      <w:r>
        <w:instrText xml:space="preserve"> PAGEREF _Toc117802099 \h </w:instrText>
      </w:r>
      <w:r>
        <w:fldChar w:fldCharType="separate"/>
      </w:r>
      <w:r>
        <w:t>4</w:t>
      </w:r>
      <w:r>
        <w:fldChar w:fldCharType="end"/>
      </w:r>
    </w:p>
    <w:p w14:paraId="113339F0" w14:textId="07E5D29F" w:rsidR="006B4362" w:rsidRDefault="006B4362">
      <w:pPr>
        <w:pStyle w:val="TOC5"/>
        <w:tabs>
          <w:tab w:val="left" w:pos="1701"/>
        </w:tabs>
        <w:rPr>
          <w:rFonts w:asciiTheme="minorHAnsi" w:eastAsiaTheme="minorEastAsia" w:hAnsiTheme="minorHAnsi" w:cstheme="minorBidi"/>
          <w:sz w:val="22"/>
          <w:szCs w:val="22"/>
          <w:lang w:val="en-US"/>
        </w:rPr>
      </w:pPr>
      <w:r w:rsidRPr="00DF582E">
        <w:rPr>
          <w:lang w:val="es-ES_tradnl"/>
        </w:rPr>
        <w:t>1.1</w:t>
      </w:r>
      <w:r>
        <w:rPr>
          <w:rFonts w:asciiTheme="minorHAnsi" w:eastAsiaTheme="minorEastAsia" w:hAnsiTheme="minorHAnsi" w:cstheme="minorBidi"/>
          <w:sz w:val="22"/>
          <w:szCs w:val="22"/>
          <w:lang w:val="en-US"/>
        </w:rPr>
        <w:tab/>
      </w:r>
      <w:r w:rsidRPr="00DF582E">
        <w:rPr>
          <w:lang w:val="es-ES_tradnl"/>
        </w:rPr>
        <w:t>Gobernanza del Consejo de la UPOV y labor de los comités y otros órganos de la UPOV</w:t>
      </w:r>
      <w:r>
        <w:tab/>
      </w:r>
      <w:r>
        <w:fldChar w:fldCharType="begin"/>
      </w:r>
      <w:r>
        <w:instrText xml:space="preserve"> PAGEREF _Toc117802100 \h </w:instrText>
      </w:r>
      <w:r>
        <w:fldChar w:fldCharType="separate"/>
      </w:r>
      <w:r>
        <w:t>4</w:t>
      </w:r>
      <w:r>
        <w:fldChar w:fldCharType="end"/>
      </w:r>
    </w:p>
    <w:p w14:paraId="75426E59" w14:textId="2386B4D7" w:rsidR="006B4362" w:rsidRDefault="006B4362">
      <w:pPr>
        <w:pStyle w:val="TOC5"/>
        <w:tabs>
          <w:tab w:val="left" w:pos="1701"/>
        </w:tabs>
        <w:rPr>
          <w:rFonts w:asciiTheme="minorHAnsi" w:eastAsiaTheme="minorEastAsia" w:hAnsiTheme="minorHAnsi" w:cstheme="minorBidi"/>
          <w:sz w:val="22"/>
          <w:szCs w:val="22"/>
          <w:lang w:val="en-US"/>
        </w:rPr>
      </w:pPr>
      <w:r w:rsidRPr="00DF582E">
        <w:rPr>
          <w:lang w:val="es-ES_tradnl"/>
        </w:rPr>
        <w:t>1.2</w:t>
      </w:r>
      <w:r>
        <w:rPr>
          <w:rFonts w:asciiTheme="minorHAnsi" w:eastAsiaTheme="minorEastAsia" w:hAnsiTheme="minorHAnsi" w:cstheme="minorBidi"/>
          <w:sz w:val="22"/>
          <w:szCs w:val="22"/>
          <w:lang w:val="en-US"/>
        </w:rPr>
        <w:tab/>
      </w:r>
      <w:r w:rsidRPr="00DF582E">
        <w:rPr>
          <w:lang w:val="es-ES_tradnl"/>
        </w:rPr>
        <w:t>Elaboración de legislación sobre la protección de las obtenciones vegetales de conformidad con el Acta de 1991 del Convenio de la UPOV</w:t>
      </w:r>
      <w:r>
        <w:tab/>
      </w:r>
      <w:r>
        <w:fldChar w:fldCharType="begin"/>
      </w:r>
      <w:r>
        <w:instrText xml:space="preserve"> PAGEREF _Toc117802101 \h </w:instrText>
      </w:r>
      <w:r>
        <w:fldChar w:fldCharType="separate"/>
      </w:r>
      <w:r>
        <w:t>5</w:t>
      </w:r>
      <w:r>
        <w:fldChar w:fldCharType="end"/>
      </w:r>
    </w:p>
    <w:p w14:paraId="10903516" w14:textId="23CEBD07" w:rsidR="006B4362" w:rsidRDefault="006B4362">
      <w:pPr>
        <w:pStyle w:val="TOC3"/>
        <w:rPr>
          <w:rFonts w:asciiTheme="minorHAnsi" w:eastAsiaTheme="minorEastAsia" w:hAnsiTheme="minorHAnsi" w:cstheme="minorBidi"/>
          <w:i w:val="0"/>
          <w:sz w:val="22"/>
          <w:szCs w:val="22"/>
          <w:lang w:val="en-US"/>
        </w:rPr>
      </w:pPr>
      <w:r w:rsidRPr="00DF582E">
        <w:rPr>
          <w:lang w:val="es-ES_tradnl"/>
        </w:rPr>
        <w:t>Pilar 2: Proporcionar orientación y asistencia y facilitar la cooperación para la puesta en práctica del sistema de la UPOV</w:t>
      </w:r>
      <w:r>
        <w:tab/>
      </w:r>
      <w:r>
        <w:fldChar w:fldCharType="begin"/>
      </w:r>
      <w:r>
        <w:instrText xml:space="preserve"> PAGEREF _Toc117802102 \h </w:instrText>
      </w:r>
      <w:r>
        <w:fldChar w:fldCharType="separate"/>
      </w:r>
      <w:r>
        <w:t>5</w:t>
      </w:r>
      <w:r>
        <w:fldChar w:fldCharType="end"/>
      </w:r>
    </w:p>
    <w:p w14:paraId="07513E13" w14:textId="319649F9" w:rsidR="006B4362" w:rsidRDefault="006B4362">
      <w:pPr>
        <w:pStyle w:val="TOC4"/>
        <w:rPr>
          <w:rFonts w:asciiTheme="minorHAnsi" w:eastAsiaTheme="minorEastAsia" w:hAnsiTheme="minorHAnsi" w:cstheme="minorBidi"/>
          <w:sz w:val="22"/>
          <w:szCs w:val="22"/>
        </w:rPr>
      </w:pPr>
      <w:r w:rsidRPr="00DF582E">
        <w:rPr>
          <w:lang w:val="es-ES_tradnl"/>
        </w:rPr>
        <w:t>Antecedentes</w:t>
      </w:r>
      <w:r>
        <w:tab/>
      </w:r>
      <w:r>
        <w:fldChar w:fldCharType="begin"/>
      </w:r>
      <w:r>
        <w:instrText xml:space="preserve"> PAGEREF _Toc117802103 \h </w:instrText>
      </w:r>
      <w:r>
        <w:fldChar w:fldCharType="separate"/>
      </w:r>
      <w:r>
        <w:t>5</w:t>
      </w:r>
      <w:r>
        <w:fldChar w:fldCharType="end"/>
      </w:r>
    </w:p>
    <w:p w14:paraId="52C71167" w14:textId="68080259" w:rsidR="006B4362" w:rsidRDefault="006B4362">
      <w:pPr>
        <w:pStyle w:val="TOC4"/>
        <w:rPr>
          <w:rFonts w:asciiTheme="minorHAnsi" w:eastAsiaTheme="minorEastAsia" w:hAnsiTheme="minorHAnsi" w:cstheme="minorBidi"/>
          <w:sz w:val="22"/>
          <w:szCs w:val="22"/>
        </w:rPr>
      </w:pPr>
      <w:r w:rsidRPr="00DF582E">
        <w:rPr>
          <w:lang w:val="es-ES_tradnl"/>
        </w:rPr>
        <w:t>Orientaciones para el futuro</w:t>
      </w:r>
      <w:r>
        <w:tab/>
      </w:r>
      <w:r>
        <w:fldChar w:fldCharType="begin"/>
      </w:r>
      <w:r>
        <w:instrText xml:space="preserve"> PAGEREF _Toc117802104 \h </w:instrText>
      </w:r>
      <w:r>
        <w:fldChar w:fldCharType="separate"/>
      </w:r>
      <w:r>
        <w:t>5</w:t>
      </w:r>
      <w:r>
        <w:fldChar w:fldCharType="end"/>
      </w:r>
    </w:p>
    <w:p w14:paraId="39F38698" w14:textId="0BB061E3" w:rsidR="006B4362" w:rsidRDefault="006B4362">
      <w:pPr>
        <w:pStyle w:val="TOC5"/>
        <w:tabs>
          <w:tab w:val="left" w:pos="1701"/>
        </w:tabs>
        <w:rPr>
          <w:rFonts w:asciiTheme="minorHAnsi" w:eastAsiaTheme="minorEastAsia" w:hAnsiTheme="minorHAnsi" w:cstheme="minorBidi"/>
          <w:sz w:val="22"/>
          <w:szCs w:val="22"/>
          <w:lang w:val="en-US"/>
        </w:rPr>
      </w:pPr>
      <w:r w:rsidRPr="00DF582E">
        <w:rPr>
          <w:lang w:val="es-ES_tradnl"/>
        </w:rPr>
        <w:t>2.1</w:t>
      </w:r>
      <w:r>
        <w:rPr>
          <w:rFonts w:asciiTheme="minorHAnsi" w:eastAsiaTheme="minorEastAsia" w:hAnsiTheme="minorHAnsi" w:cstheme="minorBidi"/>
          <w:sz w:val="22"/>
          <w:szCs w:val="22"/>
          <w:lang w:val="en-US"/>
        </w:rPr>
        <w:tab/>
      </w:r>
      <w:r w:rsidRPr="00DF582E">
        <w:rPr>
          <w:lang w:val="es-ES_tradnl"/>
        </w:rPr>
        <w:t>Sensibilización sobre la función que cumple el sistema de la UPOV</w:t>
      </w:r>
      <w:r>
        <w:tab/>
      </w:r>
      <w:r>
        <w:fldChar w:fldCharType="begin"/>
      </w:r>
      <w:r>
        <w:instrText xml:space="preserve"> PAGEREF _Toc117802105 \h </w:instrText>
      </w:r>
      <w:r>
        <w:fldChar w:fldCharType="separate"/>
      </w:r>
      <w:r>
        <w:t>5</w:t>
      </w:r>
      <w:r>
        <w:fldChar w:fldCharType="end"/>
      </w:r>
    </w:p>
    <w:p w14:paraId="4E7F3774" w14:textId="61896016" w:rsidR="006B4362" w:rsidRDefault="006B4362">
      <w:pPr>
        <w:pStyle w:val="TOC5"/>
        <w:tabs>
          <w:tab w:val="left" w:pos="1701"/>
        </w:tabs>
        <w:rPr>
          <w:rFonts w:asciiTheme="minorHAnsi" w:eastAsiaTheme="minorEastAsia" w:hAnsiTheme="minorHAnsi" w:cstheme="minorBidi"/>
          <w:sz w:val="22"/>
          <w:szCs w:val="22"/>
          <w:lang w:val="en-US"/>
        </w:rPr>
      </w:pPr>
      <w:r w:rsidRPr="00DF582E">
        <w:rPr>
          <w:lang w:val="es-ES_tradnl"/>
        </w:rPr>
        <w:t>2.2</w:t>
      </w:r>
      <w:r>
        <w:rPr>
          <w:rFonts w:asciiTheme="minorHAnsi" w:eastAsiaTheme="minorEastAsia" w:hAnsiTheme="minorHAnsi" w:cstheme="minorBidi"/>
          <w:sz w:val="22"/>
          <w:szCs w:val="22"/>
          <w:lang w:val="en-US"/>
        </w:rPr>
        <w:tab/>
      </w:r>
      <w:r w:rsidRPr="00DF582E">
        <w:rPr>
          <w:lang w:val="es-ES_tradnl"/>
        </w:rPr>
        <w:t>Orientación y asistencia sobre el Convenio de la UPOV y su aplicación</w:t>
      </w:r>
      <w:r>
        <w:tab/>
      </w:r>
      <w:r>
        <w:fldChar w:fldCharType="begin"/>
      </w:r>
      <w:r>
        <w:instrText xml:space="preserve"> PAGEREF _Toc117802106 \h </w:instrText>
      </w:r>
      <w:r>
        <w:fldChar w:fldCharType="separate"/>
      </w:r>
      <w:r>
        <w:t>6</w:t>
      </w:r>
      <w:r>
        <w:fldChar w:fldCharType="end"/>
      </w:r>
    </w:p>
    <w:p w14:paraId="017F4CDD" w14:textId="18D68629" w:rsidR="006B4362" w:rsidRDefault="006B4362">
      <w:pPr>
        <w:pStyle w:val="TOC6"/>
        <w:rPr>
          <w:rFonts w:asciiTheme="minorHAnsi" w:eastAsiaTheme="minorEastAsia" w:hAnsiTheme="minorHAnsi" w:cstheme="minorBidi"/>
          <w:i w:val="0"/>
          <w:sz w:val="22"/>
          <w:szCs w:val="22"/>
        </w:rPr>
      </w:pPr>
      <w:r w:rsidRPr="00DF582E">
        <w:rPr>
          <w:lang w:val="es-ES_tradnl"/>
        </w:rPr>
        <w:t>Orientaciones y material de información</w:t>
      </w:r>
      <w:r>
        <w:tab/>
      </w:r>
      <w:r>
        <w:fldChar w:fldCharType="begin"/>
      </w:r>
      <w:r>
        <w:instrText xml:space="preserve"> PAGEREF _Toc117802107 \h </w:instrText>
      </w:r>
      <w:r>
        <w:fldChar w:fldCharType="separate"/>
      </w:r>
      <w:r>
        <w:t>6</w:t>
      </w:r>
      <w:r>
        <w:fldChar w:fldCharType="end"/>
      </w:r>
    </w:p>
    <w:p w14:paraId="0BB46719" w14:textId="1906890E" w:rsidR="006B4362" w:rsidRDefault="006B4362">
      <w:pPr>
        <w:pStyle w:val="TOC6"/>
        <w:rPr>
          <w:rFonts w:asciiTheme="minorHAnsi" w:eastAsiaTheme="minorEastAsia" w:hAnsiTheme="minorHAnsi" w:cstheme="minorBidi"/>
          <w:i w:val="0"/>
          <w:sz w:val="22"/>
          <w:szCs w:val="22"/>
        </w:rPr>
      </w:pPr>
      <w:r w:rsidRPr="00DF582E">
        <w:rPr>
          <w:lang w:val="es-ES_tradnl"/>
        </w:rPr>
        <w:t>Formación y asistencia</w:t>
      </w:r>
      <w:r>
        <w:tab/>
      </w:r>
      <w:r>
        <w:fldChar w:fldCharType="begin"/>
      </w:r>
      <w:r>
        <w:instrText xml:space="preserve"> PAGEREF _Toc117802108 \h </w:instrText>
      </w:r>
      <w:r>
        <w:fldChar w:fldCharType="separate"/>
      </w:r>
      <w:r>
        <w:t>6</w:t>
      </w:r>
      <w:r>
        <w:fldChar w:fldCharType="end"/>
      </w:r>
    </w:p>
    <w:p w14:paraId="22E3CF06" w14:textId="3118B3BC" w:rsidR="006B4362" w:rsidRDefault="006B4362">
      <w:pPr>
        <w:pStyle w:val="TOC5"/>
        <w:tabs>
          <w:tab w:val="left" w:pos="1701"/>
        </w:tabs>
        <w:rPr>
          <w:rFonts w:asciiTheme="minorHAnsi" w:eastAsiaTheme="minorEastAsia" w:hAnsiTheme="minorHAnsi" w:cstheme="minorBidi"/>
          <w:sz w:val="22"/>
          <w:szCs w:val="22"/>
          <w:lang w:val="en-US"/>
        </w:rPr>
      </w:pPr>
      <w:r w:rsidRPr="00DF582E">
        <w:rPr>
          <w:lang w:val="es-ES_tradnl"/>
        </w:rPr>
        <w:t>2.3</w:t>
      </w:r>
      <w:r>
        <w:rPr>
          <w:rFonts w:asciiTheme="minorHAnsi" w:eastAsiaTheme="minorEastAsia" w:hAnsiTheme="minorHAnsi" w:cstheme="minorBidi"/>
          <w:sz w:val="22"/>
          <w:szCs w:val="22"/>
          <w:lang w:val="en-US"/>
        </w:rPr>
        <w:tab/>
      </w:r>
      <w:r w:rsidRPr="00DF582E">
        <w:rPr>
          <w:lang w:val="es-ES_tradnl"/>
        </w:rPr>
        <w:t>Mayor armonización y cooperación en los exámenes</w:t>
      </w:r>
      <w:r>
        <w:tab/>
      </w:r>
      <w:r>
        <w:fldChar w:fldCharType="begin"/>
      </w:r>
      <w:r>
        <w:instrText xml:space="preserve"> PAGEREF _Toc117802109 \h </w:instrText>
      </w:r>
      <w:r>
        <w:fldChar w:fldCharType="separate"/>
      </w:r>
      <w:r>
        <w:t>7</w:t>
      </w:r>
      <w:r>
        <w:fldChar w:fldCharType="end"/>
      </w:r>
    </w:p>
    <w:p w14:paraId="1889ED37" w14:textId="6C815749" w:rsidR="006B4362" w:rsidRDefault="006B4362">
      <w:pPr>
        <w:pStyle w:val="TOC6"/>
        <w:rPr>
          <w:rFonts w:asciiTheme="minorHAnsi" w:eastAsiaTheme="minorEastAsia" w:hAnsiTheme="minorHAnsi" w:cstheme="minorBidi"/>
          <w:i w:val="0"/>
          <w:sz w:val="22"/>
          <w:szCs w:val="22"/>
        </w:rPr>
      </w:pPr>
      <w:r w:rsidRPr="00DF582E">
        <w:rPr>
          <w:lang w:val="es-ES_tradnl"/>
        </w:rPr>
        <w:t>Examen de la distinción, la homogeneidad y la estabilidad (“DHE”)</w:t>
      </w:r>
      <w:r>
        <w:tab/>
      </w:r>
      <w:r>
        <w:fldChar w:fldCharType="begin"/>
      </w:r>
      <w:r>
        <w:instrText xml:space="preserve"> PAGEREF _Toc117802110 \h </w:instrText>
      </w:r>
      <w:r>
        <w:fldChar w:fldCharType="separate"/>
      </w:r>
      <w:r>
        <w:t>7</w:t>
      </w:r>
      <w:r>
        <w:fldChar w:fldCharType="end"/>
      </w:r>
    </w:p>
    <w:p w14:paraId="7E5E1282" w14:textId="4589AFC3" w:rsidR="006B4362" w:rsidRDefault="006B4362">
      <w:pPr>
        <w:pStyle w:val="TOC6"/>
        <w:rPr>
          <w:rFonts w:asciiTheme="minorHAnsi" w:eastAsiaTheme="minorEastAsia" w:hAnsiTheme="minorHAnsi" w:cstheme="minorBidi"/>
          <w:i w:val="0"/>
          <w:sz w:val="22"/>
          <w:szCs w:val="22"/>
        </w:rPr>
      </w:pPr>
      <w:r w:rsidRPr="00DF582E">
        <w:rPr>
          <w:lang w:val="es-ES_tradnl"/>
        </w:rPr>
        <w:t>Examen de denominaciones de variedades</w:t>
      </w:r>
      <w:r>
        <w:tab/>
      </w:r>
      <w:r>
        <w:fldChar w:fldCharType="begin"/>
      </w:r>
      <w:r>
        <w:instrText xml:space="preserve"> PAGEREF _Toc117802111 \h </w:instrText>
      </w:r>
      <w:r>
        <w:fldChar w:fldCharType="separate"/>
      </w:r>
      <w:r>
        <w:t>7</w:t>
      </w:r>
      <w:r>
        <w:fldChar w:fldCharType="end"/>
      </w:r>
    </w:p>
    <w:p w14:paraId="79F8FE45" w14:textId="0F3DCBA8" w:rsidR="006B4362" w:rsidRDefault="006B4362">
      <w:pPr>
        <w:pStyle w:val="TOC3"/>
        <w:rPr>
          <w:rFonts w:asciiTheme="minorHAnsi" w:eastAsiaTheme="minorEastAsia" w:hAnsiTheme="minorHAnsi" w:cstheme="minorBidi"/>
          <w:i w:val="0"/>
          <w:sz w:val="22"/>
          <w:szCs w:val="22"/>
          <w:lang w:val="en-US"/>
        </w:rPr>
      </w:pPr>
      <w:r w:rsidRPr="00DF582E">
        <w:rPr>
          <w:lang w:val="es-ES_tradnl"/>
        </w:rPr>
        <w:t>Pilar 3: Proporcionar servicios de alta calidad a los miembros de la UPOV y a los usuarios del sistema de la UPOV</w:t>
      </w:r>
      <w:r>
        <w:tab/>
      </w:r>
      <w:r>
        <w:fldChar w:fldCharType="begin"/>
      </w:r>
      <w:r>
        <w:instrText xml:space="preserve"> PAGEREF _Toc117802112 \h </w:instrText>
      </w:r>
      <w:r>
        <w:fldChar w:fldCharType="separate"/>
      </w:r>
      <w:r>
        <w:t>7</w:t>
      </w:r>
      <w:r>
        <w:fldChar w:fldCharType="end"/>
      </w:r>
    </w:p>
    <w:p w14:paraId="603F9B05" w14:textId="6A715EAE" w:rsidR="006B4362" w:rsidRDefault="006B4362">
      <w:pPr>
        <w:pStyle w:val="TOC4"/>
        <w:rPr>
          <w:rFonts w:asciiTheme="minorHAnsi" w:eastAsiaTheme="minorEastAsia" w:hAnsiTheme="minorHAnsi" w:cstheme="minorBidi"/>
          <w:sz w:val="22"/>
          <w:szCs w:val="22"/>
        </w:rPr>
      </w:pPr>
      <w:r w:rsidRPr="00DF582E">
        <w:rPr>
          <w:lang w:val="es-ES_tradnl"/>
        </w:rPr>
        <w:t>Antecedentes</w:t>
      </w:r>
      <w:r>
        <w:tab/>
      </w:r>
      <w:r>
        <w:fldChar w:fldCharType="begin"/>
      </w:r>
      <w:r>
        <w:instrText xml:space="preserve"> PAGEREF _Toc117802113 \h </w:instrText>
      </w:r>
      <w:r>
        <w:fldChar w:fldCharType="separate"/>
      </w:r>
      <w:r>
        <w:t>7</w:t>
      </w:r>
      <w:r>
        <w:fldChar w:fldCharType="end"/>
      </w:r>
    </w:p>
    <w:p w14:paraId="032AF5B2" w14:textId="34C603B8" w:rsidR="006B4362" w:rsidRDefault="006B4362">
      <w:pPr>
        <w:pStyle w:val="TOC4"/>
        <w:rPr>
          <w:rFonts w:asciiTheme="minorHAnsi" w:eastAsiaTheme="minorEastAsia" w:hAnsiTheme="minorHAnsi" w:cstheme="minorBidi"/>
          <w:sz w:val="22"/>
          <w:szCs w:val="22"/>
        </w:rPr>
      </w:pPr>
      <w:r w:rsidRPr="00DF582E">
        <w:rPr>
          <w:lang w:val="es-ES_tradnl"/>
        </w:rPr>
        <w:t>Orientaciones para el futuro</w:t>
      </w:r>
      <w:r>
        <w:tab/>
      </w:r>
      <w:r>
        <w:fldChar w:fldCharType="begin"/>
      </w:r>
      <w:r>
        <w:instrText xml:space="preserve"> PAGEREF _Toc117802114 \h </w:instrText>
      </w:r>
      <w:r>
        <w:fldChar w:fldCharType="separate"/>
      </w:r>
      <w:r>
        <w:t>7</w:t>
      </w:r>
      <w:r>
        <w:fldChar w:fldCharType="end"/>
      </w:r>
    </w:p>
    <w:p w14:paraId="22207034" w14:textId="29913A5C" w:rsidR="006B4362" w:rsidRDefault="006B4362">
      <w:pPr>
        <w:pStyle w:val="TOC5"/>
        <w:tabs>
          <w:tab w:val="left" w:pos="1701"/>
        </w:tabs>
        <w:rPr>
          <w:rFonts w:asciiTheme="minorHAnsi" w:eastAsiaTheme="minorEastAsia" w:hAnsiTheme="minorHAnsi" w:cstheme="minorBidi"/>
          <w:sz w:val="22"/>
          <w:szCs w:val="22"/>
          <w:lang w:val="en-US"/>
        </w:rPr>
      </w:pPr>
      <w:r w:rsidRPr="00DF582E">
        <w:rPr>
          <w:lang w:val="es-ES_tradnl"/>
        </w:rPr>
        <w:t>3.1</w:t>
      </w:r>
      <w:r>
        <w:rPr>
          <w:rFonts w:asciiTheme="minorHAnsi" w:eastAsiaTheme="minorEastAsia" w:hAnsiTheme="minorHAnsi" w:cstheme="minorBidi"/>
          <w:sz w:val="22"/>
          <w:szCs w:val="22"/>
          <w:lang w:val="en-US"/>
        </w:rPr>
        <w:tab/>
      </w:r>
      <w:r w:rsidRPr="00DF582E">
        <w:rPr>
          <w:lang w:val="es-ES_tradnl"/>
        </w:rPr>
        <w:t>Desarrollo de los servicios de e-PVP</w:t>
      </w:r>
      <w:r>
        <w:tab/>
      </w:r>
      <w:r>
        <w:fldChar w:fldCharType="begin"/>
      </w:r>
      <w:r>
        <w:instrText xml:space="preserve"> PAGEREF _Toc117802115 \h </w:instrText>
      </w:r>
      <w:r>
        <w:fldChar w:fldCharType="separate"/>
      </w:r>
      <w:r>
        <w:t>8</w:t>
      </w:r>
      <w:r>
        <w:fldChar w:fldCharType="end"/>
      </w:r>
    </w:p>
    <w:p w14:paraId="517D39C2" w14:textId="6BDBDED1" w:rsidR="006B4362" w:rsidRDefault="006B4362">
      <w:pPr>
        <w:pStyle w:val="TOC3"/>
        <w:rPr>
          <w:rFonts w:asciiTheme="minorHAnsi" w:eastAsiaTheme="minorEastAsia" w:hAnsiTheme="minorHAnsi" w:cstheme="minorBidi"/>
          <w:i w:val="0"/>
          <w:sz w:val="22"/>
          <w:szCs w:val="22"/>
          <w:lang w:val="en-US"/>
        </w:rPr>
      </w:pPr>
      <w:r w:rsidRPr="00DF582E">
        <w:rPr>
          <w:lang w:val="es-ES_tradnl"/>
        </w:rPr>
        <w:t>Fundamento: Velar por que nuestro personal disponga de los medios para trabajar de forma eficaz, colaborativa e innovadora, y proporcionarle los recursos, la formación y el entorno adecuados para ese fin</w:t>
      </w:r>
      <w:r>
        <w:tab/>
      </w:r>
      <w:r>
        <w:fldChar w:fldCharType="begin"/>
      </w:r>
      <w:r>
        <w:instrText xml:space="preserve"> PAGEREF _Toc117802116 \h </w:instrText>
      </w:r>
      <w:r>
        <w:fldChar w:fldCharType="separate"/>
      </w:r>
      <w:r>
        <w:t>9</w:t>
      </w:r>
      <w:r>
        <w:fldChar w:fldCharType="end"/>
      </w:r>
    </w:p>
    <w:p w14:paraId="4C1DA12A" w14:textId="2F0CD544" w:rsidR="006B4362" w:rsidRDefault="006B4362">
      <w:pPr>
        <w:pStyle w:val="TOC4"/>
        <w:rPr>
          <w:rFonts w:asciiTheme="minorHAnsi" w:eastAsiaTheme="minorEastAsia" w:hAnsiTheme="minorHAnsi" w:cstheme="minorBidi"/>
          <w:sz w:val="22"/>
          <w:szCs w:val="22"/>
        </w:rPr>
      </w:pPr>
      <w:r w:rsidRPr="00DF582E">
        <w:rPr>
          <w:lang w:val="es-ES_tradnl"/>
        </w:rPr>
        <w:t>Antecedentes</w:t>
      </w:r>
      <w:r>
        <w:tab/>
      </w:r>
      <w:r>
        <w:fldChar w:fldCharType="begin"/>
      </w:r>
      <w:r>
        <w:instrText xml:space="preserve"> PAGEREF _Toc117802117 \h </w:instrText>
      </w:r>
      <w:r>
        <w:fldChar w:fldCharType="separate"/>
      </w:r>
      <w:r>
        <w:t>9</w:t>
      </w:r>
      <w:r>
        <w:fldChar w:fldCharType="end"/>
      </w:r>
    </w:p>
    <w:p w14:paraId="27BCB25C" w14:textId="4B78C72B" w:rsidR="006B4362" w:rsidRDefault="006B4362">
      <w:pPr>
        <w:pStyle w:val="TOC4"/>
        <w:rPr>
          <w:rFonts w:asciiTheme="minorHAnsi" w:eastAsiaTheme="minorEastAsia" w:hAnsiTheme="minorHAnsi" w:cstheme="minorBidi"/>
          <w:sz w:val="22"/>
          <w:szCs w:val="22"/>
        </w:rPr>
      </w:pPr>
      <w:r w:rsidRPr="00DF582E">
        <w:rPr>
          <w:lang w:val="es-ES_tradnl"/>
        </w:rPr>
        <w:t>Orientaciones para el futuro</w:t>
      </w:r>
      <w:r>
        <w:tab/>
      </w:r>
      <w:r>
        <w:fldChar w:fldCharType="begin"/>
      </w:r>
      <w:r>
        <w:instrText xml:space="preserve"> PAGEREF _Toc117802118 \h </w:instrText>
      </w:r>
      <w:r>
        <w:fldChar w:fldCharType="separate"/>
      </w:r>
      <w:r>
        <w:t>9</w:t>
      </w:r>
      <w:r>
        <w:fldChar w:fldCharType="end"/>
      </w:r>
    </w:p>
    <w:p w14:paraId="0D132EB2" w14:textId="343FA87B" w:rsidR="006B4362" w:rsidRDefault="006B4362">
      <w:pPr>
        <w:pStyle w:val="TOC5"/>
        <w:tabs>
          <w:tab w:val="left" w:pos="1701"/>
        </w:tabs>
        <w:rPr>
          <w:rFonts w:asciiTheme="minorHAnsi" w:eastAsiaTheme="minorEastAsia" w:hAnsiTheme="minorHAnsi" w:cstheme="minorBidi"/>
          <w:sz w:val="22"/>
          <w:szCs w:val="22"/>
          <w:lang w:val="en-US"/>
        </w:rPr>
      </w:pPr>
      <w:r w:rsidRPr="00DF582E">
        <w:rPr>
          <w:lang w:val="es-ES_tradnl"/>
        </w:rPr>
        <w:t>4.1</w:t>
      </w:r>
      <w:r>
        <w:rPr>
          <w:rFonts w:asciiTheme="minorHAnsi" w:eastAsiaTheme="minorEastAsia" w:hAnsiTheme="minorHAnsi" w:cstheme="minorBidi"/>
          <w:sz w:val="22"/>
          <w:szCs w:val="22"/>
          <w:lang w:val="en-US"/>
        </w:rPr>
        <w:tab/>
      </w:r>
      <w:r w:rsidRPr="00DF582E">
        <w:rPr>
          <w:lang w:val="es-ES_tradnl"/>
        </w:rPr>
        <w:t>Diversificación de los ingresos</w:t>
      </w:r>
      <w:r>
        <w:tab/>
      </w:r>
      <w:r>
        <w:fldChar w:fldCharType="begin"/>
      </w:r>
      <w:r>
        <w:instrText xml:space="preserve"> PAGEREF _Toc117802119 \h </w:instrText>
      </w:r>
      <w:r>
        <w:fldChar w:fldCharType="separate"/>
      </w:r>
      <w:r>
        <w:t>9</w:t>
      </w:r>
      <w:r>
        <w:fldChar w:fldCharType="end"/>
      </w:r>
    </w:p>
    <w:p w14:paraId="33F309C7" w14:textId="1F3694BF" w:rsidR="006B4362" w:rsidRDefault="006B4362">
      <w:pPr>
        <w:pStyle w:val="TOC6"/>
        <w:rPr>
          <w:rFonts w:asciiTheme="minorHAnsi" w:eastAsiaTheme="minorEastAsia" w:hAnsiTheme="minorHAnsi" w:cstheme="minorBidi"/>
          <w:i w:val="0"/>
          <w:sz w:val="22"/>
          <w:szCs w:val="22"/>
        </w:rPr>
      </w:pPr>
      <w:r w:rsidRPr="00DF582E">
        <w:rPr>
          <w:lang w:val="es-ES_tradnl"/>
        </w:rPr>
        <w:t>Servicios de pago</w:t>
      </w:r>
      <w:r>
        <w:tab/>
      </w:r>
      <w:r>
        <w:fldChar w:fldCharType="begin"/>
      </w:r>
      <w:r>
        <w:instrText xml:space="preserve"> PAGEREF _Toc117802120 \h </w:instrText>
      </w:r>
      <w:r>
        <w:fldChar w:fldCharType="separate"/>
      </w:r>
      <w:r>
        <w:t>11</w:t>
      </w:r>
      <w:r>
        <w:fldChar w:fldCharType="end"/>
      </w:r>
    </w:p>
    <w:p w14:paraId="0DCAEA18" w14:textId="37BF0FB8" w:rsidR="006B4362" w:rsidRDefault="006B4362">
      <w:pPr>
        <w:pStyle w:val="TOC6"/>
        <w:rPr>
          <w:rFonts w:asciiTheme="minorHAnsi" w:eastAsiaTheme="minorEastAsia" w:hAnsiTheme="minorHAnsi" w:cstheme="minorBidi"/>
          <w:i w:val="0"/>
          <w:sz w:val="22"/>
          <w:szCs w:val="22"/>
        </w:rPr>
      </w:pPr>
      <w:r w:rsidRPr="00DF582E">
        <w:rPr>
          <w:lang w:val="es-ES_tradnl"/>
        </w:rPr>
        <w:t>Fondos extrapresupuestarios</w:t>
      </w:r>
      <w:r>
        <w:tab/>
      </w:r>
      <w:r>
        <w:fldChar w:fldCharType="begin"/>
      </w:r>
      <w:r>
        <w:instrText xml:space="preserve"> PAGEREF _Toc117802121 \h </w:instrText>
      </w:r>
      <w:r>
        <w:fldChar w:fldCharType="separate"/>
      </w:r>
      <w:r>
        <w:t>11</w:t>
      </w:r>
      <w:r>
        <w:fldChar w:fldCharType="end"/>
      </w:r>
    </w:p>
    <w:p w14:paraId="3C83432E" w14:textId="2E4AEACA" w:rsidR="006B4362" w:rsidRDefault="006B4362">
      <w:pPr>
        <w:pStyle w:val="TOC5"/>
        <w:tabs>
          <w:tab w:val="left" w:pos="1701"/>
        </w:tabs>
        <w:rPr>
          <w:rFonts w:asciiTheme="minorHAnsi" w:eastAsiaTheme="minorEastAsia" w:hAnsiTheme="minorHAnsi" w:cstheme="minorBidi"/>
          <w:sz w:val="22"/>
          <w:szCs w:val="22"/>
          <w:lang w:val="en-US"/>
        </w:rPr>
      </w:pPr>
      <w:r w:rsidRPr="00DF582E">
        <w:rPr>
          <w:lang w:val="es-ES_tradnl"/>
        </w:rPr>
        <w:t>4.2</w:t>
      </w:r>
      <w:r>
        <w:rPr>
          <w:rFonts w:asciiTheme="minorHAnsi" w:eastAsiaTheme="minorEastAsia" w:hAnsiTheme="minorHAnsi" w:cstheme="minorBidi"/>
          <w:sz w:val="22"/>
          <w:szCs w:val="22"/>
          <w:lang w:val="en-US"/>
        </w:rPr>
        <w:tab/>
      </w:r>
      <w:r w:rsidRPr="00DF582E">
        <w:rPr>
          <w:lang w:val="es-ES_tradnl"/>
        </w:rPr>
        <w:t>Una Secretaría empoderada y dotada de la formación y los recursos necesarios para trabajar de forma eficaz, colaborativa e innovadora</w:t>
      </w:r>
      <w:r>
        <w:tab/>
      </w:r>
      <w:r>
        <w:fldChar w:fldCharType="begin"/>
      </w:r>
      <w:r>
        <w:instrText xml:space="preserve"> PAGEREF _Toc117802122 \h </w:instrText>
      </w:r>
      <w:r>
        <w:fldChar w:fldCharType="separate"/>
      </w:r>
      <w:r>
        <w:t>12</w:t>
      </w:r>
      <w:r>
        <w:fldChar w:fldCharType="end"/>
      </w:r>
    </w:p>
    <w:p w14:paraId="72382AED" w14:textId="6D2207EB" w:rsidR="00E97EE6" w:rsidRPr="002D774B" w:rsidRDefault="00E97EE6" w:rsidP="00E97EE6">
      <w:pPr>
        <w:rPr>
          <w:lang w:val="es-ES_tradnl"/>
        </w:rPr>
      </w:pPr>
      <w:r w:rsidRPr="002D774B">
        <w:rPr>
          <w:lang w:val="es-ES_tradnl"/>
        </w:rPr>
        <w:fldChar w:fldCharType="end"/>
      </w:r>
    </w:p>
    <w:p w14:paraId="6FD3A794" w14:textId="77777777" w:rsidR="00E97EE6" w:rsidRPr="002D774B" w:rsidRDefault="00E97EE6" w:rsidP="00E97EE6">
      <w:pPr>
        <w:jc w:val="left"/>
        <w:rPr>
          <w:lang w:val="es-ES_tradnl"/>
        </w:rPr>
      </w:pPr>
      <w:r w:rsidRPr="002D774B">
        <w:rPr>
          <w:lang w:val="es-ES_tradnl"/>
        </w:rPr>
        <w:br w:type="page"/>
      </w:r>
    </w:p>
    <w:p w14:paraId="5432611B" w14:textId="77777777" w:rsidR="00E97EE6" w:rsidRPr="002D774B" w:rsidRDefault="00E97EE6" w:rsidP="00E97EE6">
      <w:pPr>
        <w:pStyle w:val="Heading1"/>
        <w:rPr>
          <w:lang w:val="es-ES_tradnl"/>
        </w:rPr>
      </w:pPr>
      <w:bookmarkStart w:id="0" w:name="_Toc107239332"/>
      <w:bookmarkStart w:id="1" w:name="_Toc117802092"/>
      <w:r w:rsidRPr="002D774B">
        <w:rPr>
          <w:lang w:val="es-ES_tradnl"/>
        </w:rPr>
        <w:lastRenderedPageBreak/>
        <w:t>I.</w:t>
      </w:r>
      <w:r w:rsidRPr="002D774B">
        <w:rPr>
          <w:lang w:val="es-ES_tradnl"/>
        </w:rPr>
        <w:tab/>
        <w:t>INTRODUCCIÓN</w:t>
      </w:r>
      <w:bookmarkEnd w:id="0"/>
      <w:bookmarkEnd w:id="1"/>
    </w:p>
    <w:p w14:paraId="2BC419BC" w14:textId="77777777" w:rsidR="00E97EE6" w:rsidRPr="002D774B" w:rsidRDefault="00E97EE6" w:rsidP="00E97EE6">
      <w:pPr>
        <w:rPr>
          <w:lang w:val="es-ES_tradnl"/>
        </w:rPr>
      </w:pPr>
    </w:p>
    <w:p w14:paraId="1D1BFB5E" w14:textId="77777777" w:rsidR="00E97EE6" w:rsidRPr="002D774B" w:rsidRDefault="00E97EE6" w:rsidP="00E97EE6">
      <w:pPr>
        <w:rPr>
          <w:color w:val="000000" w:themeColor="text1"/>
          <w:lang w:val="es-ES_tradnl"/>
        </w:rPr>
      </w:pPr>
      <w:r w:rsidRPr="002D774B">
        <w:rPr>
          <w:color w:val="000000" w:themeColor="text1"/>
          <w:lang w:val="es-ES_tradnl"/>
        </w:rPr>
        <w:fldChar w:fldCharType="begin"/>
      </w:r>
      <w:r w:rsidRPr="002D774B">
        <w:rPr>
          <w:color w:val="000000" w:themeColor="text1"/>
          <w:lang w:val="es-ES_tradnl"/>
        </w:rPr>
        <w:instrText xml:space="preserve"> AUTONUM  </w:instrText>
      </w:r>
      <w:r w:rsidRPr="002D774B">
        <w:rPr>
          <w:color w:val="000000" w:themeColor="text1"/>
          <w:lang w:val="es-ES_tradnl"/>
        </w:rPr>
        <w:fldChar w:fldCharType="end"/>
      </w:r>
      <w:r w:rsidRPr="002D774B">
        <w:rPr>
          <w:color w:val="000000" w:themeColor="text1"/>
          <w:lang w:val="es-ES_tradnl"/>
        </w:rPr>
        <w:tab/>
        <w:t>En el presente documento se expone el Plan Operativo Estratégico para el período 2023-2027.</w:t>
      </w:r>
    </w:p>
    <w:p w14:paraId="55871638" w14:textId="77777777" w:rsidR="00E97EE6" w:rsidRPr="002D774B" w:rsidRDefault="00E97EE6" w:rsidP="00E97EE6">
      <w:pPr>
        <w:rPr>
          <w:color w:val="000000" w:themeColor="text1"/>
          <w:lang w:val="es-ES_tradnl"/>
        </w:rPr>
      </w:pPr>
    </w:p>
    <w:p w14:paraId="3A6C50B7" w14:textId="77777777" w:rsidR="00E97EE6" w:rsidRPr="002D774B" w:rsidRDefault="00E97EE6" w:rsidP="00E97EE6">
      <w:pPr>
        <w:rPr>
          <w:color w:val="000000" w:themeColor="text1"/>
          <w:lang w:val="es-ES_tradnl"/>
        </w:rPr>
      </w:pPr>
      <w:r w:rsidRPr="002D774B">
        <w:rPr>
          <w:color w:val="000000" w:themeColor="text1"/>
          <w:lang w:val="es-ES_tradnl"/>
        </w:rPr>
        <w:fldChar w:fldCharType="begin"/>
      </w:r>
      <w:r w:rsidRPr="002D774B">
        <w:rPr>
          <w:color w:val="000000" w:themeColor="text1"/>
          <w:lang w:val="es-ES_tradnl"/>
        </w:rPr>
        <w:instrText xml:space="preserve"> AUTONUM  </w:instrText>
      </w:r>
      <w:r w:rsidRPr="002D774B">
        <w:rPr>
          <w:color w:val="000000" w:themeColor="text1"/>
          <w:lang w:val="es-ES_tradnl"/>
        </w:rPr>
        <w:fldChar w:fldCharType="end"/>
      </w:r>
      <w:r w:rsidRPr="002D774B">
        <w:rPr>
          <w:color w:val="000000" w:themeColor="text1"/>
          <w:lang w:val="es-ES_tradnl"/>
        </w:rPr>
        <w:tab/>
        <w:t xml:space="preserve">En el Plan Operativo Estratégico se expone la orientación estratégica de la UPOV para los próximos cinco años y servirá de fuente de inspiración y orientación para la Organización. También servirá de base para la preparación de los próximos proyectos de programa y presupuesto, en los que se solicita la aprobación de los miembros para llevar a cabo la labor encaminada a obtener los resultados previstos de la UPOV, así como para los principales indicadores de rendimiento y el presupuesto para un bienio. </w:t>
      </w:r>
    </w:p>
    <w:p w14:paraId="6861454F" w14:textId="77777777" w:rsidR="00E97EE6" w:rsidRPr="002D774B" w:rsidRDefault="00E97EE6" w:rsidP="00E97EE6">
      <w:pPr>
        <w:rPr>
          <w:color w:val="000000" w:themeColor="text1"/>
          <w:lang w:val="es-ES_tradnl"/>
        </w:rPr>
      </w:pPr>
    </w:p>
    <w:p w14:paraId="76ACD6D1" w14:textId="77777777" w:rsidR="00E97EE6" w:rsidRPr="002D774B" w:rsidRDefault="00E97EE6" w:rsidP="00E97EE6">
      <w:pPr>
        <w:rPr>
          <w:color w:val="000000" w:themeColor="text1"/>
          <w:lang w:val="es-ES_tradnl"/>
        </w:rPr>
      </w:pPr>
      <w:r w:rsidRPr="002D774B">
        <w:rPr>
          <w:color w:val="000000" w:themeColor="text1"/>
          <w:lang w:val="es-ES_tradnl"/>
        </w:rPr>
        <w:fldChar w:fldCharType="begin"/>
      </w:r>
      <w:r w:rsidRPr="002D774B">
        <w:rPr>
          <w:color w:val="000000" w:themeColor="text1"/>
          <w:lang w:val="es-ES_tradnl"/>
        </w:rPr>
        <w:instrText xml:space="preserve"> AUTONUM  </w:instrText>
      </w:r>
      <w:r w:rsidRPr="002D774B">
        <w:rPr>
          <w:color w:val="000000" w:themeColor="text1"/>
          <w:lang w:val="es-ES_tradnl"/>
        </w:rPr>
        <w:fldChar w:fldCharType="end"/>
      </w:r>
      <w:r w:rsidRPr="002D774B">
        <w:rPr>
          <w:color w:val="000000" w:themeColor="text1"/>
          <w:lang w:val="es-ES_tradnl"/>
        </w:rPr>
        <w:tab/>
        <w:t xml:space="preserve">Los elementos centrales del Plan Operativo Estratégico están representados por el Edificio de la Estrategia, que consiste en la misión, los pilares estratégicos y el fundamento de la Organización. </w:t>
      </w:r>
    </w:p>
    <w:p w14:paraId="5FB9F813" w14:textId="77777777" w:rsidR="00E97EE6" w:rsidRPr="002D774B" w:rsidRDefault="00E97EE6" w:rsidP="00E97EE6">
      <w:pPr>
        <w:rPr>
          <w:color w:val="000000" w:themeColor="text1"/>
          <w:lang w:val="es-ES_tradnl"/>
        </w:rPr>
      </w:pPr>
    </w:p>
    <w:p w14:paraId="7C6EDD52" w14:textId="77777777" w:rsidR="00E97EE6" w:rsidRPr="002D774B" w:rsidRDefault="00E97EE6" w:rsidP="00E97EE6">
      <w:pPr>
        <w:rPr>
          <w:lang w:val="es-ES_tradnl"/>
        </w:rPr>
      </w:pPr>
      <w:r w:rsidRPr="002D774B">
        <w:rPr>
          <w:color w:val="000000" w:themeColor="text1"/>
          <w:lang w:val="es-ES_tradnl"/>
        </w:rPr>
        <w:fldChar w:fldCharType="begin"/>
      </w:r>
      <w:r w:rsidRPr="002D774B">
        <w:rPr>
          <w:color w:val="000000" w:themeColor="text1"/>
          <w:lang w:val="es-ES_tradnl"/>
        </w:rPr>
        <w:instrText xml:space="preserve"> AUTONUM  </w:instrText>
      </w:r>
      <w:r w:rsidRPr="002D774B">
        <w:rPr>
          <w:color w:val="000000" w:themeColor="text1"/>
          <w:lang w:val="es-ES_tradnl"/>
        </w:rPr>
        <w:fldChar w:fldCharType="end"/>
      </w:r>
      <w:r w:rsidRPr="002D774B">
        <w:rPr>
          <w:color w:val="000000" w:themeColor="text1"/>
          <w:lang w:val="es-ES_tradnl"/>
        </w:rPr>
        <w:tab/>
        <w:t>La visión de conjunto del panorama mundial que se presenta a continuación establece el contexto general en el que operan la OMPI y nuestras partes interesadas</w:t>
      </w:r>
      <w:r w:rsidRPr="002D774B">
        <w:rPr>
          <w:lang w:val="es-ES_tradnl"/>
        </w:rPr>
        <w:t xml:space="preserve">. </w:t>
      </w:r>
    </w:p>
    <w:p w14:paraId="442D8C9F" w14:textId="77777777" w:rsidR="00E97EE6" w:rsidRPr="002D774B" w:rsidRDefault="00E97EE6" w:rsidP="00E97EE6">
      <w:pPr>
        <w:rPr>
          <w:lang w:val="es-ES_tradnl"/>
        </w:rPr>
      </w:pPr>
    </w:p>
    <w:p w14:paraId="22789717" w14:textId="77777777" w:rsidR="00E97EE6" w:rsidRPr="002D774B" w:rsidRDefault="00E97EE6" w:rsidP="00E97EE6">
      <w:pPr>
        <w:rPr>
          <w:lang w:val="es-ES_tradnl"/>
        </w:rPr>
      </w:pPr>
    </w:p>
    <w:p w14:paraId="07491358" w14:textId="77777777" w:rsidR="00E97EE6" w:rsidRPr="002D774B" w:rsidRDefault="00E97EE6" w:rsidP="00E97EE6">
      <w:pPr>
        <w:pStyle w:val="Heading1"/>
        <w:rPr>
          <w:lang w:val="es-ES_tradnl"/>
        </w:rPr>
      </w:pPr>
      <w:bookmarkStart w:id="2" w:name="_Toc107239333"/>
      <w:bookmarkStart w:id="3" w:name="_Toc117802093"/>
      <w:r w:rsidRPr="002D774B">
        <w:rPr>
          <w:lang w:val="es-ES_tradnl"/>
        </w:rPr>
        <w:t>II.</w:t>
      </w:r>
      <w:r w:rsidRPr="002D774B">
        <w:rPr>
          <w:lang w:val="es-ES_tradnl"/>
        </w:rPr>
        <w:tab/>
      </w:r>
      <w:bookmarkEnd w:id="2"/>
      <w:r w:rsidRPr="002D774B">
        <w:rPr>
          <w:lang w:val="es-ES_tradnl"/>
        </w:rPr>
        <w:t>PANORAMA</w:t>
      </w:r>
      <w:bookmarkEnd w:id="3"/>
    </w:p>
    <w:p w14:paraId="1977BD1C" w14:textId="77777777" w:rsidR="00E97EE6" w:rsidRPr="002D774B" w:rsidRDefault="00E97EE6" w:rsidP="00E97EE6">
      <w:pPr>
        <w:rPr>
          <w:b/>
          <w:bCs/>
          <w:sz w:val="22"/>
          <w:szCs w:val="22"/>
          <w:lang w:val="es-ES_tradnl"/>
        </w:rPr>
      </w:pPr>
    </w:p>
    <w:p w14:paraId="219EA01C" w14:textId="77777777" w:rsidR="00E97EE6" w:rsidRPr="002D774B" w:rsidRDefault="00E97EE6" w:rsidP="00E97EE6">
      <w:pPr>
        <w:rPr>
          <w:bCs/>
          <w:color w:val="000000" w:themeColor="text1"/>
          <w:lang w:val="es-ES_tradnl"/>
        </w:rPr>
      </w:pPr>
      <w:r w:rsidRPr="002D774B">
        <w:rPr>
          <w:bCs/>
          <w:color w:val="000000" w:themeColor="text1"/>
          <w:lang w:val="es-ES_tradnl"/>
        </w:rPr>
        <w:fldChar w:fldCharType="begin"/>
      </w:r>
      <w:r w:rsidRPr="002D774B">
        <w:rPr>
          <w:bCs/>
          <w:color w:val="000000" w:themeColor="text1"/>
          <w:lang w:val="es-ES_tradnl"/>
        </w:rPr>
        <w:instrText xml:space="preserve"> AUTONUM  </w:instrText>
      </w:r>
      <w:r w:rsidRPr="002D774B">
        <w:rPr>
          <w:bCs/>
          <w:color w:val="000000" w:themeColor="text1"/>
          <w:lang w:val="es-ES_tradnl"/>
        </w:rPr>
        <w:fldChar w:fldCharType="end"/>
      </w:r>
      <w:r w:rsidRPr="002D774B">
        <w:rPr>
          <w:bCs/>
          <w:color w:val="000000" w:themeColor="text1"/>
          <w:lang w:val="es-ES_tradnl"/>
        </w:rPr>
        <w:tab/>
        <w:t xml:space="preserve">La misión de la UPOV es proporcionar y fomentar un sistema eficaz para la protección de las obtenciones vegetales, con miras al desarrollo de nuevas variedades vegetales para beneficio de la sociedad. </w:t>
      </w:r>
    </w:p>
    <w:p w14:paraId="5D7109D8" w14:textId="77777777" w:rsidR="00E97EE6" w:rsidRPr="002D774B" w:rsidRDefault="00E97EE6" w:rsidP="00E97EE6">
      <w:pPr>
        <w:rPr>
          <w:bCs/>
          <w:color w:val="000000" w:themeColor="text1"/>
          <w:lang w:val="es-ES_tradnl"/>
        </w:rPr>
      </w:pPr>
    </w:p>
    <w:p w14:paraId="54937BBC" w14:textId="77777777" w:rsidR="00E97EE6" w:rsidRPr="002D774B" w:rsidRDefault="00E97EE6" w:rsidP="00E97EE6">
      <w:pPr>
        <w:rPr>
          <w:bCs/>
          <w:color w:val="000000" w:themeColor="text1"/>
          <w:lang w:val="es-ES_tradnl"/>
        </w:rPr>
      </w:pPr>
      <w:r w:rsidRPr="002D774B">
        <w:rPr>
          <w:bCs/>
          <w:color w:val="000000" w:themeColor="text1"/>
          <w:lang w:val="es-ES_tradnl"/>
        </w:rPr>
        <w:fldChar w:fldCharType="begin"/>
      </w:r>
      <w:r w:rsidRPr="002D774B">
        <w:rPr>
          <w:bCs/>
          <w:color w:val="000000" w:themeColor="text1"/>
          <w:lang w:val="es-ES_tradnl"/>
        </w:rPr>
        <w:instrText xml:space="preserve"> AUTONUM  </w:instrText>
      </w:r>
      <w:r w:rsidRPr="002D774B">
        <w:rPr>
          <w:bCs/>
          <w:color w:val="000000" w:themeColor="text1"/>
          <w:lang w:val="es-ES_tradnl"/>
        </w:rPr>
        <w:fldChar w:fldCharType="end"/>
      </w:r>
      <w:r w:rsidRPr="002D774B">
        <w:rPr>
          <w:bCs/>
          <w:color w:val="000000" w:themeColor="text1"/>
          <w:lang w:val="es-ES_tradnl"/>
        </w:rPr>
        <w:tab/>
        <w:t xml:space="preserve">El sistema de protección de las obtenciones vegetales de la UPOV supone un apoyo a la inversión a largo plazo en fitomejoramiento y proporciona un marco para la inversión en el suministro de semillas y demás material de reproducción o multiplicación de variedades adaptadas a las necesidades de los agricultores. La UPOV se creó en 1961 y, desde entonces, ha demostrado su eficacia como sistema de apoyo a distintos tipos de obtentores: los obtentores por cuenta propia, los agricultores, las pequeñas y medianas empresas y los institutos y empresas de mayor tamaño dedicados al fitomejoramiento, tanto en el sector privado como en el público. También ha proporcionado una base para la colaboración, en particular a través de alianzas público-privadas. Desde sus comienzos, el sistema de la UPOV ha tenido por finalidad lograr el máximo progreso en el ámbito del fitomejoramiento a fin de garantizar los avances en la agricultura en beneficio de los agricultores y de la sociedad en su conjunto. Este principio se ampara en la “exención del obtentor”, una característica fundamental del sistema de la UPOV y un concepto único en el ámbito de la propiedad intelectual, al aplicar un enfoque de "código abierto". Esta exención permite que los obtentores de todo tipo tengan acceso a las variedades vegetales protegidas con el fin de crear nuevas variedades, en reconocimiento de que el acceso a los recursos genéticos es un requisito indispensable para todo tipo de fitomejoramiento (véase la pregunta </w:t>
      </w:r>
      <w:hyperlink r:id="rId10" w:anchor="QS11" w:history="1">
        <w:r w:rsidRPr="002D774B">
          <w:rPr>
            <w:rStyle w:val="Hyperlink"/>
            <w:bCs/>
            <w:lang w:val="es-ES_tradnl"/>
          </w:rPr>
          <w:t>“¿Cómo contribuye el sistema de la UPOV al desarrollo sostenible?”</w:t>
        </w:r>
      </w:hyperlink>
      <w:r w:rsidRPr="002D774B">
        <w:rPr>
          <w:bCs/>
          <w:color w:val="000000" w:themeColor="text1"/>
          <w:lang w:val="es-ES_tradnl"/>
        </w:rPr>
        <w:t xml:space="preserve"> en el apartado de preguntas frecuentes).</w:t>
      </w:r>
    </w:p>
    <w:p w14:paraId="38FEB416" w14:textId="77777777" w:rsidR="00E97EE6" w:rsidRPr="002D774B" w:rsidRDefault="00E97EE6" w:rsidP="00E97EE6">
      <w:pPr>
        <w:rPr>
          <w:bCs/>
          <w:color w:val="000000" w:themeColor="text1"/>
          <w:lang w:val="es-ES_tradnl"/>
        </w:rPr>
      </w:pPr>
    </w:p>
    <w:p w14:paraId="1E4F9333" w14:textId="77777777" w:rsidR="00E97EE6" w:rsidRPr="002D774B" w:rsidRDefault="00E97EE6" w:rsidP="00E97EE6">
      <w:pPr>
        <w:rPr>
          <w:bCs/>
          <w:color w:val="000000" w:themeColor="text1"/>
          <w:lang w:val="es-ES_tradnl"/>
        </w:rPr>
      </w:pPr>
      <w:r w:rsidRPr="002D774B">
        <w:rPr>
          <w:bCs/>
          <w:color w:val="000000" w:themeColor="text1"/>
          <w:lang w:val="es-ES_tradnl"/>
        </w:rPr>
        <w:fldChar w:fldCharType="begin"/>
      </w:r>
      <w:r w:rsidRPr="002D774B">
        <w:rPr>
          <w:bCs/>
          <w:color w:val="000000" w:themeColor="text1"/>
          <w:lang w:val="es-ES_tradnl"/>
        </w:rPr>
        <w:instrText xml:space="preserve"> AUTONUM  </w:instrText>
      </w:r>
      <w:r w:rsidRPr="002D774B">
        <w:rPr>
          <w:bCs/>
          <w:color w:val="000000" w:themeColor="text1"/>
          <w:lang w:val="es-ES_tradnl"/>
        </w:rPr>
        <w:fldChar w:fldCharType="end"/>
      </w:r>
      <w:r w:rsidRPr="002D774B">
        <w:rPr>
          <w:bCs/>
          <w:color w:val="000000" w:themeColor="text1"/>
          <w:lang w:val="es-ES_tradnl"/>
        </w:rPr>
        <w:tab/>
        <w:t>Cada vez hay mayor conciencia de la relevancia de la misión de la UPOV y del beneficio que aporta a la sociedad en el contexto mundial, como se resume en la pregunta frecuente de la UPOV "¿Qué beneficios aportan las obtenciones vegetales a la sociedad?":</w:t>
      </w:r>
    </w:p>
    <w:p w14:paraId="6DCED1E2" w14:textId="77777777" w:rsidR="00E97EE6" w:rsidRPr="002D774B" w:rsidRDefault="00E97EE6" w:rsidP="00E97EE6">
      <w:pPr>
        <w:rPr>
          <w:bCs/>
          <w:color w:val="000000" w:themeColor="text1"/>
          <w:lang w:val="es-ES_tradnl"/>
        </w:rPr>
      </w:pPr>
    </w:p>
    <w:p w14:paraId="3256BA72" w14:textId="77777777" w:rsidR="00E97EE6" w:rsidRPr="002D774B" w:rsidRDefault="00E97EE6" w:rsidP="00E97EE6">
      <w:pPr>
        <w:ind w:left="567" w:right="567"/>
        <w:rPr>
          <w:bCs/>
          <w:i/>
          <w:color w:val="000000" w:themeColor="text1"/>
          <w:sz w:val="18"/>
          <w:lang w:val="es-ES_tradnl"/>
        </w:rPr>
      </w:pPr>
      <w:r w:rsidRPr="002D774B">
        <w:rPr>
          <w:bCs/>
          <w:i/>
          <w:color w:val="000000" w:themeColor="text1"/>
          <w:sz w:val="18"/>
          <w:lang w:val="es-ES_tradnl"/>
        </w:rPr>
        <w:t>“Alimentar al mundo</w:t>
      </w:r>
    </w:p>
    <w:p w14:paraId="443B7E42" w14:textId="77777777" w:rsidR="00E97EE6" w:rsidRPr="002D774B" w:rsidRDefault="00E97EE6" w:rsidP="00E97EE6">
      <w:pPr>
        <w:ind w:left="567" w:right="567"/>
        <w:rPr>
          <w:bCs/>
          <w:i/>
          <w:color w:val="000000" w:themeColor="text1"/>
          <w:sz w:val="18"/>
          <w:lang w:val="es-ES_tradnl"/>
        </w:rPr>
      </w:pPr>
    </w:p>
    <w:p w14:paraId="39677175" w14:textId="77777777" w:rsidR="00E97EE6" w:rsidRPr="002D774B" w:rsidRDefault="00E97EE6" w:rsidP="00E97EE6">
      <w:pPr>
        <w:ind w:left="567" w:right="567"/>
        <w:rPr>
          <w:bCs/>
          <w:i/>
          <w:color w:val="000000" w:themeColor="text1"/>
          <w:sz w:val="18"/>
          <w:lang w:val="es-ES_tradnl"/>
        </w:rPr>
      </w:pPr>
      <w:r w:rsidRPr="002D774B">
        <w:rPr>
          <w:bCs/>
          <w:i/>
          <w:color w:val="000000" w:themeColor="text1"/>
          <w:sz w:val="18"/>
          <w:lang w:val="es-ES_tradnl"/>
        </w:rPr>
        <w:t>“Las obtenciones vegetales mejoradas son un medio importante y sostenible para conseguir la seguridad alimentaria en el contexto del aumento de población y el cambio climático. Las obtenciones vegetales adaptadas al medio ambiente en el que se las cultiva implican un aumento de las opciones de alimentos saludables, sabrosos y nutritivos, al tiempo que proporcionan un ingreso adecuado a los agricultores.</w:t>
      </w:r>
    </w:p>
    <w:p w14:paraId="50787A48" w14:textId="77777777" w:rsidR="00E97EE6" w:rsidRPr="002D774B" w:rsidRDefault="00E97EE6" w:rsidP="00E97EE6">
      <w:pPr>
        <w:ind w:left="567" w:right="567"/>
        <w:rPr>
          <w:bCs/>
          <w:i/>
          <w:color w:val="000000" w:themeColor="text1"/>
          <w:sz w:val="18"/>
          <w:lang w:val="es-ES_tradnl"/>
        </w:rPr>
      </w:pPr>
    </w:p>
    <w:p w14:paraId="38F801C3" w14:textId="77777777" w:rsidR="00E97EE6" w:rsidRPr="002D774B" w:rsidRDefault="00E97EE6" w:rsidP="00E97EE6">
      <w:pPr>
        <w:ind w:left="567" w:right="567"/>
        <w:rPr>
          <w:bCs/>
          <w:i/>
          <w:color w:val="000000" w:themeColor="text1"/>
          <w:sz w:val="18"/>
          <w:lang w:val="es-ES_tradnl"/>
        </w:rPr>
      </w:pPr>
      <w:r w:rsidRPr="002D774B">
        <w:rPr>
          <w:bCs/>
          <w:i/>
          <w:color w:val="000000" w:themeColor="text1"/>
          <w:sz w:val="18"/>
          <w:lang w:val="es-ES_tradnl"/>
        </w:rPr>
        <w:t>“Mejorar la vida en las zonas rurales y urbanas y contribuir al desarrollo económicos</w:t>
      </w:r>
    </w:p>
    <w:p w14:paraId="1D685502" w14:textId="77777777" w:rsidR="00E97EE6" w:rsidRPr="002D774B" w:rsidRDefault="00E97EE6" w:rsidP="00E97EE6">
      <w:pPr>
        <w:ind w:left="567" w:right="567"/>
        <w:rPr>
          <w:bCs/>
          <w:i/>
          <w:color w:val="000000" w:themeColor="text1"/>
          <w:sz w:val="18"/>
          <w:lang w:val="es-ES_tradnl"/>
        </w:rPr>
      </w:pPr>
    </w:p>
    <w:p w14:paraId="4691E5EC" w14:textId="77777777" w:rsidR="00E97EE6" w:rsidRPr="002D774B" w:rsidRDefault="00E97EE6" w:rsidP="00E97EE6">
      <w:pPr>
        <w:ind w:left="567" w:right="567"/>
        <w:rPr>
          <w:bCs/>
          <w:i/>
          <w:color w:val="000000" w:themeColor="text1"/>
          <w:sz w:val="18"/>
          <w:lang w:val="es-ES_tradnl"/>
        </w:rPr>
      </w:pPr>
      <w:r w:rsidRPr="002D774B">
        <w:rPr>
          <w:bCs/>
          <w:i/>
          <w:color w:val="000000" w:themeColor="text1"/>
          <w:sz w:val="18"/>
          <w:lang w:val="es-ES_tradnl"/>
        </w:rPr>
        <w:t>“La innovación en agricultura y horticultura es importante para el desarrollo económico. La producción de variedades frutales, hortícolas y ornamentales diversas y de gran calidad proporciona mayores ingresos a los agricultores y empleo a millones de personas de todo el mundo. Las obtenciones vegetales pueden ser cruciales en el acceso de los países en desarrollo a los mercados y el comercio internacionales. A su vez, las obtenciones vegetales pueden ayudar a desarrollar la agricultura urbana y el cultivo de plantas, arbustos y árboles ornamentales que contribuyen a mejorar la vida de las personas y el medio ambiente urbano en expansión.</w:t>
      </w:r>
    </w:p>
    <w:p w14:paraId="662E716A" w14:textId="77777777" w:rsidR="00E97EE6" w:rsidRPr="002D774B" w:rsidRDefault="00E97EE6" w:rsidP="00E97EE6">
      <w:pPr>
        <w:ind w:left="567" w:right="567"/>
        <w:rPr>
          <w:bCs/>
          <w:i/>
          <w:color w:val="000000" w:themeColor="text1"/>
          <w:sz w:val="18"/>
          <w:lang w:val="es-ES_tradnl"/>
        </w:rPr>
      </w:pPr>
    </w:p>
    <w:p w14:paraId="1EC1D1D1" w14:textId="77777777" w:rsidR="00E97EE6" w:rsidRPr="002D774B" w:rsidRDefault="00E97EE6" w:rsidP="00E97EE6">
      <w:pPr>
        <w:ind w:left="567" w:right="567"/>
        <w:rPr>
          <w:bCs/>
          <w:i/>
          <w:color w:val="000000" w:themeColor="text1"/>
          <w:sz w:val="18"/>
          <w:lang w:val="es-ES_tradnl"/>
        </w:rPr>
      </w:pPr>
      <w:r w:rsidRPr="002D774B">
        <w:rPr>
          <w:bCs/>
          <w:i/>
          <w:color w:val="000000" w:themeColor="text1"/>
          <w:sz w:val="18"/>
          <w:lang w:val="es-ES_tradnl"/>
        </w:rPr>
        <w:t>“Sin perjudicar al medio ambiente natural</w:t>
      </w:r>
    </w:p>
    <w:p w14:paraId="0C9AFE65" w14:textId="77777777" w:rsidR="00E97EE6" w:rsidRPr="002D774B" w:rsidRDefault="00E97EE6" w:rsidP="00E97EE6">
      <w:pPr>
        <w:ind w:left="567" w:right="567"/>
        <w:rPr>
          <w:bCs/>
          <w:i/>
          <w:color w:val="000000" w:themeColor="text1"/>
          <w:sz w:val="18"/>
          <w:lang w:val="es-ES_tradnl"/>
        </w:rPr>
      </w:pPr>
    </w:p>
    <w:p w14:paraId="311E1666" w14:textId="77777777" w:rsidR="00E97EE6" w:rsidRPr="002D774B" w:rsidRDefault="00E97EE6" w:rsidP="00E97EE6">
      <w:pPr>
        <w:ind w:left="567" w:right="567"/>
        <w:rPr>
          <w:bCs/>
          <w:i/>
          <w:color w:val="000000" w:themeColor="text1"/>
          <w:sz w:val="18"/>
          <w:lang w:val="es-ES_tradnl"/>
        </w:rPr>
      </w:pPr>
      <w:r w:rsidRPr="002D774B">
        <w:rPr>
          <w:bCs/>
          <w:i/>
          <w:color w:val="000000" w:themeColor="text1"/>
          <w:sz w:val="18"/>
          <w:lang w:val="es-ES_tradnl"/>
        </w:rPr>
        <w:t>“El aumento de la productividad sin perjudicar el medio ambiente natural es un imperativo en el contexto del crecimiento de la población y el cambio climático. La obtención de variedades vegetales caracterizadas por un mayor rendimiento, un uso más eficiente de los nutrientes, resistencia a las plagas y enfermedades, tolerancia a la sal y a la se</w:t>
      </w:r>
      <w:bookmarkStart w:id="4" w:name="_GoBack"/>
      <w:bookmarkEnd w:id="4"/>
      <w:r w:rsidRPr="002D774B">
        <w:rPr>
          <w:bCs/>
          <w:i/>
          <w:color w:val="000000" w:themeColor="text1"/>
          <w:sz w:val="18"/>
          <w:lang w:val="es-ES_tradnl"/>
        </w:rPr>
        <w:t xml:space="preserve">quía o una mayor adaptación al estrés climático permite incrementar de manera </w:t>
      </w:r>
      <w:r w:rsidRPr="002D774B">
        <w:rPr>
          <w:bCs/>
          <w:i/>
          <w:color w:val="000000" w:themeColor="text1"/>
          <w:sz w:val="18"/>
          <w:lang w:val="es-ES_tradnl"/>
        </w:rPr>
        <w:lastRenderedPageBreak/>
        <w:t>sostenible la productividad y la calidad de los productos agrícolas, hortícolas y forestales, al mismo tiempo que minimiza la incidencia en el medio ambiente natural.”</w:t>
      </w:r>
    </w:p>
    <w:p w14:paraId="6A4E1940" w14:textId="77777777" w:rsidR="00E97EE6" w:rsidRPr="002D774B" w:rsidRDefault="00E97EE6" w:rsidP="00E97EE6">
      <w:pPr>
        <w:rPr>
          <w:bCs/>
          <w:color w:val="000000" w:themeColor="text1"/>
          <w:lang w:val="es-ES_tradnl"/>
        </w:rPr>
      </w:pPr>
    </w:p>
    <w:p w14:paraId="512B900E" w14:textId="77777777" w:rsidR="00E97EE6" w:rsidRPr="002D774B" w:rsidRDefault="00E97EE6" w:rsidP="00E97EE6">
      <w:pPr>
        <w:rPr>
          <w:bCs/>
          <w:color w:val="000000" w:themeColor="text1"/>
          <w:lang w:val="es-ES_tradnl"/>
        </w:rPr>
      </w:pPr>
      <w:r w:rsidRPr="002D774B">
        <w:rPr>
          <w:bCs/>
          <w:color w:val="000000" w:themeColor="text1"/>
          <w:lang w:val="es-ES_tradnl"/>
        </w:rPr>
        <w:fldChar w:fldCharType="begin"/>
      </w:r>
      <w:r w:rsidRPr="002D774B">
        <w:rPr>
          <w:bCs/>
          <w:color w:val="000000" w:themeColor="text1"/>
          <w:lang w:val="es-ES_tradnl"/>
        </w:rPr>
        <w:instrText xml:space="preserve"> AUTONUM  </w:instrText>
      </w:r>
      <w:r w:rsidRPr="002D774B">
        <w:rPr>
          <w:bCs/>
          <w:color w:val="000000" w:themeColor="text1"/>
          <w:lang w:val="es-ES_tradnl"/>
        </w:rPr>
        <w:fldChar w:fldCharType="end"/>
      </w:r>
      <w:r w:rsidRPr="002D774B">
        <w:rPr>
          <w:bCs/>
          <w:color w:val="000000" w:themeColor="text1"/>
          <w:lang w:val="es-ES_tradnl"/>
        </w:rPr>
        <w:tab/>
        <w:t>La pertinencia de esta pregunta frecuente se vio refrendada en el "Seminario sobre estrategias para abordar políticas relativas al fitomejoramiento y la protección de las obtenciones vegetales", celebrado el 20 de octubre de 2021. En el seminario se destacó el papel fundamental que la protección de las variedades vegetales debe desempeñar en la seguridad alimentaria, transformando la producción de alimentos en una época de cambio climático, estimulando el desarrollo económico y aportando innovación y transferencia de tecnología a los agricultores.</w:t>
      </w:r>
    </w:p>
    <w:p w14:paraId="0F4240D5" w14:textId="77777777" w:rsidR="00E97EE6" w:rsidRPr="002D774B" w:rsidRDefault="00E97EE6" w:rsidP="00E97EE6">
      <w:pPr>
        <w:rPr>
          <w:bCs/>
          <w:color w:val="000000" w:themeColor="text1"/>
          <w:lang w:val="es-ES_tradnl"/>
        </w:rPr>
      </w:pPr>
    </w:p>
    <w:p w14:paraId="7BBDD363" w14:textId="77777777" w:rsidR="00E97EE6" w:rsidRPr="002D774B" w:rsidRDefault="00E97EE6" w:rsidP="00E97EE6">
      <w:pPr>
        <w:rPr>
          <w:lang w:val="es-ES_tradnl"/>
        </w:rPr>
      </w:pPr>
    </w:p>
    <w:p w14:paraId="3C637D05" w14:textId="77777777" w:rsidR="00E97EE6" w:rsidRPr="002D774B" w:rsidRDefault="00E97EE6" w:rsidP="00E97EE6">
      <w:pPr>
        <w:pStyle w:val="Heading1"/>
        <w:rPr>
          <w:lang w:val="es-ES_tradnl"/>
        </w:rPr>
      </w:pPr>
      <w:bookmarkStart w:id="5" w:name="_Toc107239334"/>
      <w:bookmarkStart w:id="6" w:name="_Toc117802094"/>
      <w:r w:rsidRPr="002D774B">
        <w:rPr>
          <w:lang w:val="es-ES_tradnl"/>
        </w:rPr>
        <w:t>III.</w:t>
      </w:r>
      <w:r w:rsidRPr="002D774B">
        <w:rPr>
          <w:lang w:val="es-ES_tradnl"/>
        </w:rPr>
        <w:tab/>
      </w:r>
      <w:bookmarkEnd w:id="5"/>
      <w:r w:rsidRPr="002D774B">
        <w:rPr>
          <w:lang w:val="es-ES_tradnl"/>
        </w:rPr>
        <w:t>EDIFICIO DE LA ESTRATEGIA</w:t>
      </w:r>
      <w:bookmarkEnd w:id="6"/>
    </w:p>
    <w:p w14:paraId="4FBFECA0" w14:textId="77777777" w:rsidR="00E97EE6" w:rsidRPr="002D774B" w:rsidRDefault="00E97EE6" w:rsidP="00E97EE6">
      <w:pPr>
        <w:rPr>
          <w:lang w:val="es-ES_tradnl"/>
        </w:rPr>
      </w:pPr>
    </w:p>
    <w:p w14:paraId="10E59EBA" w14:textId="77777777" w:rsidR="00E97EE6" w:rsidRPr="002D774B" w:rsidRDefault="00E97EE6" w:rsidP="00E97EE6">
      <w:pPr>
        <w:rPr>
          <w:color w:val="000000" w:themeColor="text1"/>
          <w:lang w:val="es-ES_tradnl"/>
        </w:rPr>
      </w:pPr>
      <w:r w:rsidRPr="002D774B">
        <w:rPr>
          <w:color w:val="000000" w:themeColor="text1"/>
          <w:lang w:val="es-ES_tradnl"/>
        </w:rPr>
        <w:fldChar w:fldCharType="begin"/>
      </w:r>
      <w:r w:rsidRPr="002D774B">
        <w:rPr>
          <w:color w:val="000000" w:themeColor="text1"/>
          <w:lang w:val="es-ES_tradnl"/>
        </w:rPr>
        <w:instrText xml:space="preserve"> AUTONUM  </w:instrText>
      </w:r>
      <w:r w:rsidRPr="002D774B">
        <w:rPr>
          <w:color w:val="000000" w:themeColor="text1"/>
          <w:lang w:val="es-ES_tradnl"/>
        </w:rPr>
        <w:fldChar w:fldCharType="end"/>
      </w:r>
      <w:r w:rsidRPr="002D774B">
        <w:rPr>
          <w:color w:val="000000" w:themeColor="text1"/>
          <w:lang w:val="es-ES_tradnl"/>
        </w:rPr>
        <w:tab/>
        <w:t>El Edificio de la Estrategia resume la misión, los pilares estratégicos y el fundamento de la UPOV, proporcionando un marco para responder a la necesidad de un sistema eficaz de protección de las obtenciones vegetales que fomente el desarrollo de nuevas variedades vegetales, en beneficio de la sociedad.</w:t>
      </w:r>
    </w:p>
    <w:p w14:paraId="54070EED" w14:textId="77777777" w:rsidR="00E97EE6" w:rsidRPr="002D774B" w:rsidRDefault="00E97EE6" w:rsidP="00E97EE6">
      <w:pPr>
        <w:rPr>
          <w:lang w:val="es-ES_tradnl"/>
        </w:rPr>
      </w:pPr>
    </w:p>
    <w:p w14:paraId="2DD46D45" w14:textId="77777777" w:rsidR="00E97EE6" w:rsidRPr="002D774B" w:rsidRDefault="00E97EE6" w:rsidP="00E97EE6">
      <w:pPr>
        <w:rPr>
          <w:color w:val="000000" w:themeColor="text1"/>
          <w:lang w:val="es-ES_tradnl"/>
        </w:rPr>
      </w:pPr>
      <w:r w:rsidRPr="002D774B">
        <w:rPr>
          <w:color w:val="000000" w:themeColor="text1"/>
          <w:lang w:val="es-ES_tradnl"/>
        </w:rPr>
        <w:fldChar w:fldCharType="begin"/>
      </w:r>
      <w:r w:rsidRPr="002D774B">
        <w:rPr>
          <w:color w:val="000000" w:themeColor="text1"/>
          <w:lang w:val="es-ES_tradnl"/>
        </w:rPr>
        <w:instrText xml:space="preserve"> AUTONUM  </w:instrText>
      </w:r>
      <w:r w:rsidRPr="002D774B">
        <w:rPr>
          <w:color w:val="000000" w:themeColor="text1"/>
          <w:lang w:val="es-ES_tradnl"/>
        </w:rPr>
        <w:fldChar w:fldCharType="end"/>
      </w:r>
      <w:r w:rsidRPr="002D774B">
        <w:rPr>
          <w:color w:val="000000" w:themeColor="text1"/>
          <w:lang w:val="es-ES_tradnl"/>
        </w:rPr>
        <w:tab/>
        <w:t>El Edificio de la Estrategia se basa en la mejora continua, partiendo de los puntos fuertes de la UPOV y definiendo el rumbo futuro, cuando sea necesario, con un nuevo enfoque.</w:t>
      </w:r>
    </w:p>
    <w:p w14:paraId="4970BB5E" w14:textId="77777777" w:rsidR="00E97EE6" w:rsidRPr="002D774B" w:rsidRDefault="00E97EE6" w:rsidP="00E97EE6">
      <w:pPr>
        <w:rPr>
          <w:color w:val="000000" w:themeColor="text1"/>
          <w:lang w:val="es-ES_tradnl"/>
        </w:rPr>
      </w:pPr>
    </w:p>
    <w:tbl>
      <w:tblPr>
        <w:tblStyle w:val="TableGrid"/>
        <w:tblW w:w="0" w:type="auto"/>
        <w:tblInd w:w="0" w:type="dxa"/>
        <w:tblLook w:val="04A0" w:firstRow="1" w:lastRow="0" w:firstColumn="1" w:lastColumn="0" w:noHBand="0" w:noVBand="1"/>
      </w:tblPr>
      <w:tblGrid>
        <w:gridCol w:w="9639"/>
      </w:tblGrid>
      <w:tr w:rsidR="00E97EE6" w:rsidRPr="002D774B" w14:paraId="2D81A5CC" w14:textId="77777777" w:rsidTr="003E1000">
        <w:tc>
          <w:tcPr>
            <w:tcW w:w="9639" w:type="dxa"/>
            <w:tcBorders>
              <w:top w:val="nil"/>
              <w:left w:val="nil"/>
              <w:bottom w:val="nil"/>
              <w:right w:val="nil"/>
            </w:tcBorders>
          </w:tcPr>
          <w:p w14:paraId="04D0F40C" w14:textId="35A6294F" w:rsidR="00E97EE6" w:rsidRPr="002D774B" w:rsidRDefault="002D774B" w:rsidP="003E1000">
            <w:pPr>
              <w:jc w:val="center"/>
              <w:rPr>
                <w:color w:val="000000" w:themeColor="text1"/>
                <w:lang w:val="es-ES_tradnl"/>
              </w:rPr>
            </w:pPr>
            <w:r w:rsidRPr="002D774B">
              <w:rPr>
                <w:noProof/>
                <w:color w:val="000000" w:themeColor="text1"/>
              </w:rPr>
              <w:drawing>
                <wp:inline distT="0" distB="0" distL="0" distR="0" wp14:anchorId="5C22FCFD" wp14:editId="36038C61">
                  <wp:extent cx="5911200" cy="391680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11200" cy="3916800"/>
                          </a:xfrm>
                          <a:prstGeom prst="rect">
                            <a:avLst/>
                          </a:prstGeom>
                          <a:noFill/>
                          <a:ln>
                            <a:noFill/>
                          </a:ln>
                        </pic:spPr>
                      </pic:pic>
                    </a:graphicData>
                  </a:graphic>
                </wp:inline>
              </w:drawing>
            </w:r>
          </w:p>
          <w:p w14:paraId="5F2F1D3D" w14:textId="77777777" w:rsidR="00E97EE6" w:rsidRPr="002D774B" w:rsidRDefault="00E97EE6" w:rsidP="003E1000">
            <w:pPr>
              <w:jc w:val="center"/>
              <w:rPr>
                <w:color w:val="000000" w:themeColor="text1"/>
                <w:lang w:val="es-ES_tradnl"/>
              </w:rPr>
            </w:pPr>
          </w:p>
        </w:tc>
      </w:tr>
    </w:tbl>
    <w:p w14:paraId="61C24784" w14:textId="77777777" w:rsidR="00E97EE6" w:rsidRPr="002D774B" w:rsidRDefault="00E97EE6" w:rsidP="00E97EE6">
      <w:pPr>
        <w:rPr>
          <w:lang w:val="es-ES_tradnl"/>
        </w:rPr>
      </w:pPr>
    </w:p>
    <w:p w14:paraId="753E8CEF" w14:textId="77777777" w:rsidR="00E97EE6" w:rsidRPr="002D774B" w:rsidRDefault="00E97EE6" w:rsidP="00E97EE6">
      <w:pPr>
        <w:rPr>
          <w:lang w:val="es-ES_tradnl"/>
        </w:rPr>
      </w:pPr>
    </w:p>
    <w:p w14:paraId="7BB1A1EF" w14:textId="77777777" w:rsidR="00E97EE6" w:rsidRPr="002D774B" w:rsidRDefault="00E97EE6" w:rsidP="00E97EE6">
      <w:pPr>
        <w:pStyle w:val="Heading2"/>
        <w:rPr>
          <w:lang w:val="es-ES_tradnl"/>
        </w:rPr>
      </w:pPr>
      <w:bookmarkStart w:id="7" w:name="_Toc117802095"/>
      <w:r w:rsidRPr="002D774B">
        <w:rPr>
          <w:lang w:val="es-ES_tradnl"/>
        </w:rPr>
        <w:t>LA MISIÓN</w:t>
      </w:r>
      <w:bookmarkEnd w:id="7"/>
    </w:p>
    <w:p w14:paraId="689E4A6E" w14:textId="77777777" w:rsidR="00E97EE6" w:rsidRPr="002D774B" w:rsidRDefault="00E97EE6" w:rsidP="00E97EE6">
      <w:pPr>
        <w:rPr>
          <w:lang w:val="es-ES_tradnl"/>
        </w:rPr>
      </w:pPr>
    </w:p>
    <w:p w14:paraId="1B9A3A80" w14:textId="77777777" w:rsidR="00E97EE6" w:rsidRPr="002D774B" w:rsidRDefault="00E97EE6" w:rsidP="00E97EE6">
      <w:pPr>
        <w:ind w:left="567" w:right="567"/>
        <w:rPr>
          <w:i/>
          <w:lang w:val="es-ES_tradnl"/>
        </w:rPr>
      </w:pPr>
      <w:r w:rsidRPr="002D774B">
        <w:rPr>
          <w:i/>
          <w:lang w:val="es-ES_tradnl"/>
        </w:rPr>
        <w:t>La misión de la UPOV es proporcionar y fomentar un sistema eficaz para la protección de las obtenciones vegetales, con miras al desarrollo de nuevas variedades vegetales para beneficio de la sociedad.</w:t>
      </w:r>
    </w:p>
    <w:p w14:paraId="06C3007E" w14:textId="77777777" w:rsidR="00E97EE6" w:rsidRPr="002D774B" w:rsidRDefault="00E97EE6" w:rsidP="00E97EE6">
      <w:pPr>
        <w:rPr>
          <w:lang w:val="es-ES_tradnl"/>
        </w:rPr>
      </w:pPr>
    </w:p>
    <w:p w14:paraId="01F699E6" w14:textId="77777777" w:rsidR="00E97EE6" w:rsidRPr="002D774B" w:rsidRDefault="00E97EE6" w:rsidP="00E97EE6">
      <w:pPr>
        <w:rPr>
          <w:bCs/>
          <w:color w:val="000000" w:themeColor="text1"/>
          <w:lang w:val="es-ES_tradnl"/>
        </w:rPr>
      </w:pPr>
      <w:r w:rsidRPr="002D774B">
        <w:rPr>
          <w:bCs/>
          <w:color w:val="000000" w:themeColor="text1"/>
          <w:lang w:val="es-ES_tradnl"/>
        </w:rPr>
        <w:fldChar w:fldCharType="begin"/>
      </w:r>
      <w:r w:rsidRPr="002D774B">
        <w:rPr>
          <w:bCs/>
          <w:color w:val="000000" w:themeColor="text1"/>
          <w:lang w:val="es-ES_tradnl"/>
        </w:rPr>
        <w:instrText xml:space="preserve"> AUTONUM  </w:instrText>
      </w:r>
      <w:r w:rsidRPr="002D774B">
        <w:rPr>
          <w:bCs/>
          <w:color w:val="000000" w:themeColor="text1"/>
          <w:lang w:val="es-ES_tradnl"/>
        </w:rPr>
        <w:fldChar w:fldCharType="end"/>
      </w:r>
      <w:r w:rsidRPr="002D774B">
        <w:rPr>
          <w:bCs/>
          <w:color w:val="000000" w:themeColor="text1"/>
          <w:lang w:val="es-ES_tradnl"/>
        </w:rPr>
        <w:tab/>
        <w:t xml:space="preserve">La declaración de misión de la UPOV señala la importancia de las obtenciones vegetales como medio para que los agricultores y cultivadores aporten beneficios a la sociedad. Como se explica en la pregunta "¿Qué beneficios aportan las obtenciones vegetales a la sociedad?" (véase arriba), en el apartado de preguntas frecuentes, las obtenciones vegetales son un elemento clave para que los agricultores y los productores proporcionen seguridad alimentaria en el contexto del aumento de población y el cambio climático, proporcionando a las personas la posibilidad de elegir alimentos saludables, sabrosos y nutritivos, al tiempo que proporcionan un ingreso adecuado a los agricultores. La producción de variedades frutales, </w:t>
      </w:r>
      <w:r w:rsidRPr="002D774B">
        <w:rPr>
          <w:bCs/>
          <w:color w:val="000000" w:themeColor="text1"/>
          <w:lang w:val="es-ES_tradnl"/>
        </w:rPr>
        <w:lastRenderedPageBreak/>
        <w:t>hortícolas y ornamentales de gran calidad también contribuye al desarrollo económico y proporciona empleo a millones de personas de todo el mundo, al satisfacer las necesidades y deseos de la sociedad.</w:t>
      </w:r>
    </w:p>
    <w:p w14:paraId="6C7AC1E7" w14:textId="77777777" w:rsidR="00E97EE6" w:rsidRPr="002D774B" w:rsidRDefault="00E97EE6" w:rsidP="00E97EE6">
      <w:pPr>
        <w:rPr>
          <w:bCs/>
          <w:color w:val="000000" w:themeColor="text1"/>
          <w:lang w:val="es-ES_tradnl"/>
        </w:rPr>
      </w:pPr>
    </w:p>
    <w:p w14:paraId="3C6DA159" w14:textId="77777777" w:rsidR="00E97EE6" w:rsidRPr="002D774B" w:rsidRDefault="00E97EE6" w:rsidP="00E97EE6">
      <w:pPr>
        <w:rPr>
          <w:bCs/>
          <w:color w:val="000000" w:themeColor="text1"/>
          <w:lang w:val="es-ES_tradnl"/>
        </w:rPr>
      </w:pPr>
      <w:r w:rsidRPr="002D774B">
        <w:rPr>
          <w:bCs/>
          <w:color w:val="000000" w:themeColor="text1"/>
          <w:lang w:val="es-ES_tradnl"/>
        </w:rPr>
        <w:fldChar w:fldCharType="begin"/>
      </w:r>
      <w:r w:rsidRPr="002D774B">
        <w:rPr>
          <w:bCs/>
          <w:color w:val="000000" w:themeColor="text1"/>
          <w:lang w:val="es-ES_tradnl"/>
        </w:rPr>
        <w:instrText xml:space="preserve"> AUTONUM  </w:instrText>
      </w:r>
      <w:r w:rsidRPr="002D774B">
        <w:rPr>
          <w:bCs/>
          <w:color w:val="000000" w:themeColor="text1"/>
          <w:lang w:val="es-ES_tradnl"/>
        </w:rPr>
        <w:fldChar w:fldCharType="end"/>
      </w:r>
      <w:r w:rsidRPr="002D774B">
        <w:rPr>
          <w:bCs/>
          <w:color w:val="000000" w:themeColor="text1"/>
          <w:lang w:val="es-ES_tradnl"/>
        </w:rPr>
        <w:tab/>
        <w:t>La declaración de misión reconoce el papel de la UPOV en la creación de un sistema eficaz de protección de las obtenciones vegetales, necesario para apoyar el desarrollo de nuevas variedades vegetales.</w:t>
      </w:r>
    </w:p>
    <w:p w14:paraId="54D3A96C" w14:textId="77777777" w:rsidR="00E97EE6" w:rsidRPr="002D774B" w:rsidRDefault="00E97EE6" w:rsidP="00E97EE6">
      <w:pPr>
        <w:rPr>
          <w:bCs/>
          <w:color w:val="000000" w:themeColor="text1"/>
          <w:lang w:val="es-ES_tradnl"/>
        </w:rPr>
      </w:pPr>
    </w:p>
    <w:p w14:paraId="5717891F" w14:textId="77777777" w:rsidR="00E97EE6" w:rsidRPr="002D774B" w:rsidRDefault="00E97EE6" w:rsidP="00E97EE6">
      <w:pPr>
        <w:pStyle w:val="Heading2"/>
        <w:rPr>
          <w:lang w:val="es-ES_tradnl"/>
        </w:rPr>
      </w:pPr>
      <w:bookmarkStart w:id="8" w:name="_Toc117802096"/>
      <w:r w:rsidRPr="002D774B">
        <w:rPr>
          <w:lang w:val="es-ES_tradnl"/>
        </w:rPr>
        <w:t>LOS TRES PILARES ESTRATÉGICOS Y EL FUNDAMENTO</w:t>
      </w:r>
      <w:bookmarkEnd w:id="8"/>
    </w:p>
    <w:p w14:paraId="3CF451E3" w14:textId="77777777" w:rsidR="00E97EE6" w:rsidRPr="002D774B" w:rsidRDefault="00E97EE6" w:rsidP="00E97EE6">
      <w:pPr>
        <w:rPr>
          <w:b/>
          <w:bCs/>
          <w:sz w:val="22"/>
          <w:szCs w:val="22"/>
          <w:lang w:val="es-ES_tradnl"/>
        </w:rPr>
      </w:pPr>
    </w:p>
    <w:p w14:paraId="03F65353" w14:textId="77777777" w:rsidR="00E97EE6" w:rsidRPr="002D774B" w:rsidRDefault="00E97EE6" w:rsidP="00E97EE6">
      <w:pPr>
        <w:rPr>
          <w:bCs/>
          <w:lang w:val="es-ES_tradnl"/>
        </w:rPr>
      </w:pPr>
      <w:r w:rsidRPr="002D774B">
        <w:rPr>
          <w:bCs/>
          <w:lang w:val="es-ES_tradnl"/>
        </w:rPr>
        <w:fldChar w:fldCharType="begin"/>
      </w:r>
      <w:r w:rsidRPr="002D774B">
        <w:rPr>
          <w:bCs/>
          <w:lang w:val="es-ES_tradnl"/>
        </w:rPr>
        <w:instrText xml:space="preserve"> AUTONUM  </w:instrText>
      </w:r>
      <w:r w:rsidRPr="002D774B">
        <w:rPr>
          <w:bCs/>
          <w:lang w:val="es-ES_tradnl"/>
        </w:rPr>
        <w:fldChar w:fldCharType="end"/>
      </w:r>
      <w:r w:rsidRPr="002D774B">
        <w:rPr>
          <w:bCs/>
          <w:lang w:val="es-ES_tradnl"/>
        </w:rPr>
        <w:tab/>
        <w:t>Los tres pilares estratégicos sustentan la misión de la UPOV. Constituyen los ámbitos generales del enfoque estratégico de la Organización, los cuales, a su vez, se traducen en resultados previstos y posteriormente en programas y actividades específicos. El fundamento es la base de nuestro Edificio de la Estrategia, al recoger los principios básicos para proporcionar el tipo de recursos, el entorno y la cultura apropiados para que la UPOV trabaje adecuadamente. Los pilares estratégicos no deben considerarse de forma aislada; están interconectados de forma dinámica y se sustentan en el fundamento.</w:t>
      </w:r>
    </w:p>
    <w:p w14:paraId="1BE7532C" w14:textId="77777777" w:rsidR="00E97EE6" w:rsidRPr="002D774B" w:rsidRDefault="00E97EE6" w:rsidP="00E97EE6">
      <w:pPr>
        <w:rPr>
          <w:bCs/>
          <w:lang w:val="es-ES_tradnl"/>
        </w:rPr>
      </w:pPr>
    </w:p>
    <w:p w14:paraId="146E856C" w14:textId="77777777" w:rsidR="00E97EE6" w:rsidRPr="002D774B" w:rsidRDefault="00E97EE6" w:rsidP="00E97EE6">
      <w:pPr>
        <w:rPr>
          <w:bCs/>
          <w:lang w:val="es-ES_tradnl"/>
        </w:rPr>
      </w:pPr>
      <w:r w:rsidRPr="002D774B">
        <w:rPr>
          <w:bCs/>
          <w:lang w:val="es-ES_tradnl"/>
        </w:rPr>
        <w:fldChar w:fldCharType="begin"/>
      </w:r>
      <w:r w:rsidRPr="002D774B">
        <w:rPr>
          <w:bCs/>
          <w:lang w:val="es-ES_tradnl"/>
        </w:rPr>
        <w:instrText xml:space="preserve"> AUTONUM  </w:instrText>
      </w:r>
      <w:r w:rsidRPr="002D774B">
        <w:rPr>
          <w:bCs/>
          <w:lang w:val="es-ES_tradnl"/>
        </w:rPr>
        <w:fldChar w:fldCharType="end"/>
      </w:r>
      <w:r w:rsidRPr="002D774B">
        <w:rPr>
          <w:bCs/>
          <w:lang w:val="es-ES_tradnl"/>
        </w:rPr>
        <w:tab/>
        <w:t>En las siguientes secciones se explican con más detalle los tres pilares estratégicos y el fundamento, así como sus respectivos resultados previstos.</w:t>
      </w:r>
    </w:p>
    <w:p w14:paraId="6F0129D1" w14:textId="77777777" w:rsidR="00E97EE6" w:rsidRPr="002D774B" w:rsidRDefault="00E97EE6" w:rsidP="00E97EE6">
      <w:pPr>
        <w:rPr>
          <w:bCs/>
          <w:lang w:val="es-ES_tradnl"/>
        </w:rPr>
      </w:pPr>
    </w:p>
    <w:tbl>
      <w:tblPr>
        <w:tblStyle w:val="TableGrid"/>
        <w:tblW w:w="0" w:type="auto"/>
        <w:tblInd w:w="0" w:type="dxa"/>
        <w:tblLook w:val="04A0" w:firstRow="1" w:lastRow="0" w:firstColumn="1" w:lastColumn="0" w:noHBand="0" w:noVBand="1"/>
      </w:tblPr>
      <w:tblGrid>
        <w:gridCol w:w="9639"/>
      </w:tblGrid>
      <w:tr w:rsidR="00E97EE6" w:rsidRPr="002D774B" w14:paraId="276EEB5B" w14:textId="77777777" w:rsidTr="003E1000">
        <w:trPr>
          <w:trHeight w:val="5401"/>
        </w:trPr>
        <w:tc>
          <w:tcPr>
            <w:tcW w:w="9639" w:type="dxa"/>
            <w:tcBorders>
              <w:top w:val="nil"/>
              <w:left w:val="nil"/>
              <w:bottom w:val="nil"/>
              <w:right w:val="nil"/>
            </w:tcBorders>
          </w:tcPr>
          <w:p w14:paraId="1AAE2FDD" w14:textId="6B49CB3E" w:rsidR="00E97EE6" w:rsidRPr="002D774B" w:rsidRDefault="002D774B" w:rsidP="003E1000">
            <w:pPr>
              <w:jc w:val="center"/>
              <w:rPr>
                <w:bCs/>
                <w:lang w:val="es-ES_tradnl"/>
              </w:rPr>
            </w:pPr>
            <w:r w:rsidRPr="002D774B">
              <w:rPr>
                <w:bCs/>
                <w:noProof/>
              </w:rPr>
              <w:drawing>
                <wp:inline distT="0" distB="0" distL="0" distR="0" wp14:anchorId="735D93E2" wp14:editId="274CFD1E">
                  <wp:extent cx="6012000" cy="3920400"/>
                  <wp:effectExtent l="0" t="0" r="825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12000" cy="3920400"/>
                          </a:xfrm>
                          <a:prstGeom prst="rect">
                            <a:avLst/>
                          </a:prstGeom>
                          <a:noFill/>
                          <a:ln>
                            <a:noFill/>
                          </a:ln>
                        </pic:spPr>
                      </pic:pic>
                    </a:graphicData>
                  </a:graphic>
                </wp:inline>
              </w:drawing>
            </w:r>
          </w:p>
        </w:tc>
      </w:tr>
    </w:tbl>
    <w:p w14:paraId="6547D321" w14:textId="77777777" w:rsidR="00E97EE6" w:rsidRPr="002D774B" w:rsidRDefault="00E97EE6" w:rsidP="00E97EE6">
      <w:pPr>
        <w:rPr>
          <w:bCs/>
          <w:lang w:val="es-ES_tradnl"/>
        </w:rPr>
      </w:pPr>
    </w:p>
    <w:p w14:paraId="0F7B875C" w14:textId="77777777" w:rsidR="00E97EE6" w:rsidRPr="002D774B" w:rsidRDefault="00E97EE6" w:rsidP="00E97EE6">
      <w:pPr>
        <w:rPr>
          <w:b/>
          <w:bCs/>
          <w:sz w:val="22"/>
          <w:szCs w:val="22"/>
          <w:lang w:val="es-ES_tradnl"/>
        </w:rPr>
      </w:pPr>
    </w:p>
    <w:p w14:paraId="11049D41" w14:textId="5F0ABDD0" w:rsidR="00E97EE6" w:rsidRPr="002D774B" w:rsidRDefault="00E97EE6" w:rsidP="00E97EE6">
      <w:pPr>
        <w:pStyle w:val="Heading3"/>
        <w:rPr>
          <w:lang w:val="es-ES_tradnl"/>
        </w:rPr>
      </w:pPr>
      <w:bookmarkStart w:id="9" w:name="_Toc107239337"/>
      <w:bookmarkStart w:id="10" w:name="_Toc117802097"/>
      <w:r w:rsidRPr="002D774B">
        <w:rPr>
          <w:lang w:val="es-ES_tradnl"/>
        </w:rPr>
        <w:t xml:space="preserve">Pilar 1: </w:t>
      </w:r>
      <w:bookmarkEnd w:id="9"/>
      <w:r w:rsidRPr="002D774B">
        <w:rPr>
          <w:lang w:val="es-ES_tradnl"/>
        </w:rPr>
        <w:t xml:space="preserve">Reunir a las partes interesadas para que </w:t>
      </w:r>
      <w:r w:rsidR="002D774B" w:rsidRPr="002D774B">
        <w:rPr>
          <w:lang w:val="es-ES_tradnl"/>
        </w:rPr>
        <w:t>contribuyan a dar forma</w:t>
      </w:r>
      <w:r w:rsidRPr="002D774B">
        <w:rPr>
          <w:lang w:val="es-ES_tradnl"/>
        </w:rPr>
        <w:t xml:space="preserve"> </w:t>
      </w:r>
      <w:r w:rsidR="002D774B" w:rsidRPr="002D774B">
        <w:rPr>
          <w:lang w:val="es-ES_tradnl"/>
        </w:rPr>
        <w:t>a</w:t>
      </w:r>
      <w:r w:rsidRPr="002D774B">
        <w:rPr>
          <w:lang w:val="es-ES_tradnl"/>
        </w:rPr>
        <w:t>l sistema de la UPOV</w:t>
      </w:r>
      <w:bookmarkEnd w:id="10"/>
    </w:p>
    <w:p w14:paraId="79118F5E" w14:textId="77777777" w:rsidR="00E97EE6" w:rsidRPr="002D774B" w:rsidRDefault="00E97EE6" w:rsidP="00E97EE6">
      <w:pPr>
        <w:rPr>
          <w:b/>
          <w:bCs/>
          <w:sz w:val="22"/>
          <w:szCs w:val="22"/>
          <w:lang w:val="es-ES_tradnl"/>
        </w:rPr>
      </w:pPr>
    </w:p>
    <w:p w14:paraId="31B5F14D" w14:textId="77777777" w:rsidR="00E97EE6" w:rsidRPr="002D774B" w:rsidRDefault="00E97EE6" w:rsidP="00E97EE6">
      <w:pPr>
        <w:pStyle w:val="Heading4"/>
        <w:rPr>
          <w:lang w:val="es-ES_tradnl"/>
        </w:rPr>
      </w:pPr>
      <w:bookmarkStart w:id="11" w:name="_Toc117802098"/>
      <w:r w:rsidRPr="002D774B">
        <w:rPr>
          <w:lang w:val="es-ES_tradnl"/>
        </w:rPr>
        <w:t>Antecedentes</w:t>
      </w:r>
      <w:bookmarkEnd w:id="11"/>
    </w:p>
    <w:p w14:paraId="2BF6DD08" w14:textId="77777777" w:rsidR="00E97EE6" w:rsidRPr="002D774B" w:rsidRDefault="00E97EE6" w:rsidP="00E97EE6">
      <w:pPr>
        <w:rPr>
          <w:b/>
          <w:bCs/>
          <w:sz w:val="22"/>
          <w:szCs w:val="22"/>
          <w:lang w:val="es-ES_tradnl"/>
        </w:rPr>
      </w:pPr>
    </w:p>
    <w:p w14:paraId="388A4F61" w14:textId="6D5C6312" w:rsidR="00E97EE6" w:rsidRPr="002D774B" w:rsidRDefault="00E97EE6" w:rsidP="00E97EE6">
      <w:pPr>
        <w:rPr>
          <w:bCs/>
          <w:lang w:val="es-ES_tradnl"/>
        </w:rPr>
      </w:pPr>
      <w:r w:rsidRPr="002D774B">
        <w:rPr>
          <w:bCs/>
          <w:lang w:val="es-ES_tradnl"/>
        </w:rPr>
        <w:fldChar w:fldCharType="begin"/>
      </w:r>
      <w:r w:rsidRPr="002D774B">
        <w:rPr>
          <w:bCs/>
          <w:lang w:val="es-ES_tradnl"/>
        </w:rPr>
        <w:instrText xml:space="preserve"> AUTONUM  </w:instrText>
      </w:r>
      <w:r w:rsidRPr="002D774B">
        <w:rPr>
          <w:bCs/>
          <w:lang w:val="es-ES_tradnl"/>
        </w:rPr>
        <w:fldChar w:fldCharType="end"/>
      </w:r>
      <w:r w:rsidRPr="002D774B">
        <w:rPr>
          <w:bCs/>
          <w:lang w:val="es-ES_tradnl"/>
        </w:rPr>
        <w:tab/>
      </w:r>
      <w:r w:rsidR="002D774B" w:rsidRPr="002D774B">
        <w:rPr>
          <w:bCs/>
          <w:lang w:val="es-ES_tradnl"/>
        </w:rPr>
        <w:t>Este pilar estratégico se centra en la función de la UPOV como espacio de encuentro de los miembros de la Unión para que supervisen y coordinen el trabajo de la Organización y trabajen con las partes interesadas para que contribuyan a dar forma al futuro del sistema de la UPOV.</w:t>
      </w:r>
    </w:p>
    <w:p w14:paraId="2D13FD0E" w14:textId="77777777" w:rsidR="00E97EE6" w:rsidRPr="002D774B" w:rsidRDefault="00E97EE6" w:rsidP="00E97EE6">
      <w:pPr>
        <w:rPr>
          <w:bCs/>
          <w:lang w:val="es-ES_tradnl"/>
        </w:rPr>
      </w:pPr>
    </w:p>
    <w:p w14:paraId="72DFBA21" w14:textId="77777777" w:rsidR="00E97EE6" w:rsidRPr="002D774B" w:rsidRDefault="00E97EE6" w:rsidP="00E97EE6">
      <w:pPr>
        <w:rPr>
          <w:b/>
          <w:bCs/>
          <w:sz w:val="22"/>
          <w:szCs w:val="22"/>
          <w:lang w:val="es-ES_tradnl"/>
        </w:rPr>
      </w:pPr>
    </w:p>
    <w:p w14:paraId="0BF47F19" w14:textId="77777777" w:rsidR="00E97EE6" w:rsidRPr="002D774B" w:rsidRDefault="00E97EE6" w:rsidP="002D774B">
      <w:pPr>
        <w:pStyle w:val="Heading4"/>
        <w:rPr>
          <w:lang w:val="es-ES_tradnl"/>
        </w:rPr>
      </w:pPr>
      <w:bookmarkStart w:id="12" w:name="_Toc117802099"/>
      <w:r w:rsidRPr="002D774B">
        <w:rPr>
          <w:lang w:val="es-ES_tradnl"/>
        </w:rPr>
        <w:t>Orientaciones para el futuro</w:t>
      </w:r>
      <w:bookmarkEnd w:id="12"/>
    </w:p>
    <w:p w14:paraId="3DBCA658" w14:textId="77777777" w:rsidR="00E97EE6" w:rsidRPr="002D774B" w:rsidRDefault="00E97EE6" w:rsidP="002D774B">
      <w:pPr>
        <w:keepNext/>
        <w:rPr>
          <w:b/>
          <w:bCs/>
          <w:sz w:val="22"/>
          <w:szCs w:val="22"/>
          <w:lang w:val="es-ES_tradnl"/>
        </w:rPr>
      </w:pPr>
    </w:p>
    <w:p w14:paraId="094643A8" w14:textId="77777777" w:rsidR="00E97EE6" w:rsidRPr="002D774B" w:rsidRDefault="00E97EE6" w:rsidP="002D774B">
      <w:pPr>
        <w:pStyle w:val="Heading5"/>
        <w:rPr>
          <w:lang w:val="es-ES_tradnl"/>
        </w:rPr>
      </w:pPr>
      <w:bookmarkStart w:id="13" w:name="_Toc107239340"/>
      <w:bookmarkStart w:id="14" w:name="_Toc117802100"/>
      <w:r w:rsidRPr="002D774B">
        <w:rPr>
          <w:lang w:val="es-ES_tradnl"/>
        </w:rPr>
        <w:t>1.1</w:t>
      </w:r>
      <w:r w:rsidRPr="002D774B">
        <w:rPr>
          <w:lang w:val="es-ES_tradnl"/>
        </w:rPr>
        <w:tab/>
      </w:r>
      <w:bookmarkEnd w:id="13"/>
      <w:r w:rsidRPr="002D774B">
        <w:rPr>
          <w:lang w:val="es-ES_tradnl"/>
        </w:rPr>
        <w:t>Gobernanza del Consejo de la UPOV y labor de los comités y otros órganos de la UPOV</w:t>
      </w:r>
      <w:bookmarkEnd w:id="14"/>
    </w:p>
    <w:p w14:paraId="679E34A8" w14:textId="77777777" w:rsidR="00E97EE6" w:rsidRPr="002D774B" w:rsidRDefault="00E97EE6" w:rsidP="002D774B">
      <w:pPr>
        <w:keepNext/>
        <w:rPr>
          <w:b/>
          <w:bCs/>
          <w:sz w:val="22"/>
          <w:szCs w:val="22"/>
          <w:lang w:val="es-ES_tradnl"/>
        </w:rPr>
      </w:pPr>
    </w:p>
    <w:p w14:paraId="3B570CD0" w14:textId="77777777" w:rsidR="00E97EE6" w:rsidRPr="002D774B" w:rsidRDefault="00E97EE6" w:rsidP="00E97EE6">
      <w:pPr>
        <w:rPr>
          <w:lang w:val="es-ES_tradnl"/>
        </w:rPr>
      </w:pPr>
      <w:r w:rsidRPr="002D774B">
        <w:rPr>
          <w:lang w:val="es-ES_tradnl"/>
        </w:rPr>
        <w:fldChar w:fldCharType="begin"/>
      </w:r>
      <w:r w:rsidRPr="002D774B">
        <w:rPr>
          <w:lang w:val="es-ES_tradnl"/>
        </w:rPr>
        <w:instrText xml:space="preserve"> AUTONUM  </w:instrText>
      </w:r>
      <w:r w:rsidRPr="002D774B">
        <w:rPr>
          <w:lang w:val="es-ES_tradnl"/>
        </w:rPr>
        <w:fldChar w:fldCharType="end"/>
      </w:r>
      <w:r w:rsidRPr="002D774B">
        <w:rPr>
          <w:lang w:val="es-ES_tradnl"/>
        </w:rPr>
        <w:tab/>
        <w:t>El Consejo, integrado por miembros de la Unión y observadores, seguirá llevando la dirección de la UPOV, con la orientación del Comité Consultivo, el Comité Administrativo y Jurídico (CAJ), el Comité Técnico, los grupos de trabajo técnico y los grupos de trabajo, según proceda.</w:t>
      </w:r>
    </w:p>
    <w:p w14:paraId="1593641A" w14:textId="77777777" w:rsidR="00E97EE6" w:rsidRPr="002D774B" w:rsidRDefault="00E97EE6" w:rsidP="00E97EE6">
      <w:pPr>
        <w:rPr>
          <w:lang w:val="es-ES_tradnl"/>
        </w:rPr>
      </w:pPr>
    </w:p>
    <w:p w14:paraId="5273F96F" w14:textId="77777777" w:rsidR="00E97EE6" w:rsidRPr="002D774B" w:rsidRDefault="00E97EE6" w:rsidP="00E97EE6">
      <w:pPr>
        <w:rPr>
          <w:lang w:val="es-ES_tradnl"/>
        </w:rPr>
      </w:pPr>
      <w:r w:rsidRPr="002D774B">
        <w:rPr>
          <w:lang w:val="es-ES_tradnl"/>
        </w:rPr>
        <w:fldChar w:fldCharType="begin"/>
      </w:r>
      <w:r w:rsidRPr="002D774B">
        <w:rPr>
          <w:lang w:val="es-ES_tradnl"/>
        </w:rPr>
        <w:instrText xml:space="preserve"> AUTONUM  </w:instrText>
      </w:r>
      <w:r w:rsidRPr="002D774B">
        <w:rPr>
          <w:lang w:val="es-ES_tradnl"/>
        </w:rPr>
        <w:fldChar w:fldCharType="end"/>
      </w:r>
      <w:r w:rsidRPr="002D774B">
        <w:rPr>
          <w:lang w:val="es-ES_tradnl"/>
        </w:rPr>
        <w:tab/>
        <w:t xml:space="preserve">Según evoluciona la UPOV, y en aras de lograr la máxima eficacia, será importante que se siga revisando la labor que llevan a cabo los comités. Ejemplo de ello es la decisión de que las reuniones del Consejo, el Comité Consultivo y el CAJ pasen de celebrarse dos veces al año a ser anuales a partir de 2018. Asimismo, se está llevando a cabo una revisión en el Comité Técnico para evaluar las posibilidades de mejora de la labor tanto de este Comité como de los grupos de trabajo técnico, especialmente con vistas a aumentar la cooperación como beneficio fundamental de la pertenencia a la UPOV. </w:t>
      </w:r>
    </w:p>
    <w:p w14:paraId="4634F5CF" w14:textId="77777777" w:rsidR="00E97EE6" w:rsidRPr="002D774B" w:rsidRDefault="00E97EE6" w:rsidP="00E97EE6">
      <w:pPr>
        <w:rPr>
          <w:lang w:val="es-ES_tradnl"/>
        </w:rPr>
      </w:pPr>
    </w:p>
    <w:p w14:paraId="78C6E1E9" w14:textId="77777777" w:rsidR="00E97EE6" w:rsidRPr="002D774B" w:rsidRDefault="00E97EE6" w:rsidP="00E97EE6">
      <w:pPr>
        <w:rPr>
          <w:lang w:val="es-ES_tradnl"/>
        </w:rPr>
      </w:pPr>
      <w:r w:rsidRPr="002D774B">
        <w:rPr>
          <w:lang w:val="es-ES_tradnl"/>
        </w:rPr>
        <w:fldChar w:fldCharType="begin"/>
      </w:r>
      <w:r w:rsidRPr="002D774B">
        <w:rPr>
          <w:lang w:val="es-ES_tradnl"/>
        </w:rPr>
        <w:instrText xml:space="preserve"> AUTONUM  </w:instrText>
      </w:r>
      <w:r w:rsidRPr="002D774B">
        <w:rPr>
          <w:lang w:val="es-ES_tradnl"/>
        </w:rPr>
        <w:fldChar w:fldCharType="end"/>
      </w:r>
      <w:r w:rsidRPr="002D774B">
        <w:rPr>
          <w:lang w:val="es-ES_tradnl"/>
        </w:rPr>
        <w:tab/>
        <w:t xml:space="preserve">En relación con las reuniones de los órganos de la UPOV, habrá que considerar las políticas en materia de participación física y virtual, con miras a incrementar la participación y la eficacia de las reuniones. </w:t>
      </w:r>
    </w:p>
    <w:p w14:paraId="00D58E13" w14:textId="77777777" w:rsidR="00E97EE6" w:rsidRPr="002D774B" w:rsidRDefault="00E97EE6" w:rsidP="00E97EE6">
      <w:pPr>
        <w:rPr>
          <w:lang w:val="es-ES_tradnl"/>
        </w:rPr>
      </w:pPr>
    </w:p>
    <w:p w14:paraId="1BB82E12" w14:textId="77777777" w:rsidR="00E97EE6" w:rsidRPr="002D774B" w:rsidRDefault="00E97EE6" w:rsidP="00E97EE6">
      <w:pPr>
        <w:pStyle w:val="Heading5"/>
        <w:rPr>
          <w:lang w:val="es-ES_tradnl"/>
        </w:rPr>
      </w:pPr>
      <w:bookmarkStart w:id="15" w:name="_Toc107239341"/>
      <w:bookmarkStart w:id="16" w:name="_Toc117802101"/>
      <w:r w:rsidRPr="002D774B">
        <w:rPr>
          <w:lang w:val="es-ES_tradnl"/>
        </w:rPr>
        <w:t>1.2</w:t>
      </w:r>
      <w:r w:rsidRPr="002D774B">
        <w:rPr>
          <w:lang w:val="es-ES_tradnl"/>
        </w:rPr>
        <w:tab/>
      </w:r>
      <w:bookmarkEnd w:id="15"/>
      <w:r w:rsidRPr="002D774B">
        <w:rPr>
          <w:lang w:val="es-ES_tradnl"/>
        </w:rPr>
        <w:t>Elaboración de legislación sobre la protección de las obtenciones vegetales de conformidad con el Acta de 1991 del Convenio de la UPOV</w:t>
      </w:r>
      <w:bookmarkEnd w:id="16"/>
    </w:p>
    <w:p w14:paraId="03CC20BE" w14:textId="77777777" w:rsidR="00E97EE6" w:rsidRPr="002D774B" w:rsidRDefault="00E97EE6" w:rsidP="00E97EE6">
      <w:pPr>
        <w:rPr>
          <w:lang w:val="es-ES_tradnl"/>
        </w:rPr>
      </w:pPr>
    </w:p>
    <w:p w14:paraId="4910BA7B" w14:textId="77777777" w:rsidR="00E97EE6" w:rsidRPr="002D774B" w:rsidRDefault="00E97EE6" w:rsidP="00E97EE6">
      <w:pPr>
        <w:rPr>
          <w:bCs/>
          <w:lang w:val="es-ES_tradnl"/>
        </w:rPr>
      </w:pPr>
      <w:r w:rsidRPr="002D774B">
        <w:rPr>
          <w:bCs/>
          <w:lang w:val="es-ES_tradnl"/>
        </w:rPr>
        <w:fldChar w:fldCharType="begin"/>
      </w:r>
      <w:r w:rsidRPr="002D774B">
        <w:rPr>
          <w:bCs/>
          <w:lang w:val="es-ES_tradnl"/>
        </w:rPr>
        <w:instrText xml:space="preserve"> AUTONUM  </w:instrText>
      </w:r>
      <w:r w:rsidRPr="002D774B">
        <w:rPr>
          <w:bCs/>
          <w:lang w:val="es-ES_tradnl"/>
        </w:rPr>
        <w:fldChar w:fldCharType="end"/>
      </w:r>
      <w:r w:rsidRPr="002D774B">
        <w:rPr>
          <w:bCs/>
          <w:lang w:val="es-ES_tradnl"/>
        </w:rPr>
        <w:tab/>
        <w:t>Todo Estado u organización intergubernamental que desee pasar a ser miembro de la UPOV ha de recibir una opinión positiva del Consejo de la UPOV sobre la conformidad de su legislación con las disposiciones del Convenio de la UPOV antes de depositar su instrumento de adhesión.</w:t>
      </w:r>
      <w:r w:rsidRPr="002D774B">
        <w:rPr>
          <w:lang w:val="es-ES_tradnl"/>
        </w:rPr>
        <w:t xml:space="preserve"> </w:t>
      </w:r>
      <w:r w:rsidRPr="002D774B">
        <w:rPr>
          <w:bCs/>
          <w:lang w:val="es-ES_tradnl"/>
        </w:rPr>
        <w:t xml:space="preserve">Una parte fundamental de la labor de la UPOV consiste en proporcionar orientación a los Estados y organizaciones intergubernamentales que deseen elaborar leyes de conformidad con el Acta de 1991 del Convenio de la UPOV. </w:t>
      </w:r>
    </w:p>
    <w:p w14:paraId="21CECB47" w14:textId="77777777" w:rsidR="00E97EE6" w:rsidRPr="002D774B" w:rsidRDefault="00E97EE6" w:rsidP="00E97EE6">
      <w:pPr>
        <w:rPr>
          <w:b/>
          <w:bCs/>
          <w:lang w:val="es-ES_tradnl"/>
        </w:rPr>
      </w:pPr>
    </w:p>
    <w:p w14:paraId="155922A3" w14:textId="77777777" w:rsidR="00E97EE6" w:rsidRPr="002D774B" w:rsidRDefault="00E97EE6" w:rsidP="00E97EE6">
      <w:pPr>
        <w:rPr>
          <w:b/>
          <w:bCs/>
          <w:lang w:val="es-ES_tradnl"/>
        </w:rPr>
      </w:pPr>
    </w:p>
    <w:p w14:paraId="17927167" w14:textId="77777777" w:rsidR="00E97EE6" w:rsidRPr="002D774B" w:rsidRDefault="00E97EE6" w:rsidP="00E97EE6">
      <w:pPr>
        <w:pStyle w:val="Heading3"/>
        <w:rPr>
          <w:lang w:val="es-ES_tradnl"/>
        </w:rPr>
      </w:pPr>
      <w:bookmarkStart w:id="17" w:name="_Toc107239342"/>
      <w:bookmarkStart w:id="18" w:name="_Toc117802102"/>
      <w:r w:rsidRPr="002D774B">
        <w:rPr>
          <w:lang w:val="es-ES_tradnl"/>
        </w:rPr>
        <w:t xml:space="preserve">Pilar 2: </w:t>
      </w:r>
      <w:bookmarkEnd w:id="17"/>
      <w:r w:rsidRPr="002D774B">
        <w:rPr>
          <w:lang w:val="es-ES_tradnl"/>
        </w:rPr>
        <w:t>Proporcionar orientación y asistencia y facilitar la cooperación para la puesta en práctica del sistema de la UPOV</w:t>
      </w:r>
      <w:bookmarkEnd w:id="18"/>
      <w:r w:rsidRPr="002D774B">
        <w:rPr>
          <w:lang w:val="es-ES_tradnl"/>
        </w:rPr>
        <w:t xml:space="preserve"> </w:t>
      </w:r>
    </w:p>
    <w:p w14:paraId="68153A02" w14:textId="77777777" w:rsidR="00E97EE6" w:rsidRPr="002D774B" w:rsidRDefault="00E97EE6" w:rsidP="00E97EE6">
      <w:pPr>
        <w:rPr>
          <w:b/>
          <w:bCs/>
          <w:sz w:val="22"/>
          <w:szCs w:val="22"/>
          <w:lang w:val="es-ES_tradnl"/>
        </w:rPr>
      </w:pPr>
    </w:p>
    <w:p w14:paraId="115F4468" w14:textId="77777777" w:rsidR="00E97EE6" w:rsidRPr="002D774B" w:rsidRDefault="00E97EE6" w:rsidP="00E97EE6">
      <w:pPr>
        <w:pStyle w:val="Heading4"/>
        <w:rPr>
          <w:lang w:val="es-ES_tradnl"/>
        </w:rPr>
      </w:pPr>
      <w:bookmarkStart w:id="19" w:name="_Toc117802103"/>
      <w:r w:rsidRPr="002D774B">
        <w:rPr>
          <w:lang w:val="es-ES_tradnl"/>
        </w:rPr>
        <w:t>Antecedentes</w:t>
      </w:r>
      <w:bookmarkEnd w:id="19"/>
    </w:p>
    <w:p w14:paraId="0ED00FEB" w14:textId="77777777" w:rsidR="00E97EE6" w:rsidRPr="002D774B" w:rsidRDefault="00E97EE6" w:rsidP="00E97EE6">
      <w:pPr>
        <w:rPr>
          <w:lang w:val="es-ES_tradnl"/>
        </w:rPr>
      </w:pPr>
    </w:p>
    <w:p w14:paraId="5EFF5E72" w14:textId="77777777" w:rsidR="00E97EE6" w:rsidRPr="002D774B" w:rsidRDefault="00E97EE6" w:rsidP="00E97EE6">
      <w:pPr>
        <w:rPr>
          <w:color w:val="000000" w:themeColor="text1"/>
          <w:lang w:val="es-ES_tradnl"/>
        </w:rPr>
      </w:pPr>
      <w:r w:rsidRPr="002D774B">
        <w:rPr>
          <w:color w:val="000000" w:themeColor="text1"/>
          <w:lang w:val="es-ES_tradnl"/>
        </w:rPr>
        <w:fldChar w:fldCharType="begin"/>
      </w:r>
      <w:r w:rsidRPr="002D774B">
        <w:rPr>
          <w:color w:val="000000" w:themeColor="text1"/>
          <w:lang w:val="es-ES_tradnl"/>
        </w:rPr>
        <w:instrText xml:space="preserve"> AUTONUM  </w:instrText>
      </w:r>
      <w:r w:rsidRPr="002D774B">
        <w:rPr>
          <w:color w:val="000000" w:themeColor="text1"/>
          <w:lang w:val="es-ES_tradnl"/>
        </w:rPr>
        <w:fldChar w:fldCharType="end"/>
      </w:r>
      <w:r w:rsidRPr="002D774B">
        <w:rPr>
          <w:color w:val="000000" w:themeColor="text1"/>
          <w:lang w:val="es-ES_tradnl"/>
        </w:rPr>
        <w:tab/>
        <w:t>Este pilar estratégico engloba la labor de la UPOV dirigida a explicar el estímulo que supone su sistema para el desarrollo de obtenciones vegetales y el beneficio que reportan las nuevas variedades para la sociedad, así como la función que desempeña el sistema de la UPOV en relación con la agricultura y el desarrollo económico del sector rural. Un objetivo específico es sensibilizar a los Estados y las organizaciones intergubernamentales que no son miembros de la Unión sobre las ventajas que entraña la protección de las obtenciones vegetales con arreglo al Convenio de la UPOV y la condición de miembro de la UPOV. Cabe incluir también en este pilar el suministro de las orientaciones e informaciones que sean necesarias para el funcionamiento del sistema de protección de las obtenciones vegetales y el apoyo a la cooperación entre los miembros de la Unión, en particular la labor de armonización.</w:t>
      </w:r>
    </w:p>
    <w:p w14:paraId="05D71E79" w14:textId="77777777" w:rsidR="00E97EE6" w:rsidRPr="002D774B" w:rsidRDefault="00E97EE6" w:rsidP="00E97EE6">
      <w:pPr>
        <w:rPr>
          <w:color w:val="000000" w:themeColor="text1"/>
          <w:lang w:val="es-ES_tradnl"/>
        </w:rPr>
      </w:pPr>
    </w:p>
    <w:p w14:paraId="28B8C061" w14:textId="77777777" w:rsidR="00E97EE6" w:rsidRPr="002D774B" w:rsidRDefault="00E97EE6" w:rsidP="00E97EE6">
      <w:pPr>
        <w:rPr>
          <w:color w:val="000000" w:themeColor="text1"/>
          <w:lang w:val="es-ES_tradnl"/>
        </w:rPr>
      </w:pPr>
      <w:r w:rsidRPr="002D774B">
        <w:rPr>
          <w:color w:val="000000" w:themeColor="text1"/>
          <w:lang w:val="es-ES_tradnl"/>
        </w:rPr>
        <w:fldChar w:fldCharType="begin"/>
      </w:r>
      <w:r w:rsidRPr="002D774B">
        <w:rPr>
          <w:color w:val="000000" w:themeColor="text1"/>
          <w:lang w:val="es-ES_tradnl"/>
        </w:rPr>
        <w:instrText xml:space="preserve"> AUTONUM  </w:instrText>
      </w:r>
      <w:r w:rsidRPr="002D774B">
        <w:rPr>
          <w:color w:val="000000" w:themeColor="text1"/>
          <w:lang w:val="es-ES_tradnl"/>
        </w:rPr>
        <w:fldChar w:fldCharType="end"/>
      </w:r>
      <w:r w:rsidRPr="002D774B">
        <w:rPr>
          <w:color w:val="000000" w:themeColor="text1"/>
          <w:lang w:val="es-ES_tradnl"/>
        </w:rPr>
        <w:tab/>
        <w:t>Este pilar estratégico se apoya en la Estrategia de comunicación y en la Estrategia de formación y asistencia de la UPOV.</w:t>
      </w:r>
    </w:p>
    <w:p w14:paraId="52B91A76" w14:textId="77777777" w:rsidR="00E97EE6" w:rsidRPr="002D774B" w:rsidRDefault="00E97EE6" w:rsidP="00E97EE6">
      <w:pPr>
        <w:tabs>
          <w:tab w:val="left" w:pos="851"/>
        </w:tabs>
        <w:rPr>
          <w:color w:val="000000" w:themeColor="text1"/>
          <w:lang w:val="es-ES_tradnl"/>
        </w:rPr>
      </w:pPr>
    </w:p>
    <w:p w14:paraId="2238F6D0" w14:textId="77777777" w:rsidR="00E97EE6" w:rsidRPr="002D774B" w:rsidRDefault="00E97EE6" w:rsidP="00E97EE6">
      <w:pPr>
        <w:pStyle w:val="Heading4"/>
        <w:rPr>
          <w:lang w:val="es-ES_tradnl"/>
        </w:rPr>
      </w:pPr>
      <w:bookmarkStart w:id="20" w:name="_Toc117802104"/>
      <w:r w:rsidRPr="002D774B">
        <w:rPr>
          <w:lang w:val="es-ES_tradnl"/>
        </w:rPr>
        <w:t>Orientaciones para el futuro</w:t>
      </w:r>
      <w:bookmarkEnd w:id="20"/>
    </w:p>
    <w:p w14:paraId="7E614A26" w14:textId="77777777" w:rsidR="00E97EE6" w:rsidRPr="002D774B" w:rsidRDefault="00E97EE6" w:rsidP="00E97EE6">
      <w:pPr>
        <w:tabs>
          <w:tab w:val="left" w:pos="567"/>
        </w:tabs>
        <w:rPr>
          <w:color w:val="000000" w:themeColor="text1"/>
          <w:lang w:val="es-ES_tradnl"/>
        </w:rPr>
      </w:pPr>
    </w:p>
    <w:p w14:paraId="756683AB" w14:textId="77777777" w:rsidR="00E97EE6" w:rsidRPr="002D774B" w:rsidRDefault="00E97EE6" w:rsidP="00E97EE6">
      <w:pPr>
        <w:pStyle w:val="Heading5"/>
        <w:rPr>
          <w:lang w:val="es-ES_tradnl"/>
        </w:rPr>
      </w:pPr>
      <w:bookmarkStart w:id="21" w:name="_Toc107239345"/>
      <w:bookmarkStart w:id="22" w:name="_Toc117802105"/>
      <w:r w:rsidRPr="002D774B">
        <w:rPr>
          <w:lang w:val="es-ES_tradnl"/>
        </w:rPr>
        <w:t>2.1</w:t>
      </w:r>
      <w:r w:rsidRPr="002D774B">
        <w:rPr>
          <w:lang w:val="es-ES_tradnl"/>
        </w:rPr>
        <w:tab/>
      </w:r>
      <w:bookmarkEnd w:id="21"/>
      <w:r w:rsidRPr="002D774B">
        <w:rPr>
          <w:lang w:val="es-ES_tradnl"/>
        </w:rPr>
        <w:t>Sensibilización sobre la función que cumple el sistema de la UPOV</w:t>
      </w:r>
      <w:bookmarkEnd w:id="22"/>
    </w:p>
    <w:p w14:paraId="78D63EAA" w14:textId="77777777" w:rsidR="00E97EE6" w:rsidRPr="002D774B" w:rsidRDefault="00E97EE6" w:rsidP="00E97EE6">
      <w:pPr>
        <w:pStyle w:val="Heading5"/>
        <w:rPr>
          <w:lang w:val="es-ES_tradnl"/>
        </w:rPr>
      </w:pPr>
    </w:p>
    <w:p w14:paraId="4E2EF03A" w14:textId="77777777" w:rsidR="00E97EE6" w:rsidRPr="002D774B" w:rsidRDefault="00E97EE6" w:rsidP="00E97EE6">
      <w:pPr>
        <w:rPr>
          <w:lang w:val="es-ES_tradnl"/>
        </w:rPr>
      </w:pPr>
      <w:r w:rsidRPr="002D774B">
        <w:rPr>
          <w:lang w:val="es-ES_tradnl"/>
        </w:rPr>
        <w:fldChar w:fldCharType="begin"/>
      </w:r>
      <w:r w:rsidRPr="002D774B">
        <w:rPr>
          <w:lang w:val="es-ES_tradnl"/>
        </w:rPr>
        <w:instrText xml:space="preserve"> AUTONUM  </w:instrText>
      </w:r>
      <w:r w:rsidRPr="002D774B">
        <w:rPr>
          <w:lang w:val="es-ES_tradnl"/>
        </w:rPr>
        <w:fldChar w:fldCharType="end"/>
      </w:r>
      <w:r w:rsidRPr="002D774B">
        <w:rPr>
          <w:lang w:val="es-ES_tradnl"/>
        </w:rPr>
        <w:tab/>
        <w:t>La atención se centrará en el desarrollo de nueva información relativa a las ventajas que ofrece la protección de las variedades vegetales y la pertenencia a la UPOV. La Oficina de la Unión colaborará con los miembros de la Unión para desarrollar ejemplos ilustrativos, estudios de casos y datos que permitan comunicar los beneficios del sistema de la UPOV de formas que resulten atractivas, como por ejemplo a través de vídeos, viajes de estudio y estudios de impacto.</w:t>
      </w:r>
    </w:p>
    <w:p w14:paraId="79C2AD45" w14:textId="77777777" w:rsidR="00E97EE6" w:rsidRPr="002D774B" w:rsidRDefault="00E97EE6" w:rsidP="00E97EE6">
      <w:pPr>
        <w:rPr>
          <w:lang w:val="es-ES_tradnl"/>
        </w:rPr>
      </w:pPr>
    </w:p>
    <w:p w14:paraId="3C7E25DB" w14:textId="77777777" w:rsidR="00E97EE6" w:rsidRPr="002D774B" w:rsidRDefault="00E97EE6" w:rsidP="00E97EE6">
      <w:pPr>
        <w:rPr>
          <w:lang w:val="es-ES_tradnl"/>
        </w:rPr>
      </w:pPr>
      <w:r w:rsidRPr="002D774B">
        <w:rPr>
          <w:lang w:val="es-ES_tradnl"/>
        </w:rPr>
        <w:fldChar w:fldCharType="begin"/>
      </w:r>
      <w:r w:rsidRPr="002D774B">
        <w:rPr>
          <w:lang w:val="es-ES_tradnl"/>
        </w:rPr>
        <w:instrText xml:space="preserve"> AUTONUM  </w:instrText>
      </w:r>
      <w:r w:rsidRPr="002D774B">
        <w:rPr>
          <w:lang w:val="es-ES_tradnl"/>
        </w:rPr>
        <w:fldChar w:fldCharType="end"/>
      </w:r>
      <w:r w:rsidRPr="002D774B">
        <w:rPr>
          <w:lang w:val="es-ES_tradnl"/>
        </w:rPr>
        <w:tab/>
        <w:t xml:space="preserve">La labor relacionada con las preguntas frecuentes y la infografía seguirá desempeñando un papel importante en la comunicación de los aspectos fundamentales del sistema de la UPOV y en la lucha contra la información errónea. La UPOV participará activamente en las reuniones y eventos de las organizaciones pertinentes y la Oficina de la Unión tratará de colaborar estrechamente con las secretarías de otras organizaciones para aumentar el conocimiento y la comprensión de la misión de la UPOV. </w:t>
      </w:r>
    </w:p>
    <w:p w14:paraId="4E7F0AB7" w14:textId="77777777" w:rsidR="00E97EE6" w:rsidRPr="002D774B" w:rsidRDefault="00E97EE6" w:rsidP="00E97EE6">
      <w:pPr>
        <w:rPr>
          <w:lang w:val="es-ES_tradnl"/>
        </w:rPr>
      </w:pPr>
    </w:p>
    <w:p w14:paraId="7ACAE53F" w14:textId="77777777" w:rsidR="00E97EE6" w:rsidRPr="002D774B" w:rsidRDefault="00E97EE6" w:rsidP="00E97EE6">
      <w:pPr>
        <w:rPr>
          <w:color w:val="000000" w:themeColor="text1"/>
          <w:lang w:val="es-ES_tradnl"/>
        </w:rPr>
      </w:pPr>
      <w:r w:rsidRPr="002D774B">
        <w:rPr>
          <w:lang w:val="es-ES_tradnl"/>
        </w:rPr>
        <w:fldChar w:fldCharType="begin"/>
      </w:r>
      <w:r w:rsidRPr="002D774B">
        <w:rPr>
          <w:lang w:val="es-ES_tradnl"/>
        </w:rPr>
        <w:instrText xml:space="preserve"> AUTONUM  </w:instrText>
      </w:r>
      <w:r w:rsidRPr="002D774B">
        <w:rPr>
          <w:lang w:val="es-ES_tradnl"/>
        </w:rPr>
        <w:fldChar w:fldCharType="end"/>
      </w:r>
      <w:r w:rsidRPr="002D774B">
        <w:rPr>
          <w:lang w:val="es-ES_tradnl"/>
        </w:rPr>
        <w:tab/>
        <w:t>Los eventos y actividades tradicionales, como seminarios y talleres, seguirán desempeñando un papel fundamental en la divulgación. Sin embargo, se hará mayor hincapié en las actividades virtuales para ampliar el alcance, lograr una mayor repercusión, rebajar los costes y reducir el impacto de las actividades de la Oficina de la Unión en el medio ambiente</w:t>
      </w:r>
      <w:r w:rsidRPr="002D774B">
        <w:rPr>
          <w:color w:val="000000" w:themeColor="text1"/>
          <w:lang w:val="es-ES_tradnl"/>
        </w:rPr>
        <w:t>.</w:t>
      </w:r>
    </w:p>
    <w:p w14:paraId="54C988C3" w14:textId="77777777" w:rsidR="00E97EE6" w:rsidRPr="002D774B" w:rsidRDefault="00E97EE6" w:rsidP="00E97EE6">
      <w:pPr>
        <w:rPr>
          <w:color w:val="000000" w:themeColor="text1"/>
          <w:lang w:val="es-ES_tradnl"/>
        </w:rPr>
      </w:pPr>
    </w:p>
    <w:p w14:paraId="529089D0" w14:textId="77777777" w:rsidR="00E97EE6" w:rsidRPr="002D774B" w:rsidRDefault="00E97EE6" w:rsidP="00E97EE6">
      <w:pPr>
        <w:rPr>
          <w:lang w:val="es-ES_tradnl"/>
        </w:rPr>
      </w:pPr>
      <w:r w:rsidRPr="002D774B">
        <w:rPr>
          <w:lang w:val="es-ES_tradnl"/>
        </w:rPr>
        <w:fldChar w:fldCharType="begin"/>
      </w:r>
      <w:r w:rsidRPr="002D774B">
        <w:rPr>
          <w:lang w:val="es-ES_tradnl"/>
        </w:rPr>
        <w:instrText xml:space="preserve"> AUTONUM  </w:instrText>
      </w:r>
      <w:r w:rsidRPr="002D774B">
        <w:rPr>
          <w:lang w:val="es-ES_tradnl"/>
        </w:rPr>
        <w:fldChar w:fldCharType="end"/>
      </w:r>
      <w:r w:rsidRPr="002D774B">
        <w:rPr>
          <w:lang w:val="es-ES_tradnl"/>
        </w:rPr>
        <w:tab/>
        <w:t>Los medios sociales tendrán un papel cada vez más importante en la comunicación de la información.</w:t>
      </w:r>
    </w:p>
    <w:p w14:paraId="0E03DCC3" w14:textId="77777777" w:rsidR="00E97EE6" w:rsidRPr="002D774B" w:rsidRDefault="00E97EE6" w:rsidP="00E97EE6">
      <w:pPr>
        <w:rPr>
          <w:lang w:val="es-ES_tradnl"/>
        </w:rPr>
      </w:pPr>
    </w:p>
    <w:p w14:paraId="4538E368" w14:textId="77777777" w:rsidR="00E97EE6" w:rsidRPr="002D774B" w:rsidRDefault="00E97EE6" w:rsidP="00E97EE6">
      <w:pPr>
        <w:rPr>
          <w:lang w:val="es-ES_tradnl"/>
        </w:rPr>
      </w:pPr>
      <w:r w:rsidRPr="002D774B">
        <w:rPr>
          <w:lang w:val="es-ES_tradnl"/>
        </w:rPr>
        <w:lastRenderedPageBreak/>
        <w:fldChar w:fldCharType="begin"/>
      </w:r>
      <w:r w:rsidRPr="002D774B">
        <w:rPr>
          <w:lang w:val="es-ES_tradnl"/>
        </w:rPr>
        <w:instrText xml:space="preserve"> AUTONUM  </w:instrText>
      </w:r>
      <w:r w:rsidRPr="002D774B">
        <w:rPr>
          <w:lang w:val="es-ES_tradnl"/>
        </w:rPr>
        <w:fldChar w:fldCharType="end"/>
      </w:r>
      <w:r w:rsidRPr="002D774B">
        <w:rPr>
          <w:lang w:val="es-ES_tradnl"/>
        </w:rPr>
        <w:tab/>
        <w:t>La política de traducción de la UPOV tiene por objeto aprovechar la traducción automática para aumentar la disponibilidad del material de la UPOV en diversos idiomas mediante un proceso cada vez más eficiente en función de los costos.</w:t>
      </w:r>
    </w:p>
    <w:p w14:paraId="3278D9F5" w14:textId="77777777" w:rsidR="00E97EE6" w:rsidRPr="002D774B" w:rsidRDefault="00E97EE6" w:rsidP="00E97EE6">
      <w:pPr>
        <w:pStyle w:val="Heading5"/>
        <w:rPr>
          <w:lang w:val="es-ES_tradnl"/>
        </w:rPr>
      </w:pPr>
    </w:p>
    <w:p w14:paraId="614E694A" w14:textId="77777777" w:rsidR="00E97EE6" w:rsidRPr="002D774B" w:rsidRDefault="00E97EE6" w:rsidP="00E97EE6">
      <w:pPr>
        <w:pStyle w:val="Heading5"/>
        <w:rPr>
          <w:lang w:val="es-ES_tradnl"/>
        </w:rPr>
      </w:pPr>
      <w:bookmarkStart w:id="23" w:name="_Toc107239346"/>
      <w:bookmarkStart w:id="24" w:name="_Toc117802106"/>
      <w:r w:rsidRPr="002D774B">
        <w:rPr>
          <w:lang w:val="es-ES_tradnl"/>
        </w:rPr>
        <w:t>2.2</w:t>
      </w:r>
      <w:r w:rsidRPr="002D774B">
        <w:rPr>
          <w:lang w:val="es-ES_tradnl"/>
        </w:rPr>
        <w:tab/>
      </w:r>
      <w:bookmarkEnd w:id="23"/>
      <w:r w:rsidRPr="002D774B">
        <w:rPr>
          <w:lang w:val="es-ES_tradnl"/>
        </w:rPr>
        <w:t>Orientación y asistencia sobre el Convenio de la UPOV y su aplicación</w:t>
      </w:r>
      <w:bookmarkEnd w:id="24"/>
    </w:p>
    <w:p w14:paraId="182A1B32" w14:textId="77777777" w:rsidR="00E97EE6" w:rsidRPr="002D774B" w:rsidRDefault="00E97EE6" w:rsidP="00E97EE6">
      <w:pPr>
        <w:keepNext/>
        <w:rPr>
          <w:lang w:val="es-ES_tradnl"/>
        </w:rPr>
      </w:pPr>
    </w:p>
    <w:p w14:paraId="22620271" w14:textId="77777777" w:rsidR="00E97EE6" w:rsidRPr="002D774B" w:rsidRDefault="00E97EE6" w:rsidP="00E97EE6">
      <w:pPr>
        <w:pStyle w:val="Heading6"/>
        <w:rPr>
          <w:lang w:val="es-ES_tradnl"/>
        </w:rPr>
      </w:pPr>
      <w:bookmarkStart w:id="25" w:name="_Toc117802107"/>
      <w:r w:rsidRPr="002D774B">
        <w:rPr>
          <w:lang w:val="es-ES_tradnl"/>
        </w:rPr>
        <w:t>Orientaciones y material de información</w:t>
      </w:r>
      <w:bookmarkEnd w:id="25"/>
    </w:p>
    <w:p w14:paraId="25046226" w14:textId="77777777" w:rsidR="00E97EE6" w:rsidRPr="002D774B" w:rsidRDefault="00E97EE6" w:rsidP="00E97EE6">
      <w:pPr>
        <w:rPr>
          <w:lang w:val="es-ES_tradnl"/>
        </w:rPr>
      </w:pPr>
    </w:p>
    <w:p w14:paraId="34360F04" w14:textId="77777777" w:rsidR="00E97EE6" w:rsidRPr="002D774B" w:rsidRDefault="00E97EE6" w:rsidP="00E97EE6">
      <w:pPr>
        <w:rPr>
          <w:lang w:val="es-ES_tradnl"/>
        </w:rPr>
      </w:pPr>
      <w:r w:rsidRPr="002D774B">
        <w:rPr>
          <w:lang w:val="es-ES_tradnl"/>
        </w:rPr>
        <w:fldChar w:fldCharType="begin"/>
      </w:r>
      <w:r w:rsidRPr="002D774B">
        <w:rPr>
          <w:lang w:val="es-ES_tradnl"/>
        </w:rPr>
        <w:instrText xml:space="preserve"> AUTONUM  </w:instrText>
      </w:r>
      <w:r w:rsidRPr="002D774B">
        <w:rPr>
          <w:lang w:val="es-ES_tradnl"/>
        </w:rPr>
        <w:fldChar w:fldCharType="end"/>
      </w:r>
      <w:r w:rsidRPr="002D774B">
        <w:rPr>
          <w:lang w:val="es-ES_tradnl"/>
        </w:rPr>
        <w:tab/>
        <w:t xml:space="preserve">La eficacia del sistema de la UPOV se ve reforzada por el suministro de material de orientación e información, como las notas explicativas (serie “UPOV/EXN”) y los documentos de información (serie “UPOV/INF”). La UPOV seguirá actualizando y elaborando nuevo material de orientación de conformidad con los programas de trabajo de los órganos de la UPOV correspondientes. </w:t>
      </w:r>
    </w:p>
    <w:p w14:paraId="18EAE3AC" w14:textId="77777777" w:rsidR="00E97EE6" w:rsidRPr="002D774B" w:rsidRDefault="00E97EE6" w:rsidP="00E97EE6">
      <w:pPr>
        <w:rPr>
          <w:lang w:val="es-ES_tradnl"/>
        </w:rPr>
      </w:pPr>
    </w:p>
    <w:p w14:paraId="062D0173" w14:textId="77777777" w:rsidR="00E97EE6" w:rsidRPr="002D774B" w:rsidRDefault="00E97EE6" w:rsidP="00E97EE6">
      <w:pPr>
        <w:rPr>
          <w:lang w:val="es-ES_tradnl"/>
        </w:rPr>
      </w:pPr>
      <w:r w:rsidRPr="002D774B">
        <w:rPr>
          <w:lang w:val="es-ES_tradnl"/>
        </w:rPr>
        <w:fldChar w:fldCharType="begin"/>
      </w:r>
      <w:r w:rsidRPr="002D774B">
        <w:rPr>
          <w:lang w:val="es-ES_tradnl"/>
        </w:rPr>
        <w:instrText xml:space="preserve"> AUTONUM  </w:instrText>
      </w:r>
      <w:r w:rsidRPr="002D774B">
        <w:rPr>
          <w:lang w:val="es-ES_tradnl"/>
        </w:rPr>
        <w:fldChar w:fldCharType="end"/>
      </w:r>
      <w:r w:rsidRPr="002D774B">
        <w:rPr>
          <w:lang w:val="es-ES_tradnl"/>
        </w:rPr>
        <w:tab/>
        <w:t>El material y los recursos de la Unión están disponibles en alemán, español, francés e inglés. Sin embargo, teniendo en cuenta la ampliación de la UPOV y el creciente interés que suscita la adhesión a la Unión, puede ser importante ofrecer el material y los recursos en un mayor número de idiomas. La traducción de los materiales y su puesta a disposición en distintos idiomas tiene importantes implicaciones en materia de recursos, por lo que el logro de este objetivo requerirá una serie de medidas de cooperación con los miembros de la Unión interesados. Sin embargo, los rápidos avances en la tecnología de la traducción automática ofrecen nuevas oportunidades para reducir los costos de traducción de los documentos de la UPOV a los distintos idiomas de la Organización y para generar materiales en una mayor variedad de idiomas, por lo que se abordarán de forma prioritaria.</w:t>
      </w:r>
    </w:p>
    <w:p w14:paraId="079D4297" w14:textId="77777777" w:rsidR="00E97EE6" w:rsidRPr="002D774B" w:rsidRDefault="00E97EE6" w:rsidP="00E97EE6">
      <w:pPr>
        <w:tabs>
          <w:tab w:val="left" w:pos="851"/>
        </w:tabs>
        <w:rPr>
          <w:lang w:val="es-ES_tradnl"/>
        </w:rPr>
      </w:pPr>
    </w:p>
    <w:p w14:paraId="37105BF8" w14:textId="77777777" w:rsidR="00E97EE6" w:rsidRPr="002D774B" w:rsidRDefault="00E97EE6" w:rsidP="00E97EE6">
      <w:pPr>
        <w:pStyle w:val="Heading6"/>
        <w:rPr>
          <w:lang w:val="es-ES_tradnl"/>
        </w:rPr>
      </w:pPr>
      <w:bookmarkStart w:id="26" w:name="_Toc117802108"/>
      <w:r w:rsidRPr="002D774B">
        <w:rPr>
          <w:lang w:val="es-ES_tradnl"/>
        </w:rPr>
        <w:t>Formación y asistencia</w:t>
      </w:r>
      <w:bookmarkEnd w:id="26"/>
    </w:p>
    <w:p w14:paraId="09A50D04" w14:textId="77777777" w:rsidR="00E97EE6" w:rsidRPr="002D774B" w:rsidRDefault="00E97EE6" w:rsidP="00E97EE6">
      <w:pPr>
        <w:tabs>
          <w:tab w:val="left" w:pos="851"/>
        </w:tabs>
        <w:rPr>
          <w:color w:val="000000" w:themeColor="text1"/>
          <w:lang w:val="es-ES_tradnl"/>
        </w:rPr>
      </w:pPr>
    </w:p>
    <w:p w14:paraId="1BF116B7" w14:textId="77777777" w:rsidR="00E97EE6" w:rsidRPr="002D774B" w:rsidRDefault="00E97EE6" w:rsidP="00E97EE6">
      <w:pPr>
        <w:rPr>
          <w:lang w:val="es-ES_tradnl"/>
        </w:rPr>
      </w:pPr>
      <w:r w:rsidRPr="002D774B">
        <w:rPr>
          <w:lang w:val="es-ES_tradnl"/>
        </w:rPr>
        <w:fldChar w:fldCharType="begin"/>
      </w:r>
      <w:r w:rsidRPr="002D774B">
        <w:rPr>
          <w:lang w:val="es-ES_tradnl"/>
        </w:rPr>
        <w:instrText xml:space="preserve"> AUTONUM  </w:instrText>
      </w:r>
      <w:r w:rsidRPr="002D774B">
        <w:rPr>
          <w:lang w:val="es-ES_tradnl"/>
        </w:rPr>
        <w:fldChar w:fldCharType="end"/>
      </w:r>
      <w:r w:rsidRPr="002D774B">
        <w:rPr>
          <w:lang w:val="es-ES_tradnl"/>
        </w:rPr>
        <w:tab/>
        <w:t>La Estrategia de formación y asistencia de la UPOV sustenta las actividades que lleva a cabo la Organización en este ámbito.</w:t>
      </w:r>
    </w:p>
    <w:p w14:paraId="0B01302B" w14:textId="77777777" w:rsidR="00E97EE6" w:rsidRPr="002D774B" w:rsidRDefault="00E97EE6" w:rsidP="00E97EE6">
      <w:pPr>
        <w:rPr>
          <w:lang w:val="es-ES_tradnl"/>
        </w:rPr>
      </w:pPr>
    </w:p>
    <w:p w14:paraId="47A19240" w14:textId="77777777" w:rsidR="00E97EE6" w:rsidRPr="002D774B" w:rsidRDefault="00E97EE6" w:rsidP="00E97EE6">
      <w:pPr>
        <w:rPr>
          <w:lang w:val="es-ES_tradnl"/>
        </w:rPr>
      </w:pPr>
      <w:r w:rsidRPr="002D774B">
        <w:rPr>
          <w:lang w:val="es-ES_tradnl"/>
        </w:rPr>
        <w:fldChar w:fldCharType="begin"/>
      </w:r>
      <w:r w:rsidRPr="002D774B">
        <w:rPr>
          <w:lang w:val="es-ES_tradnl"/>
        </w:rPr>
        <w:instrText xml:space="preserve"> AUTONUM  </w:instrText>
      </w:r>
      <w:r w:rsidRPr="002D774B">
        <w:rPr>
          <w:lang w:val="es-ES_tradnl"/>
        </w:rPr>
        <w:fldChar w:fldCharType="end"/>
      </w:r>
      <w:r w:rsidRPr="002D774B">
        <w:rPr>
          <w:lang w:val="es-ES_tradnl"/>
        </w:rPr>
        <w:tab/>
        <w:t>Los cursos de enseñanza a distancia, el establecimiento de prioridades en las labores de asistencia de la Oficina de la Unión, la ayuda facilitada por los miembros de la Unión y la colaboración con otros proveedores de asistencia son algunos de los medios que se emplean, teniendo en cuenta los recursos disponibles, a fin de satisfacer la demanda de asistencia en la introducción y aplicación del sistema de la UPOV. El presente pilar temático cuenta con el respaldo del presupuesto ordinario, aunque los fondos extrapresupuestarios y la ayuda en especie aportan buena parte de los recursos que se destinan a la asistencia. A fin de utilizar los recursos disponibles de la manera más eficaz posible, la Oficina de la Unión seguirá aplicando criterios de prioridad a sus actividades y procurando encontrar sinergias con los miembros de la Unión y otros colaboradores.</w:t>
      </w:r>
    </w:p>
    <w:p w14:paraId="1C7476AC" w14:textId="77777777" w:rsidR="00E97EE6" w:rsidRPr="002D774B" w:rsidRDefault="00E97EE6" w:rsidP="00E97EE6">
      <w:pPr>
        <w:rPr>
          <w:lang w:val="es-ES_tradnl"/>
        </w:rPr>
      </w:pPr>
    </w:p>
    <w:p w14:paraId="3AF95AA8" w14:textId="77777777" w:rsidR="00E97EE6" w:rsidRPr="002D774B" w:rsidRDefault="00E97EE6" w:rsidP="00E97EE6">
      <w:pPr>
        <w:rPr>
          <w:color w:val="000000" w:themeColor="text1"/>
          <w:lang w:val="es-ES_tradnl"/>
        </w:rPr>
      </w:pPr>
      <w:r w:rsidRPr="002D774B">
        <w:rPr>
          <w:color w:val="000000" w:themeColor="text1"/>
          <w:lang w:val="es-ES_tradnl"/>
        </w:rPr>
        <w:fldChar w:fldCharType="begin"/>
      </w:r>
      <w:r w:rsidRPr="002D774B">
        <w:rPr>
          <w:color w:val="000000" w:themeColor="text1"/>
          <w:lang w:val="es-ES_tradnl"/>
        </w:rPr>
        <w:instrText xml:space="preserve"> AUTONUM  </w:instrText>
      </w:r>
      <w:r w:rsidRPr="002D774B">
        <w:rPr>
          <w:color w:val="000000" w:themeColor="text1"/>
          <w:lang w:val="es-ES_tradnl"/>
        </w:rPr>
        <w:fldChar w:fldCharType="end"/>
      </w:r>
      <w:r w:rsidRPr="002D774B">
        <w:rPr>
          <w:color w:val="000000" w:themeColor="text1"/>
          <w:lang w:val="es-ES_tradnl"/>
        </w:rPr>
        <w:tab/>
        <w:t>El orden de prioridad para la prestación de asistencia por parte de la Oficina de la Unión seguirá siendo el siguiente:</w:t>
      </w:r>
    </w:p>
    <w:p w14:paraId="0B17C563" w14:textId="77777777" w:rsidR="00E97EE6" w:rsidRPr="002D774B" w:rsidRDefault="00E97EE6" w:rsidP="00E97EE6">
      <w:pPr>
        <w:keepNext/>
        <w:rPr>
          <w:color w:val="000000" w:themeColor="text1"/>
          <w:lang w:val="es-ES_tradnl"/>
        </w:rPr>
      </w:pPr>
    </w:p>
    <w:p w14:paraId="29FC1F16" w14:textId="77777777" w:rsidR="00E97EE6" w:rsidRPr="002D774B" w:rsidRDefault="00E97EE6" w:rsidP="00E97EE6">
      <w:pPr>
        <w:keepNext/>
        <w:spacing w:after="120"/>
        <w:ind w:left="567"/>
        <w:rPr>
          <w:color w:val="000000" w:themeColor="text1"/>
          <w:lang w:val="es-ES_tradnl"/>
        </w:rPr>
      </w:pPr>
      <w:r w:rsidRPr="002D774B">
        <w:rPr>
          <w:color w:val="000000" w:themeColor="text1"/>
          <w:lang w:val="es-ES_tradnl"/>
        </w:rPr>
        <w:t>i)</w:t>
      </w:r>
      <w:r w:rsidRPr="002D774B">
        <w:rPr>
          <w:color w:val="000000" w:themeColor="text1"/>
          <w:lang w:val="es-ES_tradnl"/>
        </w:rPr>
        <w:tab/>
        <w:t>asistencia a los miembros actuales de la Unión;</w:t>
      </w:r>
    </w:p>
    <w:p w14:paraId="48416AB4" w14:textId="77777777" w:rsidR="00E97EE6" w:rsidRPr="002D774B" w:rsidRDefault="00E97EE6" w:rsidP="00E97EE6">
      <w:pPr>
        <w:spacing w:after="120"/>
        <w:ind w:left="1134" w:hanging="567"/>
        <w:rPr>
          <w:color w:val="000000" w:themeColor="text1"/>
          <w:lang w:val="es-ES_tradnl"/>
        </w:rPr>
      </w:pPr>
      <w:r w:rsidRPr="002D774B">
        <w:rPr>
          <w:color w:val="000000" w:themeColor="text1"/>
          <w:lang w:val="es-ES_tradnl"/>
        </w:rPr>
        <w:t>ii)</w:t>
      </w:r>
      <w:r w:rsidRPr="002D774B">
        <w:rPr>
          <w:color w:val="000000" w:themeColor="text1"/>
          <w:lang w:val="es-ES_tradnl"/>
        </w:rPr>
        <w:tab/>
        <w:t>asistencia a los Estados y a determinadas organizaciones que no son miembros de la Unión, concretamente los gobiernos de los países en desarrollo y los países en transición a una economía de mercado, con miras a la elaboración de legislación conforme al Acta de 1991 del Convenio de la UPOV y a su adhesión al Convenio de la UPOV; y</w:t>
      </w:r>
    </w:p>
    <w:p w14:paraId="10A761D2" w14:textId="77777777" w:rsidR="00E97EE6" w:rsidRPr="002D774B" w:rsidRDefault="00E97EE6" w:rsidP="00E97EE6">
      <w:pPr>
        <w:tabs>
          <w:tab w:val="left" w:pos="567"/>
        </w:tabs>
        <w:ind w:left="1134" w:hanging="567"/>
        <w:rPr>
          <w:color w:val="000000" w:themeColor="text1"/>
          <w:lang w:val="es-ES_tradnl"/>
        </w:rPr>
      </w:pPr>
      <w:r w:rsidRPr="002D774B">
        <w:rPr>
          <w:color w:val="000000" w:themeColor="text1"/>
          <w:lang w:val="es-ES_tradnl"/>
        </w:rPr>
        <w:t>iii)</w:t>
      </w:r>
      <w:r w:rsidRPr="002D774B">
        <w:rPr>
          <w:color w:val="000000" w:themeColor="text1"/>
          <w:lang w:val="es-ES_tradnl"/>
        </w:rPr>
        <w:tab/>
        <w:t>asistencia a los Estados y a determinadas organizaciones que no son miembros de la Unión en la aplicación de la legislación que haya suscitado una decisión positiva del Consejo en relación con su adhesión al Convenio de la UPOV.</w:t>
      </w:r>
    </w:p>
    <w:p w14:paraId="00607462" w14:textId="77777777" w:rsidR="00E97EE6" w:rsidRPr="002D774B" w:rsidRDefault="00E97EE6" w:rsidP="00E97EE6">
      <w:pPr>
        <w:tabs>
          <w:tab w:val="left" w:pos="851"/>
        </w:tabs>
        <w:rPr>
          <w:color w:val="000000" w:themeColor="text1"/>
          <w:lang w:val="es-ES_tradnl"/>
        </w:rPr>
      </w:pPr>
    </w:p>
    <w:p w14:paraId="0F5D84D5" w14:textId="77777777" w:rsidR="00E97EE6" w:rsidRPr="002D774B" w:rsidRDefault="00E97EE6" w:rsidP="00E97EE6">
      <w:pPr>
        <w:rPr>
          <w:lang w:val="es-ES_tradnl"/>
        </w:rPr>
      </w:pPr>
      <w:r w:rsidRPr="002D774B">
        <w:rPr>
          <w:bCs/>
          <w:lang w:val="es-ES_tradnl"/>
        </w:rPr>
        <w:fldChar w:fldCharType="begin"/>
      </w:r>
      <w:r w:rsidRPr="002D774B">
        <w:rPr>
          <w:bCs/>
          <w:lang w:val="es-ES_tradnl"/>
        </w:rPr>
        <w:instrText xml:space="preserve"> AUTONUM  </w:instrText>
      </w:r>
      <w:r w:rsidRPr="002D774B">
        <w:rPr>
          <w:bCs/>
          <w:lang w:val="es-ES_tradnl"/>
        </w:rPr>
        <w:fldChar w:fldCharType="end"/>
      </w:r>
      <w:r w:rsidRPr="002D774B">
        <w:rPr>
          <w:bCs/>
          <w:lang w:val="es-ES_tradnl"/>
        </w:rPr>
        <w:tab/>
        <w:t>Las reuniones, seminarios, talleres, formaciones y otros eventos y actividades seguirán desempeñando un papel fundamental en las labores de asistencia. Sin embargo, se hará mayor hincapié en las actividades virtuales con el objetivo de ampliar el alcance, lograr una mayor repercusión, rebajar los costos y reducir el impacto de la labor de la Oficina de la Unión en el medio ambiente. También se espera que el sistema de protección electrónica de las obtenciones vegetales (véase la sección 3.1) complemente la labor de formación y creación de capacidad de la UPOV, prestando asistencia práctica a los miembros de la Unión en la aplicación del sistema de protección de las obtenciones vegetales</w:t>
      </w:r>
      <w:r w:rsidRPr="002D774B">
        <w:rPr>
          <w:lang w:val="es-ES_tradnl"/>
        </w:rPr>
        <w:t xml:space="preserve">. </w:t>
      </w:r>
    </w:p>
    <w:p w14:paraId="11BD9FD2" w14:textId="77777777" w:rsidR="00E97EE6" w:rsidRPr="002D774B" w:rsidRDefault="00E97EE6" w:rsidP="00E97EE6">
      <w:pPr>
        <w:rPr>
          <w:lang w:val="es-ES_tradnl"/>
        </w:rPr>
      </w:pPr>
    </w:p>
    <w:p w14:paraId="32A9053A" w14:textId="77777777" w:rsidR="00E97EE6" w:rsidRPr="002D774B" w:rsidRDefault="00E97EE6" w:rsidP="00E97EE6">
      <w:pPr>
        <w:rPr>
          <w:lang w:val="es-ES_tradnl"/>
        </w:rPr>
      </w:pPr>
      <w:r w:rsidRPr="002D774B">
        <w:rPr>
          <w:lang w:val="es-ES_tradnl"/>
        </w:rPr>
        <w:fldChar w:fldCharType="begin"/>
      </w:r>
      <w:r w:rsidRPr="002D774B">
        <w:rPr>
          <w:lang w:val="es-ES_tradnl"/>
        </w:rPr>
        <w:instrText xml:space="preserve"> AUTONUM  </w:instrText>
      </w:r>
      <w:r w:rsidRPr="002D774B">
        <w:rPr>
          <w:lang w:val="es-ES_tradnl"/>
        </w:rPr>
        <w:fldChar w:fldCharType="end"/>
      </w:r>
      <w:r w:rsidRPr="002D774B">
        <w:rPr>
          <w:lang w:val="es-ES_tradnl"/>
        </w:rPr>
        <w:tab/>
        <w:t>Con el fin de aprovechar las diversas iniciativas de formación que ofrecen la UPOV y sus miembros, la Organización creará un "Certificado Internacional de Protección de las Variedades Vegetales".</w:t>
      </w:r>
    </w:p>
    <w:p w14:paraId="193A481D" w14:textId="77777777" w:rsidR="00E97EE6" w:rsidRPr="002D774B" w:rsidRDefault="00E97EE6" w:rsidP="00E97EE6">
      <w:pPr>
        <w:tabs>
          <w:tab w:val="left" w:pos="851"/>
        </w:tabs>
        <w:rPr>
          <w:color w:val="000000" w:themeColor="text1"/>
          <w:lang w:val="es-ES_tradnl"/>
        </w:rPr>
      </w:pPr>
    </w:p>
    <w:p w14:paraId="6BED3582" w14:textId="77777777" w:rsidR="00E97EE6" w:rsidRPr="002D774B" w:rsidRDefault="00E97EE6" w:rsidP="00E97EE6">
      <w:pPr>
        <w:pStyle w:val="Heading5"/>
        <w:rPr>
          <w:lang w:val="es-ES_tradnl"/>
        </w:rPr>
      </w:pPr>
      <w:bookmarkStart w:id="27" w:name="_Toc107239349"/>
      <w:bookmarkStart w:id="28" w:name="_Toc117802109"/>
      <w:r w:rsidRPr="002D774B">
        <w:rPr>
          <w:lang w:val="es-ES_tradnl"/>
        </w:rPr>
        <w:lastRenderedPageBreak/>
        <w:t>2.3</w:t>
      </w:r>
      <w:r w:rsidRPr="002D774B">
        <w:rPr>
          <w:lang w:val="es-ES_tradnl"/>
        </w:rPr>
        <w:tab/>
      </w:r>
      <w:bookmarkEnd w:id="27"/>
      <w:r w:rsidRPr="002D774B">
        <w:rPr>
          <w:lang w:val="es-ES_tradnl"/>
        </w:rPr>
        <w:t>Mayor armonización y cooperación en los exámenes</w:t>
      </w:r>
      <w:bookmarkEnd w:id="28"/>
    </w:p>
    <w:p w14:paraId="062AA62E" w14:textId="77777777" w:rsidR="00E97EE6" w:rsidRPr="002D774B" w:rsidRDefault="00E97EE6" w:rsidP="00E97EE6">
      <w:pPr>
        <w:tabs>
          <w:tab w:val="left" w:pos="851"/>
        </w:tabs>
        <w:rPr>
          <w:color w:val="000000" w:themeColor="text1"/>
          <w:lang w:val="es-ES_tradnl"/>
        </w:rPr>
      </w:pPr>
    </w:p>
    <w:p w14:paraId="2D35E032" w14:textId="77777777" w:rsidR="00E97EE6" w:rsidRPr="002D774B" w:rsidRDefault="00E97EE6" w:rsidP="00E97EE6">
      <w:pPr>
        <w:tabs>
          <w:tab w:val="left" w:pos="851"/>
        </w:tabs>
        <w:rPr>
          <w:bCs/>
          <w:color w:val="000000" w:themeColor="text1"/>
          <w:szCs w:val="24"/>
          <w:lang w:val="es-ES_tradnl"/>
        </w:rPr>
      </w:pPr>
      <w:r w:rsidRPr="002D774B">
        <w:rPr>
          <w:bCs/>
          <w:color w:val="000000" w:themeColor="text1"/>
          <w:szCs w:val="24"/>
          <w:lang w:val="es-ES_tradnl"/>
        </w:rPr>
        <w:fldChar w:fldCharType="begin"/>
      </w:r>
      <w:r w:rsidRPr="002D774B">
        <w:rPr>
          <w:bCs/>
          <w:color w:val="000000" w:themeColor="text1"/>
          <w:szCs w:val="24"/>
          <w:lang w:val="es-ES_tradnl"/>
        </w:rPr>
        <w:instrText xml:space="preserve"> AUTONUM  </w:instrText>
      </w:r>
      <w:r w:rsidRPr="002D774B">
        <w:rPr>
          <w:bCs/>
          <w:color w:val="000000" w:themeColor="text1"/>
          <w:szCs w:val="24"/>
          <w:lang w:val="es-ES_tradnl"/>
        </w:rPr>
        <w:fldChar w:fldCharType="end"/>
      </w:r>
      <w:r w:rsidRPr="002D774B">
        <w:rPr>
          <w:bCs/>
          <w:color w:val="000000" w:themeColor="text1"/>
          <w:szCs w:val="24"/>
          <w:lang w:val="es-ES_tradnl"/>
        </w:rPr>
        <w:tab/>
        <w:t>La cooperación entre los miembros de la Unión es una característica fundamental del sistema de la UPOV y constituye la base de su eficiencia, que se traduce en una disponibilidad más rápida de nuevas variedades para los obtentores y a un menor costo. Con el fin de responder a los retos a los que se enfrenta la agricultura, especialmente en relación con el cambio climático y la seguridad alimentaria, es necesario priorizar e impulsar de forma urgente un aumento de la cooperación que permita incrementar la disponibilidad de nuevas variedades vegetales. En este sentido, los órganos de la UPOV seguirán trabajando para determinar las medidas e instrumentos que pueden facilitar la cooperación de forma voluntaria.</w:t>
      </w:r>
    </w:p>
    <w:p w14:paraId="06E69B76" w14:textId="77777777" w:rsidR="00E97EE6" w:rsidRPr="002D774B" w:rsidRDefault="00E97EE6" w:rsidP="00E97EE6">
      <w:pPr>
        <w:tabs>
          <w:tab w:val="left" w:pos="851"/>
        </w:tabs>
        <w:rPr>
          <w:bCs/>
          <w:color w:val="000000" w:themeColor="text1"/>
          <w:szCs w:val="24"/>
          <w:lang w:val="es-ES_tradnl"/>
        </w:rPr>
      </w:pPr>
    </w:p>
    <w:p w14:paraId="57E6A14F" w14:textId="77777777" w:rsidR="00E97EE6" w:rsidRPr="002D774B" w:rsidRDefault="00E97EE6" w:rsidP="00E97EE6">
      <w:pPr>
        <w:pStyle w:val="Heading6"/>
        <w:rPr>
          <w:lang w:val="es-ES_tradnl"/>
        </w:rPr>
      </w:pPr>
      <w:bookmarkStart w:id="29" w:name="_Toc107239350"/>
      <w:bookmarkStart w:id="30" w:name="_Toc117802110"/>
      <w:r w:rsidRPr="002D774B">
        <w:rPr>
          <w:lang w:val="es-ES_tradnl"/>
        </w:rPr>
        <w:t>Examen de la distinción, la homogeneidad y la estabilidad (“DHE”)</w:t>
      </w:r>
      <w:bookmarkEnd w:id="29"/>
      <w:bookmarkEnd w:id="30"/>
    </w:p>
    <w:p w14:paraId="45C72A51" w14:textId="77777777" w:rsidR="00E97EE6" w:rsidRPr="002D774B" w:rsidRDefault="00E97EE6" w:rsidP="00E97EE6">
      <w:pPr>
        <w:keepNext/>
        <w:tabs>
          <w:tab w:val="left" w:pos="851"/>
        </w:tabs>
        <w:rPr>
          <w:bCs/>
          <w:color w:val="000000" w:themeColor="text1"/>
          <w:szCs w:val="24"/>
          <w:lang w:val="es-ES_tradnl"/>
        </w:rPr>
      </w:pPr>
    </w:p>
    <w:p w14:paraId="04AF3E5F" w14:textId="77777777" w:rsidR="00E97EE6" w:rsidRPr="002D774B" w:rsidRDefault="00E97EE6" w:rsidP="00E97EE6">
      <w:pPr>
        <w:rPr>
          <w:lang w:val="es-ES_tradnl"/>
        </w:rPr>
      </w:pPr>
      <w:r w:rsidRPr="002D774B">
        <w:rPr>
          <w:lang w:val="es-ES_tradnl"/>
        </w:rPr>
        <w:fldChar w:fldCharType="begin"/>
      </w:r>
      <w:r w:rsidRPr="002D774B">
        <w:rPr>
          <w:lang w:val="es-ES_tradnl"/>
        </w:rPr>
        <w:instrText xml:space="preserve"> AUTONUM  </w:instrText>
      </w:r>
      <w:r w:rsidRPr="002D774B">
        <w:rPr>
          <w:lang w:val="es-ES_tradnl"/>
        </w:rPr>
        <w:fldChar w:fldCharType="end"/>
      </w:r>
      <w:r w:rsidRPr="002D774B">
        <w:rPr>
          <w:lang w:val="es-ES_tradnl"/>
        </w:rPr>
        <w:tab/>
        <w:t>La "Introducción general al examen de la distinción, la homogeneidad y la estabilidad y a la elaboración de descripciones armonizadas de las obtenciones vegetales" (Introducción General), con sus documentos TGP conexos y las directrices de examen, sientan las bases de la armonización y la cooperación en el examen de la distinción, la homogeneidad y la estabilidad ("DHE"). Se seguirá trabajando en la revisión y actualización de la Introducción General, los documentos TGP conexos y las directrices de examen, haciendo mayor hincapié en las medidas dirigidas a mejorar la cooperación.</w:t>
      </w:r>
    </w:p>
    <w:p w14:paraId="51F866ED" w14:textId="77777777" w:rsidR="00E97EE6" w:rsidRPr="002D774B" w:rsidRDefault="00E97EE6" w:rsidP="00E97EE6">
      <w:pPr>
        <w:rPr>
          <w:lang w:val="es-ES_tradnl"/>
        </w:rPr>
      </w:pPr>
    </w:p>
    <w:p w14:paraId="41917694" w14:textId="77777777" w:rsidR="00E97EE6" w:rsidRPr="002D774B" w:rsidRDefault="00E97EE6" w:rsidP="00E97EE6">
      <w:pPr>
        <w:rPr>
          <w:bCs/>
          <w:szCs w:val="24"/>
          <w:lang w:val="es-ES_tradnl"/>
        </w:rPr>
      </w:pPr>
      <w:r w:rsidRPr="002D774B">
        <w:rPr>
          <w:bCs/>
          <w:szCs w:val="24"/>
          <w:lang w:val="es-ES_tradnl"/>
        </w:rPr>
        <w:fldChar w:fldCharType="begin"/>
      </w:r>
      <w:r w:rsidRPr="002D774B">
        <w:rPr>
          <w:bCs/>
          <w:szCs w:val="24"/>
          <w:lang w:val="es-ES_tradnl"/>
        </w:rPr>
        <w:instrText xml:space="preserve"> AUTONUM  </w:instrText>
      </w:r>
      <w:r w:rsidRPr="002D774B">
        <w:rPr>
          <w:bCs/>
          <w:szCs w:val="24"/>
          <w:lang w:val="es-ES_tradnl"/>
        </w:rPr>
        <w:fldChar w:fldCharType="end"/>
      </w:r>
      <w:r w:rsidRPr="002D774B">
        <w:rPr>
          <w:bCs/>
          <w:szCs w:val="24"/>
          <w:lang w:val="es-ES_tradnl"/>
        </w:rPr>
        <w:tab/>
        <w:t>El Comité Técnico ha identificado una serie de cuestiones técnicas, administrativas, normativas y jurídicas que pueden convertirse en obstáculos para una mayor cooperación en el examen DHE. Un objetivo clave a medio plazo será abordar estos posibles obstáculos para aumentar la cooperación y, con ello, la eficacia del examen DHE.</w:t>
      </w:r>
    </w:p>
    <w:p w14:paraId="047ED580" w14:textId="77777777" w:rsidR="00E97EE6" w:rsidRPr="002D774B" w:rsidRDefault="00E97EE6" w:rsidP="00E97EE6">
      <w:pPr>
        <w:rPr>
          <w:bCs/>
          <w:szCs w:val="24"/>
          <w:lang w:val="es-ES_tradnl"/>
        </w:rPr>
      </w:pPr>
    </w:p>
    <w:p w14:paraId="10D138CA" w14:textId="77777777" w:rsidR="00E97EE6" w:rsidRPr="002D774B" w:rsidRDefault="00E97EE6" w:rsidP="00E97EE6">
      <w:pPr>
        <w:pStyle w:val="Heading6"/>
        <w:rPr>
          <w:lang w:val="es-ES_tradnl"/>
        </w:rPr>
      </w:pPr>
      <w:bookmarkStart w:id="31" w:name="_Toc117802111"/>
      <w:r w:rsidRPr="002D774B">
        <w:rPr>
          <w:lang w:val="es-ES_tradnl"/>
        </w:rPr>
        <w:t>Examen de denominaciones de variedades</w:t>
      </w:r>
      <w:bookmarkEnd w:id="31"/>
    </w:p>
    <w:p w14:paraId="457C5415" w14:textId="77777777" w:rsidR="00E97EE6" w:rsidRPr="002D774B" w:rsidRDefault="00E97EE6" w:rsidP="00E97EE6">
      <w:pPr>
        <w:keepNext/>
        <w:rPr>
          <w:lang w:val="es-ES_tradnl"/>
        </w:rPr>
      </w:pPr>
    </w:p>
    <w:p w14:paraId="4DB27408" w14:textId="77777777" w:rsidR="00E97EE6" w:rsidRPr="002D774B" w:rsidRDefault="00E97EE6" w:rsidP="00E97EE6">
      <w:pPr>
        <w:rPr>
          <w:lang w:val="es-ES_tradnl"/>
        </w:rPr>
      </w:pPr>
      <w:r w:rsidRPr="002D774B">
        <w:rPr>
          <w:lang w:val="es-ES_tradnl"/>
        </w:rPr>
        <w:fldChar w:fldCharType="begin"/>
      </w:r>
      <w:r w:rsidRPr="002D774B">
        <w:rPr>
          <w:lang w:val="es-ES_tradnl"/>
        </w:rPr>
        <w:instrText xml:space="preserve"> AUTONUM  </w:instrText>
      </w:r>
      <w:r w:rsidRPr="002D774B">
        <w:rPr>
          <w:lang w:val="es-ES_tradnl"/>
        </w:rPr>
        <w:fldChar w:fldCharType="end"/>
      </w:r>
      <w:r w:rsidRPr="002D774B">
        <w:rPr>
          <w:lang w:val="es-ES_tradnl"/>
        </w:rPr>
        <w:tab/>
        <w:t>El principal objetivo de las “Notas explicativas sobre las denominaciones de variedades” es asegurarse de que, en la medida de lo posible, las variedades protegidas sean designadas en todos los miembros de la Unión con la misma denominación de variedad; que las denominaciones de variedad aprobadas se establezcan como designaciones genéricas; y que se utilicen en la comercialización del material reproductivo o de propagación, incluso después de que haya expirado el derecho de obtentor. Se llevarán a cabo revisiones periódicas de las “Notas explicativas sobre las denominaciones de variedades con arreglo al Convenio de la UPOV” (documento UPOV/EXN/DEN) para garantizar que todos los miembros de la Unión puedan seguir de cerca las orientaciones de la UPOV.</w:t>
      </w:r>
    </w:p>
    <w:p w14:paraId="521A3EE8" w14:textId="77777777" w:rsidR="00E97EE6" w:rsidRPr="002D774B" w:rsidRDefault="00E97EE6" w:rsidP="00E97EE6">
      <w:pPr>
        <w:rPr>
          <w:lang w:val="es-ES_tradnl"/>
        </w:rPr>
      </w:pPr>
    </w:p>
    <w:p w14:paraId="53EC289D" w14:textId="77777777" w:rsidR="00E97EE6" w:rsidRPr="002D774B" w:rsidRDefault="00E97EE6" w:rsidP="00E97EE6">
      <w:pPr>
        <w:rPr>
          <w:lang w:val="es-ES_tradnl"/>
        </w:rPr>
      </w:pPr>
      <w:r w:rsidRPr="002D774B">
        <w:rPr>
          <w:lang w:val="es-ES_tradnl"/>
        </w:rPr>
        <w:fldChar w:fldCharType="begin"/>
      </w:r>
      <w:r w:rsidRPr="002D774B">
        <w:rPr>
          <w:lang w:val="es-ES_tradnl"/>
        </w:rPr>
        <w:instrText xml:space="preserve"> AUTONUM  </w:instrText>
      </w:r>
      <w:r w:rsidRPr="002D774B">
        <w:rPr>
          <w:lang w:val="es-ES_tradnl"/>
        </w:rPr>
        <w:fldChar w:fldCharType="end"/>
      </w:r>
      <w:r w:rsidRPr="002D774B">
        <w:rPr>
          <w:lang w:val="es-ES_tradnl"/>
        </w:rPr>
        <w:tab/>
        <w:t>Con el fin de mejorar la armonización en el examen de las denominaciones de variedades, se seguirá trabajando en la formulación de propuestas en el marco de la UPOV para crear un instrumento de búsqueda de similitudes a los fines de la denominación de variedades, de conformidad con las orientaciones que figuran en las "Notas explicativas sobre las denominaciones de variedades con arreglo al Convenio de la UPOV" (documento UPOV/EXN/DEN).</w:t>
      </w:r>
    </w:p>
    <w:p w14:paraId="25DF032D" w14:textId="77777777" w:rsidR="00E97EE6" w:rsidRPr="002D774B" w:rsidRDefault="00E97EE6" w:rsidP="00E97EE6">
      <w:pPr>
        <w:rPr>
          <w:lang w:val="es-ES_tradnl"/>
        </w:rPr>
      </w:pPr>
    </w:p>
    <w:p w14:paraId="77899DA7" w14:textId="77777777" w:rsidR="00E97EE6" w:rsidRPr="002D774B" w:rsidRDefault="00E97EE6" w:rsidP="00E97EE6">
      <w:pPr>
        <w:rPr>
          <w:lang w:val="es-ES_tradnl"/>
        </w:rPr>
      </w:pPr>
    </w:p>
    <w:p w14:paraId="7571F45E" w14:textId="77777777" w:rsidR="00E97EE6" w:rsidRPr="002D774B" w:rsidRDefault="00E97EE6" w:rsidP="00E97EE6">
      <w:pPr>
        <w:pStyle w:val="Heading3"/>
        <w:rPr>
          <w:lang w:val="es-ES_tradnl"/>
        </w:rPr>
      </w:pPr>
      <w:bookmarkStart w:id="32" w:name="_Toc107239352"/>
      <w:bookmarkStart w:id="33" w:name="_Toc117802112"/>
      <w:r w:rsidRPr="002D774B">
        <w:rPr>
          <w:lang w:val="es-ES_tradnl"/>
        </w:rPr>
        <w:t xml:space="preserve">Pilar 3: </w:t>
      </w:r>
      <w:bookmarkEnd w:id="32"/>
      <w:r w:rsidRPr="002D774B">
        <w:rPr>
          <w:lang w:val="es-ES_tradnl"/>
        </w:rPr>
        <w:t>Proporcionar servicios de alta calidad a los miembros de la UPOV y a los usuarios del sistema de la UPOV</w:t>
      </w:r>
      <w:bookmarkEnd w:id="33"/>
      <w:r w:rsidRPr="002D774B">
        <w:rPr>
          <w:lang w:val="es-ES_tradnl"/>
        </w:rPr>
        <w:t xml:space="preserve"> </w:t>
      </w:r>
    </w:p>
    <w:p w14:paraId="2FB8BF26" w14:textId="77777777" w:rsidR="00E97EE6" w:rsidRPr="002D774B" w:rsidRDefault="00E97EE6" w:rsidP="00E97EE6">
      <w:pPr>
        <w:keepNext/>
        <w:rPr>
          <w:b/>
          <w:bCs/>
          <w:sz w:val="22"/>
          <w:szCs w:val="22"/>
          <w:lang w:val="es-ES_tradnl"/>
        </w:rPr>
      </w:pPr>
    </w:p>
    <w:p w14:paraId="5D89D82A" w14:textId="77777777" w:rsidR="00E97EE6" w:rsidRPr="002D774B" w:rsidRDefault="00E97EE6" w:rsidP="00E97EE6">
      <w:pPr>
        <w:pStyle w:val="Heading4"/>
        <w:rPr>
          <w:lang w:val="es-ES_tradnl"/>
        </w:rPr>
      </w:pPr>
      <w:bookmarkStart w:id="34" w:name="_Toc117802113"/>
      <w:r w:rsidRPr="002D774B">
        <w:rPr>
          <w:lang w:val="es-ES_tradnl"/>
        </w:rPr>
        <w:t>Antecedentes</w:t>
      </w:r>
      <w:bookmarkEnd w:id="34"/>
    </w:p>
    <w:p w14:paraId="0C36A86A" w14:textId="77777777" w:rsidR="00E97EE6" w:rsidRPr="002D774B" w:rsidRDefault="00E97EE6" w:rsidP="00E97EE6">
      <w:pPr>
        <w:keepNext/>
        <w:rPr>
          <w:b/>
          <w:bCs/>
          <w:sz w:val="22"/>
          <w:szCs w:val="22"/>
          <w:lang w:val="es-ES_tradnl"/>
        </w:rPr>
      </w:pPr>
    </w:p>
    <w:p w14:paraId="27E7A63A" w14:textId="77777777" w:rsidR="00E97EE6" w:rsidRPr="002D774B" w:rsidRDefault="00E97EE6" w:rsidP="00E97EE6">
      <w:pPr>
        <w:rPr>
          <w:lang w:val="es-ES_tradnl"/>
        </w:rPr>
      </w:pPr>
      <w:r w:rsidRPr="002D774B">
        <w:rPr>
          <w:bCs/>
          <w:lang w:val="es-ES_tradnl"/>
        </w:rPr>
        <w:fldChar w:fldCharType="begin"/>
      </w:r>
      <w:r w:rsidRPr="002D774B">
        <w:rPr>
          <w:bCs/>
          <w:lang w:val="es-ES_tradnl"/>
        </w:rPr>
        <w:instrText xml:space="preserve"> AUTONUM  </w:instrText>
      </w:r>
      <w:r w:rsidRPr="002D774B">
        <w:rPr>
          <w:bCs/>
          <w:lang w:val="es-ES_tradnl"/>
        </w:rPr>
        <w:fldChar w:fldCharType="end"/>
      </w:r>
      <w:r w:rsidRPr="002D774B">
        <w:rPr>
          <w:bCs/>
          <w:lang w:val="es-ES_tradnl"/>
        </w:rPr>
        <w:tab/>
        <w:t xml:space="preserve">Dada la limitación de sus recursos, los esfuerzos de la Organización se han centrado históricamente en proporcionar orientación, información y formación más que en desarrollar herramientas prácticas para ayudar a los miembros de la Unión a aplicar el sistema de la UPOV. Este enfoque ha contribuido en gran medida a que los nuevos miembros de la Unión puedan crear y poner en funcionamiento oficinas de protección de las obtenciones vegetales. No obstante, también ha dado lugar a divergencias en la aplicación (por ejemplo, en los formularios de solicitud) que no siempre se basan en sólidos criterios normativos y que a menudo son el resultado de la falta de apoyo práctico. Por otra parte, algunos miembros de la Unión han contado con los recursos necesarios para poder desarrollar sistemas muy eficaces (por ejemplo, sistemas de presentación electrónica de solicitudes), mientras que otros no han podido hacerlo por carecer de los recursos necesarios. La reciente evolución de las tecnologías de la información (TI), acompañada por la creación del puesto de oficial de TI de la UPOV, ha permitido a la Organización desarrollar la iniciativa e-PVP (véase más adelante), que ofrece una oportunidad para prestar servicios a los miembros de la Unión de una forma que permita mejorar la eficiencia del sistema global de la UPOV y lograr una "igualación" del conjunto de la UPOV. </w:t>
      </w:r>
    </w:p>
    <w:p w14:paraId="7CE0CFFD" w14:textId="77777777" w:rsidR="00E97EE6" w:rsidRPr="002D774B" w:rsidRDefault="00E97EE6" w:rsidP="00E97EE6">
      <w:pPr>
        <w:pStyle w:val="ListParagraph"/>
        <w:ind w:left="0"/>
        <w:contextualSpacing w:val="0"/>
        <w:rPr>
          <w:lang w:val="es-ES_tradnl"/>
        </w:rPr>
      </w:pPr>
    </w:p>
    <w:p w14:paraId="579823B4" w14:textId="77777777" w:rsidR="00E97EE6" w:rsidRPr="002D774B" w:rsidRDefault="00E97EE6" w:rsidP="00E97EE6">
      <w:pPr>
        <w:pStyle w:val="Heading4"/>
        <w:rPr>
          <w:lang w:val="es-ES_tradnl"/>
        </w:rPr>
      </w:pPr>
      <w:bookmarkStart w:id="35" w:name="_Toc117802114"/>
      <w:r w:rsidRPr="002D774B">
        <w:rPr>
          <w:lang w:val="es-ES_tradnl"/>
        </w:rPr>
        <w:t>Orientaciones para el futuro</w:t>
      </w:r>
      <w:bookmarkEnd w:id="35"/>
    </w:p>
    <w:p w14:paraId="029EA7E8" w14:textId="77777777" w:rsidR="00E97EE6" w:rsidRPr="002D774B" w:rsidRDefault="00E97EE6" w:rsidP="00E97EE6">
      <w:pPr>
        <w:rPr>
          <w:b/>
          <w:bCs/>
          <w:sz w:val="22"/>
          <w:szCs w:val="22"/>
          <w:lang w:val="es-ES_tradnl"/>
        </w:rPr>
      </w:pPr>
    </w:p>
    <w:p w14:paraId="1B9C17E5" w14:textId="77777777" w:rsidR="00E97EE6" w:rsidRPr="002D774B" w:rsidRDefault="00E97EE6" w:rsidP="00E97EE6">
      <w:pPr>
        <w:pStyle w:val="Heading5"/>
        <w:rPr>
          <w:lang w:val="es-ES_tradnl"/>
        </w:rPr>
      </w:pPr>
      <w:bookmarkStart w:id="36" w:name="_Toc107239355"/>
      <w:bookmarkStart w:id="37" w:name="_Toc117802115"/>
      <w:r w:rsidRPr="002D774B">
        <w:rPr>
          <w:lang w:val="es-ES_tradnl"/>
        </w:rPr>
        <w:lastRenderedPageBreak/>
        <w:t>3.1</w:t>
      </w:r>
      <w:r w:rsidRPr="002D774B">
        <w:rPr>
          <w:lang w:val="es-ES_tradnl"/>
        </w:rPr>
        <w:tab/>
      </w:r>
      <w:bookmarkEnd w:id="36"/>
      <w:r w:rsidRPr="002D774B">
        <w:rPr>
          <w:lang w:val="es-ES_tradnl"/>
        </w:rPr>
        <w:t>Desarrollo de los servicios de e-PVP</w:t>
      </w:r>
      <w:bookmarkEnd w:id="37"/>
    </w:p>
    <w:p w14:paraId="4E4D70E7" w14:textId="77777777" w:rsidR="00E97EE6" w:rsidRPr="002D774B" w:rsidRDefault="00E97EE6" w:rsidP="00E97EE6">
      <w:pPr>
        <w:pStyle w:val="Heading5"/>
        <w:rPr>
          <w:snapToGrid w:val="0"/>
          <w:lang w:val="es-ES_tradnl"/>
        </w:rPr>
      </w:pPr>
    </w:p>
    <w:p w14:paraId="0BF12E0E" w14:textId="77777777" w:rsidR="00E97EE6" w:rsidRPr="002D774B" w:rsidRDefault="00E97EE6" w:rsidP="00E97EE6">
      <w:pPr>
        <w:pStyle w:val="ListParagraph"/>
        <w:tabs>
          <w:tab w:val="left" w:pos="851"/>
        </w:tabs>
        <w:ind w:left="0"/>
        <w:contextualSpacing w:val="0"/>
        <w:rPr>
          <w:lang w:val="es-ES_tradnl"/>
        </w:rPr>
      </w:pPr>
      <w:r w:rsidRPr="002D774B">
        <w:rPr>
          <w:lang w:val="es-ES_tradnl"/>
        </w:rPr>
        <w:fldChar w:fldCharType="begin"/>
      </w:r>
      <w:r w:rsidRPr="002D774B">
        <w:rPr>
          <w:lang w:val="es-ES_tradnl"/>
        </w:rPr>
        <w:instrText xml:space="preserve"> AUTONUM  </w:instrText>
      </w:r>
      <w:r w:rsidRPr="002D774B">
        <w:rPr>
          <w:lang w:val="es-ES_tradnl"/>
        </w:rPr>
        <w:fldChar w:fldCharType="end"/>
      </w:r>
      <w:r w:rsidRPr="002D774B">
        <w:rPr>
          <w:lang w:val="es-ES_tradnl"/>
        </w:rPr>
        <w:tab/>
        <w:t>La iniciativa e-PVP permitirá ofrecer una asistencia coherente y completa orientada a la aplicación del sistema de protección de las obtenciones vegetales de la UPOV, de modo que los miembros de la Unión puedan utilizar algunos de sus componentes o todos ellos, según se considere oportuno. La iniciativa comprende el siguiente paquete de herramientas compatibles y su desarrollo tendrá lugar según se indica:</w:t>
      </w:r>
    </w:p>
    <w:p w14:paraId="3E808449" w14:textId="77777777" w:rsidR="00E97EE6" w:rsidRPr="002D774B" w:rsidRDefault="00E97EE6" w:rsidP="00E97EE6">
      <w:pPr>
        <w:rPr>
          <w:lang w:val="es-ES_tradnl"/>
        </w:rPr>
      </w:pPr>
    </w:p>
    <w:p w14:paraId="635FBD02" w14:textId="77777777" w:rsidR="00E97EE6" w:rsidRPr="002D774B" w:rsidRDefault="00E97EE6" w:rsidP="00E97EE6">
      <w:pPr>
        <w:pStyle w:val="ListParagraph"/>
        <w:numPr>
          <w:ilvl w:val="0"/>
          <w:numId w:val="16"/>
        </w:numPr>
        <w:spacing w:after="120"/>
        <w:contextualSpacing w:val="0"/>
        <w:rPr>
          <w:lang w:val="es-ES_tradnl"/>
        </w:rPr>
      </w:pPr>
      <w:r w:rsidRPr="002D774B">
        <w:rPr>
          <w:lang w:val="es-ES_tradnl"/>
        </w:rPr>
        <w:t>Solicitud de derechos de obtentor</w:t>
      </w:r>
    </w:p>
    <w:p w14:paraId="6AE2E36B" w14:textId="77777777" w:rsidR="00E97EE6" w:rsidRPr="002D774B" w:rsidRDefault="00E97EE6" w:rsidP="00E97EE6">
      <w:pPr>
        <w:pStyle w:val="ListParagraph"/>
        <w:numPr>
          <w:ilvl w:val="1"/>
          <w:numId w:val="16"/>
        </w:numPr>
        <w:spacing w:after="40"/>
        <w:contextualSpacing w:val="0"/>
        <w:rPr>
          <w:color w:val="000000" w:themeColor="text1"/>
          <w:lang w:val="es-ES_tradnl"/>
        </w:rPr>
      </w:pPr>
      <w:r w:rsidRPr="002D774B">
        <w:rPr>
          <w:lang w:val="es-ES_tradnl"/>
        </w:rPr>
        <w:t>Ampliación de la cobertura de UPOV PRISMA a más miembros de la Unión y a más cultivos o especies</w:t>
      </w:r>
    </w:p>
    <w:p w14:paraId="1D3B7D14" w14:textId="77777777" w:rsidR="00E97EE6" w:rsidRPr="002D774B" w:rsidRDefault="00E97EE6" w:rsidP="00E97EE6">
      <w:pPr>
        <w:pStyle w:val="ListParagraph"/>
        <w:numPr>
          <w:ilvl w:val="1"/>
          <w:numId w:val="16"/>
        </w:numPr>
        <w:spacing w:after="40"/>
        <w:contextualSpacing w:val="0"/>
        <w:rPr>
          <w:color w:val="000000" w:themeColor="text1"/>
          <w:lang w:val="es-ES_tradnl"/>
        </w:rPr>
      </w:pPr>
      <w:r w:rsidRPr="002D774B">
        <w:rPr>
          <w:color w:val="000000" w:themeColor="text1"/>
          <w:lang w:val="es-ES_tradnl"/>
        </w:rPr>
        <w:t xml:space="preserve">Instrumento que proporcione información a los solicitantes de protección de obtenciones vegetales sobre la cooperación en el examen DHE entre los miembros de la Unión en un formato fácil de usar (Instrumento de preparativos para el examen DHE – DART) </w:t>
      </w:r>
    </w:p>
    <w:p w14:paraId="0E3A2FD3" w14:textId="77777777" w:rsidR="00E97EE6" w:rsidRPr="002D774B" w:rsidRDefault="00E97EE6" w:rsidP="00E97EE6">
      <w:pPr>
        <w:pStyle w:val="ListParagraph"/>
        <w:keepNext/>
        <w:numPr>
          <w:ilvl w:val="0"/>
          <w:numId w:val="16"/>
        </w:numPr>
        <w:spacing w:before="120" w:after="120"/>
        <w:contextualSpacing w:val="0"/>
        <w:rPr>
          <w:lang w:val="es-ES_tradnl"/>
        </w:rPr>
      </w:pPr>
      <w:r w:rsidRPr="002D774B">
        <w:rPr>
          <w:lang w:val="es-ES_tradnl"/>
        </w:rPr>
        <w:t>Administración de la Oficina de protección de las obtenciones vegetales</w:t>
      </w:r>
    </w:p>
    <w:p w14:paraId="69497709" w14:textId="77777777" w:rsidR="00E97EE6" w:rsidRPr="002D774B" w:rsidRDefault="00E97EE6" w:rsidP="00E97EE6">
      <w:pPr>
        <w:pStyle w:val="ListParagraph"/>
        <w:numPr>
          <w:ilvl w:val="1"/>
          <w:numId w:val="16"/>
        </w:numPr>
        <w:spacing w:after="40"/>
        <w:contextualSpacing w:val="0"/>
        <w:rPr>
          <w:lang w:val="es-ES_tradnl"/>
        </w:rPr>
      </w:pPr>
      <w:r w:rsidRPr="002D774B">
        <w:rPr>
          <w:lang w:val="es-ES_tradnl"/>
        </w:rPr>
        <w:t>Módulo de administración electrónica de la protección de las obtenciones vegetales para que los miembros de la Unión puedan gestionar y publicar las solicitudes de protección de las obtenciones vegetales, incluida la transmisión de datos a la base de datos PLUTO</w:t>
      </w:r>
    </w:p>
    <w:p w14:paraId="426875C0" w14:textId="77777777" w:rsidR="00E97EE6" w:rsidRPr="002D774B" w:rsidRDefault="00E97EE6" w:rsidP="00E97EE6">
      <w:pPr>
        <w:pStyle w:val="ListParagraph"/>
        <w:numPr>
          <w:ilvl w:val="1"/>
          <w:numId w:val="16"/>
        </w:numPr>
        <w:spacing w:after="40"/>
        <w:contextualSpacing w:val="0"/>
        <w:rPr>
          <w:lang w:val="es-ES_tradnl"/>
        </w:rPr>
      </w:pPr>
      <w:r w:rsidRPr="002D774B">
        <w:rPr>
          <w:rFonts w:cs="Arial"/>
          <w:snapToGrid w:val="0"/>
          <w:color w:val="000000"/>
          <w:lang w:val="es-ES_tradnl"/>
        </w:rPr>
        <w:t>Herramienta de la UPOV para la búsqueda de similitud a los fines de la denominación de variedades basada en el algoritmo acordado por la UPOV con arreglo a la base de datos PLUTO</w:t>
      </w:r>
      <w:r w:rsidRPr="002D774B">
        <w:rPr>
          <w:lang w:val="es-ES_tradnl"/>
        </w:rPr>
        <w:t xml:space="preserve"> </w:t>
      </w:r>
    </w:p>
    <w:p w14:paraId="3C7A2CA7" w14:textId="77777777" w:rsidR="00E97EE6" w:rsidRPr="002D774B" w:rsidRDefault="00E97EE6" w:rsidP="00E97EE6">
      <w:pPr>
        <w:pStyle w:val="ListParagraph"/>
        <w:numPr>
          <w:ilvl w:val="0"/>
          <w:numId w:val="16"/>
        </w:numPr>
        <w:spacing w:before="120" w:after="120"/>
        <w:contextualSpacing w:val="0"/>
        <w:rPr>
          <w:lang w:val="es-ES_tradnl"/>
        </w:rPr>
      </w:pPr>
      <w:r w:rsidRPr="002D774B">
        <w:rPr>
          <w:lang w:val="es-ES_tradnl"/>
        </w:rPr>
        <w:t>Facilitar la cooperación</w:t>
      </w:r>
    </w:p>
    <w:p w14:paraId="360FDDB5" w14:textId="77777777" w:rsidR="00E97EE6" w:rsidRPr="002D774B" w:rsidRDefault="00E97EE6" w:rsidP="00E97EE6">
      <w:pPr>
        <w:pStyle w:val="ListParagraph"/>
        <w:numPr>
          <w:ilvl w:val="1"/>
          <w:numId w:val="16"/>
        </w:numPr>
        <w:spacing w:after="40"/>
        <w:contextualSpacing w:val="0"/>
        <w:rPr>
          <w:lang w:val="es-ES_tradnl"/>
        </w:rPr>
      </w:pPr>
      <w:r w:rsidRPr="002D774B">
        <w:rPr>
          <w:lang w:val="es-ES_tradnl"/>
        </w:rPr>
        <w:t>Plataformas de cooperación de los miembros de la UPOV (por ejemplo, e-PVP Asia) para cooperar en la administración y el examen de las solicitudes</w:t>
      </w:r>
    </w:p>
    <w:p w14:paraId="19B936D5" w14:textId="77777777" w:rsidR="00E97EE6" w:rsidRPr="002D774B" w:rsidRDefault="00E97EE6" w:rsidP="00E97EE6">
      <w:pPr>
        <w:pStyle w:val="ListParagraph"/>
        <w:numPr>
          <w:ilvl w:val="1"/>
          <w:numId w:val="16"/>
        </w:numPr>
        <w:spacing w:after="40"/>
        <w:contextualSpacing w:val="0"/>
        <w:rPr>
          <w:color w:val="000000" w:themeColor="text1"/>
          <w:lang w:val="es-ES_tradnl"/>
        </w:rPr>
      </w:pPr>
      <w:r w:rsidRPr="002D774B">
        <w:rPr>
          <w:color w:val="000000" w:themeColor="text1"/>
          <w:lang w:val="es-ES_tradnl"/>
        </w:rPr>
        <w:t>Una plataforma para intercambiar los informes DHE existentes</w:t>
      </w:r>
    </w:p>
    <w:p w14:paraId="71794731" w14:textId="77777777" w:rsidR="00E97EE6" w:rsidRPr="002D774B" w:rsidRDefault="00E97EE6" w:rsidP="00E97EE6">
      <w:pPr>
        <w:pStyle w:val="ListParagraph"/>
        <w:numPr>
          <w:ilvl w:val="1"/>
          <w:numId w:val="16"/>
        </w:numPr>
        <w:spacing w:after="40"/>
        <w:contextualSpacing w:val="0"/>
        <w:rPr>
          <w:color w:val="000000" w:themeColor="text1"/>
          <w:lang w:val="es-ES_tradnl"/>
        </w:rPr>
      </w:pPr>
      <w:r w:rsidRPr="002D774B">
        <w:rPr>
          <w:color w:val="000000" w:themeColor="text1"/>
          <w:lang w:val="es-ES_tradnl"/>
        </w:rPr>
        <w:t xml:space="preserve">Plataforma para que los miembros de la UPOV pongan a disposición de otros miembros de la Unión sus procedimientos de examen DHE documentados y la información sobre sus sistemas de gestión de calidad </w:t>
      </w:r>
    </w:p>
    <w:p w14:paraId="54AD1D62" w14:textId="77777777" w:rsidR="00E97EE6" w:rsidRPr="002D774B" w:rsidRDefault="00E97EE6" w:rsidP="00E97EE6">
      <w:pPr>
        <w:pStyle w:val="ListParagraph"/>
        <w:numPr>
          <w:ilvl w:val="1"/>
          <w:numId w:val="16"/>
        </w:numPr>
        <w:spacing w:after="40"/>
        <w:contextualSpacing w:val="0"/>
        <w:rPr>
          <w:lang w:val="es-ES_tradnl"/>
        </w:rPr>
      </w:pPr>
      <w:r w:rsidRPr="002D774B">
        <w:rPr>
          <w:lang w:val="es-ES_tradnl"/>
        </w:rPr>
        <w:t xml:space="preserve">Módulo para que los miembros de la UPOV utilicen la plantilla web de documentos TG y la base de datos de caracteres para elaborar las directrices de examen propias de cada autoridad en su idioma </w:t>
      </w:r>
    </w:p>
    <w:p w14:paraId="104D18BD" w14:textId="77777777" w:rsidR="00E97EE6" w:rsidRPr="002D774B" w:rsidRDefault="00E97EE6" w:rsidP="00E97EE6">
      <w:pPr>
        <w:pStyle w:val="ListParagraph"/>
        <w:numPr>
          <w:ilvl w:val="1"/>
          <w:numId w:val="16"/>
        </w:numPr>
        <w:spacing w:after="40"/>
        <w:contextualSpacing w:val="0"/>
        <w:rPr>
          <w:lang w:val="es-ES_tradnl"/>
        </w:rPr>
      </w:pPr>
      <w:r w:rsidRPr="002D774B">
        <w:rPr>
          <w:lang w:val="es-ES_tradnl"/>
        </w:rPr>
        <w:t>Plataforma o portal para las bases de datos de los miembros de la UPOV que contengan información descriptiva sobre las variedades (por ejemplo, la base de datos PLUTO)</w:t>
      </w:r>
    </w:p>
    <w:p w14:paraId="78BABFDB" w14:textId="77777777" w:rsidR="00E97EE6" w:rsidRPr="002D774B" w:rsidRDefault="00E97EE6" w:rsidP="00E97EE6">
      <w:pPr>
        <w:rPr>
          <w:lang w:val="es-ES_tradnl"/>
        </w:rPr>
      </w:pPr>
    </w:p>
    <w:p w14:paraId="2F5F336A" w14:textId="77777777" w:rsidR="00E97EE6" w:rsidRPr="002D774B" w:rsidRDefault="00E97EE6" w:rsidP="00E97EE6">
      <w:pPr>
        <w:rPr>
          <w:lang w:val="es-ES_tradnl"/>
        </w:rPr>
      </w:pPr>
      <w:r w:rsidRPr="002D774B">
        <w:rPr>
          <w:lang w:val="es-ES_tradnl"/>
        </w:rPr>
        <w:fldChar w:fldCharType="begin"/>
      </w:r>
      <w:r w:rsidRPr="002D774B">
        <w:rPr>
          <w:lang w:val="es-ES_tradnl"/>
        </w:rPr>
        <w:instrText xml:space="preserve"> AUTONUM  </w:instrText>
      </w:r>
      <w:r w:rsidRPr="002D774B">
        <w:rPr>
          <w:lang w:val="es-ES_tradnl"/>
        </w:rPr>
        <w:fldChar w:fldCharType="end"/>
      </w:r>
      <w:r w:rsidRPr="002D774B">
        <w:rPr>
          <w:lang w:val="es-ES_tradnl"/>
        </w:rPr>
        <w:tab/>
        <w:t xml:space="preserve">El siguiente gráfico ofrece una visión general de la relación entre la e-PVP y las “Funciones y estructura de una oficina de derechos de obtentor”, tal como se indica en el documento </w:t>
      </w:r>
      <w:hyperlink r:id="rId13" w:history="1">
        <w:r w:rsidRPr="002D774B">
          <w:rPr>
            <w:rStyle w:val="Hyperlink"/>
            <w:lang w:val="es-ES_tradnl"/>
          </w:rPr>
          <w:t>UPOV/INF/15</w:t>
        </w:r>
      </w:hyperlink>
      <w:r w:rsidRPr="002D774B">
        <w:rPr>
          <w:lang w:val="es-ES_tradnl"/>
        </w:rPr>
        <w:t>, “Orientación para los miembros de la UPOV”.</w:t>
      </w:r>
    </w:p>
    <w:p w14:paraId="724430E9" w14:textId="77777777" w:rsidR="00E97EE6" w:rsidRPr="002D774B" w:rsidRDefault="00E97EE6" w:rsidP="00E97EE6">
      <w:pPr>
        <w:tabs>
          <w:tab w:val="left" w:pos="851"/>
        </w:tabs>
        <w:rPr>
          <w:lang w:val="es-ES_tradnl"/>
        </w:rPr>
      </w:pPr>
    </w:p>
    <w:tbl>
      <w:tblPr>
        <w:tblStyle w:val="TableGrid"/>
        <w:tblW w:w="0" w:type="auto"/>
        <w:tblInd w:w="0" w:type="dxa"/>
        <w:tblLook w:val="04A0" w:firstRow="1" w:lastRow="0" w:firstColumn="1" w:lastColumn="0" w:noHBand="0" w:noVBand="1"/>
      </w:tblPr>
      <w:tblGrid>
        <w:gridCol w:w="9629"/>
      </w:tblGrid>
      <w:tr w:rsidR="00E97EE6" w:rsidRPr="002D774B" w14:paraId="77E361A6" w14:textId="77777777" w:rsidTr="003E1000">
        <w:tc>
          <w:tcPr>
            <w:tcW w:w="9629" w:type="dxa"/>
            <w:tcBorders>
              <w:top w:val="nil"/>
              <w:left w:val="nil"/>
              <w:bottom w:val="nil"/>
              <w:right w:val="nil"/>
            </w:tcBorders>
          </w:tcPr>
          <w:p w14:paraId="3D155ED2" w14:textId="77777777" w:rsidR="00E97EE6" w:rsidRPr="002D774B" w:rsidRDefault="00E97EE6" w:rsidP="003E1000">
            <w:pPr>
              <w:tabs>
                <w:tab w:val="left" w:pos="851"/>
              </w:tabs>
              <w:jc w:val="center"/>
              <w:rPr>
                <w:lang w:val="es-ES_tradnl"/>
              </w:rPr>
            </w:pPr>
            <w:r w:rsidRPr="002D774B">
              <w:rPr>
                <w:noProof/>
              </w:rPr>
              <w:lastRenderedPageBreak/>
              <w:drawing>
                <wp:inline distT="0" distB="0" distL="0" distR="0" wp14:anchorId="13807C2B" wp14:editId="43283538">
                  <wp:extent cx="5778000" cy="3592800"/>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78000" cy="3592800"/>
                          </a:xfrm>
                          <a:prstGeom prst="rect">
                            <a:avLst/>
                          </a:prstGeom>
                          <a:noFill/>
                        </pic:spPr>
                      </pic:pic>
                    </a:graphicData>
                  </a:graphic>
                </wp:inline>
              </w:drawing>
            </w:r>
          </w:p>
        </w:tc>
      </w:tr>
    </w:tbl>
    <w:p w14:paraId="69260275" w14:textId="77777777" w:rsidR="00E97EE6" w:rsidRPr="002D774B" w:rsidRDefault="00E97EE6" w:rsidP="00E97EE6">
      <w:pPr>
        <w:tabs>
          <w:tab w:val="left" w:pos="851"/>
        </w:tabs>
        <w:rPr>
          <w:lang w:val="es-ES_tradnl"/>
        </w:rPr>
      </w:pPr>
    </w:p>
    <w:p w14:paraId="723924BB" w14:textId="77777777" w:rsidR="00E97EE6" w:rsidRPr="002D774B" w:rsidRDefault="00E97EE6" w:rsidP="00E97EE6">
      <w:pPr>
        <w:pStyle w:val="Heading3"/>
        <w:rPr>
          <w:lang w:val="es-ES_tradnl"/>
        </w:rPr>
      </w:pPr>
      <w:bookmarkStart w:id="38" w:name="_Toc107239356"/>
    </w:p>
    <w:p w14:paraId="15431F29" w14:textId="77777777" w:rsidR="00E97EE6" w:rsidRPr="002D774B" w:rsidRDefault="00E97EE6" w:rsidP="00E97EE6">
      <w:pPr>
        <w:pStyle w:val="Heading3"/>
        <w:rPr>
          <w:lang w:val="es-ES_tradnl"/>
        </w:rPr>
      </w:pPr>
      <w:bookmarkStart w:id="39" w:name="_Toc117802116"/>
      <w:r w:rsidRPr="002D774B">
        <w:rPr>
          <w:lang w:val="es-ES_tradnl"/>
        </w:rPr>
        <w:t xml:space="preserve">Fundamento: </w:t>
      </w:r>
      <w:bookmarkEnd w:id="38"/>
      <w:r w:rsidRPr="002D774B">
        <w:rPr>
          <w:lang w:val="es-ES_tradnl"/>
        </w:rPr>
        <w:t>Velar por que nuestro personal disponga de los medios para trabajar de forma eficaz, colaborativa e innovadora, y proporcionarle los recursos, la formación y el entorno adecuados para ese fin</w:t>
      </w:r>
      <w:bookmarkEnd w:id="39"/>
    </w:p>
    <w:p w14:paraId="4B0F19DF" w14:textId="77777777" w:rsidR="00E97EE6" w:rsidRPr="002D774B" w:rsidRDefault="00E97EE6" w:rsidP="00E97EE6">
      <w:pPr>
        <w:keepNext/>
        <w:rPr>
          <w:b/>
          <w:bCs/>
          <w:sz w:val="22"/>
          <w:szCs w:val="22"/>
          <w:lang w:val="es-ES_tradnl"/>
        </w:rPr>
      </w:pPr>
    </w:p>
    <w:p w14:paraId="1D605FC6" w14:textId="77777777" w:rsidR="00E97EE6" w:rsidRPr="002D774B" w:rsidRDefault="00E97EE6" w:rsidP="00E97EE6">
      <w:pPr>
        <w:pStyle w:val="Heading4"/>
        <w:rPr>
          <w:lang w:val="es-ES_tradnl"/>
        </w:rPr>
      </w:pPr>
      <w:bookmarkStart w:id="40" w:name="_Toc117802117"/>
      <w:r w:rsidRPr="002D774B">
        <w:rPr>
          <w:lang w:val="es-ES_tradnl"/>
        </w:rPr>
        <w:t>Antecedentes</w:t>
      </w:r>
      <w:bookmarkEnd w:id="40"/>
    </w:p>
    <w:p w14:paraId="1546E7A7" w14:textId="77777777" w:rsidR="00E97EE6" w:rsidRPr="002D774B" w:rsidRDefault="00E97EE6" w:rsidP="00E97EE6">
      <w:pPr>
        <w:pStyle w:val="Default"/>
        <w:keepNext/>
        <w:rPr>
          <w:b/>
          <w:bCs/>
          <w:sz w:val="22"/>
          <w:szCs w:val="22"/>
          <w:lang w:val="es-ES_tradnl"/>
        </w:rPr>
      </w:pPr>
    </w:p>
    <w:p w14:paraId="5C31B866" w14:textId="77777777" w:rsidR="00E97EE6" w:rsidRPr="002D774B" w:rsidRDefault="00E97EE6" w:rsidP="00E97EE6">
      <w:pPr>
        <w:pStyle w:val="Default"/>
        <w:jc w:val="both"/>
        <w:rPr>
          <w:bCs/>
          <w:sz w:val="20"/>
          <w:szCs w:val="20"/>
          <w:lang w:val="es-ES_tradnl"/>
        </w:rPr>
      </w:pPr>
      <w:r w:rsidRPr="002D774B">
        <w:rPr>
          <w:bCs/>
          <w:sz w:val="20"/>
          <w:szCs w:val="20"/>
          <w:lang w:val="es-ES_tradnl"/>
        </w:rPr>
        <w:fldChar w:fldCharType="begin"/>
      </w:r>
      <w:r w:rsidRPr="002D774B">
        <w:rPr>
          <w:bCs/>
          <w:sz w:val="20"/>
          <w:szCs w:val="20"/>
          <w:lang w:val="es-ES_tradnl"/>
        </w:rPr>
        <w:instrText xml:space="preserve"> AUTONUM  </w:instrText>
      </w:r>
      <w:r w:rsidRPr="002D774B">
        <w:rPr>
          <w:bCs/>
          <w:sz w:val="20"/>
          <w:szCs w:val="20"/>
          <w:lang w:val="es-ES_tradnl"/>
        </w:rPr>
        <w:fldChar w:fldCharType="end"/>
      </w:r>
      <w:r w:rsidRPr="002D774B">
        <w:rPr>
          <w:bCs/>
          <w:sz w:val="20"/>
          <w:szCs w:val="20"/>
          <w:lang w:val="es-ES_tradnl"/>
        </w:rPr>
        <w:tab/>
        <w:t>El éxito del plan estratégico de la UPOV depende de la solidez de sus cimientos, es decir, de las funciones de gestión y administración de la UPOV y de su cultura organizativa. Este fundamento, a su vez, tiene que evolucionar para ofrecer el mejor entorno de trabajo al personal con miras a obtener los resultados esperados.</w:t>
      </w:r>
    </w:p>
    <w:p w14:paraId="7A7C0CE0" w14:textId="77777777" w:rsidR="00E97EE6" w:rsidRPr="002D774B" w:rsidRDefault="00E97EE6" w:rsidP="00E97EE6">
      <w:pPr>
        <w:pStyle w:val="Default"/>
        <w:jc w:val="both"/>
        <w:rPr>
          <w:bCs/>
          <w:sz w:val="20"/>
          <w:szCs w:val="20"/>
          <w:lang w:val="es-ES_tradnl"/>
        </w:rPr>
      </w:pPr>
    </w:p>
    <w:p w14:paraId="0406D5D4" w14:textId="77777777" w:rsidR="00E97EE6" w:rsidRPr="002D774B" w:rsidRDefault="00E97EE6" w:rsidP="00E97EE6">
      <w:pPr>
        <w:pStyle w:val="Default"/>
        <w:jc w:val="both"/>
        <w:rPr>
          <w:bCs/>
          <w:sz w:val="20"/>
          <w:szCs w:val="20"/>
          <w:lang w:val="es-ES_tradnl"/>
        </w:rPr>
      </w:pPr>
      <w:r w:rsidRPr="002D774B">
        <w:rPr>
          <w:bCs/>
          <w:sz w:val="20"/>
          <w:szCs w:val="20"/>
          <w:lang w:val="es-ES_tradnl"/>
        </w:rPr>
        <w:fldChar w:fldCharType="begin"/>
      </w:r>
      <w:r w:rsidRPr="002D774B">
        <w:rPr>
          <w:bCs/>
          <w:sz w:val="20"/>
          <w:szCs w:val="20"/>
          <w:lang w:val="es-ES_tradnl"/>
        </w:rPr>
        <w:instrText xml:space="preserve"> AUTONUM  </w:instrText>
      </w:r>
      <w:r w:rsidRPr="002D774B">
        <w:rPr>
          <w:bCs/>
          <w:sz w:val="20"/>
          <w:szCs w:val="20"/>
          <w:lang w:val="es-ES_tradnl"/>
        </w:rPr>
        <w:fldChar w:fldCharType="end"/>
      </w:r>
      <w:r w:rsidRPr="002D774B">
        <w:rPr>
          <w:bCs/>
          <w:sz w:val="20"/>
          <w:szCs w:val="20"/>
          <w:lang w:val="es-ES_tradnl"/>
        </w:rPr>
        <w:tab/>
        <w:t>En virtud del Acuerdo OMPI/UPOV (documento UPOV/INF/8), la OMPI satisface las necesidades de la UPOV en lo relativo al espacio de oficina, la administración del personal, la administración financiera, los servicios de compra y otras cuestiones administrativas. La UPOV por su parte indemniza a la OMPI por el costo de dichos servicios de conformidad con los términos del acuerdo. En consecuencia, la gestión financiera, la gobernanza y la supervisión de la UPOV se ajustan estrechamente a los mecanismos existentes en la OMPI.</w:t>
      </w:r>
    </w:p>
    <w:p w14:paraId="1545E196" w14:textId="77777777" w:rsidR="00E97EE6" w:rsidRPr="002D774B" w:rsidRDefault="00E97EE6" w:rsidP="00E97EE6">
      <w:pPr>
        <w:pStyle w:val="Default"/>
        <w:jc w:val="both"/>
        <w:rPr>
          <w:bCs/>
          <w:sz w:val="20"/>
          <w:szCs w:val="20"/>
          <w:lang w:val="es-ES_tradnl"/>
        </w:rPr>
      </w:pPr>
    </w:p>
    <w:p w14:paraId="34EBFA7B" w14:textId="77777777" w:rsidR="00E97EE6" w:rsidRPr="002D774B" w:rsidRDefault="00E97EE6" w:rsidP="00E97EE6">
      <w:pPr>
        <w:pStyle w:val="Default"/>
        <w:jc w:val="both"/>
        <w:rPr>
          <w:bCs/>
          <w:sz w:val="20"/>
          <w:szCs w:val="20"/>
          <w:lang w:val="es-ES_tradnl"/>
        </w:rPr>
      </w:pPr>
      <w:r w:rsidRPr="002D774B">
        <w:rPr>
          <w:bCs/>
          <w:sz w:val="20"/>
          <w:szCs w:val="20"/>
          <w:lang w:val="es-ES_tradnl"/>
        </w:rPr>
        <w:fldChar w:fldCharType="begin"/>
      </w:r>
      <w:r w:rsidRPr="002D774B">
        <w:rPr>
          <w:bCs/>
          <w:sz w:val="20"/>
          <w:szCs w:val="20"/>
          <w:lang w:val="es-ES_tradnl"/>
        </w:rPr>
        <w:instrText xml:space="preserve"> AUTONUM  </w:instrText>
      </w:r>
      <w:r w:rsidRPr="002D774B">
        <w:rPr>
          <w:bCs/>
          <w:sz w:val="20"/>
          <w:szCs w:val="20"/>
          <w:lang w:val="es-ES_tradnl"/>
        </w:rPr>
        <w:fldChar w:fldCharType="end"/>
      </w:r>
      <w:r w:rsidRPr="002D774B">
        <w:rPr>
          <w:bCs/>
          <w:sz w:val="20"/>
          <w:szCs w:val="20"/>
          <w:lang w:val="es-ES_tradnl"/>
        </w:rPr>
        <w:tab/>
        <w:t>Igual que ocurrió en las demás organizaciones, la pandemia de COVID-19 dio lugar a importantes cambios en la forma de trabajar de la UPOV. La automatización de los procesos administrativos y de gestión de la OMPI permitió a la UPOV adaptarse con notable rapidez a las demandas adicionales derivadas de la pandemia. La adopción de nuevos modelos para las reuniones de los órganos de la UPOV, la prestación y ejecución de la asistencia técnica y la continuidad en la prestación de los servicios son prueba de ello.</w:t>
      </w:r>
    </w:p>
    <w:p w14:paraId="5BF502FE" w14:textId="77777777" w:rsidR="00E97EE6" w:rsidRPr="002D774B" w:rsidRDefault="00E97EE6" w:rsidP="00E97EE6">
      <w:pPr>
        <w:rPr>
          <w:lang w:val="es-ES_tradnl"/>
        </w:rPr>
      </w:pPr>
    </w:p>
    <w:p w14:paraId="6180C0F5" w14:textId="77777777" w:rsidR="00E97EE6" w:rsidRPr="002D774B" w:rsidRDefault="00E97EE6" w:rsidP="00E97EE6">
      <w:pPr>
        <w:pStyle w:val="Heading4"/>
        <w:rPr>
          <w:lang w:val="es-ES_tradnl"/>
        </w:rPr>
      </w:pPr>
      <w:bookmarkStart w:id="41" w:name="_Toc117802118"/>
      <w:r w:rsidRPr="002D774B">
        <w:rPr>
          <w:lang w:val="es-ES_tradnl"/>
        </w:rPr>
        <w:t>Orientaciones para el futuro</w:t>
      </w:r>
      <w:bookmarkEnd w:id="41"/>
    </w:p>
    <w:p w14:paraId="23776C6B" w14:textId="77777777" w:rsidR="00E97EE6" w:rsidRPr="002D774B" w:rsidRDefault="00E97EE6" w:rsidP="00E97EE6">
      <w:pPr>
        <w:keepNext/>
        <w:rPr>
          <w:lang w:val="es-ES_tradnl"/>
        </w:rPr>
      </w:pPr>
    </w:p>
    <w:p w14:paraId="3787108D" w14:textId="77777777" w:rsidR="00E97EE6" w:rsidRPr="002D774B" w:rsidRDefault="00E97EE6" w:rsidP="00E97EE6">
      <w:pPr>
        <w:pStyle w:val="Heading5"/>
        <w:rPr>
          <w:lang w:val="es-ES_tradnl"/>
        </w:rPr>
      </w:pPr>
      <w:bookmarkStart w:id="42" w:name="_Toc107239359"/>
      <w:bookmarkStart w:id="43" w:name="_Toc117802119"/>
      <w:r w:rsidRPr="002D774B">
        <w:rPr>
          <w:lang w:val="es-ES_tradnl"/>
        </w:rPr>
        <w:t>4.1</w:t>
      </w:r>
      <w:r w:rsidRPr="002D774B">
        <w:rPr>
          <w:lang w:val="es-ES_tradnl"/>
        </w:rPr>
        <w:tab/>
      </w:r>
      <w:bookmarkEnd w:id="42"/>
      <w:r w:rsidRPr="002D774B">
        <w:rPr>
          <w:lang w:val="es-ES_tradnl"/>
        </w:rPr>
        <w:t>Diversificación de los ingresos</w:t>
      </w:r>
      <w:bookmarkEnd w:id="43"/>
    </w:p>
    <w:p w14:paraId="5392B63B" w14:textId="77777777" w:rsidR="00E97EE6" w:rsidRPr="002D774B" w:rsidRDefault="00E97EE6" w:rsidP="00E97EE6">
      <w:pPr>
        <w:rPr>
          <w:lang w:val="es-ES_tradnl"/>
        </w:rPr>
      </w:pPr>
    </w:p>
    <w:p w14:paraId="3E65DA70" w14:textId="77777777" w:rsidR="00E97EE6" w:rsidRPr="002D774B" w:rsidRDefault="00E97EE6" w:rsidP="00E97EE6">
      <w:pPr>
        <w:pStyle w:val="ListParagraph"/>
        <w:ind w:left="0"/>
        <w:rPr>
          <w:lang w:val="es-ES_tradnl"/>
        </w:rPr>
      </w:pPr>
      <w:r w:rsidRPr="002D774B">
        <w:rPr>
          <w:lang w:val="es-ES_tradnl"/>
        </w:rPr>
        <w:fldChar w:fldCharType="begin"/>
      </w:r>
      <w:r w:rsidRPr="002D774B">
        <w:rPr>
          <w:lang w:val="es-ES_tradnl"/>
        </w:rPr>
        <w:instrText xml:space="preserve"> AUTONUM  </w:instrText>
      </w:r>
      <w:r w:rsidRPr="002D774B">
        <w:rPr>
          <w:lang w:val="es-ES_tradnl"/>
        </w:rPr>
        <w:fldChar w:fldCharType="end"/>
      </w:r>
      <w:r w:rsidRPr="002D774B">
        <w:rPr>
          <w:lang w:val="es-ES_tradnl"/>
        </w:rPr>
        <w:tab/>
        <w:t xml:space="preserve">En la “Evaluación de la Unión Internacional para la Protección de las Obtenciones Vegetales (UPOV)”, efectuada en 2016 por la División de Supervisión Interna (DSI) de la OMPI, se recomendaba que la UPOV considerase la posibilidad de elaborar un plan estratégico de actividades para diversificar sus fuentes de ingresos con el fin de mantener y reforzar la sostenibilidad de las actividades y servicios existentes. Las medidas adoptadas para diversificar las fuentes de ingresos de la UPOV se han centrado en la generación de ingresos a partir de UPOV PRISMA y de la base de datos PLUTO. El porcentaje de ingresos distintos de las contribuciones de los miembros de la Unión pasó del 1,3% en 2018 al 7,3% en 2021. Junto a este aumento, los ingresos procedentes de las contribuciones de los miembros de la Unión crecieron un 5,1% en el mismo período, lo que significa que los ingresos han aumentado un 11,2% entre 2018 y 2021. </w:t>
      </w:r>
    </w:p>
    <w:p w14:paraId="6479CED4" w14:textId="77777777" w:rsidR="00E97EE6" w:rsidRPr="002D774B" w:rsidRDefault="00E97EE6" w:rsidP="00E97EE6">
      <w:pPr>
        <w:pStyle w:val="ListParagraph"/>
        <w:ind w:left="0"/>
        <w:rPr>
          <w:lang w:val="es-ES_tradnl"/>
        </w:rPr>
      </w:pPr>
    </w:p>
    <w:tbl>
      <w:tblPr>
        <w:tblStyle w:val="TableGrid"/>
        <w:tblW w:w="0" w:type="auto"/>
        <w:tblInd w:w="0" w:type="dxa"/>
        <w:tblLook w:val="04A0" w:firstRow="1" w:lastRow="0" w:firstColumn="1" w:lastColumn="0" w:noHBand="0" w:noVBand="1"/>
      </w:tblPr>
      <w:tblGrid>
        <w:gridCol w:w="9639"/>
      </w:tblGrid>
      <w:tr w:rsidR="00E97EE6" w:rsidRPr="002D774B" w14:paraId="30ED31DF" w14:textId="77777777" w:rsidTr="003E1000">
        <w:tc>
          <w:tcPr>
            <w:tcW w:w="9629" w:type="dxa"/>
            <w:tcBorders>
              <w:top w:val="nil"/>
              <w:left w:val="nil"/>
              <w:bottom w:val="nil"/>
              <w:right w:val="nil"/>
            </w:tcBorders>
          </w:tcPr>
          <w:p w14:paraId="30009A8B" w14:textId="77777777" w:rsidR="00E97EE6" w:rsidRPr="002D774B" w:rsidRDefault="00E97EE6" w:rsidP="003E1000">
            <w:pPr>
              <w:pStyle w:val="Default"/>
              <w:jc w:val="center"/>
              <w:rPr>
                <w:rFonts w:cs="Times New Roman"/>
                <w:b/>
                <w:color w:val="auto"/>
                <w:sz w:val="18"/>
                <w:szCs w:val="20"/>
                <w:lang w:val="es-ES_tradnl"/>
              </w:rPr>
            </w:pPr>
            <w:r w:rsidRPr="002D774B">
              <w:rPr>
                <w:rFonts w:cs="Times New Roman"/>
                <w:b/>
                <w:color w:val="auto"/>
                <w:sz w:val="18"/>
                <w:szCs w:val="20"/>
                <w:lang w:val="es-ES_tradnl"/>
              </w:rPr>
              <w:t>Figura 1. Ingresos de la UPOV</w:t>
            </w:r>
          </w:p>
          <w:p w14:paraId="2235A62F" w14:textId="77777777" w:rsidR="00E97EE6" w:rsidRPr="002D774B" w:rsidRDefault="00E97EE6" w:rsidP="003E1000">
            <w:pPr>
              <w:pStyle w:val="Default"/>
              <w:jc w:val="center"/>
              <w:rPr>
                <w:rFonts w:cs="Times New Roman"/>
                <w:b/>
                <w:color w:val="auto"/>
                <w:sz w:val="18"/>
                <w:szCs w:val="20"/>
                <w:lang w:val="es-ES_tradnl"/>
              </w:rPr>
            </w:pPr>
          </w:p>
          <w:p w14:paraId="7F350AD3" w14:textId="77777777" w:rsidR="00E97EE6" w:rsidRPr="002D774B" w:rsidRDefault="00E97EE6" w:rsidP="003E1000">
            <w:pPr>
              <w:pStyle w:val="Default"/>
              <w:jc w:val="center"/>
              <w:rPr>
                <w:rFonts w:cs="Times New Roman"/>
                <w:b/>
                <w:color w:val="auto"/>
                <w:sz w:val="18"/>
                <w:szCs w:val="20"/>
                <w:lang w:val="es-ES_tradnl"/>
              </w:rPr>
            </w:pPr>
            <w:r w:rsidRPr="002D774B">
              <w:rPr>
                <w:rFonts w:cs="Times New Roman"/>
                <w:b/>
                <w:noProof/>
                <w:color w:val="auto"/>
                <w:sz w:val="18"/>
                <w:szCs w:val="20"/>
              </w:rPr>
              <mc:AlternateContent>
                <mc:Choice Requires="wps">
                  <w:drawing>
                    <wp:anchor distT="0" distB="0" distL="114300" distR="114300" simplePos="0" relativeHeight="251659264" behindDoc="0" locked="0" layoutInCell="1" allowOverlap="1" wp14:anchorId="788E76A3" wp14:editId="0C6A4E7E">
                      <wp:simplePos x="0" y="0"/>
                      <wp:positionH relativeFrom="column">
                        <wp:posOffset>2514797</wp:posOffset>
                      </wp:positionH>
                      <wp:positionV relativeFrom="paragraph">
                        <wp:posOffset>3644746</wp:posOffset>
                      </wp:positionV>
                      <wp:extent cx="692407" cy="172327"/>
                      <wp:effectExtent l="0" t="0" r="0" b="0"/>
                      <wp:wrapNone/>
                      <wp:docPr id="17" name="Text Box 17"/>
                      <wp:cNvGraphicFramePr/>
                      <a:graphic xmlns:a="http://schemas.openxmlformats.org/drawingml/2006/main">
                        <a:graphicData uri="http://schemas.microsoft.com/office/word/2010/wordprocessingShape">
                          <wps:wsp>
                            <wps:cNvSpPr txBox="1"/>
                            <wps:spPr>
                              <a:xfrm>
                                <a:off x="0" y="0"/>
                                <a:ext cx="692407" cy="172327"/>
                              </a:xfrm>
                              <a:prstGeom prst="rect">
                                <a:avLst/>
                              </a:prstGeom>
                              <a:solidFill>
                                <a:schemeClr val="lt1"/>
                              </a:solidFill>
                              <a:ln w="6350">
                                <a:noFill/>
                              </a:ln>
                            </wps:spPr>
                            <wps:txbx>
                              <w:txbxContent>
                                <w:p w14:paraId="167B2BF1" w14:textId="77777777" w:rsidR="003E1000" w:rsidRPr="006F4348" w:rsidRDefault="003E1000" w:rsidP="00E97EE6">
                                  <w:pPr>
                                    <w:rPr>
                                      <w:b/>
                                      <w:sz w:val="14"/>
                                      <w:szCs w:val="14"/>
                                      <w:lang w:val="es-ES"/>
                                    </w:rPr>
                                  </w:pPr>
                                  <w:r w:rsidRPr="006F4348">
                                    <w:rPr>
                                      <w:b/>
                                      <w:sz w:val="14"/>
                                      <w:szCs w:val="14"/>
                                      <w:lang w:val="es-ES"/>
                                    </w:rPr>
                                    <w:t>Contribuciones</w:t>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8E76A3" id="_x0000_t202" coordsize="21600,21600" o:spt="202" path="m,l,21600r21600,l21600,xe">
                      <v:stroke joinstyle="miter"/>
                      <v:path gradientshapeok="t" o:connecttype="rect"/>
                    </v:shapetype>
                    <v:shape id="Text Box 17" o:spid="_x0000_s1026" type="#_x0000_t202" style="position:absolute;left:0;text-align:left;margin-left:198pt;margin-top:287pt;width:54.5pt;height:1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" fillcolor="white [3201]" stroked="f" strokeweight=".5pt">
                      <v:textbox inset="0,1mm,0,0">
                        <w:txbxContent>
                          <w:p w14:paraId="167B2BF1" w14:textId="77777777" w:rsidR="003E1000" w:rsidRPr="006F4348" w:rsidRDefault="003E1000" w:rsidP="00E97EE6">
                            <w:pPr>
                              <w:rPr>
                                <w:b/>
                                <w:sz w:val="14"/>
                                <w:szCs w:val="14"/>
                                <w:lang w:val="es-ES"/>
                              </w:rPr>
                            </w:pPr>
                            <w:r w:rsidRPr="006F4348">
                              <w:rPr>
                                <w:b/>
                                <w:sz w:val="14"/>
                                <w:szCs w:val="14"/>
                                <w:lang w:val="es-ES"/>
                              </w:rPr>
                              <w:t>Contribuciones</w:t>
                            </w:r>
                          </w:p>
                        </w:txbxContent>
                      </v:textbox>
                    </v:shape>
                  </w:pict>
                </mc:Fallback>
              </mc:AlternateContent>
            </w:r>
            <w:r w:rsidRPr="002D774B">
              <w:rPr>
                <w:rFonts w:cs="Times New Roman"/>
                <w:b/>
                <w:noProof/>
                <w:color w:val="auto"/>
                <w:sz w:val="18"/>
                <w:szCs w:val="20"/>
              </w:rPr>
              <w:drawing>
                <wp:inline distT="0" distB="0" distL="0" distR="0" wp14:anchorId="6551F43D" wp14:editId="1413B868">
                  <wp:extent cx="6106795" cy="3856355"/>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06795" cy="3856355"/>
                          </a:xfrm>
                          <a:prstGeom prst="rect">
                            <a:avLst/>
                          </a:prstGeom>
                          <a:noFill/>
                          <a:ln>
                            <a:noFill/>
                          </a:ln>
                        </pic:spPr>
                      </pic:pic>
                    </a:graphicData>
                  </a:graphic>
                </wp:inline>
              </w:drawing>
            </w:r>
          </w:p>
        </w:tc>
      </w:tr>
      <w:tr w:rsidR="00E97EE6" w:rsidRPr="002D774B" w14:paraId="6C634D8F" w14:textId="77777777" w:rsidTr="003E1000">
        <w:tc>
          <w:tcPr>
            <w:tcW w:w="9629" w:type="dxa"/>
            <w:tcBorders>
              <w:top w:val="nil"/>
              <w:left w:val="nil"/>
              <w:bottom w:val="nil"/>
              <w:right w:val="nil"/>
            </w:tcBorders>
          </w:tcPr>
          <w:p w14:paraId="169EFD2C" w14:textId="77777777" w:rsidR="00E97EE6" w:rsidRPr="002D774B" w:rsidRDefault="00E97EE6" w:rsidP="003E1000">
            <w:pPr>
              <w:pStyle w:val="Default"/>
              <w:jc w:val="center"/>
              <w:rPr>
                <w:rFonts w:cs="Times New Roman"/>
                <w:color w:val="auto"/>
                <w:sz w:val="20"/>
                <w:szCs w:val="20"/>
                <w:lang w:val="es-ES_tradnl"/>
              </w:rPr>
            </w:pPr>
            <w:r w:rsidRPr="002D774B">
              <w:rPr>
                <w:rFonts w:cs="Times New Roman"/>
                <w:b/>
                <w:noProof/>
                <w:color w:val="auto"/>
                <w:sz w:val="18"/>
                <w:szCs w:val="20"/>
              </w:rPr>
              <mc:AlternateContent>
                <mc:Choice Requires="wps">
                  <w:drawing>
                    <wp:anchor distT="0" distB="0" distL="114300" distR="114300" simplePos="0" relativeHeight="251660288" behindDoc="0" locked="0" layoutInCell="1" allowOverlap="1" wp14:anchorId="53962501" wp14:editId="42166C2F">
                      <wp:simplePos x="0" y="0"/>
                      <wp:positionH relativeFrom="column">
                        <wp:posOffset>3323487</wp:posOffset>
                      </wp:positionH>
                      <wp:positionV relativeFrom="paragraph">
                        <wp:posOffset>-243322</wp:posOffset>
                      </wp:positionV>
                      <wp:extent cx="391131" cy="241039"/>
                      <wp:effectExtent l="0" t="0" r="9525" b="6985"/>
                      <wp:wrapNone/>
                      <wp:docPr id="19" name="Text Box 19"/>
                      <wp:cNvGraphicFramePr/>
                      <a:graphic xmlns:a="http://schemas.openxmlformats.org/drawingml/2006/main">
                        <a:graphicData uri="http://schemas.microsoft.com/office/word/2010/wordprocessingShape">
                          <wps:wsp>
                            <wps:cNvSpPr txBox="1"/>
                            <wps:spPr>
                              <a:xfrm>
                                <a:off x="0" y="0"/>
                                <a:ext cx="391131" cy="241039"/>
                              </a:xfrm>
                              <a:prstGeom prst="rect">
                                <a:avLst/>
                              </a:prstGeom>
                              <a:solidFill>
                                <a:schemeClr val="lt1"/>
                              </a:solidFill>
                              <a:ln w="6350">
                                <a:noFill/>
                              </a:ln>
                            </wps:spPr>
                            <wps:txbx>
                              <w:txbxContent>
                                <w:p w14:paraId="643B1A1C" w14:textId="77777777" w:rsidR="003E1000" w:rsidRPr="006F4348" w:rsidRDefault="003E1000" w:rsidP="00E97EE6">
                                  <w:pPr>
                                    <w:rPr>
                                      <w:b/>
                                      <w:sz w:val="14"/>
                                      <w:szCs w:val="14"/>
                                      <w:lang w:val="es-ES"/>
                                    </w:rPr>
                                  </w:pPr>
                                  <w:r>
                                    <w:rPr>
                                      <w:b/>
                                      <w:sz w:val="14"/>
                                      <w:szCs w:val="14"/>
                                      <w:lang w:val="es-ES"/>
                                    </w:rPr>
                                    <w:t>Otros</w:t>
                                  </w:r>
                                </w:p>
                              </w:txbxContent>
                            </wps:txbx>
                            <wps:bodyPr rot="0" spcFirstLastPara="0" vertOverflow="overflow" horzOverflow="overflow" vert="horz" wrap="square" lIns="72000" tIns="72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62501" id="Text Box 19" o:spid="_x0000_s1027" type="#_x0000_t202" style="position:absolute;left:0;text-align:left;margin-left:261.7pt;margin-top:-19.15pt;width:30.8pt;height: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" fillcolor="white [3201]" stroked="f" strokeweight=".5pt">
                      <v:textbox inset="2mm,2mm,0,0">
                        <w:txbxContent>
                          <w:p w14:paraId="643B1A1C" w14:textId="77777777" w:rsidR="003E1000" w:rsidRPr="006F4348" w:rsidRDefault="003E1000" w:rsidP="00E97EE6">
                            <w:pPr>
                              <w:rPr>
                                <w:b/>
                                <w:sz w:val="14"/>
                                <w:szCs w:val="14"/>
                                <w:lang w:val="es-ES"/>
                              </w:rPr>
                            </w:pPr>
                            <w:r>
                              <w:rPr>
                                <w:b/>
                                <w:sz w:val="14"/>
                                <w:szCs w:val="14"/>
                                <w:lang w:val="es-ES"/>
                              </w:rPr>
                              <w:t>Otros</w:t>
                            </w:r>
                          </w:p>
                        </w:txbxContent>
                      </v:textbox>
                    </v:shape>
                  </w:pict>
                </mc:Fallback>
              </mc:AlternateContent>
            </w:r>
          </w:p>
        </w:tc>
      </w:tr>
    </w:tbl>
    <w:p w14:paraId="38A35937" w14:textId="77777777" w:rsidR="00E97EE6" w:rsidRPr="002D774B" w:rsidRDefault="00E97EE6" w:rsidP="00E97EE6">
      <w:pPr>
        <w:pStyle w:val="Default"/>
        <w:rPr>
          <w:rFonts w:cs="Times New Roman"/>
          <w:color w:val="auto"/>
          <w:sz w:val="20"/>
          <w:szCs w:val="20"/>
          <w:lang w:val="es-ES_tradnl"/>
        </w:rPr>
      </w:pPr>
    </w:p>
    <w:p w14:paraId="6DA26CF8" w14:textId="77777777" w:rsidR="00E97EE6" w:rsidRPr="002D774B" w:rsidRDefault="00E97EE6" w:rsidP="00E97EE6">
      <w:pPr>
        <w:rPr>
          <w:lang w:val="es-ES_tradnl"/>
        </w:rPr>
      </w:pPr>
    </w:p>
    <w:p w14:paraId="0B3B45B5" w14:textId="77777777" w:rsidR="00E97EE6" w:rsidRPr="002D774B" w:rsidRDefault="00E97EE6" w:rsidP="00E97EE6">
      <w:pPr>
        <w:pStyle w:val="ListParagraph"/>
        <w:ind w:left="0"/>
        <w:rPr>
          <w:lang w:val="es-ES_tradnl"/>
        </w:rPr>
      </w:pPr>
      <w:r w:rsidRPr="002D774B">
        <w:rPr>
          <w:lang w:val="es-ES_tradnl"/>
        </w:rPr>
        <w:fldChar w:fldCharType="begin"/>
      </w:r>
      <w:r w:rsidRPr="002D774B">
        <w:rPr>
          <w:lang w:val="es-ES_tradnl"/>
        </w:rPr>
        <w:instrText xml:space="preserve"> AUTONUM  </w:instrText>
      </w:r>
      <w:r w:rsidRPr="002D774B">
        <w:rPr>
          <w:lang w:val="es-ES_tradnl"/>
        </w:rPr>
        <w:fldChar w:fldCharType="end"/>
      </w:r>
      <w:r w:rsidRPr="002D774B">
        <w:rPr>
          <w:lang w:val="es-ES_tradnl"/>
        </w:rPr>
        <w:tab/>
        <w:t xml:space="preserve">Aunque se adopten medidas para diversificar los ingresos, las cotizaciones de los miembros de la Unión seguirán siendo la principal fuente de ingresos en un futuro próximo. </w:t>
      </w:r>
    </w:p>
    <w:p w14:paraId="7BEDDB89" w14:textId="77777777" w:rsidR="00E97EE6" w:rsidRPr="002D774B" w:rsidRDefault="00E97EE6" w:rsidP="00E97EE6">
      <w:pPr>
        <w:rPr>
          <w:lang w:val="es-ES_tradnl"/>
        </w:rPr>
      </w:pPr>
    </w:p>
    <w:p w14:paraId="6F0C0C1B" w14:textId="77777777" w:rsidR="00E97EE6" w:rsidRPr="002D774B" w:rsidRDefault="00E97EE6" w:rsidP="00E97EE6">
      <w:pPr>
        <w:pStyle w:val="ListParagraph"/>
        <w:ind w:left="0"/>
        <w:rPr>
          <w:lang w:val="es-ES_tradnl"/>
        </w:rPr>
      </w:pPr>
      <w:r w:rsidRPr="002D774B">
        <w:rPr>
          <w:lang w:val="es-ES_tradnl"/>
        </w:rPr>
        <w:fldChar w:fldCharType="begin"/>
      </w:r>
      <w:r w:rsidRPr="002D774B">
        <w:rPr>
          <w:lang w:val="es-ES_tradnl"/>
        </w:rPr>
        <w:instrText xml:space="preserve"> AUTONUM  </w:instrText>
      </w:r>
      <w:r w:rsidRPr="002D774B">
        <w:rPr>
          <w:lang w:val="es-ES_tradnl"/>
        </w:rPr>
        <w:fldChar w:fldCharType="end"/>
      </w:r>
      <w:r w:rsidRPr="002D774B">
        <w:rPr>
          <w:lang w:val="es-ES_tradnl"/>
        </w:rPr>
        <w:tab/>
        <w:t xml:space="preserve">En el período que abarca el presente Plan Operativo Estratégico no se prevé aumentar los ingresos aumentando el valor de las unidades de contribución. Aunque los nuevos miembros de la Unión aportan unidades de contribución adicionales, suelen ser países en desarrollo que no están en condiciones de contribuir por encima del número mínimo de unidades de contribución (un quinto de una unidad de contribución), que representa actualmente 10.728 francos suizos por año, y cabe prever que terminen siendo receptores netos de asistencia en sus esfuerzos por implantar el sistema de protección de las obtenciones vegetales. </w:t>
      </w:r>
    </w:p>
    <w:p w14:paraId="3C395308" w14:textId="77777777" w:rsidR="00E97EE6" w:rsidRPr="002D774B" w:rsidRDefault="00E97EE6" w:rsidP="00E97EE6">
      <w:pPr>
        <w:rPr>
          <w:lang w:val="es-ES_tradnl"/>
        </w:rPr>
      </w:pPr>
    </w:p>
    <w:p w14:paraId="7E33310B" w14:textId="77777777" w:rsidR="00E97EE6" w:rsidRPr="002D774B" w:rsidRDefault="00E97EE6" w:rsidP="00E97EE6">
      <w:pPr>
        <w:pStyle w:val="ListParagraph"/>
        <w:ind w:left="0"/>
        <w:rPr>
          <w:lang w:val="es-ES_tradnl"/>
        </w:rPr>
      </w:pPr>
      <w:r w:rsidRPr="002D774B">
        <w:rPr>
          <w:lang w:val="es-ES_tradnl"/>
        </w:rPr>
        <w:fldChar w:fldCharType="begin"/>
      </w:r>
      <w:r w:rsidRPr="002D774B">
        <w:rPr>
          <w:lang w:val="es-ES_tradnl"/>
        </w:rPr>
        <w:instrText xml:space="preserve"> AUTONUM  </w:instrText>
      </w:r>
      <w:r w:rsidRPr="002D774B">
        <w:rPr>
          <w:lang w:val="es-ES_tradnl"/>
        </w:rPr>
        <w:fldChar w:fldCharType="end"/>
      </w:r>
      <w:r w:rsidRPr="002D774B">
        <w:rPr>
          <w:lang w:val="es-ES_tradnl"/>
        </w:rPr>
        <w:tab/>
        <w:t xml:space="preserve">Sin embargo, la situación nacional en el ámbito económico o en relación con la protección de las obtenciones vegetales, o bien la mejora de los servicios que ofrece la UPOV, pueden alentar en el futuro a algunos miembros de la Unión a aumentar el número de unidades de contribución, lo que podría proporcionar recursos adicionales para servicios adicionales. </w:t>
      </w:r>
    </w:p>
    <w:p w14:paraId="0CED7CB8" w14:textId="77777777" w:rsidR="00E97EE6" w:rsidRPr="002D774B" w:rsidRDefault="00E97EE6" w:rsidP="00E97EE6">
      <w:pPr>
        <w:pStyle w:val="ListParagraph"/>
        <w:ind w:left="0"/>
        <w:rPr>
          <w:lang w:val="es-ES_tradnl"/>
        </w:rPr>
      </w:pPr>
    </w:p>
    <w:p w14:paraId="0DD64CEE" w14:textId="77777777" w:rsidR="00E97EE6" w:rsidRPr="002D774B" w:rsidRDefault="00E97EE6" w:rsidP="00E97EE6">
      <w:pPr>
        <w:pStyle w:val="ListParagraph"/>
        <w:ind w:left="0"/>
        <w:rPr>
          <w:lang w:val="es-ES_tradnl"/>
        </w:rPr>
      </w:pPr>
      <w:r w:rsidRPr="002D774B">
        <w:rPr>
          <w:lang w:val="es-ES_tradnl"/>
        </w:rPr>
        <w:fldChar w:fldCharType="begin"/>
      </w:r>
      <w:r w:rsidRPr="002D774B">
        <w:rPr>
          <w:lang w:val="es-ES_tradnl"/>
        </w:rPr>
        <w:instrText xml:space="preserve"> AUTONUM  </w:instrText>
      </w:r>
      <w:r w:rsidRPr="002D774B">
        <w:rPr>
          <w:lang w:val="es-ES_tradnl"/>
        </w:rPr>
        <w:fldChar w:fldCharType="end"/>
      </w:r>
      <w:r w:rsidRPr="002D774B">
        <w:rPr>
          <w:lang w:val="es-ES_tradnl"/>
        </w:rPr>
        <w:tab/>
        <w:t>A medio plazo, la UPOV deberá evaluar el impacto del pasivo relativo al seguro médico pagadero tras la separación del servicio (ASHI) en los resultados financieros y las medidas que pueda adoptar para darle respuesta.</w:t>
      </w:r>
    </w:p>
    <w:p w14:paraId="7151EEC5" w14:textId="77777777" w:rsidR="00E97EE6" w:rsidRPr="002D774B" w:rsidRDefault="00E97EE6" w:rsidP="00E97EE6">
      <w:pPr>
        <w:rPr>
          <w:lang w:val="es-ES_tradnl"/>
        </w:rPr>
      </w:pPr>
    </w:p>
    <w:p w14:paraId="6F41F120" w14:textId="77777777" w:rsidR="00E97EE6" w:rsidRPr="002D774B" w:rsidRDefault="00E97EE6" w:rsidP="00E97EE6">
      <w:pPr>
        <w:pStyle w:val="ListParagraph"/>
        <w:ind w:left="0"/>
        <w:rPr>
          <w:lang w:val="es-ES_tradnl"/>
        </w:rPr>
      </w:pPr>
      <w:r w:rsidRPr="002D774B">
        <w:rPr>
          <w:lang w:val="es-ES_tradnl"/>
        </w:rPr>
        <w:fldChar w:fldCharType="begin"/>
      </w:r>
      <w:r w:rsidRPr="002D774B">
        <w:rPr>
          <w:lang w:val="es-ES_tradnl"/>
        </w:rPr>
        <w:instrText xml:space="preserve"> AUTONUM  </w:instrText>
      </w:r>
      <w:r w:rsidRPr="002D774B">
        <w:rPr>
          <w:lang w:val="es-ES_tradnl"/>
        </w:rPr>
        <w:fldChar w:fldCharType="end"/>
      </w:r>
      <w:r w:rsidRPr="002D774B">
        <w:rPr>
          <w:lang w:val="es-ES_tradnl"/>
        </w:rPr>
        <w:tab/>
        <w:t xml:space="preserve">En las siguientes secciones se consideran las fuentes adicionales de financiación para complementar los ingresos procedentes de las contribuciones de los miembros de la Unión. Los ingresos estimados procedentes de fuentes distintas de las contribuciones de los miembros de la Unión ascienden a 505.632 francos suizos, es decir, el 6,6% de los ingresos totales del Programa y presupuesto para el bienio 2022-2023. Se propone que las fuentes de ingresos distintas de las contribuciones de los miembros de la Unión tengan como objetivo alcanzar el 10% de los ingresos de la UPOV en 2027. </w:t>
      </w:r>
    </w:p>
    <w:p w14:paraId="4FCC58AD" w14:textId="77777777" w:rsidR="00E97EE6" w:rsidRPr="002D774B" w:rsidRDefault="00E97EE6" w:rsidP="00E97EE6">
      <w:pPr>
        <w:pStyle w:val="ListParagraph"/>
        <w:ind w:left="0"/>
        <w:rPr>
          <w:lang w:val="es-ES_tradnl"/>
        </w:rPr>
      </w:pPr>
    </w:p>
    <w:p w14:paraId="17423943" w14:textId="77777777" w:rsidR="002D774B" w:rsidRDefault="002D774B">
      <w:pPr>
        <w:jc w:val="left"/>
        <w:rPr>
          <w:rFonts w:eastAsiaTheme="majorEastAsia" w:cstheme="majorBidi"/>
          <w:lang w:val="es-ES_tradnl"/>
        </w:rPr>
      </w:pPr>
      <w:r>
        <w:rPr>
          <w:lang w:val="es-ES_tradnl"/>
        </w:rPr>
        <w:br w:type="page"/>
      </w:r>
    </w:p>
    <w:p w14:paraId="6D72CF05" w14:textId="19B6DCD3" w:rsidR="00E97EE6" w:rsidRPr="002D774B" w:rsidRDefault="00E97EE6" w:rsidP="00E97EE6">
      <w:pPr>
        <w:pStyle w:val="Heading6"/>
        <w:rPr>
          <w:lang w:val="es-ES_tradnl"/>
        </w:rPr>
      </w:pPr>
      <w:bookmarkStart w:id="44" w:name="_Toc117802120"/>
      <w:r w:rsidRPr="002D774B">
        <w:rPr>
          <w:lang w:val="es-ES_tradnl"/>
        </w:rPr>
        <w:lastRenderedPageBreak/>
        <w:t>Servicios de pago</w:t>
      </w:r>
      <w:bookmarkEnd w:id="44"/>
    </w:p>
    <w:p w14:paraId="687CDB6A" w14:textId="77777777" w:rsidR="00E97EE6" w:rsidRPr="002D774B" w:rsidRDefault="00E97EE6" w:rsidP="00E97EE6">
      <w:pPr>
        <w:pStyle w:val="ListParagraph"/>
        <w:ind w:left="0"/>
        <w:rPr>
          <w:lang w:val="es-ES_tradnl"/>
        </w:rPr>
      </w:pPr>
    </w:p>
    <w:p w14:paraId="18FA613B" w14:textId="77777777" w:rsidR="00E97EE6" w:rsidRPr="002D774B" w:rsidRDefault="00E97EE6" w:rsidP="00E97EE6">
      <w:pPr>
        <w:pStyle w:val="ListParagraph"/>
        <w:ind w:left="0"/>
        <w:rPr>
          <w:lang w:val="es-ES_tradnl"/>
        </w:rPr>
      </w:pPr>
      <w:r w:rsidRPr="002D774B">
        <w:rPr>
          <w:lang w:val="es-ES_tradnl"/>
        </w:rPr>
        <w:fldChar w:fldCharType="begin"/>
      </w:r>
      <w:r w:rsidRPr="002D774B">
        <w:rPr>
          <w:lang w:val="es-ES_tradnl"/>
        </w:rPr>
        <w:instrText xml:space="preserve"> AUTONUM  </w:instrText>
      </w:r>
      <w:r w:rsidRPr="002D774B">
        <w:rPr>
          <w:lang w:val="es-ES_tradnl"/>
        </w:rPr>
        <w:fldChar w:fldCharType="end"/>
      </w:r>
      <w:r w:rsidRPr="002D774B">
        <w:rPr>
          <w:lang w:val="es-ES_tradnl"/>
        </w:rPr>
        <w:tab/>
        <w:t xml:space="preserve">Un elemento básico para diversificar los ingresos es generarlos a partir de los servicios que se prestan a los usuarios del sistema de la UPOV y, al mismo tiempo, poner esos servicios a disposición de las oficinas de protección de las obtenciones vegetales sin costo alguno. Eso permitirá a la UPOV desarrollar y mantener servicios de alta calidad para los solicitantes y las oficinas de protección de las obtenciones vegetales. Otra ventaja importante es que este enfoque conectará a la UPOV con los usuarios de su sistema y mejorará la orientación de los servicios en el seno de la UPOV. </w:t>
      </w:r>
    </w:p>
    <w:p w14:paraId="5870C13D" w14:textId="77777777" w:rsidR="00E97EE6" w:rsidRPr="002D774B" w:rsidRDefault="00E97EE6" w:rsidP="00E97EE6">
      <w:pPr>
        <w:pStyle w:val="ListParagraph"/>
        <w:ind w:left="0"/>
        <w:rPr>
          <w:lang w:val="es-ES_tradnl"/>
        </w:rPr>
      </w:pPr>
    </w:p>
    <w:p w14:paraId="78B232D3" w14:textId="77777777" w:rsidR="00E97EE6" w:rsidRPr="002D774B" w:rsidRDefault="00E97EE6" w:rsidP="00E97EE6">
      <w:pPr>
        <w:pStyle w:val="ListParagraph"/>
        <w:ind w:left="0"/>
        <w:rPr>
          <w:lang w:val="es-ES_tradnl"/>
        </w:rPr>
      </w:pPr>
      <w:r w:rsidRPr="002D774B">
        <w:rPr>
          <w:lang w:val="es-ES_tradnl"/>
        </w:rPr>
        <w:fldChar w:fldCharType="begin"/>
      </w:r>
      <w:r w:rsidRPr="002D774B">
        <w:rPr>
          <w:lang w:val="es-ES_tradnl"/>
        </w:rPr>
        <w:instrText xml:space="preserve"> AUTONUM  </w:instrText>
      </w:r>
      <w:r w:rsidRPr="002D774B">
        <w:rPr>
          <w:lang w:val="es-ES_tradnl"/>
        </w:rPr>
        <w:fldChar w:fldCharType="end"/>
      </w:r>
      <w:r w:rsidRPr="002D774B">
        <w:rPr>
          <w:lang w:val="es-ES_tradnl"/>
        </w:rPr>
        <w:tab/>
        <w:t xml:space="preserve">UPOV PRISMA, la herramienta en línea para presentar solicitudes de derechos de obtentor, entró en funcionamiento en 2017 bajo el supuesto de que los costos del servicio se cubrirían, en última instancia, mediante las tasas abonadas por los solicitantes. Del mismo modo, se espera que el nuevo servicio Prémium de pago de la base de datos PLUTO represente una fuente de ingresos que haga posible el mantenimiento y la mejora de la propia base de datos, proporcionando al mismo tiempo un nuevo servicio a los miembros de la Unión sin costo alguno. Los cursos de enseñanza a distancia de la UPOV también ofrecen una categoría de pago para los estudiantes del sector privado, mientras que los funcionarios de los miembros de la Unión pueden participar sin costo alguno. </w:t>
      </w:r>
    </w:p>
    <w:p w14:paraId="6754B78B" w14:textId="77777777" w:rsidR="00E97EE6" w:rsidRPr="002D774B" w:rsidRDefault="00E97EE6" w:rsidP="00E97EE6">
      <w:pPr>
        <w:pStyle w:val="ListParagraph"/>
        <w:ind w:left="0"/>
        <w:rPr>
          <w:lang w:val="es-ES_tradnl"/>
        </w:rPr>
      </w:pPr>
    </w:p>
    <w:p w14:paraId="3812491B" w14:textId="77777777" w:rsidR="00E97EE6" w:rsidRPr="002D774B" w:rsidRDefault="00E97EE6" w:rsidP="00E97EE6">
      <w:pPr>
        <w:pStyle w:val="ListParagraph"/>
        <w:ind w:left="0"/>
        <w:rPr>
          <w:lang w:val="es-ES_tradnl"/>
        </w:rPr>
      </w:pPr>
      <w:r w:rsidRPr="002D774B">
        <w:rPr>
          <w:lang w:val="es-ES_tradnl"/>
        </w:rPr>
        <w:fldChar w:fldCharType="begin"/>
      </w:r>
      <w:r w:rsidRPr="002D774B">
        <w:rPr>
          <w:lang w:val="es-ES_tradnl"/>
        </w:rPr>
        <w:instrText xml:space="preserve"> AUTONUM  </w:instrText>
      </w:r>
      <w:r w:rsidRPr="002D774B">
        <w:rPr>
          <w:lang w:val="es-ES_tradnl"/>
        </w:rPr>
        <w:fldChar w:fldCharType="end"/>
      </w:r>
      <w:r w:rsidRPr="002D774B">
        <w:rPr>
          <w:lang w:val="es-ES_tradnl"/>
        </w:rPr>
        <w:tab/>
        <w:t xml:space="preserve">Para que este enfoque sea lo más eficaz posible, los servicios prestados por la UPOV deberán contar con el firme apoyo de los miembros de la Unión. En particular, los ingresos de UPOV PRISMA vendrán determinados por el número de miembros de la Unión que participen en el servicio para todos los cultivos o especies y permitan mantener una interfaz eficaz y fluida con sus procedimientos de solicitud. Del mismo modo, el atractivo del servicio Prémium de la base de datos PLUTO dependerá de que los miembros de la Unión proporcionen datos completos y actualizados con regularidad. </w:t>
      </w:r>
    </w:p>
    <w:p w14:paraId="308B6315" w14:textId="77777777" w:rsidR="00E97EE6" w:rsidRPr="002D774B" w:rsidRDefault="00E97EE6" w:rsidP="00E97EE6">
      <w:pPr>
        <w:pStyle w:val="ListParagraph"/>
        <w:ind w:left="0"/>
        <w:rPr>
          <w:lang w:val="es-ES_tradnl"/>
        </w:rPr>
      </w:pPr>
    </w:p>
    <w:p w14:paraId="6E64E109" w14:textId="77777777" w:rsidR="00E97EE6" w:rsidRPr="002D774B" w:rsidRDefault="00E97EE6" w:rsidP="00E97EE6">
      <w:pPr>
        <w:pStyle w:val="Heading6"/>
        <w:rPr>
          <w:lang w:val="es-ES_tradnl"/>
        </w:rPr>
      </w:pPr>
      <w:bookmarkStart w:id="45" w:name="_Toc117802121"/>
      <w:r w:rsidRPr="002D774B">
        <w:rPr>
          <w:lang w:val="es-ES_tradnl"/>
        </w:rPr>
        <w:t>Fondos extrapresupuestarios</w:t>
      </w:r>
      <w:bookmarkEnd w:id="45"/>
    </w:p>
    <w:p w14:paraId="2F1A1041" w14:textId="77777777" w:rsidR="00E97EE6" w:rsidRPr="002D774B" w:rsidRDefault="00E97EE6" w:rsidP="00E97EE6">
      <w:pPr>
        <w:rPr>
          <w:lang w:val="es-ES_tradnl"/>
        </w:rPr>
      </w:pPr>
    </w:p>
    <w:p w14:paraId="15EE5C5E" w14:textId="77777777" w:rsidR="00E97EE6" w:rsidRPr="002D774B" w:rsidRDefault="00E97EE6" w:rsidP="00E97EE6">
      <w:pPr>
        <w:pStyle w:val="ListParagraph"/>
        <w:ind w:left="0"/>
        <w:rPr>
          <w:lang w:val="es-ES_tradnl"/>
        </w:rPr>
      </w:pPr>
      <w:r w:rsidRPr="002D774B">
        <w:rPr>
          <w:lang w:val="es-ES_tradnl"/>
        </w:rPr>
        <w:fldChar w:fldCharType="begin"/>
      </w:r>
      <w:r w:rsidRPr="002D774B">
        <w:rPr>
          <w:lang w:val="es-ES_tradnl"/>
        </w:rPr>
        <w:instrText xml:space="preserve"> AUTONUM  </w:instrText>
      </w:r>
      <w:r w:rsidRPr="002D774B">
        <w:rPr>
          <w:lang w:val="es-ES_tradnl"/>
        </w:rPr>
        <w:fldChar w:fldCharType="end"/>
      </w:r>
      <w:r w:rsidRPr="002D774B">
        <w:rPr>
          <w:lang w:val="es-ES_tradnl"/>
        </w:rPr>
        <w:tab/>
        <w:t xml:space="preserve">La UPOV se ha beneficiado en gran medida de los fondos extrapresupuestarios aportados por los miembros de la Unión, por ejemplo, en forma de fondos fiduciarios. En reconocimiento de los costos que acarrea a la Oficina de la Unión la administración de dichos fondos fiduciarios, se cargan en los costos de apoyo administrativo y figuran en concepto de ingresos. </w:t>
      </w:r>
    </w:p>
    <w:p w14:paraId="745A31F3" w14:textId="77777777" w:rsidR="00E97EE6" w:rsidRPr="002D774B" w:rsidRDefault="00E97EE6" w:rsidP="00E97EE6">
      <w:pPr>
        <w:pStyle w:val="ListParagraph"/>
        <w:ind w:left="0"/>
        <w:rPr>
          <w:lang w:val="es-ES_tradnl"/>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E97EE6" w:rsidRPr="002D774B" w14:paraId="271CCDA9" w14:textId="77777777" w:rsidTr="003E1000">
        <w:tc>
          <w:tcPr>
            <w:tcW w:w="9629" w:type="dxa"/>
          </w:tcPr>
          <w:p w14:paraId="433B3322" w14:textId="77777777" w:rsidR="00E97EE6" w:rsidRPr="002D774B" w:rsidRDefault="00E97EE6" w:rsidP="003E1000">
            <w:pPr>
              <w:keepNext/>
              <w:tabs>
                <w:tab w:val="left" w:pos="567"/>
              </w:tabs>
              <w:jc w:val="center"/>
              <w:rPr>
                <w:b/>
                <w:spacing w:val="-2"/>
                <w:sz w:val="18"/>
                <w:szCs w:val="18"/>
                <w:lang w:val="es-ES_tradnl"/>
              </w:rPr>
            </w:pPr>
            <w:r w:rsidRPr="002D774B">
              <w:rPr>
                <w:b/>
                <w:spacing w:val="-2"/>
                <w:sz w:val="18"/>
                <w:szCs w:val="18"/>
                <w:lang w:val="es-ES_tradnl"/>
              </w:rPr>
              <w:t>Figura 2. Evolución de los fondos extrapresupuestarios desde 2010</w:t>
            </w:r>
          </w:p>
          <w:p w14:paraId="512582EE" w14:textId="77777777" w:rsidR="00E97EE6" w:rsidRPr="002D774B" w:rsidRDefault="00E97EE6" w:rsidP="003E1000">
            <w:pPr>
              <w:keepNext/>
              <w:tabs>
                <w:tab w:val="left" w:pos="567"/>
              </w:tabs>
              <w:jc w:val="center"/>
              <w:rPr>
                <w:b/>
                <w:spacing w:val="-2"/>
                <w:sz w:val="18"/>
                <w:szCs w:val="18"/>
                <w:lang w:val="es-ES_tradnl"/>
              </w:rPr>
            </w:pPr>
            <w:r w:rsidRPr="002D774B">
              <w:rPr>
                <w:b/>
                <w:noProof/>
                <w:spacing w:val="-2"/>
                <w:sz w:val="18"/>
                <w:szCs w:val="18"/>
              </w:rPr>
              <w:drawing>
                <wp:inline distT="0" distB="0" distL="0" distR="0" wp14:anchorId="7141123A" wp14:editId="68651C07">
                  <wp:extent cx="5835600" cy="404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35600" cy="4046400"/>
                          </a:xfrm>
                          <a:prstGeom prst="rect">
                            <a:avLst/>
                          </a:prstGeom>
                          <a:noFill/>
                          <a:ln>
                            <a:noFill/>
                          </a:ln>
                        </pic:spPr>
                      </pic:pic>
                    </a:graphicData>
                  </a:graphic>
                </wp:inline>
              </w:drawing>
            </w:r>
          </w:p>
        </w:tc>
      </w:tr>
    </w:tbl>
    <w:p w14:paraId="170AA723" w14:textId="77777777" w:rsidR="00E97EE6" w:rsidRPr="002D774B" w:rsidRDefault="00E97EE6" w:rsidP="00E97EE6">
      <w:pPr>
        <w:spacing w:before="120"/>
        <w:ind w:left="720" w:right="567"/>
        <w:rPr>
          <w:sz w:val="18"/>
          <w:szCs w:val="18"/>
          <w:lang w:val="es-ES_tradnl"/>
        </w:rPr>
      </w:pPr>
      <w:r w:rsidRPr="002D774B">
        <w:rPr>
          <w:sz w:val="18"/>
          <w:szCs w:val="18"/>
          <w:lang w:val="es-ES_tradnl"/>
        </w:rPr>
        <w:t xml:space="preserve">* Los fondos fiduciarios del Japón para 2015 y 2016 se recibieron en 2016, pero se han dividido entre 2015 y 2016 a efectos de este gráfico. </w:t>
      </w:r>
    </w:p>
    <w:p w14:paraId="0EBA9BEC" w14:textId="77777777" w:rsidR="00E97EE6" w:rsidRPr="002D774B" w:rsidRDefault="00E97EE6" w:rsidP="00E97EE6">
      <w:pPr>
        <w:pStyle w:val="ListParagraph"/>
        <w:ind w:left="0"/>
        <w:rPr>
          <w:lang w:val="es-ES_tradnl"/>
        </w:rPr>
      </w:pPr>
    </w:p>
    <w:p w14:paraId="27FC54AC" w14:textId="77777777" w:rsidR="00E97EE6" w:rsidRPr="002D774B" w:rsidRDefault="00E97EE6" w:rsidP="00E97EE6">
      <w:pPr>
        <w:pStyle w:val="ListParagraph"/>
        <w:ind w:left="0"/>
        <w:rPr>
          <w:lang w:val="es-ES_tradnl"/>
        </w:rPr>
      </w:pPr>
    </w:p>
    <w:p w14:paraId="16491D35" w14:textId="77777777" w:rsidR="00E97EE6" w:rsidRPr="002D774B" w:rsidRDefault="00E97EE6" w:rsidP="00E97EE6">
      <w:pPr>
        <w:pStyle w:val="ListParagraph"/>
        <w:ind w:left="0"/>
        <w:rPr>
          <w:lang w:val="es-ES_tradnl"/>
        </w:rPr>
      </w:pPr>
      <w:r w:rsidRPr="002D774B">
        <w:rPr>
          <w:lang w:val="es-ES_tradnl"/>
        </w:rPr>
        <w:fldChar w:fldCharType="begin"/>
      </w:r>
      <w:r w:rsidRPr="002D774B">
        <w:rPr>
          <w:lang w:val="es-ES_tradnl"/>
        </w:rPr>
        <w:instrText xml:space="preserve"> AUTONUM  </w:instrText>
      </w:r>
      <w:r w:rsidRPr="002D774B">
        <w:rPr>
          <w:lang w:val="es-ES_tradnl"/>
        </w:rPr>
        <w:fldChar w:fldCharType="end"/>
      </w:r>
      <w:r w:rsidRPr="002D774B">
        <w:rPr>
          <w:lang w:val="es-ES_tradnl"/>
        </w:rPr>
        <w:tab/>
        <w:t xml:space="preserve">Los fondos extrapresupuestarios serán importantes de cara al futuro y se velará por lograr que continúen los fondos existentes y que otros miembros de la Unión los establezcan. </w:t>
      </w:r>
    </w:p>
    <w:p w14:paraId="0DF2421D" w14:textId="77777777" w:rsidR="00E97EE6" w:rsidRPr="002D774B" w:rsidRDefault="00E97EE6" w:rsidP="00E97EE6">
      <w:pPr>
        <w:rPr>
          <w:lang w:val="es-ES_tradnl"/>
        </w:rPr>
      </w:pPr>
    </w:p>
    <w:p w14:paraId="21DF0D6E" w14:textId="77777777" w:rsidR="00E97EE6" w:rsidRPr="002D774B" w:rsidRDefault="00E97EE6" w:rsidP="00E97EE6">
      <w:pPr>
        <w:pStyle w:val="ListParagraph"/>
        <w:ind w:left="0"/>
        <w:rPr>
          <w:rFonts w:cs="Arial"/>
          <w:sz w:val="19"/>
          <w:szCs w:val="19"/>
          <w:lang w:val="es-ES_tradnl"/>
        </w:rPr>
      </w:pPr>
      <w:r w:rsidRPr="002D774B">
        <w:rPr>
          <w:lang w:val="es-ES_tradnl"/>
        </w:rPr>
        <w:fldChar w:fldCharType="begin"/>
      </w:r>
      <w:r w:rsidRPr="002D774B">
        <w:rPr>
          <w:lang w:val="es-ES_tradnl"/>
        </w:rPr>
        <w:instrText xml:space="preserve"> AUTONUM  </w:instrText>
      </w:r>
      <w:r w:rsidRPr="002D774B">
        <w:rPr>
          <w:lang w:val="es-ES_tradnl"/>
        </w:rPr>
        <w:fldChar w:fldCharType="end"/>
      </w:r>
      <w:r w:rsidRPr="002D774B">
        <w:rPr>
          <w:lang w:val="es-ES_tradnl"/>
        </w:rPr>
        <w:tab/>
        <w:t xml:space="preserve">Por otro lado, la UPOV colaborará con los miembros de la Unión y los posibles Estados y organizaciones beneficiarios para ayudarles a promover y dirigir las solicitudes de fondos a los organismos donantes. </w:t>
      </w:r>
    </w:p>
    <w:p w14:paraId="051305F6" w14:textId="77777777" w:rsidR="00E97EE6" w:rsidRPr="002D774B" w:rsidRDefault="00E97EE6" w:rsidP="00E97EE6">
      <w:pPr>
        <w:rPr>
          <w:lang w:val="es-ES_tradnl"/>
        </w:rPr>
      </w:pPr>
    </w:p>
    <w:p w14:paraId="45D86F68" w14:textId="77777777" w:rsidR="00E97EE6" w:rsidRPr="002D774B" w:rsidRDefault="00E97EE6" w:rsidP="00E97EE6">
      <w:pPr>
        <w:pStyle w:val="Heading5"/>
        <w:rPr>
          <w:lang w:val="es-ES_tradnl"/>
        </w:rPr>
      </w:pPr>
      <w:bookmarkStart w:id="46" w:name="_Toc107239362"/>
      <w:bookmarkStart w:id="47" w:name="_Toc117802122"/>
      <w:r w:rsidRPr="002D774B">
        <w:rPr>
          <w:lang w:val="es-ES_tradnl"/>
        </w:rPr>
        <w:t>4.2</w:t>
      </w:r>
      <w:r w:rsidRPr="002D774B">
        <w:rPr>
          <w:lang w:val="es-ES_tradnl"/>
        </w:rPr>
        <w:tab/>
      </w:r>
      <w:bookmarkEnd w:id="46"/>
      <w:r w:rsidRPr="002D774B">
        <w:rPr>
          <w:lang w:val="es-ES_tradnl"/>
        </w:rPr>
        <w:t>Una Secretaría empoderada y dotada de la formación y los recursos necesarios para trabajar de forma eficaz, colaborativa e innovadora</w:t>
      </w:r>
      <w:bookmarkEnd w:id="47"/>
    </w:p>
    <w:p w14:paraId="1B36B5BC" w14:textId="77777777" w:rsidR="00E97EE6" w:rsidRPr="002D774B" w:rsidRDefault="00E97EE6" w:rsidP="00E97EE6">
      <w:pPr>
        <w:rPr>
          <w:lang w:val="es-ES_tradnl"/>
        </w:rPr>
      </w:pPr>
      <w:bookmarkStart w:id="48" w:name="_Toc42703050"/>
    </w:p>
    <w:bookmarkEnd w:id="48"/>
    <w:p w14:paraId="1CE6B5AE" w14:textId="77777777" w:rsidR="00E97EE6" w:rsidRPr="002D774B" w:rsidRDefault="00E97EE6" w:rsidP="00E97EE6">
      <w:pPr>
        <w:pStyle w:val="ListParagraph"/>
        <w:ind w:left="0"/>
        <w:rPr>
          <w:spacing w:val="-2"/>
          <w:lang w:val="es-ES_tradnl"/>
        </w:rPr>
      </w:pPr>
      <w:r w:rsidRPr="002D774B">
        <w:rPr>
          <w:spacing w:val="-2"/>
          <w:lang w:val="es-ES_tradnl"/>
        </w:rPr>
        <w:fldChar w:fldCharType="begin"/>
      </w:r>
      <w:r w:rsidRPr="002D774B">
        <w:rPr>
          <w:spacing w:val="-2"/>
          <w:lang w:val="es-ES_tradnl"/>
        </w:rPr>
        <w:instrText xml:space="preserve"> AUTONUM  </w:instrText>
      </w:r>
      <w:r w:rsidRPr="002D774B">
        <w:rPr>
          <w:spacing w:val="-2"/>
          <w:lang w:val="es-ES_tradnl"/>
        </w:rPr>
        <w:fldChar w:fldCharType="end"/>
      </w:r>
      <w:r w:rsidRPr="002D774B">
        <w:rPr>
          <w:spacing w:val="-2"/>
          <w:lang w:val="es-ES_tradnl"/>
        </w:rPr>
        <w:tab/>
        <w:t>La naturaleza del trabajo de la UPOV seguirá evolucionando, en consonancia con el compromiso de mejora continua de la Organización. A fin de garantizar que el equipo de la UPOV cuente con las competencias necesarias para adaptarse a los cambios y mejorar continuamente, se hará hincapié en la elaboración de programas sistemáticos y coherentes de formación del personal</w:t>
      </w:r>
      <w:r w:rsidRPr="002D774B">
        <w:rPr>
          <w:lang w:val="es-ES_tradnl"/>
        </w:rPr>
        <w:t>.</w:t>
      </w:r>
    </w:p>
    <w:p w14:paraId="59D49985" w14:textId="77777777" w:rsidR="00E97EE6" w:rsidRPr="002D774B" w:rsidRDefault="00E97EE6" w:rsidP="00E97EE6">
      <w:pPr>
        <w:pStyle w:val="ListParagraph"/>
        <w:ind w:left="0"/>
        <w:rPr>
          <w:spacing w:val="-2"/>
          <w:lang w:val="es-ES_tradnl"/>
        </w:rPr>
      </w:pPr>
    </w:p>
    <w:p w14:paraId="4C125DD4" w14:textId="77777777" w:rsidR="00E97EE6" w:rsidRPr="002D774B" w:rsidRDefault="00E97EE6" w:rsidP="00E97EE6">
      <w:pPr>
        <w:pStyle w:val="ListParagraph"/>
        <w:ind w:left="0"/>
        <w:rPr>
          <w:spacing w:val="-2"/>
          <w:lang w:val="es-ES_tradnl"/>
        </w:rPr>
      </w:pPr>
      <w:r w:rsidRPr="002D774B">
        <w:rPr>
          <w:spacing w:val="-2"/>
          <w:lang w:val="es-ES_tradnl"/>
        </w:rPr>
        <w:fldChar w:fldCharType="begin"/>
      </w:r>
      <w:r w:rsidRPr="002D774B">
        <w:rPr>
          <w:spacing w:val="-2"/>
          <w:lang w:val="es-ES_tradnl"/>
        </w:rPr>
        <w:instrText xml:space="preserve"> AUTONUM  </w:instrText>
      </w:r>
      <w:r w:rsidRPr="002D774B">
        <w:rPr>
          <w:spacing w:val="-2"/>
          <w:lang w:val="es-ES_tradnl"/>
        </w:rPr>
        <w:fldChar w:fldCharType="end"/>
      </w:r>
      <w:r w:rsidRPr="002D774B">
        <w:rPr>
          <w:spacing w:val="-2"/>
          <w:lang w:val="es-ES_tradnl"/>
        </w:rPr>
        <w:tab/>
        <w:t>La ampliación de la labor de la UPOV en relación con el tercer pilar estratégico, "Proporcionar servicios de alta calidad a los miembros de la UPOV y a los usuarios del sistema de la UPOV", ha supuesto un nuevo énfasis en los proyectos subcontratados y una mayor dependencia de los trabajadores contratados, los proveedores de servicios, los becarios y los pasantes. Este enfoque requiere una sólida capacidad de gestión, que es preciso incorporar a los programas de formación del personal profesional</w:t>
      </w:r>
      <w:r w:rsidRPr="002D774B">
        <w:rPr>
          <w:lang w:val="es-ES_tradnl"/>
        </w:rPr>
        <w:t xml:space="preserve">. </w:t>
      </w:r>
    </w:p>
    <w:p w14:paraId="77A67809" w14:textId="77777777" w:rsidR="00E97EE6" w:rsidRPr="002D774B" w:rsidRDefault="00E97EE6" w:rsidP="00E97EE6">
      <w:pPr>
        <w:tabs>
          <w:tab w:val="left" w:pos="567"/>
        </w:tabs>
        <w:rPr>
          <w:spacing w:val="-2"/>
          <w:lang w:val="es-ES_tradnl"/>
        </w:rPr>
      </w:pPr>
    </w:p>
    <w:p w14:paraId="4857F24C" w14:textId="77777777" w:rsidR="00E97EE6" w:rsidRPr="002D774B" w:rsidRDefault="00E97EE6" w:rsidP="00E97EE6">
      <w:pPr>
        <w:rPr>
          <w:lang w:val="es-ES_tradnl"/>
        </w:rPr>
      </w:pPr>
      <w:r w:rsidRPr="002D774B">
        <w:rPr>
          <w:lang w:val="es-ES_tradnl"/>
        </w:rPr>
        <w:fldChar w:fldCharType="begin"/>
      </w:r>
      <w:r w:rsidRPr="002D774B">
        <w:rPr>
          <w:lang w:val="es-ES_tradnl"/>
        </w:rPr>
        <w:instrText xml:space="preserve"> AUTONUM  </w:instrText>
      </w:r>
      <w:r w:rsidRPr="002D774B">
        <w:rPr>
          <w:lang w:val="es-ES_tradnl"/>
        </w:rPr>
        <w:fldChar w:fldCharType="end"/>
      </w:r>
      <w:r w:rsidRPr="002D774B">
        <w:rPr>
          <w:lang w:val="es-ES_tradnl"/>
        </w:rPr>
        <w:tab/>
        <w:t>Se prestará especial atención a la formación de todos los miembros del equipo en lo que respecta a la excelencia del servicio al cliente. Se trata de un objetivo esencial para la ampliación de la labor en relación con el tercer pilar estratégico, al tiempo que se reconoce que todas las áreas de trabajo de la UPOV tienen en su base la prestación de servicios.</w:t>
      </w:r>
    </w:p>
    <w:p w14:paraId="70F71F5A" w14:textId="77777777" w:rsidR="00E97EE6" w:rsidRPr="002D774B" w:rsidRDefault="00E97EE6" w:rsidP="00E97EE6">
      <w:pPr>
        <w:pStyle w:val="ListParagraph"/>
        <w:ind w:left="0"/>
        <w:rPr>
          <w:spacing w:val="-2"/>
          <w:lang w:val="es-ES_tradnl"/>
        </w:rPr>
      </w:pPr>
    </w:p>
    <w:p w14:paraId="537AC66A" w14:textId="77777777" w:rsidR="00E97EE6" w:rsidRPr="002D774B" w:rsidRDefault="00E97EE6" w:rsidP="00E97EE6">
      <w:pPr>
        <w:tabs>
          <w:tab w:val="left" w:pos="567"/>
        </w:tabs>
        <w:rPr>
          <w:spacing w:val="-2"/>
          <w:lang w:val="es-ES_tradnl"/>
        </w:rPr>
      </w:pPr>
      <w:r w:rsidRPr="002D774B">
        <w:rPr>
          <w:spacing w:val="-2"/>
          <w:lang w:val="es-ES_tradnl"/>
        </w:rPr>
        <w:fldChar w:fldCharType="begin"/>
      </w:r>
      <w:r w:rsidRPr="002D774B">
        <w:rPr>
          <w:spacing w:val="-2"/>
          <w:lang w:val="es-ES_tradnl"/>
        </w:rPr>
        <w:instrText xml:space="preserve"> AUTONUM  </w:instrText>
      </w:r>
      <w:r w:rsidRPr="002D774B">
        <w:rPr>
          <w:spacing w:val="-2"/>
          <w:lang w:val="es-ES_tradnl"/>
        </w:rPr>
        <w:fldChar w:fldCharType="end"/>
      </w:r>
      <w:r w:rsidRPr="002D774B">
        <w:rPr>
          <w:spacing w:val="-2"/>
          <w:lang w:val="es-ES_tradnl"/>
        </w:rPr>
        <w:tab/>
        <w:t>El número de miembros de la Unión y de Estados cubiertos por el Convenio de la UPOV no ha dejado de crecer, y en los últimos años también ha aumentado el número de Estados y organizaciones que solicitan asesoramiento en materia de legislación. Todo ello ha ido acompañado de un aumento de la cartera de servicios que administra la Oficina de la Unión, en particular UPOV PRISMA, la base de datos PLUTO y los nuevos cursos de enseñanza a distancia.</w:t>
      </w:r>
    </w:p>
    <w:p w14:paraId="281AC120" w14:textId="77777777" w:rsidR="00E97EE6" w:rsidRPr="002D774B" w:rsidRDefault="00E97EE6" w:rsidP="00E97EE6">
      <w:pPr>
        <w:tabs>
          <w:tab w:val="left" w:pos="567"/>
        </w:tabs>
        <w:rPr>
          <w:spacing w:val="-2"/>
          <w:lang w:val="es-ES_tradnl"/>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E97EE6" w:rsidRPr="002D774B" w14:paraId="4B8CC084" w14:textId="77777777" w:rsidTr="003E1000">
        <w:tc>
          <w:tcPr>
            <w:tcW w:w="9639" w:type="dxa"/>
          </w:tcPr>
          <w:p w14:paraId="256FC2B1" w14:textId="77777777" w:rsidR="00E97EE6" w:rsidRPr="002D774B" w:rsidRDefault="00E97EE6" w:rsidP="003E1000">
            <w:pPr>
              <w:keepNext/>
              <w:tabs>
                <w:tab w:val="left" w:pos="567"/>
              </w:tabs>
              <w:jc w:val="center"/>
              <w:rPr>
                <w:b/>
                <w:spacing w:val="-2"/>
                <w:sz w:val="18"/>
                <w:szCs w:val="18"/>
                <w:lang w:val="es-ES_tradnl"/>
              </w:rPr>
            </w:pPr>
            <w:r w:rsidRPr="002D774B">
              <w:rPr>
                <w:b/>
                <w:spacing w:val="-2"/>
                <w:sz w:val="18"/>
                <w:szCs w:val="18"/>
                <w:lang w:val="es-ES_tradnl"/>
              </w:rPr>
              <w:lastRenderedPageBreak/>
              <w:t>Figura 3. Aumento del número de miembros y de la cobertura de la UPOV</w:t>
            </w:r>
          </w:p>
        </w:tc>
      </w:tr>
      <w:tr w:rsidR="00E97EE6" w:rsidRPr="002D774B" w14:paraId="4742F088" w14:textId="77777777" w:rsidTr="003E1000">
        <w:tc>
          <w:tcPr>
            <w:tcW w:w="9639" w:type="dxa"/>
          </w:tcPr>
          <w:p w14:paraId="71C254FA" w14:textId="77777777" w:rsidR="00E97EE6" w:rsidRPr="002D774B" w:rsidRDefault="00E97EE6" w:rsidP="003E1000">
            <w:pPr>
              <w:tabs>
                <w:tab w:val="left" w:pos="567"/>
              </w:tabs>
              <w:jc w:val="center"/>
              <w:rPr>
                <w:spacing w:val="-2"/>
                <w:lang w:val="es-ES_tradnl"/>
              </w:rPr>
            </w:pPr>
            <w:r w:rsidRPr="002D774B">
              <w:rPr>
                <w:noProof/>
                <w:spacing w:val="-2"/>
              </w:rPr>
              <w:drawing>
                <wp:inline distT="0" distB="0" distL="0" distR="0" wp14:anchorId="09F1142F" wp14:editId="00A0082C">
                  <wp:extent cx="5688000" cy="4723200"/>
                  <wp:effectExtent l="0" t="0" r="8255"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88000" cy="4723200"/>
                          </a:xfrm>
                          <a:prstGeom prst="rect">
                            <a:avLst/>
                          </a:prstGeom>
                          <a:noFill/>
                        </pic:spPr>
                      </pic:pic>
                    </a:graphicData>
                  </a:graphic>
                </wp:inline>
              </w:drawing>
            </w:r>
          </w:p>
        </w:tc>
      </w:tr>
    </w:tbl>
    <w:p w14:paraId="6E127908" w14:textId="77777777" w:rsidR="00E97EE6" w:rsidRPr="002D774B" w:rsidRDefault="00E97EE6" w:rsidP="00E97EE6">
      <w:pPr>
        <w:tabs>
          <w:tab w:val="left" w:pos="567"/>
        </w:tabs>
        <w:rPr>
          <w:spacing w:val="-2"/>
          <w:lang w:val="es-ES_tradnl"/>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E97EE6" w:rsidRPr="002D774B" w14:paraId="181EF0E2" w14:textId="77777777" w:rsidTr="003E1000">
        <w:tc>
          <w:tcPr>
            <w:tcW w:w="9629" w:type="dxa"/>
          </w:tcPr>
          <w:p w14:paraId="55BA09C3" w14:textId="77777777" w:rsidR="00E97EE6" w:rsidRPr="002D774B" w:rsidRDefault="00E97EE6" w:rsidP="003E1000">
            <w:pPr>
              <w:tabs>
                <w:tab w:val="left" w:pos="567"/>
              </w:tabs>
              <w:jc w:val="center"/>
              <w:rPr>
                <w:b/>
                <w:spacing w:val="-2"/>
                <w:sz w:val="18"/>
                <w:lang w:val="es-ES_tradnl" w:eastAsia="ja-JP"/>
              </w:rPr>
            </w:pPr>
            <w:r w:rsidRPr="002D774B">
              <w:rPr>
                <w:b/>
                <w:spacing w:val="-2"/>
                <w:sz w:val="18"/>
                <w:lang w:val="es-ES_tradnl" w:eastAsia="ja-JP"/>
              </w:rPr>
              <w:t>Figura 4. Elaboración de legislación para la protección de las obtenciones vegetales</w:t>
            </w:r>
          </w:p>
          <w:p w14:paraId="5D15605E" w14:textId="77777777" w:rsidR="00E97EE6" w:rsidRPr="002D774B" w:rsidRDefault="00E97EE6" w:rsidP="003E1000">
            <w:pPr>
              <w:tabs>
                <w:tab w:val="left" w:pos="567"/>
              </w:tabs>
              <w:jc w:val="center"/>
              <w:rPr>
                <w:b/>
                <w:spacing w:val="-2"/>
                <w:sz w:val="18"/>
                <w:lang w:val="es-ES_tradnl" w:eastAsia="ja-JP"/>
              </w:rPr>
            </w:pPr>
          </w:p>
        </w:tc>
      </w:tr>
      <w:tr w:rsidR="00E97EE6" w:rsidRPr="002D774B" w14:paraId="3F163985" w14:textId="77777777" w:rsidTr="003E1000">
        <w:tc>
          <w:tcPr>
            <w:tcW w:w="9629" w:type="dxa"/>
          </w:tcPr>
          <w:p w14:paraId="760BD5CE" w14:textId="77777777" w:rsidR="00E97EE6" w:rsidRPr="002D774B" w:rsidRDefault="00E97EE6" w:rsidP="003E1000">
            <w:pPr>
              <w:tabs>
                <w:tab w:val="left" w:pos="567"/>
              </w:tabs>
              <w:jc w:val="center"/>
              <w:rPr>
                <w:spacing w:val="-2"/>
                <w:sz w:val="18"/>
                <w:lang w:val="es-ES_tradnl"/>
              </w:rPr>
            </w:pPr>
            <w:r w:rsidRPr="002D774B">
              <w:rPr>
                <w:noProof/>
                <w:spacing w:val="-2"/>
                <w:sz w:val="18"/>
              </w:rPr>
              <w:drawing>
                <wp:inline distT="0" distB="0" distL="0" distR="0" wp14:anchorId="16664333" wp14:editId="6C2CAC61">
                  <wp:extent cx="5516880" cy="3624777"/>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39317" cy="3639519"/>
                          </a:xfrm>
                          <a:prstGeom prst="rect">
                            <a:avLst/>
                          </a:prstGeom>
                          <a:noFill/>
                        </pic:spPr>
                      </pic:pic>
                    </a:graphicData>
                  </a:graphic>
                </wp:inline>
              </w:drawing>
            </w:r>
          </w:p>
        </w:tc>
      </w:tr>
    </w:tbl>
    <w:p w14:paraId="52A97C8E" w14:textId="77777777" w:rsidR="00E97EE6" w:rsidRPr="002D774B" w:rsidRDefault="00E97EE6" w:rsidP="00E97EE6">
      <w:pPr>
        <w:tabs>
          <w:tab w:val="left" w:pos="567"/>
        </w:tabs>
        <w:rPr>
          <w:spacing w:val="-2"/>
          <w:lang w:val="es-ES_tradnl"/>
        </w:rPr>
      </w:pPr>
    </w:p>
    <w:p w14:paraId="4B1C3A3D" w14:textId="77777777" w:rsidR="00E97EE6" w:rsidRPr="002D774B" w:rsidRDefault="00E97EE6" w:rsidP="00E97EE6">
      <w:pPr>
        <w:tabs>
          <w:tab w:val="left" w:pos="567"/>
        </w:tabs>
        <w:rPr>
          <w:lang w:val="es-ES_tradnl"/>
        </w:rPr>
      </w:pPr>
      <w:r w:rsidRPr="002D774B">
        <w:rPr>
          <w:spacing w:val="-2"/>
          <w:lang w:val="es-ES_tradnl"/>
        </w:rPr>
        <w:lastRenderedPageBreak/>
        <w:fldChar w:fldCharType="begin"/>
      </w:r>
      <w:r w:rsidRPr="002D774B">
        <w:rPr>
          <w:spacing w:val="-2"/>
          <w:lang w:val="es-ES_tradnl"/>
        </w:rPr>
        <w:instrText xml:space="preserve"> AUTONUM  </w:instrText>
      </w:r>
      <w:r w:rsidRPr="002D774B">
        <w:rPr>
          <w:spacing w:val="-2"/>
          <w:lang w:val="es-ES_tradnl"/>
        </w:rPr>
        <w:fldChar w:fldCharType="end"/>
      </w:r>
      <w:r w:rsidRPr="002D774B">
        <w:rPr>
          <w:spacing w:val="-2"/>
          <w:lang w:val="es-ES_tradnl"/>
        </w:rPr>
        <w:tab/>
        <w:t xml:space="preserve">Para cubrir el aumento de la carga de trabajo, se cuenta desde 2018 con el apoyo adicional de tres trabajadores de agencia. Las tareas que actualmente desempeñan los tres trabajadores de agencia han terminado siendo parte fundamental de la labor de la UPOV y deberían convertirse en puestos fijos a fin de garantizar la continuidad y la estabilidad en la labor de la UPOV, siempre y cuando se disponga de ingresos suficientes y fiables que justifiquen dicha obligación financiera. En el Programa y presupuesto para el bienio 2022-2023 se preveía un puesto adicional para reducir la necesidad de un trabajador de agencia. </w:t>
      </w:r>
    </w:p>
    <w:p w14:paraId="14F30A28" w14:textId="77777777" w:rsidR="00E97EE6" w:rsidRPr="002D774B" w:rsidRDefault="00E97EE6" w:rsidP="00E97EE6">
      <w:pPr>
        <w:tabs>
          <w:tab w:val="left" w:pos="567"/>
        </w:tabs>
        <w:rPr>
          <w:spacing w:val="-2"/>
          <w:lang w:val="es-ES_tradnl"/>
        </w:rPr>
      </w:pPr>
    </w:p>
    <w:p w14:paraId="4AD96BC2" w14:textId="77777777" w:rsidR="00E97EE6" w:rsidRPr="002D774B" w:rsidRDefault="00E97EE6" w:rsidP="00E97EE6">
      <w:pPr>
        <w:pStyle w:val="ListParagraph"/>
        <w:ind w:left="0"/>
        <w:rPr>
          <w:spacing w:val="-2"/>
          <w:lang w:val="es-ES_tradnl"/>
        </w:rPr>
      </w:pPr>
      <w:r w:rsidRPr="002D774B">
        <w:rPr>
          <w:spacing w:val="-2"/>
          <w:lang w:val="es-ES_tradnl"/>
        </w:rPr>
        <w:fldChar w:fldCharType="begin"/>
      </w:r>
      <w:r w:rsidRPr="002D774B">
        <w:rPr>
          <w:spacing w:val="-2"/>
          <w:lang w:val="es-ES_tradnl"/>
        </w:rPr>
        <w:instrText xml:space="preserve"> AUTONUM  </w:instrText>
      </w:r>
      <w:r w:rsidRPr="002D774B">
        <w:rPr>
          <w:spacing w:val="-2"/>
          <w:lang w:val="es-ES_tradnl"/>
        </w:rPr>
        <w:fldChar w:fldCharType="end"/>
      </w:r>
      <w:r w:rsidRPr="002D774B">
        <w:rPr>
          <w:spacing w:val="-2"/>
          <w:lang w:val="es-ES_tradnl"/>
        </w:rPr>
        <w:tab/>
        <w:t>La UPOV ha recibido un apoyo valioso del programa de becas, en forma de una serie de expertos adscritos por miembros de la Unión, en particular en relación con UPOV PRISMA, la base de datos PLUTO, la base de datos GENIE y el mantenimiento de los códigos UPOV. La pandemia de COVID-19 ha dificultado la continuidad del programa de becas, aunque se volverá a poner en marcha y se ampliará en cuanto las circunstancias lo permitan.</w:t>
      </w:r>
    </w:p>
    <w:p w14:paraId="1207D968" w14:textId="77777777" w:rsidR="00E97EE6" w:rsidRPr="002D774B" w:rsidRDefault="00E97EE6" w:rsidP="00E97EE6">
      <w:pPr>
        <w:pStyle w:val="ListParagraph"/>
        <w:ind w:left="0"/>
        <w:rPr>
          <w:spacing w:val="-2"/>
          <w:lang w:val="es-ES_tradnl"/>
        </w:rPr>
      </w:pPr>
    </w:p>
    <w:p w14:paraId="522C1BC9" w14:textId="77777777" w:rsidR="00E97EE6" w:rsidRPr="002D774B" w:rsidRDefault="00E97EE6" w:rsidP="00E97EE6">
      <w:pPr>
        <w:pStyle w:val="ListParagraph"/>
        <w:ind w:left="0"/>
        <w:rPr>
          <w:spacing w:val="-2"/>
          <w:lang w:val="es-ES_tradnl"/>
        </w:rPr>
      </w:pPr>
      <w:r w:rsidRPr="002D774B">
        <w:rPr>
          <w:spacing w:val="-2"/>
          <w:lang w:val="es-ES_tradnl"/>
        </w:rPr>
        <w:fldChar w:fldCharType="begin"/>
      </w:r>
      <w:r w:rsidRPr="002D774B">
        <w:rPr>
          <w:spacing w:val="-2"/>
          <w:lang w:val="es-ES_tradnl"/>
        </w:rPr>
        <w:instrText xml:space="preserve"> AUTONUM  </w:instrText>
      </w:r>
      <w:r w:rsidRPr="002D774B">
        <w:rPr>
          <w:spacing w:val="-2"/>
          <w:lang w:val="es-ES_tradnl"/>
        </w:rPr>
        <w:fldChar w:fldCharType="end"/>
      </w:r>
      <w:r w:rsidRPr="002D774B">
        <w:rPr>
          <w:spacing w:val="-2"/>
          <w:lang w:val="es-ES_tradnl"/>
        </w:rPr>
        <w:tab/>
        <w:t>Otra esfera en la que se espera que los miembros de la Unión presten más apoyo a la labor de la UPOV es la de organizar la asignación a la UPOV de funcionarios subalternos del cuadro orgánico</w:t>
      </w:r>
      <w:r w:rsidRPr="002D774B">
        <w:rPr>
          <w:lang w:val="es-ES_tradnl"/>
        </w:rPr>
        <w:t>.</w:t>
      </w:r>
    </w:p>
    <w:p w14:paraId="0132BFEC" w14:textId="77777777" w:rsidR="00E97EE6" w:rsidRPr="002D774B" w:rsidRDefault="00E97EE6" w:rsidP="00E97EE6">
      <w:pPr>
        <w:tabs>
          <w:tab w:val="left" w:pos="567"/>
        </w:tabs>
        <w:rPr>
          <w:spacing w:val="-2"/>
          <w:lang w:val="es-ES_tradnl"/>
        </w:rPr>
      </w:pPr>
    </w:p>
    <w:p w14:paraId="12F9624E" w14:textId="77777777" w:rsidR="00E97EE6" w:rsidRPr="002D774B" w:rsidRDefault="00E97EE6" w:rsidP="00E97EE6">
      <w:pPr>
        <w:pStyle w:val="ListParagraph"/>
        <w:keepNext/>
        <w:keepLines/>
        <w:ind w:left="0"/>
        <w:rPr>
          <w:spacing w:val="-2"/>
          <w:lang w:val="es-ES_tradnl"/>
        </w:rPr>
      </w:pPr>
      <w:r w:rsidRPr="002D774B">
        <w:rPr>
          <w:spacing w:val="-2"/>
          <w:lang w:val="es-ES_tradnl"/>
        </w:rPr>
        <w:fldChar w:fldCharType="begin"/>
      </w:r>
      <w:r w:rsidRPr="002D774B">
        <w:rPr>
          <w:spacing w:val="-2"/>
          <w:lang w:val="es-ES_tradnl"/>
        </w:rPr>
        <w:instrText xml:space="preserve"> AUTONUM  </w:instrText>
      </w:r>
      <w:r w:rsidRPr="002D774B">
        <w:rPr>
          <w:spacing w:val="-2"/>
          <w:lang w:val="es-ES_tradnl"/>
        </w:rPr>
        <w:fldChar w:fldCharType="end"/>
      </w:r>
      <w:r w:rsidRPr="002D774B">
        <w:rPr>
          <w:spacing w:val="-2"/>
          <w:lang w:val="es-ES_tradnl"/>
        </w:rPr>
        <w:tab/>
        <w:t xml:space="preserve">Teniendo en cuenta lo anterior, se propone que la dotación de recursos humanos evolucione de la manera siguiente, siempre y cuando se disponga de ingresos suficientes y fiables con cargo al presupuesto ordinario de la UPOV: </w:t>
      </w:r>
    </w:p>
    <w:p w14:paraId="043D0C34" w14:textId="77777777" w:rsidR="00E97EE6" w:rsidRPr="002D774B" w:rsidRDefault="00E97EE6" w:rsidP="00E97EE6">
      <w:pPr>
        <w:keepNext/>
        <w:keepLines/>
        <w:tabs>
          <w:tab w:val="left" w:pos="567"/>
        </w:tabs>
        <w:rPr>
          <w:spacing w:val="-2"/>
          <w:lang w:val="es-ES_tradnl"/>
        </w:rPr>
      </w:pPr>
    </w:p>
    <w:tbl>
      <w:tblPr>
        <w:tblW w:w="8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0"/>
        <w:gridCol w:w="1284"/>
        <w:gridCol w:w="1284"/>
        <w:gridCol w:w="1284"/>
      </w:tblGrid>
      <w:tr w:rsidR="00E97EE6" w:rsidRPr="002D774B" w14:paraId="2DB98FD0" w14:textId="77777777" w:rsidTr="003E1000">
        <w:trPr>
          <w:trHeight w:val="510"/>
          <w:jc w:val="center"/>
        </w:trPr>
        <w:tc>
          <w:tcPr>
            <w:tcW w:w="4440" w:type="dxa"/>
            <w:tcBorders>
              <w:top w:val="single" w:sz="4" w:space="0" w:color="auto"/>
              <w:left w:val="single" w:sz="4" w:space="0" w:color="auto"/>
              <w:bottom w:val="single" w:sz="4" w:space="0" w:color="auto"/>
              <w:right w:val="single" w:sz="4" w:space="0" w:color="auto"/>
            </w:tcBorders>
            <w:vAlign w:val="bottom"/>
            <w:hideMark/>
          </w:tcPr>
          <w:p w14:paraId="3509D8E8" w14:textId="77777777" w:rsidR="00E97EE6" w:rsidRPr="002D774B" w:rsidRDefault="00E97EE6" w:rsidP="003E1000">
            <w:pPr>
              <w:keepNext/>
              <w:keepLines/>
              <w:rPr>
                <w:spacing w:val="-2"/>
                <w:lang w:val="es-ES_tradnl"/>
              </w:rPr>
            </w:pPr>
          </w:p>
        </w:tc>
        <w:tc>
          <w:tcPr>
            <w:tcW w:w="1284" w:type="dxa"/>
            <w:tcBorders>
              <w:top w:val="single" w:sz="4" w:space="0" w:color="auto"/>
              <w:left w:val="single" w:sz="4" w:space="0" w:color="auto"/>
              <w:bottom w:val="single" w:sz="4" w:space="0" w:color="auto"/>
              <w:right w:val="single" w:sz="4" w:space="0" w:color="auto"/>
            </w:tcBorders>
            <w:hideMark/>
          </w:tcPr>
          <w:p w14:paraId="55D30C57" w14:textId="77777777" w:rsidR="00E97EE6" w:rsidRPr="002D774B" w:rsidRDefault="00E97EE6" w:rsidP="003E1000">
            <w:pPr>
              <w:keepNext/>
              <w:keepLines/>
              <w:jc w:val="center"/>
              <w:rPr>
                <w:rFonts w:cs="Arial"/>
                <w:b/>
                <w:bCs/>
                <w:i/>
                <w:iCs/>
                <w:lang w:val="es-ES_tradnl"/>
              </w:rPr>
            </w:pPr>
            <w:r w:rsidRPr="002D774B">
              <w:rPr>
                <w:rFonts w:cs="Arial"/>
                <w:b/>
                <w:bCs/>
                <w:i/>
                <w:iCs/>
                <w:lang w:val="es-ES_tradnl"/>
              </w:rPr>
              <w:t>2022</w:t>
            </w:r>
            <w:r w:rsidRPr="002D774B">
              <w:rPr>
                <w:rFonts w:cs="Arial"/>
                <w:b/>
                <w:bCs/>
                <w:i/>
                <w:iCs/>
                <w:lang w:val="es-ES_tradnl"/>
              </w:rPr>
              <w:noBreakHyphen/>
              <w:t>2023</w:t>
            </w:r>
          </w:p>
        </w:tc>
        <w:tc>
          <w:tcPr>
            <w:tcW w:w="1284" w:type="dxa"/>
            <w:tcBorders>
              <w:top w:val="single" w:sz="4" w:space="0" w:color="auto"/>
              <w:left w:val="single" w:sz="4" w:space="0" w:color="auto"/>
              <w:bottom w:val="single" w:sz="4" w:space="0" w:color="auto"/>
              <w:right w:val="single" w:sz="4" w:space="0" w:color="auto"/>
            </w:tcBorders>
          </w:tcPr>
          <w:p w14:paraId="1C8D55D0" w14:textId="77777777" w:rsidR="00E97EE6" w:rsidRPr="002D774B" w:rsidRDefault="00E97EE6" w:rsidP="003E1000">
            <w:pPr>
              <w:keepNext/>
              <w:keepLines/>
              <w:jc w:val="center"/>
              <w:rPr>
                <w:rFonts w:cs="Arial"/>
                <w:b/>
                <w:bCs/>
                <w:i/>
                <w:iCs/>
                <w:lang w:val="es-ES_tradnl"/>
              </w:rPr>
            </w:pPr>
            <w:r w:rsidRPr="002D774B">
              <w:rPr>
                <w:rFonts w:cs="Arial"/>
                <w:b/>
                <w:bCs/>
                <w:i/>
                <w:iCs/>
                <w:lang w:val="es-ES_tradnl"/>
              </w:rPr>
              <w:t>2024-2025</w:t>
            </w:r>
          </w:p>
        </w:tc>
        <w:tc>
          <w:tcPr>
            <w:tcW w:w="1284" w:type="dxa"/>
            <w:tcBorders>
              <w:top w:val="single" w:sz="4" w:space="0" w:color="auto"/>
              <w:left w:val="single" w:sz="4" w:space="0" w:color="auto"/>
              <w:bottom w:val="single" w:sz="4" w:space="0" w:color="auto"/>
              <w:right w:val="single" w:sz="4" w:space="0" w:color="auto"/>
            </w:tcBorders>
          </w:tcPr>
          <w:p w14:paraId="7521D371" w14:textId="77777777" w:rsidR="00E97EE6" w:rsidRPr="002D774B" w:rsidRDefault="00E97EE6" w:rsidP="003E1000">
            <w:pPr>
              <w:keepNext/>
              <w:keepLines/>
              <w:jc w:val="center"/>
              <w:rPr>
                <w:rFonts w:cs="Arial"/>
                <w:b/>
                <w:bCs/>
                <w:i/>
                <w:iCs/>
                <w:lang w:val="es-ES_tradnl"/>
              </w:rPr>
            </w:pPr>
            <w:r w:rsidRPr="002D774B">
              <w:rPr>
                <w:rFonts w:cs="Arial"/>
                <w:b/>
                <w:bCs/>
                <w:i/>
                <w:iCs/>
                <w:lang w:val="es-ES_tradnl"/>
              </w:rPr>
              <w:t>2026-2027</w:t>
            </w:r>
          </w:p>
        </w:tc>
      </w:tr>
      <w:tr w:rsidR="00E97EE6" w:rsidRPr="002D774B" w14:paraId="51F828BF" w14:textId="77777777" w:rsidTr="003E1000">
        <w:trPr>
          <w:trHeight w:val="367"/>
          <w:jc w:val="center"/>
        </w:trPr>
        <w:tc>
          <w:tcPr>
            <w:tcW w:w="4440" w:type="dxa"/>
            <w:tcBorders>
              <w:top w:val="single" w:sz="4" w:space="0" w:color="auto"/>
              <w:left w:val="single" w:sz="4" w:space="0" w:color="auto"/>
              <w:bottom w:val="single" w:sz="4" w:space="0" w:color="auto"/>
              <w:right w:val="single" w:sz="4" w:space="0" w:color="auto"/>
            </w:tcBorders>
            <w:vAlign w:val="bottom"/>
            <w:hideMark/>
          </w:tcPr>
          <w:p w14:paraId="42CED87B" w14:textId="77777777" w:rsidR="00E97EE6" w:rsidRPr="002D774B" w:rsidRDefault="00E97EE6" w:rsidP="003E1000">
            <w:pPr>
              <w:keepNext/>
              <w:keepLines/>
              <w:jc w:val="left"/>
              <w:rPr>
                <w:rFonts w:cs="Arial"/>
                <w:b/>
                <w:lang w:val="es-ES_tradnl"/>
              </w:rPr>
            </w:pPr>
            <w:r w:rsidRPr="002D774B">
              <w:rPr>
                <w:rFonts w:cs="Arial"/>
                <w:b/>
                <w:lang w:val="es-ES_tradnl"/>
              </w:rPr>
              <w:t>Puesto</w:t>
            </w:r>
          </w:p>
        </w:tc>
        <w:tc>
          <w:tcPr>
            <w:tcW w:w="1284" w:type="dxa"/>
            <w:tcBorders>
              <w:top w:val="single" w:sz="4" w:space="0" w:color="auto"/>
              <w:left w:val="single" w:sz="4" w:space="0" w:color="auto"/>
              <w:bottom w:val="single" w:sz="4" w:space="0" w:color="auto"/>
              <w:right w:val="single" w:sz="4" w:space="0" w:color="auto"/>
            </w:tcBorders>
            <w:vAlign w:val="bottom"/>
          </w:tcPr>
          <w:p w14:paraId="1453D030" w14:textId="77777777" w:rsidR="00E97EE6" w:rsidRPr="002D774B" w:rsidRDefault="00E97EE6" w:rsidP="003E1000">
            <w:pPr>
              <w:keepNext/>
              <w:keepLines/>
              <w:jc w:val="center"/>
              <w:rPr>
                <w:rFonts w:cs="Arial"/>
                <w:lang w:val="es-ES_tradnl"/>
              </w:rPr>
            </w:pPr>
          </w:p>
        </w:tc>
        <w:tc>
          <w:tcPr>
            <w:tcW w:w="1284" w:type="dxa"/>
            <w:tcBorders>
              <w:top w:val="single" w:sz="4" w:space="0" w:color="auto"/>
              <w:left w:val="single" w:sz="4" w:space="0" w:color="auto"/>
              <w:bottom w:val="single" w:sz="4" w:space="0" w:color="auto"/>
              <w:right w:val="single" w:sz="4" w:space="0" w:color="auto"/>
            </w:tcBorders>
            <w:vAlign w:val="bottom"/>
          </w:tcPr>
          <w:p w14:paraId="6E666B52" w14:textId="77777777" w:rsidR="00E97EE6" w:rsidRPr="002D774B" w:rsidRDefault="00E97EE6" w:rsidP="003E1000">
            <w:pPr>
              <w:keepNext/>
              <w:keepLines/>
              <w:jc w:val="center"/>
              <w:rPr>
                <w:rFonts w:cs="Arial"/>
                <w:lang w:val="es-ES_tradnl"/>
              </w:rPr>
            </w:pPr>
          </w:p>
        </w:tc>
        <w:tc>
          <w:tcPr>
            <w:tcW w:w="1284" w:type="dxa"/>
            <w:tcBorders>
              <w:top w:val="single" w:sz="4" w:space="0" w:color="auto"/>
              <w:left w:val="single" w:sz="4" w:space="0" w:color="auto"/>
              <w:bottom w:val="single" w:sz="4" w:space="0" w:color="auto"/>
              <w:right w:val="single" w:sz="4" w:space="0" w:color="auto"/>
            </w:tcBorders>
            <w:vAlign w:val="bottom"/>
          </w:tcPr>
          <w:p w14:paraId="6A30173B" w14:textId="77777777" w:rsidR="00E97EE6" w:rsidRPr="002D774B" w:rsidRDefault="00E97EE6" w:rsidP="003E1000">
            <w:pPr>
              <w:keepNext/>
              <w:keepLines/>
              <w:jc w:val="center"/>
              <w:rPr>
                <w:rFonts w:cs="Arial"/>
                <w:lang w:val="es-ES_tradnl"/>
              </w:rPr>
            </w:pPr>
          </w:p>
        </w:tc>
      </w:tr>
      <w:tr w:rsidR="00E97EE6" w:rsidRPr="002D774B" w14:paraId="7E620A41" w14:textId="77777777" w:rsidTr="003E1000">
        <w:trPr>
          <w:trHeight w:val="367"/>
          <w:jc w:val="center"/>
        </w:trPr>
        <w:tc>
          <w:tcPr>
            <w:tcW w:w="4440" w:type="dxa"/>
            <w:tcBorders>
              <w:top w:val="single" w:sz="4" w:space="0" w:color="auto"/>
              <w:left w:val="single" w:sz="4" w:space="0" w:color="auto"/>
              <w:bottom w:val="single" w:sz="4" w:space="0" w:color="auto"/>
              <w:right w:val="single" w:sz="4" w:space="0" w:color="auto"/>
            </w:tcBorders>
            <w:vAlign w:val="bottom"/>
            <w:hideMark/>
          </w:tcPr>
          <w:p w14:paraId="383FF9F5" w14:textId="77777777" w:rsidR="00E97EE6" w:rsidRPr="002D774B" w:rsidRDefault="00E97EE6" w:rsidP="003E1000">
            <w:pPr>
              <w:keepNext/>
              <w:keepLines/>
              <w:ind w:left="317"/>
              <w:jc w:val="left"/>
              <w:rPr>
                <w:rFonts w:cs="Arial"/>
                <w:lang w:val="es-ES_tradnl"/>
              </w:rPr>
            </w:pPr>
            <w:r w:rsidRPr="002D774B">
              <w:rPr>
                <w:rFonts w:cs="Arial"/>
                <w:lang w:val="es-ES_tradnl"/>
              </w:rPr>
              <w:tab/>
              <w:t>Directores*</w:t>
            </w:r>
          </w:p>
        </w:tc>
        <w:tc>
          <w:tcPr>
            <w:tcW w:w="1284" w:type="dxa"/>
            <w:tcBorders>
              <w:top w:val="single" w:sz="4" w:space="0" w:color="auto"/>
              <w:left w:val="single" w:sz="4" w:space="0" w:color="auto"/>
              <w:bottom w:val="single" w:sz="4" w:space="0" w:color="auto"/>
              <w:right w:val="single" w:sz="4" w:space="0" w:color="auto"/>
            </w:tcBorders>
            <w:vAlign w:val="bottom"/>
            <w:hideMark/>
          </w:tcPr>
          <w:p w14:paraId="09650C4A" w14:textId="77777777" w:rsidR="00E97EE6" w:rsidRPr="002D774B" w:rsidRDefault="00E97EE6" w:rsidP="003E1000">
            <w:pPr>
              <w:keepNext/>
              <w:keepLines/>
              <w:jc w:val="center"/>
              <w:rPr>
                <w:rFonts w:cs="Arial"/>
                <w:lang w:val="es-ES_tradnl"/>
              </w:rPr>
            </w:pPr>
            <w:r w:rsidRPr="002D774B">
              <w:rPr>
                <w:rFonts w:cs="Arial"/>
                <w:lang w:val="es-ES_tradnl"/>
              </w:rPr>
              <w:t>3</w:t>
            </w:r>
          </w:p>
        </w:tc>
        <w:tc>
          <w:tcPr>
            <w:tcW w:w="1284" w:type="dxa"/>
            <w:tcBorders>
              <w:top w:val="single" w:sz="4" w:space="0" w:color="auto"/>
              <w:left w:val="single" w:sz="4" w:space="0" w:color="auto"/>
              <w:bottom w:val="single" w:sz="4" w:space="0" w:color="auto"/>
              <w:right w:val="single" w:sz="4" w:space="0" w:color="auto"/>
            </w:tcBorders>
            <w:vAlign w:val="bottom"/>
          </w:tcPr>
          <w:p w14:paraId="04953606" w14:textId="77777777" w:rsidR="00E97EE6" w:rsidRPr="002D774B" w:rsidRDefault="00E97EE6" w:rsidP="003E1000">
            <w:pPr>
              <w:keepNext/>
              <w:keepLines/>
              <w:jc w:val="center"/>
              <w:rPr>
                <w:rFonts w:cs="Arial"/>
                <w:lang w:val="es-ES_tradnl"/>
              </w:rPr>
            </w:pPr>
            <w:r w:rsidRPr="002D774B">
              <w:rPr>
                <w:rFonts w:cs="Arial"/>
                <w:lang w:val="es-ES_tradnl"/>
              </w:rPr>
              <w:t>3</w:t>
            </w:r>
          </w:p>
        </w:tc>
        <w:tc>
          <w:tcPr>
            <w:tcW w:w="1284" w:type="dxa"/>
            <w:tcBorders>
              <w:top w:val="single" w:sz="4" w:space="0" w:color="auto"/>
              <w:left w:val="single" w:sz="4" w:space="0" w:color="auto"/>
              <w:bottom w:val="single" w:sz="4" w:space="0" w:color="auto"/>
              <w:right w:val="single" w:sz="4" w:space="0" w:color="auto"/>
            </w:tcBorders>
            <w:vAlign w:val="bottom"/>
          </w:tcPr>
          <w:p w14:paraId="6B462E10" w14:textId="77777777" w:rsidR="00E97EE6" w:rsidRPr="002D774B" w:rsidRDefault="00E97EE6" w:rsidP="003E1000">
            <w:pPr>
              <w:keepNext/>
              <w:keepLines/>
              <w:jc w:val="center"/>
              <w:rPr>
                <w:rFonts w:cs="Arial"/>
                <w:lang w:val="es-ES_tradnl"/>
              </w:rPr>
            </w:pPr>
            <w:r w:rsidRPr="002D774B">
              <w:rPr>
                <w:rFonts w:cs="Arial"/>
                <w:lang w:val="es-ES_tradnl"/>
              </w:rPr>
              <w:t>3</w:t>
            </w:r>
          </w:p>
        </w:tc>
      </w:tr>
      <w:tr w:rsidR="00E97EE6" w:rsidRPr="002D774B" w14:paraId="035CE2D3" w14:textId="77777777" w:rsidTr="003E1000">
        <w:trPr>
          <w:trHeight w:val="255"/>
          <w:jc w:val="center"/>
        </w:trPr>
        <w:tc>
          <w:tcPr>
            <w:tcW w:w="4440" w:type="dxa"/>
            <w:tcBorders>
              <w:top w:val="single" w:sz="4" w:space="0" w:color="auto"/>
              <w:left w:val="single" w:sz="4" w:space="0" w:color="auto"/>
              <w:bottom w:val="single" w:sz="4" w:space="0" w:color="auto"/>
              <w:right w:val="single" w:sz="4" w:space="0" w:color="auto"/>
            </w:tcBorders>
            <w:hideMark/>
          </w:tcPr>
          <w:p w14:paraId="123055EE" w14:textId="77777777" w:rsidR="00E97EE6" w:rsidRPr="002D774B" w:rsidRDefault="00E97EE6" w:rsidP="003E1000">
            <w:pPr>
              <w:keepNext/>
              <w:keepLines/>
              <w:ind w:left="317"/>
              <w:jc w:val="left"/>
              <w:rPr>
                <w:rFonts w:cs="Arial"/>
                <w:lang w:val="es-ES_tradnl"/>
              </w:rPr>
            </w:pPr>
            <w:r w:rsidRPr="002D774B">
              <w:rPr>
                <w:rFonts w:cs="Arial"/>
                <w:lang w:val="es-ES_tradnl"/>
              </w:rPr>
              <w:tab/>
              <w:t xml:space="preserve">Puestos de la categoría profesional </w:t>
            </w:r>
          </w:p>
        </w:tc>
        <w:tc>
          <w:tcPr>
            <w:tcW w:w="1284" w:type="dxa"/>
            <w:tcBorders>
              <w:top w:val="single" w:sz="4" w:space="0" w:color="auto"/>
              <w:left w:val="single" w:sz="4" w:space="0" w:color="auto"/>
              <w:bottom w:val="single" w:sz="4" w:space="0" w:color="auto"/>
              <w:right w:val="single" w:sz="4" w:space="0" w:color="auto"/>
            </w:tcBorders>
            <w:hideMark/>
          </w:tcPr>
          <w:p w14:paraId="635D37BE" w14:textId="77777777" w:rsidR="00E97EE6" w:rsidRPr="002D774B" w:rsidRDefault="00E97EE6" w:rsidP="003E1000">
            <w:pPr>
              <w:keepNext/>
              <w:keepLines/>
              <w:jc w:val="center"/>
              <w:rPr>
                <w:rFonts w:cs="Arial"/>
                <w:lang w:val="es-ES_tradnl"/>
              </w:rPr>
            </w:pPr>
            <w:r w:rsidRPr="002D774B">
              <w:rPr>
                <w:rFonts w:cs="Arial"/>
                <w:lang w:val="es-ES_tradnl"/>
              </w:rPr>
              <w:t>6</w:t>
            </w:r>
          </w:p>
        </w:tc>
        <w:tc>
          <w:tcPr>
            <w:tcW w:w="1284" w:type="dxa"/>
            <w:tcBorders>
              <w:top w:val="single" w:sz="4" w:space="0" w:color="auto"/>
              <w:left w:val="single" w:sz="4" w:space="0" w:color="auto"/>
              <w:bottom w:val="single" w:sz="4" w:space="0" w:color="auto"/>
              <w:right w:val="single" w:sz="4" w:space="0" w:color="auto"/>
            </w:tcBorders>
          </w:tcPr>
          <w:p w14:paraId="0A305B47" w14:textId="77777777" w:rsidR="00E97EE6" w:rsidRPr="002D774B" w:rsidRDefault="00E97EE6" w:rsidP="003E1000">
            <w:pPr>
              <w:keepNext/>
              <w:keepLines/>
              <w:jc w:val="center"/>
              <w:rPr>
                <w:rFonts w:cs="Arial"/>
                <w:lang w:val="es-ES_tradnl"/>
              </w:rPr>
            </w:pPr>
            <w:r w:rsidRPr="002D774B">
              <w:rPr>
                <w:rFonts w:cs="Arial"/>
                <w:lang w:val="es-ES_tradnl"/>
              </w:rPr>
              <w:t>7</w:t>
            </w:r>
          </w:p>
        </w:tc>
        <w:tc>
          <w:tcPr>
            <w:tcW w:w="1284" w:type="dxa"/>
            <w:tcBorders>
              <w:top w:val="single" w:sz="4" w:space="0" w:color="auto"/>
              <w:left w:val="single" w:sz="4" w:space="0" w:color="auto"/>
              <w:bottom w:val="single" w:sz="4" w:space="0" w:color="auto"/>
              <w:right w:val="single" w:sz="4" w:space="0" w:color="auto"/>
            </w:tcBorders>
          </w:tcPr>
          <w:p w14:paraId="7C2A71CE" w14:textId="77777777" w:rsidR="00E97EE6" w:rsidRPr="002D774B" w:rsidRDefault="00E97EE6" w:rsidP="003E1000">
            <w:pPr>
              <w:keepNext/>
              <w:keepLines/>
              <w:jc w:val="center"/>
              <w:rPr>
                <w:rFonts w:cs="Arial"/>
                <w:lang w:val="es-ES_tradnl"/>
              </w:rPr>
            </w:pPr>
            <w:r w:rsidRPr="002D774B">
              <w:rPr>
                <w:rFonts w:cs="Arial"/>
                <w:lang w:val="es-ES_tradnl"/>
              </w:rPr>
              <w:t>7</w:t>
            </w:r>
          </w:p>
        </w:tc>
      </w:tr>
      <w:tr w:rsidR="00E97EE6" w:rsidRPr="002D774B" w14:paraId="6763ACC5" w14:textId="77777777" w:rsidTr="003E1000">
        <w:trPr>
          <w:trHeight w:val="255"/>
          <w:jc w:val="center"/>
        </w:trPr>
        <w:tc>
          <w:tcPr>
            <w:tcW w:w="4440" w:type="dxa"/>
            <w:tcBorders>
              <w:top w:val="single" w:sz="4" w:space="0" w:color="auto"/>
              <w:left w:val="single" w:sz="4" w:space="0" w:color="auto"/>
              <w:bottom w:val="single" w:sz="4" w:space="0" w:color="auto"/>
              <w:right w:val="single" w:sz="4" w:space="0" w:color="auto"/>
            </w:tcBorders>
            <w:hideMark/>
          </w:tcPr>
          <w:p w14:paraId="1D767D37" w14:textId="77777777" w:rsidR="00E97EE6" w:rsidRPr="002D774B" w:rsidRDefault="00E97EE6" w:rsidP="003E1000">
            <w:pPr>
              <w:keepNext/>
              <w:keepLines/>
              <w:ind w:left="317"/>
              <w:jc w:val="left"/>
              <w:rPr>
                <w:rFonts w:cs="Arial"/>
                <w:lang w:val="es-ES_tradnl"/>
              </w:rPr>
            </w:pPr>
            <w:r w:rsidRPr="002D774B">
              <w:rPr>
                <w:rFonts w:cs="Arial"/>
                <w:lang w:val="es-ES_tradnl"/>
              </w:rPr>
              <w:tab/>
              <w:t>Servicios generales</w:t>
            </w:r>
          </w:p>
        </w:tc>
        <w:tc>
          <w:tcPr>
            <w:tcW w:w="1284" w:type="dxa"/>
            <w:tcBorders>
              <w:top w:val="single" w:sz="4" w:space="0" w:color="auto"/>
              <w:left w:val="single" w:sz="4" w:space="0" w:color="auto"/>
              <w:bottom w:val="single" w:sz="4" w:space="0" w:color="auto"/>
              <w:right w:val="single" w:sz="4" w:space="0" w:color="auto"/>
            </w:tcBorders>
            <w:hideMark/>
          </w:tcPr>
          <w:p w14:paraId="65AE622C" w14:textId="77777777" w:rsidR="00E97EE6" w:rsidRPr="002D774B" w:rsidRDefault="00E97EE6" w:rsidP="003E1000">
            <w:pPr>
              <w:keepNext/>
              <w:keepLines/>
              <w:jc w:val="center"/>
              <w:rPr>
                <w:rFonts w:cs="Arial"/>
                <w:lang w:val="es-ES_tradnl"/>
              </w:rPr>
            </w:pPr>
            <w:r w:rsidRPr="002D774B">
              <w:rPr>
                <w:rFonts w:cs="Arial"/>
                <w:lang w:val="es-ES_tradnl"/>
              </w:rPr>
              <w:t>4</w:t>
            </w:r>
          </w:p>
        </w:tc>
        <w:tc>
          <w:tcPr>
            <w:tcW w:w="1284" w:type="dxa"/>
            <w:tcBorders>
              <w:top w:val="single" w:sz="4" w:space="0" w:color="auto"/>
              <w:left w:val="single" w:sz="4" w:space="0" w:color="auto"/>
              <w:bottom w:val="single" w:sz="4" w:space="0" w:color="auto"/>
              <w:right w:val="single" w:sz="4" w:space="0" w:color="auto"/>
            </w:tcBorders>
          </w:tcPr>
          <w:p w14:paraId="6DF91EDA" w14:textId="77777777" w:rsidR="00E97EE6" w:rsidRPr="002D774B" w:rsidRDefault="00E97EE6" w:rsidP="003E1000">
            <w:pPr>
              <w:keepNext/>
              <w:keepLines/>
              <w:jc w:val="center"/>
              <w:rPr>
                <w:rFonts w:cs="Arial"/>
                <w:lang w:val="es-ES_tradnl"/>
              </w:rPr>
            </w:pPr>
            <w:r w:rsidRPr="002D774B">
              <w:rPr>
                <w:rFonts w:cs="Arial"/>
                <w:lang w:val="es-ES_tradnl"/>
              </w:rPr>
              <w:t>5</w:t>
            </w:r>
          </w:p>
        </w:tc>
        <w:tc>
          <w:tcPr>
            <w:tcW w:w="1284" w:type="dxa"/>
            <w:tcBorders>
              <w:top w:val="single" w:sz="4" w:space="0" w:color="auto"/>
              <w:left w:val="single" w:sz="4" w:space="0" w:color="auto"/>
              <w:bottom w:val="single" w:sz="4" w:space="0" w:color="auto"/>
              <w:right w:val="single" w:sz="4" w:space="0" w:color="auto"/>
            </w:tcBorders>
          </w:tcPr>
          <w:p w14:paraId="09218E7B" w14:textId="77777777" w:rsidR="00E97EE6" w:rsidRPr="002D774B" w:rsidRDefault="00E97EE6" w:rsidP="003E1000">
            <w:pPr>
              <w:keepNext/>
              <w:keepLines/>
              <w:jc w:val="center"/>
              <w:rPr>
                <w:rFonts w:cs="Arial"/>
                <w:lang w:val="es-ES_tradnl"/>
              </w:rPr>
            </w:pPr>
            <w:r w:rsidRPr="002D774B">
              <w:rPr>
                <w:rFonts w:cs="Arial"/>
                <w:lang w:val="es-ES_tradnl"/>
              </w:rPr>
              <w:t>5</w:t>
            </w:r>
          </w:p>
        </w:tc>
      </w:tr>
      <w:tr w:rsidR="00E97EE6" w:rsidRPr="002D774B" w14:paraId="56583F13" w14:textId="77777777" w:rsidTr="003E1000">
        <w:trPr>
          <w:trHeight w:val="255"/>
          <w:jc w:val="center"/>
        </w:trPr>
        <w:tc>
          <w:tcPr>
            <w:tcW w:w="4440" w:type="dxa"/>
            <w:tcBorders>
              <w:top w:val="single" w:sz="4" w:space="0" w:color="auto"/>
              <w:left w:val="single" w:sz="4" w:space="0" w:color="auto"/>
              <w:bottom w:val="single" w:sz="4" w:space="0" w:color="auto"/>
              <w:right w:val="single" w:sz="4" w:space="0" w:color="auto"/>
            </w:tcBorders>
            <w:hideMark/>
          </w:tcPr>
          <w:p w14:paraId="75E7E239" w14:textId="77777777" w:rsidR="00E97EE6" w:rsidRPr="002D774B" w:rsidRDefault="00E97EE6" w:rsidP="003E1000">
            <w:pPr>
              <w:keepNext/>
              <w:keepLines/>
              <w:jc w:val="left"/>
              <w:rPr>
                <w:rFonts w:cs="Arial"/>
                <w:b/>
                <w:lang w:val="es-ES_tradnl"/>
              </w:rPr>
            </w:pPr>
            <w:r w:rsidRPr="002D774B">
              <w:rPr>
                <w:rFonts w:cs="Arial"/>
                <w:b/>
                <w:lang w:val="es-ES_tradnl"/>
              </w:rPr>
              <w:t xml:space="preserve">Total </w:t>
            </w:r>
          </w:p>
        </w:tc>
        <w:tc>
          <w:tcPr>
            <w:tcW w:w="1284" w:type="dxa"/>
            <w:tcBorders>
              <w:top w:val="single" w:sz="4" w:space="0" w:color="auto"/>
              <w:left w:val="single" w:sz="4" w:space="0" w:color="auto"/>
              <w:bottom w:val="single" w:sz="4" w:space="0" w:color="auto"/>
              <w:right w:val="single" w:sz="4" w:space="0" w:color="auto"/>
            </w:tcBorders>
            <w:hideMark/>
          </w:tcPr>
          <w:p w14:paraId="5BDE8AAF" w14:textId="77777777" w:rsidR="00E97EE6" w:rsidRPr="002D774B" w:rsidRDefault="00E97EE6" w:rsidP="003E1000">
            <w:pPr>
              <w:keepNext/>
              <w:keepLines/>
              <w:jc w:val="center"/>
              <w:rPr>
                <w:rFonts w:cs="Arial"/>
                <w:b/>
                <w:lang w:val="es-ES_tradnl"/>
              </w:rPr>
            </w:pPr>
            <w:r w:rsidRPr="002D774B">
              <w:rPr>
                <w:rFonts w:cs="Arial"/>
                <w:b/>
                <w:lang w:val="es-ES_tradnl"/>
              </w:rPr>
              <w:t>13</w:t>
            </w:r>
          </w:p>
        </w:tc>
        <w:tc>
          <w:tcPr>
            <w:tcW w:w="1284" w:type="dxa"/>
            <w:tcBorders>
              <w:top w:val="single" w:sz="4" w:space="0" w:color="auto"/>
              <w:left w:val="single" w:sz="4" w:space="0" w:color="auto"/>
              <w:bottom w:val="single" w:sz="4" w:space="0" w:color="auto"/>
              <w:right w:val="single" w:sz="4" w:space="0" w:color="auto"/>
            </w:tcBorders>
          </w:tcPr>
          <w:p w14:paraId="037B3DA9" w14:textId="77777777" w:rsidR="00E97EE6" w:rsidRPr="002D774B" w:rsidRDefault="00E97EE6" w:rsidP="003E1000">
            <w:pPr>
              <w:keepNext/>
              <w:keepLines/>
              <w:jc w:val="center"/>
              <w:rPr>
                <w:rFonts w:cs="Arial"/>
                <w:b/>
                <w:lang w:val="es-ES_tradnl"/>
              </w:rPr>
            </w:pPr>
            <w:r w:rsidRPr="002D774B">
              <w:rPr>
                <w:rFonts w:cs="Arial"/>
                <w:b/>
                <w:lang w:val="es-ES_tradnl"/>
              </w:rPr>
              <w:t>15</w:t>
            </w:r>
          </w:p>
        </w:tc>
        <w:tc>
          <w:tcPr>
            <w:tcW w:w="1284" w:type="dxa"/>
            <w:tcBorders>
              <w:top w:val="single" w:sz="4" w:space="0" w:color="auto"/>
              <w:left w:val="single" w:sz="4" w:space="0" w:color="auto"/>
              <w:bottom w:val="single" w:sz="4" w:space="0" w:color="auto"/>
              <w:right w:val="single" w:sz="4" w:space="0" w:color="auto"/>
            </w:tcBorders>
          </w:tcPr>
          <w:p w14:paraId="29F926F5" w14:textId="77777777" w:rsidR="00E97EE6" w:rsidRPr="002D774B" w:rsidRDefault="00E97EE6" w:rsidP="003E1000">
            <w:pPr>
              <w:keepNext/>
              <w:keepLines/>
              <w:jc w:val="center"/>
              <w:rPr>
                <w:rFonts w:cs="Arial"/>
                <w:b/>
                <w:lang w:val="es-ES_tradnl"/>
              </w:rPr>
            </w:pPr>
            <w:r w:rsidRPr="002D774B">
              <w:rPr>
                <w:rFonts w:cs="Arial"/>
                <w:b/>
                <w:lang w:val="es-ES_tradnl"/>
              </w:rPr>
              <w:t>15</w:t>
            </w:r>
          </w:p>
        </w:tc>
      </w:tr>
      <w:tr w:rsidR="00E97EE6" w:rsidRPr="002D774B" w14:paraId="184392A5" w14:textId="77777777" w:rsidTr="003E1000">
        <w:trPr>
          <w:trHeight w:val="255"/>
          <w:jc w:val="center"/>
        </w:trPr>
        <w:tc>
          <w:tcPr>
            <w:tcW w:w="4440" w:type="dxa"/>
            <w:tcBorders>
              <w:top w:val="single" w:sz="4" w:space="0" w:color="auto"/>
              <w:left w:val="single" w:sz="4" w:space="0" w:color="auto"/>
              <w:bottom w:val="single" w:sz="4" w:space="0" w:color="auto"/>
              <w:right w:val="single" w:sz="4" w:space="0" w:color="auto"/>
            </w:tcBorders>
          </w:tcPr>
          <w:p w14:paraId="12788CFA" w14:textId="77777777" w:rsidR="00E97EE6" w:rsidRPr="002D774B" w:rsidRDefault="00E97EE6" w:rsidP="003E1000">
            <w:pPr>
              <w:keepNext/>
              <w:keepLines/>
              <w:jc w:val="left"/>
              <w:rPr>
                <w:rFonts w:cs="Arial"/>
                <w:lang w:val="es-ES_tradnl"/>
              </w:rPr>
            </w:pPr>
          </w:p>
        </w:tc>
        <w:tc>
          <w:tcPr>
            <w:tcW w:w="1284" w:type="dxa"/>
            <w:tcBorders>
              <w:top w:val="single" w:sz="4" w:space="0" w:color="auto"/>
              <w:left w:val="single" w:sz="4" w:space="0" w:color="auto"/>
              <w:bottom w:val="single" w:sz="4" w:space="0" w:color="auto"/>
              <w:right w:val="single" w:sz="4" w:space="0" w:color="auto"/>
            </w:tcBorders>
          </w:tcPr>
          <w:p w14:paraId="35C51AD4" w14:textId="77777777" w:rsidR="00E97EE6" w:rsidRPr="002D774B" w:rsidRDefault="00E97EE6" w:rsidP="003E1000">
            <w:pPr>
              <w:keepNext/>
              <w:keepLines/>
              <w:jc w:val="center"/>
              <w:rPr>
                <w:rFonts w:cs="Arial"/>
                <w:lang w:val="es-ES_tradnl"/>
              </w:rPr>
            </w:pPr>
          </w:p>
        </w:tc>
        <w:tc>
          <w:tcPr>
            <w:tcW w:w="1284" w:type="dxa"/>
            <w:tcBorders>
              <w:top w:val="single" w:sz="4" w:space="0" w:color="auto"/>
              <w:left w:val="single" w:sz="4" w:space="0" w:color="auto"/>
              <w:bottom w:val="single" w:sz="4" w:space="0" w:color="auto"/>
              <w:right w:val="single" w:sz="4" w:space="0" w:color="auto"/>
            </w:tcBorders>
          </w:tcPr>
          <w:p w14:paraId="65A2FFD8" w14:textId="77777777" w:rsidR="00E97EE6" w:rsidRPr="002D774B" w:rsidRDefault="00E97EE6" w:rsidP="003E1000">
            <w:pPr>
              <w:keepNext/>
              <w:keepLines/>
              <w:jc w:val="center"/>
              <w:rPr>
                <w:rFonts w:cs="Arial"/>
                <w:lang w:val="es-ES_tradnl"/>
              </w:rPr>
            </w:pPr>
          </w:p>
        </w:tc>
        <w:tc>
          <w:tcPr>
            <w:tcW w:w="1284" w:type="dxa"/>
            <w:tcBorders>
              <w:top w:val="single" w:sz="4" w:space="0" w:color="auto"/>
              <w:left w:val="single" w:sz="4" w:space="0" w:color="auto"/>
              <w:bottom w:val="single" w:sz="4" w:space="0" w:color="auto"/>
              <w:right w:val="single" w:sz="4" w:space="0" w:color="auto"/>
            </w:tcBorders>
          </w:tcPr>
          <w:p w14:paraId="393DF097" w14:textId="77777777" w:rsidR="00E97EE6" w:rsidRPr="002D774B" w:rsidRDefault="00E97EE6" w:rsidP="003E1000">
            <w:pPr>
              <w:keepNext/>
              <w:keepLines/>
              <w:jc w:val="center"/>
              <w:rPr>
                <w:rFonts w:cs="Arial"/>
                <w:lang w:val="es-ES_tradnl"/>
              </w:rPr>
            </w:pPr>
          </w:p>
        </w:tc>
      </w:tr>
      <w:tr w:rsidR="00E97EE6" w:rsidRPr="002D774B" w14:paraId="741DCED3" w14:textId="77777777" w:rsidTr="003E1000">
        <w:trPr>
          <w:trHeight w:val="255"/>
          <w:jc w:val="center"/>
        </w:trPr>
        <w:tc>
          <w:tcPr>
            <w:tcW w:w="4440" w:type="dxa"/>
            <w:tcBorders>
              <w:top w:val="single" w:sz="4" w:space="0" w:color="auto"/>
              <w:left w:val="single" w:sz="4" w:space="0" w:color="auto"/>
              <w:bottom w:val="single" w:sz="4" w:space="0" w:color="auto"/>
              <w:right w:val="single" w:sz="4" w:space="0" w:color="auto"/>
            </w:tcBorders>
            <w:hideMark/>
          </w:tcPr>
          <w:p w14:paraId="735D89D9" w14:textId="77777777" w:rsidR="00E97EE6" w:rsidRPr="002D774B" w:rsidRDefault="00E97EE6" w:rsidP="003E1000">
            <w:pPr>
              <w:keepNext/>
              <w:keepLines/>
              <w:jc w:val="left"/>
              <w:rPr>
                <w:rFonts w:cs="Arial"/>
                <w:b/>
                <w:lang w:val="es-ES_tradnl"/>
              </w:rPr>
            </w:pPr>
            <w:r w:rsidRPr="002D774B">
              <w:rPr>
                <w:rFonts w:cs="Arial"/>
                <w:b/>
                <w:lang w:val="es-ES_tradnl"/>
              </w:rPr>
              <w:t>Otros recursos humanos</w:t>
            </w:r>
          </w:p>
        </w:tc>
        <w:tc>
          <w:tcPr>
            <w:tcW w:w="1284" w:type="dxa"/>
            <w:tcBorders>
              <w:top w:val="single" w:sz="4" w:space="0" w:color="auto"/>
              <w:left w:val="single" w:sz="4" w:space="0" w:color="auto"/>
              <w:bottom w:val="single" w:sz="4" w:space="0" w:color="auto"/>
              <w:right w:val="single" w:sz="4" w:space="0" w:color="auto"/>
            </w:tcBorders>
          </w:tcPr>
          <w:p w14:paraId="667E35BA" w14:textId="77777777" w:rsidR="00E97EE6" w:rsidRPr="002D774B" w:rsidRDefault="00E97EE6" w:rsidP="003E1000">
            <w:pPr>
              <w:keepNext/>
              <w:keepLines/>
              <w:jc w:val="center"/>
              <w:rPr>
                <w:rFonts w:cs="Arial"/>
                <w:lang w:val="es-ES_tradnl"/>
              </w:rPr>
            </w:pPr>
          </w:p>
        </w:tc>
        <w:tc>
          <w:tcPr>
            <w:tcW w:w="1284" w:type="dxa"/>
            <w:tcBorders>
              <w:top w:val="single" w:sz="4" w:space="0" w:color="auto"/>
              <w:left w:val="single" w:sz="4" w:space="0" w:color="auto"/>
              <w:bottom w:val="single" w:sz="4" w:space="0" w:color="auto"/>
              <w:right w:val="single" w:sz="4" w:space="0" w:color="auto"/>
            </w:tcBorders>
          </w:tcPr>
          <w:p w14:paraId="12E00FFE" w14:textId="77777777" w:rsidR="00E97EE6" w:rsidRPr="002D774B" w:rsidRDefault="00E97EE6" w:rsidP="003E1000">
            <w:pPr>
              <w:keepNext/>
              <w:keepLines/>
              <w:jc w:val="center"/>
              <w:rPr>
                <w:rFonts w:cs="Arial"/>
                <w:lang w:val="es-ES_tradnl"/>
              </w:rPr>
            </w:pPr>
          </w:p>
        </w:tc>
        <w:tc>
          <w:tcPr>
            <w:tcW w:w="1284" w:type="dxa"/>
            <w:tcBorders>
              <w:top w:val="single" w:sz="4" w:space="0" w:color="auto"/>
              <w:left w:val="single" w:sz="4" w:space="0" w:color="auto"/>
              <w:bottom w:val="single" w:sz="4" w:space="0" w:color="auto"/>
              <w:right w:val="single" w:sz="4" w:space="0" w:color="auto"/>
            </w:tcBorders>
          </w:tcPr>
          <w:p w14:paraId="38D23A92" w14:textId="77777777" w:rsidR="00E97EE6" w:rsidRPr="002D774B" w:rsidRDefault="00E97EE6" w:rsidP="003E1000">
            <w:pPr>
              <w:keepNext/>
              <w:keepLines/>
              <w:jc w:val="center"/>
              <w:rPr>
                <w:rFonts w:cs="Arial"/>
                <w:lang w:val="es-ES_tradnl"/>
              </w:rPr>
            </w:pPr>
          </w:p>
        </w:tc>
      </w:tr>
      <w:tr w:rsidR="00E97EE6" w:rsidRPr="002D774B" w14:paraId="7BBE689C" w14:textId="77777777" w:rsidTr="003E1000">
        <w:trPr>
          <w:trHeight w:val="255"/>
          <w:jc w:val="center"/>
        </w:trPr>
        <w:tc>
          <w:tcPr>
            <w:tcW w:w="4440" w:type="dxa"/>
            <w:tcBorders>
              <w:top w:val="single" w:sz="4" w:space="0" w:color="auto"/>
              <w:left w:val="single" w:sz="4" w:space="0" w:color="auto"/>
              <w:bottom w:val="single" w:sz="4" w:space="0" w:color="auto"/>
              <w:right w:val="single" w:sz="4" w:space="0" w:color="auto"/>
            </w:tcBorders>
            <w:hideMark/>
          </w:tcPr>
          <w:p w14:paraId="3694620C" w14:textId="77777777" w:rsidR="00E97EE6" w:rsidRPr="002D774B" w:rsidRDefault="00E97EE6" w:rsidP="003E1000">
            <w:pPr>
              <w:ind w:left="317"/>
              <w:jc w:val="left"/>
              <w:rPr>
                <w:rFonts w:cs="Arial"/>
                <w:lang w:val="es-ES_tradnl"/>
              </w:rPr>
            </w:pPr>
            <w:r w:rsidRPr="002D774B">
              <w:rPr>
                <w:rFonts w:cs="Arial"/>
                <w:lang w:val="es-ES_tradnl"/>
              </w:rPr>
              <w:t>Becarios/pasantes</w:t>
            </w:r>
          </w:p>
        </w:tc>
        <w:tc>
          <w:tcPr>
            <w:tcW w:w="1284" w:type="dxa"/>
            <w:tcBorders>
              <w:top w:val="single" w:sz="4" w:space="0" w:color="auto"/>
              <w:left w:val="single" w:sz="4" w:space="0" w:color="auto"/>
              <w:bottom w:val="single" w:sz="4" w:space="0" w:color="auto"/>
              <w:right w:val="single" w:sz="4" w:space="0" w:color="auto"/>
            </w:tcBorders>
            <w:hideMark/>
          </w:tcPr>
          <w:p w14:paraId="758247B0" w14:textId="77777777" w:rsidR="00E97EE6" w:rsidRPr="002D774B" w:rsidRDefault="00E97EE6" w:rsidP="003E1000">
            <w:pPr>
              <w:jc w:val="center"/>
              <w:rPr>
                <w:rFonts w:cs="Arial"/>
                <w:lang w:val="es-ES_tradnl"/>
              </w:rPr>
            </w:pPr>
            <w:r w:rsidRPr="002D774B">
              <w:rPr>
                <w:rFonts w:cs="Arial"/>
                <w:lang w:val="es-ES_tradnl"/>
              </w:rPr>
              <w:t>1</w:t>
            </w:r>
          </w:p>
        </w:tc>
        <w:tc>
          <w:tcPr>
            <w:tcW w:w="1284" w:type="dxa"/>
            <w:tcBorders>
              <w:top w:val="single" w:sz="4" w:space="0" w:color="auto"/>
              <w:left w:val="single" w:sz="4" w:space="0" w:color="auto"/>
              <w:bottom w:val="single" w:sz="4" w:space="0" w:color="auto"/>
              <w:right w:val="single" w:sz="4" w:space="0" w:color="auto"/>
            </w:tcBorders>
          </w:tcPr>
          <w:p w14:paraId="22052945" w14:textId="77777777" w:rsidR="00E97EE6" w:rsidRPr="002D774B" w:rsidRDefault="00E97EE6" w:rsidP="003E1000">
            <w:pPr>
              <w:jc w:val="center"/>
              <w:rPr>
                <w:rFonts w:cs="Arial"/>
                <w:lang w:val="es-ES_tradnl"/>
              </w:rPr>
            </w:pPr>
            <w:r w:rsidRPr="002D774B">
              <w:rPr>
                <w:rFonts w:cs="Arial"/>
                <w:lang w:val="es-ES_tradnl"/>
              </w:rPr>
              <w:t>2</w:t>
            </w:r>
          </w:p>
        </w:tc>
        <w:tc>
          <w:tcPr>
            <w:tcW w:w="1284" w:type="dxa"/>
            <w:tcBorders>
              <w:top w:val="single" w:sz="4" w:space="0" w:color="auto"/>
              <w:left w:val="single" w:sz="4" w:space="0" w:color="auto"/>
              <w:bottom w:val="single" w:sz="4" w:space="0" w:color="auto"/>
              <w:right w:val="single" w:sz="4" w:space="0" w:color="auto"/>
            </w:tcBorders>
          </w:tcPr>
          <w:p w14:paraId="3B0CF922" w14:textId="77777777" w:rsidR="00E97EE6" w:rsidRPr="002D774B" w:rsidRDefault="00E97EE6" w:rsidP="003E1000">
            <w:pPr>
              <w:jc w:val="center"/>
              <w:rPr>
                <w:rFonts w:cs="Arial"/>
                <w:lang w:val="es-ES_tradnl"/>
              </w:rPr>
            </w:pPr>
            <w:r w:rsidRPr="002D774B">
              <w:rPr>
                <w:rFonts w:cs="Arial"/>
                <w:lang w:val="es-ES_tradnl"/>
              </w:rPr>
              <w:t>2</w:t>
            </w:r>
          </w:p>
        </w:tc>
      </w:tr>
      <w:tr w:rsidR="00E97EE6" w:rsidRPr="002D774B" w14:paraId="379AC0CB" w14:textId="77777777" w:rsidTr="003E1000">
        <w:trPr>
          <w:trHeight w:val="255"/>
          <w:jc w:val="center"/>
        </w:trPr>
        <w:tc>
          <w:tcPr>
            <w:tcW w:w="4440" w:type="dxa"/>
            <w:tcBorders>
              <w:top w:val="single" w:sz="4" w:space="0" w:color="auto"/>
              <w:left w:val="single" w:sz="4" w:space="0" w:color="auto"/>
              <w:bottom w:val="single" w:sz="4" w:space="0" w:color="auto"/>
              <w:right w:val="single" w:sz="4" w:space="0" w:color="auto"/>
            </w:tcBorders>
            <w:hideMark/>
          </w:tcPr>
          <w:p w14:paraId="52C03204" w14:textId="77777777" w:rsidR="00E97EE6" w:rsidRPr="002D774B" w:rsidRDefault="00E97EE6" w:rsidP="003E1000">
            <w:pPr>
              <w:ind w:left="317"/>
              <w:jc w:val="left"/>
              <w:rPr>
                <w:rFonts w:cs="Arial"/>
                <w:lang w:val="es-ES_tradnl"/>
              </w:rPr>
            </w:pPr>
            <w:r w:rsidRPr="002D774B">
              <w:rPr>
                <w:rFonts w:cs="Arial"/>
                <w:lang w:val="es-ES_tradnl"/>
              </w:rPr>
              <w:t xml:space="preserve">Trabajadores de agencias </w:t>
            </w:r>
          </w:p>
        </w:tc>
        <w:tc>
          <w:tcPr>
            <w:tcW w:w="1284" w:type="dxa"/>
            <w:tcBorders>
              <w:top w:val="single" w:sz="4" w:space="0" w:color="auto"/>
              <w:left w:val="single" w:sz="4" w:space="0" w:color="auto"/>
              <w:bottom w:val="single" w:sz="4" w:space="0" w:color="auto"/>
              <w:right w:val="single" w:sz="4" w:space="0" w:color="auto"/>
            </w:tcBorders>
            <w:hideMark/>
          </w:tcPr>
          <w:p w14:paraId="324B9B58" w14:textId="77777777" w:rsidR="00E97EE6" w:rsidRPr="002D774B" w:rsidRDefault="00E97EE6" w:rsidP="003E1000">
            <w:pPr>
              <w:jc w:val="center"/>
              <w:rPr>
                <w:rFonts w:cs="Arial"/>
                <w:lang w:val="es-ES_tradnl"/>
              </w:rPr>
            </w:pPr>
            <w:r w:rsidRPr="002D774B">
              <w:rPr>
                <w:rFonts w:cs="Arial"/>
                <w:lang w:val="es-ES_tradnl"/>
              </w:rPr>
              <w:t>2</w:t>
            </w:r>
          </w:p>
        </w:tc>
        <w:tc>
          <w:tcPr>
            <w:tcW w:w="1284" w:type="dxa"/>
            <w:tcBorders>
              <w:top w:val="single" w:sz="4" w:space="0" w:color="auto"/>
              <w:left w:val="single" w:sz="4" w:space="0" w:color="auto"/>
              <w:bottom w:val="single" w:sz="4" w:space="0" w:color="auto"/>
              <w:right w:val="single" w:sz="4" w:space="0" w:color="auto"/>
            </w:tcBorders>
          </w:tcPr>
          <w:p w14:paraId="19935B48" w14:textId="77777777" w:rsidR="00E97EE6" w:rsidRPr="002D774B" w:rsidRDefault="00E97EE6" w:rsidP="003E1000">
            <w:pPr>
              <w:jc w:val="center"/>
              <w:rPr>
                <w:rFonts w:cs="Arial"/>
                <w:lang w:val="es-ES_tradnl"/>
              </w:rPr>
            </w:pPr>
            <w:r w:rsidRPr="002D774B">
              <w:rPr>
                <w:rFonts w:cs="Arial"/>
                <w:lang w:val="es-ES_tradnl"/>
              </w:rPr>
              <w:t>1</w:t>
            </w:r>
          </w:p>
        </w:tc>
        <w:tc>
          <w:tcPr>
            <w:tcW w:w="1284" w:type="dxa"/>
            <w:tcBorders>
              <w:top w:val="single" w:sz="4" w:space="0" w:color="auto"/>
              <w:left w:val="single" w:sz="4" w:space="0" w:color="auto"/>
              <w:bottom w:val="single" w:sz="4" w:space="0" w:color="auto"/>
              <w:right w:val="single" w:sz="4" w:space="0" w:color="auto"/>
            </w:tcBorders>
          </w:tcPr>
          <w:p w14:paraId="4521AA9A" w14:textId="77777777" w:rsidR="00E97EE6" w:rsidRPr="002D774B" w:rsidRDefault="00E97EE6" w:rsidP="003E1000">
            <w:pPr>
              <w:jc w:val="center"/>
              <w:rPr>
                <w:rFonts w:cs="Arial"/>
                <w:lang w:val="es-ES_tradnl"/>
              </w:rPr>
            </w:pPr>
            <w:r w:rsidRPr="002D774B">
              <w:rPr>
                <w:rFonts w:cs="Arial"/>
                <w:lang w:val="es-ES_tradnl"/>
              </w:rPr>
              <w:t>1</w:t>
            </w:r>
          </w:p>
        </w:tc>
      </w:tr>
      <w:tr w:rsidR="00E97EE6" w:rsidRPr="002D774B" w14:paraId="26F3A1DA" w14:textId="77777777" w:rsidTr="003E1000">
        <w:trPr>
          <w:trHeight w:val="255"/>
          <w:jc w:val="center"/>
        </w:trPr>
        <w:tc>
          <w:tcPr>
            <w:tcW w:w="4440" w:type="dxa"/>
            <w:tcBorders>
              <w:top w:val="single" w:sz="4" w:space="0" w:color="auto"/>
              <w:left w:val="single" w:sz="4" w:space="0" w:color="auto"/>
              <w:bottom w:val="single" w:sz="4" w:space="0" w:color="auto"/>
              <w:right w:val="single" w:sz="4" w:space="0" w:color="auto"/>
            </w:tcBorders>
            <w:hideMark/>
          </w:tcPr>
          <w:p w14:paraId="46E30656" w14:textId="77777777" w:rsidR="00E97EE6" w:rsidRPr="002D774B" w:rsidRDefault="00E97EE6" w:rsidP="003E1000">
            <w:pPr>
              <w:ind w:left="317"/>
              <w:jc w:val="left"/>
              <w:rPr>
                <w:rFonts w:cs="Arial"/>
                <w:lang w:val="es-ES_tradnl"/>
              </w:rPr>
            </w:pPr>
            <w:r w:rsidRPr="002D774B">
              <w:rPr>
                <w:rFonts w:cs="Arial"/>
                <w:lang w:val="es-ES_tradnl"/>
              </w:rPr>
              <w:t>Funcionarios subalternos de la categoría profesional</w:t>
            </w:r>
          </w:p>
        </w:tc>
        <w:tc>
          <w:tcPr>
            <w:tcW w:w="1284" w:type="dxa"/>
            <w:tcBorders>
              <w:top w:val="single" w:sz="4" w:space="0" w:color="auto"/>
              <w:left w:val="single" w:sz="4" w:space="0" w:color="auto"/>
              <w:bottom w:val="single" w:sz="4" w:space="0" w:color="auto"/>
              <w:right w:val="single" w:sz="4" w:space="0" w:color="auto"/>
            </w:tcBorders>
            <w:hideMark/>
          </w:tcPr>
          <w:p w14:paraId="0E76DBE0" w14:textId="77777777" w:rsidR="00E97EE6" w:rsidRPr="002D774B" w:rsidRDefault="00E97EE6" w:rsidP="003E1000">
            <w:pPr>
              <w:jc w:val="center"/>
              <w:rPr>
                <w:rFonts w:cs="Arial"/>
                <w:lang w:val="es-ES_tradnl"/>
              </w:rPr>
            </w:pPr>
            <w:r w:rsidRPr="002D774B">
              <w:rPr>
                <w:rFonts w:cs="Arial"/>
                <w:lang w:val="es-ES_tradnl"/>
              </w:rPr>
              <w:t>-</w:t>
            </w:r>
          </w:p>
        </w:tc>
        <w:tc>
          <w:tcPr>
            <w:tcW w:w="1284" w:type="dxa"/>
            <w:tcBorders>
              <w:top w:val="single" w:sz="4" w:space="0" w:color="auto"/>
              <w:left w:val="single" w:sz="4" w:space="0" w:color="auto"/>
              <w:bottom w:val="single" w:sz="4" w:space="0" w:color="auto"/>
              <w:right w:val="single" w:sz="4" w:space="0" w:color="auto"/>
            </w:tcBorders>
          </w:tcPr>
          <w:p w14:paraId="00DDD08F" w14:textId="77777777" w:rsidR="00E97EE6" w:rsidRPr="002D774B" w:rsidRDefault="00E97EE6" w:rsidP="003E1000">
            <w:pPr>
              <w:jc w:val="center"/>
              <w:rPr>
                <w:rFonts w:cs="Arial"/>
                <w:lang w:val="es-ES_tradnl"/>
              </w:rPr>
            </w:pPr>
            <w:r w:rsidRPr="002D774B">
              <w:rPr>
                <w:rFonts w:cs="Arial"/>
                <w:lang w:val="es-ES_tradnl"/>
              </w:rPr>
              <w:t>2</w:t>
            </w:r>
          </w:p>
        </w:tc>
        <w:tc>
          <w:tcPr>
            <w:tcW w:w="1284" w:type="dxa"/>
            <w:tcBorders>
              <w:top w:val="single" w:sz="4" w:space="0" w:color="auto"/>
              <w:left w:val="single" w:sz="4" w:space="0" w:color="auto"/>
              <w:bottom w:val="single" w:sz="4" w:space="0" w:color="auto"/>
              <w:right w:val="single" w:sz="4" w:space="0" w:color="auto"/>
            </w:tcBorders>
          </w:tcPr>
          <w:p w14:paraId="5896A98E" w14:textId="77777777" w:rsidR="00E97EE6" w:rsidRPr="002D774B" w:rsidRDefault="00E97EE6" w:rsidP="003E1000">
            <w:pPr>
              <w:jc w:val="center"/>
              <w:rPr>
                <w:rFonts w:cs="Arial"/>
                <w:lang w:val="es-ES_tradnl"/>
              </w:rPr>
            </w:pPr>
            <w:r w:rsidRPr="002D774B">
              <w:rPr>
                <w:rFonts w:cs="Arial"/>
                <w:lang w:val="es-ES_tradnl"/>
              </w:rPr>
              <w:t>2</w:t>
            </w:r>
          </w:p>
        </w:tc>
      </w:tr>
    </w:tbl>
    <w:p w14:paraId="6B94F166" w14:textId="77777777" w:rsidR="00E97EE6" w:rsidRPr="002D774B" w:rsidRDefault="00E97EE6" w:rsidP="00E97EE6">
      <w:pPr>
        <w:ind w:left="1276"/>
        <w:rPr>
          <w:spacing w:val="-2"/>
          <w:sz w:val="18"/>
          <w:szCs w:val="24"/>
          <w:lang w:val="es-ES_tradnl"/>
        </w:rPr>
      </w:pPr>
    </w:p>
    <w:p w14:paraId="4BFDC1A7" w14:textId="77777777" w:rsidR="00E97EE6" w:rsidRPr="002D774B" w:rsidRDefault="00E97EE6" w:rsidP="00E97EE6">
      <w:pPr>
        <w:ind w:left="1276"/>
        <w:rPr>
          <w:spacing w:val="-2"/>
          <w:sz w:val="18"/>
          <w:szCs w:val="24"/>
          <w:lang w:val="es-ES_tradnl"/>
        </w:rPr>
      </w:pPr>
      <w:r w:rsidRPr="002D774B">
        <w:rPr>
          <w:spacing w:val="-2"/>
          <w:sz w:val="18"/>
          <w:szCs w:val="24"/>
          <w:lang w:val="es-ES_tradnl"/>
        </w:rPr>
        <w:t>* Incluye al Secretario General.</w:t>
      </w:r>
    </w:p>
    <w:p w14:paraId="60FAF736" w14:textId="77777777" w:rsidR="00E97EE6" w:rsidRPr="002D774B" w:rsidRDefault="00E97EE6" w:rsidP="00E97EE6">
      <w:pPr>
        <w:rPr>
          <w:spacing w:val="-2"/>
          <w:szCs w:val="24"/>
          <w:lang w:val="es-ES_tradnl"/>
        </w:rPr>
      </w:pPr>
    </w:p>
    <w:p w14:paraId="16EAC0C4" w14:textId="77777777" w:rsidR="00E97EE6" w:rsidRPr="002D774B" w:rsidRDefault="00E97EE6" w:rsidP="00E97EE6">
      <w:pPr>
        <w:rPr>
          <w:lang w:val="es-ES_tradnl"/>
        </w:rPr>
      </w:pPr>
    </w:p>
    <w:p w14:paraId="46F1D321" w14:textId="77777777" w:rsidR="00E97EE6" w:rsidRPr="002D774B" w:rsidRDefault="00E97EE6" w:rsidP="00E97EE6">
      <w:pPr>
        <w:rPr>
          <w:lang w:val="es-ES_tradnl"/>
        </w:rPr>
      </w:pPr>
    </w:p>
    <w:p w14:paraId="463D6E1B" w14:textId="77777777" w:rsidR="00E97EE6" w:rsidRPr="002D774B" w:rsidRDefault="00E97EE6" w:rsidP="00E97EE6">
      <w:pPr>
        <w:jc w:val="right"/>
        <w:rPr>
          <w:b/>
          <w:color w:val="365F91" w:themeColor="accent1" w:themeShade="BF"/>
          <w:lang w:val="es-ES_tradnl"/>
        </w:rPr>
      </w:pPr>
      <w:r w:rsidRPr="002D774B">
        <w:rPr>
          <w:lang w:val="es-ES_tradnl"/>
        </w:rPr>
        <w:t>[Fin del Anexo y del documento]</w:t>
      </w:r>
    </w:p>
    <w:p w14:paraId="2A6DA2D5" w14:textId="390C5527" w:rsidR="00E97EE6" w:rsidRPr="002D774B" w:rsidRDefault="00E97EE6" w:rsidP="00E97EE6">
      <w:pPr>
        <w:rPr>
          <w:lang w:val="es-ES_tradnl"/>
        </w:rPr>
      </w:pPr>
    </w:p>
    <w:sectPr w:rsidR="00E97EE6" w:rsidRPr="002D774B" w:rsidSect="003E1000">
      <w:headerReference w:type="default" r:id="rId19"/>
      <w:headerReference w:type="first" r:id="rId20"/>
      <w:pgSz w:w="11907" w:h="16840" w:code="9"/>
      <w:pgMar w:top="510" w:right="1134" w:bottom="993"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DC918" w14:textId="77777777" w:rsidR="003E1000" w:rsidRDefault="003E1000" w:rsidP="006655D3">
      <w:r>
        <w:separator/>
      </w:r>
    </w:p>
    <w:p w14:paraId="7A9864E6" w14:textId="77777777" w:rsidR="003E1000" w:rsidRDefault="003E1000" w:rsidP="006655D3"/>
    <w:p w14:paraId="4363BAD3" w14:textId="77777777" w:rsidR="003E1000" w:rsidRDefault="003E1000" w:rsidP="006655D3"/>
  </w:endnote>
  <w:endnote w:type="continuationSeparator" w:id="0">
    <w:p w14:paraId="623526C6" w14:textId="77777777" w:rsidR="003E1000" w:rsidRDefault="003E1000" w:rsidP="006655D3">
      <w:r>
        <w:separator/>
      </w:r>
    </w:p>
    <w:p w14:paraId="2C1D6275" w14:textId="77777777" w:rsidR="003E1000" w:rsidRPr="00294751" w:rsidRDefault="003E1000">
      <w:pPr>
        <w:pStyle w:val="Footer"/>
        <w:spacing w:after="60"/>
        <w:rPr>
          <w:sz w:val="18"/>
          <w:lang w:val="fr-FR"/>
        </w:rPr>
      </w:pPr>
      <w:r w:rsidRPr="00294751">
        <w:rPr>
          <w:sz w:val="18"/>
          <w:lang w:val="fr-FR"/>
        </w:rPr>
        <w:t>[Suite de la note de la page précédente]</w:t>
      </w:r>
    </w:p>
    <w:p w14:paraId="7E56E4E3" w14:textId="77777777" w:rsidR="003E1000" w:rsidRPr="00294751" w:rsidRDefault="003E1000" w:rsidP="006655D3">
      <w:pPr>
        <w:rPr>
          <w:lang w:val="fr-FR"/>
        </w:rPr>
      </w:pPr>
    </w:p>
    <w:p w14:paraId="6697D61E" w14:textId="77777777" w:rsidR="003E1000" w:rsidRPr="00294751" w:rsidRDefault="003E1000" w:rsidP="006655D3">
      <w:pPr>
        <w:rPr>
          <w:lang w:val="fr-FR"/>
        </w:rPr>
      </w:pPr>
    </w:p>
  </w:endnote>
  <w:endnote w:type="continuationNotice" w:id="1">
    <w:p w14:paraId="5741B9B9" w14:textId="77777777" w:rsidR="003E1000" w:rsidRPr="00294751" w:rsidRDefault="003E1000" w:rsidP="006655D3">
      <w:pPr>
        <w:rPr>
          <w:lang w:val="fr-FR"/>
        </w:rPr>
      </w:pPr>
      <w:r w:rsidRPr="00294751">
        <w:rPr>
          <w:lang w:val="fr-FR"/>
        </w:rPr>
        <w:t>[Suite de la note page suivante]</w:t>
      </w:r>
    </w:p>
    <w:p w14:paraId="0F7ED1F1" w14:textId="77777777" w:rsidR="003E1000" w:rsidRPr="00294751" w:rsidRDefault="003E1000" w:rsidP="006655D3">
      <w:pPr>
        <w:rPr>
          <w:lang w:val="fr-FR"/>
        </w:rPr>
      </w:pPr>
    </w:p>
    <w:p w14:paraId="0F48B4F7" w14:textId="77777777" w:rsidR="003E1000" w:rsidRPr="00294751" w:rsidRDefault="003E100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altName w:val="Arial Unicode MS"/>
    <w:panose1 w:val="02020603050405020304"/>
    <w:charset w:val="00"/>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ordia New">
    <w:altName w:val="Arial Unicode MS"/>
    <w:panose1 w:val="020B0304020202020204"/>
    <w:charset w:val="00"/>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99A07" w14:textId="77777777" w:rsidR="003E1000" w:rsidRDefault="003E1000" w:rsidP="006655D3">
      <w:r>
        <w:separator/>
      </w:r>
    </w:p>
  </w:footnote>
  <w:footnote w:type="continuationSeparator" w:id="0">
    <w:p w14:paraId="19B8F82F" w14:textId="77777777" w:rsidR="003E1000" w:rsidRDefault="003E1000" w:rsidP="006655D3">
      <w:r>
        <w:separator/>
      </w:r>
    </w:p>
  </w:footnote>
  <w:footnote w:type="continuationNotice" w:id="1">
    <w:p w14:paraId="2CA3250E" w14:textId="77777777" w:rsidR="003E1000" w:rsidRPr="00AB530F" w:rsidRDefault="003E1000"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AB26B" w14:textId="77777777" w:rsidR="003E1000" w:rsidRPr="00FC16A2" w:rsidRDefault="003E1000" w:rsidP="00EB048E">
    <w:pPr>
      <w:pStyle w:val="Header"/>
      <w:rPr>
        <w:rStyle w:val="PageNumber"/>
        <w:lang w:val="es-ES_tradnl"/>
      </w:rPr>
    </w:pPr>
    <w:r w:rsidRPr="00FC16A2">
      <w:rPr>
        <w:rStyle w:val="PageNumber"/>
        <w:lang w:val="es-ES_tradnl"/>
      </w:rPr>
      <w:t>CC/99/3</w:t>
    </w:r>
  </w:p>
  <w:p w14:paraId="269B7D0D" w14:textId="1ECE051F" w:rsidR="003E1000" w:rsidRPr="00FC16A2" w:rsidRDefault="003E1000" w:rsidP="00EB048E">
    <w:pPr>
      <w:pStyle w:val="Header"/>
      <w:rPr>
        <w:lang w:val="es-ES_tradnl"/>
      </w:rPr>
    </w:pPr>
    <w:r w:rsidRPr="00FC16A2">
      <w:rPr>
        <w:lang w:val="es-ES_tradnl"/>
      </w:rPr>
      <w:t xml:space="preserve">Anexo, página </w:t>
    </w:r>
    <w:r w:rsidRPr="00FC16A2">
      <w:rPr>
        <w:rStyle w:val="PageNumber"/>
        <w:lang w:val="es-ES_tradnl"/>
      </w:rPr>
      <w:fldChar w:fldCharType="begin"/>
    </w:r>
    <w:r w:rsidRPr="00FC16A2">
      <w:rPr>
        <w:rStyle w:val="PageNumber"/>
        <w:lang w:val="es-ES_tradnl"/>
      </w:rPr>
      <w:instrText xml:space="preserve"> PAGE </w:instrText>
    </w:r>
    <w:r w:rsidRPr="00FC16A2">
      <w:rPr>
        <w:rStyle w:val="PageNumber"/>
        <w:lang w:val="es-ES_tradnl"/>
      </w:rPr>
      <w:fldChar w:fldCharType="separate"/>
    </w:r>
    <w:r>
      <w:rPr>
        <w:rStyle w:val="PageNumber"/>
        <w:noProof/>
        <w:lang w:val="es-ES_tradnl"/>
      </w:rPr>
      <w:t>14</w:t>
    </w:r>
    <w:r w:rsidRPr="00FC16A2">
      <w:rPr>
        <w:rStyle w:val="PageNumber"/>
        <w:lang w:val="es-ES_tradnl"/>
      </w:rPr>
      <w:fldChar w:fldCharType="end"/>
    </w:r>
  </w:p>
  <w:p w14:paraId="36192ED2" w14:textId="77777777" w:rsidR="003E1000" w:rsidRPr="00FC16A2" w:rsidRDefault="003E1000" w:rsidP="006655D3">
    <w:pPr>
      <w:rPr>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DFB11" w14:textId="4FE13FB5" w:rsidR="003E1000" w:rsidRPr="00FC16A2" w:rsidRDefault="003E1000" w:rsidP="00EB048E">
    <w:pPr>
      <w:pStyle w:val="Header"/>
      <w:rPr>
        <w:rStyle w:val="PageNumber"/>
        <w:lang w:val="es-ES_tradnl"/>
      </w:rPr>
    </w:pPr>
    <w:r w:rsidRPr="00FC16A2">
      <w:rPr>
        <w:rStyle w:val="PageNumber"/>
        <w:lang w:val="es-ES_tradnl"/>
      </w:rPr>
      <w:t>C/</w:t>
    </w:r>
    <w:r>
      <w:rPr>
        <w:rStyle w:val="PageNumber"/>
        <w:lang w:val="es-ES_tradnl"/>
      </w:rPr>
      <w:t>55</w:t>
    </w:r>
    <w:r w:rsidRPr="00FC16A2">
      <w:rPr>
        <w:rStyle w:val="PageNumber"/>
        <w:lang w:val="es-ES_tradnl"/>
      </w:rPr>
      <w:t>/</w:t>
    </w:r>
    <w:r>
      <w:rPr>
        <w:rStyle w:val="PageNumber"/>
        <w:lang w:val="es-ES_tradnl"/>
      </w:rPr>
      <w:t>10</w:t>
    </w:r>
  </w:p>
  <w:p w14:paraId="46F573BF" w14:textId="3A43D201" w:rsidR="003E1000" w:rsidRPr="00FC16A2" w:rsidRDefault="003E1000" w:rsidP="00EB048E">
    <w:pPr>
      <w:pStyle w:val="Header"/>
      <w:rPr>
        <w:lang w:val="es-ES_tradnl"/>
      </w:rPr>
    </w:pPr>
    <w:r w:rsidRPr="00FC16A2">
      <w:rPr>
        <w:lang w:val="es-ES_tradnl"/>
      </w:rPr>
      <w:t xml:space="preserve">Anexo, página </w:t>
    </w:r>
    <w:r w:rsidRPr="00FC16A2">
      <w:rPr>
        <w:rStyle w:val="PageNumber"/>
        <w:lang w:val="es-ES_tradnl"/>
      </w:rPr>
      <w:fldChar w:fldCharType="begin"/>
    </w:r>
    <w:r w:rsidRPr="00FC16A2">
      <w:rPr>
        <w:rStyle w:val="PageNumber"/>
        <w:lang w:val="es-ES_tradnl"/>
      </w:rPr>
      <w:instrText xml:space="preserve"> PAGE </w:instrText>
    </w:r>
    <w:r w:rsidRPr="00FC16A2">
      <w:rPr>
        <w:rStyle w:val="PageNumber"/>
        <w:lang w:val="es-ES_tradnl"/>
      </w:rPr>
      <w:fldChar w:fldCharType="separate"/>
    </w:r>
    <w:r w:rsidR="006B4362">
      <w:rPr>
        <w:rStyle w:val="PageNumber"/>
        <w:noProof/>
        <w:lang w:val="es-ES_tradnl"/>
      </w:rPr>
      <w:t>5</w:t>
    </w:r>
    <w:r w:rsidRPr="00FC16A2">
      <w:rPr>
        <w:rStyle w:val="PageNumber"/>
        <w:lang w:val="es-ES_tradnl"/>
      </w:rPr>
      <w:fldChar w:fldCharType="end"/>
    </w:r>
  </w:p>
  <w:p w14:paraId="5166458B" w14:textId="77777777" w:rsidR="003E1000" w:rsidRPr="00FC16A2" w:rsidRDefault="003E1000" w:rsidP="006655D3">
    <w:pPr>
      <w:rPr>
        <w:lang w:val="es-ES_tradn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52AA6" w14:textId="701DB865" w:rsidR="003E1000" w:rsidRDefault="003E1000" w:rsidP="00FE5BF7">
    <w:pPr>
      <w:pStyle w:val="Header"/>
      <w:rPr>
        <w:lang w:val="en-US"/>
      </w:rPr>
    </w:pPr>
    <w:r>
      <w:rPr>
        <w:lang w:val="en-US"/>
      </w:rPr>
      <w:t>C/55/10</w:t>
    </w:r>
  </w:p>
  <w:p w14:paraId="61520B21" w14:textId="77777777" w:rsidR="003E1000" w:rsidRDefault="003E1000" w:rsidP="00FE5BF7">
    <w:pPr>
      <w:pStyle w:val="Header"/>
      <w:rPr>
        <w:lang w:val="en-US"/>
      </w:rPr>
    </w:pPr>
  </w:p>
  <w:p w14:paraId="2381CF40" w14:textId="77777777" w:rsidR="003E1000" w:rsidRDefault="003E1000" w:rsidP="00FE5BF7">
    <w:pPr>
      <w:pStyle w:val="Header"/>
      <w:rPr>
        <w:lang w:val="en-US"/>
      </w:rPr>
    </w:pPr>
    <w:r>
      <w:rPr>
        <w:lang w:val="en-US"/>
      </w:rPr>
      <w:t>ANEXO</w:t>
    </w:r>
  </w:p>
  <w:p w14:paraId="45F8910F" w14:textId="610C7ACC" w:rsidR="003E1000" w:rsidRDefault="003E1000" w:rsidP="00FE5BF7">
    <w:pPr>
      <w:pStyle w:val="Header"/>
      <w:rPr>
        <w:lang w:val="en-US"/>
      </w:rPr>
    </w:pPr>
  </w:p>
  <w:p w14:paraId="36CFDEFE" w14:textId="77777777" w:rsidR="003E1000" w:rsidRPr="00FE5BF7" w:rsidRDefault="003E1000" w:rsidP="00FE5BF7">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D76DB"/>
    <w:multiLevelType w:val="hybridMultilevel"/>
    <w:tmpl w:val="82568C08"/>
    <w:lvl w:ilvl="0" w:tplc="BF9ECC74">
      <w:start w:val="1"/>
      <w:numFmt w:val="decimal"/>
      <w:lvlText w:val="%1."/>
      <w:lvlJc w:val="center"/>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E338E"/>
    <w:multiLevelType w:val="multilevel"/>
    <w:tmpl w:val="55669C38"/>
    <w:lvl w:ilvl="0">
      <w:start w:val="1"/>
      <w:numFmt w:val="decimal"/>
      <w:lvlText w:val="%1)"/>
      <w:lvlJc w:val="left"/>
      <w:pPr>
        <w:ind w:left="927" w:hanging="360"/>
      </w:pPr>
    </w:lvl>
    <w:lvl w:ilvl="1">
      <w:start w:val="1"/>
      <w:numFmt w:val="lowerLetter"/>
      <w:lvlText w:val="%2)"/>
      <w:lvlJc w:val="left"/>
      <w:pPr>
        <w:ind w:left="1287" w:hanging="360"/>
      </w:pPr>
      <w:rPr>
        <w:rFonts w:hint="default"/>
        <w:lang w:val="es-ES"/>
      </w:r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 w15:restartNumberingAfterBreak="0">
    <w:nsid w:val="0C95704B"/>
    <w:multiLevelType w:val="hybridMultilevel"/>
    <w:tmpl w:val="D6FADDD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431FE"/>
    <w:multiLevelType w:val="hybridMultilevel"/>
    <w:tmpl w:val="573E5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17BA0"/>
    <w:multiLevelType w:val="hybridMultilevel"/>
    <w:tmpl w:val="4EDEF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26D59"/>
    <w:multiLevelType w:val="hybridMultilevel"/>
    <w:tmpl w:val="99F61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A3B4A"/>
    <w:multiLevelType w:val="hybridMultilevel"/>
    <w:tmpl w:val="82568C08"/>
    <w:lvl w:ilvl="0" w:tplc="BF9ECC74">
      <w:start w:val="1"/>
      <w:numFmt w:val="decimal"/>
      <w:lvlText w:val="%1."/>
      <w:lvlJc w:val="center"/>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38417A"/>
    <w:multiLevelType w:val="hybridMultilevel"/>
    <w:tmpl w:val="70AAC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371B01"/>
    <w:multiLevelType w:val="hybridMultilevel"/>
    <w:tmpl w:val="57EEC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5F68D5"/>
    <w:multiLevelType w:val="multilevel"/>
    <w:tmpl w:val="17FA35B6"/>
    <w:lvl w:ilvl="0">
      <w:start w:val="1"/>
      <w:numFmt w:val="decimal"/>
      <w:lvlText w:val="%1)"/>
      <w:lvlJc w:val="left"/>
      <w:pPr>
        <w:ind w:left="927" w:hanging="360"/>
      </w:pPr>
    </w:lvl>
    <w:lvl w:ilvl="1">
      <w:start w:val="1"/>
      <w:numFmt w:val="lowerLetter"/>
      <w:lvlText w:val="(%2)"/>
      <w:lvlJc w:val="left"/>
      <w:pPr>
        <w:ind w:left="1287" w:hanging="360"/>
      </w:pPr>
      <w:rPr>
        <w:rFonts w:hint="default"/>
      </w:r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0" w15:restartNumberingAfterBreak="0">
    <w:nsid w:val="2A215CB8"/>
    <w:multiLevelType w:val="hybridMultilevel"/>
    <w:tmpl w:val="DA78BD98"/>
    <w:lvl w:ilvl="0" w:tplc="0E228124">
      <w:start w:val="1"/>
      <w:numFmt w:val="decimal"/>
      <w:lvlText w:val="%1."/>
      <w:lvlJc w:val="left"/>
      <w:pPr>
        <w:ind w:left="990" w:hanging="360"/>
      </w:pPr>
      <w:rPr>
        <w:rFonts w:ascii="Arial" w:hAnsi="Arial" w:cs="Times New Roman" w:hint="default"/>
        <w:b w:val="0"/>
        <w:i w:val="0"/>
        <w:sz w:val="20"/>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1" w15:restartNumberingAfterBreak="0">
    <w:nsid w:val="2BCD230D"/>
    <w:multiLevelType w:val="hybridMultilevel"/>
    <w:tmpl w:val="EC2CFED0"/>
    <w:lvl w:ilvl="0" w:tplc="E31C5C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850675"/>
    <w:multiLevelType w:val="hybridMultilevel"/>
    <w:tmpl w:val="B05ADDA6"/>
    <w:lvl w:ilvl="0" w:tplc="71F06C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046977"/>
    <w:multiLevelType w:val="hybridMultilevel"/>
    <w:tmpl w:val="6D7A5DDE"/>
    <w:lvl w:ilvl="0" w:tplc="68B6AC48">
      <w:start w:val="1"/>
      <w:numFmt w:val="decimal"/>
      <w:pStyle w:val="annexipara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344BB1"/>
    <w:multiLevelType w:val="hybridMultilevel"/>
    <w:tmpl w:val="EA5419C0"/>
    <w:lvl w:ilvl="0" w:tplc="94CCC94C">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B731019"/>
    <w:multiLevelType w:val="multilevel"/>
    <w:tmpl w:val="74B8144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BD82988"/>
    <w:multiLevelType w:val="hybridMultilevel"/>
    <w:tmpl w:val="F124BCB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15:restartNumberingAfterBreak="0">
    <w:nsid w:val="6A272FD0"/>
    <w:multiLevelType w:val="hybridMultilevel"/>
    <w:tmpl w:val="28661D1A"/>
    <w:lvl w:ilvl="0" w:tplc="E9864D12">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8" w15:restartNumberingAfterBreak="0">
    <w:nsid w:val="7B507067"/>
    <w:multiLevelType w:val="hybridMultilevel"/>
    <w:tmpl w:val="EB581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15"/>
  </w:num>
  <w:num w:numId="4">
    <w:abstractNumId w:val="16"/>
  </w:num>
  <w:num w:numId="5">
    <w:abstractNumId w:val="18"/>
  </w:num>
  <w:num w:numId="6">
    <w:abstractNumId w:val="5"/>
  </w:num>
  <w:num w:numId="7">
    <w:abstractNumId w:val="3"/>
  </w:num>
  <w:num w:numId="8">
    <w:abstractNumId w:val="9"/>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7"/>
  </w:num>
  <w:num w:numId="12">
    <w:abstractNumId w:val="6"/>
  </w:num>
  <w:num w:numId="13">
    <w:abstractNumId w:val="0"/>
  </w:num>
  <w:num w:numId="14">
    <w:abstractNumId w:val="13"/>
  </w:num>
  <w:num w:numId="15">
    <w:abstractNumId w:val="12"/>
  </w:num>
  <w:num w:numId="16">
    <w:abstractNumId w:val="1"/>
  </w:num>
  <w:num w:numId="17">
    <w:abstractNumId w:val="17"/>
  </w:num>
  <w:num w:numId="18">
    <w:abstractNumId w:val="11"/>
  </w:num>
  <w:num w:numId="19">
    <w:abstractNumId w:val="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r-FR" w:vendorID="64" w:dllVersion="131078" w:nlCheck="1" w:checkStyle="0"/>
  <w:activeWritingStyle w:appName="MSWord" w:lang="en-US" w:vendorID="64" w:dllVersion="131078" w:nlCheck="1" w:checkStyle="1"/>
  <w:activeWritingStyle w:appName="MSWord" w:lang="es-ES_tradnl" w:vendorID="64" w:dllVersion="131078" w:nlCheck="1" w:checkStyle="0"/>
  <w:activeWritingStyle w:appName="MSWord" w:lang="es-ES" w:vendorID="64" w:dllVersion="131078" w:nlCheck="1" w:checkStyle="0"/>
  <w:stylePaneFormatFilter w:val="3021" w:allStyles="1" w:customStyles="0" w:latentStyles="0" w:stylesInUse="0" w:headingStyles="1"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C80"/>
    <w:rsid w:val="00010CF3"/>
    <w:rsid w:val="00010F2B"/>
    <w:rsid w:val="00011E27"/>
    <w:rsid w:val="0001220A"/>
    <w:rsid w:val="000148BC"/>
    <w:rsid w:val="00015567"/>
    <w:rsid w:val="000158E9"/>
    <w:rsid w:val="00016D80"/>
    <w:rsid w:val="00024AB8"/>
    <w:rsid w:val="00024CB3"/>
    <w:rsid w:val="00030854"/>
    <w:rsid w:val="0003472C"/>
    <w:rsid w:val="00036028"/>
    <w:rsid w:val="00041099"/>
    <w:rsid w:val="00043FEA"/>
    <w:rsid w:val="00044642"/>
    <w:rsid w:val="000446B9"/>
    <w:rsid w:val="00047E21"/>
    <w:rsid w:val="00050E16"/>
    <w:rsid w:val="00066764"/>
    <w:rsid w:val="0007215C"/>
    <w:rsid w:val="00073E1C"/>
    <w:rsid w:val="00080AF7"/>
    <w:rsid w:val="000839EB"/>
    <w:rsid w:val="00085505"/>
    <w:rsid w:val="0008751B"/>
    <w:rsid w:val="000B20BB"/>
    <w:rsid w:val="000C4B89"/>
    <w:rsid w:val="000C4E25"/>
    <w:rsid w:val="000C7021"/>
    <w:rsid w:val="000D0C91"/>
    <w:rsid w:val="000D17ED"/>
    <w:rsid w:val="000D6BBC"/>
    <w:rsid w:val="000D7780"/>
    <w:rsid w:val="000E2504"/>
    <w:rsid w:val="000E636A"/>
    <w:rsid w:val="000F2F11"/>
    <w:rsid w:val="000F45E8"/>
    <w:rsid w:val="000F5793"/>
    <w:rsid w:val="0010480C"/>
    <w:rsid w:val="00105929"/>
    <w:rsid w:val="00110C36"/>
    <w:rsid w:val="001131D5"/>
    <w:rsid w:val="00115A9E"/>
    <w:rsid w:val="00130C6A"/>
    <w:rsid w:val="00133AAA"/>
    <w:rsid w:val="00141DB8"/>
    <w:rsid w:val="00147D81"/>
    <w:rsid w:val="00150815"/>
    <w:rsid w:val="00151DB5"/>
    <w:rsid w:val="00151E16"/>
    <w:rsid w:val="00166F48"/>
    <w:rsid w:val="00167412"/>
    <w:rsid w:val="00171ECA"/>
    <w:rsid w:val="00172084"/>
    <w:rsid w:val="0017474A"/>
    <w:rsid w:val="001758C6"/>
    <w:rsid w:val="001765F5"/>
    <w:rsid w:val="00182B99"/>
    <w:rsid w:val="00184ADD"/>
    <w:rsid w:val="001858B5"/>
    <w:rsid w:val="00194DE7"/>
    <w:rsid w:val="001A6DDC"/>
    <w:rsid w:val="001B0A69"/>
    <w:rsid w:val="001C1525"/>
    <w:rsid w:val="001C40FC"/>
    <w:rsid w:val="001D5689"/>
    <w:rsid w:val="001F2968"/>
    <w:rsid w:val="001F2BF4"/>
    <w:rsid w:val="001F3343"/>
    <w:rsid w:val="00200AE2"/>
    <w:rsid w:val="00201649"/>
    <w:rsid w:val="00207F64"/>
    <w:rsid w:val="00210E31"/>
    <w:rsid w:val="00210EFE"/>
    <w:rsid w:val="002113C8"/>
    <w:rsid w:val="0021332C"/>
    <w:rsid w:val="00213982"/>
    <w:rsid w:val="00214C72"/>
    <w:rsid w:val="00216C0E"/>
    <w:rsid w:val="00224065"/>
    <w:rsid w:val="002273E9"/>
    <w:rsid w:val="0022772E"/>
    <w:rsid w:val="002309A9"/>
    <w:rsid w:val="00232F48"/>
    <w:rsid w:val="002409A4"/>
    <w:rsid w:val="0024416D"/>
    <w:rsid w:val="002505F1"/>
    <w:rsid w:val="00255FF1"/>
    <w:rsid w:val="00256261"/>
    <w:rsid w:val="002709E5"/>
    <w:rsid w:val="00270A56"/>
    <w:rsid w:val="00271911"/>
    <w:rsid w:val="002800A0"/>
    <w:rsid w:val="002801B3"/>
    <w:rsid w:val="00281060"/>
    <w:rsid w:val="00283F41"/>
    <w:rsid w:val="00287DD6"/>
    <w:rsid w:val="00291D82"/>
    <w:rsid w:val="002922F7"/>
    <w:rsid w:val="002940E8"/>
    <w:rsid w:val="00294751"/>
    <w:rsid w:val="00295C6E"/>
    <w:rsid w:val="002964EB"/>
    <w:rsid w:val="00297E7D"/>
    <w:rsid w:val="002A011A"/>
    <w:rsid w:val="002A0B6C"/>
    <w:rsid w:val="002A0D3A"/>
    <w:rsid w:val="002A321D"/>
    <w:rsid w:val="002A3510"/>
    <w:rsid w:val="002A6E50"/>
    <w:rsid w:val="002B4298"/>
    <w:rsid w:val="002C256A"/>
    <w:rsid w:val="002D774B"/>
    <w:rsid w:val="002F2D7A"/>
    <w:rsid w:val="002F4D0A"/>
    <w:rsid w:val="00305A7F"/>
    <w:rsid w:val="00310A0B"/>
    <w:rsid w:val="003124A9"/>
    <w:rsid w:val="0031283A"/>
    <w:rsid w:val="00312930"/>
    <w:rsid w:val="00313D81"/>
    <w:rsid w:val="003152FE"/>
    <w:rsid w:val="00320560"/>
    <w:rsid w:val="00321024"/>
    <w:rsid w:val="00326CE5"/>
    <w:rsid w:val="00327436"/>
    <w:rsid w:val="00331130"/>
    <w:rsid w:val="00344BD6"/>
    <w:rsid w:val="0035528D"/>
    <w:rsid w:val="00361821"/>
    <w:rsid w:val="00361E9E"/>
    <w:rsid w:val="00362C80"/>
    <w:rsid w:val="00373DCA"/>
    <w:rsid w:val="0037410E"/>
    <w:rsid w:val="00374BD5"/>
    <w:rsid w:val="0038143C"/>
    <w:rsid w:val="00381D5E"/>
    <w:rsid w:val="0039633A"/>
    <w:rsid w:val="003A5030"/>
    <w:rsid w:val="003B07F7"/>
    <w:rsid w:val="003B282A"/>
    <w:rsid w:val="003B4251"/>
    <w:rsid w:val="003B6C3A"/>
    <w:rsid w:val="003C7FBE"/>
    <w:rsid w:val="003D0F2F"/>
    <w:rsid w:val="003D227C"/>
    <w:rsid w:val="003D2B4D"/>
    <w:rsid w:val="003D2E4E"/>
    <w:rsid w:val="003E1000"/>
    <w:rsid w:val="003E3CBC"/>
    <w:rsid w:val="003F5F2B"/>
    <w:rsid w:val="003F606D"/>
    <w:rsid w:val="004015E0"/>
    <w:rsid w:val="004073EB"/>
    <w:rsid w:val="00412EDF"/>
    <w:rsid w:val="00415B29"/>
    <w:rsid w:val="0041788D"/>
    <w:rsid w:val="004277BC"/>
    <w:rsid w:val="004445D4"/>
    <w:rsid w:val="00444A88"/>
    <w:rsid w:val="00452E0D"/>
    <w:rsid w:val="00453245"/>
    <w:rsid w:val="004541C0"/>
    <w:rsid w:val="00456299"/>
    <w:rsid w:val="00465A49"/>
    <w:rsid w:val="00467F7D"/>
    <w:rsid w:val="004701E2"/>
    <w:rsid w:val="00473786"/>
    <w:rsid w:val="00474DA4"/>
    <w:rsid w:val="00476B4D"/>
    <w:rsid w:val="004805FA"/>
    <w:rsid w:val="00481F74"/>
    <w:rsid w:val="00482637"/>
    <w:rsid w:val="004842C9"/>
    <w:rsid w:val="00485230"/>
    <w:rsid w:val="00485F7F"/>
    <w:rsid w:val="004935D2"/>
    <w:rsid w:val="00494AAB"/>
    <w:rsid w:val="004A20E8"/>
    <w:rsid w:val="004A5171"/>
    <w:rsid w:val="004B1215"/>
    <w:rsid w:val="004B217B"/>
    <w:rsid w:val="004C2EB8"/>
    <w:rsid w:val="004C47E3"/>
    <w:rsid w:val="004D047D"/>
    <w:rsid w:val="004D08BC"/>
    <w:rsid w:val="004D195B"/>
    <w:rsid w:val="004E0308"/>
    <w:rsid w:val="004E3AA3"/>
    <w:rsid w:val="004E4A53"/>
    <w:rsid w:val="004F1E9E"/>
    <w:rsid w:val="004F305A"/>
    <w:rsid w:val="004F5ECF"/>
    <w:rsid w:val="00501FB0"/>
    <w:rsid w:val="005055D9"/>
    <w:rsid w:val="00506F82"/>
    <w:rsid w:val="00510BB6"/>
    <w:rsid w:val="0051130C"/>
    <w:rsid w:val="0051165D"/>
    <w:rsid w:val="00512164"/>
    <w:rsid w:val="00520297"/>
    <w:rsid w:val="005211D9"/>
    <w:rsid w:val="005338F9"/>
    <w:rsid w:val="0054281C"/>
    <w:rsid w:val="00544581"/>
    <w:rsid w:val="00545195"/>
    <w:rsid w:val="0055268D"/>
    <w:rsid w:val="00560C7B"/>
    <w:rsid w:val="00563BB0"/>
    <w:rsid w:val="0057373B"/>
    <w:rsid w:val="00576BE4"/>
    <w:rsid w:val="005861E0"/>
    <w:rsid w:val="00586F6D"/>
    <w:rsid w:val="00587F42"/>
    <w:rsid w:val="005A386C"/>
    <w:rsid w:val="005A400A"/>
    <w:rsid w:val="005C6E05"/>
    <w:rsid w:val="005C73B7"/>
    <w:rsid w:val="005D5288"/>
    <w:rsid w:val="005E4692"/>
    <w:rsid w:val="005E6210"/>
    <w:rsid w:val="005F07E3"/>
    <w:rsid w:val="005F47F2"/>
    <w:rsid w:val="005F7B92"/>
    <w:rsid w:val="00607A70"/>
    <w:rsid w:val="00611138"/>
    <w:rsid w:val="00612379"/>
    <w:rsid w:val="006153B6"/>
    <w:rsid w:val="0061555F"/>
    <w:rsid w:val="00620F7B"/>
    <w:rsid w:val="00636CA6"/>
    <w:rsid w:val="00641200"/>
    <w:rsid w:val="00645255"/>
    <w:rsid w:val="00645CA8"/>
    <w:rsid w:val="006655D3"/>
    <w:rsid w:val="00667404"/>
    <w:rsid w:val="0067240D"/>
    <w:rsid w:val="00687EB4"/>
    <w:rsid w:val="00690BE5"/>
    <w:rsid w:val="00693305"/>
    <w:rsid w:val="006943E1"/>
    <w:rsid w:val="00695C56"/>
    <w:rsid w:val="00696BAB"/>
    <w:rsid w:val="006A4962"/>
    <w:rsid w:val="006A5CDE"/>
    <w:rsid w:val="006A644A"/>
    <w:rsid w:val="006B0FC3"/>
    <w:rsid w:val="006B17D2"/>
    <w:rsid w:val="006B4362"/>
    <w:rsid w:val="006B4B27"/>
    <w:rsid w:val="006C224E"/>
    <w:rsid w:val="006C374D"/>
    <w:rsid w:val="006C75D7"/>
    <w:rsid w:val="006D780A"/>
    <w:rsid w:val="006E2680"/>
    <w:rsid w:val="006E7B68"/>
    <w:rsid w:val="006F4348"/>
    <w:rsid w:val="006F61E5"/>
    <w:rsid w:val="00704132"/>
    <w:rsid w:val="00704B42"/>
    <w:rsid w:val="0071271E"/>
    <w:rsid w:val="00717AE4"/>
    <w:rsid w:val="00721E4E"/>
    <w:rsid w:val="0072226B"/>
    <w:rsid w:val="00722A24"/>
    <w:rsid w:val="00722D24"/>
    <w:rsid w:val="00725FA9"/>
    <w:rsid w:val="00732DEC"/>
    <w:rsid w:val="00735BD5"/>
    <w:rsid w:val="007451EC"/>
    <w:rsid w:val="00751613"/>
    <w:rsid w:val="007556F6"/>
    <w:rsid w:val="00760EEF"/>
    <w:rsid w:val="00763C72"/>
    <w:rsid w:val="007707AE"/>
    <w:rsid w:val="00777EE5"/>
    <w:rsid w:val="00784836"/>
    <w:rsid w:val="0079023E"/>
    <w:rsid w:val="0079094F"/>
    <w:rsid w:val="007A2854"/>
    <w:rsid w:val="007B2CF2"/>
    <w:rsid w:val="007B37B6"/>
    <w:rsid w:val="007C0AEA"/>
    <w:rsid w:val="007C1832"/>
    <w:rsid w:val="007C1D92"/>
    <w:rsid w:val="007C4CB9"/>
    <w:rsid w:val="007D0B9D"/>
    <w:rsid w:val="007D19B0"/>
    <w:rsid w:val="007D4635"/>
    <w:rsid w:val="007F41BA"/>
    <w:rsid w:val="007F498F"/>
    <w:rsid w:val="007F4A72"/>
    <w:rsid w:val="007F6C7F"/>
    <w:rsid w:val="0080679D"/>
    <w:rsid w:val="008108B0"/>
    <w:rsid w:val="00811B20"/>
    <w:rsid w:val="00811F55"/>
    <w:rsid w:val="008211B5"/>
    <w:rsid w:val="0082296E"/>
    <w:rsid w:val="00824099"/>
    <w:rsid w:val="00826600"/>
    <w:rsid w:val="00831647"/>
    <w:rsid w:val="0083537D"/>
    <w:rsid w:val="00843F01"/>
    <w:rsid w:val="00846D7C"/>
    <w:rsid w:val="0085358F"/>
    <w:rsid w:val="00853844"/>
    <w:rsid w:val="00853CFD"/>
    <w:rsid w:val="00857B2A"/>
    <w:rsid w:val="00864E4C"/>
    <w:rsid w:val="0086646A"/>
    <w:rsid w:val="00867AC1"/>
    <w:rsid w:val="0087256B"/>
    <w:rsid w:val="00875DED"/>
    <w:rsid w:val="0088082D"/>
    <w:rsid w:val="0088334A"/>
    <w:rsid w:val="00890D81"/>
    <w:rsid w:val="00890DF8"/>
    <w:rsid w:val="00894958"/>
    <w:rsid w:val="008A1B5E"/>
    <w:rsid w:val="008A348F"/>
    <w:rsid w:val="008A743F"/>
    <w:rsid w:val="008C0970"/>
    <w:rsid w:val="008C49BD"/>
    <w:rsid w:val="008C59C8"/>
    <w:rsid w:val="008D0BC5"/>
    <w:rsid w:val="008D2CF7"/>
    <w:rsid w:val="008D644C"/>
    <w:rsid w:val="008E3A75"/>
    <w:rsid w:val="008E704C"/>
    <w:rsid w:val="008F2431"/>
    <w:rsid w:val="00900C26"/>
    <w:rsid w:val="0090197F"/>
    <w:rsid w:val="009019FF"/>
    <w:rsid w:val="00903264"/>
    <w:rsid w:val="009046A9"/>
    <w:rsid w:val="00906DDC"/>
    <w:rsid w:val="0092137D"/>
    <w:rsid w:val="009262E2"/>
    <w:rsid w:val="009333B0"/>
    <w:rsid w:val="009339FE"/>
    <w:rsid w:val="00933FBF"/>
    <w:rsid w:val="00934E09"/>
    <w:rsid w:val="00936253"/>
    <w:rsid w:val="00940D46"/>
    <w:rsid w:val="00945B66"/>
    <w:rsid w:val="00946458"/>
    <w:rsid w:val="0095084C"/>
    <w:rsid w:val="00951A34"/>
    <w:rsid w:val="00952DD4"/>
    <w:rsid w:val="00960778"/>
    <w:rsid w:val="009611F0"/>
    <w:rsid w:val="00962991"/>
    <w:rsid w:val="00965AE7"/>
    <w:rsid w:val="009708D5"/>
    <w:rsid w:val="00970FED"/>
    <w:rsid w:val="009749CF"/>
    <w:rsid w:val="00975C4D"/>
    <w:rsid w:val="00981407"/>
    <w:rsid w:val="00981DAF"/>
    <w:rsid w:val="00992D82"/>
    <w:rsid w:val="00997029"/>
    <w:rsid w:val="009A0806"/>
    <w:rsid w:val="009A58DE"/>
    <w:rsid w:val="009A6E04"/>
    <w:rsid w:val="009A7339"/>
    <w:rsid w:val="009B440E"/>
    <w:rsid w:val="009B4BE7"/>
    <w:rsid w:val="009B4DB7"/>
    <w:rsid w:val="009B4E9E"/>
    <w:rsid w:val="009B6462"/>
    <w:rsid w:val="009C6B3A"/>
    <w:rsid w:val="009C6CD3"/>
    <w:rsid w:val="009D690D"/>
    <w:rsid w:val="009E65B6"/>
    <w:rsid w:val="009E6A53"/>
    <w:rsid w:val="009F77CF"/>
    <w:rsid w:val="00A00D1F"/>
    <w:rsid w:val="00A244A6"/>
    <w:rsid w:val="00A24C10"/>
    <w:rsid w:val="00A261C0"/>
    <w:rsid w:val="00A27BD7"/>
    <w:rsid w:val="00A41506"/>
    <w:rsid w:val="00A42AC3"/>
    <w:rsid w:val="00A430CF"/>
    <w:rsid w:val="00A51D01"/>
    <w:rsid w:val="00A53D91"/>
    <w:rsid w:val="00A54309"/>
    <w:rsid w:val="00A55035"/>
    <w:rsid w:val="00A57A51"/>
    <w:rsid w:val="00A57B19"/>
    <w:rsid w:val="00A60825"/>
    <w:rsid w:val="00A62C9A"/>
    <w:rsid w:val="00A70547"/>
    <w:rsid w:val="00A7242C"/>
    <w:rsid w:val="00AA62F7"/>
    <w:rsid w:val="00AA7158"/>
    <w:rsid w:val="00AB1E11"/>
    <w:rsid w:val="00AB2B93"/>
    <w:rsid w:val="00AB3F04"/>
    <w:rsid w:val="00AB530F"/>
    <w:rsid w:val="00AB7E5B"/>
    <w:rsid w:val="00AC2883"/>
    <w:rsid w:val="00AC3BC7"/>
    <w:rsid w:val="00AC3BE5"/>
    <w:rsid w:val="00AD1DE6"/>
    <w:rsid w:val="00AE0EF1"/>
    <w:rsid w:val="00AE2937"/>
    <w:rsid w:val="00AE557D"/>
    <w:rsid w:val="00AF705E"/>
    <w:rsid w:val="00B07301"/>
    <w:rsid w:val="00B11F3E"/>
    <w:rsid w:val="00B224DE"/>
    <w:rsid w:val="00B231C5"/>
    <w:rsid w:val="00B31834"/>
    <w:rsid w:val="00B324D4"/>
    <w:rsid w:val="00B43A47"/>
    <w:rsid w:val="00B45C90"/>
    <w:rsid w:val="00B46575"/>
    <w:rsid w:val="00B5286B"/>
    <w:rsid w:val="00B53B56"/>
    <w:rsid w:val="00B57D50"/>
    <w:rsid w:val="00B61777"/>
    <w:rsid w:val="00B644E6"/>
    <w:rsid w:val="00B73D70"/>
    <w:rsid w:val="00B80D29"/>
    <w:rsid w:val="00B82022"/>
    <w:rsid w:val="00B84BBD"/>
    <w:rsid w:val="00B87F57"/>
    <w:rsid w:val="00BA0C93"/>
    <w:rsid w:val="00BA43FB"/>
    <w:rsid w:val="00BA5782"/>
    <w:rsid w:val="00BA710F"/>
    <w:rsid w:val="00BC127D"/>
    <w:rsid w:val="00BC1DC3"/>
    <w:rsid w:val="00BC1FE6"/>
    <w:rsid w:val="00BC3CC8"/>
    <w:rsid w:val="00BC45B3"/>
    <w:rsid w:val="00BE2F90"/>
    <w:rsid w:val="00BF0572"/>
    <w:rsid w:val="00C061B6"/>
    <w:rsid w:val="00C1416F"/>
    <w:rsid w:val="00C15F5C"/>
    <w:rsid w:val="00C16779"/>
    <w:rsid w:val="00C2446C"/>
    <w:rsid w:val="00C36AE5"/>
    <w:rsid w:val="00C41F17"/>
    <w:rsid w:val="00C46E91"/>
    <w:rsid w:val="00C502B2"/>
    <w:rsid w:val="00C51717"/>
    <w:rsid w:val="00C527FA"/>
    <w:rsid w:val="00C5280D"/>
    <w:rsid w:val="00C53EB3"/>
    <w:rsid w:val="00C55682"/>
    <w:rsid w:val="00C5582D"/>
    <w:rsid w:val="00C5791C"/>
    <w:rsid w:val="00C60E77"/>
    <w:rsid w:val="00C62D2E"/>
    <w:rsid w:val="00C66290"/>
    <w:rsid w:val="00C67213"/>
    <w:rsid w:val="00C72AFF"/>
    <w:rsid w:val="00C72B7A"/>
    <w:rsid w:val="00C83293"/>
    <w:rsid w:val="00C85E19"/>
    <w:rsid w:val="00C91044"/>
    <w:rsid w:val="00C95D08"/>
    <w:rsid w:val="00C960C1"/>
    <w:rsid w:val="00C973F2"/>
    <w:rsid w:val="00CA304C"/>
    <w:rsid w:val="00CA774A"/>
    <w:rsid w:val="00CC11B0"/>
    <w:rsid w:val="00CC1C09"/>
    <w:rsid w:val="00CC2841"/>
    <w:rsid w:val="00CC5491"/>
    <w:rsid w:val="00CD619F"/>
    <w:rsid w:val="00CE528C"/>
    <w:rsid w:val="00CF1330"/>
    <w:rsid w:val="00CF5459"/>
    <w:rsid w:val="00CF6FDB"/>
    <w:rsid w:val="00CF7E36"/>
    <w:rsid w:val="00D167EA"/>
    <w:rsid w:val="00D16C44"/>
    <w:rsid w:val="00D2673A"/>
    <w:rsid w:val="00D3708D"/>
    <w:rsid w:val="00D370B0"/>
    <w:rsid w:val="00D37C4C"/>
    <w:rsid w:val="00D40426"/>
    <w:rsid w:val="00D4273B"/>
    <w:rsid w:val="00D513F1"/>
    <w:rsid w:val="00D51464"/>
    <w:rsid w:val="00D52905"/>
    <w:rsid w:val="00D57C96"/>
    <w:rsid w:val="00D57D18"/>
    <w:rsid w:val="00D63FCA"/>
    <w:rsid w:val="00D65CC9"/>
    <w:rsid w:val="00D66586"/>
    <w:rsid w:val="00D720BB"/>
    <w:rsid w:val="00D72F6A"/>
    <w:rsid w:val="00D80A9D"/>
    <w:rsid w:val="00D814D3"/>
    <w:rsid w:val="00D8197B"/>
    <w:rsid w:val="00D91203"/>
    <w:rsid w:val="00D95174"/>
    <w:rsid w:val="00DA1977"/>
    <w:rsid w:val="00DA4973"/>
    <w:rsid w:val="00DA5ACB"/>
    <w:rsid w:val="00DA6F36"/>
    <w:rsid w:val="00DB596E"/>
    <w:rsid w:val="00DB7773"/>
    <w:rsid w:val="00DC00EA"/>
    <w:rsid w:val="00DC3802"/>
    <w:rsid w:val="00DC445E"/>
    <w:rsid w:val="00DD4B3D"/>
    <w:rsid w:val="00DD5046"/>
    <w:rsid w:val="00DF4A4E"/>
    <w:rsid w:val="00DF748E"/>
    <w:rsid w:val="00E03EE7"/>
    <w:rsid w:val="00E07D87"/>
    <w:rsid w:val="00E102CC"/>
    <w:rsid w:val="00E14C66"/>
    <w:rsid w:val="00E24B64"/>
    <w:rsid w:val="00E32F7E"/>
    <w:rsid w:val="00E341D8"/>
    <w:rsid w:val="00E5267B"/>
    <w:rsid w:val="00E6137C"/>
    <w:rsid w:val="00E63C0E"/>
    <w:rsid w:val="00E64D2E"/>
    <w:rsid w:val="00E72D49"/>
    <w:rsid w:val="00E7593C"/>
    <w:rsid w:val="00E7678A"/>
    <w:rsid w:val="00E76B26"/>
    <w:rsid w:val="00E77D3A"/>
    <w:rsid w:val="00E90147"/>
    <w:rsid w:val="00E907E5"/>
    <w:rsid w:val="00E91262"/>
    <w:rsid w:val="00E935F1"/>
    <w:rsid w:val="00E94A81"/>
    <w:rsid w:val="00E97EE6"/>
    <w:rsid w:val="00EA1FFB"/>
    <w:rsid w:val="00EA4BC0"/>
    <w:rsid w:val="00EB048E"/>
    <w:rsid w:val="00EB1DFC"/>
    <w:rsid w:val="00EB4E9C"/>
    <w:rsid w:val="00EB7870"/>
    <w:rsid w:val="00ED4C82"/>
    <w:rsid w:val="00EE34DF"/>
    <w:rsid w:val="00EE5A65"/>
    <w:rsid w:val="00EF2F89"/>
    <w:rsid w:val="00F001E3"/>
    <w:rsid w:val="00F03E98"/>
    <w:rsid w:val="00F062C0"/>
    <w:rsid w:val="00F067C6"/>
    <w:rsid w:val="00F07A3E"/>
    <w:rsid w:val="00F1237A"/>
    <w:rsid w:val="00F13706"/>
    <w:rsid w:val="00F20BF5"/>
    <w:rsid w:val="00F223C9"/>
    <w:rsid w:val="00F22CBD"/>
    <w:rsid w:val="00F26A84"/>
    <w:rsid w:val="00F272F1"/>
    <w:rsid w:val="00F34B4F"/>
    <w:rsid w:val="00F45372"/>
    <w:rsid w:val="00F45B42"/>
    <w:rsid w:val="00F46F74"/>
    <w:rsid w:val="00F560F7"/>
    <w:rsid w:val="00F57E9A"/>
    <w:rsid w:val="00F6334D"/>
    <w:rsid w:val="00F63599"/>
    <w:rsid w:val="00F8062E"/>
    <w:rsid w:val="00F90EEE"/>
    <w:rsid w:val="00F94734"/>
    <w:rsid w:val="00F9475A"/>
    <w:rsid w:val="00FA49AB"/>
    <w:rsid w:val="00FB1480"/>
    <w:rsid w:val="00FB34CD"/>
    <w:rsid w:val="00FB4911"/>
    <w:rsid w:val="00FB7762"/>
    <w:rsid w:val="00FC16A2"/>
    <w:rsid w:val="00FC4032"/>
    <w:rsid w:val="00FD0092"/>
    <w:rsid w:val="00FD7CC5"/>
    <w:rsid w:val="00FE0273"/>
    <w:rsid w:val="00FE39C7"/>
    <w:rsid w:val="00FE5BF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C026CEF"/>
  <w15:docId w15:val="{725E6A31-3E27-445A-B8CA-971839A54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4E4C"/>
    <w:pPr>
      <w:jc w:val="both"/>
    </w:pPr>
    <w:rPr>
      <w:rFonts w:ascii="Arial" w:hAnsi="Arial"/>
    </w:rPr>
  </w:style>
  <w:style w:type="paragraph" w:styleId="Heading1">
    <w:name w:val="heading 1"/>
    <w:next w:val="Normal"/>
    <w:link w:val="Heading1Char"/>
    <w:autoRedefine/>
    <w:qFormat/>
    <w:rsid w:val="002D774B"/>
    <w:pPr>
      <w:keepNext/>
      <w:jc w:val="both"/>
      <w:outlineLvl w:val="0"/>
    </w:pPr>
    <w:rPr>
      <w:rFonts w:ascii="Arial" w:hAnsi="Arial"/>
      <w:caps/>
    </w:rPr>
  </w:style>
  <w:style w:type="paragraph" w:styleId="Heading2">
    <w:name w:val="heading 2"/>
    <w:next w:val="Normal"/>
    <w:link w:val="Heading2Char"/>
    <w:autoRedefine/>
    <w:qFormat/>
    <w:rsid w:val="002D774B"/>
    <w:pPr>
      <w:keepNext/>
      <w:jc w:val="both"/>
      <w:outlineLvl w:val="1"/>
    </w:pPr>
    <w:rPr>
      <w:rFonts w:ascii="Arial" w:hAnsi="Arial"/>
      <w:u w:val="single"/>
    </w:rPr>
  </w:style>
  <w:style w:type="paragraph" w:styleId="Heading3">
    <w:name w:val="heading 3"/>
    <w:next w:val="Normal"/>
    <w:link w:val="Heading3Char"/>
    <w:autoRedefine/>
    <w:qFormat/>
    <w:rsid w:val="002D774B"/>
    <w:pPr>
      <w:keepNext/>
      <w:jc w:val="both"/>
      <w:outlineLvl w:val="2"/>
    </w:pPr>
    <w:rPr>
      <w:rFonts w:ascii="Arial" w:hAnsi="Arial"/>
      <w:i/>
    </w:rPr>
  </w:style>
  <w:style w:type="paragraph" w:styleId="Heading4">
    <w:name w:val="heading 4"/>
    <w:next w:val="Normal"/>
    <w:link w:val="Heading4Char"/>
    <w:autoRedefine/>
    <w:qFormat/>
    <w:rsid w:val="002D774B"/>
    <w:pPr>
      <w:keepNext/>
      <w:ind w:left="567"/>
      <w:jc w:val="both"/>
      <w:outlineLvl w:val="3"/>
    </w:pPr>
    <w:rPr>
      <w:rFonts w:ascii="Arial" w:hAnsi="Arial"/>
      <w:u w:val="single"/>
      <w:lang w:val="fr-FR"/>
    </w:rPr>
  </w:style>
  <w:style w:type="paragraph" w:styleId="Heading5">
    <w:name w:val="heading 5"/>
    <w:next w:val="Normal"/>
    <w:link w:val="Heading5Char"/>
    <w:autoRedefine/>
    <w:qFormat/>
    <w:rsid w:val="002D774B"/>
    <w:pPr>
      <w:keepNext/>
      <w:ind w:left="1134" w:hanging="567"/>
      <w:jc w:val="both"/>
      <w:outlineLvl w:val="4"/>
    </w:pPr>
    <w:rPr>
      <w:rFonts w:ascii="Arial" w:hAnsi="Arial"/>
      <w:i/>
    </w:rPr>
  </w:style>
  <w:style w:type="paragraph" w:styleId="Heading6">
    <w:name w:val="heading 6"/>
    <w:basedOn w:val="Normal"/>
    <w:next w:val="Normal"/>
    <w:link w:val="Heading6Char"/>
    <w:unhideWhenUsed/>
    <w:qFormat/>
    <w:rsid w:val="002D774B"/>
    <w:pPr>
      <w:keepNext/>
      <w:keepLines/>
      <w:ind w:left="567"/>
      <w:outlineLvl w:val="5"/>
    </w:pPr>
    <w:rPr>
      <w:rFonts w:eastAsiaTheme="majorEastAsia" w:cstheme="majorBidi"/>
    </w:rPr>
  </w:style>
  <w:style w:type="paragraph" w:styleId="Heading9">
    <w:name w:val="heading 9"/>
    <w:basedOn w:val="Normal"/>
    <w:next w:val="Normal"/>
    <w:link w:val="Heading9Char"/>
    <w:qFormat/>
    <w:rsid w:val="002D774B"/>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link w:val="FootnoteTextChar"/>
    <w:autoRedefine/>
    <w:rsid w:val="006C75D7"/>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2D774B"/>
    <w:pPr>
      <w:tabs>
        <w:tab w:val="right" w:leader="dot" w:pos="9639"/>
      </w:tabs>
      <w:spacing w:before="120" w:after="120"/>
      <w:ind w:left="567" w:right="851" w:hanging="284"/>
    </w:pPr>
    <w:rPr>
      <w:rFonts w:ascii="Arial" w:hAnsi="Arial"/>
      <w:smallCaps/>
      <w:noProof/>
    </w:rPr>
  </w:style>
  <w:style w:type="paragraph" w:styleId="TOC3">
    <w:name w:val="toc 3"/>
    <w:next w:val="Normal"/>
    <w:autoRedefine/>
    <w:uiPriority w:val="39"/>
    <w:rsid w:val="006B4362"/>
    <w:pPr>
      <w:tabs>
        <w:tab w:val="right" w:leader="dot" w:pos="9639"/>
      </w:tabs>
      <w:spacing w:after="120"/>
      <w:ind w:left="567" w:right="283"/>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2D774B"/>
    <w:pPr>
      <w:tabs>
        <w:tab w:val="right" w:leader="dot" w:pos="9639"/>
      </w:tabs>
      <w:spacing w:after="120"/>
      <w:ind w:left="1135" w:right="851" w:hanging="284"/>
      <w:contextualSpacing/>
    </w:pPr>
    <w:rPr>
      <w:rFonts w:ascii="Arial" w:hAnsi="Arial"/>
      <w:noProof/>
      <w:sz w:val="18"/>
    </w:rPr>
  </w:style>
  <w:style w:type="paragraph" w:styleId="TOC1">
    <w:name w:val="toc 1"/>
    <w:next w:val="Normal"/>
    <w:autoRedefine/>
    <w:uiPriority w:val="39"/>
    <w:rsid w:val="002D774B"/>
    <w:pPr>
      <w:tabs>
        <w:tab w:val="right" w:leader="dot" w:pos="9639"/>
      </w:tabs>
      <w:spacing w:before="120" w:after="240"/>
      <w:ind w:left="567" w:hanging="567"/>
    </w:pPr>
    <w:rPr>
      <w:rFonts w:ascii="Arial" w:hAnsi="Arial"/>
      <w:b/>
      <w:caps/>
      <w:noProof/>
    </w:rPr>
  </w:style>
  <w:style w:type="paragraph" w:styleId="TOC5">
    <w:name w:val="toc 5"/>
    <w:next w:val="Normal"/>
    <w:autoRedefine/>
    <w:uiPriority w:val="39"/>
    <w:rsid w:val="002D774B"/>
    <w:pPr>
      <w:tabs>
        <w:tab w:val="right" w:leader="dot" w:pos="9639"/>
      </w:tabs>
      <w:spacing w:after="120"/>
      <w:ind w:left="1701" w:right="851" w:hanging="567"/>
      <w:contextualSpacing/>
      <w:jc w:val="both"/>
    </w:pPr>
    <w:rPr>
      <w:rFonts w:ascii="Arial" w:hAnsi="Arial"/>
      <w:noProof/>
      <w:sz w:val="18"/>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6C75D7"/>
    <w:rPr>
      <w:rFonts w:ascii="Arial" w:hAnsi="Arial"/>
      <w:sz w:val="16"/>
    </w:rPr>
  </w:style>
  <w:style w:type="table" w:styleId="TableGrid">
    <w:name w:val="Table Grid"/>
    <w:basedOn w:val="TableNormal"/>
    <w:rsid w:val="00EA4BC0"/>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02CC"/>
    <w:pPr>
      <w:ind w:left="720"/>
      <w:contextualSpacing/>
    </w:pPr>
  </w:style>
  <w:style w:type="paragraph" w:customStyle="1" w:styleId="Default">
    <w:name w:val="Default"/>
    <w:rsid w:val="001A6DDC"/>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2D774B"/>
    <w:rPr>
      <w:rFonts w:ascii="Arial" w:hAnsi="Arial"/>
      <w:caps/>
    </w:rPr>
  </w:style>
  <w:style w:type="paragraph" w:customStyle="1" w:styleId="annexiparanumbered">
    <w:name w:val="annex_i_para_numbered"/>
    <w:basedOn w:val="ListParagraph"/>
    <w:qFormat/>
    <w:rsid w:val="00FB34CD"/>
    <w:pPr>
      <w:numPr>
        <w:numId w:val="14"/>
      </w:numPr>
    </w:pPr>
  </w:style>
  <w:style w:type="paragraph" w:styleId="TOCHeading">
    <w:name w:val="TOC Heading"/>
    <w:basedOn w:val="Heading1"/>
    <w:next w:val="Normal"/>
    <w:uiPriority w:val="39"/>
    <w:unhideWhenUsed/>
    <w:qFormat/>
    <w:rsid w:val="00981407"/>
    <w:pPr>
      <w:keepLines/>
      <w:spacing w:before="240" w:line="259" w:lineRule="auto"/>
      <w:jc w:val="left"/>
      <w:outlineLvl w:val="9"/>
    </w:pPr>
    <w:rPr>
      <w:rFonts w:asciiTheme="majorHAnsi" w:eastAsiaTheme="majorEastAsia" w:hAnsiTheme="majorHAnsi" w:cstheme="majorBidi"/>
      <w:b/>
      <w:caps w:val="0"/>
      <w:color w:val="365F91" w:themeColor="accent1" w:themeShade="BF"/>
    </w:rPr>
  </w:style>
  <w:style w:type="paragraph" w:styleId="TOC9">
    <w:name w:val="toc 9"/>
    <w:basedOn w:val="Normal"/>
    <w:next w:val="Normal"/>
    <w:autoRedefine/>
    <w:uiPriority w:val="39"/>
    <w:unhideWhenUsed/>
    <w:rsid w:val="002D774B"/>
    <w:pPr>
      <w:ind w:left="160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2D774B"/>
    <w:pPr>
      <w:tabs>
        <w:tab w:val="right" w:leader="dot" w:pos="9629"/>
      </w:tabs>
      <w:spacing w:after="120"/>
      <w:ind w:left="1701"/>
      <w:contextualSpacing/>
    </w:pPr>
    <w:rPr>
      <w:i/>
      <w:noProof/>
      <w:sz w:val="18"/>
    </w:rPr>
  </w:style>
  <w:style w:type="paragraph" w:styleId="TOC7">
    <w:name w:val="toc 7"/>
    <w:basedOn w:val="Normal"/>
    <w:next w:val="Normal"/>
    <w:autoRedefine/>
    <w:unhideWhenUsed/>
    <w:rsid w:val="002D774B"/>
    <w:pPr>
      <w:ind w:left="1200"/>
      <w:jc w:val="left"/>
    </w:pPr>
    <w:rPr>
      <w:rFonts w:asciiTheme="minorHAnsi" w:hAnsiTheme="minorHAnsi" w:cstheme="minorHAnsi"/>
      <w:sz w:val="18"/>
      <w:szCs w:val="18"/>
    </w:rPr>
  </w:style>
  <w:style w:type="paragraph" w:styleId="TOC8">
    <w:name w:val="toc 8"/>
    <w:basedOn w:val="Normal"/>
    <w:next w:val="Normal"/>
    <w:autoRedefine/>
    <w:unhideWhenUsed/>
    <w:rsid w:val="002D774B"/>
    <w:pPr>
      <w:ind w:left="1400"/>
      <w:jc w:val="left"/>
    </w:pPr>
    <w:rPr>
      <w:rFonts w:asciiTheme="minorHAnsi" w:hAnsiTheme="minorHAnsi" w:cstheme="minorHAnsi"/>
      <w:sz w:val="18"/>
      <w:szCs w:val="18"/>
    </w:rPr>
  </w:style>
  <w:style w:type="character" w:styleId="CommentReference">
    <w:name w:val="annotation reference"/>
    <w:basedOn w:val="DefaultParagraphFont"/>
    <w:semiHidden/>
    <w:unhideWhenUsed/>
    <w:rsid w:val="00167412"/>
    <w:rPr>
      <w:sz w:val="16"/>
      <w:szCs w:val="16"/>
    </w:rPr>
  </w:style>
  <w:style w:type="paragraph" w:styleId="CommentText">
    <w:name w:val="annotation text"/>
    <w:basedOn w:val="Normal"/>
    <w:link w:val="CommentTextChar"/>
    <w:semiHidden/>
    <w:unhideWhenUsed/>
    <w:rsid w:val="00167412"/>
  </w:style>
  <w:style w:type="character" w:customStyle="1" w:styleId="CommentTextChar">
    <w:name w:val="Comment Text Char"/>
    <w:basedOn w:val="DefaultParagraphFont"/>
    <w:link w:val="CommentText"/>
    <w:semiHidden/>
    <w:rsid w:val="00167412"/>
    <w:rPr>
      <w:rFonts w:ascii="Arial" w:hAnsi="Arial"/>
    </w:rPr>
  </w:style>
  <w:style w:type="character" w:styleId="FollowedHyperlink">
    <w:name w:val="FollowedHyperlink"/>
    <w:basedOn w:val="DefaultParagraphFont"/>
    <w:semiHidden/>
    <w:unhideWhenUsed/>
    <w:rsid w:val="00200AE2"/>
    <w:rPr>
      <w:color w:val="800080" w:themeColor="followedHyperlink"/>
      <w:u w:val="single"/>
    </w:rPr>
  </w:style>
  <w:style w:type="paragraph" w:styleId="Revision">
    <w:name w:val="Revision"/>
    <w:hidden/>
    <w:uiPriority w:val="99"/>
    <w:semiHidden/>
    <w:rsid w:val="006943E1"/>
    <w:rPr>
      <w:rFonts w:ascii="Arial" w:hAnsi="Arial"/>
    </w:rPr>
  </w:style>
  <w:style w:type="character" w:customStyle="1" w:styleId="Heading6Char">
    <w:name w:val="Heading 6 Char"/>
    <w:basedOn w:val="DefaultParagraphFont"/>
    <w:link w:val="Heading6"/>
    <w:rsid w:val="002D774B"/>
    <w:rPr>
      <w:rFonts w:ascii="Arial" w:eastAsiaTheme="majorEastAsia" w:hAnsi="Arial" w:cstheme="majorBidi"/>
    </w:rPr>
  </w:style>
  <w:style w:type="paragraph" w:styleId="CommentSubject">
    <w:name w:val="annotation subject"/>
    <w:basedOn w:val="CommentText"/>
    <w:next w:val="CommentText"/>
    <w:link w:val="CommentSubjectChar"/>
    <w:semiHidden/>
    <w:unhideWhenUsed/>
    <w:rsid w:val="00717AE4"/>
    <w:rPr>
      <w:b/>
      <w:bCs/>
    </w:rPr>
  </w:style>
  <w:style w:type="character" w:customStyle="1" w:styleId="CommentSubjectChar">
    <w:name w:val="Comment Subject Char"/>
    <w:basedOn w:val="CommentTextChar"/>
    <w:link w:val="CommentSubject"/>
    <w:semiHidden/>
    <w:rsid w:val="00717AE4"/>
    <w:rPr>
      <w:rFonts w:ascii="Arial" w:hAnsi="Arial"/>
      <w:b/>
      <w:bCs/>
    </w:rPr>
  </w:style>
  <w:style w:type="character" w:customStyle="1" w:styleId="Heading2Char">
    <w:name w:val="Heading 2 Char"/>
    <w:basedOn w:val="DefaultParagraphFont"/>
    <w:link w:val="Heading2"/>
    <w:rsid w:val="002D774B"/>
    <w:rPr>
      <w:rFonts w:ascii="Arial" w:hAnsi="Arial"/>
      <w:u w:val="single"/>
    </w:rPr>
  </w:style>
  <w:style w:type="character" w:customStyle="1" w:styleId="Heading3Char">
    <w:name w:val="Heading 3 Char"/>
    <w:basedOn w:val="DefaultParagraphFont"/>
    <w:link w:val="Heading3"/>
    <w:rsid w:val="002D774B"/>
    <w:rPr>
      <w:rFonts w:ascii="Arial" w:hAnsi="Arial"/>
      <w:i/>
    </w:rPr>
  </w:style>
  <w:style w:type="character" w:customStyle="1" w:styleId="Heading4Char">
    <w:name w:val="Heading 4 Char"/>
    <w:basedOn w:val="DefaultParagraphFont"/>
    <w:link w:val="Heading4"/>
    <w:rsid w:val="002D774B"/>
    <w:rPr>
      <w:rFonts w:ascii="Arial" w:hAnsi="Arial"/>
      <w:u w:val="single"/>
      <w:lang w:val="fr-FR"/>
    </w:rPr>
  </w:style>
  <w:style w:type="character" w:customStyle="1" w:styleId="Heading5Char">
    <w:name w:val="Heading 5 Char"/>
    <w:basedOn w:val="DefaultParagraphFont"/>
    <w:link w:val="Heading5"/>
    <w:rsid w:val="002D774B"/>
    <w:rPr>
      <w:rFonts w:ascii="Arial" w:hAnsi="Arial"/>
      <w:i/>
    </w:rPr>
  </w:style>
  <w:style w:type="character" w:customStyle="1" w:styleId="Heading9Char">
    <w:name w:val="Heading 9 Char"/>
    <w:basedOn w:val="DefaultParagraphFont"/>
    <w:link w:val="Heading9"/>
    <w:rsid w:val="002D774B"/>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842258">
      <w:bodyDiv w:val="1"/>
      <w:marLeft w:val="0"/>
      <w:marRight w:val="0"/>
      <w:marTop w:val="0"/>
      <w:marBottom w:val="0"/>
      <w:divBdr>
        <w:top w:val="none" w:sz="0" w:space="0" w:color="auto"/>
        <w:left w:val="none" w:sz="0" w:space="0" w:color="auto"/>
        <w:bottom w:val="none" w:sz="0" w:space="0" w:color="auto"/>
        <w:right w:val="none" w:sz="0" w:space="0" w:color="auto"/>
      </w:divBdr>
    </w:div>
    <w:div w:id="669139073">
      <w:bodyDiv w:val="1"/>
      <w:marLeft w:val="0"/>
      <w:marRight w:val="0"/>
      <w:marTop w:val="0"/>
      <w:marBottom w:val="0"/>
      <w:divBdr>
        <w:top w:val="none" w:sz="0" w:space="0" w:color="auto"/>
        <w:left w:val="none" w:sz="0" w:space="0" w:color="auto"/>
        <w:bottom w:val="none" w:sz="0" w:space="0" w:color="auto"/>
        <w:right w:val="none" w:sz="0" w:space="0" w:color="auto"/>
      </w:divBdr>
    </w:div>
    <w:div w:id="1214544004">
      <w:bodyDiv w:val="1"/>
      <w:marLeft w:val="0"/>
      <w:marRight w:val="0"/>
      <w:marTop w:val="0"/>
      <w:marBottom w:val="0"/>
      <w:divBdr>
        <w:top w:val="none" w:sz="0" w:space="0" w:color="auto"/>
        <w:left w:val="none" w:sz="0" w:space="0" w:color="auto"/>
        <w:bottom w:val="none" w:sz="0" w:space="0" w:color="auto"/>
        <w:right w:val="none" w:sz="0" w:space="0" w:color="auto"/>
      </w:divBdr>
    </w:div>
    <w:div w:id="1220898129">
      <w:bodyDiv w:val="1"/>
      <w:marLeft w:val="0"/>
      <w:marRight w:val="0"/>
      <w:marTop w:val="0"/>
      <w:marBottom w:val="0"/>
      <w:divBdr>
        <w:top w:val="none" w:sz="0" w:space="0" w:color="auto"/>
        <w:left w:val="none" w:sz="0" w:space="0" w:color="auto"/>
        <w:bottom w:val="none" w:sz="0" w:space="0" w:color="auto"/>
        <w:right w:val="none" w:sz="0" w:space="0" w:color="auto"/>
      </w:divBdr>
    </w:div>
    <w:div w:id="1390767383">
      <w:bodyDiv w:val="1"/>
      <w:marLeft w:val="0"/>
      <w:marRight w:val="0"/>
      <w:marTop w:val="0"/>
      <w:marBottom w:val="0"/>
      <w:divBdr>
        <w:top w:val="none" w:sz="0" w:space="0" w:color="auto"/>
        <w:left w:val="none" w:sz="0" w:space="0" w:color="auto"/>
        <w:bottom w:val="none" w:sz="0" w:space="0" w:color="auto"/>
        <w:right w:val="none" w:sz="0" w:space="0" w:color="auto"/>
      </w:divBdr>
    </w:div>
    <w:div w:id="1514343196">
      <w:bodyDiv w:val="1"/>
      <w:marLeft w:val="0"/>
      <w:marRight w:val="0"/>
      <w:marTop w:val="0"/>
      <w:marBottom w:val="0"/>
      <w:divBdr>
        <w:top w:val="none" w:sz="0" w:space="0" w:color="auto"/>
        <w:left w:val="none" w:sz="0" w:space="0" w:color="auto"/>
        <w:bottom w:val="none" w:sz="0" w:space="0" w:color="auto"/>
        <w:right w:val="none" w:sz="0" w:space="0" w:color="auto"/>
      </w:divBdr>
    </w:div>
    <w:div w:id="21239169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pov.int/edocs/infdocs/es/upov_inf_15.pdf" TargetMode="Externa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yperlink" Target="https://www.upov.int/about/es/faq.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E225A-9878-406B-B982-6D07415C0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15</Pages>
  <Words>6286</Words>
  <Characters>34266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CC/98</vt:lpstr>
    </vt:vector>
  </TitlesOfParts>
  <Company>UPOV</Company>
  <LinksUpToDate>false</LinksUpToDate>
  <CharactersWithSpaces>40472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CC/98</dc:title>
  <dc:creator>BUTTON Peter</dc:creator>
  <cp:keywords>FOR OFFICIAL USE ONLY</cp:keywords>
  <cp:lastModifiedBy>SANCHEZ VIZCAINO GOMEZ Rosa Maria</cp:lastModifiedBy>
  <cp:revision>8</cp:revision>
  <cp:lastPrinted>2016-11-22T15:41:00Z</cp:lastPrinted>
  <dcterms:created xsi:type="dcterms:W3CDTF">2022-10-24T09:15:00Z</dcterms:created>
  <dcterms:modified xsi:type="dcterms:W3CDTF">2022-10-27T20:28:00Z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d6aea340-5cc2-4309-a115-54467eb7bbae</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