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4E2DEF" w:rsidRDefault="00EA65D2" w:rsidP="00AC2883">
            <w:pPr>
              <w:pStyle w:val="Sessiontc"/>
              <w:spacing w:line="240" w:lineRule="auto"/>
            </w:pPr>
            <w:r w:rsidRPr="004E2DEF">
              <w:t>Consejo</w:t>
            </w:r>
          </w:p>
          <w:p w:rsidR="00EB4E9C" w:rsidRPr="004E2DEF" w:rsidRDefault="00EA65D2" w:rsidP="00C55E19">
            <w:pPr>
              <w:pStyle w:val="Sessiontcplacedate"/>
              <w:rPr>
                <w:sz w:val="22"/>
              </w:rPr>
            </w:pPr>
            <w:r w:rsidRPr="004E2DEF">
              <w:t xml:space="preserve">Quincuagésima </w:t>
            </w:r>
            <w:r w:rsidR="00C55E19">
              <w:t>quinta</w:t>
            </w:r>
            <w:r w:rsidR="001A18EE" w:rsidRPr="004E2DEF">
              <w:t xml:space="preserve"> </w:t>
            </w:r>
            <w:r w:rsidR="002E5944" w:rsidRPr="004E2DEF">
              <w:t>sesión</w:t>
            </w:r>
            <w:r w:rsidRPr="004E2DEF">
              <w:t xml:space="preserve"> ordinaria</w:t>
            </w:r>
            <w:r w:rsidR="00EB4E9C" w:rsidRPr="004E2DEF">
              <w:br/>
            </w:r>
            <w:r w:rsidR="002E5944" w:rsidRPr="004E2DEF">
              <w:t>Ginebra</w:t>
            </w:r>
            <w:r w:rsidR="00EB4E9C" w:rsidRPr="004E2DEF">
              <w:t xml:space="preserve">, </w:t>
            </w:r>
            <w:r w:rsidR="00C55E19">
              <w:t>29 de octubre de 2021</w:t>
            </w:r>
          </w:p>
        </w:tc>
        <w:tc>
          <w:tcPr>
            <w:tcW w:w="3127" w:type="dxa"/>
          </w:tcPr>
          <w:p w:rsidR="00EB4E9C" w:rsidRPr="004E2DEF" w:rsidRDefault="00C55E19" w:rsidP="003C7FBE">
            <w:pPr>
              <w:pStyle w:val="Doccode"/>
              <w:rPr>
                <w:lang w:val="es-ES"/>
              </w:rPr>
            </w:pPr>
            <w:r>
              <w:rPr>
                <w:lang w:val="es-ES"/>
              </w:rPr>
              <w:t>C/55/INF/4</w:t>
            </w:r>
          </w:p>
          <w:p w:rsidR="00EB4E9C" w:rsidRPr="004E2DEF" w:rsidRDefault="00EB4E9C" w:rsidP="003C7FBE">
            <w:pPr>
              <w:pStyle w:val="Docoriginal"/>
            </w:pPr>
            <w:r w:rsidRPr="004E2DEF">
              <w:t>Original:</w:t>
            </w:r>
            <w:r w:rsidRPr="004E2DEF">
              <w:rPr>
                <w:b w:val="0"/>
                <w:spacing w:val="0"/>
              </w:rPr>
              <w:t xml:space="preserve">  </w:t>
            </w:r>
            <w:r w:rsidR="002E5944" w:rsidRPr="004E2DEF">
              <w:rPr>
                <w:b w:val="0"/>
                <w:spacing w:val="0"/>
              </w:rPr>
              <w:t>Inglés</w:t>
            </w:r>
            <w:r w:rsidR="004E2DEF" w:rsidRPr="004E2DEF">
              <w:rPr>
                <w:b w:val="0"/>
                <w:spacing w:val="0"/>
              </w:rPr>
              <w:t>/alemán</w:t>
            </w:r>
            <w:r w:rsidR="00C55E19">
              <w:rPr>
                <w:b w:val="0"/>
                <w:spacing w:val="0"/>
              </w:rPr>
              <w:t>/español</w:t>
            </w:r>
          </w:p>
          <w:p w:rsidR="00EB4E9C" w:rsidRPr="007C1D92" w:rsidRDefault="002E5944" w:rsidP="004E2DEF">
            <w:pPr>
              <w:pStyle w:val="Docoriginal"/>
            </w:pPr>
            <w:r w:rsidRPr="004E2DEF">
              <w:t>Fecha</w:t>
            </w:r>
            <w:r w:rsidR="00EB4E9C" w:rsidRPr="004E2DEF">
              <w:t>:</w:t>
            </w:r>
            <w:r w:rsidR="00EB4E9C" w:rsidRPr="004E2DEF">
              <w:rPr>
                <w:b w:val="0"/>
                <w:spacing w:val="0"/>
              </w:rPr>
              <w:t xml:space="preserve">  </w:t>
            </w:r>
            <w:r w:rsidR="00C55E19">
              <w:rPr>
                <w:b w:val="0"/>
                <w:spacing w:val="0"/>
              </w:rPr>
              <w:t>4</w:t>
            </w:r>
            <w:r w:rsidR="004E2DEF" w:rsidRPr="00932993">
              <w:rPr>
                <w:b w:val="0"/>
                <w:spacing w:val="0"/>
              </w:rPr>
              <w:t xml:space="preserve"> de octubre</w:t>
            </w:r>
            <w:r w:rsidR="00EB4E9C" w:rsidRPr="00932993">
              <w:rPr>
                <w:b w:val="0"/>
                <w:spacing w:val="0"/>
              </w:rPr>
              <w:t xml:space="preserve"> </w:t>
            </w:r>
            <w:r w:rsidRPr="00932993">
              <w:rPr>
                <w:b w:val="0"/>
                <w:spacing w:val="0"/>
              </w:rPr>
              <w:t xml:space="preserve">de </w:t>
            </w:r>
            <w:r w:rsidR="00EB4E9C" w:rsidRPr="00932993">
              <w:rPr>
                <w:b w:val="0"/>
                <w:spacing w:val="0"/>
              </w:rPr>
              <w:t>20</w:t>
            </w:r>
            <w:r w:rsidR="00C55E19">
              <w:rPr>
                <w:b w:val="0"/>
                <w:spacing w:val="0"/>
              </w:rPr>
              <w:t>21</w:t>
            </w:r>
          </w:p>
        </w:tc>
      </w:tr>
    </w:tbl>
    <w:p w:rsidR="004E2DEF" w:rsidRPr="001F56CE" w:rsidRDefault="004E2DEF" w:rsidP="004E2DEF">
      <w:pPr>
        <w:pStyle w:val="Titleofdoc0"/>
      </w:pPr>
      <w:r w:rsidRPr="001F56CE">
        <w:t>INFORMES DE REPRESENTANTES DE MIEMBROS Y OBSERVADORES SOBRE LOS ÁMBITOS LEGISLATIVO, ADMINISTRATIVO Y TÉCNICO</w:t>
      </w:r>
    </w:p>
    <w:p w:rsidR="004E2DEF" w:rsidRPr="001F56CE" w:rsidRDefault="004E2DEF" w:rsidP="004E2DEF">
      <w:pPr>
        <w:pStyle w:val="preparedby1"/>
        <w:jc w:val="left"/>
      </w:pPr>
      <w:r w:rsidRPr="001F56CE">
        <w:t>Documento preparado por la Oficina de la Unión</w:t>
      </w:r>
    </w:p>
    <w:p w:rsidR="004E2DEF" w:rsidRPr="001F56CE" w:rsidRDefault="004E2DEF" w:rsidP="004E2DEF">
      <w:pPr>
        <w:pStyle w:val="Disclaimer"/>
      </w:pPr>
      <w:r w:rsidRPr="001F56CE">
        <w:t>Descargo de responsabilidad: el presente documento no constituye un documento de política u orientación de la UPOV</w:t>
      </w:r>
    </w:p>
    <w:p w:rsidR="004E2DEF" w:rsidRPr="001F56CE" w:rsidRDefault="004E2DEF" w:rsidP="004E2DEF">
      <w:r w:rsidRPr="001F56CE">
        <w:fldChar w:fldCharType="begin"/>
      </w:r>
      <w:r w:rsidRPr="001F56CE">
        <w:instrText xml:space="preserve"> AUTONUM  </w:instrText>
      </w:r>
      <w:r w:rsidRPr="001F56CE">
        <w:fldChar w:fldCharType="end"/>
      </w:r>
      <w:r w:rsidRPr="001F56CE">
        <w:tab/>
        <w:t>De conformidad con el procedimiento introducido con ocasión del vigésimo sexto período ordinario de sesiones del Consejo, se solicita que los informes de representantes de miembros y observadores sobre la situación en los ámbitos legislativo, administrativo y técnico de la protección de las obtenciones vegetales y sectores afines se presenten por escrito y con antelación a fin de permitir al Consejo desempeñar más eficazmente sus funciones.</w:t>
      </w:r>
    </w:p>
    <w:p w:rsidR="004E2DEF" w:rsidRPr="001F56CE" w:rsidRDefault="004E2DEF" w:rsidP="004E2DEF">
      <w:pPr>
        <w:widowControl w:val="0"/>
      </w:pPr>
    </w:p>
    <w:p w:rsidR="004E2DEF" w:rsidRPr="001F56CE" w:rsidRDefault="004E2DEF" w:rsidP="004E2DEF">
      <w:pPr>
        <w:widowControl w:val="0"/>
      </w:pPr>
      <w:r w:rsidRPr="001F56CE">
        <w:fldChar w:fldCharType="begin"/>
      </w:r>
      <w:r w:rsidRPr="001F56CE">
        <w:instrText xml:space="preserve"> AUTONUM  </w:instrText>
      </w:r>
      <w:r w:rsidRPr="001F56CE">
        <w:fldChar w:fldCharType="end"/>
      </w:r>
      <w:r w:rsidRPr="001F56CE">
        <w:tab/>
        <w:t>En las circulares de invitación a la presente sesión, la Oficina de la Unión ha solicitado informes escritos y ha propuesto un modelo de formato a tal efecto.  Se han presentado los informes siguientes (por orden alfabético de los nombres de los miembros y observadores en francés):</w:t>
      </w:r>
    </w:p>
    <w:p w:rsidR="004E2DEF" w:rsidRPr="001F56CE" w:rsidRDefault="004E2DEF" w:rsidP="004E2DEF">
      <w:pPr>
        <w:widowControl w:val="0"/>
      </w:pPr>
    </w:p>
    <w:p w:rsidR="004E2DEF" w:rsidRPr="001F56CE" w:rsidRDefault="004E2DEF" w:rsidP="004E2DEF">
      <w:pPr>
        <w:ind w:left="567"/>
        <w:rPr>
          <w:szCs w:val="24"/>
        </w:rPr>
      </w:pPr>
      <w:r w:rsidRPr="001F56CE">
        <w:rPr>
          <w:spacing w:val="-2"/>
          <w:szCs w:val="24"/>
          <w:u w:val="single"/>
        </w:rPr>
        <w:t>Miembros</w:t>
      </w:r>
      <w:r w:rsidRPr="001F56CE">
        <w:rPr>
          <w:spacing w:val="-2"/>
          <w:szCs w:val="24"/>
        </w:rPr>
        <w:t xml:space="preserve">:  Anexos I a XVI:  </w:t>
      </w:r>
      <w:r w:rsidR="00AE480F" w:rsidRPr="00AE480F">
        <w:rPr>
          <w:szCs w:val="24"/>
        </w:rPr>
        <w:t xml:space="preserve">Alemania, Brasil, Dinamarca, Hungría, Lituania, México, Nueva Zelandia, Polonia, República de Corea, República de </w:t>
      </w:r>
      <w:proofErr w:type="spellStart"/>
      <w:r w:rsidR="00AE480F" w:rsidRPr="00AE480F">
        <w:rPr>
          <w:szCs w:val="24"/>
        </w:rPr>
        <w:t>Moldova</w:t>
      </w:r>
      <w:proofErr w:type="spellEnd"/>
      <w:r w:rsidR="00AE480F" w:rsidRPr="00AE480F">
        <w:rPr>
          <w:szCs w:val="24"/>
        </w:rPr>
        <w:t>, Rumania, Reino U</w:t>
      </w:r>
      <w:r w:rsidR="00AE480F">
        <w:rPr>
          <w:szCs w:val="24"/>
        </w:rPr>
        <w:t>nido, Serbia, Singapur, Ucrania y</w:t>
      </w:r>
      <w:r w:rsidR="00AE480F" w:rsidRPr="00AE480F">
        <w:rPr>
          <w:szCs w:val="24"/>
        </w:rPr>
        <w:t xml:space="preserve"> Unión Europea</w:t>
      </w:r>
    </w:p>
    <w:p w:rsidR="004E2DEF" w:rsidRPr="001F56CE" w:rsidRDefault="004E2DEF" w:rsidP="004E2DEF">
      <w:pPr>
        <w:widowControl w:val="0"/>
        <w:ind w:right="567"/>
      </w:pPr>
    </w:p>
    <w:p w:rsidR="004E2DEF" w:rsidRPr="001F56CE" w:rsidRDefault="004E2DEF" w:rsidP="004E2DEF">
      <w:r w:rsidRPr="001F56CE">
        <w:fldChar w:fldCharType="begin"/>
      </w:r>
      <w:r w:rsidRPr="001F56CE">
        <w:instrText xml:space="preserve"> AUTONUM  </w:instrText>
      </w:r>
      <w:r w:rsidRPr="001F56CE">
        <w:fldChar w:fldCharType="end"/>
      </w:r>
      <w:r w:rsidRPr="001F56CE">
        <w:tab/>
        <w:t xml:space="preserve">Los informes recibidos después del </w:t>
      </w:r>
      <w:r>
        <w:t>2</w:t>
      </w:r>
      <w:r w:rsidR="00AE480F">
        <w:t>0</w:t>
      </w:r>
      <w:r w:rsidRPr="001F56CE">
        <w:t xml:space="preserve"> de septiembre de 20</w:t>
      </w:r>
      <w:r>
        <w:t>2</w:t>
      </w:r>
      <w:r w:rsidR="00AE480F">
        <w:t>1</w:t>
      </w:r>
      <w:r w:rsidRPr="001F56CE">
        <w:t xml:space="preserve"> se incluirán como adenda a este documento y se publicarán después de la sesión del Consejo.</w:t>
      </w:r>
    </w:p>
    <w:p w:rsidR="004E2DEF" w:rsidRPr="001F56CE" w:rsidRDefault="004E2DEF" w:rsidP="004E2DEF"/>
    <w:p w:rsidR="004E2DEF" w:rsidRPr="001F56CE" w:rsidRDefault="004E2DEF" w:rsidP="004E2DEF"/>
    <w:p w:rsidR="004E2DEF" w:rsidRPr="001F56CE" w:rsidRDefault="004E2DEF" w:rsidP="004E2DEF"/>
    <w:p w:rsidR="004E2DEF" w:rsidRPr="001F56CE" w:rsidRDefault="004E2DEF" w:rsidP="004E2DEF">
      <w:pPr>
        <w:jc w:val="right"/>
      </w:pPr>
      <w:r w:rsidRPr="001F56CE">
        <w:t>[Siguen los Anexos]</w:t>
      </w:r>
    </w:p>
    <w:p w:rsidR="008B3D8D" w:rsidRDefault="008B3D8D">
      <w:pPr>
        <w:jc w:val="left"/>
      </w:pPr>
    </w:p>
    <w:p w:rsidR="0078167F" w:rsidRDefault="0078167F" w:rsidP="0078167F">
      <w:pPr>
        <w:jc w:val="left"/>
      </w:pPr>
    </w:p>
    <w:p w:rsidR="0078167F" w:rsidRDefault="0078167F" w:rsidP="0078167F">
      <w:pPr>
        <w:sectPr w:rsidR="0078167F" w:rsidSect="00906DDC">
          <w:headerReference w:type="default" r:id="rId9"/>
          <w:pgSz w:w="11907" w:h="16840" w:code="9"/>
          <w:pgMar w:top="510" w:right="1134" w:bottom="1134" w:left="1134" w:header="510" w:footer="680" w:gutter="0"/>
          <w:cols w:space="720"/>
          <w:titlePg/>
        </w:sectPr>
      </w:pPr>
    </w:p>
    <w:p w:rsidR="0078167F" w:rsidRPr="0075031D" w:rsidRDefault="00C55E19" w:rsidP="0078167F">
      <w:pPr>
        <w:jc w:val="center"/>
      </w:pPr>
      <w:r>
        <w:lastRenderedPageBreak/>
        <w:t>C/55/INF/4</w:t>
      </w:r>
    </w:p>
    <w:p w:rsidR="0078167F" w:rsidRPr="0075031D" w:rsidRDefault="0078167F" w:rsidP="0078167F">
      <w:pPr>
        <w:jc w:val="center"/>
      </w:pPr>
    </w:p>
    <w:p w:rsidR="0078167F" w:rsidRPr="0075031D" w:rsidRDefault="00E80B45" w:rsidP="0078167F">
      <w:pPr>
        <w:jc w:val="center"/>
      </w:pPr>
      <w:r>
        <w:t>ANEXO</w:t>
      </w:r>
      <w:r w:rsidR="0078167F" w:rsidRPr="0075031D">
        <w:t xml:space="preserve"> I</w:t>
      </w:r>
    </w:p>
    <w:p w:rsidR="0078167F" w:rsidRPr="0075031D" w:rsidRDefault="0078167F" w:rsidP="0078167F">
      <w:pPr>
        <w:jc w:val="center"/>
      </w:pPr>
    </w:p>
    <w:p w:rsidR="0078167F" w:rsidRDefault="0078167F" w:rsidP="0078167F">
      <w:pPr>
        <w:jc w:val="center"/>
      </w:pPr>
    </w:p>
    <w:p w:rsidR="00117ABA" w:rsidRPr="00592F7C" w:rsidRDefault="003518A1" w:rsidP="00117ABA">
      <w:pPr>
        <w:jc w:val="center"/>
        <w:rPr>
          <w:color w:val="000000"/>
          <w:szCs w:val="24"/>
          <w:lang w:val="es-ES"/>
        </w:rPr>
      </w:pPr>
      <w:r>
        <w:rPr>
          <w:color w:val="000000"/>
          <w:szCs w:val="24"/>
        </w:rPr>
        <w:t>ALEMANIA</w:t>
      </w:r>
    </w:p>
    <w:p w:rsidR="00117ABA" w:rsidRPr="00592F7C" w:rsidRDefault="00117ABA" w:rsidP="00117ABA">
      <w:pPr>
        <w:rPr>
          <w:lang w:val="es-ES"/>
        </w:rPr>
      </w:pPr>
    </w:p>
    <w:p w:rsidR="00117ABA" w:rsidRPr="00592F7C" w:rsidRDefault="00117ABA" w:rsidP="00117ABA">
      <w:pPr>
        <w:jc w:val="left"/>
        <w:rPr>
          <w:lang w:val="es-ES"/>
        </w:rPr>
      </w:pPr>
    </w:p>
    <w:p w:rsidR="00B409BE" w:rsidRPr="007515E5" w:rsidRDefault="00B409BE" w:rsidP="00B409BE">
      <w:r w:rsidRPr="007515E5">
        <w:t>I.</w:t>
      </w:r>
      <w:r w:rsidRPr="007515E5">
        <w:tab/>
        <w:t>PROTECCIÓN DE LAS OBTENCIONES VEGETALES</w:t>
      </w:r>
    </w:p>
    <w:p w:rsidR="00B409BE" w:rsidRPr="007515E5" w:rsidRDefault="00B409BE" w:rsidP="00B409BE"/>
    <w:p w:rsidR="00B409BE" w:rsidRPr="007515E5" w:rsidRDefault="00B409BE" w:rsidP="00B409BE">
      <w:r w:rsidRPr="007515E5">
        <w:t>1.</w:t>
      </w:r>
      <w:r w:rsidRPr="007515E5">
        <w:tab/>
      </w:r>
      <w:r w:rsidRPr="007515E5">
        <w:rPr>
          <w:u w:val="single"/>
        </w:rPr>
        <w:t>Situación en el ámbito legislativo</w:t>
      </w:r>
    </w:p>
    <w:p w:rsidR="00B409BE" w:rsidRPr="007515E5" w:rsidRDefault="00B409BE" w:rsidP="00B409BE"/>
    <w:p w:rsidR="00B409BE" w:rsidRPr="007515E5" w:rsidRDefault="00B409BE" w:rsidP="00B409BE">
      <w:pPr>
        <w:ind w:left="567" w:hanging="567"/>
      </w:pPr>
      <w:r w:rsidRPr="007515E5">
        <w:t>1.1</w:t>
      </w:r>
      <w:r w:rsidRPr="007515E5">
        <w:tab/>
        <w:t>Sobre la base de la Ley Federal de Tasas, se elaboró el "Reglamento especial del Ministerio Federal de Alimentación y Agricultura sobre las tasas relativas a los servicios públicos prestados por particulares en su ámbito de competencia", publicado el 21 de julio de 2021 en el Boletín Federal (Parte I n.º 45).</w:t>
      </w:r>
    </w:p>
    <w:p w:rsidR="00B409BE" w:rsidRPr="007515E5" w:rsidRDefault="00B409BE" w:rsidP="00B409BE">
      <w:pPr>
        <w:ind w:left="567" w:hanging="567"/>
      </w:pPr>
    </w:p>
    <w:p w:rsidR="00B409BE" w:rsidRPr="007515E5" w:rsidRDefault="00B409BE" w:rsidP="00B409BE">
      <w:pPr>
        <w:pStyle w:val="BodyText"/>
        <w:ind w:left="567" w:right="108"/>
      </w:pPr>
      <w:r w:rsidRPr="007515E5">
        <w:t>El Reglamento entrará en vigor el 1 de octubre de 2021 y sustituirá a la actual tabla de tasas de la Oficina Federal de Obtenciones Vegetales de 1 de noviembre de 2019 (N.º 20/19).</w:t>
      </w:r>
    </w:p>
    <w:p w:rsidR="00B409BE" w:rsidRPr="007515E5" w:rsidRDefault="00B409BE" w:rsidP="00B409BE">
      <w:pPr>
        <w:ind w:left="567" w:hanging="567"/>
      </w:pPr>
    </w:p>
    <w:p w:rsidR="00B409BE" w:rsidRPr="007515E5" w:rsidRDefault="00B409BE" w:rsidP="00B409BE">
      <w:pPr>
        <w:ind w:left="567" w:hanging="567"/>
      </w:pPr>
      <w:r w:rsidRPr="007515E5">
        <w:t>1.2</w:t>
      </w:r>
      <w:r w:rsidRPr="007515E5">
        <w:tab/>
        <w:t>No hay novedades reseñables.</w:t>
      </w:r>
    </w:p>
    <w:p w:rsidR="00B409BE" w:rsidRPr="007515E5" w:rsidRDefault="00B409BE" w:rsidP="00B409BE">
      <w:pPr>
        <w:ind w:left="567" w:hanging="567"/>
      </w:pPr>
    </w:p>
    <w:p w:rsidR="00B409BE" w:rsidRPr="007515E5" w:rsidRDefault="00B409BE" w:rsidP="00B409BE">
      <w:pPr>
        <w:ind w:left="567" w:hanging="567"/>
      </w:pPr>
      <w:r w:rsidRPr="007515E5">
        <w:t>1.3</w:t>
      </w:r>
      <w:r w:rsidRPr="007515E5">
        <w:tab/>
        <w:t>No hay novedades reseñables.</w:t>
      </w:r>
    </w:p>
    <w:p w:rsidR="00B409BE" w:rsidRPr="007515E5" w:rsidRDefault="00B409BE" w:rsidP="00B409BE"/>
    <w:p w:rsidR="00B409BE" w:rsidRPr="007515E5" w:rsidRDefault="00B409BE" w:rsidP="00B409BE">
      <w:pPr>
        <w:rPr>
          <w:u w:val="single"/>
        </w:rPr>
      </w:pPr>
      <w:r w:rsidRPr="007515E5">
        <w:t>2.</w:t>
      </w:r>
      <w:r w:rsidRPr="007515E5">
        <w:tab/>
      </w:r>
      <w:r w:rsidRPr="007515E5">
        <w:rPr>
          <w:u w:val="single"/>
        </w:rPr>
        <w:t>Cooperación en el examen</w:t>
      </w:r>
    </w:p>
    <w:p w:rsidR="00B409BE" w:rsidRPr="007515E5" w:rsidRDefault="00B409BE" w:rsidP="00B409BE"/>
    <w:p w:rsidR="00B409BE" w:rsidRPr="007515E5" w:rsidRDefault="00B409BE" w:rsidP="00B409BE">
      <w:pPr>
        <w:pStyle w:val="ListParagraph"/>
        <w:ind w:left="567"/>
        <w:rPr>
          <w:lang w:val="es-ES_tradnl"/>
        </w:rPr>
      </w:pPr>
      <w:r w:rsidRPr="007515E5">
        <w:rPr>
          <w:lang w:val="es-ES_tradnl"/>
        </w:rPr>
        <w:t>No hay novedades reseñables.</w:t>
      </w:r>
    </w:p>
    <w:p w:rsidR="00B409BE" w:rsidRPr="007515E5" w:rsidRDefault="00B409BE" w:rsidP="00B409BE"/>
    <w:p w:rsidR="00B409BE" w:rsidRPr="007515E5" w:rsidRDefault="00B409BE" w:rsidP="00B409BE">
      <w:pPr>
        <w:rPr>
          <w:u w:val="single"/>
        </w:rPr>
      </w:pPr>
      <w:r w:rsidRPr="007515E5">
        <w:t>3.</w:t>
      </w:r>
      <w:r w:rsidRPr="007515E5">
        <w:tab/>
      </w:r>
      <w:r w:rsidRPr="007515E5">
        <w:rPr>
          <w:u w:val="single"/>
        </w:rPr>
        <w:t>Situación en el ámbito administrativo</w:t>
      </w:r>
    </w:p>
    <w:p w:rsidR="00B409BE" w:rsidRPr="007515E5" w:rsidRDefault="00B409BE" w:rsidP="00B409BE"/>
    <w:p w:rsidR="00B409BE" w:rsidRPr="007515E5" w:rsidRDefault="00B409BE" w:rsidP="00B409BE">
      <w:pPr>
        <w:pStyle w:val="ListParagraph"/>
        <w:ind w:left="567"/>
        <w:rPr>
          <w:lang w:val="es-ES_tradnl"/>
        </w:rPr>
      </w:pPr>
      <w:r w:rsidRPr="007515E5">
        <w:rPr>
          <w:lang w:val="es-ES_tradnl"/>
        </w:rPr>
        <w:t>No hay novedades reseñables.</w:t>
      </w:r>
    </w:p>
    <w:p w:rsidR="00B409BE" w:rsidRPr="007515E5" w:rsidRDefault="00B409BE" w:rsidP="00B409BE"/>
    <w:p w:rsidR="00B409BE" w:rsidRPr="007515E5" w:rsidRDefault="00B409BE" w:rsidP="00B409BE">
      <w:pPr>
        <w:rPr>
          <w:u w:val="single"/>
        </w:rPr>
      </w:pPr>
      <w:r w:rsidRPr="007515E5">
        <w:t>4.</w:t>
      </w:r>
      <w:r w:rsidRPr="007515E5">
        <w:tab/>
      </w:r>
      <w:r w:rsidRPr="007515E5">
        <w:rPr>
          <w:u w:val="single"/>
        </w:rPr>
        <w:t>Situación en el ámbito técnico</w:t>
      </w:r>
    </w:p>
    <w:p w:rsidR="00B409BE" w:rsidRPr="007515E5" w:rsidRDefault="00B409BE" w:rsidP="00B409BE"/>
    <w:p w:rsidR="00B409BE" w:rsidRPr="007515E5" w:rsidRDefault="00B409BE" w:rsidP="00B409BE">
      <w:r w:rsidRPr="007515E5">
        <w:t>La Oficina Federal de Obtenciones Vegetales está modernizando y ampliando sus instalaciones operativas, en particular en Hannover, en lo referente a la realización de pruebas y a las tecnologías de la información.</w:t>
      </w:r>
    </w:p>
    <w:p w:rsidR="00B409BE" w:rsidRPr="007515E5" w:rsidRDefault="00B409BE" w:rsidP="00B409BE"/>
    <w:p w:rsidR="00B409BE" w:rsidRPr="007515E5" w:rsidRDefault="00B409BE" w:rsidP="00B409BE">
      <w:pPr>
        <w:rPr>
          <w:u w:val="single"/>
        </w:rPr>
      </w:pPr>
      <w:r w:rsidRPr="007515E5">
        <w:t>5.</w:t>
      </w:r>
      <w:r w:rsidRPr="007515E5">
        <w:tab/>
      </w:r>
      <w:r w:rsidRPr="007515E5">
        <w:rPr>
          <w:u w:val="single"/>
        </w:rPr>
        <w:t>Actividades para la promoción de la protección de las obtenciones vegetales</w:t>
      </w:r>
    </w:p>
    <w:p w:rsidR="00B409BE" w:rsidRPr="007515E5" w:rsidRDefault="00B409BE" w:rsidP="00B409BE"/>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276"/>
        <w:gridCol w:w="1436"/>
        <w:gridCol w:w="908"/>
        <w:gridCol w:w="4035"/>
        <w:gridCol w:w="2126"/>
      </w:tblGrid>
      <w:tr w:rsidR="00B409BE" w:rsidRPr="007515E5" w:rsidTr="00B409BE">
        <w:tc>
          <w:tcPr>
            <w:tcW w:w="1276" w:type="dxa"/>
          </w:tcPr>
          <w:p w:rsidR="00B409BE" w:rsidRPr="00B409BE" w:rsidRDefault="00B409BE" w:rsidP="00B409BE">
            <w:pPr>
              <w:pStyle w:val="TableParagraph"/>
              <w:ind w:left="0"/>
              <w:rPr>
                <w:sz w:val="16"/>
                <w:szCs w:val="16"/>
                <w:lang w:val="es-ES_tradnl"/>
              </w:rPr>
            </w:pPr>
            <w:r w:rsidRPr="00B409BE">
              <w:rPr>
                <w:sz w:val="16"/>
                <w:szCs w:val="16"/>
                <w:lang w:val="es-ES_tradnl"/>
              </w:rPr>
              <w:t>Tipo de actividad</w:t>
            </w:r>
          </w:p>
        </w:tc>
        <w:tc>
          <w:tcPr>
            <w:tcW w:w="1436" w:type="dxa"/>
          </w:tcPr>
          <w:p w:rsidR="00B409BE" w:rsidRPr="00B409BE" w:rsidRDefault="00B409BE" w:rsidP="00B409BE">
            <w:pPr>
              <w:pStyle w:val="TableParagraph"/>
              <w:ind w:left="0"/>
              <w:rPr>
                <w:sz w:val="16"/>
                <w:szCs w:val="16"/>
                <w:lang w:val="es-ES_tradnl"/>
              </w:rPr>
            </w:pPr>
            <w:r w:rsidRPr="00B409BE">
              <w:rPr>
                <w:sz w:val="16"/>
                <w:szCs w:val="16"/>
                <w:lang w:val="es-ES_tradnl"/>
              </w:rPr>
              <w:t>Fecha</w:t>
            </w:r>
          </w:p>
        </w:tc>
        <w:tc>
          <w:tcPr>
            <w:tcW w:w="908" w:type="dxa"/>
          </w:tcPr>
          <w:p w:rsidR="00B409BE" w:rsidRPr="00B409BE" w:rsidRDefault="00B409BE" w:rsidP="00B409BE">
            <w:pPr>
              <w:pStyle w:val="TableParagraph"/>
              <w:ind w:left="0"/>
              <w:rPr>
                <w:sz w:val="16"/>
                <w:szCs w:val="16"/>
                <w:lang w:val="es-ES_tradnl"/>
              </w:rPr>
            </w:pPr>
            <w:r w:rsidRPr="00B409BE">
              <w:rPr>
                <w:sz w:val="16"/>
                <w:szCs w:val="16"/>
                <w:lang w:val="es-ES_tradnl"/>
              </w:rPr>
              <w:t>Lugar</w:t>
            </w:r>
          </w:p>
        </w:tc>
        <w:tc>
          <w:tcPr>
            <w:tcW w:w="4035" w:type="dxa"/>
          </w:tcPr>
          <w:p w:rsidR="00B409BE" w:rsidRPr="00B409BE" w:rsidRDefault="00B409BE" w:rsidP="00B409BE">
            <w:pPr>
              <w:pStyle w:val="TableParagraph"/>
              <w:ind w:left="0"/>
              <w:rPr>
                <w:sz w:val="16"/>
                <w:szCs w:val="16"/>
                <w:lang w:val="es-ES_tradnl"/>
              </w:rPr>
            </w:pPr>
            <w:r w:rsidRPr="00B409BE">
              <w:rPr>
                <w:sz w:val="16"/>
                <w:szCs w:val="16"/>
                <w:lang w:val="es-ES_tradnl"/>
              </w:rPr>
              <w:t>Finalidad de la actividad</w:t>
            </w:r>
          </w:p>
        </w:tc>
        <w:tc>
          <w:tcPr>
            <w:tcW w:w="2126" w:type="dxa"/>
          </w:tcPr>
          <w:p w:rsidR="00B409BE" w:rsidRPr="00B409BE" w:rsidRDefault="00B409BE" w:rsidP="00B409BE">
            <w:pPr>
              <w:pStyle w:val="TableParagraph"/>
              <w:ind w:left="0"/>
              <w:rPr>
                <w:sz w:val="16"/>
                <w:szCs w:val="16"/>
                <w:lang w:val="es-ES_tradnl"/>
              </w:rPr>
            </w:pPr>
            <w:r w:rsidRPr="00B409BE">
              <w:rPr>
                <w:sz w:val="16"/>
                <w:szCs w:val="16"/>
                <w:lang w:val="es-ES_tradnl"/>
              </w:rPr>
              <w:t>Países/organizaciones participantes (número de participantes en cada caso)</w:t>
            </w:r>
          </w:p>
        </w:tc>
      </w:tr>
      <w:tr w:rsidR="00B409BE" w:rsidRPr="007515E5" w:rsidTr="00B409BE">
        <w:tc>
          <w:tcPr>
            <w:tcW w:w="1276" w:type="dxa"/>
          </w:tcPr>
          <w:p w:rsidR="00B409BE" w:rsidRPr="00B409BE" w:rsidRDefault="00B409BE" w:rsidP="00AA577D">
            <w:pPr>
              <w:pStyle w:val="TableParagraph"/>
              <w:ind w:left="0"/>
              <w:rPr>
                <w:sz w:val="16"/>
                <w:szCs w:val="16"/>
                <w:lang w:val="es-ES_tradnl"/>
              </w:rPr>
            </w:pPr>
            <w:r w:rsidRPr="00B409BE">
              <w:rPr>
                <w:sz w:val="16"/>
                <w:szCs w:val="16"/>
                <w:lang w:val="es-ES_tradnl"/>
              </w:rPr>
              <w:t>Formación</w:t>
            </w:r>
          </w:p>
        </w:tc>
        <w:tc>
          <w:tcPr>
            <w:tcW w:w="1436" w:type="dxa"/>
          </w:tcPr>
          <w:p w:rsidR="00B409BE" w:rsidRPr="00B409BE" w:rsidRDefault="00B409BE" w:rsidP="00AA577D">
            <w:pPr>
              <w:pStyle w:val="TableParagraph"/>
              <w:ind w:left="0"/>
              <w:rPr>
                <w:sz w:val="16"/>
                <w:szCs w:val="16"/>
                <w:lang w:val="es-ES_tradnl"/>
              </w:rPr>
            </w:pPr>
            <w:r w:rsidRPr="00B409BE">
              <w:rPr>
                <w:sz w:val="16"/>
                <w:szCs w:val="16"/>
                <w:lang w:val="es-ES_tradnl"/>
              </w:rPr>
              <w:t>Octubre de 2020</w:t>
            </w:r>
          </w:p>
        </w:tc>
        <w:tc>
          <w:tcPr>
            <w:tcW w:w="908" w:type="dxa"/>
          </w:tcPr>
          <w:p w:rsidR="00B409BE" w:rsidRPr="00B409BE" w:rsidRDefault="00B409BE" w:rsidP="00AA577D">
            <w:pPr>
              <w:rPr>
                <w:rFonts w:cs="Arial"/>
                <w:sz w:val="16"/>
                <w:szCs w:val="16"/>
              </w:rPr>
            </w:pPr>
            <w:r w:rsidRPr="00B409BE">
              <w:rPr>
                <w:rFonts w:cs="Arial"/>
                <w:sz w:val="16"/>
                <w:szCs w:val="16"/>
              </w:rPr>
              <w:t>Por Internet</w:t>
            </w:r>
          </w:p>
        </w:tc>
        <w:tc>
          <w:tcPr>
            <w:tcW w:w="4035" w:type="dxa"/>
          </w:tcPr>
          <w:p w:rsidR="00B409BE" w:rsidRPr="00B409BE" w:rsidRDefault="00B409BE" w:rsidP="00AA577D">
            <w:pPr>
              <w:pStyle w:val="TableParagraph"/>
              <w:ind w:left="0"/>
              <w:rPr>
                <w:sz w:val="16"/>
                <w:szCs w:val="16"/>
                <w:lang w:val="es-ES_tradnl"/>
              </w:rPr>
            </w:pPr>
            <w:r w:rsidRPr="00B409BE">
              <w:rPr>
                <w:i/>
                <w:sz w:val="16"/>
                <w:szCs w:val="16"/>
                <w:lang w:val="es-ES_tradnl"/>
              </w:rPr>
              <w:t>IP Key</w:t>
            </w:r>
            <w:r w:rsidRPr="00B409BE">
              <w:rPr>
                <w:sz w:val="16"/>
                <w:szCs w:val="16"/>
                <w:lang w:val="es-ES_tradnl"/>
              </w:rPr>
              <w:t xml:space="preserve"> China</w:t>
            </w:r>
          </w:p>
        </w:tc>
        <w:tc>
          <w:tcPr>
            <w:tcW w:w="2126" w:type="dxa"/>
          </w:tcPr>
          <w:p w:rsidR="00B409BE" w:rsidRPr="00B409BE" w:rsidRDefault="00B409BE" w:rsidP="00AA577D">
            <w:pPr>
              <w:pStyle w:val="TableParagraph"/>
              <w:ind w:left="0"/>
              <w:rPr>
                <w:sz w:val="16"/>
                <w:szCs w:val="16"/>
                <w:lang w:val="es-ES_tradnl"/>
              </w:rPr>
            </w:pPr>
            <w:r w:rsidRPr="00B409BE">
              <w:rPr>
                <w:sz w:val="16"/>
                <w:szCs w:val="16"/>
                <w:lang w:val="es-ES_tradnl"/>
              </w:rPr>
              <w:t>Francia, Países Bajos</w:t>
            </w:r>
          </w:p>
        </w:tc>
      </w:tr>
      <w:tr w:rsidR="00B409BE" w:rsidRPr="007515E5" w:rsidTr="00B409BE">
        <w:tc>
          <w:tcPr>
            <w:tcW w:w="1276" w:type="dxa"/>
          </w:tcPr>
          <w:p w:rsidR="00B409BE" w:rsidRPr="00B409BE" w:rsidRDefault="00B409BE" w:rsidP="00AA577D">
            <w:pPr>
              <w:pStyle w:val="TableParagraph"/>
              <w:ind w:left="0"/>
              <w:rPr>
                <w:sz w:val="16"/>
                <w:szCs w:val="16"/>
                <w:lang w:val="es-ES_tradnl"/>
              </w:rPr>
            </w:pPr>
            <w:r w:rsidRPr="00B409BE">
              <w:rPr>
                <w:sz w:val="16"/>
                <w:szCs w:val="16"/>
                <w:lang w:val="es-ES_tradnl"/>
              </w:rPr>
              <w:t>Taller</w:t>
            </w:r>
          </w:p>
        </w:tc>
        <w:tc>
          <w:tcPr>
            <w:tcW w:w="1436" w:type="dxa"/>
          </w:tcPr>
          <w:p w:rsidR="00B409BE" w:rsidRPr="00B409BE" w:rsidRDefault="00B409BE" w:rsidP="00AA577D">
            <w:pPr>
              <w:pStyle w:val="TableParagraph"/>
              <w:ind w:left="0"/>
              <w:rPr>
                <w:sz w:val="16"/>
                <w:szCs w:val="16"/>
                <w:lang w:val="es-ES_tradnl"/>
              </w:rPr>
            </w:pPr>
            <w:r w:rsidRPr="00B409BE">
              <w:rPr>
                <w:sz w:val="16"/>
                <w:szCs w:val="16"/>
                <w:lang w:val="es-ES_tradnl"/>
              </w:rPr>
              <w:t>Octubre de 2020</w:t>
            </w:r>
          </w:p>
        </w:tc>
        <w:tc>
          <w:tcPr>
            <w:tcW w:w="908" w:type="dxa"/>
          </w:tcPr>
          <w:p w:rsidR="00B409BE" w:rsidRPr="00B409BE" w:rsidRDefault="00B409BE" w:rsidP="00AA577D">
            <w:pPr>
              <w:rPr>
                <w:rFonts w:cs="Arial"/>
                <w:sz w:val="16"/>
                <w:szCs w:val="16"/>
              </w:rPr>
            </w:pPr>
            <w:r w:rsidRPr="00B409BE">
              <w:rPr>
                <w:rFonts w:cs="Arial"/>
                <w:sz w:val="16"/>
                <w:szCs w:val="16"/>
              </w:rPr>
              <w:t>Por Internet</w:t>
            </w:r>
          </w:p>
        </w:tc>
        <w:tc>
          <w:tcPr>
            <w:tcW w:w="4035" w:type="dxa"/>
          </w:tcPr>
          <w:p w:rsidR="00B409BE" w:rsidRPr="00B409BE" w:rsidRDefault="00B409BE" w:rsidP="00AA577D">
            <w:pPr>
              <w:pStyle w:val="TableParagraph"/>
              <w:ind w:left="0"/>
              <w:rPr>
                <w:iCs/>
                <w:sz w:val="16"/>
                <w:szCs w:val="16"/>
                <w:lang w:val="es-ES_tradnl"/>
              </w:rPr>
            </w:pPr>
            <w:r w:rsidRPr="00B409BE">
              <w:rPr>
                <w:iCs/>
                <w:sz w:val="16"/>
                <w:szCs w:val="16"/>
                <w:lang w:val="es-ES_tradnl"/>
              </w:rPr>
              <w:t>Examen DHE y gestión de datos</w:t>
            </w:r>
          </w:p>
        </w:tc>
        <w:tc>
          <w:tcPr>
            <w:tcW w:w="2126" w:type="dxa"/>
          </w:tcPr>
          <w:p w:rsidR="00B409BE" w:rsidRPr="00B409BE" w:rsidRDefault="00B409BE" w:rsidP="00AA577D">
            <w:pPr>
              <w:pStyle w:val="TableParagraph"/>
              <w:ind w:left="0"/>
              <w:rPr>
                <w:sz w:val="16"/>
                <w:szCs w:val="16"/>
                <w:lang w:val="es-ES_tradnl"/>
              </w:rPr>
            </w:pPr>
            <w:r w:rsidRPr="00B409BE">
              <w:rPr>
                <w:sz w:val="16"/>
                <w:szCs w:val="16"/>
                <w:lang w:val="es-ES_tradnl"/>
              </w:rPr>
              <w:t>India</w:t>
            </w:r>
          </w:p>
          <w:p w:rsidR="00B409BE" w:rsidRPr="00B409BE" w:rsidRDefault="00B409BE" w:rsidP="00AA577D">
            <w:pPr>
              <w:pStyle w:val="TableParagraph"/>
              <w:ind w:left="0"/>
              <w:rPr>
                <w:sz w:val="16"/>
                <w:szCs w:val="16"/>
                <w:lang w:val="es-ES_tradnl"/>
              </w:rPr>
            </w:pPr>
            <w:r w:rsidRPr="00B409BE">
              <w:rPr>
                <w:sz w:val="16"/>
                <w:szCs w:val="16"/>
                <w:lang w:val="es-ES_tradnl"/>
              </w:rPr>
              <w:t>(300 participantes)</w:t>
            </w:r>
          </w:p>
        </w:tc>
      </w:tr>
      <w:tr w:rsidR="00B409BE" w:rsidRPr="007515E5" w:rsidTr="00B409BE">
        <w:tc>
          <w:tcPr>
            <w:tcW w:w="1276" w:type="dxa"/>
          </w:tcPr>
          <w:p w:rsidR="00B409BE" w:rsidRPr="00B409BE" w:rsidRDefault="00B409BE" w:rsidP="00AA577D">
            <w:pPr>
              <w:pStyle w:val="TableParagraph"/>
              <w:ind w:left="0"/>
              <w:rPr>
                <w:sz w:val="16"/>
                <w:szCs w:val="16"/>
                <w:lang w:val="es-ES_tradnl"/>
              </w:rPr>
            </w:pPr>
            <w:r w:rsidRPr="00B409BE">
              <w:rPr>
                <w:sz w:val="16"/>
                <w:szCs w:val="16"/>
                <w:lang w:val="es-ES_tradnl"/>
              </w:rPr>
              <w:t>Intercambio</w:t>
            </w:r>
          </w:p>
        </w:tc>
        <w:tc>
          <w:tcPr>
            <w:tcW w:w="1436" w:type="dxa"/>
          </w:tcPr>
          <w:p w:rsidR="00B409BE" w:rsidRPr="00B409BE" w:rsidRDefault="00B409BE" w:rsidP="00AA577D">
            <w:pPr>
              <w:pStyle w:val="TableParagraph"/>
              <w:ind w:left="0"/>
              <w:rPr>
                <w:sz w:val="16"/>
                <w:szCs w:val="16"/>
                <w:lang w:val="es-ES_tradnl"/>
              </w:rPr>
            </w:pPr>
            <w:r w:rsidRPr="00B409BE">
              <w:rPr>
                <w:sz w:val="16"/>
                <w:szCs w:val="16"/>
                <w:lang w:val="es-ES_tradnl"/>
              </w:rPr>
              <w:t>Noviembre de 2020</w:t>
            </w:r>
          </w:p>
        </w:tc>
        <w:tc>
          <w:tcPr>
            <w:tcW w:w="908" w:type="dxa"/>
          </w:tcPr>
          <w:p w:rsidR="00B409BE" w:rsidRPr="00B409BE" w:rsidRDefault="00B409BE" w:rsidP="00AA577D">
            <w:pPr>
              <w:rPr>
                <w:rFonts w:cs="Arial"/>
                <w:sz w:val="16"/>
                <w:szCs w:val="16"/>
              </w:rPr>
            </w:pPr>
            <w:r w:rsidRPr="00B409BE">
              <w:rPr>
                <w:rFonts w:cs="Arial"/>
                <w:sz w:val="16"/>
                <w:szCs w:val="16"/>
              </w:rPr>
              <w:t>Por Internet</w:t>
            </w:r>
          </w:p>
        </w:tc>
        <w:tc>
          <w:tcPr>
            <w:tcW w:w="4035" w:type="dxa"/>
          </w:tcPr>
          <w:p w:rsidR="00B409BE" w:rsidRPr="00B409BE" w:rsidRDefault="00B409BE" w:rsidP="00AA577D">
            <w:pPr>
              <w:pStyle w:val="TableParagraph"/>
              <w:ind w:left="0"/>
              <w:rPr>
                <w:sz w:val="16"/>
                <w:szCs w:val="16"/>
                <w:lang w:val="es-ES_tradnl"/>
              </w:rPr>
            </w:pPr>
            <w:r w:rsidRPr="00B409BE">
              <w:rPr>
                <w:sz w:val="16"/>
                <w:szCs w:val="16"/>
                <w:lang w:val="es-ES_tradnl"/>
              </w:rPr>
              <w:t>Proyecto de ley de Mongolia sobre obtenciones vegetales y semillas</w:t>
            </w:r>
          </w:p>
        </w:tc>
        <w:tc>
          <w:tcPr>
            <w:tcW w:w="2126" w:type="dxa"/>
          </w:tcPr>
          <w:p w:rsidR="00B409BE" w:rsidRPr="00B409BE" w:rsidRDefault="00B409BE" w:rsidP="00AA577D">
            <w:pPr>
              <w:pStyle w:val="TableParagraph"/>
              <w:ind w:left="0"/>
              <w:rPr>
                <w:sz w:val="16"/>
                <w:szCs w:val="16"/>
                <w:lang w:val="es-ES_tradnl"/>
              </w:rPr>
            </w:pPr>
            <w:r w:rsidRPr="00B409BE">
              <w:rPr>
                <w:sz w:val="16"/>
                <w:szCs w:val="16"/>
                <w:lang w:val="es-ES_tradnl"/>
              </w:rPr>
              <w:t>Mongolia</w:t>
            </w:r>
          </w:p>
        </w:tc>
      </w:tr>
      <w:tr w:rsidR="00B409BE" w:rsidRPr="007515E5" w:rsidTr="00B409BE">
        <w:tc>
          <w:tcPr>
            <w:tcW w:w="1276" w:type="dxa"/>
          </w:tcPr>
          <w:p w:rsidR="00B409BE" w:rsidRPr="00B409BE" w:rsidRDefault="00B409BE" w:rsidP="00AA577D">
            <w:pPr>
              <w:pStyle w:val="TableParagraph"/>
              <w:ind w:left="0"/>
              <w:rPr>
                <w:sz w:val="16"/>
                <w:szCs w:val="16"/>
                <w:lang w:val="es-ES_tradnl"/>
              </w:rPr>
            </w:pPr>
            <w:r w:rsidRPr="00B409BE">
              <w:rPr>
                <w:sz w:val="16"/>
                <w:szCs w:val="16"/>
                <w:lang w:val="es-ES_tradnl"/>
              </w:rPr>
              <w:t>Intercambio</w:t>
            </w:r>
          </w:p>
        </w:tc>
        <w:tc>
          <w:tcPr>
            <w:tcW w:w="1436" w:type="dxa"/>
          </w:tcPr>
          <w:p w:rsidR="00B409BE" w:rsidRPr="00B409BE" w:rsidRDefault="00B409BE" w:rsidP="00AA577D">
            <w:pPr>
              <w:pStyle w:val="TableParagraph"/>
              <w:ind w:left="0"/>
              <w:rPr>
                <w:sz w:val="16"/>
                <w:szCs w:val="16"/>
                <w:lang w:val="es-ES_tradnl"/>
              </w:rPr>
            </w:pPr>
            <w:r w:rsidRPr="00B409BE">
              <w:rPr>
                <w:sz w:val="16"/>
                <w:szCs w:val="16"/>
                <w:lang w:val="es-ES_tradnl"/>
              </w:rPr>
              <w:t>Noviembre de 2020</w:t>
            </w:r>
          </w:p>
        </w:tc>
        <w:tc>
          <w:tcPr>
            <w:tcW w:w="908" w:type="dxa"/>
          </w:tcPr>
          <w:p w:rsidR="00B409BE" w:rsidRPr="00B409BE" w:rsidRDefault="00B409BE" w:rsidP="00AA577D">
            <w:pPr>
              <w:rPr>
                <w:rFonts w:cs="Arial"/>
                <w:sz w:val="16"/>
                <w:szCs w:val="16"/>
              </w:rPr>
            </w:pPr>
            <w:r w:rsidRPr="00B409BE">
              <w:rPr>
                <w:rFonts w:cs="Arial"/>
                <w:sz w:val="16"/>
                <w:szCs w:val="16"/>
              </w:rPr>
              <w:t>Por Internet</w:t>
            </w:r>
          </w:p>
        </w:tc>
        <w:tc>
          <w:tcPr>
            <w:tcW w:w="4035" w:type="dxa"/>
          </w:tcPr>
          <w:p w:rsidR="00B409BE" w:rsidRPr="00B409BE" w:rsidRDefault="00B409BE" w:rsidP="00AA577D">
            <w:pPr>
              <w:pStyle w:val="TableParagraph"/>
              <w:ind w:left="0"/>
              <w:rPr>
                <w:sz w:val="16"/>
                <w:szCs w:val="16"/>
                <w:lang w:val="es-ES_tradnl"/>
              </w:rPr>
            </w:pPr>
            <w:r w:rsidRPr="00B409BE">
              <w:rPr>
                <w:sz w:val="16"/>
                <w:szCs w:val="16"/>
                <w:lang w:val="es-ES_tradnl"/>
              </w:rPr>
              <w:t>Proyecto de directrices de Etiopía para la realización de pruebas sobre el valor de cultivo y uso (VCU) de la cebada y el trigo</w:t>
            </w:r>
          </w:p>
        </w:tc>
        <w:tc>
          <w:tcPr>
            <w:tcW w:w="2126" w:type="dxa"/>
          </w:tcPr>
          <w:p w:rsidR="00B409BE" w:rsidRPr="00B409BE" w:rsidRDefault="00B409BE" w:rsidP="00AA577D">
            <w:pPr>
              <w:pStyle w:val="TableParagraph"/>
              <w:ind w:left="0"/>
              <w:rPr>
                <w:sz w:val="16"/>
                <w:szCs w:val="16"/>
                <w:lang w:val="es-ES_tradnl"/>
              </w:rPr>
            </w:pPr>
            <w:r w:rsidRPr="00B409BE">
              <w:rPr>
                <w:sz w:val="16"/>
                <w:szCs w:val="16"/>
                <w:lang w:val="es-ES_tradnl"/>
              </w:rPr>
              <w:t>Etiopía</w:t>
            </w:r>
          </w:p>
          <w:p w:rsidR="00B409BE" w:rsidRPr="00B409BE" w:rsidRDefault="00B409BE" w:rsidP="00AA577D">
            <w:pPr>
              <w:pStyle w:val="TableParagraph"/>
              <w:ind w:left="0"/>
              <w:rPr>
                <w:sz w:val="16"/>
                <w:szCs w:val="16"/>
                <w:lang w:val="es-ES_tradnl"/>
              </w:rPr>
            </w:pPr>
            <w:r w:rsidRPr="00B409BE">
              <w:rPr>
                <w:sz w:val="16"/>
                <w:szCs w:val="16"/>
                <w:lang w:val="es-ES_tradnl"/>
              </w:rPr>
              <w:t>(10 participantes)</w:t>
            </w:r>
          </w:p>
        </w:tc>
      </w:tr>
      <w:tr w:rsidR="00B409BE" w:rsidRPr="007515E5" w:rsidTr="00B409BE">
        <w:tc>
          <w:tcPr>
            <w:tcW w:w="1276" w:type="dxa"/>
          </w:tcPr>
          <w:p w:rsidR="00B409BE" w:rsidRPr="00B409BE" w:rsidRDefault="00B409BE" w:rsidP="00AA577D">
            <w:pPr>
              <w:pStyle w:val="TableParagraph"/>
              <w:ind w:left="0"/>
              <w:rPr>
                <w:sz w:val="16"/>
                <w:szCs w:val="16"/>
                <w:lang w:val="es-ES_tradnl"/>
              </w:rPr>
            </w:pPr>
            <w:r w:rsidRPr="00B409BE">
              <w:rPr>
                <w:sz w:val="16"/>
                <w:szCs w:val="16"/>
                <w:lang w:val="es-ES_tradnl"/>
              </w:rPr>
              <w:t>Taller</w:t>
            </w:r>
          </w:p>
        </w:tc>
        <w:tc>
          <w:tcPr>
            <w:tcW w:w="1436" w:type="dxa"/>
          </w:tcPr>
          <w:p w:rsidR="00B409BE" w:rsidRPr="00B409BE" w:rsidRDefault="00B409BE" w:rsidP="00AA577D">
            <w:pPr>
              <w:pStyle w:val="TableParagraph"/>
              <w:ind w:left="0"/>
              <w:rPr>
                <w:sz w:val="16"/>
                <w:szCs w:val="16"/>
                <w:lang w:val="es-ES_tradnl"/>
              </w:rPr>
            </w:pPr>
            <w:r w:rsidRPr="00B409BE">
              <w:rPr>
                <w:sz w:val="16"/>
                <w:szCs w:val="16"/>
                <w:lang w:val="es-ES_tradnl"/>
              </w:rPr>
              <w:t>Diciembre de 2020</w:t>
            </w:r>
          </w:p>
        </w:tc>
        <w:tc>
          <w:tcPr>
            <w:tcW w:w="908" w:type="dxa"/>
          </w:tcPr>
          <w:p w:rsidR="00B409BE" w:rsidRPr="00B409BE" w:rsidRDefault="00B409BE" w:rsidP="00AA577D">
            <w:pPr>
              <w:rPr>
                <w:rFonts w:cs="Arial"/>
                <w:sz w:val="16"/>
                <w:szCs w:val="16"/>
              </w:rPr>
            </w:pPr>
            <w:r w:rsidRPr="00B409BE">
              <w:rPr>
                <w:rFonts w:cs="Arial"/>
                <w:sz w:val="16"/>
                <w:szCs w:val="16"/>
              </w:rPr>
              <w:t>Por Internet</w:t>
            </w:r>
          </w:p>
        </w:tc>
        <w:tc>
          <w:tcPr>
            <w:tcW w:w="4035" w:type="dxa"/>
          </w:tcPr>
          <w:p w:rsidR="00B409BE" w:rsidRPr="00B409BE" w:rsidRDefault="00B409BE" w:rsidP="00AA577D">
            <w:pPr>
              <w:pStyle w:val="TableParagraph"/>
              <w:ind w:left="0"/>
              <w:rPr>
                <w:iCs/>
                <w:sz w:val="16"/>
                <w:szCs w:val="16"/>
                <w:lang w:val="es-ES_tradnl"/>
              </w:rPr>
            </w:pPr>
            <w:r w:rsidRPr="00B409BE">
              <w:rPr>
                <w:iCs/>
                <w:sz w:val="16"/>
                <w:szCs w:val="16"/>
                <w:lang w:val="es-ES_tradnl"/>
              </w:rPr>
              <w:t>Nuevo Reglamento Fitosanitario de la Unión Europea</w:t>
            </w:r>
          </w:p>
        </w:tc>
        <w:tc>
          <w:tcPr>
            <w:tcW w:w="2126" w:type="dxa"/>
          </w:tcPr>
          <w:p w:rsidR="00B409BE" w:rsidRPr="00B409BE" w:rsidRDefault="00B409BE" w:rsidP="00AA577D">
            <w:pPr>
              <w:pStyle w:val="TableParagraph"/>
              <w:ind w:left="0"/>
              <w:rPr>
                <w:sz w:val="16"/>
                <w:szCs w:val="16"/>
                <w:lang w:val="es-ES_tradnl"/>
              </w:rPr>
            </w:pPr>
            <w:r w:rsidRPr="00B409BE">
              <w:rPr>
                <w:sz w:val="16"/>
                <w:szCs w:val="16"/>
                <w:lang w:val="es-ES_tradnl"/>
              </w:rPr>
              <w:t>India</w:t>
            </w:r>
          </w:p>
          <w:p w:rsidR="00B409BE" w:rsidRPr="00B409BE" w:rsidRDefault="00B409BE" w:rsidP="00AA577D">
            <w:pPr>
              <w:pStyle w:val="TableParagraph"/>
              <w:ind w:left="0"/>
              <w:rPr>
                <w:sz w:val="16"/>
                <w:szCs w:val="16"/>
                <w:lang w:val="es-ES_tradnl"/>
              </w:rPr>
            </w:pPr>
            <w:r w:rsidRPr="00B409BE">
              <w:rPr>
                <w:sz w:val="16"/>
                <w:szCs w:val="16"/>
                <w:lang w:val="es-ES_tradnl"/>
              </w:rPr>
              <w:t>(70 participantes)</w:t>
            </w:r>
          </w:p>
        </w:tc>
      </w:tr>
      <w:tr w:rsidR="00B409BE" w:rsidRPr="007515E5" w:rsidTr="00B409BE">
        <w:tc>
          <w:tcPr>
            <w:tcW w:w="1276" w:type="dxa"/>
          </w:tcPr>
          <w:p w:rsidR="00B409BE" w:rsidRPr="00B409BE" w:rsidRDefault="00B409BE" w:rsidP="00AA577D">
            <w:pPr>
              <w:pStyle w:val="TableParagraph"/>
              <w:ind w:left="0"/>
              <w:rPr>
                <w:sz w:val="16"/>
                <w:szCs w:val="16"/>
                <w:lang w:val="es-ES_tradnl"/>
              </w:rPr>
            </w:pPr>
            <w:r w:rsidRPr="00B409BE">
              <w:rPr>
                <w:sz w:val="16"/>
                <w:szCs w:val="16"/>
                <w:lang w:val="es-ES_tradnl"/>
              </w:rPr>
              <w:t>Taller</w:t>
            </w:r>
          </w:p>
        </w:tc>
        <w:tc>
          <w:tcPr>
            <w:tcW w:w="1436" w:type="dxa"/>
          </w:tcPr>
          <w:p w:rsidR="00B409BE" w:rsidRPr="00B409BE" w:rsidRDefault="00B409BE" w:rsidP="00AA577D">
            <w:pPr>
              <w:pStyle w:val="TableParagraph"/>
              <w:ind w:left="0"/>
              <w:rPr>
                <w:sz w:val="16"/>
                <w:szCs w:val="16"/>
                <w:lang w:val="es-ES_tradnl"/>
              </w:rPr>
            </w:pPr>
            <w:r w:rsidRPr="00B409BE">
              <w:rPr>
                <w:sz w:val="16"/>
                <w:szCs w:val="16"/>
                <w:lang w:val="es-ES_tradnl"/>
              </w:rPr>
              <w:t>Abril de 2021</w:t>
            </w:r>
          </w:p>
        </w:tc>
        <w:tc>
          <w:tcPr>
            <w:tcW w:w="908" w:type="dxa"/>
          </w:tcPr>
          <w:p w:rsidR="00B409BE" w:rsidRPr="00B409BE" w:rsidRDefault="00B409BE" w:rsidP="00AA577D">
            <w:pPr>
              <w:rPr>
                <w:rFonts w:cs="Arial"/>
                <w:sz w:val="16"/>
                <w:szCs w:val="16"/>
              </w:rPr>
            </w:pPr>
            <w:r w:rsidRPr="00B409BE">
              <w:rPr>
                <w:rFonts w:cs="Arial"/>
                <w:sz w:val="16"/>
                <w:szCs w:val="16"/>
              </w:rPr>
              <w:t>Por Internet</w:t>
            </w:r>
          </w:p>
        </w:tc>
        <w:tc>
          <w:tcPr>
            <w:tcW w:w="4035" w:type="dxa"/>
          </w:tcPr>
          <w:p w:rsidR="00B409BE" w:rsidRPr="00B409BE" w:rsidRDefault="00B409BE" w:rsidP="00AA577D">
            <w:pPr>
              <w:pStyle w:val="TableParagraph"/>
              <w:ind w:left="0"/>
              <w:rPr>
                <w:iCs/>
                <w:sz w:val="16"/>
                <w:szCs w:val="16"/>
                <w:lang w:val="es-ES_tradnl"/>
              </w:rPr>
            </w:pPr>
            <w:r w:rsidRPr="00B409BE">
              <w:rPr>
                <w:iCs/>
                <w:sz w:val="16"/>
                <w:szCs w:val="16"/>
                <w:lang w:val="es-ES_tradnl"/>
              </w:rPr>
              <w:t>Intercambio sobre las medidas de control tras la concesión de la protección</w:t>
            </w:r>
          </w:p>
        </w:tc>
        <w:tc>
          <w:tcPr>
            <w:tcW w:w="2126" w:type="dxa"/>
          </w:tcPr>
          <w:p w:rsidR="00B409BE" w:rsidRPr="00B409BE" w:rsidRDefault="00B409BE" w:rsidP="00AA577D">
            <w:pPr>
              <w:pStyle w:val="TableParagraph"/>
              <w:ind w:left="0"/>
              <w:rPr>
                <w:sz w:val="16"/>
                <w:szCs w:val="16"/>
                <w:lang w:val="es-ES_tradnl"/>
              </w:rPr>
            </w:pPr>
            <w:r w:rsidRPr="00B409BE">
              <w:rPr>
                <w:sz w:val="16"/>
                <w:szCs w:val="16"/>
                <w:lang w:val="es-ES_tradnl"/>
              </w:rPr>
              <w:t>India</w:t>
            </w:r>
          </w:p>
          <w:p w:rsidR="00B409BE" w:rsidRPr="00B409BE" w:rsidRDefault="00B409BE" w:rsidP="00AA577D">
            <w:pPr>
              <w:pStyle w:val="TableParagraph"/>
              <w:ind w:left="0"/>
              <w:rPr>
                <w:sz w:val="16"/>
                <w:szCs w:val="16"/>
                <w:lang w:val="es-ES_tradnl"/>
              </w:rPr>
            </w:pPr>
            <w:r w:rsidRPr="00B409BE">
              <w:rPr>
                <w:sz w:val="16"/>
                <w:szCs w:val="16"/>
                <w:lang w:val="es-ES_tradnl"/>
              </w:rPr>
              <w:t>(200 participantes)</w:t>
            </w:r>
          </w:p>
        </w:tc>
      </w:tr>
      <w:tr w:rsidR="00B409BE" w:rsidRPr="007515E5" w:rsidTr="00B409BE">
        <w:tc>
          <w:tcPr>
            <w:tcW w:w="1276" w:type="dxa"/>
          </w:tcPr>
          <w:p w:rsidR="00B409BE" w:rsidRPr="00B409BE" w:rsidRDefault="00B409BE" w:rsidP="00AA577D">
            <w:pPr>
              <w:pStyle w:val="TableParagraph"/>
              <w:ind w:left="0"/>
              <w:rPr>
                <w:sz w:val="16"/>
                <w:szCs w:val="16"/>
                <w:lang w:val="es-ES_tradnl"/>
              </w:rPr>
            </w:pPr>
            <w:r w:rsidRPr="00B409BE">
              <w:rPr>
                <w:sz w:val="16"/>
                <w:szCs w:val="16"/>
                <w:lang w:val="es-ES_tradnl"/>
              </w:rPr>
              <w:t>Intercambio</w:t>
            </w:r>
          </w:p>
        </w:tc>
        <w:tc>
          <w:tcPr>
            <w:tcW w:w="1436" w:type="dxa"/>
          </w:tcPr>
          <w:p w:rsidR="00B409BE" w:rsidRPr="00B409BE" w:rsidRDefault="00B409BE" w:rsidP="00AA577D">
            <w:pPr>
              <w:pStyle w:val="TableParagraph"/>
              <w:ind w:left="0"/>
              <w:rPr>
                <w:sz w:val="16"/>
                <w:szCs w:val="16"/>
                <w:lang w:val="es-ES_tradnl"/>
              </w:rPr>
            </w:pPr>
            <w:r w:rsidRPr="00B409BE">
              <w:rPr>
                <w:sz w:val="16"/>
                <w:szCs w:val="16"/>
                <w:lang w:val="es-ES_tradnl"/>
              </w:rPr>
              <w:t>Abril de 2021</w:t>
            </w:r>
          </w:p>
        </w:tc>
        <w:tc>
          <w:tcPr>
            <w:tcW w:w="908" w:type="dxa"/>
          </w:tcPr>
          <w:p w:rsidR="00B409BE" w:rsidRPr="00B409BE" w:rsidRDefault="00B409BE" w:rsidP="00AA577D">
            <w:pPr>
              <w:rPr>
                <w:rFonts w:cs="Arial"/>
                <w:sz w:val="16"/>
                <w:szCs w:val="16"/>
              </w:rPr>
            </w:pPr>
            <w:r w:rsidRPr="00B409BE">
              <w:rPr>
                <w:rFonts w:cs="Arial"/>
                <w:sz w:val="16"/>
                <w:szCs w:val="16"/>
              </w:rPr>
              <w:t>Por Internet</w:t>
            </w:r>
          </w:p>
        </w:tc>
        <w:tc>
          <w:tcPr>
            <w:tcW w:w="4035" w:type="dxa"/>
          </w:tcPr>
          <w:p w:rsidR="00B409BE" w:rsidRPr="00B409BE" w:rsidRDefault="00B409BE" w:rsidP="00AA577D">
            <w:pPr>
              <w:pStyle w:val="TableParagraph"/>
              <w:ind w:left="0"/>
              <w:rPr>
                <w:iCs/>
                <w:sz w:val="16"/>
                <w:szCs w:val="16"/>
                <w:lang w:val="es-ES_tradnl"/>
              </w:rPr>
            </w:pPr>
            <w:r w:rsidRPr="00B409BE">
              <w:rPr>
                <w:iCs/>
                <w:sz w:val="16"/>
                <w:szCs w:val="16"/>
                <w:lang w:val="es-ES_tradnl"/>
              </w:rPr>
              <w:t>Realización de exámenes DHE y VCU</w:t>
            </w:r>
          </w:p>
        </w:tc>
        <w:tc>
          <w:tcPr>
            <w:tcW w:w="2126" w:type="dxa"/>
          </w:tcPr>
          <w:p w:rsidR="00B409BE" w:rsidRPr="00B409BE" w:rsidRDefault="00B409BE" w:rsidP="00AA577D">
            <w:pPr>
              <w:pStyle w:val="TableParagraph"/>
              <w:ind w:left="0"/>
              <w:rPr>
                <w:sz w:val="16"/>
                <w:szCs w:val="16"/>
                <w:lang w:val="es-ES_tradnl"/>
              </w:rPr>
            </w:pPr>
            <w:r w:rsidRPr="00B409BE">
              <w:rPr>
                <w:sz w:val="16"/>
                <w:szCs w:val="16"/>
                <w:lang w:val="es-ES_tradnl"/>
              </w:rPr>
              <w:t xml:space="preserve">Etiopía </w:t>
            </w:r>
          </w:p>
          <w:p w:rsidR="00B409BE" w:rsidRPr="00B409BE" w:rsidRDefault="00B409BE" w:rsidP="00AA577D">
            <w:pPr>
              <w:pStyle w:val="TableParagraph"/>
              <w:ind w:left="0"/>
              <w:rPr>
                <w:sz w:val="16"/>
                <w:szCs w:val="16"/>
                <w:lang w:val="es-ES_tradnl"/>
              </w:rPr>
            </w:pPr>
            <w:r w:rsidRPr="00B409BE">
              <w:rPr>
                <w:sz w:val="16"/>
                <w:szCs w:val="16"/>
                <w:lang w:val="es-ES_tradnl"/>
              </w:rPr>
              <w:t>(10 participantes)</w:t>
            </w:r>
          </w:p>
        </w:tc>
      </w:tr>
      <w:tr w:rsidR="00B409BE" w:rsidRPr="007515E5" w:rsidTr="00B409BE">
        <w:tc>
          <w:tcPr>
            <w:tcW w:w="1276" w:type="dxa"/>
          </w:tcPr>
          <w:p w:rsidR="00B409BE" w:rsidRPr="00B409BE" w:rsidRDefault="00B409BE" w:rsidP="00AA577D">
            <w:pPr>
              <w:pStyle w:val="TableParagraph"/>
              <w:ind w:left="0"/>
              <w:rPr>
                <w:sz w:val="16"/>
                <w:szCs w:val="16"/>
                <w:lang w:val="es-ES_tradnl"/>
              </w:rPr>
            </w:pPr>
            <w:r w:rsidRPr="00B409BE">
              <w:rPr>
                <w:sz w:val="16"/>
                <w:szCs w:val="16"/>
                <w:lang w:val="es-ES_tradnl"/>
              </w:rPr>
              <w:t>Intercambio</w:t>
            </w:r>
          </w:p>
        </w:tc>
        <w:tc>
          <w:tcPr>
            <w:tcW w:w="1436" w:type="dxa"/>
          </w:tcPr>
          <w:p w:rsidR="00B409BE" w:rsidRPr="00B409BE" w:rsidRDefault="00B409BE" w:rsidP="00AA577D">
            <w:pPr>
              <w:pStyle w:val="TableParagraph"/>
              <w:ind w:left="0"/>
              <w:rPr>
                <w:sz w:val="16"/>
                <w:szCs w:val="16"/>
                <w:lang w:val="es-ES_tradnl"/>
              </w:rPr>
            </w:pPr>
            <w:r w:rsidRPr="00B409BE">
              <w:rPr>
                <w:sz w:val="16"/>
                <w:szCs w:val="16"/>
                <w:lang w:val="es-ES_tradnl"/>
              </w:rPr>
              <w:t>Abril de 2021</w:t>
            </w:r>
          </w:p>
        </w:tc>
        <w:tc>
          <w:tcPr>
            <w:tcW w:w="908" w:type="dxa"/>
          </w:tcPr>
          <w:p w:rsidR="00B409BE" w:rsidRPr="00B409BE" w:rsidRDefault="00B409BE" w:rsidP="00AA577D">
            <w:pPr>
              <w:rPr>
                <w:rFonts w:cs="Arial"/>
                <w:sz w:val="16"/>
                <w:szCs w:val="16"/>
              </w:rPr>
            </w:pPr>
            <w:r w:rsidRPr="00B409BE">
              <w:rPr>
                <w:rFonts w:cs="Arial"/>
                <w:sz w:val="16"/>
                <w:szCs w:val="16"/>
              </w:rPr>
              <w:t>Por Internet</w:t>
            </w:r>
          </w:p>
        </w:tc>
        <w:tc>
          <w:tcPr>
            <w:tcW w:w="4035" w:type="dxa"/>
          </w:tcPr>
          <w:p w:rsidR="00B409BE" w:rsidRPr="00B409BE" w:rsidRDefault="00B409BE" w:rsidP="00AA577D">
            <w:pPr>
              <w:pStyle w:val="TableParagraph"/>
              <w:ind w:left="0"/>
              <w:rPr>
                <w:iCs/>
                <w:sz w:val="16"/>
                <w:szCs w:val="16"/>
                <w:lang w:val="es-ES_tradnl"/>
              </w:rPr>
            </w:pPr>
            <w:r w:rsidRPr="00B409BE">
              <w:rPr>
                <w:iCs/>
                <w:sz w:val="16"/>
                <w:szCs w:val="16"/>
                <w:lang w:val="es-ES_tradnl"/>
              </w:rPr>
              <w:t>Presentación del sistema alemán de examen de las obtenciones vegetales</w:t>
            </w:r>
          </w:p>
        </w:tc>
        <w:tc>
          <w:tcPr>
            <w:tcW w:w="2126" w:type="dxa"/>
          </w:tcPr>
          <w:p w:rsidR="00B409BE" w:rsidRPr="00B409BE" w:rsidRDefault="00B409BE" w:rsidP="00AA577D">
            <w:pPr>
              <w:pStyle w:val="TableParagraph"/>
              <w:ind w:left="0"/>
              <w:rPr>
                <w:sz w:val="16"/>
                <w:szCs w:val="16"/>
                <w:lang w:val="es-ES_tradnl"/>
              </w:rPr>
            </w:pPr>
            <w:r w:rsidRPr="00B409BE">
              <w:rPr>
                <w:sz w:val="16"/>
                <w:szCs w:val="16"/>
                <w:lang w:val="es-ES_tradnl"/>
              </w:rPr>
              <w:t>Uzbekistán</w:t>
            </w:r>
          </w:p>
          <w:p w:rsidR="00B409BE" w:rsidRPr="00B409BE" w:rsidRDefault="00B409BE" w:rsidP="00AA577D">
            <w:pPr>
              <w:pStyle w:val="TableParagraph"/>
              <w:ind w:left="0"/>
              <w:rPr>
                <w:sz w:val="16"/>
                <w:szCs w:val="16"/>
                <w:lang w:val="es-ES_tradnl"/>
              </w:rPr>
            </w:pPr>
            <w:r w:rsidRPr="00B409BE">
              <w:rPr>
                <w:sz w:val="16"/>
                <w:szCs w:val="16"/>
                <w:lang w:val="es-ES_tradnl"/>
              </w:rPr>
              <w:t>(10 participantes)</w:t>
            </w:r>
          </w:p>
        </w:tc>
      </w:tr>
      <w:tr w:rsidR="00B409BE" w:rsidRPr="007515E5" w:rsidTr="00B409BE">
        <w:tc>
          <w:tcPr>
            <w:tcW w:w="1276" w:type="dxa"/>
          </w:tcPr>
          <w:p w:rsidR="00B409BE" w:rsidRPr="00B409BE" w:rsidRDefault="00B409BE" w:rsidP="00AA577D">
            <w:pPr>
              <w:pStyle w:val="TableParagraph"/>
              <w:ind w:left="0"/>
              <w:rPr>
                <w:sz w:val="16"/>
                <w:szCs w:val="16"/>
                <w:lang w:val="es-ES_tradnl"/>
              </w:rPr>
            </w:pPr>
            <w:r w:rsidRPr="00B409BE">
              <w:rPr>
                <w:sz w:val="16"/>
                <w:szCs w:val="16"/>
                <w:lang w:val="es-ES_tradnl"/>
              </w:rPr>
              <w:t>Intercambio</w:t>
            </w:r>
          </w:p>
        </w:tc>
        <w:tc>
          <w:tcPr>
            <w:tcW w:w="1436" w:type="dxa"/>
          </w:tcPr>
          <w:p w:rsidR="00B409BE" w:rsidRPr="00B409BE" w:rsidRDefault="00B409BE" w:rsidP="00AA577D">
            <w:pPr>
              <w:pStyle w:val="TableParagraph"/>
              <w:ind w:left="0"/>
              <w:rPr>
                <w:sz w:val="16"/>
                <w:szCs w:val="16"/>
                <w:lang w:val="es-ES_tradnl"/>
              </w:rPr>
            </w:pPr>
            <w:r w:rsidRPr="00B409BE">
              <w:rPr>
                <w:sz w:val="16"/>
                <w:szCs w:val="16"/>
                <w:lang w:val="es-ES_tradnl"/>
              </w:rPr>
              <w:t>Junio de 2021</w:t>
            </w:r>
          </w:p>
        </w:tc>
        <w:tc>
          <w:tcPr>
            <w:tcW w:w="908" w:type="dxa"/>
          </w:tcPr>
          <w:p w:rsidR="00B409BE" w:rsidRPr="00B409BE" w:rsidRDefault="00B409BE" w:rsidP="00AA577D">
            <w:pPr>
              <w:rPr>
                <w:rFonts w:cs="Arial"/>
                <w:sz w:val="16"/>
                <w:szCs w:val="16"/>
              </w:rPr>
            </w:pPr>
            <w:r w:rsidRPr="00B409BE">
              <w:rPr>
                <w:rFonts w:cs="Arial"/>
                <w:sz w:val="16"/>
                <w:szCs w:val="16"/>
              </w:rPr>
              <w:t>Por Internet</w:t>
            </w:r>
          </w:p>
        </w:tc>
        <w:tc>
          <w:tcPr>
            <w:tcW w:w="4035" w:type="dxa"/>
          </w:tcPr>
          <w:p w:rsidR="00B409BE" w:rsidRPr="00B409BE" w:rsidRDefault="00B409BE" w:rsidP="00AA577D">
            <w:pPr>
              <w:pStyle w:val="TableParagraph"/>
              <w:ind w:left="0"/>
              <w:rPr>
                <w:iCs/>
                <w:sz w:val="16"/>
                <w:szCs w:val="16"/>
                <w:lang w:val="es-ES_tradnl"/>
              </w:rPr>
            </w:pPr>
            <w:r w:rsidRPr="00B409BE">
              <w:rPr>
                <w:iCs/>
                <w:sz w:val="16"/>
                <w:szCs w:val="16"/>
                <w:lang w:val="es-ES_tradnl"/>
              </w:rPr>
              <w:t>Presentación del sistema uzbeko de examen de las obtenciones vegetales</w:t>
            </w:r>
          </w:p>
        </w:tc>
        <w:tc>
          <w:tcPr>
            <w:tcW w:w="2126" w:type="dxa"/>
          </w:tcPr>
          <w:p w:rsidR="00B409BE" w:rsidRPr="00B409BE" w:rsidRDefault="00B409BE" w:rsidP="00AA577D">
            <w:pPr>
              <w:pStyle w:val="TableParagraph"/>
              <w:ind w:left="0"/>
              <w:rPr>
                <w:sz w:val="16"/>
                <w:szCs w:val="16"/>
                <w:lang w:val="es-ES_tradnl"/>
              </w:rPr>
            </w:pPr>
            <w:r w:rsidRPr="00B409BE">
              <w:rPr>
                <w:sz w:val="16"/>
                <w:szCs w:val="16"/>
                <w:lang w:val="es-ES_tradnl"/>
              </w:rPr>
              <w:t>Uzbekistán</w:t>
            </w:r>
          </w:p>
          <w:p w:rsidR="00B409BE" w:rsidRPr="00B409BE" w:rsidRDefault="00B409BE" w:rsidP="00AA577D">
            <w:pPr>
              <w:pStyle w:val="TableParagraph"/>
              <w:ind w:left="0"/>
              <w:rPr>
                <w:sz w:val="16"/>
                <w:szCs w:val="16"/>
                <w:lang w:val="es-ES_tradnl"/>
              </w:rPr>
            </w:pPr>
            <w:r w:rsidRPr="00B409BE">
              <w:rPr>
                <w:sz w:val="16"/>
                <w:szCs w:val="16"/>
                <w:lang w:val="es-ES_tradnl"/>
              </w:rPr>
              <w:t>(10 participantes)</w:t>
            </w:r>
          </w:p>
        </w:tc>
      </w:tr>
      <w:tr w:rsidR="00B409BE" w:rsidRPr="007515E5" w:rsidTr="00B409BE">
        <w:tc>
          <w:tcPr>
            <w:tcW w:w="1276" w:type="dxa"/>
          </w:tcPr>
          <w:p w:rsidR="00B409BE" w:rsidRPr="00B409BE" w:rsidRDefault="00B409BE" w:rsidP="00AA577D">
            <w:pPr>
              <w:pStyle w:val="TableParagraph"/>
              <w:ind w:left="0"/>
              <w:rPr>
                <w:sz w:val="16"/>
                <w:szCs w:val="16"/>
                <w:lang w:val="es-ES_tradnl"/>
              </w:rPr>
            </w:pPr>
            <w:r w:rsidRPr="00B409BE">
              <w:rPr>
                <w:sz w:val="16"/>
                <w:szCs w:val="16"/>
                <w:lang w:val="es-ES_tradnl"/>
              </w:rPr>
              <w:t>Taller</w:t>
            </w:r>
          </w:p>
        </w:tc>
        <w:tc>
          <w:tcPr>
            <w:tcW w:w="1436" w:type="dxa"/>
          </w:tcPr>
          <w:p w:rsidR="00B409BE" w:rsidRPr="00B409BE" w:rsidRDefault="00B409BE" w:rsidP="00AA577D">
            <w:pPr>
              <w:pStyle w:val="TableParagraph"/>
              <w:ind w:left="0"/>
              <w:rPr>
                <w:sz w:val="16"/>
                <w:szCs w:val="16"/>
                <w:lang w:val="es-ES_tradnl"/>
              </w:rPr>
            </w:pPr>
            <w:r w:rsidRPr="00B409BE">
              <w:rPr>
                <w:sz w:val="16"/>
                <w:szCs w:val="16"/>
                <w:lang w:val="es-ES_tradnl"/>
              </w:rPr>
              <w:t>Julio 2021</w:t>
            </w:r>
          </w:p>
        </w:tc>
        <w:tc>
          <w:tcPr>
            <w:tcW w:w="908" w:type="dxa"/>
          </w:tcPr>
          <w:p w:rsidR="00B409BE" w:rsidRPr="00B409BE" w:rsidRDefault="00B409BE" w:rsidP="00AA577D">
            <w:pPr>
              <w:rPr>
                <w:rFonts w:cs="Arial"/>
                <w:sz w:val="16"/>
                <w:szCs w:val="16"/>
              </w:rPr>
            </w:pPr>
            <w:r w:rsidRPr="00B409BE">
              <w:rPr>
                <w:rFonts w:cs="Arial"/>
                <w:sz w:val="16"/>
                <w:szCs w:val="16"/>
              </w:rPr>
              <w:t>Por Internet</w:t>
            </w:r>
          </w:p>
        </w:tc>
        <w:tc>
          <w:tcPr>
            <w:tcW w:w="4035" w:type="dxa"/>
          </w:tcPr>
          <w:p w:rsidR="00B409BE" w:rsidRPr="00B409BE" w:rsidRDefault="00B409BE" w:rsidP="00AA577D">
            <w:pPr>
              <w:pStyle w:val="TableParagraph"/>
              <w:ind w:left="0"/>
              <w:rPr>
                <w:sz w:val="16"/>
                <w:szCs w:val="16"/>
                <w:lang w:val="es-ES_tradnl"/>
              </w:rPr>
            </w:pPr>
            <w:r w:rsidRPr="00B409BE">
              <w:rPr>
                <w:sz w:val="16"/>
                <w:szCs w:val="16"/>
                <w:lang w:val="es-ES_tradnl"/>
              </w:rPr>
              <w:t xml:space="preserve">Examen de la protección de las </w:t>
            </w:r>
            <w:r w:rsidRPr="00B409BE">
              <w:rPr>
                <w:iCs/>
                <w:sz w:val="16"/>
                <w:szCs w:val="16"/>
                <w:lang w:val="es-ES_tradnl"/>
              </w:rPr>
              <w:t xml:space="preserve">obtenciones </w:t>
            </w:r>
            <w:r w:rsidRPr="00B409BE">
              <w:rPr>
                <w:sz w:val="16"/>
                <w:szCs w:val="16"/>
                <w:lang w:val="es-ES_tradnl"/>
              </w:rPr>
              <w:t>vegetales - manzanas</w:t>
            </w:r>
          </w:p>
        </w:tc>
        <w:tc>
          <w:tcPr>
            <w:tcW w:w="2126" w:type="dxa"/>
          </w:tcPr>
          <w:p w:rsidR="00B409BE" w:rsidRPr="00B409BE" w:rsidRDefault="00B409BE" w:rsidP="00AA577D">
            <w:pPr>
              <w:pStyle w:val="TableParagraph"/>
              <w:ind w:left="0"/>
              <w:rPr>
                <w:sz w:val="16"/>
                <w:szCs w:val="16"/>
                <w:lang w:val="es-ES_tradnl"/>
              </w:rPr>
            </w:pPr>
            <w:r w:rsidRPr="00B409BE">
              <w:rPr>
                <w:sz w:val="16"/>
                <w:szCs w:val="16"/>
                <w:lang w:val="es-ES_tradnl"/>
              </w:rPr>
              <w:t>Uzbekistán</w:t>
            </w:r>
          </w:p>
          <w:p w:rsidR="00B409BE" w:rsidRPr="00B409BE" w:rsidRDefault="00B409BE" w:rsidP="00AA577D">
            <w:pPr>
              <w:pStyle w:val="TableParagraph"/>
              <w:ind w:left="0"/>
              <w:rPr>
                <w:sz w:val="16"/>
                <w:szCs w:val="16"/>
                <w:lang w:val="es-ES_tradnl"/>
              </w:rPr>
            </w:pPr>
            <w:r w:rsidRPr="00B409BE">
              <w:rPr>
                <w:sz w:val="16"/>
                <w:szCs w:val="16"/>
                <w:lang w:val="es-ES_tradnl"/>
              </w:rPr>
              <w:t>(10 participantes)</w:t>
            </w:r>
          </w:p>
        </w:tc>
      </w:tr>
    </w:tbl>
    <w:p w:rsidR="00B409BE" w:rsidRPr="007515E5" w:rsidRDefault="00B409BE" w:rsidP="00B409BE"/>
    <w:p w:rsidR="00B409BE" w:rsidRPr="007515E5" w:rsidRDefault="00B409BE" w:rsidP="00B409BE"/>
    <w:p w:rsidR="00B409BE" w:rsidRPr="007515E5" w:rsidRDefault="00B409BE" w:rsidP="00B409BE">
      <w:pPr>
        <w:keepNext/>
      </w:pPr>
      <w:r w:rsidRPr="007515E5">
        <w:t>II.</w:t>
      </w:r>
      <w:r w:rsidRPr="007515E5">
        <w:tab/>
        <w:t>OTRAS NOVEDADES DE INTERÉS PARA LA UPOV</w:t>
      </w:r>
    </w:p>
    <w:p w:rsidR="00B409BE" w:rsidRPr="007515E5" w:rsidRDefault="00B409BE" w:rsidP="00B409BE">
      <w:pPr>
        <w:keepNext/>
      </w:pPr>
    </w:p>
    <w:p w:rsidR="00B409BE" w:rsidRPr="007515E5" w:rsidRDefault="00B409BE" w:rsidP="00B409BE">
      <w:pPr>
        <w:pStyle w:val="ListParagraph"/>
        <w:keepNext/>
        <w:ind w:left="567"/>
        <w:rPr>
          <w:lang w:val="es-ES_tradnl"/>
        </w:rPr>
      </w:pPr>
      <w:r w:rsidRPr="007515E5">
        <w:rPr>
          <w:lang w:val="es-ES_tradnl"/>
        </w:rPr>
        <w:t>No hay novedades reseñables.</w:t>
      </w:r>
    </w:p>
    <w:p w:rsidR="00117ABA" w:rsidRPr="00592F7C" w:rsidRDefault="00117ABA" w:rsidP="00117ABA">
      <w:pPr>
        <w:rPr>
          <w:lang w:val="es-ES"/>
        </w:rPr>
      </w:pPr>
    </w:p>
    <w:p w:rsidR="0078167F" w:rsidRDefault="0078167F" w:rsidP="0078167F">
      <w:pPr>
        <w:jc w:val="left"/>
      </w:pPr>
    </w:p>
    <w:p w:rsidR="0078167F" w:rsidRDefault="00E80B45" w:rsidP="00117ABA">
      <w:pPr>
        <w:jc w:val="right"/>
      </w:pPr>
      <w:r>
        <w:t>[Sigue el Anexo</w:t>
      </w:r>
      <w:r w:rsidR="0078167F">
        <w:t xml:space="preserve"> II</w:t>
      </w:r>
      <w:r>
        <w:t>]</w:t>
      </w:r>
    </w:p>
    <w:p w:rsidR="0078167F" w:rsidRDefault="0078167F" w:rsidP="0078167F">
      <w:pPr>
        <w:jc w:val="left"/>
        <w:sectPr w:rsidR="0078167F" w:rsidSect="00117ABA">
          <w:headerReference w:type="default" r:id="rId10"/>
          <w:pgSz w:w="11907" w:h="16840" w:code="9"/>
          <w:pgMar w:top="510" w:right="1134" w:bottom="709" w:left="1134" w:header="510" w:footer="680" w:gutter="0"/>
          <w:pgNumType w:start="1"/>
          <w:cols w:space="720"/>
          <w:titlePg/>
        </w:sectPr>
      </w:pPr>
    </w:p>
    <w:p w:rsidR="0078167F" w:rsidRPr="0075031D" w:rsidRDefault="00C55E19" w:rsidP="0078167F">
      <w:pPr>
        <w:jc w:val="center"/>
      </w:pPr>
      <w:r>
        <w:lastRenderedPageBreak/>
        <w:t>C/55/INF/4</w:t>
      </w:r>
    </w:p>
    <w:p w:rsidR="0078167F" w:rsidRPr="0075031D" w:rsidRDefault="0078167F" w:rsidP="0078167F">
      <w:pPr>
        <w:jc w:val="center"/>
      </w:pPr>
    </w:p>
    <w:p w:rsidR="0078167F" w:rsidRPr="0075031D" w:rsidRDefault="00E80B45" w:rsidP="0078167F">
      <w:pPr>
        <w:jc w:val="center"/>
      </w:pPr>
      <w:r>
        <w:t>ANEXO</w:t>
      </w:r>
      <w:r w:rsidR="0078167F" w:rsidRPr="0075031D">
        <w:t xml:space="preserve"> I</w:t>
      </w:r>
      <w:r w:rsidR="0078167F">
        <w:t>I</w:t>
      </w:r>
    </w:p>
    <w:p w:rsidR="0078167F" w:rsidRPr="0075031D" w:rsidRDefault="0078167F" w:rsidP="0078167F">
      <w:pPr>
        <w:jc w:val="center"/>
      </w:pPr>
    </w:p>
    <w:p w:rsidR="0078167F" w:rsidRDefault="0078167F" w:rsidP="0078167F">
      <w:pPr>
        <w:jc w:val="center"/>
      </w:pPr>
    </w:p>
    <w:p w:rsidR="006F2E7F" w:rsidRPr="00A067BD" w:rsidRDefault="003518A1" w:rsidP="006F2E7F">
      <w:pPr>
        <w:jc w:val="center"/>
        <w:rPr>
          <w:lang w:val="es-ES"/>
        </w:rPr>
      </w:pPr>
      <w:r>
        <w:t>BRASIL</w:t>
      </w:r>
    </w:p>
    <w:p w:rsidR="006F2E7F" w:rsidRPr="00A067BD" w:rsidRDefault="006F2E7F" w:rsidP="006F2E7F">
      <w:pPr>
        <w:rPr>
          <w:lang w:val="es-ES"/>
        </w:rPr>
      </w:pPr>
    </w:p>
    <w:p w:rsidR="006F2E7F" w:rsidRPr="00A067BD" w:rsidRDefault="006F2E7F" w:rsidP="006F2E7F">
      <w:pPr>
        <w:rPr>
          <w:lang w:val="es-ES"/>
        </w:rPr>
      </w:pPr>
    </w:p>
    <w:p w:rsidR="002B1181" w:rsidRPr="000657C2" w:rsidRDefault="002B1181" w:rsidP="002B1181">
      <w:pPr>
        <w:rPr>
          <w:rFonts w:cs="Arial"/>
          <w:lang w:val="es-ES"/>
        </w:rPr>
      </w:pPr>
      <w:r w:rsidRPr="000657C2">
        <w:rPr>
          <w:rFonts w:cs="Arial"/>
          <w:lang w:val="es-ES"/>
        </w:rPr>
        <w:t>I.</w:t>
      </w:r>
      <w:r w:rsidRPr="000657C2">
        <w:rPr>
          <w:rFonts w:cs="Arial"/>
          <w:lang w:val="es-ES"/>
        </w:rPr>
        <w:tab/>
        <w:t>PROTECCIÓN DE LAS OBTENCIONES VEGETALES</w:t>
      </w:r>
    </w:p>
    <w:p w:rsidR="002B1181" w:rsidRPr="000657C2" w:rsidRDefault="002B1181" w:rsidP="002B1181">
      <w:pPr>
        <w:rPr>
          <w:rFonts w:cs="Arial"/>
          <w:lang w:val="es-ES"/>
        </w:rPr>
      </w:pPr>
    </w:p>
    <w:p w:rsidR="002B1181" w:rsidRPr="000657C2" w:rsidRDefault="002B1181" w:rsidP="002B1181">
      <w:pPr>
        <w:tabs>
          <w:tab w:val="left" w:pos="426"/>
          <w:tab w:val="left" w:pos="1276"/>
        </w:tabs>
        <w:rPr>
          <w:lang w:val="es-ES"/>
        </w:rPr>
      </w:pPr>
      <w:r w:rsidRPr="000657C2">
        <w:rPr>
          <w:lang w:val="es-ES"/>
        </w:rPr>
        <w:t xml:space="preserve">1. </w:t>
      </w:r>
      <w:r w:rsidRPr="000657C2">
        <w:rPr>
          <w:lang w:val="es-ES"/>
        </w:rPr>
        <w:tab/>
      </w:r>
      <w:r w:rsidRPr="000657C2">
        <w:rPr>
          <w:u w:val="single"/>
          <w:lang w:val="es-ES"/>
        </w:rPr>
        <w:t>Situación en el ámbito legislativo</w:t>
      </w:r>
    </w:p>
    <w:p w:rsidR="002B1181" w:rsidRPr="000657C2" w:rsidRDefault="002B1181" w:rsidP="002B1181">
      <w:pPr>
        <w:rPr>
          <w:lang w:val="es-ES"/>
        </w:rPr>
      </w:pPr>
    </w:p>
    <w:p w:rsidR="002B1181" w:rsidRPr="000657C2" w:rsidRDefault="002B1181" w:rsidP="002B1181">
      <w:pPr>
        <w:rPr>
          <w:lang w:val="es-ES"/>
        </w:rPr>
      </w:pPr>
      <w:r w:rsidRPr="000657C2">
        <w:rPr>
          <w:lang w:val="es-ES"/>
        </w:rPr>
        <w:tab/>
        <w:t>1.1</w:t>
      </w:r>
      <w:r w:rsidRPr="000657C2">
        <w:rPr>
          <w:lang w:val="es-ES"/>
        </w:rPr>
        <w:tab/>
        <w:t>Modificaciones de la ley y de los reglamentos: No hay novedades reseñables.</w:t>
      </w:r>
    </w:p>
    <w:p w:rsidR="002B1181" w:rsidRPr="000657C2" w:rsidRDefault="002B1181" w:rsidP="002B1181">
      <w:pPr>
        <w:rPr>
          <w:lang w:val="es-ES"/>
        </w:rPr>
      </w:pPr>
    </w:p>
    <w:p w:rsidR="002B1181" w:rsidRPr="000657C2" w:rsidRDefault="002B1181" w:rsidP="002B1181">
      <w:pPr>
        <w:rPr>
          <w:lang w:val="es-ES"/>
        </w:rPr>
      </w:pPr>
      <w:r w:rsidRPr="000657C2">
        <w:rPr>
          <w:lang w:val="es-ES"/>
        </w:rPr>
        <w:tab/>
        <w:t>1.2</w:t>
      </w:r>
      <w:r w:rsidRPr="000657C2">
        <w:rPr>
          <w:lang w:val="es-ES"/>
        </w:rPr>
        <w:tab/>
        <w:t>Extensión de la protección a otros géneros y especies (realizada o prevista)</w:t>
      </w:r>
    </w:p>
    <w:p w:rsidR="002B1181" w:rsidRPr="000657C2" w:rsidRDefault="002B1181" w:rsidP="002B1181">
      <w:pPr>
        <w:rPr>
          <w:rFonts w:cs="Arial"/>
          <w:lang w:val="es-ES"/>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5"/>
        <w:gridCol w:w="2269"/>
      </w:tblGrid>
      <w:tr w:rsidR="002B1181" w:rsidRPr="000657C2" w:rsidTr="00AA577D">
        <w:trPr>
          <w:trHeight w:val="314"/>
        </w:trPr>
        <w:tc>
          <w:tcPr>
            <w:tcW w:w="6805" w:type="dxa"/>
            <w:vAlign w:val="center"/>
          </w:tcPr>
          <w:p w:rsidR="002B1181" w:rsidRPr="000657C2" w:rsidRDefault="002B1181" w:rsidP="00AA577D">
            <w:pPr>
              <w:pStyle w:val="TableParagraph"/>
              <w:spacing w:line="292" w:lineRule="exact"/>
              <w:ind w:left="3011" w:right="2809"/>
              <w:rPr>
                <w:b/>
                <w:sz w:val="20"/>
                <w:szCs w:val="20"/>
                <w:lang w:val="es-ES"/>
              </w:rPr>
            </w:pPr>
            <w:r w:rsidRPr="000657C2">
              <w:rPr>
                <w:b/>
                <w:sz w:val="20"/>
                <w:szCs w:val="20"/>
                <w:lang w:val="es-ES"/>
              </w:rPr>
              <w:t>Especies</w:t>
            </w:r>
          </w:p>
        </w:tc>
        <w:tc>
          <w:tcPr>
            <w:tcW w:w="2269" w:type="dxa"/>
            <w:vAlign w:val="center"/>
          </w:tcPr>
          <w:p w:rsidR="002B1181" w:rsidRPr="000657C2" w:rsidRDefault="002B1181" w:rsidP="00AA577D">
            <w:pPr>
              <w:pStyle w:val="TableParagraph"/>
              <w:spacing w:line="292" w:lineRule="exact"/>
              <w:ind w:left="530"/>
              <w:rPr>
                <w:b/>
                <w:sz w:val="20"/>
                <w:szCs w:val="20"/>
                <w:lang w:val="es-ES"/>
              </w:rPr>
            </w:pPr>
            <w:r w:rsidRPr="000657C2">
              <w:rPr>
                <w:b/>
                <w:sz w:val="20"/>
                <w:szCs w:val="20"/>
                <w:lang w:val="es-ES"/>
              </w:rPr>
              <w:t>Código UPOV</w:t>
            </w:r>
          </w:p>
        </w:tc>
      </w:tr>
      <w:tr w:rsidR="002B1181" w:rsidRPr="000657C2" w:rsidTr="00AA577D">
        <w:trPr>
          <w:trHeight w:val="316"/>
        </w:trPr>
        <w:tc>
          <w:tcPr>
            <w:tcW w:w="6805" w:type="dxa"/>
            <w:vAlign w:val="center"/>
          </w:tcPr>
          <w:p w:rsidR="002B1181" w:rsidRPr="002D5CD7" w:rsidRDefault="002B1181" w:rsidP="00AA577D">
            <w:pPr>
              <w:pStyle w:val="TableParagraph"/>
              <w:spacing w:before="1"/>
              <w:ind w:left="69"/>
              <w:rPr>
                <w:sz w:val="20"/>
                <w:szCs w:val="20"/>
                <w:lang w:val="en-US"/>
              </w:rPr>
            </w:pPr>
            <w:proofErr w:type="spellStart"/>
            <w:r w:rsidRPr="002D5CD7">
              <w:rPr>
                <w:i/>
                <w:sz w:val="20"/>
                <w:szCs w:val="20"/>
                <w:lang w:val="en-US"/>
              </w:rPr>
              <w:t>Adenium</w:t>
            </w:r>
            <w:proofErr w:type="spellEnd"/>
            <w:r w:rsidRPr="002D5CD7">
              <w:rPr>
                <w:i/>
                <w:sz w:val="20"/>
                <w:szCs w:val="20"/>
                <w:lang w:val="en-US"/>
              </w:rPr>
              <w:t xml:space="preserve"> </w:t>
            </w:r>
            <w:proofErr w:type="spellStart"/>
            <w:r w:rsidRPr="002D5CD7">
              <w:rPr>
                <w:i/>
                <w:sz w:val="20"/>
                <w:szCs w:val="20"/>
                <w:lang w:val="en-US"/>
              </w:rPr>
              <w:t>obesum</w:t>
            </w:r>
            <w:proofErr w:type="spellEnd"/>
            <w:r w:rsidRPr="002D5CD7">
              <w:rPr>
                <w:i/>
                <w:sz w:val="20"/>
                <w:szCs w:val="20"/>
                <w:lang w:val="en-US"/>
              </w:rPr>
              <w:t xml:space="preserve"> </w:t>
            </w:r>
            <w:r w:rsidRPr="002D5CD7">
              <w:rPr>
                <w:sz w:val="20"/>
                <w:szCs w:val="20"/>
                <w:lang w:val="en-US"/>
              </w:rPr>
              <w:t>(</w:t>
            </w:r>
            <w:proofErr w:type="spellStart"/>
            <w:r w:rsidRPr="002D5CD7">
              <w:rPr>
                <w:sz w:val="20"/>
                <w:szCs w:val="20"/>
                <w:lang w:val="en-US"/>
              </w:rPr>
              <w:t>Forssk</w:t>
            </w:r>
            <w:proofErr w:type="spellEnd"/>
            <w:r w:rsidRPr="002D5CD7">
              <w:rPr>
                <w:sz w:val="20"/>
                <w:szCs w:val="20"/>
                <w:lang w:val="en-US"/>
              </w:rPr>
              <w:t xml:space="preserve">.) </w:t>
            </w:r>
            <w:proofErr w:type="spellStart"/>
            <w:r w:rsidRPr="002D5CD7">
              <w:rPr>
                <w:sz w:val="20"/>
                <w:szCs w:val="20"/>
                <w:lang w:val="en-US"/>
              </w:rPr>
              <w:t>Roem</w:t>
            </w:r>
            <w:proofErr w:type="spellEnd"/>
            <w:r w:rsidRPr="002D5CD7">
              <w:rPr>
                <w:sz w:val="20"/>
                <w:szCs w:val="20"/>
                <w:lang w:val="en-US"/>
              </w:rPr>
              <w:t xml:space="preserve">. et </w:t>
            </w:r>
            <w:proofErr w:type="spellStart"/>
            <w:r w:rsidRPr="002D5CD7">
              <w:rPr>
                <w:sz w:val="20"/>
                <w:szCs w:val="20"/>
                <w:lang w:val="en-US"/>
              </w:rPr>
              <w:t>Schult</w:t>
            </w:r>
            <w:proofErr w:type="spellEnd"/>
            <w:r w:rsidRPr="002D5CD7">
              <w:rPr>
                <w:sz w:val="20"/>
                <w:szCs w:val="20"/>
                <w:lang w:val="en-US"/>
              </w:rPr>
              <w:t>.].</w:t>
            </w:r>
          </w:p>
        </w:tc>
        <w:tc>
          <w:tcPr>
            <w:tcW w:w="2269" w:type="dxa"/>
            <w:vAlign w:val="center"/>
          </w:tcPr>
          <w:p w:rsidR="002B1181" w:rsidRPr="000657C2" w:rsidRDefault="002B1181" w:rsidP="00AA577D">
            <w:pPr>
              <w:pStyle w:val="TableParagraph"/>
              <w:spacing w:before="23" w:line="273" w:lineRule="exact"/>
              <w:ind w:left="69"/>
              <w:rPr>
                <w:sz w:val="20"/>
                <w:szCs w:val="20"/>
                <w:lang w:val="es-ES"/>
              </w:rPr>
            </w:pPr>
            <w:r w:rsidRPr="000657C2">
              <w:rPr>
                <w:sz w:val="20"/>
                <w:szCs w:val="20"/>
                <w:lang w:val="es-ES"/>
              </w:rPr>
              <w:t>ADENI_OBE</w:t>
            </w:r>
          </w:p>
        </w:tc>
      </w:tr>
      <w:tr w:rsidR="002B1181" w:rsidRPr="000657C2" w:rsidTr="00AA577D">
        <w:trPr>
          <w:trHeight w:val="313"/>
        </w:trPr>
        <w:tc>
          <w:tcPr>
            <w:tcW w:w="6805" w:type="dxa"/>
            <w:vAlign w:val="center"/>
          </w:tcPr>
          <w:p w:rsidR="002B1181" w:rsidRPr="000657C2" w:rsidRDefault="002B1181" w:rsidP="00AA577D">
            <w:pPr>
              <w:pStyle w:val="TableParagraph"/>
              <w:spacing w:line="292" w:lineRule="exact"/>
              <w:ind w:left="69"/>
              <w:rPr>
                <w:sz w:val="20"/>
                <w:szCs w:val="20"/>
                <w:lang w:val="es-ES"/>
              </w:rPr>
            </w:pPr>
            <w:proofErr w:type="spellStart"/>
            <w:r w:rsidRPr="000657C2">
              <w:rPr>
                <w:i/>
                <w:sz w:val="20"/>
                <w:szCs w:val="20"/>
                <w:lang w:val="es-ES"/>
              </w:rPr>
              <w:t>Bouvardia</w:t>
            </w:r>
            <w:proofErr w:type="spellEnd"/>
            <w:r w:rsidRPr="000657C2">
              <w:rPr>
                <w:i/>
                <w:sz w:val="20"/>
                <w:szCs w:val="20"/>
                <w:lang w:val="es-ES"/>
              </w:rPr>
              <w:t xml:space="preserve"> </w:t>
            </w:r>
            <w:proofErr w:type="spellStart"/>
            <w:r w:rsidRPr="000657C2">
              <w:rPr>
                <w:sz w:val="20"/>
                <w:szCs w:val="20"/>
                <w:lang w:val="es-ES"/>
              </w:rPr>
              <w:t>Salisb</w:t>
            </w:r>
            <w:proofErr w:type="spellEnd"/>
            <w:r w:rsidRPr="000657C2">
              <w:rPr>
                <w:sz w:val="20"/>
                <w:szCs w:val="20"/>
                <w:lang w:val="es-ES"/>
              </w:rPr>
              <w:t>.</w:t>
            </w:r>
          </w:p>
        </w:tc>
        <w:tc>
          <w:tcPr>
            <w:tcW w:w="2269" w:type="dxa"/>
            <w:vAlign w:val="center"/>
          </w:tcPr>
          <w:p w:rsidR="002B1181" w:rsidRPr="000657C2" w:rsidRDefault="002B1181" w:rsidP="00AA577D">
            <w:pPr>
              <w:pStyle w:val="TableParagraph"/>
              <w:spacing w:line="292" w:lineRule="exact"/>
              <w:ind w:left="69"/>
              <w:rPr>
                <w:sz w:val="20"/>
                <w:szCs w:val="20"/>
                <w:lang w:val="es-ES"/>
              </w:rPr>
            </w:pPr>
            <w:r w:rsidRPr="000657C2">
              <w:rPr>
                <w:sz w:val="20"/>
                <w:szCs w:val="20"/>
                <w:lang w:val="es-ES"/>
              </w:rPr>
              <w:t>BOUVA</w:t>
            </w:r>
          </w:p>
        </w:tc>
      </w:tr>
      <w:tr w:rsidR="002B1181" w:rsidRPr="000657C2" w:rsidTr="00AA577D">
        <w:trPr>
          <w:trHeight w:val="316"/>
        </w:trPr>
        <w:tc>
          <w:tcPr>
            <w:tcW w:w="6805" w:type="dxa"/>
            <w:vAlign w:val="center"/>
          </w:tcPr>
          <w:p w:rsidR="002B1181" w:rsidRPr="000657C2" w:rsidRDefault="002B1181" w:rsidP="00AA577D">
            <w:pPr>
              <w:pStyle w:val="TableParagraph"/>
              <w:spacing w:line="292" w:lineRule="exact"/>
              <w:ind w:left="69"/>
              <w:rPr>
                <w:sz w:val="20"/>
                <w:szCs w:val="20"/>
                <w:lang w:val="es-ES"/>
              </w:rPr>
            </w:pPr>
            <w:proofErr w:type="spellStart"/>
            <w:r w:rsidRPr="000657C2">
              <w:rPr>
                <w:i/>
                <w:sz w:val="20"/>
                <w:szCs w:val="20"/>
                <w:lang w:val="es-ES"/>
              </w:rPr>
              <w:t>Eriobotrya</w:t>
            </w:r>
            <w:proofErr w:type="spellEnd"/>
            <w:r w:rsidRPr="000657C2">
              <w:rPr>
                <w:i/>
                <w:sz w:val="20"/>
                <w:szCs w:val="20"/>
                <w:lang w:val="es-ES"/>
              </w:rPr>
              <w:t xml:space="preserve"> </w:t>
            </w:r>
            <w:proofErr w:type="spellStart"/>
            <w:r w:rsidRPr="000657C2">
              <w:rPr>
                <w:i/>
                <w:sz w:val="20"/>
                <w:szCs w:val="20"/>
                <w:lang w:val="es-ES"/>
              </w:rPr>
              <w:t>japonica</w:t>
            </w:r>
            <w:proofErr w:type="spellEnd"/>
            <w:r w:rsidRPr="000657C2">
              <w:rPr>
                <w:i/>
                <w:sz w:val="20"/>
                <w:szCs w:val="20"/>
                <w:lang w:val="es-ES"/>
              </w:rPr>
              <w:t xml:space="preserve"> </w:t>
            </w:r>
            <w:r w:rsidRPr="000657C2">
              <w:rPr>
                <w:sz w:val="20"/>
                <w:szCs w:val="20"/>
                <w:lang w:val="es-ES"/>
              </w:rPr>
              <w:t>(</w:t>
            </w:r>
            <w:proofErr w:type="spellStart"/>
            <w:r w:rsidRPr="000657C2">
              <w:rPr>
                <w:sz w:val="20"/>
                <w:szCs w:val="20"/>
                <w:lang w:val="es-ES"/>
              </w:rPr>
              <w:t>Thunb</w:t>
            </w:r>
            <w:proofErr w:type="spellEnd"/>
            <w:r w:rsidRPr="000657C2">
              <w:rPr>
                <w:sz w:val="20"/>
                <w:szCs w:val="20"/>
                <w:lang w:val="es-ES"/>
              </w:rPr>
              <w:t xml:space="preserve">.) </w:t>
            </w:r>
            <w:proofErr w:type="spellStart"/>
            <w:r w:rsidRPr="000657C2">
              <w:rPr>
                <w:sz w:val="20"/>
                <w:szCs w:val="20"/>
                <w:lang w:val="es-ES"/>
              </w:rPr>
              <w:t>Lindl</w:t>
            </w:r>
            <w:proofErr w:type="spellEnd"/>
            <w:r w:rsidRPr="000657C2">
              <w:rPr>
                <w:sz w:val="20"/>
                <w:szCs w:val="20"/>
                <w:lang w:val="es-ES"/>
              </w:rPr>
              <w:t>.</w:t>
            </w:r>
          </w:p>
        </w:tc>
        <w:tc>
          <w:tcPr>
            <w:tcW w:w="2269" w:type="dxa"/>
            <w:vAlign w:val="center"/>
          </w:tcPr>
          <w:p w:rsidR="002B1181" w:rsidRPr="000657C2" w:rsidRDefault="002B1181" w:rsidP="00AA577D">
            <w:pPr>
              <w:pStyle w:val="TableParagraph"/>
              <w:spacing w:line="292" w:lineRule="exact"/>
              <w:ind w:left="69"/>
              <w:rPr>
                <w:sz w:val="20"/>
                <w:szCs w:val="20"/>
                <w:lang w:val="es-ES"/>
              </w:rPr>
            </w:pPr>
            <w:r w:rsidRPr="000657C2">
              <w:rPr>
                <w:sz w:val="20"/>
                <w:szCs w:val="20"/>
                <w:lang w:val="es-ES"/>
              </w:rPr>
              <w:t>ERIOB_JAP</w:t>
            </w:r>
          </w:p>
        </w:tc>
      </w:tr>
      <w:tr w:rsidR="002B1181" w:rsidRPr="000657C2" w:rsidTr="00AA577D">
        <w:trPr>
          <w:trHeight w:val="313"/>
        </w:trPr>
        <w:tc>
          <w:tcPr>
            <w:tcW w:w="6805" w:type="dxa"/>
            <w:vAlign w:val="center"/>
          </w:tcPr>
          <w:p w:rsidR="002B1181" w:rsidRPr="000657C2" w:rsidRDefault="002B1181" w:rsidP="00AA577D">
            <w:pPr>
              <w:pStyle w:val="TableParagraph"/>
              <w:spacing w:line="292" w:lineRule="exact"/>
              <w:ind w:left="69"/>
              <w:rPr>
                <w:sz w:val="20"/>
                <w:szCs w:val="20"/>
                <w:lang w:val="es-ES"/>
              </w:rPr>
            </w:pPr>
            <w:proofErr w:type="spellStart"/>
            <w:r w:rsidRPr="000657C2">
              <w:rPr>
                <w:i/>
                <w:sz w:val="20"/>
                <w:szCs w:val="20"/>
                <w:lang w:val="es-ES"/>
              </w:rPr>
              <w:t>Macadamia</w:t>
            </w:r>
            <w:proofErr w:type="spellEnd"/>
            <w:r w:rsidRPr="000657C2">
              <w:rPr>
                <w:i/>
                <w:sz w:val="20"/>
                <w:szCs w:val="20"/>
                <w:lang w:val="es-ES"/>
              </w:rPr>
              <w:t xml:space="preserve"> </w:t>
            </w:r>
            <w:proofErr w:type="spellStart"/>
            <w:r w:rsidRPr="000657C2">
              <w:rPr>
                <w:i/>
                <w:sz w:val="20"/>
                <w:szCs w:val="20"/>
                <w:lang w:val="es-ES"/>
              </w:rPr>
              <w:t>integrifolia</w:t>
            </w:r>
            <w:proofErr w:type="spellEnd"/>
            <w:r w:rsidRPr="000657C2">
              <w:rPr>
                <w:i/>
                <w:sz w:val="20"/>
                <w:szCs w:val="20"/>
                <w:lang w:val="es-ES"/>
              </w:rPr>
              <w:t xml:space="preserve"> </w:t>
            </w:r>
            <w:r w:rsidRPr="000657C2">
              <w:rPr>
                <w:sz w:val="20"/>
                <w:szCs w:val="20"/>
                <w:lang w:val="es-ES"/>
              </w:rPr>
              <w:t xml:space="preserve">Maiden et </w:t>
            </w:r>
            <w:proofErr w:type="spellStart"/>
            <w:r w:rsidRPr="000657C2">
              <w:rPr>
                <w:sz w:val="20"/>
                <w:szCs w:val="20"/>
                <w:lang w:val="es-ES"/>
              </w:rPr>
              <w:t>Betche</w:t>
            </w:r>
            <w:proofErr w:type="spellEnd"/>
          </w:p>
        </w:tc>
        <w:tc>
          <w:tcPr>
            <w:tcW w:w="2269" w:type="dxa"/>
            <w:vAlign w:val="center"/>
          </w:tcPr>
          <w:p w:rsidR="002B1181" w:rsidRPr="000657C2" w:rsidRDefault="002B1181" w:rsidP="00AA577D">
            <w:pPr>
              <w:pStyle w:val="TableParagraph"/>
              <w:spacing w:line="292" w:lineRule="exact"/>
              <w:ind w:left="69"/>
              <w:rPr>
                <w:sz w:val="20"/>
                <w:szCs w:val="20"/>
                <w:lang w:val="es-ES"/>
              </w:rPr>
            </w:pPr>
            <w:r w:rsidRPr="000657C2">
              <w:rPr>
                <w:sz w:val="20"/>
                <w:szCs w:val="20"/>
                <w:lang w:val="es-ES"/>
              </w:rPr>
              <w:t>MACAD_INT</w:t>
            </w:r>
          </w:p>
        </w:tc>
      </w:tr>
      <w:tr w:rsidR="002B1181" w:rsidRPr="000657C2" w:rsidTr="00AA577D">
        <w:trPr>
          <w:trHeight w:val="314"/>
        </w:trPr>
        <w:tc>
          <w:tcPr>
            <w:tcW w:w="6805" w:type="dxa"/>
            <w:vAlign w:val="center"/>
          </w:tcPr>
          <w:p w:rsidR="002B1181" w:rsidRPr="000657C2" w:rsidRDefault="002B1181" w:rsidP="00AA577D">
            <w:pPr>
              <w:pStyle w:val="TableParagraph"/>
              <w:spacing w:line="292" w:lineRule="exact"/>
              <w:ind w:left="69"/>
              <w:rPr>
                <w:sz w:val="20"/>
                <w:szCs w:val="20"/>
                <w:lang w:val="es-ES"/>
              </w:rPr>
            </w:pPr>
            <w:proofErr w:type="spellStart"/>
            <w:r w:rsidRPr="000657C2">
              <w:rPr>
                <w:i/>
                <w:sz w:val="20"/>
                <w:szCs w:val="20"/>
                <w:lang w:val="es-ES"/>
              </w:rPr>
              <w:t>Macadamia</w:t>
            </w:r>
            <w:proofErr w:type="spellEnd"/>
            <w:r w:rsidRPr="000657C2">
              <w:rPr>
                <w:i/>
                <w:sz w:val="20"/>
                <w:szCs w:val="20"/>
                <w:lang w:val="es-ES"/>
              </w:rPr>
              <w:t xml:space="preserve"> </w:t>
            </w:r>
            <w:proofErr w:type="spellStart"/>
            <w:r w:rsidRPr="000657C2">
              <w:rPr>
                <w:i/>
                <w:sz w:val="20"/>
                <w:szCs w:val="20"/>
                <w:lang w:val="es-ES"/>
              </w:rPr>
              <w:t>tetraphylla</w:t>
            </w:r>
            <w:proofErr w:type="spellEnd"/>
            <w:r w:rsidRPr="000657C2">
              <w:rPr>
                <w:i/>
                <w:sz w:val="20"/>
                <w:szCs w:val="20"/>
                <w:lang w:val="es-ES"/>
              </w:rPr>
              <w:t xml:space="preserve"> </w:t>
            </w:r>
            <w:r w:rsidRPr="000657C2">
              <w:rPr>
                <w:sz w:val="20"/>
                <w:szCs w:val="20"/>
                <w:lang w:val="es-ES"/>
              </w:rPr>
              <w:t>L. Johns.</w:t>
            </w:r>
          </w:p>
        </w:tc>
        <w:tc>
          <w:tcPr>
            <w:tcW w:w="2269" w:type="dxa"/>
            <w:vAlign w:val="center"/>
          </w:tcPr>
          <w:p w:rsidR="002B1181" w:rsidRPr="000657C2" w:rsidRDefault="002B1181" w:rsidP="00AA577D">
            <w:pPr>
              <w:pStyle w:val="TableParagraph"/>
              <w:spacing w:line="292" w:lineRule="exact"/>
              <w:ind w:left="69"/>
              <w:rPr>
                <w:sz w:val="20"/>
                <w:szCs w:val="20"/>
                <w:lang w:val="es-ES"/>
              </w:rPr>
            </w:pPr>
            <w:r w:rsidRPr="000657C2">
              <w:rPr>
                <w:sz w:val="20"/>
                <w:szCs w:val="20"/>
                <w:lang w:val="es-ES"/>
              </w:rPr>
              <w:t>MACAD_TET</w:t>
            </w:r>
          </w:p>
        </w:tc>
      </w:tr>
      <w:tr w:rsidR="002B1181" w:rsidRPr="000657C2" w:rsidTr="00AA577D">
        <w:trPr>
          <w:trHeight w:val="316"/>
        </w:trPr>
        <w:tc>
          <w:tcPr>
            <w:tcW w:w="6805" w:type="dxa"/>
            <w:vAlign w:val="center"/>
          </w:tcPr>
          <w:p w:rsidR="002B1181" w:rsidRPr="000657C2" w:rsidRDefault="002B1181" w:rsidP="00AA577D">
            <w:pPr>
              <w:pStyle w:val="TableParagraph"/>
              <w:spacing w:before="1"/>
              <w:ind w:left="69"/>
              <w:rPr>
                <w:sz w:val="20"/>
                <w:szCs w:val="20"/>
                <w:lang w:val="es-ES"/>
              </w:rPr>
            </w:pPr>
            <w:proofErr w:type="spellStart"/>
            <w:r w:rsidRPr="000657C2">
              <w:rPr>
                <w:i/>
                <w:sz w:val="20"/>
                <w:szCs w:val="20"/>
                <w:lang w:val="es-ES"/>
              </w:rPr>
              <w:t>Ononis</w:t>
            </w:r>
            <w:proofErr w:type="spellEnd"/>
            <w:r w:rsidRPr="000657C2">
              <w:rPr>
                <w:i/>
                <w:sz w:val="20"/>
                <w:szCs w:val="20"/>
                <w:lang w:val="es-ES"/>
              </w:rPr>
              <w:t xml:space="preserve"> </w:t>
            </w:r>
            <w:proofErr w:type="spellStart"/>
            <w:r w:rsidRPr="000657C2">
              <w:rPr>
                <w:i/>
                <w:sz w:val="20"/>
                <w:szCs w:val="20"/>
                <w:lang w:val="es-ES"/>
              </w:rPr>
              <w:t>alopecuroides</w:t>
            </w:r>
            <w:proofErr w:type="spellEnd"/>
            <w:r w:rsidRPr="000657C2">
              <w:rPr>
                <w:i/>
                <w:sz w:val="20"/>
                <w:szCs w:val="20"/>
                <w:lang w:val="es-ES"/>
              </w:rPr>
              <w:t xml:space="preserve"> </w:t>
            </w:r>
            <w:r w:rsidRPr="000657C2">
              <w:rPr>
                <w:sz w:val="20"/>
                <w:szCs w:val="20"/>
                <w:lang w:val="es-ES"/>
              </w:rPr>
              <w:t>L</w:t>
            </w:r>
          </w:p>
        </w:tc>
        <w:tc>
          <w:tcPr>
            <w:tcW w:w="2269" w:type="dxa"/>
            <w:vAlign w:val="center"/>
          </w:tcPr>
          <w:p w:rsidR="002B1181" w:rsidRPr="000657C2" w:rsidRDefault="002B1181" w:rsidP="00AA577D">
            <w:pPr>
              <w:pStyle w:val="TableParagraph"/>
              <w:spacing w:before="1"/>
              <w:ind w:left="69"/>
              <w:rPr>
                <w:sz w:val="20"/>
                <w:szCs w:val="20"/>
                <w:lang w:val="es-ES"/>
              </w:rPr>
            </w:pPr>
            <w:r w:rsidRPr="000657C2">
              <w:rPr>
                <w:sz w:val="20"/>
                <w:szCs w:val="20"/>
                <w:lang w:val="es-ES"/>
              </w:rPr>
              <w:t>ONONI_ALO</w:t>
            </w:r>
          </w:p>
        </w:tc>
      </w:tr>
      <w:tr w:rsidR="002B1181" w:rsidRPr="000657C2" w:rsidTr="00AA577D">
        <w:trPr>
          <w:trHeight w:val="313"/>
        </w:trPr>
        <w:tc>
          <w:tcPr>
            <w:tcW w:w="6805" w:type="dxa"/>
            <w:vAlign w:val="center"/>
          </w:tcPr>
          <w:p w:rsidR="002B1181" w:rsidRPr="000657C2" w:rsidRDefault="002B1181" w:rsidP="00AA577D">
            <w:pPr>
              <w:pStyle w:val="TableParagraph"/>
              <w:spacing w:line="292" w:lineRule="exact"/>
              <w:ind w:left="69"/>
              <w:rPr>
                <w:sz w:val="20"/>
                <w:szCs w:val="20"/>
                <w:lang w:val="es-ES"/>
              </w:rPr>
            </w:pPr>
            <w:proofErr w:type="spellStart"/>
            <w:r w:rsidRPr="000657C2">
              <w:rPr>
                <w:i/>
                <w:sz w:val="20"/>
                <w:szCs w:val="20"/>
                <w:lang w:val="es-ES"/>
              </w:rPr>
              <w:t>Linum</w:t>
            </w:r>
            <w:proofErr w:type="spellEnd"/>
            <w:r w:rsidRPr="000657C2">
              <w:rPr>
                <w:i/>
                <w:sz w:val="20"/>
                <w:szCs w:val="20"/>
                <w:lang w:val="es-ES"/>
              </w:rPr>
              <w:t xml:space="preserve"> </w:t>
            </w:r>
            <w:proofErr w:type="spellStart"/>
            <w:r w:rsidRPr="000657C2">
              <w:rPr>
                <w:i/>
                <w:sz w:val="20"/>
                <w:szCs w:val="20"/>
                <w:lang w:val="es-ES"/>
              </w:rPr>
              <w:t>usitatissimum</w:t>
            </w:r>
            <w:proofErr w:type="spellEnd"/>
            <w:r w:rsidRPr="000657C2">
              <w:rPr>
                <w:i/>
                <w:sz w:val="20"/>
                <w:szCs w:val="20"/>
                <w:lang w:val="es-ES"/>
              </w:rPr>
              <w:t xml:space="preserve"> </w:t>
            </w:r>
            <w:r w:rsidRPr="000657C2">
              <w:rPr>
                <w:sz w:val="20"/>
                <w:szCs w:val="20"/>
                <w:lang w:val="es-ES"/>
              </w:rPr>
              <w:t>L.</w:t>
            </w:r>
          </w:p>
        </w:tc>
        <w:tc>
          <w:tcPr>
            <w:tcW w:w="2269" w:type="dxa"/>
            <w:vAlign w:val="center"/>
          </w:tcPr>
          <w:p w:rsidR="002B1181" w:rsidRPr="000657C2" w:rsidRDefault="002B1181" w:rsidP="00AA577D">
            <w:pPr>
              <w:pStyle w:val="TableParagraph"/>
              <w:spacing w:line="292" w:lineRule="exact"/>
              <w:ind w:left="69"/>
              <w:rPr>
                <w:sz w:val="20"/>
                <w:szCs w:val="20"/>
                <w:lang w:val="es-ES"/>
              </w:rPr>
            </w:pPr>
            <w:hyperlink r:id="rId11">
              <w:r w:rsidRPr="000657C2">
                <w:rPr>
                  <w:sz w:val="20"/>
                  <w:szCs w:val="20"/>
                  <w:u w:val="single"/>
                  <w:lang w:val="es-ES"/>
                </w:rPr>
                <w:t>LINUM_USI</w:t>
              </w:r>
            </w:hyperlink>
          </w:p>
        </w:tc>
      </w:tr>
      <w:tr w:rsidR="002B1181" w:rsidRPr="000657C2" w:rsidTr="00AA577D">
        <w:trPr>
          <w:trHeight w:val="316"/>
        </w:trPr>
        <w:tc>
          <w:tcPr>
            <w:tcW w:w="6805" w:type="dxa"/>
            <w:vAlign w:val="center"/>
          </w:tcPr>
          <w:p w:rsidR="002B1181" w:rsidRPr="000657C2" w:rsidRDefault="002B1181" w:rsidP="00AA577D">
            <w:pPr>
              <w:pStyle w:val="TableParagraph"/>
              <w:spacing w:line="292" w:lineRule="exact"/>
              <w:ind w:left="69"/>
              <w:rPr>
                <w:sz w:val="20"/>
                <w:szCs w:val="20"/>
                <w:lang w:val="es-ES"/>
              </w:rPr>
            </w:pPr>
            <w:proofErr w:type="spellStart"/>
            <w:r w:rsidRPr="000657C2">
              <w:rPr>
                <w:i/>
                <w:sz w:val="20"/>
                <w:szCs w:val="20"/>
                <w:lang w:val="es-ES"/>
              </w:rPr>
              <w:t>Solanum</w:t>
            </w:r>
            <w:proofErr w:type="spellEnd"/>
            <w:r w:rsidRPr="000657C2">
              <w:rPr>
                <w:i/>
                <w:sz w:val="20"/>
                <w:szCs w:val="20"/>
                <w:lang w:val="es-ES"/>
              </w:rPr>
              <w:t xml:space="preserve"> </w:t>
            </w:r>
            <w:proofErr w:type="spellStart"/>
            <w:r w:rsidRPr="000657C2">
              <w:rPr>
                <w:i/>
                <w:sz w:val="20"/>
                <w:szCs w:val="20"/>
                <w:lang w:val="es-ES"/>
              </w:rPr>
              <w:t>glaucophyllum</w:t>
            </w:r>
            <w:proofErr w:type="spellEnd"/>
            <w:r w:rsidRPr="000657C2">
              <w:rPr>
                <w:i/>
                <w:sz w:val="20"/>
                <w:szCs w:val="20"/>
                <w:lang w:val="es-ES"/>
              </w:rPr>
              <w:t xml:space="preserve"> </w:t>
            </w:r>
            <w:proofErr w:type="spellStart"/>
            <w:r w:rsidRPr="000657C2">
              <w:rPr>
                <w:sz w:val="20"/>
                <w:szCs w:val="20"/>
                <w:lang w:val="es-ES"/>
              </w:rPr>
              <w:t>Desf</w:t>
            </w:r>
            <w:proofErr w:type="spellEnd"/>
          </w:p>
        </w:tc>
        <w:tc>
          <w:tcPr>
            <w:tcW w:w="2269" w:type="dxa"/>
            <w:vAlign w:val="center"/>
          </w:tcPr>
          <w:p w:rsidR="002B1181" w:rsidRPr="000657C2" w:rsidRDefault="002B1181" w:rsidP="00AA577D">
            <w:pPr>
              <w:pStyle w:val="TableParagraph"/>
              <w:spacing w:line="292" w:lineRule="exact"/>
              <w:ind w:left="69"/>
              <w:rPr>
                <w:sz w:val="20"/>
                <w:szCs w:val="20"/>
                <w:lang w:val="es-ES"/>
              </w:rPr>
            </w:pPr>
            <w:r w:rsidRPr="000657C2">
              <w:rPr>
                <w:sz w:val="20"/>
                <w:szCs w:val="20"/>
                <w:lang w:val="es-ES"/>
              </w:rPr>
              <w:t>SOLAN_GLA</w:t>
            </w:r>
          </w:p>
        </w:tc>
      </w:tr>
    </w:tbl>
    <w:p w:rsidR="002B1181" w:rsidRPr="000657C2" w:rsidRDefault="002B1181" w:rsidP="002B1181">
      <w:pPr>
        <w:rPr>
          <w:rFonts w:cs="Arial"/>
          <w:lang w:val="es-ES"/>
        </w:rPr>
      </w:pPr>
    </w:p>
    <w:p w:rsidR="002B1181" w:rsidRPr="000657C2" w:rsidRDefault="002B1181" w:rsidP="002B1181">
      <w:pPr>
        <w:rPr>
          <w:rFonts w:cs="Arial"/>
          <w:lang w:val="es-ES"/>
        </w:rPr>
      </w:pPr>
    </w:p>
    <w:p w:rsidR="002B1181" w:rsidRPr="000657C2" w:rsidRDefault="002B1181" w:rsidP="002B1181">
      <w:pPr>
        <w:rPr>
          <w:lang w:val="es-ES"/>
        </w:rPr>
      </w:pPr>
      <w:r w:rsidRPr="000657C2">
        <w:rPr>
          <w:lang w:val="es-ES"/>
        </w:rPr>
        <w:t>1.3</w:t>
      </w:r>
      <w:r w:rsidRPr="000657C2">
        <w:rPr>
          <w:lang w:val="es-ES"/>
        </w:rPr>
        <w:tab/>
        <w:t>Jurisprudencia: No hay novedades reseñables.</w:t>
      </w:r>
    </w:p>
    <w:p w:rsidR="002B1181" w:rsidRPr="000657C2" w:rsidRDefault="002B1181" w:rsidP="002B1181">
      <w:pPr>
        <w:rPr>
          <w:lang w:val="es-ES"/>
        </w:rPr>
      </w:pPr>
    </w:p>
    <w:p w:rsidR="002B1181" w:rsidRPr="000657C2" w:rsidRDefault="002B1181" w:rsidP="002B1181">
      <w:pPr>
        <w:jc w:val="left"/>
        <w:rPr>
          <w:lang w:val="es-ES"/>
        </w:rPr>
      </w:pPr>
    </w:p>
    <w:p w:rsidR="002B1181" w:rsidRPr="000657C2" w:rsidRDefault="002B1181" w:rsidP="002B1181">
      <w:pPr>
        <w:rPr>
          <w:u w:val="single"/>
          <w:lang w:val="es-ES"/>
        </w:rPr>
      </w:pPr>
      <w:r w:rsidRPr="000657C2">
        <w:rPr>
          <w:lang w:val="es-ES"/>
        </w:rPr>
        <w:t>2.</w:t>
      </w:r>
      <w:r w:rsidRPr="000657C2">
        <w:rPr>
          <w:lang w:val="es-ES"/>
        </w:rPr>
        <w:tab/>
      </w:r>
      <w:r w:rsidRPr="000657C2">
        <w:rPr>
          <w:u w:val="single"/>
          <w:lang w:val="es-ES"/>
        </w:rPr>
        <w:t xml:space="preserve"> Cooperación en el examen</w:t>
      </w:r>
    </w:p>
    <w:p w:rsidR="002B1181" w:rsidRPr="000657C2" w:rsidRDefault="002B1181" w:rsidP="002B1181">
      <w:pPr>
        <w:rPr>
          <w:lang w:val="es-ES"/>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94"/>
        <w:gridCol w:w="1560"/>
        <w:gridCol w:w="2269"/>
      </w:tblGrid>
      <w:tr w:rsidR="002B1181" w:rsidRPr="00424F8C" w:rsidTr="00AA577D">
        <w:trPr>
          <w:trHeight w:val="611"/>
        </w:trPr>
        <w:tc>
          <w:tcPr>
            <w:tcW w:w="5094" w:type="dxa"/>
          </w:tcPr>
          <w:p w:rsidR="002B1181" w:rsidRPr="000657C2" w:rsidRDefault="002B1181" w:rsidP="00AA577D">
            <w:pPr>
              <w:pStyle w:val="TableParagraph"/>
              <w:spacing w:before="186"/>
              <w:ind w:left="1784" w:right="1770"/>
              <w:jc w:val="center"/>
              <w:rPr>
                <w:b/>
                <w:sz w:val="20"/>
                <w:szCs w:val="20"/>
                <w:lang w:val="es-ES"/>
              </w:rPr>
            </w:pPr>
            <w:r w:rsidRPr="000657C2">
              <w:rPr>
                <w:b/>
                <w:sz w:val="20"/>
                <w:szCs w:val="20"/>
                <w:lang w:val="es-ES"/>
              </w:rPr>
              <w:t>Nombre botánico</w:t>
            </w:r>
          </w:p>
        </w:tc>
        <w:tc>
          <w:tcPr>
            <w:tcW w:w="1560" w:type="dxa"/>
          </w:tcPr>
          <w:p w:rsidR="002B1181" w:rsidRPr="000657C2" w:rsidRDefault="002B1181" w:rsidP="00AA577D">
            <w:pPr>
              <w:pStyle w:val="TableParagraph"/>
              <w:spacing w:before="186"/>
              <w:ind w:left="179"/>
              <w:rPr>
                <w:b/>
                <w:sz w:val="20"/>
                <w:szCs w:val="20"/>
                <w:lang w:val="es-ES"/>
              </w:rPr>
            </w:pPr>
            <w:r w:rsidRPr="000657C2">
              <w:rPr>
                <w:b/>
                <w:sz w:val="20"/>
                <w:szCs w:val="20"/>
                <w:lang w:val="es-ES"/>
              </w:rPr>
              <w:t>Código UPOV</w:t>
            </w:r>
          </w:p>
        </w:tc>
        <w:tc>
          <w:tcPr>
            <w:tcW w:w="2269" w:type="dxa"/>
          </w:tcPr>
          <w:p w:rsidR="002B1181" w:rsidRPr="000657C2" w:rsidRDefault="002B1181" w:rsidP="00AA577D">
            <w:pPr>
              <w:pStyle w:val="TableParagraph"/>
              <w:spacing w:before="71"/>
              <w:ind w:left="253" w:right="220" w:firstLine="7"/>
              <w:rPr>
                <w:b/>
                <w:sz w:val="20"/>
                <w:szCs w:val="20"/>
                <w:lang w:val="es-ES"/>
              </w:rPr>
            </w:pPr>
            <w:r w:rsidRPr="000657C2">
              <w:rPr>
                <w:b/>
                <w:bCs/>
                <w:sz w:val="20"/>
                <w:szCs w:val="20"/>
                <w:lang w:val="es-ES"/>
              </w:rPr>
              <w:t>Autoridad/oficina de examen que ofrece informes DHE</w:t>
            </w:r>
          </w:p>
        </w:tc>
      </w:tr>
      <w:tr w:rsidR="002B1181" w:rsidRPr="000657C2" w:rsidTr="00AA577D">
        <w:trPr>
          <w:trHeight w:val="256"/>
        </w:trPr>
        <w:tc>
          <w:tcPr>
            <w:tcW w:w="5094" w:type="dxa"/>
            <w:shd w:val="clear" w:color="auto" w:fill="E4B8B7"/>
          </w:tcPr>
          <w:p w:rsidR="002B1181" w:rsidRPr="000657C2" w:rsidRDefault="002B1181" w:rsidP="00AA577D">
            <w:pPr>
              <w:pStyle w:val="TableParagraph"/>
              <w:spacing w:line="227" w:lineRule="exact"/>
              <w:ind w:left="79"/>
              <w:rPr>
                <w:sz w:val="20"/>
                <w:szCs w:val="20"/>
                <w:lang w:val="es-ES"/>
              </w:rPr>
            </w:pPr>
            <w:r w:rsidRPr="000657C2">
              <w:rPr>
                <w:sz w:val="20"/>
                <w:szCs w:val="20"/>
                <w:lang w:val="es-ES"/>
              </w:rPr>
              <w:t xml:space="preserve">Petunia </w:t>
            </w:r>
            <w:proofErr w:type="spellStart"/>
            <w:r w:rsidRPr="000657C2">
              <w:rPr>
                <w:sz w:val="20"/>
                <w:szCs w:val="20"/>
                <w:lang w:val="es-ES"/>
              </w:rPr>
              <w:t>Juss</w:t>
            </w:r>
            <w:proofErr w:type="spellEnd"/>
            <w:r w:rsidRPr="000657C2">
              <w:rPr>
                <w:sz w:val="20"/>
                <w:szCs w:val="20"/>
                <w:lang w:val="es-ES"/>
              </w:rPr>
              <w:t>.</w:t>
            </w:r>
          </w:p>
        </w:tc>
        <w:tc>
          <w:tcPr>
            <w:tcW w:w="1560" w:type="dxa"/>
            <w:shd w:val="clear" w:color="auto" w:fill="E4B8B7"/>
          </w:tcPr>
          <w:p w:rsidR="002B1181" w:rsidRPr="000657C2" w:rsidRDefault="002B1181" w:rsidP="00AA577D">
            <w:pPr>
              <w:pStyle w:val="TableParagraph"/>
              <w:spacing w:line="227" w:lineRule="exact"/>
              <w:ind w:left="73"/>
              <w:rPr>
                <w:sz w:val="20"/>
                <w:szCs w:val="20"/>
                <w:lang w:val="es-ES"/>
              </w:rPr>
            </w:pPr>
            <w:r w:rsidRPr="000657C2">
              <w:rPr>
                <w:sz w:val="20"/>
                <w:szCs w:val="20"/>
                <w:lang w:val="es-ES"/>
              </w:rPr>
              <w:t>PETUN</w:t>
            </w:r>
          </w:p>
        </w:tc>
        <w:tc>
          <w:tcPr>
            <w:tcW w:w="2269" w:type="dxa"/>
            <w:shd w:val="clear" w:color="auto" w:fill="E4B8B7"/>
          </w:tcPr>
          <w:p w:rsidR="002B1181" w:rsidRPr="000657C2" w:rsidRDefault="002B1181" w:rsidP="002B1181">
            <w:pPr>
              <w:pStyle w:val="TableParagraph"/>
              <w:spacing w:line="227" w:lineRule="exact"/>
              <w:ind w:left="73"/>
              <w:rPr>
                <w:sz w:val="20"/>
                <w:szCs w:val="20"/>
                <w:lang w:val="es-ES"/>
              </w:rPr>
            </w:pPr>
            <w:r w:rsidRPr="000657C2">
              <w:rPr>
                <w:sz w:val="20"/>
                <w:szCs w:val="20"/>
                <w:lang w:val="es-ES"/>
              </w:rPr>
              <w:t>CPVO</w:t>
            </w:r>
          </w:p>
        </w:tc>
      </w:tr>
      <w:tr w:rsidR="002B1181" w:rsidRPr="000657C2" w:rsidTr="00AA577D">
        <w:trPr>
          <w:trHeight w:val="263"/>
        </w:trPr>
        <w:tc>
          <w:tcPr>
            <w:tcW w:w="5094" w:type="dxa"/>
            <w:shd w:val="clear" w:color="auto" w:fill="E4B8B7"/>
          </w:tcPr>
          <w:p w:rsidR="002B1181" w:rsidRPr="000657C2" w:rsidRDefault="002B1181" w:rsidP="00AA577D">
            <w:pPr>
              <w:pStyle w:val="TableParagraph"/>
              <w:spacing w:line="244" w:lineRule="exact"/>
              <w:ind w:left="79"/>
              <w:rPr>
                <w:sz w:val="20"/>
                <w:szCs w:val="20"/>
                <w:lang w:val="es-ES"/>
              </w:rPr>
            </w:pPr>
            <w:proofErr w:type="spellStart"/>
            <w:r w:rsidRPr="000657C2">
              <w:rPr>
                <w:i/>
                <w:sz w:val="20"/>
                <w:szCs w:val="20"/>
                <w:lang w:val="es-ES"/>
              </w:rPr>
              <w:t>Zamioculcas</w:t>
            </w:r>
            <w:proofErr w:type="spellEnd"/>
            <w:r w:rsidRPr="000657C2">
              <w:rPr>
                <w:i/>
                <w:sz w:val="20"/>
                <w:szCs w:val="20"/>
                <w:lang w:val="es-ES"/>
              </w:rPr>
              <w:t xml:space="preserve"> </w:t>
            </w:r>
            <w:proofErr w:type="spellStart"/>
            <w:r w:rsidRPr="000657C2">
              <w:rPr>
                <w:i/>
                <w:sz w:val="20"/>
                <w:szCs w:val="20"/>
                <w:lang w:val="es-ES"/>
              </w:rPr>
              <w:t>zamiifolia</w:t>
            </w:r>
            <w:proofErr w:type="spellEnd"/>
            <w:r w:rsidRPr="000657C2">
              <w:rPr>
                <w:i/>
                <w:sz w:val="20"/>
                <w:szCs w:val="20"/>
                <w:lang w:val="es-ES"/>
              </w:rPr>
              <w:t xml:space="preserve"> </w:t>
            </w:r>
            <w:r w:rsidRPr="000657C2">
              <w:rPr>
                <w:sz w:val="20"/>
                <w:szCs w:val="20"/>
                <w:lang w:val="es-ES"/>
              </w:rPr>
              <w:t>(</w:t>
            </w:r>
            <w:proofErr w:type="spellStart"/>
            <w:r w:rsidRPr="000657C2">
              <w:rPr>
                <w:sz w:val="20"/>
                <w:szCs w:val="20"/>
                <w:lang w:val="es-ES"/>
              </w:rPr>
              <w:t>Lodd</w:t>
            </w:r>
            <w:proofErr w:type="spellEnd"/>
            <w:r w:rsidRPr="000657C2">
              <w:rPr>
                <w:sz w:val="20"/>
                <w:szCs w:val="20"/>
                <w:lang w:val="es-ES"/>
              </w:rPr>
              <w:t xml:space="preserve">. et al.) </w:t>
            </w:r>
            <w:proofErr w:type="spellStart"/>
            <w:r w:rsidRPr="000657C2">
              <w:rPr>
                <w:sz w:val="20"/>
                <w:szCs w:val="20"/>
                <w:lang w:val="es-ES"/>
              </w:rPr>
              <w:t>Engl</w:t>
            </w:r>
            <w:proofErr w:type="spellEnd"/>
          </w:p>
        </w:tc>
        <w:tc>
          <w:tcPr>
            <w:tcW w:w="1560" w:type="dxa"/>
            <w:shd w:val="clear" w:color="auto" w:fill="E4B8B7"/>
          </w:tcPr>
          <w:p w:rsidR="002B1181" w:rsidRPr="000657C2" w:rsidRDefault="002B1181" w:rsidP="00AA577D">
            <w:pPr>
              <w:pStyle w:val="TableParagraph"/>
              <w:spacing w:line="227" w:lineRule="exact"/>
              <w:ind w:left="73"/>
              <w:rPr>
                <w:sz w:val="20"/>
                <w:szCs w:val="20"/>
                <w:lang w:val="es-ES"/>
              </w:rPr>
            </w:pPr>
            <w:r w:rsidRPr="000657C2">
              <w:rPr>
                <w:sz w:val="20"/>
                <w:szCs w:val="20"/>
                <w:lang w:val="es-ES"/>
              </w:rPr>
              <w:t>ZAMIO</w:t>
            </w:r>
          </w:p>
        </w:tc>
        <w:tc>
          <w:tcPr>
            <w:tcW w:w="2269" w:type="dxa"/>
            <w:shd w:val="clear" w:color="auto" w:fill="E4B8B7"/>
          </w:tcPr>
          <w:p w:rsidR="002B1181" w:rsidRPr="000657C2" w:rsidRDefault="002B1181" w:rsidP="00AA577D">
            <w:pPr>
              <w:pStyle w:val="TableParagraph"/>
              <w:spacing w:line="227" w:lineRule="exact"/>
              <w:ind w:left="73"/>
              <w:rPr>
                <w:sz w:val="20"/>
                <w:szCs w:val="20"/>
                <w:lang w:val="es-ES"/>
              </w:rPr>
            </w:pPr>
            <w:r w:rsidRPr="000657C2">
              <w:rPr>
                <w:sz w:val="20"/>
                <w:szCs w:val="20"/>
                <w:lang w:val="es-ES"/>
              </w:rPr>
              <w:t>CPVO</w:t>
            </w:r>
          </w:p>
        </w:tc>
      </w:tr>
      <w:tr w:rsidR="002B1181" w:rsidRPr="000657C2" w:rsidTr="00AA577D">
        <w:trPr>
          <w:trHeight w:val="242"/>
        </w:trPr>
        <w:tc>
          <w:tcPr>
            <w:tcW w:w="5094" w:type="dxa"/>
            <w:shd w:val="clear" w:color="auto" w:fill="E4B8B7"/>
          </w:tcPr>
          <w:p w:rsidR="002B1181" w:rsidRPr="000657C2" w:rsidRDefault="002B1181" w:rsidP="00AA577D">
            <w:pPr>
              <w:pStyle w:val="TableParagraph"/>
              <w:spacing w:line="223" w:lineRule="exact"/>
              <w:ind w:left="79"/>
              <w:rPr>
                <w:sz w:val="20"/>
                <w:szCs w:val="20"/>
                <w:lang w:val="es-ES"/>
              </w:rPr>
            </w:pPr>
            <w:r w:rsidRPr="000657C2">
              <w:rPr>
                <w:sz w:val="20"/>
                <w:szCs w:val="20"/>
                <w:lang w:val="es-ES"/>
              </w:rPr>
              <w:t>Rosa L.</w:t>
            </w:r>
          </w:p>
        </w:tc>
        <w:tc>
          <w:tcPr>
            <w:tcW w:w="1560" w:type="dxa"/>
            <w:shd w:val="clear" w:color="auto" w:fill="E4B8B7"/>
          </w:tcPr>
          <w:p w:rsidR="002B1181" w:rsidRPr="000657C2" w:rsidRDefault="002B1181" w:rsidP="00AA577D">
            <w:pPr>
              <w:pStyle w:val="TableParagraph"/>
              <w:spacing w:line="223" w:lineRule="exact"/>
              <w:ind w:left="73"/>
              <w:rPr>
                <w:sz w:val="20"/>
                <w:szCs w:val="20"/>
                <w:lang w:val="es-ES"/>
              </w:rPr>
            </w:pPr>
            <w:r w:rsidRPr="000657C2">
              <w:rPr>
                <w:sz w:val="20"/>
                <w:szCs w:val="20"/>
                <w:lang w:val="es-ES"/>
              </w:rPr>
              <w:t>ROSAA</w:t>
            </w:r>
          </w:p>
        </w:tc>
        <w:tc>
          <w:tcPr>
            <w:tcW w:w="2269" w:type="dxa"/>
            <w:shd w:val="clear" w:color="auto" w:fill="E4B8B7"/>
          </w:tcPr>
          <w:p w:rsidR="002B1181" w:rsidRPr="000657C2" w:rsidRDefault="002B1181" w:rsidP="00AA577D">
            <w:pPr>
              <w:pStyle w:val="TableParagraph"/>
              <w:spacing w:line="223" w:lineRule="exact"/>
              <w:ind w:left="73"/>
              <w:rPr>
                <w:sz w:val="20"/>
                <w:szCs w:val="20"/>
                <w:lang w:val="es-ES"/>
              </w:rPr>
            </w:pPr>
            <w:r w:rsidRPr="000657C2">
              <w:rPr>
                <w:sz w:val="20"/>
                <w:lang w:val="es-ES"/>
              </w:rPr>
              <w:t>Países Bajos</w:t>
            </w:r>
          </w:p>
        </w:tc>
      </w:tr>
      <w:tr w:rsidR="002B1181" w:rsidRPr="000657C2" w:rsidTr="00AA577D">
        <w:trPr>
          <w:trHeight w:val="268"/>
        </w:trPr>
        <w:tc>
          <w:tcPr>
            <w:tcW w:w="5094" w:type="dxa"/>
            <w:shd w:val="clear" w:color="auto" w:fill="E4B8B7"/>
          </w:tcPr>
          <w:p w:rsidR="002B1181" w:rsidRPr="000657C2" w:rsidRDefault="002B1181" w:rsidP="00AA577D">
            <w:pPr>
              <w:pStyle w:val="TableParagraph"/>
              <w:spacing w:before="8"/>
              <w:ind w:left="79"/>
              <w:rPr>
                <w:sz w:val="20"/>
                <w:szCs w:val="20"/>
                <w:lang w:val="es-ES"/>
              </w:rPr>
            </w:pPr>
            <w:proofErr w:type="spellStart"/>
            <w:r w:rsidRPr="000657C2">
              <w:rPr>
                <w:sz w:val="20"/>
                <w:szCs w:val="20"/>
                <w:lang w:val="es-ES"/>
              </w:rPr>
              <w:t>Solanum</w:t>
            </w:r>
            <w:proofErr w:type="spellEnd"/>
            <w:r w:rsidRPr="000657C2">
              <w:rPr>
                <w:sz w:val="20"/>
                <w:szCs w:val="20"/>
                <w:lang w:val="es-ES"/>
              </w:rPr>
              <w:t xml:space="preserve"> </w:t>
            </w:r>
            <w:proofErr w:type="spellStart"/>
            <w:r w:rsidRPr="000657C2">
              <w:rPr>
                <w:sz w:val="20"/>
                <w:szCs w:val="20"/>
                <w:lang w:val="es-ES"/>
              </w:rPr>
              <w:t>tuberosum</w:t>
            </w:r>
            <w:proofErr w:type="spellEnd"/>
            <w:r w:rsidRPr="000657C2">
              <w:rPr>
                <w:sz w:val="20"/>
                <w:szCs w:val="20"/>
                <w:lang w:val="es-ES"/>
              </w:rPr>
              <w:t xml:space="preserve"> L.</w:t>
            </w:r>
          </w:p>
        </w:tc>
        <w:tc>
          <w:tcPr>
            <w:tcW w:w="1560" w:type="dxa"/>
            <w:shd w:val="clear" w:color="auto" w:fill="E4B8B7"/>
          </w:tcPr>
          <w:p w:rsidR="002B1181" w:rsidRPr="000657C2" w:rsidRDefault="002B1181" w:rsidP="00AA577D">
            <w:pPr>
              <w:pStyle w:val="TableParagraph"/>
              <w:spacing w:before="8"/>
              <w:ind w:left="73"/>
              <w:rPr>
                <w:sz w:val="20"/>
                <w:szCs w:val="20"/>
                <w:lang w:val="es-ES"/>
              </w:rPr>
            </w:pPr>
            <w:r w:rsidRPr="000657C2">
              <w:rPr>
                <w:sz w:val="20"/>
                <w:szCs w:val="20"/>
                <w:lang w:val="es-ES"/>
              </w:rPr>
              <w:t>SOLAN_TUB</w:t>
            </w:r>
          </w:p>
        </w:tc>
        <w:tc>
          <w:tcPr>
            <w:tcW w:w="2269" w:type="dxa"/>
            <w:shd w:val="clear" w:color="auto" w:fill="E4B8B7"/>
          </w:tcPr>
          <w:p w:rsidR="002B1181" w:rsidRPr="000657C2" w:rsidRDefault="002B1181" w:rsidP="00AA577D">
            <w:pPr>
              <w:pStyle w:val="TableParagraph"/>
              <w:spacing w:before="8"/>
              <w:ind w:left="73"/>
              <w:rPr>
                <w:sz w:val="20"/>
                <w:szCs w:val="20"/>
                <w:lang w:val="es-ES"/>
              </w:rPr>
            </w:pPr>
            <w:r w:rsidRPr="000657C2">
              <w:rPr>
                <w:sz w:val="20"/>
                <w:szCs w:val="20"/>
                <w:lang w:val="es-ES"/>
              </w:rPr>
              <w:t>Australia</w:t>
            </w:r>
          </w:p>
        </w:tc>
      </w:tr>
    </w:tbl>
    <w:p w:rsidR="002B1181" w:rsidRPr="000657C2" w:rsidRDefault="002B1181" w:rsidP="002B1181">
      <w:pPr>
        <w:rPr>
          <w:rFonts w:cs="Arial"/>
          <w:lang w:val="es-ES"/>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5"/>
      </w:tblGrid>
      <w:tr w:rsidR="002B1181" w:rsidRPr="00424F8C" w:rsidTr="00AA577D">
        <w:trPr>
          <w:trHeight w:val="230"/>
        </w:trPr>
        <w:tc>
          <w:tcPr>
            <w:tcW w:w="4555" w:type="dxa"/>
            <w:shd w:val="clear" w:color="auto" w:fill="D5E2BB"/>
          </w:tcPr>
          <w:p w:rsidR="002B1181" w:rsidRPr="000657C2" w:rsidRDefault="002B1181" w:rsidP="00AA577D">
            <w:pPr>
              <w:pStyle w:val="TableParagraph"/>
              <w:spacing w:line="210" w:lineRule="exact"/>
              <w:rPr>
                <w:sz w:val="20"/>
                <w:szCs w:val="20"/>
                <w:lang w:val="es-ES"/>
              </w:rPr>
            </w:pPr>
            <w:r w:rsidRPr="000657C2">
              <w:rPr>
                <w:sz w:val="20"/>
                <w:szCs w:val="20"/>
                <w:lang w:val="es-ES"/>
              </w:rPr>
              <w:t>Acuerdos de cooperación en materia de examen</w:t>
            </w:r>
          </w:p>
        </w:tc>
      </w:tr>
      <w:tr w:rsidR="002B1181" w:rsidRPr="00424F8C" w:rsidTr="00AA577D">
        <w:trPr>
          <w:trHeight w:val="230"/>
        </w:trPr>
        <w:tc>
          <w:tcPr>
            <w:tcW w:w="4555" w:type="dxa"/>
            <w:shd w:val="clear" w:color="auto" w:fill="E4B8B7"/>
          </w:tcPr>
          <w:p w:rsidR="002B1181" w:rsidRPr="000657C2" w:rsidRDefault="002B1181" w:rsidP="00AA577D">
            <w:pPr>
              <w:rPr>
                <w:lang w:val="es-ES"/>
              </w:rPr>
            </w:pPr>
            <w:r w:rsidRPr="000657C2">
              <w:rPr>
                <w:lang w:val="es-ES"/>
              </w:rPr>
              <w:t>Utilización de informes de examen DHE existentes</w:t>
            </w:r>
          </w:p>
        </w:tc>
      </w:tr>
    </w:tbl>
    <w:p w:rsidR="002B1181" w:rsidRPr="000657C2" w:rsidRDefault="002B1181" w:rsidP="002B1181">
      <w:pPr>
        <w:spacing w:before="9"/>
        <w:rPr>
          <w:rFonts w:cs="Arial"/>
          <w:lang w:val="es-ES"/>
        </w:rPr>
      </w:pPr>
    </w:p>
    <w:p w:rsidR="002B1181" w:rsidRPr="000657C2" w:rsidRDefault="002B1181" w:rsidP="002B1181">
      <w:pPr>
        <w:rPr>
          <w:rFonts w:cs="Arial"/>
          <w:lang w:val="es-ES"/>
        </w:rPr>
      </w:pPr>
    </w:p>
    <w:p w:rsidR="002B1181" w:rsidRPr="000657C2" w:rsidRDefault="002B1181" w:rsidP="002B1181">
      <w:pPr>
        <w:rPr>
          <w:lang w:val="es-ES"/>
        </w:rPr>
      </w:pPr>
      <w:r w:rsidRPr="000657C2">
        <w:rPr>
          <w:lang w:val="es-ES"/>
        </w:rPr>
        <w:t>3.</w:t>
      </w:r>
      <w:r w:rsidRPr="000657C2">
        <w:rPr>
          <w:lang w:val="es-ES"/>
        </w:rPr>
        <w:tab/>
      </w:r>
      <w:r w:rsidRPr="000657C2">
        <w:rPr>
          <w:u w:val="single"/>
          <w:lang w:val="es-ES"/>
        </w:rPr>
        <w:t>Situación en el ámbito administrativo</w:t>
      </w:r>
      <w:r w:rsidRPr="000657C2">
        <w:rPr>
          <w:lang w:val="es-ES"/>
        </w:rPr>
        <w:t>: No hay novedades reseñables.</w:t>
      </w:r>
    </w:p>
    <w:p w:rsidR="002B1181" w:rsidRPr="000657C2" w:rsidRDefault="002B1181" w:rsidP="002B1181">
      <w:pPr>
        <w:rPr>
          <w:lang w:val="es-ES"/>
        </w:rPr>
      </w:pPr>
    </w:p>
    <w:p w:rsidR="002B1181" w:rsidRPr="000657C2" w:rsidRDefault="002B1181" w:rsidP="002B1181">
      <w:pPr>
        <w:rPr>
          <w:lang w:val="es-ES"/>
        </w:rPr>
      </w:pPr>
    </w:p>
    <w:p w:rsidR="002B1181" w:rsidRPr="000657C2" w:rsidRDefault="002B1181" w:rsidP="002B1181">
      <w:pPr>
        <w:rPr>
          <w:lang w:val="es-ES"/>
        </w:rPr>
      </w:pPr>
      <w:r w:rsidRPr="000657C2">
        <w:rPr>
          <w:lang w:val="es-ES"/>
        </w:rPr>
        <w:t>4.</w:t>
      </w:r>
      <w:r w:rsidRPr="000657C2">
        <w:rPr>
          <w:lang w:val="es-ES"/>
        </w:rPr>
        <w:tab/>
      </w:r>
      <w:r w:rsidRPr="000657C2">
        <w:rPr>
          <w:u w:val="single"/>
          <w:lang w:val="es-ES"/>
        </w:rPr>
        <w:t>Situación en el ámbito técnico</w:t>
      </w:r>
      <w:r w:rsidRPr="000657C2">
        <w:rPr>
          <w:lang w:val="es-ES"/>
        </w:rPr>
        <w:t>: No hay novedades reseñables.</w:t>
      </w:r>
    </w:p>
    <w:p w:rsidR="002B1181" w:rsidRPr="000657C2" w:rsidRDefault="002B1181" w:rsidP="002B1181">
      <w:pPr>
        <w:rPr>
          <w:lang w:val="es-ES"/>
        </w:rPr>
      </w:pPr>
    </w:p>
    <w:p w:rsidR="002B1181" w:rsidRPr="000657C2" w:rsidRDefault="002B1181" w:rsidP="002B1181">
      <w:pPr>
        <w:rPr>
          <w:lang w:val="es-ES"/>
        </w:rPr>
      </w:pPr>
    </w:p>
    <w:p w:rsidR="002B1181" w:rsidRPr="000657C2" w:rsidRDefault="002B1181" w:rsidP="002B1181">
      <w:pPr>
        <w:jc w:val="left"/>
        <w:rPr>
          <w:lang w:val="es-ES"/>
        </w:rPr>
      </w:pPr>
      <w:r w:rsidRPr="000657C2">
        <w:rPr>
          <w:lang w:val="es-ES"/>
        </w:rPr>
        <w:br w:type="page"/>
      </w:r>
    </w:p>
    <w:p w:rsidR="002B1181" w:rsidRPr="000657C2" w:rsidRDefault="002B1181" w:rsidP="002B1181">
      <w:pPr>
        <w:rPr>
          <w:u w:val="single"/>
          <w:lang w:val="es-ES"/>
        </w:rPr>
      </w:pPr>
      <w:r w:rsidRPr="000657C2">
        <w:rPr>
          <w:lang w:val="es-ES"/>
        </w:rPr>
        <w:lastRenderedPageBreak/>
        <w:t>5.</w:t>
      </w:r>
      <w:r w:rsidRPr="000657C2">
        <w:rPr>
          <w:lang w:val="es-ES"/>
        </w:rPr>
        <w:tab/>
      </w:r>
      <w:r w:rsidRPr="000657C2">
        <w:rPr>
          <w:u w:val="single"/>
          <w:lang w:val="es-ES"/>
        </w:rPr>
        <w:t>Actividades para la promoción de la protección de las obtenciones vegetales</w:t>
      </w:r>
    </w:p>
    <w:p w:rsidR="002B1181" w:rsidRPr="000657C2" w:rsidRDefault="002B1181" w:rsidP="002B1181">
      <w:pPr>
        <w:rPr>
          <w:sz w:val="16"/>
          <w:szCs w:val="16"/>
          <w:lang w:val="es-ES"/>
        </w:rPr>
      </w:pPr>
    </w:p>
    <w:tbl>
      <w:tblPr>
        <w:tblW w:w="100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firstRow="1" w:lastRow="1" w:firstColumn="1" w:lastColumn="1" w:noHBand="0" w:noVBand="0"/>
      </w:tblPr>
      <w:tblGrid>
        <w:gridCol w:w="1169"/>
        <w:gridCol w:w="1317"/>
        <w:gridCol w:w="1058"/>
        <w:gridCol w:w="1274"/>
        <w:gridCol w:w="1702"/>
        <w:gridCol w:w="2127"/>
        <w:gridCol w:w="1415"/>
      </w:tblGrid>
      <w:tr w:rsidR="002B1181" w:rsidRPr="00A1730F" w:rsidTr="002B1181">
        <w:tc>
          <w:tcPr>
            <w:tcW w:w="1169" w:type="dxa"/>
          </w:tcPr>
          <w:p w:rsidR="002B1181" w:rsidRPr="002B1181" w:rsidRDefault="002B1181" w:rsidP="002B1181">
            <w:pPr>
              <w:pStyle w:val="TableParagraph"/>
              <w:ind w:left="0"/>
              <w:rPr>
                <w:sz w:val="16"/>
                <w:szCs w:val="16"/>
                <w:lang w:val="es-ES"/>
              </w:rPr>
            </w:pPr>
            <w:r w:rsidRPr="002B1181">
              <w:rPr>
                <w:sz w:val="16"/>
                <w:szCs w:val="16"/>
                <w:lang w:val="es-ES"/>
              </w:rPr>
              <w:t>Título de la actividad</w:t>
            </w:r>
          </w:p>
        </w:tc>
        <w:tc>
          <w:tcPr>
            <w:tcW w:w="1317" w:type="dxa"/>
          </w:tcPr>
          <w:p w:rsidR="002B1181" w:rsidRPr="002B1181" w:rsidRDefault="002B1181" w:rsidP="002B1181">
            <w:pPr>
              <w:pStyle w:val="TableParagraph"/>
              <w:ind w:left="0"/>
              <w:rPr>
                <w:sz w:val="16"/>
                <w:szCs w:val="16"/>
                <w:lang w:val="es-ES"/>
              </w:rPr>
            </w:pPr>
            <w:r w:rsidRPr="002B1181">
              <w:rPr>
                <w:sz w:val="16"/>
                <w:szCs w:val="16"/>
                <w:lang w:val="es-ES"/>
              </w:rPr>
              <w:t>Fecha</w:t>
            </w:r>
          </w:p>
        </w:tc>
        <w:tc>
          <w:tcPr>
            <w:tcW w:w="1058" w:type="dxa"/>
          </w:tcPr>
          <w:p w:rsidR="002B1181" w:rsidRPr="002B1181" w:rsidRDefault="002B1181" w:rsidP="002B1181">
            <w:pPr>
              <w:pStyle w:val="TableParagraph"/>
              <w:ind w:left="0"/>
              <w:rPr>
                <w:sz w:val="16"/>
                <w:szCs w:val="16"/>
                <w:lang w:val="es-ES"/>
              </w:rPr>
            </w:pPr>
            <w:r w:rsidRPr="002B1181">
              <w:rPr>
                <w:sz w:val="16"/>
                <w:szCs w:val="16"/>
                <w:lang w:val="es-ES"/>
              </w:rPr>
              <w:t>Lugar</w:t>
            </w:r>
          </w:p>
        </w:tc>
        <w:tc>
          <w:tcPr>
            <w:tcW w:w="1274" w:type="dxa"/>
          </w:tcPr>
          <w:p w:rsidR="002B1181" w:rsidRPr="002B1181" w:rsidRDefault="002B1181" w:rsidP="002B1181">
            <w:pPr>
              <w:pStyle w:val="TableParagraph"/>
              <w:ind w:left="0"/>
              <w:rPr>
                <w:sz w:val="16"/>
                <w:szCs w:val="16"/>
                <w:lang w:val="es-ES"/>
              </w:rPr>
            </w:pPr>
            <w:r w:rsidRPr="002B1181">
              <w:rPr>
                <w:sz w:val="16"/>
                <w:szCs w:val="16"/>
                <w:lang w:val="es-ES"/>
              </w:rPr>
              <w:t>Organizador(es)</w:t>
            </w:r>
          </w:p>
        </w:tc>
        <w:tc>
          <w:tcPr>
            <w:tcW w:w="1702" w:type="dxa"/>
          </w:tcPr>
          <w:p w:rsidR="002B1181" w:rsidRPr="002B1181" w:rsidRDefault="002B1181" w:rsidP="002B1181">
            <w:pPr>
              <w:pStyle w:val="TableParagraph"/>
              <w:ind w:left="0"/>
              <w:rPr>
                <w:sz w:val="16"/>
                <w:szCs w:val="16"/>
                <w:lang w:val="es-ES"/>
              </w:rPr>
            </w:pPr>
            <w:r w:rsidRPr="002B1181">
              <w:rPr>
                <w:sz w:val="16"/>
                <w:szCs w:val="16"/>
                <w:lang w:val="es-ES"/>
              </w:rPr>
              <w:t>Finalidad de la actividad</w:t>
            </w:r>
          </w:p>
        </w:tc>
        <w:tc>
          <w:tcPr>
            <w:tcW w:w="2127" w:type="dxa"/>
          </w:tcPr>
          <w:p w:rsidR="002B1181" w:rsidRPr="002B1181" w:rsidRDefault="002B1181" w:rsidP="002B1181">
            <w:pPr>
              <w:pStyle w:val="TableParagraph"/>
              <w:ind w:left="0"/>
              <w:rPr>
                <w:sz w:val="16"/>
                <w:szCs w:val="16"/>
                <w:lang w:val="es-ES"/>
              </w:rPr>
            </w:pPr>
            <w:r w:rsidRPr="002B1181">
              <w:rPr>
                <w:sz w:val="16"/>
                <w:szCs w:val="16"/>
                <w:lang w:val="es-ES"/>
              </w:rPr>
              <w:t>Países/organizaciones participantes (número de participantes en cada caso)</w:t>
            </w:r>
          </w:p>
        </w:tc>
        <w:tc>
          <w:tcPr>
            <w:tcW w:w="1415" w:type="dxa"/>
          </w:tcPr>
          <w:p w:rsidR="002B1181" w:rsidRPr="002B1181" w:rsidRDefault="002B1181" w:rsidP="002B1181">
            <w:pPr>
              <w:pStyle w:val="TableParagraph"/>
              <w:ind w:left="0"/>
              <w:rPr>
                <w:sz w:val="16"/>
                <w:szCs w:val="16"/>
                <w:lang w:val="es-ES"/>
              </w:rPr>
            </w:pPr>
            <w:r w:rsidRPr="002B1181">
              <w:rPr>
                <w:sz w:val="16"/>
                <w:szCs w:val="16"/>
                <w:lang w:val="es-ES"/>
              </w:rPr>
              <w:t>Observaciones</w:t>
            </w:r>
          </w:p>
        </w:tc>
      </w:tr>
      <w:tr w:rsidR="002B1181" w:rsidRPr="00424F8C" w:rsidTr="002B1181">
        <w:tc>
          <w:tcPr>
            <w:tcW w:w="1169" w:type="dxa"/>
          </w:tcPr>
          <w:p w:rsidR="002B1181" w:rsidRPr="002B1181" w:rsidRDefault="002B1181" w:rsidP="002B1181">
            <w:pPr>
              <w:pStyle w:val="TableParagraph"/>
              <w:ind w:left="0"/>
              <w:rPr>
                <w:sz w:val="16"/>
                <w:szCs w:val="16"/>
                <w:lang w:val="es-ES"/>
              </w:rPr>
            </w:pPr>
            <w:r w:rsidRPr="002B1181">
              <w:rPr>
                <w:sz w:val="16"/>
                <w:szCs w:val="16"/>
                <w:lang w:val="es-ES"/>
              </w:rPr>
              <w:t>1. La protección de las obtenciones vegetales en el Brasil</w:t>
            </w:r>
          </w:p>
        </w:tc>
        <w:tc>
          <w:tcPr>
            <w:tcW w:w="1317" w:type="dxa"/>
          </w:tcPr>
          <w:p w:rsidR="002B1181" w:rsidRPr="002B1181" w:rsidRDefault="002B1181" w:rsidP="002B1181">
            <w:pPr>
              <w:pStyle w:val="TableParagraph"/>
              <w:ind w:left="0"/>
              <w:rPr>
                <w:sz w:val="16"/>
                <w:szCs w:val="16"/>
                <w:lang w:val="es-ES"/>
              </w:rPr>
            </w:pPr>
            <w:r w:rsidRPr="002B1181">
              <w:rPr>
                <w:sz w:val="16"/>
                <w:szCs w:val="16"/>
                <w:lang w:val="es-ES"/>
              </w:rPr>
              <w:t>11 de noviembre de 2020</w:t>
            </w:r>
          </w:p>
        </w:tc>
        <w:tc>
          <w:tcPr>
            <w:tcW w:w="1058" w:type="dxa"/>
          </w:tcPr>
          <w:p w:rsidR="002B1181" w:rsidRPr="002B1181" w:rsidRDefault="002B1181" w:rsidP="002B1181">
            <w:pPr>
              <w:pStyle w:val="TableParagraph"/>
              <w:ind w:left="0"/>
              <w:rPr>
                <w:sz w:val="16"/>
                <w:szCs w:val="16"/>
                <w:lang w:val="es-ES"/>
              </w:rPr>
            </w:pPr>
            <w:r w:rsidRPr="002B1181">
              <w:rPr>
                <w:sz w:val="16"/>
                <w:szCs w:val="16"/>
                <w:lang w:val="es-ES"/>
              </w:rPr>
              <w:t xml:space="preserve">Presentación por Internet (disponible en </w:t>
            </w:r>
            <w:proofErr w:type="spellStart"/>
            <w:r w:rsidRPr="002B1181">
              <w:rPr>
                <w:sz w:val="16"/>
                <w:szCs w:val="16"/>
                <w:lang w:val="es-ES"/>
              </w:rPr>
              <w:t>youtube</w:t>
            </w:r>
            <w:proofErr w:type="spellEnd"/>
            <w:r w:rsidRPr="002B1181">
              <w:rPr>
                <w:sz w:val="16"/>
                <w:szCs w:val="16"/>
                <w:lang w:val="es-ES"/>
              </w:rPr>
              <w:t xml:space="preserve"> </w:t>
            </w:r>
            <w:hyperlink r:id="rId12">
              <w:r w:rsidRPr="002B1181">
                <w:rPr>
                  <w:color w:val="800080"/>
                  <w:sz w:val="16"/>
                  <w:szCs w:val="16"/>
                  <w:u w:val="single" w:color="800080"/>
                  <w:lang w:val="es-ES"/>
                </w:rPr>
                <w:t>https://yout</w:t>
              </w:r>
            </w:hyperlink>
            <w:r w:rsidRPr="002B1181">
              <w:rPr>
                <w:sz w:val="16"/>
                <w:szCs w:val="16"/>
                <w:lang w:val="es-ES"/>
              </w:rPr>
              <w:t xml:space="preserve"> </w:t>
            </w:r>
            <w:hyperlink r:id="rId13">
              <w:r w:rsidRPr="002B1181">
                <w:rPr>
                  <w:color w:val="800080"/>
                  <w:sz w:val="16"/>
                  <w:szCs w:val="16"/>
                  <w:u w:val="single" w:color="800080"/>
                  <w:lang w:val="es-ES"/>
                </w:rPr>
                <w:t>u.be/S9J5</w:t>
              </w:r>
            </w:hyperlink>
            <w:r w:rsidRPr="002B1181">
              <w:rPr>
                <w:sz w:val="16"/>
                <w:szCs w:val="16"/>
                <w:lang w:val="es-ES"/>
              </w:rPr>
              <w:t xml:space="preserve"> </w:t>
            </w:r>
            <w:hyperlink r:id="rId14">
              <w:proofErr w:type="spellStart"/>
              <w:r w:rsidRPr="002B1181">
                <w:rPr>
                  <w:color w:val="800080"/>
                  <w:sz w:val="16"/>
                  <w:szCs w:val="16"/>
                  <w:u w:val="single" w:color="800080"/>
                  <w:lang w:val="es-ES"/>
                </w:rPr>
                <w:t>atZWZYo</w:t>
              </w:r>
              <w:proofErr w:type="spellEnd"/>
              <w:r w:rsidRPr="002B1181">
                <w:rPr>
                  <w:color w:val="800080"/>
                  <w:sz w:val="16"/>
                  <w:szCs w:val="16"/>
                  <w:lang w:val="es-ES"/>
                </w:rPr>
                <w:t xml:space="preserve"> </w:t>
              </w:r>
            </w:hyperlink>
            <w:r w:rsidRPr="002B1181">
              <w:rPr>
                <w:sz w:val="16"/>
                <w:szCs w:val="16"/>
                <w:lang w:val="es-ES"/>
              </w:rPr>
              <w:t>)</w:t>
            </w:r>
          </w:p>
        </w:tc>
        <w:tc>
          <w:tcPr>
            <w:tcW w:w="1274" w:type="dxa"/>
          </w:tcPr>
          <w:p w:rsidR="002B1181" w:rsidRPr="002B1181" w:rsidRDefault="002B1181" w:rsidP="002B1181">
            <w:pPr>
              <w:pStyle w:val="TableParagraph"/>
              <w:ind w:left="0"/>
              <w:rPr>
                <w:rFonts w:ascii="Times New Roman"/>
                <w:sz w:val="16"/>
                <w:szCs w:val="16"/>
                <w:lang w:val="es-ES"/>
              </w:rPr>
            </w:pPr>
            <w:r w:rsidRPr="002B1181">
              <w:rPr>
                <w:sz w:val="16"/>
                <w:szCs w:val="16"/>
                <w:lang w:val="es-ES"/>
              </w:rPr>
              <w:t>Universidad Federal de Paraná</w:t>
            </w:r>
          </w:p>
        </w:tc>
        <w:tc>
          <w:tcPr>
            <w:tcW w:w="1702" w:type="dxa"/>
          </w:tcPr>
          <w:p w:rsidR="002B1181" w:rsidRPr="002B1181" w:rsidRDefault="002B1181" w:rsidP="002B1181">
            <w:pPr>
              <w:pStyle w:val="TableParagraph"/>
              <w:ind w:left="0"/>
              <w:rPr>
                <w:sz w:val="16"/>
                <w:szCs w:val="16"/>
                <w:lang w:val="es-ES"/>
              </w:rPr>
            </w:pPr>
            <w:r w:rsidRPr="002B1181">
              <w:rPr>
                <w:sz w:val="16"/>
                <w:szCs w:val="16"/>
                <w:lang w:val="es-ES"/>
              </w:rPr>
              <w:t>Curso general sobre gestión de la innovación con un módulo dedicado a la protección de las obtenciones vegetales</w:t>
            </w:r>
          </w:p>
        </w:tc>
        <w:tc>
          <w:tcPr>
            <w:tcW w:w="2127" w:type="dxa"/>
          </w:tcPr>
          <w:p w:rsidR="002B1181" w:rsidRPr="002B1181" w:rsidRDefault="002B1181" w:rsidP="002B1181">
            <w:pPr>
              <w:pStyle w:val="TableParagraph"/>
              <w:ind w:left="0"/>
              <w:rPr>
                <w:sz w:val="16"/>
                <w:szCs w:val="16"/>
                <w:lang w:val="es-ES"/>
              </w:rPr>
            </w:pPr>
            <w:r w:rsidRPr="002B1181">
              <w:rPr>
                <w:sz w:val="16"/>
                <w:szCs w:val="16"/>
                <w:lang w:val="es-ES"/>
              </w:rPr>
              <w:t>Brasil (806 visionados hasta el 27 de agosto de 2021)</w:t>
            </w:r>
          </w:p>
        </w:tc>
        <w:tc>
          <w:tcPr>
            <w:tcW w:w="1415" w:type="dxa"/>
          </w:tcPr>
          <w:p w:rsidR="002B1181" w:rsidRPr="002B1181" w:rsidRDefault="002B1181" w:rsidP="002B1181">
            <w:pPr>
              <w:pStyle w:val="TableParagraph"/>
              <w:ind w:left="0"/>
              <w:rPr>
                <w:rFonts w:ascii="Times New Roman"/>
                <w:sz w:val="16"/>
                <w:szCs w:val="16"/>
                <w:lang w:val="es-ES"/>
              </w:rPr>
            </w:pPr>
          </w:p>
        </w:tc>
      </w:tr>
      <w:tr w:rsidR="002B1181" w:rsidRPr="00424F8C" w:rsidTr="002B1181">
        <w:tc>
          <w:tcPr>
            <w:tcW w:w="1169" w:type="dxa"/>
          </w:tcPr>
          <w:p w:rsidR="002B1181" w:rsidRPr="002B1181" w:rsidRDefault="002B1181" w:rsidP="002B1181">
            <w:pPr>
              <w:pStyle w:val="TableParagraph"/>
              <w:ind w:left="0"/>
              <w:rPr>
                <w:sz w:val="16"/>
                <w:szCs w:val="16"/>
                <w:lang w:val="es-ES"/>
              </w:rPr>
            </w:pPr>
            <w:r w:rsidRPr="002B1181">
              <w:rPr>
                <w:sz w:val="16"/>
                <w:szCs w:val="16"/>
                <w:lang w:val="es-ES"/>
              </w:rPr>
              <w:t>2. La protección de las obtenciones vegetales en el Brasil – Cursos de verano de la OMPI – La PI y el sector agroalimentario</w:t>
            </w:r>
          </w:p>
        </w:tc>
        <w:tc>
          <w:tcPr>
            <w:tcW w:w="1317" w:type="dxa"/>
          </w:tcPr>
          <w:p w:rsidR="002B1181" w:rsidRPr="002B1181" w:rsidRDefault="002B1181" w:rsidP="002B1181">
            <w:pPr>
              <w:pStyle w:val="TableParagraph"/>
              <w:ind w:left="0"/>
              <w:rPr>
                <w:sz w:val="16"/>
                <w:szCs w:val="16"/>
                <w:lang w:val="es-ES"/>
              </w:rPr>
            </w:pPr>
            <w:r w:rsidRPr="002B1181">
              <w:rPr>
                <w:sz w:val="16"/>
                <w:szCs w:val="16"/>
                <w:lang w:val="es-ES"/>
              </w:rPr>
              <w:t>14 de enero de 2021</w:t>
            </w:r>
          </w:p>
        </w:tc>
        <w:tc>
          <w:tcPr>
            <w:tcW w:w="1058" w:type="dxa"/>
          </w:tcPr>
          <w:p w:rsidR="002B1181" w:rsidRPr="002B1181" w:rsidRDefault="002B1181" w:rsidP="002B1181">
            <w:pPr>
              <w:pStyle w:val="TableParagraph"/>
              <w:ind w:left="0"/>
              <w:rPr>
                <w:sz w:val="16"/>
                <w:szCs w:val="16"/>
                <w:lang w:val="es-ES"/>
              </w:rPr>
            </w:pPr>
            <w:r w:rsidRPr="002B1181">
              <w:rPr>
                <w:sz w:val="16"/>
                <w:szCs w:val="16"/>
                <w:lang w:val="es-ES"/>
              </w:rPr>
              <w:t xml:space="preserve">Evento por Internet (disponible en </w:t>
            </w:r>
            <w:proofErr w:type="spellStart"/>
            <w:r w:rsidRPr="002B1181">
              <w:rPr>
                <w:sz w:val="16"/>
                <w:szCs w:val="16"/>
                <w:lang w:val="es-ES"/>
              </w:rPr>
              <w:t>youtube</w:t>
            </w:r>
            <w:proofErr w:type="spellEnd"/>
            <w:r w:rsidRPr="002B1181">
              <w:rPr>
                <w:sz w:val="16"/>
                <w:szCs w:val="16"/>
                <w:lang w:val="es-ES"/>
              </w:rPr>
              <w:t xml:space="preserve"> </w:t>
            </w:r>
            <w:hyperlink r:id="rId15">
              <w:r w:rsidRPr="002B1181">
                <w:rPr>
                  <w:color w:val="800080"/>
                  <w:sz w:val="16"/>
                  <w:szCs w:val="16"/>
                  <w:u w:val="single" w:color="800080"/>
                  <w:lang w:val="es-ES"/>
                </w:rPr>
                <w:t>https://yout</w:t>
              </w:r>
            </w:hyperlink>
            <w:r w:rsidRPr="002B1181">
              <w:rPr>
                <w:sz w:val="16"/>
                <w:szCs w:val="16"/>
                <w:lang w:val="es-ES"/>
              </w:rPr>
              <w:t xml:space="preserve"> </w:t>
            </w:r>
            <w:hyperlink r:id="rId16">
              <w:r w:rsidRPr="002B1181">
                <w:rPr>
                  <w:color w:val="800080"/>
                  <w:sz w:val="16"/>
                  <w:szCs w:val="16"/>
                  <w:u w:val="single" w:color="800080"/>
                  <w:lang w:val="es-ES"/>
                </w:rPr>
                <w:t>u.be/</w:t>
              </w:r>
              <w:proofErr w:type="spellStart"/>
              <w:r w:rsidRPr="002B1181">
                <w:rPr>
                  <w:color w:val="800080"/>
                  <w:sz w:val="16"/>
                  <w:szCs w:val="16"/>
                  <w:u w:val="single" w:color="800080"/>
                  <w:lang w:val="es-ES"/>
                </w:rPr>
                <w:t>ATgTt</w:t>
              </w:r>
              <w:proofErr w:type="spellEnd"/>
            </w:hyperlink>
            <w:r w:rsidRPr="002B1181">
              <w:rPr>
                <w:sz w:val="16"/>
                <w:szCs w:val="16"/>
                <w:lang w:val="es-ES"/>
              </w:rPr>
              <w:t xml:space="preserve"> </w:t>
            </w:r>
            <w:hyperlink r:id="rId17">
              <w:proofErr w:type="spellStart"/>
              <w:r w:rsidRPr="002B1181">
                <w:rPr>
                  <w:color w:val="800080"/>
                  <w:sz w:val="16"/>
                  <w:szCs w:val="16"/>
                  <w:u w:val="single" w:color="800080"/>
                  <w:lang w:val="es-ES"/>
                </w:rPr>
                <w:t>FiLAiA</w:t>
              </w:r>
              <w:proofErr w:type="spellEnd"/>
              <w:r w:rsidRPr="002B1181">
                <w:rPr>
                  <w:color w:val="800080"/>
                  <w:sz w:val="16"/>
                  <w:szCs w:val="16"/>
                  <w:lang w:val="es-ES"/>
                </w:rPr>
                <w:t xml:space="preserve"> </w:t>
              </w:r>
            </w:hyperlink>
            <w:r w:rsidRPr="002B1181">
              <w:rPr>
                <w:sz w:val="16"/>
                <w:szCs w:val="16"/>
                <w:lang w:val="es-ES"/>
              </w:rPr>
              <w:t>)</w:t>
            </w:r>
          </w:p>
        </w:tc>
        <w:tc>
          <w:tcPr>
            <w:tcW w:w="1274" w:type="dxa"/>
          </w:tcPr>
          <w:p w:rsidR="002B1181" w:rsidRPr="002B1181" w:rsidRDefault="002B1181" w:rsidP="002B1181">
            <w:pPr>
              <w:pStyle w:val="TableParagraph"/>
              <w:ind w:left="0"/>
              <w:rPr>
                <w:sz w:val="16"/>
                <w:szCs w:val="16"/>
                <w:lang w:val="es-ES"/>
              </w:rPr>
            </w:pPr>
            <w:r w:rsidRPr="002B1181">
              <w:rPr>
                <w:sz w:val="16"/>
                <w:szCs w:val="16"/>
                <w:lang w:val="es-ES"/>
              </w:rPr>
              <w:t xml:space="preserve">INPI (oficina de patentes y marcas) </w:t>
            </w:r>
            <w:proofErr w:type="spellStart"/>
            <w:r w:rsidRPr="002B1181">
              <w:rPr>
                <w:i/>
                <w:sz w:val="16"/>
                <w:szCs w:val="16"/>
                <w:lang w:val="es-ES"/>
              </w:rPr>
              <w:t>Associação</w:t>
            </w:r>
            <w:proofErr w:type="spellEnd"/>
            <w:r w:rsidRPr="002B1181">
              <w:rPr>
                <w:i/>
                <w:sz w:val="16"/>
                <w:szCs w:val="16"/>
                <w:lang w:val="es-ES"/>
              </w:rPr>
              <w:t xml:space="preserve"> Brasileira da </w:t>
            </w:r>
            <w:proofErr w:type="spellStart"/>
            <w:r w:rsidRPr="002B1181">
              <w:rPr>
                <w:i/>
                <w:sz w:val="16"/>
                <w:szCs w:val="16"/>
                <w:lang w:val="es-ES"/>
              </w:rPr>
              <w:t>Propriedade</w:t>
            </w:r>
            <w:proofErr w:type="spellEnd"/>
            <w:r w:rsidRPr="002B1181">
              <w:rPr>
                <w:i/>
                <w:sz w:val="16"/>
                <w:szCs w:val="16"/>
                <w:lang w:val="es-ES"/>
              </w:rPr>
              <w:t xml:space="preserve"> Intelectual</w:t>
            </w:r>
            <w:r w:rsidRPr="002B1181">
              <w:rPr>
                <w:sz w:val="16"/>
                <w:szCs w:val="16"/>
                <w:lang w:val="es-ES"/>
              </w:rPr>
              <w:t xml:space="preserve"> (ABPI)</w:t>
            </w:r>
          </w:p>
        </w:tc>
        <w:tc>
          <w:tcPr>
            <w:tcW w:w="1702" w:type="dxa"/>
          </w:tcPr>
          <w:p w:rsidR="002B1181" w:rsidRPr="002B1181" w:rsidRDefault="002B1181" w:rsidP="002B1181">
            <w:pPr>
              <w:pStyle w:val="TableParagraph"/>
              <w:ind w:left="0"/>
              <w:rPr>
                <w:sz w:val="16"/>
                <w:szCs w:val="16"/>
                <w:lang w:val="es-ES"/>
              </w:rPr>
            </w:pPr>
            <w:r w:rsidRPr="002B1181">
              <w:rPr>
                <w:sz w:val="16"/>
                <w:szCs w:val="16"/>
                <w:lang w:val="es-ES"/>
              </w:rPr>
              <w:t>Información básica sobre la protección de las obtenciones vegetales para abogados y representantes legales especializados en PI y otros profesionales relacionados con la materia</w:t>
            </w:r>
          </w:p>
        </w:tc>
        <w:tc>
          <w:tcPr>
            <w:tcW w:w="2127" w:type="dxa"/>
          </w:tcPr>
          <w:p w:rsidR="002B1181" w:rsidRPr="002B1181" w:rsidRDefault="002B1181" w:rsidP="002B1181">
            <w:pPr>
              <w:pStyle w:val="TableParagraph"/>
              <w:ind w:left="0"/>
              <w:rPr>
                <w:sz w:val="16"/>
                <w:szCs w:val="16"/>
                <w:lang w:val="es-ES"/>
              </w:rPr>
            </w:pPr>
            <w:r w:rsidRPr="002B1181">
              <w:rPr>
                <w:sz w:val="16"/>
                <w:szCs w:val="16"/>
                <w:lang w:val="es-ES"/>
              </w:rPr>
              <w:t>Brasil (722 visionados hasta el 27 de agosto de 2021)</w:t>
            </w:r>
          </w:p>
        </w:tc>
        <w:tc>
          <w:tcPr>
            <w:tcW w:w="1415" w:type="dxa"/>
          </w:tcPr>
          <w:p w:rsidR="002B1181" w:rsidRPr="002B1181" w:rsidRDefault="002B1181" w:rsidP="002B1181">
            <w:pPr>
              <w:pStyle w:val="TableParagraph"/>
              <w:ind w:left="0"/>
              <w:rPr>
                <w:rFonts w:ascii="Times New Roman"/>
                <w:sz w:val="16"/>
                <w:szCs w:val="16"/>
                <w:lang w:val="es-ES"/>
              </w:rPr>
            </w:pPr>
          </w:p>
        </w:tc>
      </w:tr>
      <w:tr w:rsidR="002B1181" w:rsidRPr="00424F8C" w:rsidTr="002B1181">
        <w:tc>
          <w:tcPr>
            <w:tcW w:w="1169" w:type="dxa"/>
          </w:tcPr>
          <w:p w:rsidR="002B1181" w:rsidRPr="002B1181" w:rsidRDefault="002B1181" w:rsidP="002B1181">
            <w:pPr>
              <w:pStyle w:val="TableParagraph"/>
              <w:ind w:left="0"/>
              <w:rPr>
                <w:sz w:val="16"/>
                <w:szCs w:val="16"/>
                <w:lang w:val="es-ES"/>
              </w:rPr>
            </w:pPr>
            <w:r w:rsidRPr="002B1181">
              <w:rPr>
                <w:sz w:val="16"/>
                <w:szCs w:val="16"/>
                <w:lang w:val="es-ES"/>
              </w:rPr>
              <w:t>3. La protección de las obtenciones vegetales</w:t>
            </w:r>
          </w:p>
        </w:tc>
        <w:tc>
          <w:tcPr>
            <w:tcW w:w="1317" w:type="dxa"/>
          </w:tcPr>
          <w:p w:rsidR="002B1181" w:rsidRPr="002B1181" w:rsidRDefault="002B1181" w:rsidP="002B1181">
            <w:pPr>
              <w:pStyle w:val="TableParagraph"/>
              <w:ind w:left="0"/>
              <w:rPr>
                <w:sz w:val="16"/>
                <w:szCs w:val="16"/>
                <w:lang w:val="es-ES"/>
              </w:rPr>
            </w:pPr>
            <w:r w:rsidRPr="002B1181">
              <w:rPr>
                <w:sz w:val="16"/>
                <w:szCs w:val="16"/>
                <w:lang w:val="es-ES"/>
              </w:rPr>
              <w:t>30 de julio de 2021</w:t>
            </w:r>
          </w:p>
        </w:tc>
        <w:tc>
          <w:tcPr>
            <w:tcW w:w="1058" w:type="dxa"/>
          </w:tcPr>
          <w:p w:rsidR="002B1181" w:rsidRPr="002B1181" w:rsidRDefault="002B1181" w:rsidP="002B1181">
            <w:pPr>
              <w:pStyle w:val="TableParagraph"/>
              <w:ind w:left="0"/>
              <w:rPr>
                <w:sz w:val="16"/>
                <w:szCs w:val="16"/>
                <w:lang w:val="es-ES"/>
              </w:rPr>
            </w:pPr>
            <w:r w:rsidRPr="002B1181">
              <w:rPr>
                <w:sz w:val="16"/>
                <w:szCs w:val="16"/>
                <w:lang w:val="es-ES"/>
              </w:rPr>
              <w:t xml:space="preserve">Evento por Internet (disponible en el canal de </w:t>
            </w:r>
            <w:proofErr w:type="spellStart"/>
            <w:r w:rsidRPr="002B1181">
              <w:rPr>
                <w:sz w:val="16"/>
                <w:szCs w:val="16"/>
                <w:lang w:val="es-ES"/>
              </w:rPr>
              <w:t>youtube</w:t>
            </w:r>
            <w:proofErr w:type="spellEnd"/>
            <w:r w:rsidRPr="002B1181">
              <w:rPr>
                <w:sz w:val="16"/>
                <w:szCs w:val="16"/>
                <w:lang w:val="es-ES"/>
              </w:rPr>
              <w:t xml:space="preserve"> del Ministerio </w:t>
            </w:r>
            <w:hyperlink r:id="rId18">
              <w:r w:rsidRPr="002B1181">
                <w:rPr>
                  <w:color w:val="800080"/>
                  <w:sz w:val="16"/>
                  <w:szCs w:val="16"/>
                  <w:u w:val="single" w:color="800080"/>
                  <w:lang w:val="es-ES"/>
                </w:rPr>
                <w:t>https://yout</w:t>
              </w:r>
            </w:hyperlink>
            <w:r w:rsidRPr="002B1181">
              <w:rPr>
                <w:sz w:val="16"/>
                <w:szCs w:val="16"/>
                <w:lang w:val="es-ES"/>
              </w:rPr>
              <w:t xml:space="preserve"> </w:t>
            </w:r>
            <w:hyperlink r:id="rId19">
              <w:r w:rsidRPr="002B1181">
                <w:rPr>
                  <w:color w:val="800080"/>
                  <w:sz w:val="16"/>
                  <w:szCs w:val="16"/>
                  <w:u w:val="single" w:color="800080"/>
                  <w:lang w:val="es-ES"/>
                </w:rPr>
                <w:t>u.be/</w:t>
              </w:r>
              <w:proofErr w:type="spellStart"/>
              <w:r w:rsidRPr="002B1181">
                <w:rPr>
                  <w:color w:val="800080"/>
                  <w:sz w:val="16"/>
                  <w:szCs w:val="16"/>
                  <w:u w:val="single" w:color="800080"/>
                  <w:lang w:val="es-ES"/>
                </w:rPr>
                <w:t>GRM</w:t>
              </w:r>
              <w:r w:rsidRPr="002B1181">
                <w:rPr>
                  <w:color w:val="800080"/>
                  <w:sz w:val="16"/>
                  <w:szCs w:val="16"/>
                  <w:lang w:val="es-ES"/>
                </w:rPr>
                <w:t>l</w:t>
              </w:r>
              <w:proofErr w:type="spellEnd"/>
            </w:hyperlink>
            <w:r w:rsidRPr="002B1181">
              <w:rPr>
                <w:sz w:val="16"/>
                <w:szCs w:val="16"/>
                <w:lang w:val="es-ES"/>
              </w:rPr>
              <w:t xml:space="preserve"> </w:t>
            </w:r>
            <w:hyperlink r:id="rId20">
              <w:proofErr w:type="spellStart"/>
              <w:r w:rsidRPr="002B1181">
                <w:rPr>
                  <w:color w:val="800080"/>
                  <w:sz w:val="16"/>
                  <w:szCs w:val="16"/>
                  <w:u w:val="single" w:color="800080"/>
                  <w:lang w:val="es-ES"/>
                </w:rPr>
                <w:t>PeLhLSo</w:t>
              </w:r>
              <w:proofErr w:type="spellEnd"/>
            </w:hyperlink>
            <w:r w:rsidRPr="002B1181">
              <w:rPr>
                <w:color w:val="800080"/>
                <w:sz w:val="16"/>
                <w:szCs w:val="16"/>
                <w:lang w:val="es-ES"/>
              </w:rPr>
              <w:t xml:space="preserve"> </w:t>
            </w:r>
            <w:r w:rsidRPr="002B1181">
              <w:rPr>
                <w:sz w:val="16"/>
                <w:szCs w:val="16"/>
                <w:lang w:val="es-ES"/>
              </w:rPr>
              <w:t>)</w:t>
            </w:r>
          </w:p>
        </w:tc>
        <w:tc>
          <w:tcPr>
            <w:tcW w:w="1274" w:type="dxa"/>
          </w:tcPr>
          <w:p w:rsidR="002B1181" w:rsidRPr="002B1181" w:rsidRDefault="002B1181" w:rsidP="002B1181">
            <w:pPr>
              <w:pStyle w:val="TableParagraph"/>
              <w:ind w:left="0"/>
              <w:rPr>
                <w:sz w:val="16"/>
                <w:szCs w:val="16"/>
                <w:lang w:val="es-ES"/>
              </w:rPr>
            </w:pPr>
            <w:r w:rsidRPr="002B1181">
              <w:rPr>
                <w:sz w:val="16"/>
                <w:szCs w:val="16"/>
                <w:lang w:val="es-ES"/>
              </w:rPr>
              <w:t>Ministerio de Agricultura, Ganadería y Abastecimiento</w:t>
            </w:r>
          </w:p>
        </w:tc>
        <w:tc>
          <w:tcPr>
            <w:tcW w:w="1702" w:type="dxa"/>
          </w:tcPr>
          <w:p w:rsidR="002B1181" w:rsidRPr="002B1181" w:rsidRDefault="002B1181" w:rsidP="002B1181">
            <w:pPr>
              <w:pStyle w:val="TableParagraph"/>
              <w:ind w:left="0"/>
              <w:rPr>
                <w:sz w:val="16"/>
                <w:szCs w:val="16"/>
                <w:lang w:val="es-ES"/>
              </w:rPr>
            </w:pPr>
            <w:r w:rsidRPr="002B1181">
              <w:rPr>
                <w:sz w:val="16"/>
                <w:szCs w:val="16"/>
                <w:lang w:val="es-ES"/>
              </w:rPr>
              <w:t>Información básica sobre la protección de las obtenciones vegetales</w:t>
            </w:r>
          </w:p>
        </w:tc>
        <w:tc>
          <w:tcPr>
            <w:tcW w:w="2127" w:type="dxa"/>
          </w:tcPr>
          <w:p w:rsidR="002B1181" w:rsidRPr="002B1181" w:rsidRDefault="002B1181" w:rsidP="002B1181">
            <w:pPr>
              <w:pStyle w:val="TableParagraph"/>
              <w:ind w:left="0"/>
              <w:rPr>
                <w:sz w:val="16"/>
                <w:szCs w:val="16"/>
                <w:lang w:val="es-ES"/>
              </w:rPr>
            </w:pPr>
            <w:r w:rsidRPr="002B1181">
              <w:rPr>
                <w:sz w:val="16"/>
                <w:szCs w:val="16"/>
                <w:lang w:val="es-ES"/>
              </w:rPr>
              <w:t>Brasil (263 visionados hasta el 27 de agosto de 2021)</w:t>
            </w:r>
          </w:p>
        </w:tc>
        <w:tc>
          <w:tcPr>
            <w:tcW w:w="1415" w:type="dxa"/>
          </w:tcPr>
          <w:p w:rsidR="002B1181" w:rsidRPr="002B1181" w:rsidRDefault="002B1181" w:rsidP="002B1181">
            <w:pPr>
              <w:pStyle w:val="TableParagraph"/>
              <w:ind w:left="0"/>
              <w:rPr>
                <w:rFonts w:ascii="Times New Roman"/>
                <w:sz w:val="16"/>
                <w:szCs w:val="16"/>
                <w:lang w:val="es-ES"/>
              </w:rPr>
            </w:pPr>
          </w:p>
        </w:tc>
      </w:tr>
      <w:tr w:rsidR="002B1181" w:rsidRPr="00424F8C" w:rsidTr="002B1181">
        <w:tc>
          <w:tcPr>
            <w:tcW w:w="1169" w:type="dxa"/>
          </w:tcPr>
          <w:p w:rsidR="002B1181" w:rsidRPr="002B1181" w:rsidRDefault="002B1181" w:rsidP="002B1181">
            <w:pPr>
              <w:pStyle w:val="TableParagraph"/>
              <w:ind w:left="0"/>
              <w:rPr>
                <w:sz w:val="16"/>
                <w:szCs w:val="16"/>
                <w:lang w:val="es-ES"/>
              </w:rPr>
            </w:pPr>
            <w:r w:rsidRPr="002B1181">
              <w:rPr>
                <w:sz w:val="16"/>
                <w:szCs w:val="16"/>
                <w:lang w:val="es-ES"/>
              </w:rPr>
              <w:t>4. Curso general sobre PI</w:t>
            </w:r>
          </w:p>
        </w:tc>
        <w:tc>
          <w:tcPr>
            <w:tcW w:w="1317" w:type="dxa"/>
          </w:tcPr>
          <w:p w:rsidR="002B1181" w:rsidRPr="002B1181" w:rsidRDefault="002B1181" w:rsidP="002B1181">
            <w:pPr>
              <w:pStyle w:val="TableParagraph"/>
              <w:ind w:left="0"/>
              <w:rPr>
                <w:sz w:val="16"/>
                <w:szCs w:val="16"/>
                <w:lang w:val="es-ES"/>
              </w:rPr>
            </w:pPr>
            <w:r w:rsidRPr="002B1181">
              <w:rPr>
                <w:sz w:val="16"/>
                <w:szCs w:val="16"/>
                <w:lang w:val="es-ES"/>
              </w:rPr>
              <w:t>2 de febrero a 2 de abril de 2021</w:t>
            </w:r>
          </w:p>
        </w:tc>
        <w:tc>
          <w:tcPr>
            <w:tcW w:w="1058" w:type="dxa"/>
          </w:tcPr>
          <w:p w:rsidR="002B1181" w:rsidRPr="002B1181" w:rsidRDefault="002B1181" w:rsidP="002B1181">
            <w:pPr>
              <w:pStyle w:val="TableParagraph"/>
              <w:ind w:left="0"/>
              <w:rPr>
                <w:sz w:val="16"/>
                <w:szCs w:val="16"/>
                <w:lang w:val="es-ES"/>
              </w:rPr>
            </w:pPr>
            <w:r w:rsidRPr="002B1181">
              <w:rPr>
                <w:sz w:val="16"/>
                <w:szCs w:val="16"/>
                <w:lang w:val="es-ES"/>
              </w:rPr>
              <w:t>Curso de enseñanza a distancia</w:t>
            </w:r>
          </w:p>
        </w:tc>
        <w:tc>
          <w:tcPr>
            <w:tcW w:w="1274" w:type="dxa"/>
          </w:tcPr>
          <w:p w:rsidR="002B1181" w:rsidRPr="002B1181" w:rsidRDefault="002B1181" w:rsidP="002B1181">
            <w:pPr>
              <w:pStyle w:val="TableParagraph"/>
              <w:ind w:left="0"/>
              <w:rPr>
                <w:sz w:val="16"/>
                <w:szCs w:val="16"/>
                <w:lang w:val="es-ES"/>
              </w:rPr>
            </w:pPr>
            <w:r w:rsidRPr="002B1181">
              <w:rPr>
                <w:sz w:val="16"/>
                <w:szCs w:val="16"/>
                <w:lang w:val="es-ES"/>
              </w:rPr>
              <w:t>INPI (oficina de patentes y marcas) OMPI</w:t>
            </w:r>
          </w:p>
        </w:tc>
        <w:tc>
          <w:tcPr>
            <w:tcW w:w="1702" w:type="dxa"/>
          </w:tcPr>
          <w:p w:rsidR="002B1181" w:rsidRPr="002B1181" w:rsidRDefault="002B1181" w:rsidP="002B1181">
            <w:pPr>
              <w:pStyle w:val="TableParagraph"/>
              <w:ind w:left="0"/>
              <w:rPr>
                <w:sz w:val="16"/>
                <w:szCs w:val="16"/>
                <w:lang w:val="es-ES"/>
              </w:rPr>
            </w:pPr>
            <w:r w:rsidRPr="002B1181">
              <w:rPr>
                <w:sz w:val="16"/>
                <w:szCs w:val="16"/>
                <w:lang w:val="es-ES"/>
              </w:rPr>
              <w:t>Curso general sobre propiedad intelectual con un capítulo dedicado a la protección de las obtenciones vegetales</w:t>
            </w:r>
          </w:p>
        </w:tc>
        <w:tc>
          <w:tcPr>
            <w:tcW w:w="2127" w:type="dxa"/>
          </w:tcPr>
          <w:p w:rsidR="002B1181" w:rsidRPr="002B1181" w:rsidRDefault="002B1181" w:rsidP="002B1181">
            <w:pPr>
              <w:pStyle w:val="TableParagraph"/>
              <w:ind w:left="0"/>
              <w:rPr>
                <w:sz w:val="16"/>
                <w:szCs w:val="16"/>
                <w:lang w:val="es-ES"/>
              </w:rPr>
            </w:pPr>
            <w:r w:rsidRPr="002B1181">
              <w:rPr>
                <w:sz w:val="16"/>
                <w:szCs w:val="16"/>
                <w:lang w:val="es-ES"/>
              </w:rPr>
              <w:t>Alrededor de 2.000 participantes (todos ellos del Brasil) de distintos ámbitos (estudiantes, abogados, representantes legales, funcionarios públicos, investigadores, etc.)</w:t>
            </w:r>
          </w:p>
        </w:tc>
        <w:tc>
          <w:tcPr>
            <w:tcW w:w="1415" w:type="dxa"/>
          </w:tcPr>
          <w:p w:rsidR="002B1181" w:rsidRPr="002B1181" w:rsidRDefault="002B1181" w:rsidP="002B1181">
            <w:pPr>
              <w:pStyle w:val="TableParagraph"/>
              <w:ind w:left="0"/>
              <w:rPr>
                <w:sz w:val="16"/>
                <w:szCs w:val="16"/>
                <w:lang w:val="es-ES"/>
              </w:rPr>
            </w:pPr>
            <w:r w:rsidRPr="002B1181">
              <w:rPr>
                <w:sz w:val="16"/>
                <w:szCs w:val="16"/>
                <w:lang w:val="es-ES"/>
              </w:rPr>
              <w:t>Los examinadores del SNPC ejercieron de tutores en los debates sobre protección de las obtenciones vegetales</w:t>
            </w:r>
          </w:p>
        </w:tc>
      </w:tr>
      <w:tr w:rsidR="002B1181" w:rsidRPr="00424F8C" w:rsidTr="002B1181">
        <w:tc>
          <w:tcPr>
            <w:tcW w:w="1169" w:type="dxa"/>
          </w:tcPr>
          <w:p w:rsidR="002B1181" w:rsidRPr="002B1181" w:rsidRDefault="002B1181" w:rsidP="002B1181">
            <w:pPr>
              <w:pStyle w:val="TableParagraph"/>
              <w:ind w:left="0"/>
              <w:rPr>
                <w:sz w:val="16"/>
                <w:szCs w:val="16"/>
                <w:lang w:val="es-ES"/>
              </w:rPr>
            </w:pPr>
            <w:r w:rsidRPr="002B1181">
              <w:rPr>
                <w:sz w:val="16"/>
                <w:szCs w:val="16"/>
                <w:lang w:val="es-ES"/>
              </w:rPr>
              <w:t>5. Curso general sobre PI</w:t>
            </w:r>
          </w:p>
        </w:tc>
        <w:tc>
          <w:tcPr>
            <w:tcW w:w="1317" w:type="dxa"/>
          </w:tcPr>
          <w:p w:rsidR="002B1181" w:rsidRPr="002B1181" w:rsidRDefault="002B1181" w:rsidP="002B1181">
            <w:pPr>
              <w:pStyle w:val="TableParagraph"/>
              <w:ind w:left="0"/>
              <w:rPr>
                <w:sz w:val="16"/>
                <w:szCs w:val="16"/>
                <w:lang w:val="es-ES"/>
              </w:rPr>
            </w:pPr>
            <w:r w:rsidRPr="002B1181">
              <w:rPr>
                <w:sz w:val="16"/>
                <w:szCs w:val="16"/>
                <w:lang w:val="es-ES"/>
              </w:rPr>
              <w:t>27 de abril a 25 de junio de 2021 (no ha finalizado aún)</w:t>
            </w:r>
          </w:p>
        </w:tc>
        <w:tc>
          <w:tcPr>
            <w:tcW w:w="1058" w:type="dxa"/>
          </w:tcPr>
          <w:p w:rsidR="002B1181" w:rsidRPr="002B1181" w:rsidRDefault="002B1181" w:rsidP="002B1181">
            <w:pPr>
              <w:pStyle w:val="TableParagraph"/>
              <w:ind w:left="0"/>
              <w:rPr>
                <w:sz w:val="16"/>
                <w:szCs w:val="16"/>
                <w:lang w:val="es-ES"/>
              </w:rPr>
            </w:pPr>
            <w:r w:rsidRPr="002B1181">
              <w:rPr>
                <w:sz w:val="16"/>
                <w:szCs w:val="16"/>
                <w:lang w:val="es-ES"/>
              </w:rPr>
              <w:t>Curso de enseñanza a distancia</w:t>
            </w:r>
          </w:p>
        </w:tc>
        <w:tc>
          <w:tcPr>
            <w:tcW w:w="1274" w:type="dxa"/>
          </w:tcPr>
          <w:p w:rsidR="002B1181" w:rsidRPr="002B1181" w:rsidRDefault="002B1181" w:rsidP="002B1181">
            <w:pPr>
              <w:pStyle w:val="TableParagraph"/>
              <w:ind w:left="0"/>
              <w:rPr>
                <w:sz w:val="16"/>
                <w:szCs w:val="16"/>
                <w:lang w:val="es-ES"/>
              </w:rPr>
            </w:pPr>
            <w:r w:rsidRPr="002B1181">
              <w:rPr>
                <w:sz w:val="16"/>
                <w:szCs w:val="16"/>
                <w:lang w:val="es-ES"/>
              </w:rPr>
              <w:t>INPI (oficina de patentes y marcas) OMPI</w:t>
            </w:r>
          </w:p>
        </w:tc>
        <w:tc>
          <w:tcPr>
            <w:tcW w:w="1702" w:type="dxa"/>
          </w:tcPr>
          <w:p w:rsidR="002B1181" w:rsidRPr="002B1181" w:rsidRDefault="002B1181" w:rsidP="002B1181">
            <w:pPr>
              <w:pStyle w:val="TableParagraph"/>
              <w:ind w:left="0"/>
              <w:rPr>
                <w:sz w:val="16"/>
                <w:szCs w:val="16"/>
                <w:lang w:val="es-ES"/>
              </w:rPr>
            </w:pPr>
            <w:r w:rsidRPr="002B1181">
              <w:rPr>
                <w:sz w:val="16"/>
                <w:szCs w:val="16"/>
                <w:lang w:val="es-ES"/>
              </w:rPr>
              <w:t>Curso general sobre propiedad intelectual con un capítulo dedicado a la protección de las obtenciones vegetales</w:t>
            </w:r>
          </w:p>
        </w:tc>
        <w:tc>
          <w:tcPr>
            <w:tcW w:w="2127" w:type="dxa"/>
          </w:tcPr>
          <w:p w:rsidR="002B1181" w:rsidRPr="002B1181" w:rsidRDefault="002B1181" w:rsidP="002B1181">
            <w:pPr>
              <w:pStyle w:val="TableParagraph"/>
              <w:ind w:left="0"/>
              <w:rPr>
                <w:sz w:val="16"/>
                <w:szCs w:val="16"/>
                <w:lang w:val="es-ES"/>
              </w:rPr>
            </w:pPr>
            <w:r w:rsidRPr="002B1181">
              <w:rPr>
                <w:sz w:val="16"/>
                <w:szCs w:val="16"/>
                <w:lang w:val="es-ES"/>
              </w:rPr>
              <w:t>Alrededor de 2.000 participantes (todos ellos del Brasil) de distintos ámbitos (estudiantes, abogados, representantes legales, funcionarios públicos, investigadores, etc.)</w:t>
            </w:r>
          </w:p>
        </w:tc>
        <w:tc>
          <w:tcPr>
            <w:tcW w:w="1415" w:type="dxa"/>
          </w:tcPr>
          <w:p w:rsidR="002B1181" w:rsidRPr="002B1181" w:rsidRDefault="002B1181" w:rsidP="002B1181">
            <w:pPr>
              <w:pStyle w:val="TableParagraph"/>
              <w:ind w:left="0"/>
              <w:rPr>
                <w:sz w:val="16"/>
                <w:szCs w:val="16"/>
                <w:lang w:val="es-ES"/>
              </w:rPr>
            </w:pPr>
            <w:r w:rsidRPr="002B1181">
              <w:rPr>
                <w:sz w:val="16"/>
                <w:szCs w:val="16"/>
                <w:lang w:val="es-ES"/>
              </w:rPr>
              <w:t>Los examinadores del SNPC ejercieron de tutores en los debates sobre protección de las obtenciones vegetales</w:t>
            </w:r>
          </w:p>
        </w:tc>
      </w:tr>
    </w:tbl>
    <w:p w:rsidR="002B1181" w:rsidRPr="000657C2" w:rsidRDefault="002B1181" w:rsidP="002B1181">
      <w:pPr>
        <w:rPr>
          <w:lang w:val="es-ES"/>
        </w:rPr>
      </w:pPr>
    </w:p>
    <w:p w:rsidR="002B1181" w:rsidRPr="000657C2" w:rsidRDefault="002B1181" w:rsidP="002B1181">
      <w:pPr>
        <w:rPr>
          <w:lang w:val="es-ES"/>
        </w:rPr>
      </w:pPr>
    </w:p>
    <w:p w:rsidR="002B1181" w:rsidRPr="000657C2" w:rsidRDefault="002B1181" w:rsidP="002B1181">
      <w:pPr>
        <w:rPr>
          <w:lang w:val="es-ES"/>
        </w:rPr>
      </w:pPr>
      <w:r w:rsidRPr="000657C2">
        <w:rPr>
          <w:lang w:val="es-ES"/>
        </w:rPr>
        <w:t>II.</w:t>
      </w:r>
      <w:r w:rsidRPr="000657C2">
        <w:rPr>
          <w:lang w:val="es-ES"/>
        </w:rPr>
        <w:tab/>
        <w:t>OTRAS NOVEDADES DE INTERÉS PARA LA UPOV</w:t>
      </w:r>
    </w:p>
    <w:p w:rsidR="002B1181" w:rsidRPr="000657C2" w:rsidRDefault="002B1181" w:rsidP="002B1181">
      <w:pPr>
        <w:rPr>
          <w:lang w:val="es-ES"/>
        </w:rPr>
      </w:pPr>
    </w:p>
    <w:p w:rsidR="002B1181" w:rsidRPr="000657C2" w:rsidRDefault="002B1181" w:rsidP="002B1181">
      <w:pPr>
        <w:ind w:left="1134" w:hanging="709"/>
        <w:rPr>
          <w:lang w:val="es-ES"/>
        </w:rPr>
      </w:pPr>
      <w:r w:rsidRPr="000657C2">
        <w:rPr>
          <w:lang w:val="es-ES"/>
        </w:rPr>
        <w:t>No hay novedades reseñables.</w:t>
      </w:r>
    </w:p>
    <w:p w:rsidR="002B1181" w:rsidRPr="000657C2" w:rsidRDefault="002B1181" w:rsidP="002B1181">
      <w:pPr>
        <w:rPr>
          <w:lang w:val="es-ES"/>
        </w:rPr>
      </w:pPr>
    </w:p>
    <w:p w:rsidR="006F2E7F" w:rsidRPr="00A067BD" w:rsidRDefault="006F2E7F" w:rsidP="006F2E7F">
      <w:pPr>
        <w:rPr>
          <w:lang w:val="es-ES"/>
        </w:rPr>
      </w:pPr>
    </w:p>
    <w:p w:rsidR="006F2E7F" w:rsidRPr="00A067BD" w:rsidRDefault="006F2E7F" w:rsidP="006F2E7F">
      <w:pPr>
        <w:rPr>
          <w:lang w:val="es-ES"/>
        </w:rPr>
      </w:pPr>
    </w:p>
    <w:p w:rsidR="0078167F" w:rsidRDefault="00E80B45" w:rsidP="006F2E7F">
      <w:pPr>
        <w:jc w:val="right"/>
      </w:pPr>
      <w:r>
        <w:t>[Sigue el Anexo</w:t>
      </w:r>
      <w:r w:rsidR="0078167F">
        <w:t xml:space="preserve"> III</w:t>
      </w:r>
      <w:r>
        <w:t>]</w:t>
      </w:r>
    </w:p>
    <w:p w:rsidR="0078167F" w:rsidRDefault="0078167F" w:rsidP="0078167F">
      <w:pPr>
        <w:jc w:val="left"/>
        <w:sectPr w:rsidR="0078167F" w:rsidSect="002D1696">
          <w:headerReference w:type="default" r:id="rId21"/>
          <w:pgSz w:w="11907" w:h="16840" w:code="9"/>
          <w:pgMar w:top="510" w:right="1134" w:bottom="1134" w:left="1134" w:header="510" w:footer="680" w:gutter="0"/>
          <w:pgNumType w:start="1"/>
          <w:cols w:space="720"/>
          <w:titlePg/>
        </w:sectPr>
      </w:pPr>
    </w:p>
    <w:p w:rsidR="0078167F" w:rsidRPr="0075031D" w:rsidRDefault="00C55E19" w:rsidP="0078167F">
      <w:pPr>
        <w:jc w:val="center"/>
      </w:pPr>
      <w:r>
        <w:lastRenderedPageBreak/>
        <w:t>C/55/INF/4</w:t>
      </w:r>
    </w:p>
    <w:p w:rsidR="0078167F" w:rsidRPr="0075031D" w:rsidRDefault="0078167F" w:rsidP="0078167F">
      <w:pPr>
        <w:jc w:val="center"/>
      </w:pPr>
    </w:p>
    <w:p w:rsidR="0078167F" w:rsidRPr="0075031D" w:rsidRDefault="00E80B45" w:rsidP="0078167F">
      <w:pPr>
        <w:jc w:val="center"/>
      </w:pPr>
      <w:r>
        <w:t>ANEXO</w:t>
      </w:r>
      <w:r w:rsidR="0078167F" w:rsidRPr="0075031D">
        <w:t xml:space="preserve"> I</w:t>
      </w:r>
      <w:r w:rsidR="0078167F">
        <w:t>II</w:t>
      </w:r>
    </w:p>
    <w:p w:rsidR="0078167F" w:rsidRPr="0075031D" w:rsidRDefault="0078167F" w:rsidP="0078167F">
      <w:pPr>
        <w:jc w:val="center"/>
      </w:pPr>
    </w:p>
    <w:p w:rsidR="0078167F" w:rsidRDefault="0078167F" w:rsidP="0078167F">
      <w:pPr>
        <w:jc w:val="center"/>
      </w:pPr>
    </w:p>
    <w:p w:rsidR="00785B6C" w:rsidRPr="00592F7C" w:rsidRDefault="003518A1" w:rsidP="00785B6C">
      <w:pPr>
        <w:jc w:val="center"/>
        <w:rPr>
          <w:lang w:val="es-ES"/>
        </w:rPr>
      </w:pPr>
      <w:r>
        <w:t>DINAMARCA</w:t>
      </w:r>
    </w:p>
    <w:p w:rsidR="00785B6C" w:rsidRPr="00592F7C" w:rsidRDefault="00785B6C" w:rsidP="00785B6C">
      <w:pPr>
        <w:jc w:val="left"/>
        <w:rPr>
          <w:lang w:val="es-ES"/>
        </w:rPr>
      </w:pPr>
    </w:p>
    <w:p w:rsidR="00785B6C" w:rsidRPr="00592F7C" w:rsidRDefault="00785B6C" w:rsidP="00785B6C">
      <w:pPr>
        <w:jc w:val="left"/>
        <w:rPr>
          <w:lang w:val="es-ES"/>
        </w:rPr>
      </w:pPr>
    </w:p>
    <w:p w:rsidR="002B1181" w:rsidRPr="000657C2" w:rsidRDefault="002B1181" w:rsidP="002B1181">
      <w:pPr>
        <w:rPr>
          <w:lang w:val="es-ES"/>
        </w:rPr>
      </w:pPr>
      <w:r w:rsidRPr="000657C2">
        <w:rPr>
          <w:lang w:val="es-ES"/>
        </w:rPr>
        <w:t>I.</w:t>
      </w:r>
      <w:r w:rsidRPr="000657C2">
        <w:rPr>
          <w:lang w:val="es-ES"/>
        </w:rPr>
        <w:tab/>
        <w:t>PROTECCIÓN DE LAS OBTENCIONES VEGETALES</w:t>
      </w:r>
    </w:p>
    <w:p w:rsidR="002B1181" w:rsidRPr="000657C2" w:rsidRDefault="002B1181" w:rsidP="002B1181">
      <w:pPr>
        <w:rPr>
          <w:lang w:val="es-ES"/>
        </w:rPr>
      </w:pPr>
    </w:p>
    <w:p w:rsidR="002B1181" w:rsidRPr="000657C2" w:rsidRDefault="002B1181" w:rsidP="002B1181">
      <w:pPr>
        <w:rPr>
          <w:lang w:val="es-ES"/>
        </w:rPr>
      </w:pPr>
      <w:r w:rsidRPr="000657C2">
        <w:rPr>
          <w:lang w:val="es-ES"/>
        </w:rPr>
        <w:t xml:space="preserve">1. </w:t>
      </w:r>
      <w:r w:rsidRPr="000657C2">
        <w:rPr>
          <w:lang w:val="es-ES"/>
        </w:rPr>
        <w:tab/>
      </w:r>
      <w:r w:rsidRPr="000657C2">
        <w:rPr>
          <w:u w:val="single"/>
          <w:lang w:val="es-ES"/>
        </w:rPr>
        <w:t>Situación en el ámbito legislativo</w:t>
      </w:r>
    </w:p>
    <w:p w:rsidR="002B1181" w:rsidRPr="000657C2" w:rsidRDefault="002B1181" w:rsidP="002B1181">
      <w:pPr>
        <w:rPr>
          <w:lang w:val="es-ES"/>
        </w:rPr>
      </w:pPr>
    </w:p>
    <w:p w:rsidR="002B1181" w:rsidRPr="000657C2" w:rsidRDefault="002B1181" w:rsidP="002B1181">
      <w:pPr>
        <w:rPr>
          <w:lang w:val="es-ES"/>
        </w:rPr>
      </w:pPr>
      <w:r w:rsidRPr="000657C2">
        <w:rPr>
          <w:lang w:val="es-ES"/>
        </w:rPr>
        <w:tab/>
        <w:t>1.1</w:t>
      </w:r>
      <w:r w:rsidRPr="000657C2">
        <w:rPr>
          <w:lang w:val="es-ES"/>
        </w:rPr>
        <w:tab/>
        <w:t>Modificaciones de la ley y de los reglamentos: No se han producido modificaciones.</w:t>
      </w:r>
    </w:p>
    <w:p w:rsidR="002B1181" w:rsidRPr="000657C2" w:rsidRDefault="002B1181" w:rsidP="002B1181">
      <w:pPr>
        <w:rPr>
          <w:lang w:val="es-ES"/>
        </w:rPr>
      </w:pPr>
    </w:p>
    <w:p w:rsidR="002B1181" w:rsidRPr="000657C2" w:rsidRDefault="002B1181" w:rsidP="002B1181">
      <w:pPr>
        <w:rPr>
          <w:lang w:val="es-ES"/>
        </w:rPr>
      </w:pPr>
      <w:r w:rsidRPr="000657C2">
        <w:rPr>
          <w:lang w:val="es-ES"/>
        </w:rPr>
        <w:tab/>
        <w:t>1.2</w:t>
      </w:r>
      <w:r w:rsidRPr="000657C2">
        <w:rPr>
          <w:lang w:val="es-ES"/>
        </w:rPr>
        <w:tab/>
        <w:t>Extensión de la protección a otros géneros y especies: No se han producido modificaciones.</w:t>
      </w:r>
    </w:p>
    <w:p w:rsidR="002B1181" w:rsidRPr="000657C2" w:rsidRDefault="002B1181" w:rsidP="002B1181">
      <w:pPr>
        <w:rPr>
          <w:lang w:val="es-ES"/>
        </w:rPr>
      </w:pPr>
    </w:p>
    <w:p w:rsidR="002B1181" w:rsidRPr="000657C2" w:rsidRDefault="002B1181" w:rsidP="002B1181">
      <w:pPr>
        <w:rPr>
          <w:lang w:val="es-ES"/>
        </w:rPr>
      </w:pPr>
      <w:r w:rsidRPr="000657C2">
        <w:rPr>
          <w:lang w:val="es-ES"/>
        </w:rPr>
        <w:tab/>
        <w:t>1.3</w:t>
      </w:r>
      <w:r w:rsidRPr="000657C2">
        <w:rPr>
          <w:lang w:val="es-ES"/>
        </w:rPr>
        <w:tab/>
        <w:t>Jurisprudencia: No hay jurisprudencia</w:t>
      </w:r>
    </w:p>
    <w:p w:rsidR="002B1181" w:rsidRPr="000657C2" w:rsidRDefault="002B1181" w:rsidP="002B1181">
      <w:pPr>
        <w:rPr>
          <w:lang w:val="es-ES"/>
        </w:rPr>
      </w:pPr>
    </w:p>
    <w:p w:rsidR="002B1181" w:rsidRPr="000657C2" w:rsidRDefault="002B1181" w:rsidP="002B1181">
      <w:pPr>
        <w:rPr>
          <w:lang w:val="es-ES"/>
        </w:rPr>
      </w:pPr>
    </w:p>
    <w:p w:rsidR="002B1181" w:rsidRPr="000657C2" w:rsidRDefault="002B1181" w:rsidP="002B1181">
      <w:pPr>
        <w:rPr>
          <w:lang w:val="es-ES"/>
        </w:rPr>
      </w:pPr>
      <w:r w:rsidRPr="000657C2">
        <w:rPr>
          <w:lang w:val="es-ES"/>
        </w:rPr>
        <w:t>2.</w:t>
      </w:r>
      <w:r w:rsidRPr="000657C2">
        <w:rPr>
          <w:lang w:val="es-ES"/>
        </w:rPr>
        <w:tab/>
      </w:r>
      <w:r w:rsidRPr="000657C2">
        <w:rPr>
          <w:u w:val="single"/>
          <w:lang w:val="es-ES"/>
        </w:rPr>
        <w:t xml:space="preserve"> Cooperación en el examen</w:t>
      </w:r>
      <w:r w:rsidRPr="000657C2">
        <w:rPr>
          <w:lang w:val="es-ES"/>
        </w:rPr>
        <w:t>:</w:t>
      </w:r>
    </w:p>
    <w:p w:rsidR="002B1181" w:rsidRPr="000657C2" w:rsidRDefault="002B1181" w:rsidP="002B1181">
      <w:pPr>
        <w:rPr>
          <w:lang w:val="es-ES"/>
        </w:rPr>
      </w:pPr>
    </w:p>
    <w:p w:rsidR="002B1181" w:rsidRPr="000657C2" w:rsidRDefault="002B1181" w:rsidP="002B1181">
      <w:pPr>
        <w:ind w:left="567"/>
        <w:rPr>
          <w:lang w:val="es-ES"/>
        </w:rPr>
      </w:pPr>
      <w:r w:rsidRPr="000657C2">
        <w:rPr>
          <w:lang w:val="es-ES"/>
        </w:rPr>
        <w:t>No se han producido cambios.</w:t>
      </w:r>
    </w:p>
    <w:p w:rsidR="002B1181" w:rsidRPr="000657C2" w:rsidRDefault="002B1181" w:rsidP="002B1181">
      <w:pPr>
        <w:tabs>
          <w:tab w:val="left" w:pos="426"/>
          <w:tab w:val="left" w:pos="851"/>
        </w:tabs>
        <w:rPr>
          <w:lang w:val="es-ES"/>
        </w:rPr>
      </w:pPr>
    </w:p>
    <w:p w:rsidR="002B1181" w:rsidRPr="000657C2" w:rsidRDefault="002B1181" w:rsidP="002B1181">
      <w:pPr>
        <w:rPr>
          <w:lang w:val="es-ES"/>
        </w:rPr>
      </w:pPr>
    </w:p>
    <w:p w:rsidR="002B1181" w:rsidRPr="000657C2" w:rsidRDefault="002B1181" w:rsidP="002B1181">
      <w:pPr>
        <w:rPr>
          <w:u w:val="single"/>
          <w:lang w:val="es-ES"/>
        </w:rPr>
      </w:pPr>
      <w:r w:rsidRPr="000657C2">
        <w:rPr>
          <w:lang w:val="es-ES"/>
        </w:rPr>
        <w:t>3.</w:t>
      </w:r>
      <w:r w:rsidRPr="000657C2">
        <w:rPr>
          <w:lang w:val="es-ES"/>
        </w:rPr>
        <w:tab/>
      </w:r>
      <w:r w:rsidRPr="000657C2">
        <w:rPr>
          <w:u w:val="single"/>
          <w:lang w:val="es-ES"/>
        </w:rPr>
        <w:t>Situación en el ámbito administrativo</w:t>
      </w:r>
    </w:p>
    <w:p w:rsidR="002B1181" w:rsidRPr="000657C2" w:rsidRDefault="002B1181" w:rsidP="002B1181">
      <w:pPr>
        <w:rPr>
          <w:lang w:val="es-ES"/>
        </w:rPr>
      </w:pPr>
    </w:p>
    <w:p w:rsidR="002B1181" w:rsidRPr="000657C2" w:rsidRDefault="002B1181" w:rsidP="002B1181">
      <w:pPr>
        <w:ind w:left="567"/>
        <w:rPr>
          <w:lang w:val="es-ES"/>
        </w:rPr>
      </w:pPr>
      <w:r w:rsidRPr="000657C2">
        <w:rPr>
          <w:lang w:val="es-ES"/>
        </w:rPr>
        <w:t>No se han producido cambios.</w:t>
      </w:r>
    </w:p>
    <w:p w:rsidR="002B1181" w:rsidRPr="000657C2" w:rsidRDefault="002B1181" w:rsidP="002B1181">
      <w:pPr>
        <w:rPr>
          <w:lang w:val="es-ES"/>
        </w:rPr>
      </w:pPr>
    </w:p>
    <w:p w:rsidR="002B1181" w:rsidRPr="000657C2" w:rsidRDefault="002B1181" w:rsidP="002B1181">
      <w:pPr>
        <w:rPr>
          <w:lang w:val="es-ES"/>
        </w:rPr>
      </w:pPr>
    </w:p>
    <w:p w:rsidR="002B1181" w:rsidRPr="000657C2" w:rsidRDefault="002B1181" w:rsidP="002B1181">
      <w:pPr>
        <w:rPr>
          <w:lang w:val="es-ES"/>
        </w:rPr>
      </w:pPr>
      <w:r w:rsidRPr="000657C2">
        <w:rPr>
          <w:lang w:val="es-ES"/>
        </w:rPr>
        <w:t>4.</w:t>
      </w:r>
      <w:r w:rsidRPr="000657C2">
        <w:rPr>
          <w:lang w:val="es-ES"/>
        </w:rPr>
        <w:tab/>
      </w:r>
      <w:r w:rsidRPr="000657C2">
        <w:rPr>
          <w:u w:val="single"/>
          <w:lang w:val="es-ES"/>
        </w:rPr>
        <w:t>Situación en el ámbito técnico</w:t>
      </w:r>
    </w:p>
    <w:p w:rsidR="002B1181" w:rsidRPr="000657C2" w:rsidRDefault="002B1181" w:rsidP="002B1181">
      <w:pPr>
        <w:rPr>
          <w:lang w:val="es-ES"/>
        </w:rPr>
      </w:pPr>
    </w:p>
    <w:p w:rsidR="002B1181" w:rsidRPr="000657C2" w:rsidRDefault="002B1181" w:rsidP="002B1181">
      <w:pPr>
        <w:rPr>
          <w:lang w:val="es-ES"/>
        </w:rPr>
      </w:pPr>
      <w:r w:rsidRPr="000657C2">
        <w:rPr>
          <w:lang w:val="es-ES"/>
        </w:rPr>
        <w:t xml:space="preserve">Exámenes DHE de seguimiento del desarrollo de las plantas mediante evaluaciones manuales, análisis de imágenes, grabaciones obtenidas con drones y sensores </w:t>
      </w:r>
      <w:proofErr w:type="spellStart"/>
      <w:r w:rsidRPr="000657C2">
        <w:rPr>
          <w:lang w:val="es-ES"/>
        </w:rPr>
        <w:t>multiespectrales</w:t>
      </w:r>
      <w:proofErr w:type="spellEnd"/>
      <w:r w:rsidRPr="000657C2">
        <w:rPr>
          <w:lang w:val="es-ES"/>
        </w:rPr>
        <w:t>.</w:t>
      </w:r>
    </w:p>
    <w:p w:rsidR="002B1181" w:rsidRPr="000657C2" w:rsidRDefault="002B1181" w:rsidP="002B1181">
      <w:pPr>
        <w:rPr>
          <w:lang w:val="es-ES"/>
        </w:rPr>
      </w:pPr>
    </w:p>
    <w:p w:rsidR="002B1181" w:rsidRPr="000657C2" w:rsidRDefault="002B1181" w:rsidP="002B1181">
      <w:pPr>
        <w:rPr>
          <w:lang w:val="es-ES"/>
        </w:rPr>
      </w:pPr>
    </w:p>
    <w:p w:rsidR="002B1181" w:rsidRPr="000657C2" w:rsidRDefault="002B1181" w:rsidP="002B1181">
      <w:pPr>
        <w:rPr>
          <w:lang w:val="es-ES"/>
        </w:rPr>
      </w:pPr>
      <w:r w:rsidRPr="000657C2">
        <w:rPr>
          <w:lang w:val="es-ES"/>
        </w:rPr>
        <w:t>5.</w:t>
      </w:r>
      <w:r w:rsidRPr="000657C2">
        <w:rPr>
          <w:lang w:val="es-ES"/>
        </w:rPr>
        <w:tab/>
      </w:r>
      <w:r w:rsidRPr="000657C2">
        <w:rPr>
          <w:u w:val="single"/>
          <w:lang w:val="es-ES"/>
        </w:rPr>
        <w:t>Actividades para la promoción de la protección de las obtenciones vegetales</w:t>
      </w:r>
      <w:r w:rsidRPr="000657C2">
        <w:rPr>
          <w:lang w:val="es-ES"/>
        </w:rPr>
        <w:t>: No hay novedades reseñables.</w:t>
      </w:r>
    </w:p>
    <w:p w:rsidR="002B1181" w:rsidRPr="000657C2" w:rsidRDefault="002B1181" w:rsidP="002B1181">
      <w:pPr>
        <w:rPr>
          <w:lang w:val="es-ES"/>
        </w:rPr>
      </w:pPr>
    </w:p>
    <w:tbl>
      <w:tblPr>
        <w:tblStyle w:val="TableGrid"/>
        <w:tblW w:w="9870" w:type="dxa"/>
        <w:tblLayout w:type="fixed"/>
        <w:tblCellMar>
          <w:top w:w="28" w:type="dxa"/>
          <w:left w:w="28" w:type="dxa"/>
          <w:bottom w:w="28" w:type="dxa"/>
          <w:right w:w="28" w:type="dxa"/>
        </w:tblCellMar>
        <w:tblLook w:val="01E0" w:firstRow="1" w:lastRow="1" w:firstColumn="1" w:lastColumn="1" w:noHBand="0" w:noVBand="0"/>
      </w:tblPr>
      <w:tblGrid>
        <w:gridCol w:w="821"/>
        <w:gridCol w:w="1258"/>
        <w:gridCol w:w="1275"/>
        <w:gridCol w:w="3578"/>
        <w:gridCol w:w="2938"/>
      </w:tblGrid>
      <w:tr w:rsidR="002B1181" w:rsidRPr="00424F8C" w:rsidTr="002B1181">
        <w:tc>
          <w:tcPr>
            <w:tcW w:w="821" w:type="dxa"/>
          </w:tcPr>
          <w:p w:rsidR="002B1181" w:rsidRPr="002B1181" w:rsidRDefault="002B1181" w:rsidP="002B1181">
            <w:pPr>
              <w:jc w:val="left"/>
              <w:rPr>
                <w:sz w:val="16"/>
                <w:lang w:val="es-ES"/>
              </w:rPr>
            </w:pPr>
            <w:r w:rsidRPr="002B1181">
              <w:rPr>
                <w:sz w:val="16"/>
                <w:lang w:val="es-ES"/>
              </w:rPr>
              <w:t>Fecha</w:t>
            </w:r>
          </w:p>
        </w:tc>
        <w:tc>
          <w:tcPr>
            <w:tcW w:w="1258" w:type="dxa"/>
          </w:tcPr>
          <w:p w:rsidR="002B1181" w:rsidRPr="002B1181" w:rsidRDefault="002B1181" w:rsidP="002B1181">
            <w:pPr>
              <w:jc w:val="left"/>
              <w:rPr>
                <w:sz w:val="16"/>
                <w:lang w:val="es-ES"/>
              </w:rPr>
            </w:pPr>
            <w:r w:rsidRPr="002B1181">
              <w:rPr>
                <w:sz w:val="16"/>
                <w:lang w:val="es-ES"/>
              </w:rPr>
              <w:t>Lugar</w:t>
            </w:r>
          </w:p>
        </w:tc>
        <w:tc>
          <w:tcPr>
            <w:tcW w:w="1275" w:type="dxa"/>
          </w:tcPr>
          <w:p w:rsidR="002B1181" w:rsidRPr="002B1181" w:rsidRDefault="002B1181" w:rsidP="002B1181">
            <w:pPr>
              <w:jc w:val="left"/>
              <w:rPr>
                <w:sz w:val="16"/>
                <w:lang w:val="es-ES"/>
              </w:rPr>
            </w:pPr>
            <w:r w:rsidRPr="002B1181">
              <w:rPr>
                <w:sz w:val="16"/>
                <w:lang w:val="es-ES"/>
              </w:rPr>
              <w:t>Organizador(es)</w:t>
            </w:r>
          </w:p>
        </w:tc>
        <w:tc>
          <w:tcPr>
            <w:tcW w:w="3578" w:type="dxa"/>
          </w:tcPr>
          <w:p w:rsidR="002B1181" w:rsidRPr="002B1181" w:rsidRDefault="002B1181" w:rsidP="002B1181">
            <w:pPr>
              <w:jc w:val="left"/>
              <w:rPr>
                <w:sz w:val="16"/>
                <w:lang w:val="es-ES"/>
              </w:rPr>
            </w:pPr>
            <w:r w:rsidRPr="002B1181">
              <w:rPr>
                <w:sz w:val="16"/>
                <w:lang w:val="es-ES"/>
              </w:rPr>
              <w:t>Finalidad de la actividad</w:t>
            </w:r>
          </w:p>
        </w:tc>
        <w:tc>
          <w:tcPr>
            <w:tcW w:w="2938" w:type="dxa"/>
          </w:tcPr>
          <w:p w:rsidR="002B1181" w:rsidRPr="002B1181" w:rsidRDefault="002B1181" w:rsidP="002B1181">
            <w:pPr>
              <w:jc w:val="left"/>
              <w:rPr>
                <w:sz w:val="16"/>
                <w:lang w:val="es-ES"/>
              </w:rPr>
            </w:pPr>
            <w:r w:rsidRPr="002B1181">
              <w:rPr>
                <w:sz w:val="16"/>
                <w:lang w:val="es-ES"/>
              </w:rPr>
              <w:t>Países/organizaciones participantes (número de participantes en cada caso)</w:t>
            </w:r>
          </w:p>
        </w:tc>
      </w:tr>
      <w:tr w:rsidR="002B1181" w:rsidRPr="000657C2" w:rsidTr="002B1181">
        <w:tc>
          <w:tcPr>
            <w:tcW w:w="821" w:type="dxa"/>
          </w:tcPr>
          <w:p w:rsidR="002B1181" w:rsidRPr="002B1181" w:rsidRDefault="002B1181" w:rsidP="002B1181">
            <w:pPr>
              <w:jc w:val="left"/>
              <w:rPr>
                <w:sz w:val="16"/>
                <w:lang w:val="es-ES"/>
              </w:rPr>
            </w:pPr>
            <w:r w:rsidRPr="002B1181">
              <w:rPr>
                <w:sz w:val="16"/>
                <w:lang w:val="es-ES"/>
              </w:rPr>
              <w:t>3-3-21</w:t>
            </w:r>
          </w:p>
        </w:tc>
        <w:tc>
          <w:tcPr>
            <w:tcW w:w="1258" w:type="dxa"/>
          </w:tcPr>
          <w:p w:rsidR="002B1181" w:rsidRPr="002B1181" w:rsidRDefault="002B1181" w:rsidP="002B1181">
            <w:pPr>
              <w:jc w:val="left"/>
              <w:rPr>
                <w:sz w:val="16"/>
                <w:lang w:val="es-ES"/>
              </w:rPr>
            </w:pPr>
            <w:proofErr w:type="spellStart"/>
            <w:r w:rsidRPr="002B1181">
              <w:rPr>
                <w:sz w:val="16"/>
                <w:lang w:val="es-ES"/>
              </w:rPr>
              <w:t>Kobæk</w:t>
            </w:r>
            <w:proofErr w:type="spellEnd"/>
            <w:r w:rsidRPr="002B1181">
              <w:rPr>
                <w:sz w:val="16"/>
                <w:lang w:val="es-ES"/>
              </w:rPr>
              <w:t xml:space="preserve"> </w:t>
            </w:r>
            <w:proofErr w:type="spellStart"/>
            <w:r w:rsidRPr="002B1181">
              <w:rPr>
                <w:sz w:val="16"/>
                <w:lang w:val="es-ES"/>
              </w:rPr>
              <w:t>Strand</w:t>
            </w:r>
            <w:proofErr w:type="spellEnd"/>
          </w:p>
        </w:tc>
        <w:tc>
          <w:tcPr>
            <w:tcW w:w="1275" w:type="dxa"/>
          </w:tcPr>
          <w:p w:rsidR="002B1181" w:rsidRPr="002B1181" w:rsidRDefault="002B1181" w:rsidP="002B1181">
            <w:pPr>
              <w:jc w:val="left"/>
              <w:rPr>
                <w:sz w:val="16"/>
                <w:lang w:val="es-ES"/>
              </w:rPr>
            </w:pPr>
            <w:proofErr w:type="spellStart"/>
            <w:r w:rsidRPr="002B1181">
              <w:rPr>
                <w:sz w:val="16"/>
                <w:lang w:val="es-ES"/>
              </w:rPr>
              <w:t>DanSeed</w:t>
            </w:r>
            <w:proofErr w:type="spellEnd"/>
          </w:p>
        </w:tc>
        <w:tc>
          <w:tcPr>
            <w:tcW w:w="3578" w:type="dxa"/>
          </w:tcPr>
          <w:p w:rsidR="002B1181" w:rsidRPr="002B1181" w:rsidRDefault="002B1181" w:rsidP="002B1181">
            <w:pPr>
              <w:jc w:val="left"/>
              <w:rPr>
                <w:sz w:val="16"/>
                <w:lang w:val="es-ES"/>
              </w:rPr>
            </w:pPr>
            <w:r w:rsidRPr="002B1181">
              <w:rPr>
                <w:sz w:val="16"/>
                <w:lang w:val="es-ES"/>
              </w:rPr>
              <w:t>Protección de la PI derivada de las obtenciones vegetales mediante derechos de obtentor o patentes</w:t>
            </w:r>
          </w:p>
        </w:tc>
        <w:tc>
          <w:tcPr>
            <w:tcW w:w="2938" w:type="dxa"/>
          </w:tcPr>
          <w:p w:rsidR="002B1181" w:rsidRPr="002B1181" w:rsidRDefault="002B1181" w:rsidP="002B1181">
            <w:pPr>
              <w:jc w:val="left"/>
              <w:rPr>
                <w:sz w:val="16"/>
                <w:lang w:val="es-ES"/>
              </w:rPr>
            </w:pPr>
            <w:r w:rsidRPr="002B1181">
              <w:rPr>
                <w:sz w:val="16"/>
                <w:lang w:val="es-ES"/>
              </w:rPr>
              <w:t>Nacionales de Dinamarca</w:t>
            </w:r>
          </w:p>
        </w:tc>
      </w:tr>
    </w:tbl>
    <w:p w:rsidR="002B1181" w:rsidRPr="000657C2" w:rsidRDefault="002B1181" w:rsidP="002B1181">
      <w:pPr>
        <w:rPr>
          <w:lang w:val="es-ES"/>
        </w:rPr>
      </w:pPr>
    </w:p>
    <w:p w:rsidR="002B1181" w:rsidRPr="000657C2" w:rsidRDefault="002B1181" w:rsidP="002B1181">
      <w:pPr>
        <w:rPr>
          <w:lang w:val="es-ES"/>
        </w:rPr>
      </w:pPr>
    </w:p>
    <w:p w:rsidR="002B1181" w:rsidRPr="000657C2" w:rsidRDefault="002B1181" w:rsidP="002B1181">
      <w:pPr>
        <w:rPr>
          <w:lang w:val="es-ES"/>
        </w:rPr>
      </w:pPr>
      <w:r w:rsidRPr="000657C2">
        <w:rPr>
          <w:lang w:val="es-ES"/>
        </w:rPr>
        <w:t>II.</w:t>
      </w:r>
      <w:r w:rsidRPr="000657C2">
        <w:rPr>
          <w:lang w:val="es-ES"/>
        </w:rPr>
        <w:tab/>
        <w:t>OTRAS NOVEDADES DE INTERÉS PARA LA UPOV</w:t>
      </w:r>
    </w:p>
    <w:p w:rsidR="002B1181" w:rsidRPr="000657C2" w:rsidRDefault="002B1181" w:rsidP="002B1181">
      <w:pPr>
        <w:rPr>
          <w:lang w:val="es-ES"/>
        </w:rPr>
      </w:pPr>
    </w:p>
    <w:p w:rsidR="002B1181" w:rsidRPr="000657C2" w:rsidRDefault="002B1181" w:rsidP="002B1181">
      <w:pPr>
        <w:ind w:left="567"/>
        <w:rPr>
          <w:lang w:val="es-ES"/>
        </w:rPr>
      </w:pPr>
      <w:r w:rsidRPr="000657C2">
        <w:rPr>
          <w:lang w:val="es-ES"/>
        </w:rPr>
        <w:t>No hay novedades reseñables.</w:t>
      </w:r>
    </w:p>
    <w:p w:rsidR="00785B6C" w:rsidRPr="003518A1" w:rsidRDefault="00785B6C" w:rsidP="003518A1"/>
    <w:p w:rsidR="00785B6C" w:rsidRPr="003518A1" w:rsidRDefault="00785B6C" w:rsidP="003518A1"/>
    <w:p w:rsidR="0078167F" w:rsidRPr="003518A1" w:rsidRDefault="0078167F" w:rsidP="003518A1"/>
    <w:p w:rsidR="0078167F" w:rsidRDefault="00E80B45" w:rsidP="0078167F">
      <w:pPr>
        <w:jc w:val="right"/>
      </w:pPr>
      <w:r>
        <w:t>[Sigue el Anexo</w:t>
      </w:r>
      <w:r w:rsidR="0078167F">
        <w:t xml:space="preserve"> IV</w:t>
      </w:r>
      <w:r>
        <w:t>]</w:t>
      </w:r>
    </w:p>
    <w:p w:rsidR="0078167F" w:rsidRDefault="0078167F" w:rsidP="0078167F"/>
    <w:p w:rsidR="0078167F" w:rsidRDefault="0078167F" w:rsidP="0078167F">
      <w:pPr>
        <w:jc w:val="left"/>
        <w:sectPr w:rsidR="0078167F" w:rsidSect="00785B6C">
          <w:headerReference w:type="default" r:id="rId22"/>
          <w:pgSz w:w="11907" w:h="16840" w:code="9"/>
          <w:pgMar w:top="510" w:right="1134" w:bottom="709" w:left="1134" w:header="510" w:footer="680" w:gutter="0"/>
          <w:pgNumType w:start="1"/>
          <w:cols w:space="720"/>
          <w:titlePg/>
        </w:sectPr>
      </w:pPr>
    </w:p>
    <w:p w:rsidR="0078167F" w:rsidRPr="0075031D" w:rsidRDefault="00C55E19" w:rsidP="0078167F">
      <w:pPr>
        <w:jc w:val="center"/>
      </w:pPr>
      <w:r>
        <w:lastRenderedPageBreak/>
        <w:t>C/55/INF/4</w:t>
      </w:r>
    </w:p>
    <w:p w:rsidR="0078167F" w:rsidRPr="0075031D" w:rsidRDefault="0078167F" w:rsidP="0078167F">
      <w:pPr>
        <w:jc w:val="center"/>
      </w:pPr>
    </w:p>
    <w:p w:rsidR="0078167F" w:rsidRPr="0075031D" w:rsidRDefault="00E80B45" w:rsidP="0078167F">
      <w:pPr>
        <w:jc w:val="center"/>
      </w:pPr>
      <w:r>
        <w:t>ANEXO</w:t>
      </w:r>
      <w:r w:rsidR="0078167F" w:rsidRPr="0075031D">
        <w:t xml:space="preserve"> I</w:t>
      </w:r>
      <w:r w:rsidR="0078167F">
        <w:t>V</w:t>
      </w:r>
    </w:p>
    <w:p w:rsidR="0078167F" w:rsidRPr="0075031D" w:rsidRDefault="0078167F" w:rsidP="0078167F">
      <w:pPr>
        <w:jc w:val="center"/>
      </w:pPr>
    </w:p>
    <w:p w:rsidR="0078167F" w:rsidRDefault="0078167F" w:rsidP="0078167F">
      <w:pPr>
        <w:jc w:val="center"/>
      </w:pPr>
    </w:p>
    <w:p w:rsidR="0078167F" w:rsidRDefault="003F3E27" w:rsidP="0078167F">
      <w:pPr>
        <w:jc w:val="center"/>
      </w:pPr>
      <w:r>
        <w:t>HUNGRÍA</w:t>
      </w:r>
    </w:p>
    <w:p w:rsidR="0078167F" w:rsidRDefault="0078167F" w:rsidP="0078167F"/>
    <w:p w:rsidR="0078167F" w:rsidRDefault="0078167F" w:rsidP="0078167F"/>
    <w:p w:rsidR="003E201B" w:rsidRPr="000657C2" w:rsidRDefault="003E201B" w:rsidP="003E201B">
      <w:pPr>
        <w:rPr>
          <w:lang w:val="es-ES"/>
        </w:rPr>
      </w:pPr>
      <w:r w:rsidRPr="000657C2">
        <w:rPr>
          <w:lang w:val="es-ES"/>
        </w:rPr>
        <w:t>I.</w:t>
      </w:r>
      <w:r w:rsidRPr="000657C2">
        <w:rPr>
          <w:lang w:val="es-ES"/>
        </w:rPr>
        <w:tab/>
        <w:t>PROTECCIÓN DE LAS OBTENCIONES VEGETALES</w:t>
      </w:r>
    </w:p>
    <w:p w:rsidR="003E201B" w:rsidRPr="000657C2" w:rsidRDefault="003E201B" w:rsidP="003E201B">
      <w:pPr>
        <w:rPr>
          <w:lang w:val="es-ES"/>
        </w:rPr>
      </w:pPr>
    </w:p>
    <w:p w:rsidR="003E201B" w:rsidRPr="000657C2" w:rsidRDefault="003E201B" w:rsidP="003E201B">
      <w:pPr>
        <w:rPr>
          <w:lang w:val="es-ES"/>
        </w:rPr>
      </w:pPr>
      <w:r w:rsidRPr="000657C2">
        <w:rPr>
          <w:lang w:val="es-ES"/>
        </w:rPr>
        <w:t xml:space="preserve">1. </w:t>
      </w:r>
      <w:r w:rsidRPr="000657C2">
        <w:rPr>
          <w:lang w:val="es-ES"/>
        </w:rPr>
        <w:tab/>
      </w:r>
      <w:r w:rsidRPr="000657C2">
        <w:rPr>
          <w:u w:val="single"/>
          <w:lang w:val="es-ES"/>
        </w:rPr>
        <w:t>Situación en el ámbito legislativo</w:t>
      </w:r>
      <w:r w:rsidRPr="000657C2">
        <w:rPr>
          <w:lang w:val="es-ES"/>
        </w:rPr>
        <w:t xml:space="preserve">: </w:t>
      </w:r>
    </w:p>
    <w:p w:rsidR="003E201B" w:rsidRPr="000657C2" w:rsidRDefault="003E201B" w:rsidP="003E201B">
      <w:pPr>
        <w:rPr>
          <w:lang w:val="es-ES"/>
        </w:rPr>
      </w:pPr>
    </w:p>
    <w:p w:rsidR="003E201B" w:rsidRPr="000657C2" w:rsidRDefault="003E201B" w:rsidP="003E201B">
      <w:pPr>
        <w:rPr>
          <w:lang w:val="es-ES"/>
        </w:rPr>
      </w:pPr>
      <w:r w:rsidRPr="000657C2">
        <w:rPr>
          <w:lang w:val="es-ES"/>
        </w:rPr>
        <w:tab/>
        <w:t>1.1</w:t>
      </w:r>
      <w:r w:rsidRPr="000657C2">
        <w:rPr>
          <w:lang w:val="es-ES"/>
        </w:rPr>
        <w:tab/>
        <w:t>Modificaciones de la ley y de los reglamentos: No se han producido cambios.</w:t>
      </w:r>
    </w:p>
    <w:p w:rsidR="003E201B" w:rsidRPr="000657C2" w:rsidRDefault="003E201B" w:rsidP="003E201B">
      <w:pPr>
        <w:rPr>
          <w:lang w:val="es-ES"/>
        </w:rPr>
      </w:pPr>
    </w:p>
    <w:p w:rsidR="003E201B" w:rsidRPr="000657C2" w:rsidRDefault="003E201B" w:rsidP="003E201B">
      <w:pPr>
        <w:rPr>
          <w:lang w:val="es-ES"/>
        </w:rPr>
      </w:pPr>
      <w:r w:rsidRPr="000657C2">
        <w:rPr>
          <w:lang w:val="es-ES"/>
        </w:rPr>
        <w:tab/>
        <w:t>1.2</w:t>
      </w:r>
      <w:r w:rsidRPr="000657C2">
        <w:rPr>
          <w:lang w:val="es-ES"/>
        </w:rPr>
        <w:tab/>
        <w:t>Extensión de la protección a otros géneros y especies</w:t>
      </w:r>
    </w:p>
    <w:p w:rsidR="003E201B" w:rsidRPr="000657C2" w:rsidRDefault="003E201B" w:rsidP="003E201B">
      <w:pPr>
        <w:ind w:left="567"/>
        <w:rPr>
          <w:lang w:val="es-ES"/>
        </w:rPr>
      </w:pPr>
    </w:p>
    <w:p w:rsidR="003E201B" w:rsidRPr="00A1730F" w:rsidRDefault="003E201B" w:rsidP="003E201B">
      <w:pPr>
        <w:ind w:left="567"/>
        <w:rPr>
          <w:lang w:val="es-ES"/>
        </w:rPr>
      </w:pPr>
      <w:r w:rsidRPr="00A1730F">
        <w:rPr>
          <w:lang w:val="es-ES"/>
        </w:rPr>
        <w:t>No se han producido cambios. Conforme a las normas en vigor, la protección de las variedades vegetales se extiende a todos los géneros y especies.</w:t>
      </w:r>
    </w:p>
    <w:p w:rsidR="003E201B" w:rsidRPr="000657C2" w:rsidRDefault="003E201B" w:rsidP="003E201B">
      <w:pPr>
        <w:rPr>
          <w:lang w:val="es-ES"/>
        </w:rPr>
      </w:pPr>
    </w:p>
    <w:p w:rsidR="003E201B" w:rsidRPr="000657C2" w:rsidRDefault="003E201B" w:rsidP="003E201B">
      <w:pPr>
        <w:rPr>
          <w:lang w:val="es-ES"/>
        </w:rPr>
      </w:pPr>
      <w:r w:rsidRPr="000657C2">
        <w:rPr>
          <w:lang w:val="es-ES"/>
        </w:rPr>
        <w:tab/>
        <w:t>1.3</w:t>
      </w:r>
      <w:r w:rsidRPr="000657C2">
        <w:rPr>
          <w:lang w:val="es-ES"/>
        </w:rPr>
        <w:tab/>
        <w:t>Jurisprudencia: No hay datos.</w:t>
      </w:r>
    </w:p>
    <w:p w:rsidR="003E201B" w:rsidRPr="000657C2" w:rsidRDefault="003E201B" w:rsidP="003E201B">
      <w:pPr>
        <w:rPr>
          <w:lang w:val="es-ES"/>
        </w:rPr>
      </w:pPr>
    </w:p>
    <w:p w:rsidR="003E201B" w:rsidRPr="000657C2" w:rsidRDefault="003E201B" w:rsidP="003E201B">
      <w:pPr>
        <w:rPr>
          <w:lang w:val="es-ES"/>
        </w:rPr>
      </w:pPr>
    </w:p>
    <w:p w:rsidR="003E201B" w:rsidRPr="000657C2" w:rsidRDefault="003E201B" w:rsidP="003E201B">
      <w:pPr>
        <w:rPr>
          <w:lang w:val="es-ES"/>
        </w:rPr>
      </w:pPr>
      <w:r w:rsidRPr="000657C2">
        <w:rPr>
          <w:lang w:val="es-ES"/>
        </w:rPr>
        <w:t>2.</w:t>
      </w:r>
      <w:r w:rsidRPr="000657C2">
        <w:rPr>
          <w:lang w:val="es-ES"/>
        </w:rPr>
        <w:tab/>
      </w:r>
      <w:r w:rsidRPr="000657C2">
        <w:rPr>
          <w:u w:val="single"/>
          <w:lang w:val="es-ES"/>
        </w:rPr>
        <w:t xml:space="preserve"> Cooperación en el examen</w:t>
      </w:r>
    </w:p>
    <w:p w:rsidR="003E201B" w:rsidRPr="000657C2" w:rsidRDefault="003E201B" w:rsidP="003E201B">
      <w:pPr>
        <w:tabs>
          <w:tab w:val="left" w:pos="426"/>
          <w:tab w:val="left" w:pos="851"/>
        </w:tabs>
        <w:rPr>
          <w:lang w:val="es-ES"/>
        </w:rPr>
      </w:pPr>
    </w:p>
    <w:p w:rsidR="003E201B" w:rsidRPr="000657C2" w:rsidRDefault="003E201B" w:rsidP="003E201B">
      <w:pPr>
        <w:tabs>
          <w:tab w:val="left" w:pos="426"/>
          <w:tab w:val="left" w:pos="851"/>
        </w:tabs>
        <w:rPr>
          <w:lang w:val="es-ES"/>
        </w:rPr>
      </w:pPr>
      <w:r w:rsidRPr="000657C2">
        <w:rPr>
          <w:lang w:val="es-ES"/>
        </w:rPr>
        <w:t>No se han producido cambios. Con arreglo a los párrafos 3) y 4) del artículo 114/R de la Ley de Patentes, los resultados de los ensayos experimentales (informe de examen DHE) llevados a cabo por una autoridad extranjera competente podrán tomarse en consideración con el consentimiento de esa autoridad. Los costos de los ensayos experimentales correrán por cuenta del solicitante. En consecuencia, la Oficina de Propiedad Intelectual de Hungría (HIPO) ha optado por concertar acuerdos con las oficinas nacionales y regionales para que las oficinas pertinentes le envíen informes de examen DHE.</w:t>
      </w:r>
    </w:p>
    <w:p w:rsidR="003E201B" w:rsidRPr="000657C2" w:rsidRDefault="003E201B" w:rsidP="003E201B">
      <w:pPr>
        <w:tabs>
          <w:tab w:val="left" w:pos="426"/>
          <w:tab w:val="left" w:pos="851"/>
        </w:tabs>
        <w:rPr>
          <w:lang w:val="es-ES"/>
        </w:rPr>
      </w:pPr>
    </w:p>
    <w:p w:rsidR="003E201B" w:rsidRPr="000657C2" w:rsidRDefault="003E201B" w:rsidP="003E201B">
      <w:pPr>
        <w:tabs>
          <w:tab w:val="left" w:pos="426"/>
          <w:tab w:val="left" w:pos="851"/>
        </w:tabs>
        <w:rPr>
          <w:lang w:val="es-ES"/>
        </w:rPr>
      </w:pPr>
      <w:r w:rsidRPr="000657C2">
        <w:rPr>
          <w:lang w:val="es-ES"/>
        </w:rPr>
        <w:t xml:space="preserve">La HIPO ha concertado acuerdos de esa índole con la Oficina Comunitaria de Variedades Vegetales de la Unión Europea (OCVV), con la </w:t>
      </w:r>
      <w:proofErr w:type="spellStart"/>
      <w:r w:rsidRPr="000657C2">
        <w:rPr>
          <w:i/>
          <w:lang w:val="es-ES"/>
        </w:rPr>
        <w:t>Bundessortenamt</w:t>
      </w:r>
      <w:proofErr w:type="spellEnd"/>
      <w:r w:rsidRPr="000657C2">
        <w:rPr>
          <w:lang w:val="es-ES"/>
        </w:rPr>
        <w:t xml:space="preserve"> (Alemania) y con el Consejo de Derechos de Obtentor del Ministerio de Agricultura, Naturaleza y Calidad Alimentaria de los Países Bajos.</w:t>
      </w:r>
    </w:p>
    <w:p w:rsidR="003E201B" w:rsidRPr="000657C2" w:rsidRDefault="003E201B" w:rsidP="003E201B">
      <w:pPr>
        <w:rPr>
          <w:lang w:val="es-ES"/>
        </w:rPr>
      </w:pPr>
    </w:p>
    <w:p w:rsidR="003E201B" w:rsidRPr="000657C2" w:rsidRDefault="003E201B" w:rsidP="003E201B">
      <w:pPr>
        <w:rPr>
          <w:lang w:val="es-ES"/>
        </w:rPr>
      </w:pPr>
    </w:p>
    <w:p w:rsidR="003E201B" w:rsidRPr="000657C2" w:rsidRDefault="003E201B" w:rsidP="003E201B">
      <w:pPr>
        <w:rPr>
          <w:u w:val="single"/>
          <w:lang w:val="es-ES"/>
        </w:rPr>
      </w:pPr>
      <w:r w:rsidRPr="000657C2">
        <w:rPr>
          <w:lang w:val="es-ES"/>
        </w:rPr>
        <w:t>3.</w:t>
      </w:r>
      <w:r w:rsidRPr="000657C2">
        <w:rPr>
          <w:lang w:val="es-ES"/>
        </w:rPr>
        <w:tab/>
      </w:r>
      <w:r w:rsidRPr="000657C2">
        <w:rPr>
          <w:u w:val="single"/>
          <w:lang w:val="es-ES"/>
        </w:rPr>
        <w:t>Situación en el ámbito administrativo</w:t>
      </w:r>
    </w:p>
    <w:p w:rsidR="003E201B" w:rsidRPr="000657C2" w:rsidRDefault="003E201B" w:rsidP="003E201B">
      <w:pPr>
        <w:rPr>
          <w:lang w:val="es-ES"/>
        </w:rPr>
      </w:pPr>
    </w:p>
    <w:p w:rsidR="003E201B" w:rsidRPr="000657C2" w:rsidRDefault="003E201B" w:rsidP="003E201B">
      <w:pPr>
        <w:rPr>
          <w:lang w:val="es-ES"/>
        </w:rPr>
      </w:pPr>
      <w:r w:rsidRPr="000657C2">
        <w:rPr>
          <w:lang w:val="es-ES"/>
        </w:rPr>
        <w:t>No se han producido cambios. En el sistema nacional, la HIPO es responsable del examen de la novedad, la denominación y la homogeneidad, así como del registro de las variedades vegetales, y la Oficina Nacional de Seguridad de la Cadena Alimentaria se encarga del examen biológico (examen DHE).</w:t>
      </w:r>
    </w:p>
    <w:p w:rsidR="003E201B" w:rsidRPr="000657C2" w:rsidRDefault="003E201B" w:rsidP="003E201B">
      <w:pPr>
        <w:rPr>
          <w:lang w:val="es-ES"/>
        </w:rPr>
      </w:pPr>
    </w:p>
    <w:p w:rsidR="003E201B" w:rsidRPr="000657C2" w:rsidRDefault="003E201B" w:rsidP="003E201B">
      <w:pPr>
        <w:rPr>
          <w:lang w:val="es-ES"/>
        </w:rPr>
      </w:pPr>
    </w:p>
    <w:p w:rsidR="003E201B" w:rsidRPr="000657C2" w:rsidRDefault="003E201B" w:rsidP="003E201B">
      <w:pPr>
        <w:rPr>
          <w:u w:val="single"/>
          <w:lang w:val="es-ES"/>
        </w:rPr>
      </w:pPr>
      <w:r w:rsidRPr="000657C2">
        <w:rPr>
          <w:lang w:val="es-ES"/>
        </w:rPr>
        <w:t>4.</w:t>
      </w:r>
      <w:r w:rsidRPr="000657C2">
        <w:rPr>
          <w:lang w:val="es-ES"/>
        </w:rPr>
        <w:tab/>
      </w:r>
      <w:r w:rsidRPr="000657C2">
        <w:rPr>
          <w:u w:val="single"/>
          <w:lang w:val="es-ES"/>
        </w:rPr>
        <w:t>Situación en el ámbito técnico</w:t>
      </w:r>
    </w:p>
    <w:p w:rsidR="003E201B" w:rsidRPr="000657C2" w:rsidRDefault="003E201B" w:rsidP="003E201B">
      <w:pPr>
        <w:rPr>
          <w:lang w:val="es-ES"/>
        </w:rPr>
      </w:pPr>
    </w:p>
    <w:p w:rsidR="003E201B" w:rsidRPr="000657C2" w:rsidRDefault="003E201B" w:rsidP="003E201B">
      <w:pPr>
        <w:rPr>
          <w:lang w:val="es-ES"/>
        </w:rPr>
      </w:pPr>
      <w:r w:rsidRPr="000657C2">
        <w:rPr>
          <w:lang w:val="es-ES"/>
        </w:rPr>
        <w:t>La Oficina Nacional de Seguridad de la Cadena Alimentaria se encarga de realizar el examen técnico.</w:t>
      </w:r>
    </w:p>
    <w:p w:rsidR="003E201B" w:rsidRPr="000657C2" w:rsidRDefault="003E201B" w:rsidP="003E201B">
      <w:pPr>
        <w:rPr>
          <w:lang w:val="es-ES"/>
        </w:rPr>
      </w:pPr>
    </w:p>
    <w:p w:rsidR="00462911" w:rsidRDefault="00462911" w:rsidP="0078167F">
      <w:pPr>
        <w:jc w:val="left"/>
      </w:pPr>
    </w:p>
    <w:p w:rsidR="00462911" w:rsidRDefault="00462911" w:rsidP="0078167F">
      <w:pPr>
        <w:jc w:val="left"/>
      </w:pPr>
    </w:p>
    <w:p w:rsidR="0078167F" w:rsidRDefault="00E80B45" w:rsidP="0078167F">
      <w:pPr>
        <w:jc w:val="right"/>
      </w:pPr>
      <w:r>
        <w:t>[Sigue el Anexo</w:t>
      </w:r>
      <w:r w:rsidR="0078167F">
        <w:t xml:space="preserve"> V</w:t>
      </w:r>
      <w:r>
        <w:t>]</w:t>
      </w:r>
    </w:p>
    <w:p w:rsidR="0078167F" w:rsidRDefault="0078167F" w:rsidP="0078167F"/>
    <w:p w:rsidR="0078167F" w:rsidRDefault="0078167F" w:rsidP="0078167F">
      <w:pPr>
        <w:jc w:val="left"/>
        <w:sectPr w:rsidR="0078167F" w:rsidSect="002D1696">
          <w:headerReference w:type="default" r:id="rId23"/>
          <w:pgSz w:w="11907" w:h="16840" w:code="9"/>
          <w:pgMar w:top="510" w:right="1134" w:bottom="1134" w:left="1134" w:header="510" w:footer="680" w:gutter="0"/>
          <w:pgNumType w:start="1"/>
          <w:cols w:space="720"/>
          <w:titlePg/>
        </w:sectPr>
      </w:pPr>
    </w:p>
    <w:p w:rsidR="0078167F" w:rsidRPr="0075031D" w:rsidRDefault="00C55E19" w:rsidP="0078167F">
      <w:pPr>
        <w:jc w:val="center"/>
      </w:pPr>
      <w:r>
        <w:lastRenderedPageBreak/>
        <w:t>C/55/INF/4</w:t>
      </w:r>
    </w:p>
    <w:p w:rsidR="0078167F" w:rsidRPr="0075031D" w:rsidRDefault="0078167F" w:rsidP="0078167F">
      <w:pPr>
        <w:jc w:val="center"/>
      </w:pPr>
    </w:p>
    <w:p w:rsidR="0078167F" w:rsidRPr="0075031D" w:rsidRDefault="00E80B45" w:rsidP="0078167F">
      <w:pPr>
        <w:jc w:val="center"/>
      </w:pPr>
      <w:r>
        <w:t>ANEXO</w:t>
      </w:r>
      <w:r w:rsidR="0078167F" w:rsidRPr="0075031D">
        <w:t xml:space="preserve"> </w:t>
      </w:r>
      <w:r w:rsidR="0078167F">
        <w:t>V</w:t>
      </w:r>
    </w:p>
    <w:p w:rsidR="0078167F" w:rsidRPr="0075031D" w:rsidRDefault="0078167F" w:rsidP="0078167F">
      <w:pPr>
        <w:jc w:val="center"/>
      </w:pPr>
    </w:p>
    <w:p w:rsidR="0078167F" w:rsidRDefault="0078167F" w:rsidP="0078167F">
      <w:pPr>
        <w:jc w:val="center"/>
      </w:pPr>
    </w:p>
    <w:p w:rsidR="00C36D01" w:rsidRPr="00592F7C" w:rsidRDefault="003F3E27" w:rsidP="00C36D01">
      <w:pPr>
        <w:jc w:val="center"/>
        <w:rPr>
          <w:lang w:val="es-ES"/>
        </w:rPr>
      </w:pPr>
      <w:r>
        <w:t>LITUANIA</w:t>
      </w:r>
    </w:p>
    <w:p w:rsidR="00C36D01" w:rsidRPr="00592F7C" w:rsidRDefault="00C36D01" w:rsidP="00C36D01">
      <w:pPr>
        <w:jc w:val="center"/>
        <w:rPr>
          <w:lang w:val="es-ES"/>
        </w:rPr>
      </w:pPr>
    </w:p>
    <w:p w:rsidR="00C36D01" w:rsidRPr="00592F7C" w:rsidRDefault="00C36D01" w:rsidP="00C36D01">
      <w:pPr>
        <w:jc w:val="center"/>
        <w:rPr>
          <w:lang w:val="es-ES"/>
        </w:rPr>
      </w:pPr>
    </w:p>
    <w:p w:rsidR="003E201B" w:rsidRPr="000657C2" w:rsidRDefault="003E201B" w:rsidP="003E201B">
      <w:pPr>
        <w:rPr>
          <w:lang w:val="es-ES"/>
        </w:rPr>
      </w:pPr>
      <w:r w:rsidRPr="000657C2">
        <w:rPr>
          <w:lang w:val="es-ES"/>
        </w:rPr>
        <w:t>I.</w:t>
      </w:r>
      <w:r w:rsidRPr="000657C2">
        <w:rPr>
          <w:lang w:val="es-ES"/>
        </w:rPr>
        <w:tab/>
        <w:t>PROTECCIÓN DE LAS OBTENCIONES VEGETALES</w:t>
      </w:r>
    </w:p>
    <w:p w:rsidR="003E201B" w:rsidRPr="000657C2" w:rsidRDefault="003E201B" w:rsidP="003E201B">
      <w:pPr>
        <w:rPr>
          <w:lang w:val="es-ES"/>
        </w:rPr>
      </w:pPr>
    </w:p>
    <w:p w:rsidR="003E201B" w:rsidRPr="000657C2" w:rsidRDefault="003E201B" w:rsidP="003E201B">
      <w:pPr>
        <w:rPr>
          <w:rFonts w:cs="Arial"/>
          <w:lang w:val="es-ES"/>
        </w:rPr>
      </w:pPr>
      <w:r w:rsidRPr="000657C2">
        <w:rPr>
          <w:rFonts w:cs="Arial"/>
          <w:lang w:val="es-ES"/>
        </w:rPr>
        <w:t>1.</w:t>
      </w:r>
      <w:r w:rsidRPr="000657C2">
        <w:rPr>
          <w:rFonts w:cs="Arial"/>
          <w:lang w:val="es-ES"/>
        </w:rPr>
        <w:tab/>
      </w:r>
      <w:r w:rsidRPr="000657C2">
        <w:rPr>
          <w:rFonts w:cs="Arial"/>
          <w:u w:val="single"/>
          <w:lang w:val="es-ES"/>
        </w:rPr>
        <w:t>Situación en el ámbito legislativo</w:t>
      </w:r>
    </w:p>
    <w:p w:rsidR="003E201B" w:rsidRPr="000657C2" w:rsidRDefault="003E201B" w:rsidP="003E201B">
      <w:pPr>
        <w:rPr>
          <w:rFonts w:cs="Arial"/>
          <w:lang w:val="es-ES"/>
        </w:rPr>
      </w:pPr>
    </w:p>
    <w:p w:rsidR="003E201B" w:rsidRPr="000657C2" w:rsidRDefault="003E201B" w:rsidP="003E201B">
      <w:pPr>
        <w:rPr>
          <w:rFonts w:cs="Arial"/>
          <w:lang w:val="es-ES"/>
        </w:rPr>
      </w:pPr>
      <w:r w:rsidRPr="000657C2">
        <w:rPr>
          <w:rFonts w:cs="Arial"/>
          <w:lang w:val="es-ES"/>
        </w:rPr>
        <w:t>1.1</w:t>
      </w:r>
      <w:r w:rsidRPr="000657C2">
        <w:rPr>
          <w:rFonts w:cs="Arial"/>
          <w:lang w:val="es-ES"/>
        </w:rPr>
        <w:tab/>
        <w:t>Modificaciones de la ley y de los reglamentos:</w:t>
      </w:r>
    </w:p>
    <w:p w:rsidR="003E201B" w:rsidRPr="000657C2" w:rsidRDefault="003E201B" w:rsidP="003E201B">
      <w:pPr>
        <w:rPr>
          <w:rFonts w:cs="Arial"/>
          <w:lang w:val="es-ES"/>
        </w:rPr>
      </w:pPr>
    </w:p>
    <w:p w:rsidR="003E201B" w:rsidRPr="000657C2" w:rsidRDefault="003E201B" w:rsidP="003E201B">
      <w:pPr>
        <w:ind w:left="567" w:hanging="567"/>
        <w:rPr>
          <w:lang w:val="es-ES"/>
        </w:rPr>
      </w:pPr>
      <w:r w:rsidRPr="000657C2">
        <w:rPr>
          <w:lang w:val="es-ES"/>
        </w:rPr>
        <w:t>–</w:t>
      </w:r>
      <w:r w:rsidRPr="000657C2">
        <w:rPr>
          <w:lang w:val="es-ES"/>
        </w:rPr>
        <w:tab/>
        <w:t xml:space="preserve">Ley N.º IX-618 de la República de Lituania, de 22 de noviembre de 2001, </w:t>
      </w:r>
      <w:r>
        <w:rPr>
          <w:lang w:val="es-ES"/>
        </w:rPr>
        <w:t>relativa a la protección de las obtenciones v</w:t>
      </w:r>
      <w:r w:rsidRPr="000657C2">
        <w:rPr>
          <w:lang w:val="es-ES"/>
        </w:rPr>
        <w:t>egetales</w:t>
      </w:r>
      <w:r>
        <w:rPr>
          <w:lang w:val="es-ES"/>
        </w:rPr>
        <w:t>,</w:t>
      </w:r>
      <w:r w:rsidRPr="000657C2">
        <w:rPr>
          <w:lang w:val="es-ES"/>
        </w:rPr>
        <w:t xml:space="preserve"> modificada por última vez el 15 de abril de 2021; </w:t>
      </w:r>
    </w:p>
    <w:p w:rsidR="003E201B" w:rsidRPr="000657C2" w:rsidRDefault="003E201B" w:rsidP="003E201B">
      <w:pPr>
        <w:ind w:left="567" w:hanging="567"/>
        <w:rPr>
          <w:lang w:val="es-ES"/>
        </w:rPr>
      </w:pPr>
    </w:p>
    <w:p w:rsidR="003E201B" w:rsidRPr="000657C2" w:rsidRDefault="003E201B" w:rsidP="003E201B">
      <w:pPr>
        <w:ind w:left="567" w:hanging="567"/>
        <w:rPr>
          <w:lang w:val="es-ES"/>
        </w:rPr>
      </w:pPr>
      <w:r w:rsidRPr="000657C2">
        <w:rPr>
          <w:lang w:val="es-ES"/>
        </w:rPr>
        <w:t>–</w:t>
      </w:r>
      <w:r w:rsidRPr="000657C2">
        <w:rPr>
          <w:lang w:val="es-ES"/>
        </w:rPr>
        <w:tab/>
        <w:t>Reglamento N.º 1458 del Gobierno de la República de Lituania, de 15 de diciembre de 2000, relativo a las tasas;</w:t>
      </w:r>
    </w:p>
    <w:p w:rsidR="003E201B" w:rsidRPr="000657C2" w:rsidRDefault="003E201B" w:rsidP="003E201B">
      <w:pPr>
        <w:ind w:left="567" w:hanging="567"/>
        <w:rPr>
          <w:lang w:val="es-ES"/>
        </w:rPr>
      </w:pPr>
    </w:p>
    <w:p w:rsidR="003E201B" w:rsidRPr="000657C2" w:rsidRDefault="003E201B" w:rsidP="003E201B">
      <w:pPr>
        <w:ind w:left="567" w:hanging="567"/>
        <w:rPr>
          <w:lang w:val="es-ES"/>
        </w:rPr>
      </w:pPr>
      <w:r w:rsidRPr="000657C2">
        <w:rPr>
          <w:lang w:val="es-ES"/>
        </w:rPr>
        <w:t>–</w:t>
      </w:r>
      <w:r w:rsidRPr="000657C2">
        <w:rPr>
          <w:lang w:val="es-ES"/>
        </w:rPr>
        <w:tab/>
        <w:t>Orden N.º A1-50 del director del Servicio Estatal de Plantas del Ministerio de Agricultura, de 8 de agosto de 2010, relativa a la aprobación de los formularios de solicitud de protección de las obtenciones vegetales;</w:t>
      </w:r>
    </w:p>
    <w:p w:rsidR="003E201B" w:rsidRPr="000657C2" w:rsidRDefault="003E201B" w:rsidP="003E201B">
      <w:pPr>
        <w:ind w:left="567" w:hanging="567"/>
        <w:rPr>
          <w:lang w:val="es-ES"/>
        </w:rPr>
      </w:pPr>
    </w:p>
    <w:p w:rsidR="003E201B" w:rsidRPr="000657C2" w:rsidRDefault="003E201B" w:rsidP="003E201B">
      <w:pPr>
        <w:ind w:left="567" w:hanging="567"/>
        <w:rPr>
          <w:lang w:val="es-ES"/>
        </w:rPr>
      </w:pPr>
      <w:r w:rsidRPr="000657C2">
        <w:rPr>
          <w:lang w:val="es-ES"/>
        </w:rPr>
        <w:t>–</w:t>
      </w:r>
      <w:r w:rsidRPr="000657C2">
        <w:rPr>
          <w:lang w:val="es-ES"/>
        </w:rPr>
        <w:tab/>
        <w:t>Orden N.º 3 D-371 del Ministro de Agricultura de la República de Lituania, de 23 de junio de 2004, relativa a la remuneración.</w:t>
      </w:r>
    </w:p>
    <w:p w:rsidR="003E201B" w:rsidRPr="000657C2" w:rsidRDefault="003E201B" w:rsidP="003E201B">
      <w:pPr>
        <w:ind w:left="567" w:hanging="567"/>
        <w:rPr>
          <w:lang w:val="es-ES"/>
        </w:rPr>
      </w:pPr>
    </w:p>
    <w:p w:rsidR="003E201B" w:rsidRPr="000657C2" w:rsidRDefault="003E201B" w:rsidP="003E201B">
      <w:pPr>
        <w:rPr>
          <w:rFonts w:cs="Arial"/>
          <w:lang w:val="es-ES"/>
        </w:rPr>
      </w:pPr>
      <w:r w:rsidRPr="000657C2">
        <w:rPr>
          <w:rFonts w:cs="Arial"/>
          <w:lang w:val="es-ES"/>
        </w:rPr>
        <w:t>1.2</w:t>
      </w:r>
      <w:r w:rsidRPr="000657C2">
        <w:rPr>
          <w:rFonts w:cs="Arial"/>
          <w:lang w:val="es-ES"/>
        </w:rPr>
        <w:tab/>
        <w:t>Extensión de la protección a otros géneros y especies (realizada o prevista):</w:t>
      </w:r>
    </w:p>
    <w:p w:rsidR="003E201B" w:rsidRPr="000657C2" w:rsidRDefault="003E201B" w:rsidP="003E201B">
      <w:pPr>
        <w:rPr>
          <w:rFonts w:cs="Arial"/>
          <w:lang w:val="es-ES"/>
        </w:rPr>
      </w:pPr>
    </w:p>
    <w:p w:rsidR="003E201B" w:rsidRPr="000657C2" w:rsidRDefault="003E201B" w:rsidP="003E201B">
      <w:pPr>
        <w:ind w:left="567" w:hanging="567"/>
        <w:rPr>
          <w:rFonts w:cs="Arial"/>
          <w:lang w:val="es-ES"/>
        </w:rPr>
      </w:pPr>
      <w:r w:rsidRPr="000657C2">
        <w:rPr>
          <w:rFonts w:cs="Arial"/>
          <w:lang w:val="es-ES"/>
        </w:rPr>
        <w:t>–</w:t>
      </w:r>
      <w:r w:rsidRPr="000657C2">
        <w:rPr>
          <w:rFonts w:cs="Arial"/>
          <w:lang w:val="es-ES"/>
        </w:rPr>
        <w:tab/>
        <w:t xml:space="preserve">Según las modificaciones a la Ley de Protección de las Obtenciones Vegetales de la República de Lituania adoptadas el 26 de abril de 2012, en la República de Lituania se pueden proteger las obtenciones de todos los géneros y especies vegetales. </w:t>
      </w:r>
    </w:p>
    <w:p w:rsidR="003E201B" w:rsidRPr="000657C2" w:rsidRDefault="003E201B" w:rsidP="003E201B">
      <w:pPr>
        <w:ind w:left="567" w:hanging="567"/>
        <w:rPr>
          <w:rFonts w:cs="Arial"/>
          <w:lang w:val="es-ES"/>
        </w:rPr>
      </w:pPr>
    </w:p>
    <w:p w:rsidR="003E201B" w:rsidRPr="000657C2" w:rsidRDefault="003E201B" w:rsidP="003E201B">
      <w:pPr>
        <w:rPr>
          <w:rFonts w:cs="Arial"/>
          <w:lang w:val="es-ES"/>
        </w:rPr>
      </w:pPr>
      <w:r w:rsidRPr="000657C2">
        <w:rPr>
          <w:rFonts w:cs="Arial"/>
          <w:lang w:val="es-ES"/>
        </w:rPr>
        <w:t>1.3</w:t>
      </w:r>
      <w:r w:rsidRPr="000657C2">
        <w:rPr>
          <w:rFonts w:cs="Arial"/>
          <w:lang w:val="es-ES"/>
        </w:rPr>
        <w:tab/>
        <w:t>Jurisprudencia:</w:t>
      </w:r>
    </w:p>
    <w:p w:rsidR="003E201B" w:rsidRPr="000657C2" w:rsidRDefault="003E201B" w:rsidP="003E201B">
      <w:pPr>
        <w:rPr>
          <w:rFonts w:cs="Arial"/>
          <w:lang w:val="es-ES"/>
        </w:rPr>
      </w:pPr>
    </w:p>
    <w:p w:rsidR="003E201B" w:rsidRPr="000657C2" w:rsidRDefault="003E201B" w:rsidP="003E201B">
      <w:pPr>
        <w:ind w:left="567" w:hanging="567"/>
        <w:rPr>
          <w:rFonts w:cs="Arial"/>
          <w:lang w:val="es-ES"/>
        </w:rPr>
      </w:pPr>
      <w:r w:rsidRPr="000657C2">
        <w:rPr>
          <w:rFonts w:cs="Arial"/>
          <w:lang w:val="es-ES"/>
        </w:rPr>
        <w:t>–</w:t>
      </w:r>
      <w:r w:rsidRPr="000657C2">
        <w:rPr>
          <w:rFonts w:cs="Arial"/>
          <w:lang w:val="es-ES"/>
        </w:rPr>
        <w:tab/>
        <w:t>En 2020 no se ha producido en Lituania jurisprudencia relativa a la protección de las obtenciones vegetales.</w:t>
      </w:r>
    </w:p>
    <w:p w:rsidR="003E201B" w:rsidRPr="000657C2" w:rsidRDefault="003E201B" w:rsidP="003E201B">
      <w:pPr>
        <w:ind w:left="567" w:hanging="567"/>
        <w:rPr>
          <w:rFonts w:cs="Arial"/>
          <w:lang w:val="es-ES"/>
        </w:rPr>
      </w:pPr>
    </w:p>
    <w:p w:rsidR="003E201B" w:rsidRPr="000657C2" w:rsidRDefault="003E201B" w:rsidP="003E201B">
      <w:pPr>
        <w:ind w:left="567" w:hanging="567"/>
        <w:rPr>
          <w:rFonts w:cs="Arial"/>
          <w:lang w:val="es-ES"/>
        </w:rPr>
      </w:pPr>
    </w:p>
    <w:p w:rsidR="003E201B" w:rsidRPr="000657C2" w:rsidRDefault="003E201B" w:rsidP="003E201B">
      <w:pPr>
        <w:rPr>
          <w:rFonts w:cs="Arial"/>
          <w:u w:val="single"/>
          <w:lang w:val="es-ES"/>
        </w:rPr>
      </w:pPr>
      <w:r w:rsidRPr="000657C2">
        <w:rPr>
          <w:rFonts w:cs="Arial"/>
          <w:lang w:val="es-ES"/>
        </w:rPr>
        <w:t>2.</w:t>
      </w:r>
      <w:r w:rsidRPr="000657C2">
        <w:rPr>
          <w:rFonts w:cs="Arial"/>
          <w:lang w:val="es-ES"/>
        </w:rPr>
        <w:tab/>
      </w:r>
      <w:r w:rsidRPr="000657C2">
        <w:rPr>
          <w:rFonts w:cs="Arial"/>
          <w:u w:val="single"/>
          <w:lang w:val="es-ES"/>
        </w:rPr>
        <w:t>Cooperación en el examen</w:t>
      </w:r>
    </w:p>
    <w:p w:rsidR="003E201B" w:rsidRPr="000657C2" w:rsidRDefault="003E201B" w:rsidP="003E201B">
      <w:pPr>
        <w:rPr>
          <w:rFonts w:cs="Arial"/>
          <w:lang w:val="es-ES"/>
        </w:rPr>
      </w:pPr>
    </w:p>
    <w:p w:rsidR="003E201B" w:rsidRPr="000657C2" w:rsidRDefault="003E201B" w:rsidP="003E201B">
      <w:pPr>
        <w:rPr>
          <w:rFonts w:cs="Arial"/>
          <w:lang w:val="es-ES"/>
        </w:rPr>
      </w:pPr>
      <w:r w:rsidRPr="000657C2">
        <w:rPr>
          <w:rFonts w:cs="Arial"/>
          <w:lang w:val="es-ES"/>
        </w:rPr>
        <w:t>Hay dos acuerdos firmados en materia de cooperación en el examen en Lituania:</w:t>
      </w:r>
    </w:p>
    <w:p w:rsidR="003E201B" w:rsidRPr="000657C2" w:rsidRDefault="003E201B" w:rsidP="003E201B">
      <w:pPr>
        <w:rPr>
          <w:rFonts w:cs="Arial"/>
          <w:lang w:val="es-ES"/>
        </w:rPr>
      </w:pPr>
    </w:p>
    <w:p w:rsidR="003E201B" w:rsidRPr="000657C2" w:rsidRDefault="003E201B" w:rsidP="003E201B">
      <w:pPr>
        <w:ind w:left="567" w:hanging="567"/>
        <w:rPr>
          <w:lang w:val="es-ES"/>
        </w:rPr>
      </w:pPr>
      <w:r w:rsidRPr="000657C2">
        <w:rPr>
          <w:lang w:val="es-ES"/>
        </w:rPr>
        <w:t>–</w:t>
      </w:r>
      <w:r w:rsidRPr="000657C2">
        <w:rPr>
          <w:lang w:val="es-ES"/>
        </w:rPr>
        <w:tab/>
      </w:r>
      <w:r>
        <w:rPr>
          <w:lang w:val="es-ES"/>
        </w:rPr>
        <w:t>A</w:t>
      </w:r>
      <w:r w:rsidRPr="000657C2">
        <w:rPr>
          <w:lang w:val="es-ES"/>
        </w:rPr>
        <w:t>cuerdo bilateral para la realizació</w:t>
      </w:r>
      <w:r>
        <w:rPr>
          <w:lang w:val="es-ES"/>
        </w:rPr>
        <w:t xml:space="preserve">n de exámenes DHE concertado el </w:t>
      </w:r>
      <w:r w:rsidRPr="000657C2">
        <w:rPr>
          <w:lang w:val="es-ES"/>
        </w:rPr>
        <w:t>11 de agosto de 2000 con el Centro Polaco de Investigación para el Examen de Cultivares (COBORU)</w:t>
      </w:r>
      <w:r>
        <w:rPr>
          <w:lang w:val="es-ES"/>
        </w:rPr>
        <w:t>, modificado</w:t>
      </w:r>
      <w:r>
        <w:rPr>
          <w:lang w:val="es-ES"/>
        </w:rPr>
        <w:t xml:space="preserve"> el</w:t>
      </w:r>
      <w:r>
        <w:rPr>
          <w:lang w:val="es-ES"/>
        </w:rPr>
        <w:br/>
      </w:r>
      <w:r w:rsidRPr="000657C2">
        <w:rPr>
          <w:lang w:val="es-ES"/>
        </w:rPr>
        <w:t xml:space="preserve">14 de noviembre de 2012 </w:t>
      </w:r>
      <w:r>
        <w:rPr>
          <w:lang w:val="es-ES"/>
        </w:rPr>
        <w:t>en virtud del</w:t>
      </w:r>
      <w:r w:rsidRPr="000657C2">
        <w:rPr>
          <w:lang w:val="es-ES"/>
        </w:rPr>
        <w:t xml:space="preserve"> el </w:t>
      </w:r>
      <w:r>
        <w:rPr>
          <w:lang w:val="es-ES"/>
        </w:rPr>
        <w:t>A</w:t>
      </w:r>
      <w:r w:rsidRPr="000657C2">
        <w:rPr>
          <w:lang w:val="es-ES"/>
        </w:rPr>
        <w:t xml:space="preserve">cuerdo </w:t>
      </w:r>
      <w:r>
        <w:rPr>
          <w:lang w:val="es-ES"/>
        </w:rPr>
        <w:t xml:space="preserve">de administración </w:t>
      </w:r>
      <w:r w:rsidRPr="000657C2">
        <w:rPr>
          <w:lang w:val="es-ES"/>
        </w:rPr>
        <w:t>N.º 1/2012/19T-247;</w:t>
      </w:r>
    </w:p>
    <w:p w:rsidR="003E201B" w:rsidRPr="000657C2" w:rsidRDefault="003E201B" w:rsidP="003E201B">
      <w:pPr>
        <w:ind w:left="567" w:hanging="567"/>
        <w:rPr>
          <w:lang w:val="es-ES"/>
        </w:rPr>
      </w:pPr>
    </w:p>
    <w:p w:rsidR="003E201B" w:rsidRPr="000657C2" w:rsidRDefault="003E201B" w:rsidP="003E201B">
      <w:pPr>
        <w:ind w:left="567" w:hanging="567"/>
        <w:rPr>
          <w:lang w:val="es-ES"/>
        </w:rPr>
      </w:pPr>
      <w:r w:rsidRPr="000657C2">
        <w:rPr>
          <w:lang w:val="es-ES"/>
        </w:rPr>
        <w:t>–</w:t>
      </w:r>
      <w:r w:rsidRPr="000657C2">
        <w:rPr>
          <w:lang w:val="es-ES"/>
        </w:rPr>
        <w:tab/>
      </w:r>
      <w:r>
        <w:rPr>
          <w:lang w:val="es-ES"/>
        </w:rPr>
        <w:t>A</w:t>
      </w:r>
      <w:r w:rsidRPr="000657C2">
        <w:rPr>
          <w:lang w:val="es-ES"/>
        </w:rPr>
        <w:t>cuerdo N.º 10 relativo a la transmisión de los resultados del examen técnico para los exámenes DHE, concertado el 30 de junio de 2006 con la Oficina Federal de Variedades Vegetales de Alemania (</w:t>
      </w:r>
      <w:proofErr w:type="spellStart"/>
      <w:r w:rsidRPr="000657C2">
        <w:rPr>
          <w:i/>
          <w:lang w:val="es-ES"/>
        </w:rPr>
        <w:t>Bundessortenamt</w:t>
      </w:r>
      <w:proofErr w:type="spellEnd"/>
      <w:r w:rsidRPr="000657C2">
        <w:rPr>
          <w:lang w:val="es-ES"/>
        </w:rPr>
        <w:t xml:space="preserve">), </w:t>
      </w:r>
      <w:r>
        <w:rPr>
          <w:lang w:val="es-ES"/>
        </w:rPr>
        <w:t>modificado</w:t>
      </w:r>
      <w:r w:rsidRPr="000657C2">
        <w:rPr>
          <w:lang w:val="es-ES"/>
        </w:rPr>
        <w:t xml:space="preserve"> el 18 de octubre de 2010 en virtud del </w:t>
      </w:r>
      <w:r>
        <w:rPr>
          <w:lang w:val="es-ES"/>
        </w:rPr>
        <w:t>a</w:t>
      </w:r>
      <w:r w:rsidRPr="000657C2">
        <w:rPr>
          <w:lang w:val="es-ES"/>
        </w:rPr>
        <w:t>cuerdo N.º 19T-98.</w:t>
      </w:r>
    </w:p>
    <w:p w:rsidR="003E201B" w:rsidRPr="000657C2" w:rsidRDefault="003E201B" w:rsidP="003E201B">
      <w:pPr>
        <w:ind w:left="567" w:hanging="567"/>
        <w:rPr>
          <w:lang w:val="es-ES"/>
        </w:rPr>
      </w:pPr>
    </w:p>
    <w:p w:rsidR="003E201B" w:rsidRPr="000657C2" w:rsidRDefault="003E201B" w:rsidP="003E201B">
      <w:pPr>
        <w:ind w:left="567" w:hanging="567"/>
        <w:rPr>
          <w:lang w:val="es-ES"/>
        </w:rPr>
      </w:pPr>
    </w:p>
    <w:p w:rsidR="003E201B" w:rsidRPr="000657C2" w:rsidRDefault="003E201B" w:rsidP="003E201B">
      <w:pPr>
        <w:rPr>
          <w:rFonts w:cs="Arial"/>
          <w:u w:val="single"/>
          <w:lang w:val="es-ES"/>
        </w:rPr>
      </w:pPr>
      <w:r w:rsidRPr="000657C2">
        <w:rPr>
          <w:rFonts w:cs="Arial"/>
          <w:lang w:val="es-ES"/>
        </w:rPr>
        <w:t>3.</w:t>
      </w:r>
      <w:r w:rsidRPr="000657C2">
        <w:rPr>
          <w:rFonts w:cs="Arial"/>
          <w:lang w:val="es-ES"/>
        </w:rPr>
        <w:tab/>
      </w:r>
      <w:r w:rsidRPr="000657C2">
        <w:rPr>
          <w:rFonts w:cs="Arial"/>
          <w:u w:val="single"/>
          <w:lang w:val="es-ES"/>
        </w:rPr>
        <w:t>Situación en el ámbito administrativo</w:t>
      </w:r>
    </w:p>
    <w:p w:rsidR="003E201B" w:rsidRPr="000657C2" w:rsidRDefault="003E201B" w:rsidP="003E201B">
      <w:pPr>
        <w:rPr>
          <w:rFonts w:cs="Arial"/>
          <w:lang w:val="es-ES"/>
        </w:rPr>
      </w:pPr>
    </w:p>
    <w:p w:rsidR="003E201B" w:rsidRPr="000657C2" w:rsidRDefault="003E201B" w:rsidP="003E201B">
      <w:pPr>
        <w:ind w:left="567" w:hanging="567"/>
        <w:rPr>
          <w:rFonts w:cs="Arial"/>
          <w:lang w:val="es-ES"/>
        </w:rPr>
      </w:pPr>
      <w:r w:rsidRPr="000657C2">
        <w:rPr>
          <w:rFonts w:cs="Arial"/>
          <w:lang w:val="es-ES"/>
        </w:rPr>
        <w:t>–</w:t>
      </w:r>
      <w:r w:rsidRPr="000657C2">
        <w:rPr>
          <w:rFonts w:cs="Arial"/>
          <w:lang w:val="es-ES"/>
        </w:rPr>
        <w:tab/>
        <w:t xml:space="preserve">La División de Variedades Vegetales del Servicio Estatal de Plantas, bajo los auspicios del Ministerio de Agricultura de la República de Lituania, es responsable del examen de las variedades vegetales, la elaboración de listas y la protección jurídica; </w:t>
      </w:r>
    </w:p>
    <w:p w:rsidR="003E201B" w:rsidRPr="000657C2" w:rsidRDefault="003E201B" w:rsidP="003E201B">
      <w:pPr>
        <w:ind w:left="567" w:hanging="567"/>
        <w:rPr>
          <w:rFonts w:cs="Arial"/>
          <w:lang w:val="es-ES"/>
        </w:rPr>
      </w:pPr>
    </w:p>
    <w:p w:rsidR="003E201B" w:rsidRPr="000657C2" w:rsidRDefault="003E201B" w:rsidP="003E201B">
      <w:pPr>
        <w:ind w:left="567" w:hanging="567"/>
        <w:rPr>
          <w:rFonts w:cs="Arial"/>
          <w:lang w:val="es-ES"/>
        </w:rPr>
      </w:pPr>
      <w:r w:rsidRPr="000657C2">
        <w:rPr>
          <w:rFonts w:cs="Arial"/>
          <w:lang w:val="es-ES"/>
        </w:rPr>
        <w:t>–</w:t>
      </w:r>
      <w:r w:rsidRPr="000657C2">
        <w:rPr>
          <w:rFonts w:cs="Arial"/>
          <w:lang w:val="es-ES"/>
        </w:rPr>
        <w:tab/>
        <w:t>La Comisión de Evaluación de las solicitudes de protección de obtenciones vegetales, cuya creación se aprobó el 6 de mayo de 2011 en virtud de la Orden N.º A1-141 del director del Servicio Estatal de Plantas del Ministerio de Agricultura de la República de Lituania, se modificó el 9 de octubre de 2020 en virtud la Orden N.º A1-489 del director del Servicio Estatal de Plantas del Ministerio de Agricultura de la República de Lituania;</w:t>
      </w:r>
    </w:p>
    <w:p w:rsidR="003E201B" w:rsidRPr="000657C2" w:rsidRDefault="003E201B" w:rsidP="003E201B">
      <w:pPr>
        <w:ind w:left="567" w:hanging="567"/>
        <w:rPr>
          <w:rFonts w:cs="Arial"/>
          <w:lang w:val="es-ES"/>
        </w:rPr>
      </w:pPr>
    </w:p>
    <w:p w:rsidR="003E201B" w:rsidRPr="000657C2" w:rsidRDefault="003E201B" w:rsidP="003E201B">
      <w:pPr>
        <w:ind w:left="567" w:hanging="567"/>
        <w:rPr>
          <w:rFonts w:cs="Arial"/>
          <w:lang w:val="es-ES"/>
        </w:rPr>
      </w:pPr>
      <w:r w:rsidRPr="000657C2">
        <w:rPr>
          <w:rFonts w:cs="Arial"/>
          <w:lang w:val="es-ES"/>
        </w:rPr>
        <w:t>–</w:t>
      </w:r>
      <w:r w:rsidRPr="000657C2">
        <w:rPr>
          <w:rFonts w:cs="Arial"/>
          <w:lang w:val="es-ES"/>
        </w:rPr>
        <w:tab/>
        <w:t>La concesión de títulos de protección de las obtenciones vegetales deberá ser aprobada por decisión del director del Servicio Estatal de Plantas del Ministerio de Agricultura de la República de Lituania;</w:t>
      </w:r>
    </w:p>
    <w:p w:rsidR="003E201B" w:rsidRPr="000657C2" w:rsidRDefault="003E201B" w:rsidP="003E201B">
      <w:pPr>
        <w:ind w:left="567" w:hanging="567"/>
        <w:rPr>
          <w:rFonts w:cs="Arial"/>
          <w:lang w:val="es-ES"/>
        </w:rPr>
      </w:pPr>
    </w:p>
    <w:p w:rsidR="003E201B" w:rsidRPr="000657C2" w:rsidRDefault="003E201B" w:rsidP="003E201B">
      <w:pPr>
        <w:ind w:left="567" w:hanging="567"/>
        <w:rPr>
          <w:rFonts w:cs="Arial"/>
          <w:lang w:val="es-ES"/>
        </w:rPr>
      </w:pPr>
      <w:r w:rsidRPr="000657C2">
        <w:rPr>
          <w:rFonts w:cs="Arial"/>
          <w:lang w:val="es-ES"/>
        </w:rPr>
        <w:t>–</w:t>
      </w:r>
      <w:r w:rsidRPr="000657C2">
        <w:rPr>
          <w:rFonts w:cs="Arial"/>
          <w:lang w:val="es-ES"/>
        </w:rPr>
        <w:tab/>
        <w:t>Los procedimientos y el sistema de protección de las obtenciones vegetales están estipulados en la Ley de Protección de las Obtenciones Vegetales de la República de Lituania.</w:t>
      </w:r>
    </w:p>
    <w:p w:rsidR="003E201B" w:rsidRDefault="003E201B" w:rsidP="003E201B">
      <w:pPr>
        <w:ind w:left="567" w:hanging="567"/>
        <w:rPr>
          <w:rFonts w:cs="Arial"/>
          <w:lang w:val="es-ES"/>
        </w:rPr>
      </w:pPr>
    </w:p>
    <w:p w:rsidR="003E201B" w:rsidRPr="000657C2" w:rsidRDefault="003E201B" w:rsidP="003E201B">
      <w:pPr>
        <w:ind w:left="567" w:hanging="567"/>
        <w:rPr>
          <w:rFonts w:cs="Arial"/>
          <w:lang w:val="es-ES"/>
        </w:rPr>
      </w:pPr>
    </w:p>
    <w:p w:rsidR="003E201B" w:rsidRPr="000657C2" w:rsidRDefault="003E201B" w:rsidP="003E201B">
      <w:pPr>
        <w:keepNext/>
        <w:rPr>
          <w:rFonts w:cs="Arial"/>
          <w:lang w:val="es-ES"/>
        </w:rPr>
      </w:pPr>
      <w:r w:rsidRPr="000657C2">
        <w:rPr>
          <w:rFonts w:cs="Arial"/>
          <w:lang w:val="es-ES"/>
        </w:rPr>
        <w:t>4.</w:t>
      </w:r>
      <w:r w:rsidRPr="000657C2">
        <w:rPr>
          <w:rFonts w:cs="Arial"/>
          <w:lang w:val="es-ES"/>
        </w:rPr>
        <w:tab/>
      </w:r>
      <w:r w:rsidRPr="000657C2">
        <w:rPr>
          <w:rFonts w:cs="Arial"/>
          <w:u w:val="single"/>
          <w:lang w:val="es-ES"/>
        </w:rPr>
        <w:t>Situación en el ámbito técnico</w:t>
      </w:r>
    </w:p>
    <w:p w:rsidR="003E201B" w:rsidRPr="000657C2" w:rsidRDefault="003E201B" w:rsidP="003E201B">
      <w:pPr>
        <w:keepNext/>
        <w:rPr>
          <w:rFonts w:cs="Arial"/>
          <w:lang w:val="es-ES"/>
        </w:rPr>
      </w:pPr>
    </w:p>
    <w:p w:rsidR="003E201B" w:rsidRPr="000657C2" w:rsidRDefault="003E201B" w:rsidP="003E201B">
      <w:pPr>
        <w:ind w:left="567" w:hanging="567"/>
        <w:rPr>
          <w:rFonts w:cs="Arial"/>
          <w:lang w:val="es-ES"/>
        </w:rPr>
      </w:pPr>
      <w:r w:rsidRPr="000657C2">
        <w:rPr>
          <w:rFonts w:cs="Arial"/>
          <w:lang w:val="es-ES"/>
        </w:rPr>
        <w:t>–</w:t>
      </w:r>
      <w:r w:rsidRPr="000657C2">
        <w:rPr>
          <w:rFonts w:cs="Arial"/>
          <w:lang w:val="es-ES"/>
        </w:rPr>
        <w:tab/>
      </w:r>
      <w:r>
        <w:rPr>
          <w:rFonts w:cs="Arial"/>
          <w:lang w:val="es-ES"/>
        </w:rPr>
        <w:t>En</w:t>
      </w:r>
      <w:r w:rsidRPr="000657C2">
        <w:rPr>
          <w:rFonts w:cs="Arial"/>
          <w:lang w:val="es-ES"/>
        </w:rPr>
        <w:t xml:space="preserve"> virtud del Acuerdo de administración N.º 1/2012/19T-247, modificado el 14 de noviembre de 2012, </w:t>
      </w:r>
      <w:r>
        <w:rPr>
          <w:rFonts w:cs="Arial"/>
          <w:lang w:val="es-ES"/>
        </w:rPr>
        <w:t>l</w:t>
      </w:r>
      <w:r w:rsidRPr="000657C2">
        <w:rPr>
          <w:rFonts w:cs="Arial"/>
          <w:lang w:val="es-ES"/>
        </w:rPr>
        <w:t xml:space="preserve">os exámenes DHE </w:t>
      </w:r>
      <w:r>
        <w:rPr>
          <w:rFonts w:cs="Arial"/>
          <w:lang w:val="es-ES"/>
        </w:rPr>
        <w:t>son efectuados por el</w:t>
      </w:r>
      <w:r w:rsidRPr="000657C2">
        <w:rPr>
          <w:rFonts w:cs="Arial"/>
          <w:lang w:val="es-ES"/>
        </w:rPr>
        <w:t xml:space="preserve"> Centro Polaco de Investigación para el Examen de Cultivares (COBORU) </w:t>
      </w:r>
      <w:r>
        <w:rPr>
          <w:rFonts w:cs="Arial"/>
          <w:lang w:val="es-ES"/>
        </w:rPr>
        <w:t>o por</w:t>
      </w:r>
      <w:r w:rsidRPr="000657C2">
        <w:rPr>
          <w:rFonts w:cs="Arial"/>
          <w:lang w:val="es-ES"/>
        </w:rPr>
        <w:t xml:space="preserve"> otro órgano competente de la Unión Europea</w:t>
      </w:r>
      <w:r>
        <w:rPr>
          <w:rFonts w:cs="Arial"/>
          <w:lang w:val="es-ES"/>
        </w:rPr>
        <w:t>,</w:t>
      </w:r>
      <w:r w:rsidRPr="000657C2">
        <w:rPr>
          <w:rFonts w:cs="Arial"/>
          <w:lang w:val="es-ES"/>
        </w:rPr>
        <w:t xml:space="preserve"> si así lo solicita el obtentor. </w:t>
      </w:r>
    </w:p>
    <w:p w:rsidR="003E201B" w:rsidRPr="000657C2" w:rsidRDefault="003E201B" w:rsidP="003E201B">
      <w:pPr>
        <w:ind w:left="567" w:hanging="567"/>
        <w:rPr>
          <w:rFonts w:cs="Arial"/>
          <w:lang w:val="es-ES"/>
        </w:rPr>
      </w:pPr>
    </w:p>
    <w:p w:rsidR="003E201B" w:rsidRPr="000657C2" w:rsidRDefault="003E201B" w:rsidP="003E201B">
      <w:pPr>
        <w:ind w:left="567" w:hanging="567"/>
        <w:rPr>
          <w:rFonts w:cs="Arial"/>
          <w:lang w:val="es-ES"/>
        </w:rPr>
      </w:pPr>
    </w:p>
    <w:p w:rsidR="003E201B" w:rsidRPr="000657C2" w:rsidRDefault="003E201B" w:rsidP="003E201B">
      <w:pPr>
        <w:rPr>
          <w:rFonts w:cs="Arial"/>
          <w:u w:val="single"/>
          <w:lang w:val="es-ES"/>
        </w:rPr>
      </w:pPr>
      <w:r w:rsidRPr="000657C2">
        <w:rPr>
          <w:rFonts w:cs="Arial"/>
          <w:lang w:val="es-ES"/>
        </w:rPr>
        <w:t>5.</w:t>
      </w:r>
      <w:r w:rsidRPr="000657C2">
        <w:rPr>
          <w:rFonts w:cs="Arial"/>
          <w:lang w:val="es-ES"/>
        </w:rPr>
        <w:tab/>
      </w:r>
      <w:r w:rsidRPr="000657C2">
        <w:rPr>
          <w:rFonts w:cs="Arial"/>
          <w:u w:val="single"/>
          <w:lang w:val="es-ES"/>
        </w:rPr>
        <w:t>Actividades para la promoción de la protección de las obtenciones vegetales</w:t>
      </w:r>
    </w:p>
    <w:p w:rsidR="003E201B" w:rsidRPr="000657C2" w:rsidRDefault="003E201B" w:rsidP="003E201B">
      <w:pPr>
        <w:rPr>
          <w:rFonts w:cs="Arial"/>
          <w:lang w:val="es-E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63"/>
        <w:gridCol w:w="1134"/>
        <w:gridCol w:w="1275"/>
        <w:gridCol w:w="1872"/>
        <w:gridCol w:w="2523"/>
      </w:tblGrid>
      <w:tr w:rsidR="003E201B" w:rsidRPr="00424F8C" w:rsidTr="003E201B">
        <w:tc>
          <w:tcPr>
            <w:tcW w:w="1809" w:type="dxa"/>
            <w:shd w:val="clear" w:color="auto" w:fill="auto"/>
            <w:tcMar>
              <w:top w:w="28" w:type="dxa"/>
              <w:left w:w="57" w:type="dxa"/>
              <w:bottom w:w="28" w:type="dxa"/>
              <w:right w:w="57" w:type="dxa"/>
            </w:tcMar>
          </w:tcPr>
          <w:p w:rsidR="003E201B" w:rsidRPr="003E201B" w:rsidRDefault="003E201B" w:rsidP="00AA577D">
            <w:pPr>
              <w:jc w:val="left"/>
              <w:rPr>
                <w:rFonts w:cs="Arial"/>
                <w:sz w:val="16"/>
                <w:szCs w:val="18"/>
                <w:lang w:val="es-ES"/>
              </w:rPr>
            </w:pPr>
            <w:r w:rsidRPr="003E201B">
              <w:rPr>
                <w:rFonts w:cs="Arial"/>
                <w:sz w:val="16"/>
                <w:szCs w:val="18"/>
                <w:lang w:val="es-ES"/>
              </w:rPr>
              <w:t>Título de la actividad</w:t>
            </w:r>
          </w:p>
        </w:tc>
        <w:tc>
          <w:tcPr>
            <w:tcW w:w="1163" w:type="dxa"/>
            <w:shd w:val="clear" w:color="auto" w:fill="auto"/>
            <w:tcMar>
              <w:top w:w="28" w:type="dxa"/>
              <w:left w:w="57" w:type="dxa"/>
              <w:bottom w:w="28" w:type="dxa"/>
              <w:right w:w="57" w:type="dxa"/>
            </w:tcMar>
          </w:tcPr>
          <w:p w:rsidR="003E201B" w:rsidRPr="003E201B" w:rsidRDefault="003E201B" w:rsidP="00AA577D">
            <w:pPr>
              <w:jc w:val="left"/>
              <w:rPr>
                <w:rFonts w:cs="Arial"/>
                <w:sz w:val="16"/>
                <w:szCs w:val="18"/>
                <w:lang w:val="es-ES"/>
              </w:rPr>
            </w:pPr>
            <w:r w:rsidRPr="003E201B">
              <w:rPr>
                <w:rFonts w:cs="Arial"/>
                <w:sz w:val="16"/>
                <w:szCs w:val="18"/>
                <w:lang w:val="es-ES"/>
              </w:rPr>
              <w:t>Fecha</w:t>
            </w:r>
          </w:p>
        </w:tc>
        <w:tc>
          <w:tcPr>
            <w:tcW w:w="1134" w:type="dxa"/>
            <w:shd w:val="clear" w:color="auto" w:fill="auto"/>
            <w:tcMar>
              <w:top w:w="28" w:type="dxa"/>
              <w:left w:w="57" w:type="dxa"/>
              <w:bottom w:w="28" w:type="dxa"/>
              <w:right w:w="57" w:type="dxa"/>
            </w:tcMar>
          </w:tcPr>
          <w:p w:rsidR="003E201B" w:rsidRPr="003E201B" w:rsidRDefault="003E201B" w:rsidP="00AA577D">
            <w:pPr>
              <w:jc w:val="left"/>
              <w:rPr>
                <w:rFonts w:cs="Arial"/>
                <w:sz w:val="16"/>
                <w:szCs w:val="18"/>
                <w:lang w:val="es-ES"/>
              </w:rPr>
            </w:pPr>
            <w:r w:rsidRPr="003E201B">
              <w:rPr>
                <w:rFonts w:cs="Arial"/>
                <w:sz w:val="16"/>
                <w:szCs w:val="18"/>
                <w:lang w:val="es-ES"/>
              </w:rPr>
              <w:t>Lugar</w:t>
            </w:r>
          </w:p>
        </w:tc>
        <w:tc>
          <w:tcPr>
            <w:tcW w:w="1275" w:type="dxa"/>
            <w:shd w:val="clear" w:color="auto" w:fill="auto"/>
            <w:tcMar>
              <w:top w:w="28" w:type="dxa"/>
              <w:left w:w="57" w:type="dxa"/>
              <w:bottom w:w="28" w:type="dxa"/>
              <w:right w:w="57" w:type="dxa"/>
            </w:tcMar>
          </w:tcPr>
          <w:p w:rsidR="003E201B" w:rsidRPr="003E201B" w:rsidRDefault="003E201B" w:rsidP="00AA577D">
            <w:pPr>
              <w:jc w:val="left"/>
              <w:rPr>
                <w:rFonts w:cs="Arial"/>
                <w:sz w:val="16"/>
                <w:szCs w:val="18"/>
                <w:lang w:val="es-ES"/>
              </w:rPr>
            </w:pPr>
            <w:r w:rsidRPr="003E201B">
              <w:rPr>
                <w:rFonts w:cs="Arial"/>
                <w:sz w:val="16"/>
                <w:szCs w:val="18"/>
                <w:lang w:val="es-ES"/>
              </w:rPr>
              <w:t>Organizadores</w:t>
            </w:r>
          </w:p>
        </w:tc>
        <w:tc>
          <w:tcPr>
            <w:tcW w:w="1872" w:type="dxa"/>
            <w:shd w:val="clear" w:color="auto" w:fill="auto"/>
            <w:tcMar>
              <w:top w:w="28" w:type="dxa"/>
              <w:left w:w="57" w:type="dxa"/>
              <w:bottom w:w="28" w:type="dxa"/>
              <w:right w:w="57" w:type="dxa"/>
            </w:tcMar>
          </w:tcPr>
          <w:p w:rsidR="003E201B" w:rsidRPr="003E201B" w:rsidRDefault="003E201B" w:rsidP="00AA577D">
            <w:pPr>
              <w:jc w:val="left"/>
              <w:rPr>
                <w:rFonts w:cs="Arial"/>
                <w:sz w:val="16"/>
                <w:szCs w:val="18"/>
                <w:lang w:val="es-ES"/>
              </w:rPr>
            </w:pPr>
            <w:r w:rsidRPr="003E201B">
              <w:rPr>
                <w:rFonts w:cs="Arial"/>
                <w:sz w:val="16"/>
                <w:szCs w:val="18"/>
                <w:lang w:val="es-ES"/>
              </w:rPr>
              <w:t>Finalidad de la actividad</w:t>
            </w:r>
          </w:p>
        </w:tc>
        <w:tc>
          <w:tcPr>
            <w:tcW w:w="2523" w:type="dxa"/>
            <w:shd w:val="clear" w:color="auto" w:fill="auto"/>
            <w:tcMar>
              <w:top w:w="28" w:type="dxa"/>
              <w:left w:w="57" w:type="dxa"/>
              <w:bottom w:w="28" w:type="dxa"/>
              <w:right w:w="57" w:type="dxa"/>
            </w:tcMar>
          </w:tcPr>
          <w:p w:rsidR="003E201B" w:rsidRPr="003E201B" w:rsidRDefault="003E201B" w:rsidP="00AA577D">
            <w:pPr>
              <w:jc w:val="left"/>
              <w:rPr>
                <w:rFonts w:cs="Arial"/>
                <w:sz w:val="16"/>
                <w:szCs w:val="18"/>
                <w:lang w:val="es-ES"/>
              </w:rPr>
            </w:pPr>
            <w:r w:rsidRPr="003E201B">
              <w:rPr>
                <w:rFonts w:cs="Arial"/>
                <w:sz w:val="16"/>
                <w:szCs w:val="18"/>
                <w:lang w:val="es-ES"/>
              </w:rPr>
              <w:t>Países/organizaciones participantes (número de participantes en cada caso)</w:t>
            </w:r>
          </w:p>
        </w:tc>
      </w:tr>
      <w:tr w:rsidR="003E201B" w:rsidRPr="00424F8C" w:rsidTr="003E201B">
        <w:tc>
          <w:tcPr>
            <w:tcW w:w="1809"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 xml:space="preserve">1. </w:t>
            </w:r>
            <w:r w:rsidRPr="003E201B">
              <w:rPr>
                <w:rFonts w:cs="Arial"/>
                <w:sz w:val="16"/>
                <w:szCs w:val="18"/>
                <w:lang w:val="es-ES"/>
              </w:rPr>
              <w:t>Reunión virtual del Consejo de Administración de la OCVV</w:t>
            </w:r>
          </w:p>
        </w:tc>
        <w:tc>
          <w:tcPr>
            <w:tcW w:w="1163"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30 de septiembre de 2020</w:t>
            </w:r>
          </w:p>
        </w:tc>
        <w:tc>
          <w:tcPr>
            <w:tcW w:w="1134"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Angers (Francia)</w:t>
            </w:r>
          </w:p>
        </w:tc>
        <w:tc>
          <w:tcPr>
            <w:tcW w:w="1275"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rFonts w:cs="Arial"/>
                <w:sz w:val="16"/>
                <w:szCs w:val="18"/>
                <w:lang w:val="es-ES"/>
              </w:rPr>
              <w:t>OCVV</w:t>
            </w:r>
          </w:p>
        </w:tc>
        <w:tc>
          <w:tcPr>
            <w:tcW w:w="1872"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rFonts w:cs="Arial"/>
                <w:sz w:val="16"/>
                <w:szCs w:val="18"/>
                <w:lang w:val="es-ES"/>
              </w:rPr>
              <w:t>Debatir cuestiones relevantes sobre la protección de las obtenciones vegetales</w:t>
            </w:r>
          </w:p>
        </w:tc>
        <w:tc>
          <w:tcPr>
            <w:tcW w:w="2523"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 xml:space="preserve">Comisión Europea (2), </w:t>
            </w:r>
            <w:r w:rsidRPr="003E201B">
              <w:rPr>
                <w:rFonts w:cs="Arial"/>
                <w:sz w:val="16"/>
                <w:szCs w:val="18"/>
                <w:lang w:val="es-ES"/>
              </w:rPr>
              <w:t>OCVV</w:t>
            </w:r>
            <w:r w:rsidRPr="003E201B">
              <w:rPr>
                <w:sz w:val="16"/>
                <w:szCs w:val="18"/>
                <w:lang w:val="es-ES"/>
              </w:rPr>
              <w:t xml:space="preserve"> (7), UPOV (1), </w:t>
            </w:r>
            <w:r w:rsidRPr="003E201B">
              <w:rPr>
                <w:rFonts w:cs="Arial"/>
                <w:sz w:val="16"/>
                <w:szCs w:val="18"/>
                <w:lang w:val="es-ES"/>
              </w:rPr>
              <w:t xml:space="preserve">observadores y Estados miembros </w:t>
            </w:r>
            <w:r w:rsidRPr="003E201B">
              <w:rPr>
                <w:sz w:val="16"/>
                <w:szCs w:val="18"/>
                <w:lang w:val="es-ES"/>
              </w:rPr>
              <w:t xml:space="preserve">(32 </w:t>
            </w:r>
            <w:r w:rsidRPr="003E201B">
              <w:rPr>
                <w:rFonts w:cs="Arial"/>
                <w:sz w:val="16"/>
                <w:szCs w:val="18"/>
                <w:lang w:val="es-ES"/>
              </w:rPr>
              <w:t>en total</w:t>
            </w:r>
            <w:r w:rsidRPr="003E201B">
              <w:rPr>
                <w:sz w:val="16"/>
                <w:szCs w:val="18"/>
                <w:lang w:val="es-ES"/>
              </w:rPr>
              <w:t>)</w:t>
            </w:r>
          </w:p>
        </w:tc>
      </w:tr>
      <w:tr w:rsidR="003E201B" w:rsidRPr="00424F8C" w:rsidTr="003E201B">
        <w:tc>
          <w:tcPr>
            <w:tcW w:w="1809"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 xml:space="preserve">2. </w:t>
            </w:r>
            <w:r w:rsidRPr="003E201B">
              <w:rPr>
                <w:rFonts w:cs="Arial"/>
                <w:sz w:val="16"/>
                <w:szCs w:val="18"/>
                <w:lang w:val="es-ES"/>
              </w:rPr>
              <w:t>Reunión virtual del Comité Administrativo y Jurídico de la UPOV</w:t>
            </w:r>
            <w:r w:rsidRPr="003E201B">
              <w:rPr>
                <w:sz w:val="16"/>
                <w:szCs w:val="18"/>
                <w:lang w:val="es-ES"/>
              </w:rPr>
              <w:t xml:space="preserve"> </w:t>
            </w:r>
          </w:p>
        </w:tc>
        <w:tc>
          <w:tcPr>
            <w:tcW w:w="1163"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28 de octubre de 2020</w:t>
            </w:r>
          </w:p>
        </w:tc>
        <w:tc>
          <w:tcPr>
            <w:tcW w:w="1134"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Ginebra (Suiza)</w:t>
            </w:r>
          </w:p>
        </w:tc>
        <w:tc>
          <w:tcPr>
            <w:tcW w:w="1275"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UPOV</w:t>
            </w:r>
          </w:p>
        </w:tc>
        <w:tc>
          <w:tcPr>
            <w:tcW w:w="1872"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rFonts w:cs="Arial"/>
                <w:sz w:val="16"/>
                <w:szCs w:val="18"/>
                <w:lang w:val="es-ES"/>
              </w:rPr>
              <w:t>Debatir cuestiones relevantes sobre la protección de las obtenciones vegetales</w:t>
            </w:r>
          </w:p>
        </w:tc>
        <w:tc>
          <w:tcPr>
            <w:tcW w:w="2523"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 xml:space="preserve">UPOV (7), Comisión Europea (2), </w:t>
            </w:r>
            <w:r w:rsidRPr="003E201B">
              <w:rPr>
                <w:rFonts w:cs="Arial"/>
                <w:sz w:val="16"/>
                <w:szCs w:val="18"/>
                <w:lang w:val="es-ES"/>
              </w:rPr>
              <w:t>OCVV</w:t>
            </w:r>
            <w:r w:rsidRPr="003E201B">
              <w:rPr>
                <w:sz w:val="16"/>
                <w:szCs w:val="18"/>
                <w:lang w:val="es-ES"/>
              </w:rPr>
              <w:t xml:space="preserve"> (3), Partes Contratantes, </w:t>
            </w:r>
            <w:r w:rsidRPr="003E201B">
              <w:rPr>
                <w:rFonts w:cs="Arial"/>
                <w:sz w:val="16"/>
                <w:szCs w:val="18"/>
                <w:lang w:val="es-ES"/>
              </w:rPr>
              <w:t xml:space="preserve">observadores </w:t>
            </w:r>
            <w:r w:rsidRPr="003E201B">
              <w:rPr>
                <w:sz w:val="16"/>
                <w:szCs w:val="18"/>
                <w:lang w:val="es-ES"/>
              </w:rPr>
              <w:t xml:space="preserve">y organizaciones (68 </w:t>
            </w:r>
            <w:r w:rsidRPr="003E201B">
              <w:rPr>
                <w:rFonts w:cs="Arial"/>
                <w:sz w:val="16"/>
                <w:szCs w:val="18"/>
                <w:lang w:val="es-ES"/>
              </w:rPr>
              <w:t>en total</w:t>
            </w:r>
            <w:r w:rsidRPr="003E201B">
              <w:rPr>
                <w:sz w:val="16"/>
                <w:szCs w:val="18"/>
                <w:lang w:val="es-ES"/>
              </w:rPr>
              <w:t>)</w:t>
            </w:r>
          </w:p>
        </w:tc>
      </w:tr>
      <w:tr w:rsidR="003E201B" w:rsidRPr="00424F8C" w:rsidTr="003E201B">
        <w:tc>
          <w:tcPr>
            <w:tcW w:w="1809"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 xml:space="preserve">3. </w:t>
            </w:r>
            <w:r w:rsidRPr="003E201B">
              <w:rPr>
                <w:rFonts w:cs="Arial"/>
                <w:sz w:val="16"/>
                <w:szCs w:val="18"/>
                <w:lang w:val="es-ES"/>
              </w:rPr>
              <w:t xml:space="preserve">Reunión virtual del Comité Consultivo de la </w:t>
            </w:r>
            <w:r w:rsidRPr="003E201B">
              <w:rPr>
                <w:sz w:val="16"/>
                <w:szCs w:val="18"/>
                <w:lang w:val="es-ES"/>
              </w:rPr>
              <w:t>UPOV</w:t>
            </w:r>
          </w:p>
        </w:tc>
        <w:tc>
          <w:tcPr>
            <w:tcW w:w="1163"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29 de octubre de 2020</w:t>
            </w:r>
          </w:p>
        </w:tc>
        <w:tc>
          <w:tcPr>
            <w:tcW w:w="1134"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Ginebra (Suiza)</w:t>
            </w:r>
          </w:p>
        </w:tc>
        <w:tc>
          <w:tcPr>
            <w:tcW w:w="1275"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UPOV</w:t>
            </w:r>
          </w:p>
        </w:tc>
        <w:tc>
          <w:tcPr>
            <w:tcW w:w="1872"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rFonts w:cs="Arial"/>
                <w:sz w:val="16"/>
                <w:szCs w:val="18"/>
                <w:lang w:val="es-ES"/>
              </w:rPr>
              <w:t>Debatir cuestiones relevantes sobre la protección de las obtenciones vegetales</w:t>
            </w:r>
          </w:p>
        </w:tc>
        <w:tc>
          <w:tcPr>
            <w:tcW w:w="2523"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 xml:space="preserve">UPOV (7), Comisión Europea (2), </w:t>
            </w:r>
            <w:r w:rsidRPr="003E201B">
              <w:rPr>
                <w:rFonts w:cs="Arial"/>
                <w:sz w:val="16"/>
                <w:szCs w:val="18"/>
                <w:lang w:val="es-ES"/>
              </w:rPr>
              <w:t>OCVV</w:t>
            </w:r>
            <w:r w:rsidRPr="003E201B">
              <w:rPr>
                <w:sz w:val="16"/>
                <w:szCs w:val="18"/>
                <w:lang w:val="es-ES"/>
              </w:rPr>
              <w:t xml:space="preserve"> (3), Partes Contratantes, </w:t>
            </w:r>
            <w:r w:rsidRPr="003E201B">
              <w:rPr>
                <w:rFonts w:cs="Arial"/>
                <w:sz w:val="16"/>
                <w:szCs w:val="18"/>
                <w:lang w:val="es-ES"/>
              </w:rPr>
              <w:t xml:space="preserve">observadores </w:t>
            </w:r>
            <w:r w:rsidRPr="003E201B">
              <w:rPr>
                <w:sz w:val="16"/>
                <w:szCs w:val="18"/>
                <w:lang w:val="es-ES"/>
              </w:rPr>
              <w:t xml:space="preserve">y organizaciones (68 </w:t>
            </w:r>
            <w:r w:rsidRPr="003E201B">
              <w:rPr>
                <w:rFonts w:cs="Arial"/>
                <w:sz w:val="16"/>
                <w:szCs w:val="18"/>
                <w:lang w:val="es-ES"/>
              </w:rPr>
              <w:t>en total</w:t>
            </w:r>
            <w:r w:rsidRPr="003E201B">
              <w:rPr>
                <w:sz w:val="16"/>
                <w:szCs w:val="18"/>
                <w:lang w:val="es-ES"/>
              </w:rPr>
              <w:t>)</w:t>
            </w:r>
          </w:p>
        </w:tc>
      </w:tr>
      <w:tr w:rsidR="003E201B" w:rsidRPr="00424F8C" w:rsidTr="003E201B">
        <w:tc>
          <w:tcPr>
            <w:tcW w:w="1809"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 xml:space="preserve">4. </w:t>
            </w:r>
            <w:r w:rsidRPr="003E201B">
              <w:rPr>
                <w:rFonts w:cs="Arial"/>
                <w:sz w:val="16"/>
                <w:szCs w:val="18"/>
                <w:lang w:val="es-ES"/>
              </w:rPr>
              <w:t>Reunión virtual del</w:t>
            </w:r>
            <w:r w:rsidRPr="003E201B">
              <w:rPr>
                <w:sz w:val="16"/>
                <w:szCs w:val="18"/>
                <w:lang w:val="es-ES"/>
              </w:rPr>
              <w:t xml:space="preserve"> Consejo de la UPOV</w:t>
            </w:r>
          </w:p>
        </w:tc>
        <w:tc>
          <w:tcPr>
            <w:tcW w:w="1163"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30 de octubre de 2020</w:t>
            </w:r>
          </w:p>
        </w:tc>
        <w:tc>
          <w:tcPr>
            <w:tcW w:w="1134"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Ginebra (Suiza)</w:t>
            </w:r>
          </w:p>
        </w:tc>
        <w:tc>
          <w:tcPr>
            <w:tcW w:w="1275"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UPOV</w:t>
            </w:r>
          </w:p>
        </w:tc>
        <w:tc>
          <w:tcPr>
            <w:tcW w:w="1872"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rFonts w:cs="Arial"/>
                <w:sz w:val="16"/>
                <w:szCs w:val="18"/>
                <w:lang w:val="es-ES"/>
              </w:rPr>
              <w:t>Debatir cuestiones relevantes sobre la protección de las obtenciones vegetales</w:t>
            </w:r>
          </w:p>
        </w:tc>
        <w:tc>
          <w:tcPr>
            <w:tcW w:w="2523"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 xml:space="preserve">UPOV (7), Comisión Europea (2), </w:t>
            </w:r>
            <w:r w:rsidRPr="003E201B">
              <w:rPr>
                <w:rFonts w:cs="Arial"/>
                <w:sz w:val="16"/>
                <w:szCs w:val="18"/>
                <w:lang w:val="es-ES"/>
              </w:rPr>
              <w:t>OCVV</w:t>
            </w:r>
            <w:r w:rsidRPr="003E201B">
              <w:rPr>
                <w:sz w:val="16"/>
                <w:szCs w:val="18"/>
                <w:lang w:val="es-ES"/>
              </w:rPr>
              <w:t xml:space="preserve"> (3), Partes Contratantes, </w:t>
            </w:r>
            <w:r w:rsidRPr="003E201B">
              <w:rPr>
                <w:rFonts w:cs="Arial"/>
                <w:sz w:val="16"/>
                <w:szCs w:val="18"/>
                <w:lang w:val="es-ES"/>
              </w:rPr>
              <w:t xml:space="preserve">observadores </w:t>
            </w:r>
            <w:r w:rsidRPr="003E201B">
              <w:rPr>
                <w:sz w:val="16"/>
                <w:szCs w:val="18"/>
                <w:lang w:val="es-ES"/>
              </w:rPr>
              <w:t xml:space="preserve">y organizaciones (68 </w:t>
            </w:r>
            <w:r w:rsidRPr="003E201B">
              <w:rPr>
                <w:rFonts w:cs="Arial"/>
                <w:sz w:val="16"/>
                <w:szCs w:val="18"/>
                <w:lang w:val="es-ES"/>
              </w:rPr>
              <w:t>en total</w:t>
            </w:r>
            <w:r w:rsidRPr="003E201B">
              <w:rPr>
                <w:sz w:val="16"/>
                <w:szCs w:val="18"/>
                <w:lang w:val="es-ES"/>
              </w:rPr>
              <w:t>)</w:t>
            </w:r>
          </w:p>
        </w:tc>
      </w:tr>
      <w:tr w:rsidR="003E201B" w:rsidRPr="00424F8C" w:rsidTr="003E201B">
        <w:tc>
          <w:tcPr>
            <w:tcW w:w="1809"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 xml:space="preserve">5. </w:t>
            </w:r>
            <w:r w:rsidRPr="003E201B">
              <w:rPr>
                <w:rFonts w:cs="Arial"/>
                <w:sz w:val="16"/>
                <w:szCs w:val="18"/>
                <w:lang w:val="es-ES"/>
              </w:rPr>
              <w:t>Reunión virtual de la OCVV</w:t>
            </w:r>
            <w:r w:rsidRPr="003E201B">
              <w:rPr>
                <w:sz w:val="16"/>
                <w:szCs w:val="18"/>
                <w:lang w:val="es-ES"/>
              </w:rPr>
              <w:t xml:space="preserve"> con las oficinas de examen</w:t>
            </w:r>
          </w:p>
        </w:tc>
        <w:tc>
          <w:tcPr>
            <w:tcW w:w="1163"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23 de diciembre de 2020</w:t>
            </w:r>
          </w:p>
        </w:tc>
        <w:tc>
          <w:tcPr>
            <w:tcW w:w="1134"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Angers (Francia)</w:t>
            </w:r>
          </w:p>
        </w:tc>
        <w:tc>
          <w:tcPr>
            <w:tcW w:w="1275"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rFonts w:cs="Arial"/>
                <w:sz w:val="16"/>
                <w:szCs w:val="18"/>
                <w:lang w:val="es-ES"/>
              </w:rPr>
              <w:t>OCVV</w:t>
            </w:r>
          </w:p>
        </w:tc>
        <w:tc>
          <w:tcPr>
            <w:tcW w:w="1872"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rFonts w:cs="Arial"/>
                <w:sz w:val="16"/>
                <w:szCs w:val="18"/>
                <w:lang w:val="es-ES"/>
              </w:rPr>
              <w:t>Debatir cuestiones relevantes sobre la protección de las obtenciones vegetales</w:t>
            </w:r>
          </w:p>
        </w:tc>
        <w:tc>
          <w:tcPr>
            <w:tcW w:w="2523" w:type="dxa"/>
            <w:shd w:val="clear" w:color="auto" w:fill="auto"/>
            <w:tcMar>
              <w:top w:w="28" w:type="dxa"/>
              <w:left w:w="57" w:type="dxa"/>
              <w:bottom w:w="28" w:type="dxa"/>
              <w:right w:w="57" w:type="dxa"/>
            </w:tcMar>
          </w:tcPr>
          <w:p w:rsidR="003E201B" w:rsidRPr="003E201B" w:rsidRDefault="003E201B" w:rsidP="00AA577D">
            <w:pPr>
              <w:jc w:val="left"/>
              <w:rPr>
                <w:sz w:val="16"/>
                <w:szCs w:val="18"/>
                <w:lang w:val="es-ES"/>
              </w:rPr>
            </w:pPr>
            <w:r w:rsidRPr="003E201B">
              <w:rPr>
                <w:sz w:val="16"/>
                <w:szCs w:val="18"/>
                <w:lang w:val="es-ES"/>
              </w:rPr>
              <w:t xml:space="preserve">Comisión Europea (2), </w:t>
            </w:r>
            <w:r w:rsidRPr="003E201B">
              <w:rPr>
                <w:rFonts w:cs="Arial"/>
                <w:sz w:val="16"/>
                <w:szCs w:val="18"/>
                <w:lang w:val="es-ES"/>
              </w:rPr>
              <w:t>OCVV</w:t>
            </w:r>
            <w:r w:rsidRPr="003E201B">
              <w:rPr>
                <w:sz w:val="16"/>
                <w:szCs w:val="18"/>
                <w:lang w:val="es-ES"/>
              </w:rPr>
              <w:t xml:space="preserve"> (7), </w:t>
            </w:r>
            <w:r w:rsidRPr="003E201B">
              <w:rPr>
                <w:rFonts w:cs="Arial"/>
                <w:sz w:val="16"/>
                <w:szCs w:val="18"/>
                <w:lang w:val="es-ES"/>
              </w:rPr>
              <w:t>observadores y Estados miembros</w:t>
            </w:r>
            <w:r w:rsidRPr="003E201B">
              <w:rPr>
                <w:sz w:val="16"/>
                <w:szCs w:val="18"/>
                <w:lang w:val="es-ES"/>
              </w:rPr>
              <w:t xml:space="preserve"> (71 </w:t>
            </w:r>
            <w:r w:rsidRPr="003E201B">
              <w:rPr>
                <w:rFonts w:cs="Arial"/>
                <w:sz w:val="16"/>
                <w:szCs w:val="18"/>
                <w:lang w:val="es-ES"/>
              </w:rPr>
              <w:t>en total</w:t>
            </w:r>
            <w:r w:rsidRPr="003E201B">
              <w:rPr>
                <w:sz w:val="16"/>
                <w:szCs w:val="18"/>
                <w:lang w:val="es-ES"/>
              </w:rPr>
              <w:t>)</w:t>
            </w:r>
          </w:p>
        </w:tc>
      </w:tr>
    </w:tbl>
    <w:p w:rsidR="003E201B" w:rsidRPr="000657C2" w:rsidRDefault="003E201B" w:rsidP="003E201B">
      <w:pPr>
        <w:rPr>
          <w:rFonts w:cs="Arial"/>
          <w:lang w:val="es-ES"/>
        </w:rPr>
      </w:pPr>
    </w:p>
    <w:p w:rsidR="003E201B" w:rsidRPr="000657C2" w:rsidRDefault="003E201B" w:rsidP="003E201B">
      <w:pPr>
        <w:ind w:left="567" w:hanging="567"/>
        <w:rPr>
          <w:rFonts w:cs="Arial"/>
          <w:lang w:val="es-ES"/>
        </w:rPr>
      </w:pPr>
      <w:r w:rsidRPr="000657C2">
        <w:rPr>
          <w:rFonts w:cs="Arial"/>
          <w:lang w:val="es-ES"/>
        </w:rPr>
        <w:t>–</w:t>
      </w:r>
      <w:r w:rsidRPr="000657C2">
        <w:rPr>
          <w:rFonts w:cs="Arial"/>
          <w:lang w:val="es-ES"/>
        </w:rPr>
        <w:tab/>
        <w:t>El N.º 1 (33) del Boletín de información sobre los derechos de obtentor y la lista nacional de variedades vegetales, del Servicio Estatal de Plantas del Ministerio de Agricultura de la República de Lituania, se publicó el 20 de enero de 2020, y el N.º 2 (34), el 1 de junio de 2020.</w:t>
      </w:r>
    </w:p>
    <w:p w:rsidR="003E201B" w:rsidRPr="000657C2" w:rsidRDefault="003E201B" w:rsidP="003E201B">
      <w:pPr>
        <w:rPr>
          <w:lang w:val="es-ES"/>
        </w:rPr>
      </w:pPr>
    </w:p>
    <w:p w:rsidR="003E201B" w:rsidRPr="000657C2" w:rsidRDefault="003E201B" w:rsidP="003E201B">
      <w:pPr>
        <w:rPr>
          <w:lang w:val="es-ES"/>
        </w:rPr>
      </w:pPr>
    </w:p>
    <w:p w:rsidR="003E201B" w:rsidRPr="000657C2" w:rsidRDefault="003E201B" w:rsidP="003E201B">
      <w:pPr>
        <w:rPr>
          <w:lang w:val="es-ES"/>
        </w:rPr>
      </w:pPr>
      <w:r w:rsidRPr="000657C2">
        <w:rPr>
          <w:lang w:val="es-ES"/>
        </w:rPr>
        <w:t>II.</w:t>
      </w:r>
      <w:r w:rsidRPr="000657C2">
        <w:rPr>
          <w:lang w:val="es-ES"/>
        </w:rPr>
        <w:tab/>
        <w:t>OTRAS NOVEDADES DE INTERÉS PARA LA UPOV</w:t>
      </w:r>
    </w:p>
    <w:p w:rsidR="003E201B" w:rsidRPr="000657C2" w:rsidRDefault="003E201B" w:rsidP="003E201B">
      <w:pPr>
        <w:rPr>
          <w:lang w:val="es-ES"/>
        </w:rPr>
      </w:pPr>
    </w:p>
    <w:p w:rsidR="003E201B" w:rsidRPr="000657C2" w:rsidRDefault="003E201B" w:rsidP="003E201B">
      <w:pPr>
        <w:ind w:left="567" w:hanging="567"/>
        <w:rPr>
          <w:rFonts w:cs="Arial"/>
          <w:lang w:val="es-ES"/>
        </w:rPr>
      </w:pPr>
      <w:r w:rsidRPr="000657C2">
        <w:rPr>
          <w:rFonts w:cs="Arial"/>
          <w:lang w:val="es-ES"/>
        </w:rPr>
        <w:t>–</w:t>
      </w:r>
      <w:r w:rsidRPr="000657C2">
        <w:rPr>
          <w:rFonts w:cs="Arial"/>
          <w:lang w:val="es-ES"/>
        </w:rPr>
        <w:tab/>
        <w:t xml:space="preserve">La Lista Nacional de Variedades Vegetales de Lituania </w:t>
      </w:r>
      <w:r>
        <w:rPr>
          <w:rFonts w:cs="Arial"/>
          <w:lang w:val="es-ES"/>
        </w:rPr>
        <w:t>correspondiente a</w:t>
      </w:r>
      <w:r w:rsidRPr="000657C2">
        <w:rPr>
          <w:rFonts w:cs="Arial"/>
          <w:lang w:val="es-ES"/>
        </w:rPr>
        <w:t xml:space="preserve"> 2020 </w:t>
      </w:r>
      <w:r>
        <w:rPr>
          <w:rFonts w:cs="Arial"/>
          <w:lang w:val="es-ES"/>
        </w:rPr>
        <w:t>se aprobó</w:t>
      </w:r>
      <w:r>
        <w:rPr>
          <w:rFonts w:cs="Arial"/>
          <w:lang w:val="es-ES"/>
        </w:rPr>
        <w:t xml:space="preserve"> el</w:t>
      </w:r>
      <w:r>
        <w:rPr>
          <w:rFonts w:cs="Arial"/>
          <w:lang w:val="es-ES"/>
        </w:rPr>
        <w:br/>
      </w:r>
      <w:r w:rsidRPr="000657C2">
        <w:rPr>
          <w:rFonts w:cs="Arial"/>
          <w:lang w:val="es-ES"/>
        </w:rPr>
        <w:t>27 de febrero de 2020 en virtud de la Orden Nº A1-75 del director del Servicio Estatal de Plantas del Ministerio de Agricultura de la República de Lituania. El material de reproducción o multiplicación vegetativa de cada una de las variedades registradas de las distintas especies vegetales puede ser objeto de certificación con arreglo a los requisitos obligatorios elaborados de conformidad con las directivas correspondientes de la Unión Europea.</w:t>
      </w:r>
    </w:p>
    <w:p w:rsidR="003E201B" w:rsidRPr="000657C2" w:rsidRDefault="003E201B" w:rsidP="003E201B">
      <w:pPr>
        <w:rPr>
          <w:rFonts w:cs="Arial"/>
          <w:lang w:val="es-ES"/>
        </w:rPr>
      </w:pPr>
    </w:p>
    <w:p w:rsidR="00C36D01" w:rsidRPr="00592F7C" w:rsidRDefault="00C36D01" w:rsidP="00C36D01">
      <w:pPr>
        <w:rPr>
          <w:lang w:val="es-ES"/>
        </w:rPr>
      </w:pPr>
    </w:p>
    <w:p w:rsidR="0078167F" w:rsidRDefault="0078167F" w:rsidP="0078167F">
      <w:pPr>
        <w:jc w:val="left"/>
      </w:pPr>
    </w:p>
    <w:p w:rsidR="0078167F" w:rsidRDefault="00E80B45" w:rsidP="0078167F">
      <w:pPr>
        <w:jc w:val="right"/>
      </w:pPr>
      <w:r>
        <w:t>[Sigue el Anexo</w:t>
      </w:r>
      <w:r w:rsidR="0078167F">
        <w:t xml:space="preserve"> VI</w:t>
      </w:r>
      <w:r>
        <w:t>]</w:t>
      </w:r>
    </w:p>
    <w:p w:rsidR="0078167F" w:rsidRDefault="0078167F" w:rsidP="0078167F"/>
    <w:p w:rsidR="0078167F" w:rsidRDefault="0078167F" w:rsidP="0078167F">
      <w:pPr>
        <w:jc w:val="left"/>
        <w:sectPr w:rsidR="0078167F" w:rsidSect="002D1696">
          <w:headerReference w:type="default" r:id="rId24"/>
          <w:pgSz w:w="11907" w:h="16840" w:code="9"/>
          <w:pgMar w:top="510" w:right="1134" w:bottom="1134" w:left="1134" w:header="510" w:footer="680" w:gutter="0"/>
          <w:pgNumType w:start="1"/>
          <w:cols w:space="720"/>
          <w:titlePg/>
        </w:sectPr>
      </w:pPr>
    </w:p>
    <w:p w:rsidR="0078167F" w:rsidRPr="0075031D" w:rsidRDefault="00C55E19" w:rsidP="0078167F">
      <w:pPr>
        <w:jc w:val="center"/>
      </w:pPr>
      <w:r>
        <w:lastRenderedPageBreak/>
        <w:t>C/55/INF/4</w:t>
      </w:r>
    </w:p>
    <w:p w:rsidR="0078167F" w:rsidRPr="0075031D" w:rsidRDefault="0078167F" w:rsidP="0078167F">
      <w:pPr>
        <w:jc w:val="center"/>
      </w:pPr>
    </w:p>
    <w:p w:rsidR="0078167F" w:rsidRPr="0075031D" w:rsidRDefault="00E80B45" w:rsidP="0078167F">
      <w:pPr>
        <w:jc w:val="center"/>
      </w:pPr>
      <w:r>
        <w:t>ANEXO</w:t>
      </w:r>
      <w:r w:rsidR="0078167F" w:rsidRPr="0075031D">
        <w:t xml:space="preserve"> </w:t>
      </w:r>
      <w:r w:rsidR="0078167F">
        <w:t>V</w:t>
      </w:r>
      <w:r w:rsidR="0078167F" w:rsidRPr="0075031D">
        <w:t>I</w:t>
      </w:r>
    </w:p>
    <w:p w:rsidR="0078167F" w:rsidRPr="0075031D" w:rsidRDefault="0078167F" w:rsidP="0078167F">
      <w:pPr>
        <w:jc w:val="center"/>
      </w:pPr>
    </w:p>
    <w:p w:rsidR="0078167F" w:rsidRDefault="0078167F" w:rsidP="0078167F">
      <w:pPr>
        <w:jc w:val="center"/>
      </w:pPr>
    </w:p>
    <w:p w:rsidR="00C36D01" w:rsidRPr="00592F7C" w:rsidRDefault="003F3E27" w:rsidP="00C36D01">
      <w:pPr>
        <w:jc w:val="center"/>
        <w:rPr>
          <w:lang w:val="es-ES"/>
        </w:rPr>
      </w:pPr>
      <w:r>
        <w:t>MÉXICO</w:t>
      </w:r>
    </w:p>
    <w:p w:rsidR="00C36D01" w:rsidRPr="00592F7C" w:rsidRDefault="00C36D01" w:rsidP="00C36D01">
      <w:pPr>
        <w:rPr>
          <w:lang w:val="es-ES"/>
        </w:rPr>
      </w:pPr>
    </w:p>
    <w:p w:rsidR="00C36D01" w:rsidRPr="00592F7C" w:rsidRDefault="00C36D01" w:rsidP="00C36D01">
      <w:pPr>
        <w:rPr>
          <w:lang w:val="es-ES"/>
        </w:rPr>
      </w:pPr>
    </w:p>
    <w:p w:rsidR="008D0369" w:rsidRPr="00AA1EE1" w:rsidRDefault="008D0369" w:rsidP="008D0369">
      <w:r w:rsidRPr="00AA1EE1">
        <w:t>PROTECCIÓN DE LAS OBTENCIONES VEGETALES</w:t>
      </w:r>
    </w:p>
    <w:p w:rsidR="008D0369" w:rsidRPr="00AA1EE1" w:rsidRDefault="008D0369" w:rsidP="008D0369"/>
    <w:p w:rsidR="008D0369" w:rsidRPr="00AA1EE1" w:rsidRDefault="008D0369" w:rsidP="008D0369">
      <w:pPr>
        <w:rPr>
          <w:u w:val="single"/>
        </w:rPr>
      </w:pPr>
      <w:r>
        <w:t>1.</w:t>
      </w:r>
      <w:r>
        <w:tab/>
      </w:r>
      <w:r w:rsidRPr="00AA1EE1">
        <w:rPr>
          <w:u w:val="single"/>
        </w:rPr>
        <w:t>Situación en el campo legislativo</w:t>
      </w:r>
    </w:p>
    <w:p w:rsidR="008D0369" w:rsidRPr="00AA1EE1" w:rsidRDefault="008D0369" w:rsidP="008D0369">
      <w:pPr>
        <w:rPr>
          <w:u w:val="single"/>
        </w:rPr>
      </w:pPr>
    </w:p>
    <w:p w:rsidR="008D0369" w:rsidRPr="00AA1EE1" w:rsidRDefault="008D0369" w:rsidP="008D0369">
      <w:r w:rsidRPr="00AA1EE1">
        <w:t>México es parte del Convenio de la UPOV, desde agosto de 1997, la legislación actual es conforme al Acta</w:t>
      </w:r>
      <w:r>
        <w:t xml:space="preserve"> de 1978. </w:t>
      </w:r>
      <w:r w:rsidRPr="00AA1EE1">
        <w:t xml:space="preserve"> Sin embargo, en los últimos años se han trabajado propuestas a las reformas de la Ley Federal de Variedades Vegetales, de 1996.</w:t>
      </w:r>
    </w:p>
    <w:p w:rsidR="008D0369" w:rsidRPr="00AA1EE1" w:rsidRDefault="008D0369" w:rsidP="008D0369"/>
    <w:p w:rsidR="008D0369" w:rsidRDefault="008D0369" w:rsidP="008D0369">
      <w:pPr>
        <w:ind w:left="567"/>
      </w:pPr>
      <w:r w:rsidRPr="00AA1EE1">
        <w:t>1.1</w:t>
      </w:r>
      <w:r w:rsidRPr="00AA1EE1">
        <w:tab/>
        <w:t>Modificaciones de la ley y de los reglamentos</w:t>
      </w:r>
    </w:p>
    <w:p w:rsidR="008D0369" w:rsidRPr="00AA1EE1" w:rsidRDefault="008D0369" w:rsidP="008D0369">
      <w:pPr>
        <w:ind w:left="567"/>
      </w:pPr>
    </w:p>
    <w:p w:rsidR="008D0369" w:rsidRPr="00AA1EE1" w:rsidRDefault="008D0369" w:rsidP="008D0369">
      <w:pPr>
        <w:ind w:left="567"/>
        <w:jc w:val="left"/>
      </w:pPr>
      <w:r>
        <w:t xml:space="preserve">Las tasas se actualizan de forma anual, se pueden consultar aquí: </w:t>
      </w:r>
      <w:hyperlink r:id="rId25" w:history="1">
        <w:r>
          <w:rPr>
            <w:rStyle w:val="Hyperlink"/>
            <w:rFonts w:cs="Arial"/>
          </w:rPr>
          <w:t>https://www.gob.mx/cms/uploads/attachment/file/606574/Cuotas-Derechos-2021.pdf</w:t>
        </w:r>
      </w:hyperlink>
    </w:p>
    <w:p w:rsidR="008D0369" w:rsidRDefault="008D0369" w:rsidP="008D0369">
      <w:pPr>
        <w:ind w:left="567"/>
      </w:pPr>
    </w:p>
    <w:p w:rsidR="008D0369" w:rsidRPr="00AA1EE1" w:rsidRDefault="008D0369" w:rsidP="008D0369">
      <w:pPr>
        <w:ind w:left="567"/>
      </w:pPr>
      <w:r w:rsidRPr="00AA1EE1">
        <w:t>1.2</w:t>
      </w:r>
      <w:r w:rsidRPr="00AA1EE1">
        <w:tab/>
        <w:t>Extensión de la protección a otros géneros y especies (realizada o en proyecto)</w:t>
      </w:r>
    </w:p>
    <w:p w:rsidR="008D0369" w:rsidRDefault="008D0369" w:rsidP="008D0369">
      <w:pPr>
        <w:ind w:left="567"/>
      </w:pPr>
    </w:p>
    <w:p w:rsidR="008D0369" w:rsidRPr="00AA1EE1" w:rsidRDefault="008D0369" w:rsidP="008D0369">
      <w:pPr>
        <w:ind w:left="567"/>
      </w:pPr>
      <w:r w:rsidRPr="00AA1EE1">
        <w:t>Desde la publicación de la legislación, México ofreció protección a todos los géneros y especies</w:t>
      </w:r>
      <w:r>
        <w:t>.</w:t>
      </w:r>
    </w:p>
    <w:p w:rsidR="008D0369" w:rsidRPr="00AA1EE1" w:rsidRDefault="008D0369" w:rsidP="008D0369"/>
    <w:p w:rsidR="008D0369" w:rsidRPr="00AA1EE1" w:rsidRDefault="008D0369" w:rsidP="008D0369"/>
    <w:p w:rsidR="008D0369" w:rsidRPr="00AA1EE1" w:rsidRDefault="008D0369" w:rsidP="008D0369">
      <w:pPr>
        <w:rPr>
          <w:u w:val="single"/>
        </w:rPr>
      </w:pPr>
      <w:r w:rsidRPr="00AA1EE1">
        <w:t>2.</w:t>
      </w:r>
      <w:r w:rsidRPr="00AA1EE1">
        <w:tab/>
      </w:r>
      <w:r w:rsidRPr="00AA1EE1">
        <w:rPr>
          <w:u w:val="single"/>
        </w:rPr>
        <w:t>Cooperación en el examen</w:t>
      </w:r>
    </w:p>
    <w:p w:rsidR="008D0369" w:rsidRPr="00AA1EE1" w:rsidRDefault="008D0369" w:rsidP="008D0369">
      <w:pPr>
        <w:rPr>
          <w:u w:val="single"/>
        </w:rPr>
      </w:pPr>
    </w:p>
    <w:p w:rsidR="008D0369" w:rsidRPr="00AA1EE1" w:rsidRDefault="008D0369" w:rsidP="008D0369">
      <w:pPr>
        <w:tabs>
          <w:tab w:val="left" w:pos="851"/>
        </w:tabs>
        <w:ind w:left="426"/>
      </w:pPr>
      <w:r w:rsidRPr="00AA1EE1">
        <w:t>-</w:t>
      </w:r>
      <w:r w:rsidRPr="00AA1EE1">
        <w:tab/>
        <w:t xml:space="preserve">Modificación de acuerdos </w:t>
      </w:r>
      <w:r>
        <w:t>ya existentes</w:t>
      </w:r>
    </w:p>
    <w:p w:rsidR="008D0369" w:rsidRPr="00AA1EE1" w:rsidRDefault="008D0369" w:rsidP="008D0369"/>
    <w:p w:rsidR="008D0369" w:rsidRPr="00AA1EE1" w:rsidRDefault="008D0369" w:rsidP="008D0369">
      <w:pPr>
        <w:ind w:left="426"/>
      </w:pPr>
      <w:r w:rsidRPr="00AA1EE1">
        <w:t>Convenio de Cooperación Técnica entre la Oficina Comunitaria de Variedades Vegetales (OCVV) y el Servicio Nacional de Inspección y Certificación de Semillas</w:t>
      </w:r>
      <w:r>
        <w:t xml:space="preserve"> (SNICS)</w:t>
      </w:r>
      <w:r w:rsidRPr="00AA1EE1">
        <w:t xml:space="preserve">, firmado en 2008 y con diferentes actualizaciones, la última ampliación corresponde a 2020-2025. </w:t>
      </w:r>
      <w:r>
        <w:t xml:space="preserve"> </w:t>
      </w:r>
      <w:r w:rsidRPr="00AA1EE1">
        <w:t xml:space="preserve">Bajo este acuerdo, se realizan exámenes de la Distinción, Homogeneidad y Estabilidad de: aguacate, guayaba, piñón mexicano y pitahaya. </w:t>
      </w:r>
    </w:p>
    <w:p w:rsidR="008D0369" w:rsidRDefault="008D0369" w:rsidP="008D0369"/>
    <w:p w:rsidR="008D0369" w:rsidRPr="00AA1EE1" w:rsidRDefault="008D0369" w:rsidP="008D0369"/>
    <w:p w:rsidR="008D0369" w:rsidRPr="00AA1EE1" w:rsidRDefault="008D0369" w:rsidP="008D0369">
      <w:r w:rsidRPr="00AA1EE1">
        <w:t>3.</w:t>
      </w:r>
      <w:r w:rsidRPr="00AA1EE1">
        <w:tab/>
      </w:r>
      <w:r w:rsidRPr="00AA1EE1">
        <w:rPr>
          <w:u w:val="single"/>
        </w:rPr>
        <w:t>Situación en el campo administrativo</w:t>
      </w:r>
      <w:r>
        <w:t>:  No se han producido cambios.</w:t>
      </w:r>
    </w:p>
    <w:p w:rsidR="008D0369" w:rsidRDefault="008D0369" w:rsidP="008D0369"/>
    <w:p w:rsidR="008D0369" w:rsidRPr="00AA1EE1" w:rsidRDefault="008D0369" w:rsidP="008D0369"/>
    <w:p w:rsidR="008D0369" w:rsidRPr="00AA1EE1" w:rsidRDefault="008D0369" w:rsidP="008D0369">
      <w:r w:rsidRPr="00AA1EE1">
        <w:t>4.</w:t>
      </w:r>
      <w:r w:rsidRPr="00AA1EE1">
        <w:tab/>
      </w:r>
      <w:r w:rsidRPr="00AA1EE1">
        <w:rPr>
          <w:u w:val="single"/>
        </w:rPr>
        <w:t>Situación en el campo técnico</w:t>
      </w:r>
      <w:r>
        <w:t>:  No se han producido cambios.</w:t>
      </w:r>
    </w:p>
    <w:p w:rsidR="008D0369" w:rsidRDefault="008D0369" w:rsidP="008D0369"/>
    <w:p w:rsidR="008D0369" w:rsidRPr="00AA1EE1" w:rsidRDefault="008D0369" w:rsidP="008D0369"/>
    <w:p w:rsidR="008D0369" w:rsidRPr="00AA1EE1" w:rsidRDefault="008D0369" w:rsidP="008D0369">
      <w:pPr>
        <w:rPr>
          <w:u w:val="single"/>
        </w:rPr>
      </w:pPr>
      <w:r w:rsidRPr="00AA1EE1">
        <w:t>5.</w:t>
      </w:r>
      <w:r w:rsidRPr="00AA1EE1">
        <w:tab/>
      </w:r>
      <w:r w:rsidRPr="00AA1EE1">
        <w:rPr>
          <w:u w:val="single"/>
        </w:rPr>
        <w:t>Actividades para la promoción de la protección de las obtenciones vegetales</w:t>
      </w:r>
    </w:p>
    <w:p w:rsidR="008D0369" w:rsidRPr="00AA1EE1" w:rsidRDefault="008D0369" w:rsidP="008D0369"/>
    <w:tbl>
      <w:tblPr>
        <w:tblStyle w:val="TableGrid"/>
        <w:tblW w:w="9918" w:type="dxa"/>
        <w:tblLayout w:type="fixed"/>
        <w:tblCellMar>
          <w:top w:w="28" w:type="dxa"/>
          <w:left w:w="28" w:type="dxa"/>
          <w:bottom w:w="28" w:type="dxa"/>
          <w:right w:w="28" w:type="dxa"/>
        </w:tblCellMar>
        <w:tblLook w:val="01E0" w:firstRow="1" w:lastRow="1" w:firstColumn="1" w:lastColumn="1" w:noHBand="0" w:noVBand="0"/>
      </w:tblPr>
      <w:tblGrid>
        <w:gridCol w:w="1129"/>
        <w:gridCol w:w="737"/>
        <w:gridCol w:w="1022"/>
        <w:gridCol w:w="1417"/>
        <w:gridCol w:w="2211"/>
        <w:gridCol w:w="1843"/>
        <w:gridCol w:w="1559"/>
      </w:tblGrid>
      <w:tr w:rsidR="008D0369" w:rsidRPr="00AA1EE1" w:rsidTr="00AA577D">
        <w:tc>
          <w:tcPr>
            <w:tcW w:w="1129" w:type="dxa"/>
          </w:tcPr>
          <w:p w:rsidR="008D0369" w:rsidRPr="00AA1EE1" w:rsidRDefault="008D0369" w:rsidP="00AA577D">
            <w:pPr>
              <w:jc w:val="left"/>
              <w:rPr>
                <w:sz w:val="16"/>
                <w:szCs w:val="18"/>
              </w:rPr>
            </w:pPr>
            <w:r w:rsidRPr="00AA1EE1">
              <w:rPr>
                <w:sz w:val="16"/>
                <w:szCs w:val="18"/>
              </w:rPr>
              <w:t>Título de la actividad</w:t>
            </w:r>
          </w:p>
        </w:tc>
        <w:tc>
          <w:tcPr>
            <w:tcW w:w="737" w:type="dxa"/>
          </w:tcPr>
          <w:p w:rsidR="008D0369" w:rsidRPr="00AA1EE1" w:rsidRDefault="008D0369" w:rsidP="00AA577D">
            <w:pPr>
              <w:jc w:val="left"/>
              <w:rPr>
                <w:sz w:val="16"/>
                <w:szCs w:val="18"/>
              </w:rPr>
            </w:pPr>
            <w:r w:rsidRPr="00AA1EE1">
              <w:rPr>
                <w:sz w:val="16"/>
                <w:szCs w:val="18"/>
              </w:rPr>
              <w:t>Fecha</w:t>
            </w:r>
          </w:p>
        </w:tc>
        <w:tc>
          <w:tcPr>
            <w:tcW w:w="1022" w:type="dxa"/>
          </w:tcPr>
          <w:p w:rsidR="008D0369" w:rsidRPr="00AA1EE1" w:rsidRDefault="008D0369" w:rsidP="00AA577D">
            <w:pPr>
              <w:jc w:val="left"/>
              <w:rPr>
                <w:sz w:val="16"/>
                <w:szCs w:val="18"/>
              </w:rPr>
            </w:pPr>
            <w:r w:rsidRPr="00AA1EE1">
              <w:rPr>
                <w:sz w:val="16"/>
                <w:szCs w:val="18"/>
              </w:rPr>
              <w:t>Lugar</w:t>
            </w:r>
          </w:p>
        </w:tc>
        <w:tc>
          <w:tcPr>
            <w:tcW w:w="1417" w:type="dxa"/>
          </w:tcPr>
          <w:p w:rsidR="008D0369" w:rsidRPr="00AA1EE1" w:rsidRDefault="008D0369" w:rsidP="00AA577D">
            <w:pPr>
              <w:jc w:val="left"/>
              <w:rPr>
                <w:sz w:val="16"/>
                <w:szCs w:val="18"/>
              </w:rPr>
            </w:pPr>
            <w:r w:rsidRPr="00AA1EE1">
              <w:rPr>
                <w:sz w:val="16"/>
                <w:szCs w:val="18"/>
              </w:rPr>
              <w:t>Organizadores</w:t>
            </w:r>
          </w:p>
        </w:tc>
        <w:tc>
          <w:tcPr>
            <w:tcW w:w="2211" w:type="dxa"/>
          </w:tcPr>
          <w:p w:rsidR="008D0369" w:rsidRPr="00AA1EE1" w:rsidRDefault="008D0369" w:rsidP="00AA577D">
            <w:pPr>
              <w:jc w:val="left"/>
              <w:rPr>
                <w:sz w:val="16"/>
                <w:szCs w:val="18"/>
              </w:rPr>
            </w:pPr>
            <w:r w:rsidRPr="00AA1EE1">
              <w:rPr>
                <w:sz w:val="16"/>
                <w:szCs w:val="18"/>
              </w:rPr>
              <w:t>Finalidad de la actividad</w:t>
            </w:r>
          </w:p>
        </w:tc>
        <w:tc>
          <w:tcPr>
            <w:tcW w:w="1843" w:type="dxa"/>
          </w:tcPr>
          <w:p w:rsidR="008D0369" w:rsidRPr="00AA1EE1" w:rsidRDefault="008D0369" w:rsidP="00AA577D">
            <w:pPr>
              <w:jc w:val="left"/>
              <w:rPr>
                <w:sz w:val="16"/>
                <w:szCs w:val="18"/>
              </w:rPr>
            </w:pPr>
            <w:r w:rsidRPr="00AA1EE1">
              <w:rPr>
                <w:sz w:val="16"/>
                <w:szCs w:val="18"/>
              </w:rPr>
              <w:t>Países participantes/ organizaciones (número de participantes de cada país/organización)</w:t>
            </w:r>
          </w:p>
        </w:tc>
        <w:tc>
          <w:tcPr>
            <w:tcW w:w="1559" w:type="dxa"/>
          </w:tcPr>
          <w:p w:rsidR="008D0369" w:rsidRPr="00AA1EE1" w:rsidRDefault="008D0369" w:rsidP="00AA577D">
            <w:pPr>
              <w:jc w:val="left"/>
              <w:rPr>
                <w:sz w:val="16"/>
                <w:szCs w:val="18"/>
              </w:rPr>
            </w:pPr>
            <w:r w:rsidRPr="00AA1EE1">
              <w:rPr>
                <w:sz w:val="16"/>
                <w:szCs w:val="18"/>
              </w:rPr>
              <w:t>Comentarios</w:t>
            </w:r>
          </w:p>
        </w:tc>
      </w:tr>
      <w:tr w:rsidR="008D0369" w:rsidRPr="00AA1EE1" w:rsidTr="00AA577D">
        <w:tc>
          <w:tcPr>
            <w:tcW w:w="1129" w:type="dxa"/>
          </w:tcPr>
          <w:p w:rsidR="008D0369" w:rsidRPr="00AA1EE1" w:rsidRDefault="008D0369" w:rsidP="00AA577D">
            <w:pPr>
              <w:jc w:val="left"/>
              <w:rPr>
                <w:sz w:val="16"/>
                <w:szCs w:val="16"/>
              </w:rPr>
            </w:pPr>
            <w:r w:rsidRPr="00AA1EE1">
              <w:rPr>
                <w:sz w:val="16"/>
                <w:szCs w:val="16"/>
              </w:rPr>
              <w:t>Foro: “Observancia de los Derechos de Obtentor, de variedades vegetales ornamentales”</w:t>
            </w:r>
          </w:p>
        </w:tc>
        <w:tc>
          <w:tcPr>
            <w:tcW w:w="737" w:type="dxa"/>
          </w:tcPr>
          <w:p w:rsidR="008D0369" w:rsidRPr="00AA1EE1" w:rsidRDefault="008D0369" w:rsidP="00AA577D">
            <w:pPr>
              <w:jc w:val="left"/>
              <w:rPr>
                <w:sz w:val="16"/>
                <w:szCs w:val="16"/>
              </w:rPr>
            </w:pPr>
            <w:r w:rsidRPr="00AA1EE1">
              <w:rPr>
                <w:sz w:val="16"/>
                <w:szCs w:val="16"/>
              </w:rPr>
              <w:t>20 y 21 de mayo de 2021</w:t>
            </w:r>
          </w:p>
        </w:tc>
        <w:tc>
          <w:tcPr>
            <w:tcW w:w="1022" w:type="dxa"/>
          </w:tcPr>
          <w:p w:rsidR="008D0369" w:rsidRPr="00AA1EE1" w:rsidRDefault="008D0369" w:rsidP="00AA577D">
            <w:pPr>
              <w:jc w:val="left"/>
              <w:rPr>
                <w:sz w:val="16"/>
                <w:szCs w:val="16"/>
              </w:rPr>
            </w:pPr>
            <w:r w:rsidRPr="00AA1EE1">
              <w:rPr>
                <w:sz w:val="16"/>
                <w:szCs w:val="16"/>
              </w:rPr>
              <w:t>Ciudad de México, a través de medios virtuales</w:t>
            </w:r>
          </w:p>
        </w:tc>
        <w:tc>
          <w:tcPr>
            <w:tcW w:w="1417" w:type="dxa"/>
          </w:tcPr>
          <w:p w:rsidR="008D0369" w:rsidRPr="00AA1EE1" w:rsidRDefault="008D0369" w:rsidP="00AA577D">
            <w:pPr>
              <w:jc w:val="left"/>
              <w:rPr>
                <w:sz w:val="16"/>
                <w:szCs w:val="16"/>
              </w:rPr>
            </w:pPr>
            <w:r w:rsidRPr="00AA1EE1">
              <w:rPr>
                <w:sz w:val="16"/>
                <w:szCs w:val="16"/>
              </w:rPr>
              <w:t>Servicio Nacional de Inspección y Certificación de Semillas,</w:t>
            </w:r>
            <w:r>
              <w:rPr>
                <w:sz w:val="16"/>
                <w:szCs w:val="16"/>
              </w:rPr>
              <w:t xml:space="preserve"> </w:t>
            </w:r>
            <w:r w:rsidRPr="00AA1EE1">
              <w:rPr>
                <w:sz w:val="16"/>
                <w:szCs w:val="16"/>
              </w:rPr>
              <w:t>Comité Mexicano, Sistema Producto Flores y Ornamentales, Embajada de los Países Bajos y el Servicio de Inspección de Horticultura de los Países</w:t>
            </w:r>
            <w:r w:rsidRPr="00AA1EE1">
              <w:rPr>
                <w:rFonts w:ascii="Montserrat" w:hAnsi="Montserrat"/>
                <w:color w:val="000000"/>
                <w:sz w:val="16"/>
                <w:szCs w:val="16"/>
                <w:lang w:eastAsia="es-MX"/>
              </w:rPr>
              <w:t xml:space="preserve"> </w:t>
            </w:r>
            <w:r w:rsidRPr="00AA1EE1">
              <w:rPr>
                <w:sz w:val="16"/>
                <w:szCs w:val="16"/>
              </w:rPr>
              <w:t>Bajos</w:t>
            </w:r>
          </w:p>
        </w:tc>
        <w:tc>
          <w:tcPr>
            <w:tcW w:w="2211" w:type="dxa"/>
          </w:tcPr>
          <w:p w:rsidR="008D0369" w:rsidRPr="00AA1EE1" w:rsidRDefault="008D0369" w:rsidP="00AA577D">
            <w:pPr>
              <w:jc w:val="left"/>
              <w:rPr>
                <w:sz w:val="16"/>
                <w:szCs w:val="16"/>
              </w:rPr>
            </w:pPr>
            <w:r w:rsidRPr="00AA1EE1">
              <w:rPr>
                <w:sz w:val="16"/>
                <w:szCs w:val="16"/>
              </w:rPr>
              <w:t>Analizar los elementos estratégicos y normativos que permitan la transferencia y el aprovechamiento de innovaciones vegetales en México, así como fomentar el uso de semillas certificada.</w:t>
            </w:r>
          </w:p>
        </w:tc>
        <w:tc>
          <w:tcPr>
            <w:tcW w:w="1843" w:type="dxa"/>
          </w:tcPr>
          <w:p w:rsidR="008D0369" w:rsidRPr="00AA1EE1" w:rsidRDefault="008D0369" w:rsidP="00AA577D">
            <w:pPr>
              <w:jc w:val="left"/>
              <w:rPr>
                <w:sz w:val="16"/>
                <w:szCs w:val="16"/>
              </w:rPr>
            </w:pPr>
            <w:r w:rsidRPr="00AA1EE1">
              <w:rPr>
                <w:sz w:val="16"/>
                <w:szCs w:val="16"/>
              </w:rPr>
              <w:t>México, Chile, Colombia, Ecuador, Perú, República Dominicana y Países Bajos</w:t>
            </w:r>
          </w:p>
        </w:tc>
        <w:tc>
          <w:tcPr>
            <w:tcW w:w="1559" w:type="dxa"/>
          </w:tcPr>
          <w:p w:rsidR="008D0369" w:rsidRPr="00AA1EE1" w:rsidRDefault="008D0369" w:rsidP="00AA577D">
            <w:pPr>
              <w:jc w:val="left"/>
              <w:rPr>
                <w:sz w:val="16"/>
                <w:szCs w:val="16"/>
              </w:rPr>
            </w:pPr>
            <w:r w:rsidRPr="00AA1EE1">
              <w:rPr>
                <w:sz w:val="16"/>
                <w:szCs w:val="16"/>
              </w:rPr>
              <w:t>Derivado del Foro, acordó integrar un grupo de trabajo conformado por los diferentes actores de la cadena de valor de ornamentales, así mismo durante el foro se analizaron propuestas que permitan una efectiva observancia de los Derechos de Obtentor</w:t>
            </w:r>
          </w:p>
        </w:tc>
      </w:tr>
    </w:tbl>
    <w:p w:rsidR="008D0369" w:rsidRPr="00AA1EE1" w:rsidRDefault="008D0369" w:rsidP="008D0369"/>
    <w:p w:rsidR="00C36D01" w:rsidRPr="00592F7C" w:rsidRDefault="00C36D01" w:rsidP="00C36D01">
      <w:pPr>
        <w:rPr>
          <w:lang w:val="es-ES"/>
        </w:rPr>
      </w:pPr>
    </w:p>
    <w:p w:rsidR="0078167F" w:rsidRDefault="0078167F" w:rsidP="0078167F">
      <w:pPr>
        <w:jc w:val="left"/>
      </w:pPr>
    </w:p>
    <w:p w:rsidR="0078167F" w:rsidRDefault="00E80B45" w:rsidP="0078167F">
      <w:pPr>
        <w:jc w:val="right"/>
      </w:pPr>
      <w:r>
        <w:t>[Sigue el Anexo</w:t>
      </w:r>
      <w:r w:rsidR="0078167F">
        <w:t xml:space="preserve"> VII</w:t>
      </w:r>
      <w:r>
        <w:t>]</w:t>
      </w:r>
    </w:p>
    <w:p w:rsidR="0078167F" w:rsidRDefault="0078167F" w:rsidP="0078167F"/>
    <w:p w:rsidR="0078167F" w:rsidRDefault="0078167F" w:rsidP="0078167F">
      <w:pPr>
        <w:jc w:val="left"/>
        <w:sectPr w:rsidR="0078167F" w:rsidSect="002D1696">
          <w:headerReference w:type="default" r:id="rId26"/>
          <w:pgSz w:w="11907" w:h="16840" w:code="9"/>
          <w:pgMar w:top="510" w:right="1134" w:bottom="1134" w:left="1134" w:header="510" w:footer="680" w:gutter="0"/>
          <w:pgNumType w:start="1"/>
          <w:cols w:space="720"/>
          <w:titlePg/>
        </w:sectPr>
      </w:pPr>
    </w:p>
    <w:p w:rsidR="0078167F" w:rsidRPr="0075031D" w:rsidRDefault="00C55E19" w:rsidP="0078167F">
      <w:pPr>
        <w:jc w:val="center"/>
      </w:pPr>
      <w:r>
        <w:lastRenderedPageBreak/>
        <w:t>C/55/INF/4</w:t>
      </w:r>
    </w:p>
    <w:p w:rsidR="0078167F" w:rsidRPr="0075031D" w:rsidRDefault="0078167F" w:rsidP="0078167F">
      <w:pPr>
        <w:jc w:val="center"/>
      </w:pPr>
    </w:p>
    <w:p w:rsidR="0078167F" w:rsidRPr="0075031D" w:rsidRDefault="00E80B45" w:rsidP="0078167F">
      <w:pPr>
        <w:jc w:val="center"/>
      </w:pPr>
      <w:r>
        <w:t>ANEXO</w:t>
      </w:r>
      <w:r w:rsidR="0078167F" w:rsidRPr="0075031D">
        <w:t xml:space="preserve"> </w:t>
      </w:r>
      <w:r w:rsidR="0078167F">
        <w:t>VII</w:t>
      </w:r>
    </w:p>
    <w:p w:rsidR="0078167F" w:rsidRPr="0075031D" w:rsidRDefault="0078167F" w:rsidP="0078167F">
      <w:pPr>
        <w:jc w:val="center"/>
      </w:pPr>
    </w:p>
    <w:p w:rsidR="0078167F" w:rsidRDefault="0078167F" w:rsidP="0078167F">
      <w:pPr>
        <w:jc w:val="center"/>
      </w:pPr>
    </w:p>
    <w:p w:rsidR="0078167F" w:rsidRDefault="003F3E27" w:rsidP="0078167F">
      <w:pPr>
        <w:jc w:val="center"/>
      </w:pPr>
      <w:r>
        <w:t>NUEVA ZELANDIA</w:t>
      </w:r>
    </w:p>
    <w:p w:rsidR="0078167F" w:rsidRDefault="0078167F" w:rsidP="0078167F"/>
    <w:p w:rsidR="0078167F" w:rsidRDefault="0078167F" w:rsidP="0078167F"/>
    <w:p w:rsidR="00823501" w:rsidRPr="000657C2" w:rsidRDefault="00823501" w:rsidP="00823501">
      <w:pPr>
        <w:rPr>
          <w:lang w:val="es-ES"/>
        </w:rPr>
      </w:pPr>
      <w:r w:rsidRPr="000657C2">
        <w:rPr>
          <w:lang w:val="es-ES"/>
        </w:rPr>
        <w:t>PROTECCIÓN DE LAS OBTENCIONES VEGETALES</w:t>
      </w:r>
    </w:p>
    <w:p w:rsidR="00823501" w:rsidRPr="000657C2" w:rsidRDefault="00823501" w:rsidP="00823501">
      <w:pPr>
        <w:rPr>
          <w:lang w:val="es-ES"/>
        </w:rPr>
      </w:pPr>
    </w:p>
    <w:p w:rsidR="00823501" w:rsidRPr="000657C2" w:rsidRDefault="00823501" w:rsidP="00823501">
      <w:pPr>
        <w:rPr>
          <w:lang w:val="es-ES"/>
        </w:rPr>
      </w:pPr>
      <w:r w:rsidRPr="000657C2">
        <w:rPr>
          <w:lang w:val="es-ES"/>
        </w:rPr>
        <w:t>1.</w:t>
      </w:r>
      <w:r w:rsidRPr="000657C2">
        <w:rPr>
          <w:lang w:val="es-ES"/>
        </w:rPr>
        <w:tab/>
      </w:r>
      <w:r w:rsidRPr="000657C2">
        <w:rPr>
          <w:u w:val="single"/>
          <w:lang w:val="es-ES"/>
        </w:rPr>
        <w:t>Situación en el ámbito legislativo</w:t>
      </w:r>
    </w:p>
    <w:p w:rsidR="00823501" w:rsidRPr="000657C2" w:rsidRDefault="00823501" w:rsidP="00823501">
      <w:pPr>
        <w:rPr>
          <w:lang w:val="es-ES"/>
        </w:rPr>
      </w:pPr>
    </w:p>
    <w:p w:rsidR="00823501" w:rsidRPr="000657C2" w:rsidRDefault="00823501" w:rsidP="00823501">
      <w:pPr>
        <w:rPr>
          <w:lang w:val="es-ES"/>
        </w:rPr>
      </w:pPr>
      <w:r w:rsidRPr="000657C2">
        <w:rPr>
          <w:lang w:val="es-ES"/>
        </w:rPr>
        <w:t>Sigue en vigor la Ley de Derechos sobre las Obtenciones Vegetales de 1987, que se halla en conformidad con el Acta de 1978 del Convenio.</w:t>
      </w:r>
    </w:p>
    <w:p w:rsidR="00823501" w:rsidRPr="000657C2" w:rsidRDefault="00823501" w:rsidP="00823501">
      <w:pPr>
        <w:rPr>
          <w:lang w:val="es-ES"/>
        </w:rPr>
      </w:pPr>
    </w:p>
    <w:p w:rsidR="00823501" w:rsidRPr="000657C2" w:rsidRDefault="00823501" w:rsidP="00823501">
      <w:pPr>
        <w:rPr>
          <w:lang w:val="es-ES"/>
        </w:rPr>
      </w:pPr>
      <w:r w:rsidRPr="000657C2">
        <w:rPr>
          <w:lang w:val="es-ES"/>
        </w:rPr>
        <w:t xml:space="preserve">El Gobierno de Nueva Zelandia continúa el proceso de examen de la Ley de Derechos </w:t>
      </w:r>
      <w:r>
        <w:rPr>
          <w:lang w:val="es-ES"/>
        </w:rPr>
        <w:t>de Obtentor</w:t>
      </w:r>
      <w:r w:rsidRPr="000657C2">
        <w:rPr>
          <w:lang w:val="es-ES"/>
        </w:rPr>
        <w:t xml:space="preserve"> de 1987, aunque los avances previstos en 2020 se retrasaron a causa de la pandemia. El nuevo proyecto de ley relativo a los derechos </w:t>
      </w:r>
      <w:r>
        <w:rPr>
          <w:lang w:val="es-ES"/>
        </w:rPr>
        <w:t>de obtentor</w:t>
      </w:r>
      <w:r w:rsidRPr="000657C2">
        <w:rPr>
          <w:lang w:val="es-ES"/>
        </w:rPr>
        <w:t xml:space="preserve"> se presentó en mayo de 2021 al Parlamento, donde recibió su primera lectura. En este momento está siendo considerado por el comité restringido sobre Desarrollo Económico, Ciencia e Innovación. En agosto de 2021 se publicó un documento de consulta sobre el nuevo reglamento, y se espera que el ministro reciba las opciones y el asesoramiento correspondientes para finales de 2021. Se puede obtener información detallada sobre el examen de la Ley de Derechos </w:t>
      </w:r>
      <w:r>
        <w:rPr>
          <w:lang w:val="es-ES"/>
        </w:rPr>
        <w:t>de Obtentor</w:t>
      </w:r>
      <w:r w:rsidRPr="000657C2">
        <w:rPr>
          <w:lang w:val="es-ES"/>
        </w:rPr>
        <w:t xml:space="preserve"> en la siguiente dirección:</w:t>
      </w:r>
    </w:p>
    <w:p w:rsidR="00823501" w:rsidRPr="000657C2" w:rsidRDefault="00823501" w:rsidP="00823501">
      <w:pPr>
        <w:rPr>
          <w:lang w:val="es-ES"/>
        </w:rPr>
      </w:pPr>
      <w:hyperlink r:id="rId27" w:history="1">
        <w:r w:rsidRPr="000657C2">
          <w:rPr>
            <w:rStyle w:val="Hyperlink"/>
            <w:lang w:val="es-ES"/>
          </w:rPr>
          <w:t>https://www.mbie.govt.nz/business-and-employment/business/intellectual-property/plant-variety-rights/plant-variety-rights-act-review/</w:t>
        </w:r>
      </w:hyperlink>
    </w:p>
    <w:p w:rsidR="00823501" w:rsidRPr="000657C2" w:rsidRDefault="00823501" w:rsidP="00823501">
      <w:pPr>
        <w:rPr>
          <w:lang w:val="es-ES"/>
        </w:rPr>
      </w:pPr>
    </w:p>
    <w:p w:rsidR="00823501" w:rsidRPr="000657C2" w:rsidRDefault="00823501" w:rsidP="00823501">
      <w:pPr>
        <w:rPr>
          <w:lang w:val="es-ES"/>
        </w:rPr>
      </w:pPr>
      <w:r w:rsidRPr="000657C2">
        <w:rPr>
          <w:lang w:val="es-ES"/>
        </w:rPr>
        <w:t>La Oficina de Propiedad Intelectual de Nueva Zelandia (IPONZ) ha iniciado un proceso de revisión de las tasas relativas a los derechos de obtentor. En agosto de 2021 se distribuyó un documento de consulta entre un grupo seleccionado de usuarios para recabar información y contribuir al desarrollo de opciones en esta materia. Las opciones definitivas se publicarán para su consulta pública a finales de 2021 o principios de 2022.</w:t>
      </w:r>
    </w:p>
    <w:p w:rsidR="00823501" w:rsidRPr="000657C2" w:rsidRDefault="00823501" w:rsidP="00823501">
      <w:pPr>
        <w:rPr>
          <w:lang w:val="es-ES"/>
        </w:rPr>
      </w:pPr>
    </w:p>
    <w:p w:rsidR="00823501" w:rsidRPr="000657C2" w:rsidRDefault="00823501" w:rsidP="00823501">
      <w:pPr>
        <w:rPr>
          <w:lang w:val="es-ES"/>
        </w:rPr>
      </w:pPr>
      <w:r w:rsidRPr="000657C2">
        <w:rPr>
          <w:lang w:val="es-ES"/>
        </w:rPr>
        <w:t>Se prevé que la nueva normativa entre en vigor a mediados de 2022, junto con la mayoría de las disposiciones del proyecto de ley y la nueva estructura de tasas relativas a los derechos de obtentor.</w:t>
      </w:r>
    </w:p>
    <w:p w:rsidR="00823501" w:rsidRPr="000657C2" w:rsidRDefault="00823501" w:rsidP="00823501">
      <w:pPr>
        <w:rPr>
          <w:lang w:val="es-ES"/>
        </w:rPr>
      </w:pPr>
    </w:p>
    <w:p w:rsidR="00823501" w:rsidRPr="000657C2" w:rsidRDefault="00823501" w:rsidP="00823501">
      <w:pPr>
        <w:rPr>
          <w:lang w:val="es-ES"/>
        </w:rPr>
      </w:pPr>
    </w:p>
    <w:p w:rsidR="00823501" w:rsidRPr="000657C2" w:rsidRDefault="00823501" w:rsidP="00823501">
      <w:pPr>
        <w:rPr>
          <w:u w:val="single"/>
          <w:lang w:val="es-ES"/>
        </w:rPr>
      </w:pPr>
      <w:r w:rsidRPr="000657C2">
        <w:rPr>
          <w:lang w:val="es-ES"/>
        </w:rPr>
        <w:t>2.</w:t>
      </w:r>
      <w:r w:rsidRPr="000657C2">
        <w:rPr>
          <w:lang w:val="es-ES"/>
        </w:rPr>
        <w:tab/>
      </w:r>
      <w:r w:rsidRPr="000657C2">
        <w:rPr>
          <w:u w:val="single"/>
          <w:lang w:val="es-ES"/>
        </w:rPr>
        <w:t xml:space="preserve"> Cooperación en el examen</w:t>
      </w:r>
    </w:p>
    <w:p w:rsidR="00823501" w:rsidRPr="000657C2" w:rsidRDefault="00823501" w:rsidP="00823501">
      <w:pPr>
        <w:rPr>
          <w:u w:val="single"/>
          <w:lang w:val="es-ES"/>
        </w:rPr>
      </w:pPr>
    </w:p>
    <w:p w:rsidR="00823501" w:rsidRPr="000657C2" w:rsidRDefault="00823501" w:rsidP="00823501">
      <w:pPr>
        <w:rPr>
          <w:lang w:val="es-ES"/>
        </w:rPr>
      </w:pPr>
      <w:r w:rsidRPr="000657C2">
        <w:rPr>
          <w:lang w:val="es-ES"/>
        </w:rPr>
        <w:t xml:space="preserve">Nueva Zelandia continúa comprando a los Estados miembros, por encargo, informes de ensayos correspondientes a determinadas especies, en el marco de las disposiciones generales del Convenio. </w:t>
      </w:r>
      <w:r>
        <w:rPr>
          <w:lang w:val="es-ES"/>
        </w:rPr>
        <w:t>Por otra parte,</w:t>
      </w:r>
      <w:r w:rsidRPr="000657C2">
        <w:rPr>
          <w:lang w:val="es-ES"/>
        </w:rPr>
        <w:t xml:space="preserve"> sigue proporcionando gratuitamente informes de examen a las autoridades interesadas.</w:t>
      </w:r>
    </w:p>
    <w:p w:rsidR="00823501" w:rsidRPr="000657C2" w:rsidRDefault="00823501" w:rsidP="00823501">
      <w:pPr>
        <w:rPr>
          <w:lang w:val="es-ES"/>
        </w:rPr>
      </w:pPr>
    </w:p>
    <w:p w:rsidR="00823501" w:rsidRPr="000657C2" w:rsidRDefault="00823501" w:rsidP="00823501">
      <w:pPr>
        <w:rPr>
          <w:lang w:val="es-ES"/>
        </w:rPr>
      </w:pPr>
    </w:p>
    <w:p w:rsidR="00823501" w:rsidRPr="000657C2" w:rsidRDefault="00823501" w:rsidP="00823501">
      <w:pPr>
        <w:rPr>
          <w:u w:val="single"/>
          <w:lang w:val="es-ES"/>
        </w:rPr>
      </w:pPr>
      <w:r w:rsidRPr="000657C2">
        <w:rPr>
          <w:lang w:val="es-ES"/>
        </w:rPr>
        <w:t>3.</w:t>
      </w:r>
      <w:r w:rsidRPr="000657C2">
        <w:rPr>
          <w:lang w:val="es-ES"/>
        </w:rPr>
        <w:tab/>
      </w:r>
      <w:r w:rsidRPr="000657C2">
        <w:rPr>
          <w:u w:val="single"/>
          <w:lang w:val="es-ES"/>
        </w:rPr>
        <w:t>Situación en el ámbito administrativo</w:t>
      </w:r>
    </w:p>
    <w:p w:rsidR="00823501" w:rsidRPr="000657C2" w:rsidRDefault="00823501" w:rsidP="00823501">
      <w:pPr>
        <w:rPr>
          <w:lang w:val="es-ES"/>
        </w:rPr>
      </w:pPr>
    </w:p>
    <w:p w:rsidR="00823501" w:rsidRPr="000657C2" w:rsidRDefault="00823501" w:rsidP="00823501">
      <w:pPr>
        <w:rPr>
          <w:lang w:val="es-ES"/>
        </w:rPr>
      </w:pPr>
      <w:r w:rsidRPr="000657C2">
        <w:rPr>
          <w:lang w:val="es-ES"/>
        </w:rPr>
        <w:t>Durante el ejercicio fiscal finalizado el 30 de junio de 2021, se aceptaron 116 solicitudes de derechos de obtentor (un 25% más que el año anterior), se concedieron 88 títulos (un 11% menos que el año anterior) y caducaron 93 títulos (un 9% menos que el año anterior). A 30 de junio de 2021 había 1.289 títulos en vigor, lo que supone un leve incremento respecto al año anterior.</w:t>
      </w:r>
    </w:p>
    <w:p w:rsidR="00823501" w:rsidRPr="000657C2" w:rsidRDefault="00823501" w:rsidP="00823501">
      <w:pPr>
        <w:rPr>
          <w:lang w:val="es-ES"/>
        </w:rPr>
      </w:pPr>
    </w:p>
    <w:p w:rsidR="00823501" w:rsidRPr="000657C2" w:rsidRDefault="00823501" w:rsidP="00823501">
      <w:pPr>
        <w:rPr>
          <w:lang w:val="es-ES"/>
        </w:rPr>
      </w:pPr>
      <w:r w:rsidRPr="000657C2">
        <w:rPr>
          <w:lang w:val="es-ES"/>
        </w:rPr>
        <w:t xml:space="preserve">El continuado descenso registrado en los últimos años en el número de solicitudes relativas a variedades pertenecientes a especies de uso ornamental se ha revertido, al experimentar un incremento del 50% en el último año. </w:t>
      </w:r>
    </w:p>
    <w:p w:rsidR="00823501" w:rsidRPr="000657C2" w:rsidRDefault="00823501" w:rsidP="00823501">
      <w:pPr>
        <w:rPr>
          <w:lang w:val="es-ES"/>
        </w:rPr>
      </w:pPr>
    </w:p>
    <w:p w:rsidR="00823501" w:rsidRPr="000657C2" w:rsidRDefault="00823501" w:rsidP="00823501">
      <w:pPr>
        <w:rPr>
          <w:lang w:val="es-ES"/>
        </w:rPr>
      </w:pPr>
      <w:r w:rsidRPr="000657C2">
        <w:rPr>
          <w:lang w:val="es-ES"/>
        </w:rPr>
        <w:t xml:space="preserve">Se han iniciado los preparativos para los cambios operativos necesarios de cara a la entrada en vigor de la nueva ley, prevista para mediados de 2022. Esta labor da seguimiento a un amplio proceso de examen de las actividades operativas y las funciones de la Oficina </w:t>
      </w:r>
      <w:r>
        <w:rPr>
          <w:lang w:val="es-ES"/>
        </w:rPr>
        <w:t>que se ha llevado a cabo</w:t>
      </w:r>
      <w:r w:rsidRPr="000657C2">
        <w:rPr>
          <w:lang w:val="es-ES"/>
        </w:rPr>
        <w:t xml:space="preserve"> en 2020 y 2021. Los cambios en los procesos y las prácticas serán el resultado de los nuevos elementos introducidos en la legislación y de la mejora de las prácticas existentes. </w:t>
      </w:r>
    </w:p>
    <w:p w:rsidR="00823501" w:rsidRPr="000657C2" w:rsidRDefault="00823501" w:rsidP="00823501">
      <w:pPr>
        <w:rPr>
          <w:lang w:val="es-ES"/>
        </w:rPr>
      </w:pPr>
    </w:p>
    <w:p w:rsidR="00823501" w:rsidRPr="000657C2" w:rsidRDefault="00823501" w:rsidP="00823501">
      <w:pPr>
        <w:rPr>
          <w:lang w:val="es-ES"/>
        </w:rPr>
      </w:pPr>
      <w:r w:rsidRPr="000657C2">
        <w:rPr>
          <w:lang w:val="es-ES"/>
        </w:rPr>
        <w:t xml:space="preserve">En 2020 cambió el 40% del personal de la Oficina de Derechos de Obtentor, un acontecimiento importante para una organización pequeña. Este hecho ha brindado la oportunidad de revisar la carga de trabajo de los cuatro examinadores y diversificar la experiencia y los conocimientos relativos a las especies en más de un examinador. </w:t>
      </w:r>
    </w:p>
    <w:p w:rsidR="00823501" w:rsidRPr="000657C2" w:rsidRDefault="00823501" w:rsidP="00823501">
      <w:pPr>
        <w:rPr>
          <w:lang w:val="es-ES"/>
        </w:rPr>
      </w:pPr>
    </w:p>
    <w:p w:rsidR="00823501" w:rsidRPr="000657C2" w:rsidRDefault="00823501" w:rsidP="00823501">
      <w:pPr>
        <w:rPr>
          <w:lang w:val="es-ES"/>
        </w:rPr>
      </w:pPr>
    </w:p>
    <w:p w:rsidR="00823501" w:rsidRPr="000657C2" w:rsidRDefault="00823501" w:rsidP="00823501">
      <w:pPr>
        <w:keepNext/>
        <w:rPr>
          <w:lang w:val="es-ES"/>
        </w:rPr>
      </w:pPr>
      <w:r w:rsidRPr="000657C2">
        <w:rPr>
          <w:lang w:val="es-ES"/>
        </w:rPr>
        <w:lastRenderedPageBreak/>
        <w:t>4.</w:t>
      </w:r>
      <w:r w:rsidRPr="000657C2">
        <w:rPr>
          <w:lang w:val="es-ES"/>
        </w:rPr>
        <w:tab/>
      </w:r>
      <w:r w:rsidRPr="000657C2">
        <w:rPr>
          <w:u w:val="single"/>
          <w:lang w:val="es-ES"/>
        </w:rPr>
        <w:t>Situación en el ámbito técnico</w:t>
      </w:r>
    </w:p>
    <w:p w:rsidR="00823501" w:rsidRPr="000657C2" w:rsidRDefault="00823501" w:rsidP="00823501">
      <w:pPr>
        <w:keepNext/>
        <w:rPr>
          <w:lang w:val="es-ES"/>
        </w:rPr>
      </w:pPr>
    </w:p>
    <w:p w:rsidR="00823501" w:rsidRPr="000657C2" w:rsidRDefault="00823501" w:rsidP="00823501">
      <w:pPr>
        <w:rPr>
          <w:lang w:val="es-ES"/>
        </w:rPr>
      </w:pPr>
      <w:r w:rsidRPr="000657C2">
        <w:rPr>
          <w:lang w:val="es-ES"/>
        </w:rPr>
        <w:t xml:space="preserve">El uso de informes de examen extranjeros para las variedades frutales obtenidas en el extranjero sigue siendo un motivo importante de debate entre los solicitantes y los examinadores extranjeros. En el sitio web se ofrecen </w:t>
      </w:r>
      <w:r>
        <w:rPr>
          <w:lang w:val="es-ES"/>
        </w:rPr>
        <w:t>una serie de</w:t>
      </w:r>
      <w:r w:rsidRPr="000657C2">
        <w:rPr>
          <w:lang w:val="es-ES"/>
        </w:rPr>
        <w:t xml:space="preserve"> explicaciones sobre esta cuestión, pero parece que se requiere más información. En 2020 se utilizó por primera vez un informe de examen extranjero de una variedad de manzan</w:t>
      </w:r>
      <w:r>
        <w:rPr>
          <w:lang w:val="es-ES"/>
        </w:rPr>
        <w:t>o</w:t>
      </w:r>
      <w:r w:rsidRPr="000657C2">
        <w:rPr>
          <w:lang w:val="es-ES"/>
        </w:rPr>
        <w:t xml:space="preserve"> para dictar una decisión en Nueva Zelandia. Está por concluir un proyecto que pretende evaluar el uso de los informes de examen extranjeros para las </w:t>
      </w:r>
      <w:r>
        <w:rPr>
          <w:lang w:val="es-ES"/>
        </w:rPr>
        <w:t xml:space="preserve">distintas </w:t>
      </w:r>
      <w:r w:rsidRPr="000657C2">
        <w:rPr>
          <w:lang w:val="es-ES"/>
        </w:rPr>
        <w:t xml:space="preserve">variedades de </w:t>
      </w:r>
      <w:proofErr w:type="spellStart"/>
      <w:r w:rsidRPr="00A94499">
        <w:rPr>
          <w:i/>
          <w:lang w:val="es-ES"/>
        </w:rPr>
        <w:t>Rubus</w:t>
      </w:r>
      <w:proofErr w:type="spellEnd"/>
      <w:r w:rsidRPr="000657C2">
        <w:rPr>
          <w:lang w:val="es-ES"/>
        </w:rPr>
        <w:t xml:space="preserve"> obtenidas en el extranjero, con el fin de proporcionar una base más objetiva para determinar en </w:t>
      </w:r>
      <w:r>
        <w:rPr>
          <w:lang w:val="es-ES"/>
        </w:rPr>
        <w:t>cada</w:t>
      </w:r>
      <w:r w:rsidRPr="000657C2">
        <w:rPr>
          <w:lang w:val="es-ES"/>
        </w:rPr>
        <w:t xml:space="preserve"> caso si se puede utilizar o no un informe de examen extranjero. </w:t>
      </w:r>
    </w:p>
    <w:p w:rsidR="00823501" w:rsidRPr="000657C2" w:rsidRDefault="00823501" w:rsidP="00823501">
      <w:pPr>
        <w:rPr>
          <w:lang w:val="es-ES"/>
        </w:rPr>
      </w:pPr>
    </w:p>
    <w:p w:rsidR="00823501" w:rsidRPr="000657C2" w:rsidRDefault="00823501" w:rsidP="00823501">
      <w:pPr>
        <w:rPr>
          <w:lang w:val="es-ES"/>
        </w:rPr>
      </w:pPr>
      <w:r w:rsidRPr="000657C2">
        <w:rPr>
          <w:lang w:val="es-ES"/>
        </w:rPr>
        <w:t xml:space="preserve">La Oficina de Derechos de Obtentor (PVRO) y el Ministerio de Industrias Primarias (MPI) han comenzado a celebrar reuniones trimestrales en las que abordarán cuestiones relacionadas con la importación de plantas y los requisitos de bioseguridad. Gracias a estas reuniones, la PVRO dispone de mejor información sobre los cambios en los requisitos de importación y cuarentena, y el MPI está mejor informado de las especies respecto a las que los obtentores extranjeros presentan sus solicitudes. Así, el hecho de que el MPI lleve a cabo un examen del protocolo de importación de una especie podría advertir a la PVRO de la posibilidad de que el examen de las variedades extranjeras de ese género experimente retrasos debido a las dificultades para acceder al material vegetal de esa especie. Un aumento de las solicitudes de derechos de obtentor para variedades de una determinada especie podría alertar al MPI de la necesidad de prestar atención a las normas de importación de esa especie. Los requisitos de bioseguridad y la disponibilidad de material vegetal para las variedades obtenidas en el extranjero siguen considerándose un problema para la importación de variedades. </w:t>
      </w:r>
    </w:p>
    <w:p w:rsidR="00823501" w:rsidRPr="000657C2" w:rsidRDefault="00823501" w:rsidP="00823501">
      <w:pPr>
        <w:rPr>
          <w:lang w:val="es-ES"/>
        </w:rPr>
      </w:pPr>
    </w:p>
    <w:p w:rsidR="00C36D01" w:rsidRPr="00592F7C" w:rsidRDefault="00C36D01" w:rsidP="00C36D01">
      <w:pPr>
        <w:rPr>
          <w:lang w:val="es-ES"/>
        </w:rPr>
      </w:pPr>
    </w:p>
    <w:p w:rsidR="0078167F" w:rsidRDefault="0078167F" w:rsidP="0078167F">
      <w:pPr>
        <w:jc w:val="left"/>
      </w:pPr>
    </w:p>
    <w:p w:rsidR="0078167F" w:rsidRDefault="00E80B45" w:rsidP="0078167F">
      <w:pPr>
        <w:jc w:val="right"/>
      </w:pPr>
      <w:r>
        <w:t>[Sigue el Anexo</w:t>
      </w:r>
      <w:r w:rsidR="0078167F">
        <w:t xml:space="preserve"> VIII</w:t>
      </w:r>
      <w:r>
        <w:t>]</w:t>
      </w:r>
    </w:p>
    <w:p w:rsidR="0078167F" w:rsidRDefault="0078167F" w:rsidP="0078167F"/>
    <w:p w:rsidR="0078167F" w:rsidRDefault="0078167F" w:rsidP="0078167F">
      <w:pPr>
        <w:jc w:val="left"/>
        <w:sectPr w:rsidR="0078167F" w:rsidSect="002D1696">
          <w:headerReference w:type="default" r:id="rId28"/>
          <w:pgSz w:w="11907" w:h="16840" w:code="9"/>
          <w:pgMar w:top="510" w:right="1134" w:bottom="1134" w:left="1134" w:header="510" w:footer="680" w:gutter="0"/>
          <w:pgNumType w:start="1"/>
          <w:cols w:space="720"/>
          <w:titlePg/>
        </w:sectPr>
      </w:pPr>
    </w:p>
    <w:p w:rsidR="0078167F" w:rsidRPr="0075031D" w:rsidRDefault="00C55E19" w:rsidP="0078167F">
      <w:pPr>
        <w:jc w:val="center"/>
      </w:pPr>
      <w:r>
        <w:lastRenderedPageBreak/>
        <w:t>C/55/INF/4</w:t>
      </w:r>
    </w:p>
    <w:p w:rsidR="0078167F" w:rsidRPr="0075031D" w:rsidRDefault="0078167F" w:rsidP="0078167F">
      <w:pPr>
        <w:jc w:val="center"/>
      </w:pPr>
    </w:p>
    <w:p w:rsidR="0078167F" w:rsidRPr="0075031D" w:rsidRDefault="00E80B45" w:rsidP="0078167F">
      <w:pPr>
        <w:jc w:val="center"/>
      </w:pPr>
      <w:r>
        <w:t>ANEXO</w:t>
      </w:r>
      <w:r w:rsidR="0078167F">
        <w:t xml:space="preserve"> VIII</w:t>
      </w:r>
    </w:p>
    <w:p w:rsidR="0078167F" w:rsidRPr="0075031D" w:rsidRDefault="0078167F" w:rsidP="0078167F">
      <w:pPr>
        <w:jc w:val="center"/>
      </w:pPr>
    </w:p>
    <w:p w:rsidR="0078167F" w:rsidRDefault="0078167F" w:rsidP="0078167F">
      <w:pPr>
        <w:jc w:val="center"/>
      </w:pPr>
    </w:p>
    <w:p w:rsidR="009A51BC" w:rsidRPr="00592F7C" w:rsidRDefault="003F3E27" w:rsidP="009A51BC">
      <w:pPr>
        <w:jc w:val="center"/>
        <w:rPr>
          <w:lang w:val="es-ES"/>
        </w:rPr>
      </w:pPr>
      <w:r>
        <w:t>POLONIA</w:t>
      </w:r>
    </w:p>
    <w:p w:rsidR="0080701B" w:rsidRPr="000657C2" w:rsidRDefault="0080701B" w:rsidP="0080701B">
      <w:pPr>
        <w:tabs>
          <w:tab w:val="left" w:pos="4962"/>
        </w:tabs>
        <w:jc w:val="center"/>
        <w:rPr>
          <w:rFonts w:cs="Arial"/>
          <w:lang w:val="es-ES"/>
        </w:rPr>
      </w:pPr>
      <w:r w:rsidRPr="000657C2">
        <w:rPr>
          <w:rFonts w:cs="Arial"/>
          <w:lang w:val="es-ES"/>
        </w:rPr>
        <w:t>Período: 1 de septiembre de 2020 a 31 de agosto de 2021</w:t>
      </w:r>
    </w:p>
    <w:p w:rsidR="0080701B" w:rsidRPr="000657C2" w:rsidRDefault="0080701B" w:rsidP="0080701B">
      <w:pPr>
        <w:tabs>
          <w:tab w:val="left" w:pos="4962"/>
        </w:tabs>
        <w:jc w:val="center"/>
        <w:rPr>
          <w:rFonts w:cs="Arial"/>
          <w:lang w:val="es-ES"/>
        </w:rPr>
      </w:pPr>
    </w:p>
    <w:p w:rsidR="0080701B" w:rsidRPr="000657C2" w:rsidRDefault="0080701B" w:rsidP="0080701B">
      <w:pPr>
        <w:tabs>
          <w:tab w:val="left" w:pos="4962"/>
        </w:tabs>
        <w:jc w:val="center"/>
        <w:rPr>
          <w:rFonts w:cs="Arial"/>
          <w:lang w:val="es-ES"/>
        </w:rPr>
      </w:pPr>
    </w:p>
    <w:p w:rsidR="0080701B" w:rsidRPr="000657C2" w:rsidRDefault="0080701B" w:rsidP="0080701B">
      <w:pPr>
        <w:rPr>
          <w:lang w:val="es-ES"/>
        </w:rPr>
      </w:pPr>
      <w:r w:rsidRPr="000657C2">
        <w:rPr>
          <w:lang w:val="es-ES"/>
        </w:rPr>
        <w:t>I.</w:t>
      </w:r>
      <w:r w:rsidRPr="000657C2">
        <w:rPr>
          <w:lang w:val="es-ES"/>
        </w:rPr>
        <w:tab/>
        <w:t>PROTECCIÓN DE LAS OBTENCIONES VEGETALES</w:t>
      </w:r>
    </w:p>
    <w:p w:rsidR="0080701B" w:rsidRPr="000657C2" w:rsidRDefault="0080701B" w:rsidP="0080701B">
      <w:pPr>
        <w:tabs>
          <w:tab w:val="left" w:pos="4962"/>
        </w:tabs>
        <w:rPr>
          <w:rFonts w:cs="Arial"/>
          <w:u w:val="single"/>
          <w:lang w:val="es-ES"/>
        </w:rPr>
      </w:pPr>
    </w:p>
    <w:p w:rsidR="0080701B" w:rsidRPr="000657C2" w:rsidRDefault="0080701B" w:rsidP="0080701B">
      <w:pPr>
        <w:tabs>
          <w:tab w:val="left" w:pos="567"/>
          <w:tab w:val="left" w:pos="4962"/>
        </w:tabs>
        <w:rPr>
          <w:rFonts w:cs="Arial"/>
          <w:u w:val="single"/>
          <w:lang w:val="es-ES"/>
        </w:rPr>
      </w:pPr>
      <w:r w:rsidRPr="000657C2">
        <w:rPr>
          <w:rFonts w:cs="Arial"/>
          <w:lang w:val="es-ES"/>
        </w:rPr>
        <w:t>1.</w:t>
      </w:r>
      <w:r w:rsidRPr="000657C2">
        <w:rPr>
          <w:rFonts w:cs="Arial"/>
          <w:lang w:val="es-ES"/>
        </w:rPr>
        <w:tab/>
      </w:r>
      <w:r w:rsidRPr="000657C2">
        <w:rPr>
          <w:rFonts w:cs="Arial"/>
          <w:u w:val="single"/>
          <w:lang w:val="es-ES"/>
        </w:rPr>
        <w:t>Situación en el ámbito legislativo</w:t>
      </w:r>
    </w:p>
    <w:p w:rsidR="0080701B" w:rsidRPr="000657C2" w:rsidRDefault="0080701B" w:rsidP="0080701B">
      <w:pPr>
        <w:tabs>
          <w:tab w:val="left" w:pos="4962"/>
        </w:tabs>
        <w:rPr>
          <w:rFonts w:cs="Arial"/>
          <w:lang w:val="es-ES"/>
        </w:rPr>
      </w:pPr>
    </w:p>
    <w:p w:rsidR="0080701B" w:rsidRPr="000657C2" w:rsidRDefault="0080701B" w:rsidP="0080701B">
      <w:pPr>
        <w:tabs>
          <w:tab w:val="left" w:pos="4962"/>
        </w:tabs>
        <w:rPr>
          <w:rFonts w:cs="Arial"/>
          <w:lang w:val="es-ES"/>
        </w:rPr>
      </w:pPr>
      <w:r w:rsidRPr="000657C2">
        <w:rPr>
          <w:rFonts w:cs="Arial"/>
          <w:lang w:val="es-ES"/>
        </w:rPr>
        <w:t>La Ley de Protección Jurídica de las Obtenciones Vegetales, de 26 de junio de 2003 (texto consolidado: Boletín Oficial de Polonia de 2018, apartado 432; modificado por el Boletín Oficial de 2020, apartado 288), constituye la base jurídica del sistema nacional de protección de los derechos de obtentor en Polonia. La versión consolidada se encuentra publicada en el Boletín Oficial de 2021, apartado 213.</w:t>
      </w:r>
    </w:p>
    <w:p w:rsidR="0080701B" w:rsidRPr="000657C2" w:rsidRDefault="0080701B" w:rsidP="0080701B">
      <w:pPr>
        <w:tabs>
          <w:tab w:val="left" w:pos="4962"/>
        </w:tabs>
        <w:rPr>
          <w:rFonts w:cs="Arial"/>
          <w:lang w:val="es-ES"/>
        </w:rPr>
      </w:pPr>
    </w:p>
    <w:p w:rsidR="0080701B" w:rsidRPr="000657C2" w:rsidRDefault="0080701B" w:rsidP="0080701B">
      <w:pPr>
        <w:rPr>
          <w:rFonts w:cs="Arial"/>
          <w:lang w:val="es-ES"/>
        </w:rPr>
      </w:pPr>
      <w:r w:rsidRPr="000657C2">
        <w:rPr>
          <w:rFonts w:cs="Arial"/>
          <w:lang w:val="es-ES"/>
        </w:rPr>
        <w:t>En virtud de la Ley de Enmienda de la Ley, el Código Procesal Civil y otras leyes, de 13 de febrero de 2020 (Boletín Oficial de 2020, apartado 288), que entró en vigor el 1 de julio de 2020, se ha designado al Tribunal de Distrito de Varsovia como competente en materia de derechos de propiedad intelectual.</w:t>
      </w:r>
    </w:p>
    <w:p w:rsidR="0080701B" w:rsidRPr="000657C2" w:rsidRDefault="0080701B" w:rsidP="0080701B">
      <w:pPr>
        <w:tabs>
          <w:tab w:val="left" w:pos="4962"/>
        </w:tabs>
        <w:rPr>
          <w:rFonts w:cs="Arial"/>
          <w:lang w:val="es-ES"/>
        </w:rPr>
      </w:pPr>
    </w:p>
    <w:p w:rsidR="0080701B" w:rsidRPr="000657C2" w:rsidRDefault="0080701B" w:rsidP="0080701B">
      <w:pPr>
        <w:tabs>
          <w:tab w:val="left" w:pos="4962"/>
        </w:tabs>
        <w:rPr>
          <w:rFonts w:cs="Arial"/>
          <w:lang w:val="es-ES"/>
        </w:rPr>
      </w:pPr>
      <w:r w:rsidRPr="000657C2">
        <w:rPr>
          <w:rFonts w:cs="Arial"/>
          <w:lang w:val="es-ES"/>
        </w:rPr>
        <w:t>La Ley de Protección de las Obtenciones Vegetales de Polonia se basa en el Acta de 1991 del Convenio de la UPOV. Desde el 1 de noviembre de 2000, todos los géneros y especies vegetales son susceptibles de protección en Polonia.</w:t>
      </w:r>
    </w:p>
    <w:p w:rsidR="0080701B" w:rsidRPr="000657C2" w:rsidRDefault="0080701B" w:rsidP="0080701B">
      <w:pPr>
        <w:tabs>
          <w:tab w:val="left" w:pos="4962"/>
        </w:tabs>
        <w:rPr>
          <w:rFonts w:cs="Arial"/>
          <w:lang w:val="es-ES"/>
        </w:rPr>
      </w:pPr>
    </w:p>
    <w:p w:rsidR="0080701B" w:rsidRPr="000657C2" w:rsidRDefault="0080701B" w:rsidP="0080701B">
      <w:pPr>
        <w:tabs>
          <w:tab w:val="left" w:pos="4962"/>
        </w:tabs>
        <w:rPr>
          <w:rFonts w:cs="Arial"/>
          <w:lang w:val="es-ES"/>
        </w:rPr>
      </w:pPr>
      <w:r w:rsidRPr="000657C2">
        <w:rPr>
          <w:rFonts w:cs="Arial"/>
          <w:lang w:val="es-ES"/>
        </w:rPr>
        <w:t>Las tasas se rigen por el Decreto de 17 de febrero de 2004 del Ministro de Agricultura y Desarrollo Rural sobre las tasas de presentación de las solicitudes de protección del derecho de obtentor, examen DHE y concesión y mantenimiento de los títulos de derechos exclusivos (</w:t>
      </w:r>
      <w:hyperlink r:id="rId29" w:tgtFrame="_blank" w:history="1">
        <w:r w:rsidRPr="000657C2">
          <w:rPr>
            <w:rFonts w:cs="Arial"/>
            <w:lang w:val="es-ES"/>
          </w:rPr>
          <w:t>Boletín Oficial N.º 60 de 2004, apartado 567</w:t>
        </w:r>
      </w:hyperlink>
      <w:r w:rsidRPr="000657C2">
        <w:rPr>
          <w:lang w:val="es-ES"/>
        </w:rPr>
        <w:t xml:space="preserve">; </w:t>
      </w:r>
      <w:hyperlink r:id="rId30" w:tgtFrame="_blank" w:history="1">
        <w:r w:rsidRPr="000657C2">
          <w:rPr>
            <w:rFonts w:cs="Arial"/>
            <w:lang w:val="es-ES"/>
          </w:rPr>
          <w:t>Boletín Oficial de 2015, apartado 2166</w:t>
        </w:r>
      </w:hyperlink>
      <w:r w:rsidRPr="000657C2">
        <w:rPr>
          <w:lang w:val="es-ES"/>
        </w:rPr>
        <w:t>).</w:t>
      </w:r>
    </w:p>
    <w:p w:rsidR="0080701B" w:rsidRPr="000657C2" w:rsidRDefault="0080701B" w:rsidP="0080701B">
      <w:pPr>
        <w:tabs>
          <w:tab w:val="left" w:pos="4962"/>
        </w:tabs>
        <w:rPr>
          <w:rFonts w:cs="Arial"/>
          <w:lang w:val="es-ES"/>
        </w:rPr>
      </w:pPr>
    </w:p>
    <w:p w:rsidR="0080701B" w:rsidRPr="000657C2" w:rsidRDefault="0080701B" w:rsidP="0080701B">
      <w:pPr>
        <w:tabs>
          <w:tab w:val="left" w:pos="4962"/>
        </w:tabs>
        <w:rPr>
          <w:rFonts w:cs="Arial"/>
          <w:lang w:val="es-ES"/>
        </w:rPr>
      </w:pPr>
      <w:r w:rsidRPr="000657C2">
        <w:rPr>
          <w:rFonts w:cs="Arial"/>
          <w:lang w:val="es-ES"/>
        </w:rPr>
        <w:t>Polonia es miembro de la UPOV desde el 11 de noviembre de 1989 y se adhirió al Acta de 1991 del Convenio de la UPOV, como Estado vigésimo cuarto, el 15 de agosto de 2003.</w:t>
      </w:r>
    </w:p>
    <w:p w:rsidR="0080701B" w:rsidRPr="000657C2" w:rsidRDefault="0080701B" w:rsidP="0080701B">
      <w:pPr>
        <w:tabs>
          <w:tab w:val="left" w:pos="4962"/>
        </w:tabs>
        <w:rPr>
          <w:rFonts w:cs="Arial"/>
          <w:lang w:val="es-ES"/>
        </w:rPr>
      </w:pPr>
    </w:p>
    <w:p w:rsidR="0080701B" w:rsidRPr="000657C2" w:rsidRDefault="0080701B" w:rsidP="0080701B">
      <w:pPr>
        <w:tabs>
          <w:tab w:val="left" w:pos="4962"/>
        </w:tabs>
        <w:rPr>
          <w:rFonts w:cs="Arial"/>
          <w:lang w:val="es-ES"/>
        </w:rPr>
      </w:pPr>
    </w:p>
    <w:p w:rsidR="0080701B" w:rsidRPr="000657C2" w:rsidRDefault="0080701B" w:rsidP="0080701B">
      <w:pPr>
        <w:tabs>
          <w:tab w:val="left" w:pos="567"/>
          <w:tab w:val="left" w:pos="4962"/>
        </w:tabs>
        <w:rPr>
          <w:rFonts w:cs="Arial"/>
          <w:u w:val="single"/>
          <w:lang w:val="es-ES"/>
        </w:rPr>
      </w:pPr>
      <w:r w:rsidRPr="000657C2">
        <w:rPr>
          <w:rFonts w:cs="Arial"/>
          <w:lang w:val="es-ES"/>
        </w:rPr>
        <w:t>2.</w:t>
      </w:r>
      <w:r w:rsidRPr="000657C2">
        <w:rPr>
          <w:rFonts w:cs="Arial"/>
          <w:lang w:val="es-ES"/>
        </w:rPr>
        <w:tab/>
      </w:r>
      <w:r w:rsidRPr="000657C2">
        <w:rPr>
          <w:rFonts w:cs="Arial"/>
          <w:u w:val="single"/>
          <w:lang w:val="es-ES"/>
        </w:rPr>
        <w:t>Cooperación en el examen</w:t>
      </w:r>
    </w:p>
    <w:p w:rsidR="0080701B" w:rsidRPr="000657C2" w:rsidRDefault="0080701B" w:rsidP="0080701B">
      <w:pPr>
        <w:tabs>
          <w:tab w:val="left" w:pos="4962"/>
        </w:tabs>
        <w:rPr>
          <w:rFonts w:cs="Arial"/>
          <w:lang w:val="es-ES"/>
        </w:rPr>
      </w:pPr>
    </w:p>
    <w:p w:rsidR="0080701B" w:rsidRPr="000657C2" w:rsidRDefault="0080701B" w:rsidP="0080701B">
      <w:pPr>
        <w:tabs>
          <w:tab w:val="left" w:pos="4962"/>
        </w:tabs>
        <w:rPr>
          <w:rFonts w:cs="Arial"/>
          <w:color w:val="000000"/>
          <w:lang w:val="es-ES"/>
        </w:rPr>
      </w:pPr>
      <w:r w:rsidRPr="000657C2">
        <w:rPr>
          <w:rFonts w:cs="Arial"/>
          <w:color w:val="000000"/>
          <w:lang w:val="es-ES"/>
        </w:rPr>
        <w:t xml:space="preserve">El Centro de investigación para el examen de cultivares (COBORU) de </w:t>
      </w:r>
      <w:proofErr w:type="spellStart"/>
      <w:r w:rsidRPr="000657C2">
        <w:rPr>
          <w:rFonts w:cs="Arial"/>
          <w:color w:val="000000"/>
          <w:lang w:val="es-ES"/>
        </w:rPr>
        <w:t>Słupia</w:t>
      </w:r>
      <w:proofErr w:type="spellEnd"/>
      <w:r w:rsidRPr="000657C2">
        <w:rPr>
          <w:rFonts w:cs="Arial"/>
          <w:color w:val="000000"/>
          <w:lang w:val="es-ES"/>
        </w:rPr>
        <w:t> </w:t>
      </w:r>
      <w:proofErr w:type="spellStart"/>
      <w:r w:rsidRPr="000657C2">
        <w:rPr>
          <w:rFonts w:cs="Arial"/>
          <w:color w:val="000000"/>
          <w:lang w:val="es-ES"/>
        </w:rPr>
        <w:t>Wielka</w:t>
      </w:r>
      <w:proofErr w:type="spellEnd"/>
      <w:r w:rsidRPr="000657C2">
        <w:rPr>
          <w:rFonts w:cs="Arial"/>
          <w:color w:val="000000"/>
          <w:lang w:val="es-ES"/>
        </w:rPr>
        <w:t xml:space="preserve"> continúa colaborando con diversos países respecto del examen técnico.</w:t>
      </w:r>
    </w:p>
    <w:p w:rsidR="0080701B" w:rsidRPr="000657C2" w:rsidRDefault="0080701B" w:rsidP="0080701B">
      <w:pPr>
        <w:tabs>
          <w:tab w:val="left" w:pos="4962"/>
        </w:tabs>
        <w:rPr>
          <w:rFonts w:cs="Arial"/>
          <w:lang w:val="es-ES"/>
        </w:rPr>
      </w:pPr>
    </w:p>
    <w:p w:rsidR="0080701B" w:rsidRPr="000657C2" w:rsidRDefault="0080701B" w:rsidP="0080701B">
      <w:pPr>
        <w:tabs>
          <w:tab w:val="left" w:pos="4962"/>
        </w:tabs>
        <w:rPr>
          <w:rFonts w:cs="Arial"/>
          <w:lang w:val="es-ES"/>
        </w:rPr>
      </w:pPr>
      <w:r w:rsidRPr="000657C2">
        <w:rPr>
          <w:rFonts w:cs="Arial"/>
          <w:lang w:val="es-ES"/>
        </w:rPr>
        <w:t xml:space="preserve">Polonia ha firmado acuerdos bilaterales sobre el examen DHE con Eslovaquia, Hungría y la República Checa. Se hallan en vigor acuerdos unilaterales con </w:t>
      </w:r>
      <w:proofErr w:type="spellStart"/>
      <w:r w:rsidRPr="000657C2">
        <w:rPr>
          <w:rFonts w:cs="Arial"/>
          <w:lang w:val="es-ES"/>
        </w:rPr>
        <w:t>Belarús</w:t>
      </w:r>
      <w:proofErr w:type="spellEnd"/>
      <w:r w:rsidRPr="000657C2">
        <w:rPr>
          <w:rFonts w:cs="Arial"/>
          <w:lang w:val="es-ES"/>
        </w:rPr>
        <w:t xml:space="preserve">, Eslovenia, Estonia, la Federación de Rusia, Letonia, Lituania, Rumania y Ucrania. </w:t>
      </w:r>
    </w:p>
    <w:p w:rsidR="0080701B" w:rsidRPr="000657C2" w:rsidRDefault="0080701B" w:rsidP="0080701B">
      <w:pPr>
        <w:tabs>
          <w:tab w:val="left" w:pos="4962"/>
        </w:tabs>
        <w:rPr>
          <w:rFonts w:cs="Arial"/>
          <w:color w:val="000000" w:themeColor="text1"/>
          <w:lang w:val="es-ES"/>
        </w:rPr>
      </w:pPr>
    </w:p>
    <w:p w:rsidR="0080701B" w:rsidRPr="000657C2" w:rsidRDefault="0080701B" w:rsidP="0080701B">
      <w:pPr>
        <w:tabs>
          <w:tab w:val="left" w:pos="4962"/>
        </w:tabs>
        <w:rPr>
          <w:rFonts w:cs="Arial"/>
          <w:color w:val="000000" w:themeColor="text1"/>
          <w:lang w:val="es-ES"/>
        </w:rPr>
      </w:pPr>
      <w:r w:rsidRPr="000657C2">
        <w:rPr>
          <w:rFonts w:cs="Arial"/>
          <w:lang w:val="es-ES"/>
        </w:rPr>
        <w:t>En el período objeto del informe, Polonia ha llevado a cabo exámenes DHE para las autoridades de los siguientes países: Austria (2 variedades), Bélgica (2 variedades), Eslovenia (9 variedades), Estonia (18 variedades), Federación de Rusia (1 variedad), Francia (1 variedad), Hung</w:t>
      </w:r>
      <w:r>
        <w:rPr>
          <w:rFonts w:cs="Arial"/>
          <w:lang w:val="es-ES"/>
        </w:rPr>
        <w:t>ría (19 variedades), Letonia (5 </w:t>
      </w:r>
      <w:r w:rsidRPr="000657C2">
        <w:rPr>
          <w:rFonts w:cs="Arial"/>
          <w:lang w:val="es-ES"/>
        </w:rPr>
        <w:t>variedades), Lituania (69 variedades), Reino Unido (1 variedad), República Checa (23 variedades), Rumania (1 variedad), Suecia (1 variedad) y Suiza (23 variedades), así como para la OCVV (109 variedades).</w:t>
      </w:r>
    </w:p>
    <w:p w:rsidR="0080701B" w:rsidRPr="000657C2" w:rsidRDefault="0080701B" w:rsidP="0080701B">
      <w:pPr>
        <w:tabs>
          <w:tab w:val="left" w:pos="4962"/>
        </w:tabs>
        <w:rPr>
          <w:rFonts w:cs="Arial"/>
          <w:color w:val="000000" w:themeColor="text1"/>
          <w:lang w:val="es-ES"/>
        </w:rPr>
      </w:pPr>
    </w:p>
    <w:p w:rsidR="0080701B" w:rsidRPr="000657C2" w:rsidRDefault="0080701B" w:rsidP="0080701B">
      <w:pPr>
        <w:tabs>
          <w:tab w:val="left" w:pos="4962"/>
        </w:tabs>
        <w:rPr>
          <w:rFonts w:cs="Arial"/>
          <w:lang w:val="es-ES"/>
        </w:rPr>
      </w:pPr>
      <w:r w:rsidRPr="000657C2">
        <w:rPr>
          <w:rFonts w:cs="Arial"/>
          <w:lang w:val="es-ES"/>
        </w:rPr>
        <w:t xml:space="preserve">Se examinaron diferentes especies de plantas agrícolas (133 variedades), hortícolas (23 variedades), ornamentales (93 variedades) y frutales (35 variedades). </w:t>
      </w:r>
    </w:p>
    <w:p w:rsidR="0080701B" w:rsidRPr="000657C2" w:rsidRDefault="0080701B" w:rsidP="0080701B">
      <w:pPr>
        <w:tabs>
          <w:tab w:val="left" w:pos="4962"/>
        </w:tabs>
        <w:rPr>
          <w:rFonts w:cs="Arial"/>
          <w:lang w:val="es-ES"/>
        </w:rPr>
      </w:pPr>
    </w:p>
    <w:p w:rsidR="0080701B" w:rsidRPr="000657C2" w:rsidRDefault="0080701B" w:rsidP="0080701B">
      <w:pPr>
        <w:tabs>
          <w:tab w:val="left" w:pos="4962"/>
        </w:tabs>
        <w:rPr>
          <w:rFonts w:cs="Arial"/>
          <w:color w:val="000000" w:themeColor="text1"/>
          <w:lang w:val="es-ES"/>
        </w:rPr>
      </w:pPr>
      <w:r w:rsidRPr="000657C2">
        <w:rPr>
          <w:rFonts w:cs="Arial"/>
          <w:lang w:val="es-ES"/>
        </w:rPr>
        <w:t>En total, se examinaron 284 variedades por encargo de las administraciones mencionadas.</w:t>
      </w:r>
    </w:p>
    <w:p w:rsidR="0080701B" w:rsidRPr="000657C2" w:rsidRDefault="0080701B" w:rsidP="0080701B">
      <w:pPr>
        <w:tabs>
          <w:tab w:val="left" w:pos="4962"/>
        </w:tabs>
        <w:rPr>
          <w:rFonts w:cs="Arial"/>
          <w:lang w:val="es-ES"/>
        </w:rPr>
      </w:pPr>
    </w:p>
    <w:p w:rsidR="0080701B" w:rsidRPr="000657C2" w:rsidRDefault="0080701B" w:rsidP="0080701B">
      <w:pPr>
        <w:tabs>
          <w:tab w:val="left" w:pos="4962"/>
        </w:tabs>
        <w:rPr>
          <w:rFonts w:cs="Arial"/>
          <w:lang w:val="es-ES"/>
        </w:rPr>
      </w:pPr>
      <w:r w:rsidRPr="000657C2">
        <w:rPr>
          <w:rFonts w:cs="Arial"/>
          <w:color w:val="000000"/>
          <w:lang w:val="es-ES"/>
        </w:rPr>
        <w:t xml:space="preserve">Al igual que en los años anteriores, algunas autoridades —en concreto, </w:t>
      </w:r>
      <w:r w:rsidRPr="000657C2">
        <w:rPr>
          <w:rFonts w:cs="Arial"/>
          <w:lang w:val="es-ES"/>
        </w:rPr>
        <w:t>Austria, Canadá, Dinamarca, Eslovenia, Estonia</w:t>
      </w:r>
      <w:r w:rsidRPr="000657C2">
        <w:rPr>
          <w:rFonts w:cs="Arial"/>
          <w:color w:val="000000"/>
          <w:lang w:val="es-ES"/>
        </w:rPr>
        <w:t xml:space="preserve">, </w:t>
      </w:r>
      <w:r w:rsidRPr="000657C2">
        <w:rPr>
          <w:rFonts w:cs="Arial"/>
          <w:lang w:val="es-ES"/>
        </w:rPr>
        <w:t>la Federación de Rusia</w:t>
      </w:r>
      <w:r w:rsidRPr="000657C2">
        <w:rPr>
          <w:rFonts w:cs="Arial"/>
          <w:color w:val="000000"/>
          <w:lang w:val="es-ES"/>
        </w:rPr>
        <w:t xml:space="preserve">, Francia, Irán (República Islámica del), Letonia, </w:t>
      </w:r>
      <w:r w:rsidRPr="000657C2">
        <w:rPr>
          <w:rFonts w:cs="Arial"/>
          <w:lang w:val="es-ES"/>
        </w:rPr>
        <w:t>Lituania</w:t>
      </w:r>
      <w:r w:rsidRPr="000657C2">
        <w:rPr>
          <w:rFonts w:cs="Arial"/>
          <w:color w:val="000000"/>
          <w:lang w:val="es-ES"/>
        </w:rPr>
        <w:t>, la </w:t>
      </w:r>
      <w:r w:rsidRPr="000657C2">
        <w:rPr>
          <w:rFonts w:cs="Arial"/>
          <w:lang w:val="es-ES"/>
        </w:rPr>
        <w:t>OCVV</w:t>
      </w:r>
      <w:r w:rsidRPr="000657C2">
        <w:rPr>
          <w:rFonts w:cs="Arial"/>
          <w:color w:val="000000"/>
          <w:lang w:val="es-ES"/>
        </w:rPr>
        <w:t>, Países Bajos, el </w:t>
      </w:r>
      <w:r w:rsidRPr="000657C2">
        <w:rPr>
          <w:rFonts w:cs="Arial"/>
          <w:lang w:val="es-ES"/>
        </w:rPr>
        <w:t>Reino Unido, la República Checa, la República de </w:t>
      </w:r>
      <w:proofErr w:type="spellStart"/>
      <w:r w:rsidRPr="000657C2">
        <w:rPr>
          <w:rFonts w:cs="Arial"/>
          <w:iCs/>
          <w:lang w:val="es-ES"/>
        </w:rPr>
        <w:t>Moldova</w:t>
      </w:r>
      <w:proofErr w:type="spellEnd"/>
      <w:r w:rsidRPr="000657C2">
        <w:rPr>
          <w:rFonts w:cs="Arial"/>
          <w:iCs/>
          <w:lang w:val="es-ES"/>
        </w:rPr>
        <w:t>,</w:t>
      </w:r>
      <w:r w:rsidRPr="000657C2">
        <w:rPr>
          <w:rFonts w:cs="Arial"/>
          <w:color w:val="000000"/>
          <w:lang w:val="es-ES"/>
        </w:rPr>
        <w:t xml:space="preserve"> Rumania, Serbia, Suecia, Suiza y Turquía</w:t>
      </w:r>
      <w:r w:rsidRPr="000657C2">
        <w:rPr>
          <w:rFonts w:cs="Arial"/>
          <w:lang w:val="es-ES"/>
        </w:rPr>
        <w:t xml:space="preserve">— </w:t>
      </w:r>
      <w:r w:rsidRPr="000657C2">
        <w:rPr>
          <w:rFonts w:cs="Arial"/>
          <w:color w:val="000000"/>
          <w:lang w:val="es-ES"/>
        </w:rPr>
        <w:t>basaron las decisiones sobre sus propios procedimientos en los resultados de los exámenes técnicos del COBORU.</w:t>
      </w:r>
    </w:p>
    <w:p w:rsidR="0080701B" w:rsidRPr="000657C2" w:rsidRDefault="0080701B" w:rsidP="0080701B">
      <w:pPr>
        <w:tabs>
          <w:tab w:val="left" w:pos="4962"/>
        </w:tabs>
        <w:rPr>
          <w:rFonts w:cs="Arial"/>
          <w:lang w:val="es-ES"/>
        </w:rPr>
      </w:pPr>
    </w:p>
    <w:p w:rsidR="0080701B" w:rsidRPr="000657C2" w:rsidRDefault="0080701B" w:rsidP="0080701B">
      <w:pPr>
        <w:tabs>
          <w:tab w:val="left" w:pos="4962"/>
        </w:tabs>
        <w:rPr>
          <w:rFonts w:cs="Arial"/>
          <w:lang w:val="es-ES"/>
        </w:rPr>
      </w:pPr>
      <w:r w:rsidRPr="000657C2">
        <w:rPr>
          <w:rFonts w:cs="Arial"/>
          <w:lang w:val="es-ES"/>
        </w:rPr>
        <w:t>Polonia participó activamente en la elaboración de los protocolos técnicos durante las reuniones organizadas por la OCVV.</w:t>
      </w:r>
    </w:p>
    <w:p w:rsidR="0080701B" w:rsidRPr="000657C2" w:rsidRDefault="0080701B" w:rsidP="0080701B">
      <w:pPr>
        <w:tabs>
          <w:tab w:val="left" w:pos="4962"/>
        </w:tabs>
        <w:rPr>
          <w:rFonts w:cs="Arial"/>
          <w:lang w:val="es-ES"/>
        </w:rPr>
      </w:pPr>
    </w:p>
    <w:p w:rsidR="0080701B" w:rsidRPr="000657C2" w:rsidRDefault="0080701B" w:rsidP="0080701B">
      <w:pPr>
        <w:tabs>
          <w:tab w:val="left" w:pos="4962"/>
        </w:tabs>
        <w:rPr>
          <w:rFonts w:cs="Arial"/>
          <w:lang w:val="es-ES"/>
        </w:rPr>
      </w:pPr>
    </w:p>
    <w:p w:rsidR="0080701B" w:rsidRPr="000657C2" w:rsidRDefault="0080701B" w:rsidP="0080701B">
      <w:pPr>
        <w:keepNext/>
        <w:tabs>
          <w:tab w:val="left" w:pos="567"/>
        </w:tabs>
        <w:rPr>
          <w:rFonts w:cs="Arial"/>
          <w:u w:val="single"/>
          <w:lang w:val="es-ES"/>
        </w:rPr>
      </w:pPr>
      <w:r w:rsidRPr="000657C2">
        <w:rPr>
          <w:rFonts w:cs="Arial"/>
          <w:lang w:val="es-ES"/>
        </w:rPr>
        <w:lastRenderedPageBreak/>
        <w:t>3. y 4.</w:t>
      </w:r>
      <w:r w:rsidRPr="000657C2">
        <w:rPr>
          <w:rFonts w:cs="Arial"/>
          <w:lang w:val="es-ES"/>
        </w:rPr>
        <w:tab/>
      </w:r>
      <w:r w:rsidRPr="000657C2">
        <w:rPr>
          <w:rFonts w:cs="Arial"/>
          <w:u w:val="single"/>
          <w:lang w:val="es-ES"/>
        </w:rPr>
        <w:t>Situación en los ámbitos administrativo y técnico</w:t>
      </w:r>
    </w:p>
    <w:p w:rsidR="0080701B" w:rsidRPr="000657C2" w:rsidRDefault="0080701B" w:rsidP="0080701B">
      <w:pPr>
        <w:keepNext/>
        <w:tabs>
          <w:tab w:val="left" w:pos="567"/>
          <w:tab w:val="left" w:pos="4962"/>
        </w:tabs>
        <w:rPr>
          <w:rFonts w:cs="Arial"/>
          <w:u w:val="single"/>
          <w:lang w:val="es-ES"/>
        </w:rPr>
      </w:pPr>
    </w:p>
    <w:p w:rsidR="0080701B" w:rsidRPr="000657C2" w:rsidRDefault="0080701B" w:rsidP="0080701B">
      <w:pPr>
        <w:rPr>
          <w:rFonts w:cs="Arial"/>
          <w:lang w:val="es-ES"/>
        </w:rPr>
      </w:pPr>
      <w:r w:rsidRPr="000657C2">
        <w:rPr>
          <w:rFonts w:cs="Arial"/>
          <w:lang w:val="es-ES"/>
        </w:rPr>
        <w:t xml:space="preserve">El COBORU realiza el examen DHE de las variedades en 13 estaciones experimentales destinadas a esa actividad y ubicadas por todo el país y, en el caso de los frutales, también en el Instituto de Investigación de Horticultura de </w:t>
      </w:r>
      <w:proofErr w:type="spellStart"/>
      <w:r w:rsidRPr="000657C2">
        <w:rPr>
          <w:rFonts w:cs="Arial"/>
          <w:lang w:val="es-ES"/>
        </w:rPr>
        <w:t>Skierniewice</w:t>
      </w:r>
      <w:proofErr w:type="spellEnd"/>
      <w:r w:rsidRPr="000657C2">
        <w:rPr>
          <w:rFonts w:cs="Arial"/>
          <w:lang w:val="es-ES"/>
        </w:rPr>
        <w:t>.</w:t>
      </w:r>
    </w:p>
    <w:p w:rsidR="0080701B" w:rsidRPr="000657C2" w:rsidRDefault="0080701B" w:rsidP="0080701B">
      <w:pPr>
        <w:rPr>
          <w:rFonts w:cs="Arial"/>
          <w:lang w:val="es-ES"/>
        </w:rPr>
      </w:pPr>
    </w:p>
    <w:p w:rsidR="0080701B" w:rsidRPr="000657C2" w:rsidRDefault="0080701B" w:rsidP="0080701B">
      <w:pPr>
        <w:tabs>
          <w:tab w:val="left" w:pos="567"/>
          <w:tab w:val="left" w:pos="4962"/>
        </w:tabs>
        <w:rPr>
          <w:rFonts w:cs="Arial"/>
          <w:lang w:val="es-ES"/>
        </w:rPr>
      </w:pPr>
      <w:r>
        <w:rPr>
          <w:rFonts w:cs="Arial"/>
          <w:lang w:val="es-ES"/>
        </w:rPr>
        <w:t xml:space="preserve">En 2020 se examinaron 14.102 variedades de </w:t>
      </w:r>
      <w:r w:rsidRPr="000657C2">
        <w:rPr>
          <w:rFonts w:cs="Arial"/>
          <w:lang w:val="es-ES"/>
        </w:rPr>
        <w:t xml:space="preserve">190 especies vegetales (12.931 variedades de colecciones de referencia vivas y 1.171 variedades candidatas). </w:t>
      </w:r>
    </w:p>
    <w:p w:rsidR="0080701B" w:rsidRPr="000657C2" w:rsidRDefault="0080701B" w:rsidP="0080701B">
      <w:pPr>
        <w:tabs>
          <w:tab w:val="left" w:pos="567"/>
          <w:tab w:val="left" w:pos="4962"/>
        </w:tabs>
        <w:rPr>
          <w:rFonts w:cs="Arial"/>
          <w:lang w:val="es-ES"/>
        </w:rPr>
      </w:pPr>
    </w:p>
    <w:p w:rsidR="0080701B" w:rsidRPr="000657C2" w:rsidRDefault="0080701B" w:rsidP="0080701B">
      <w:pPr>
        <w:tabs>
          <w:tab w:val="left" w:pos="567"/>
          <w:tab w:val="left" w:pos="4962"/>
        </w:tabs>
        <w:rPr>
          <w:rFonts w:cs="Arial"/>
          <w:lang w:val="es-ES"/>
        </w:rPr>
      </w:pPr>
      <w:r w:rsidRPr="000657C2">
        <w:rPr>
          <w:rFonts w:cs="Arial"/>
          <w:lang w:val="es-ES"/>
        </w:rPr>
        <w:t>En el gráfico siguiente se indica el número de variedades examinadas en Polonia, por tipo de plantas:</w:t>
      </w:r>
    </w:p>
    <w:p w:rsidR="0080701B" w:rsidRPr="000657C2" w:rsidRDefault="0080701B" w:rsidP="0080701B">
      <w:pPr>
        <w:tabs>
          <w:tab w:val="left" w:pos="567"/>
          <w:tab w:val="left" w:pos="4962"/>
        </w:tabs>
        <w:jc w:val="right"/>
        <w:rPr>
          <w:rFonts w:cs="Arial"/>
          <w:lang w:val="es-ES"/>
        </w:rPr>
      </w:pPr>
    </w:p>
    <w:p w:rsidR="0080701B" w:rsidRPr="000657C2" w:rsidRDefault="0080701B" w:rsidP="0080701B">
      <w:pPr>
        <w:pStyle w:val="Heading8"/>
        <w:rPr>
          <w:rFonts w:cs="Arial"/>
          <w:lang w:val="es-ES"/>
        </w:rPr>
      </w:pPr>
      <w:r w:rsidRPr="000657C2">
        <w:rPr>
          <w:rFonts w:cs="Arial"/>
          <w:lang w:val="es-ES"/>
        </w:rPr>
        <w:t>Número de variedades sometidas a examen DHE en  2020</w:t>
      </w:r>
    </w:p>
    <w:p w:rsidR="0080701B" w:rsidRPr="000657C2" w:rsidRDefault="0080701B" w:rsidP="0080701B">
      <w:pPr>
        <w:rPr>
          <w:rFonts w:cs="Arial"/>
          <w:lang w:val="es-ES"/>
        </w:rPr>
      </w:pPr>
    </w:p>
    <w:p w:rsidR="0080701B" w:rsidRPr="000657C2" w:rsidRDefault="0080701B" w:rsidP="0080701B">
      <w:pPr>
        <w:jc w:val="center"/>
        <w:rPr>
          <w:rFonts w:cs="Arial"/>
          <w:lang w:val="es-ES"/>
        </w:rPr>
      </w:pPr>
      <w:r w:rsidRPr="0080701B">
        <w:drawing>
          <wp:inline distT="0" distB="0" distL="0" distR="0">
            <wp:extent cx="5565775" cy="3546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565775" cy="3546475"/>
                    </a:xfrm>
                    <a:prstGeom prst="rect">
                      <a:avLst/>
                    </a:prstGeom>
                    <a:noFill/>
                    <a:ln>
                      <a:noFill/>
                    </a:ln>
                  </pic:spPr>
                </pic:pic>
              </a:graphicData>
            </a:graphic>
          </wp:inline>
        </w:drawing>
      </w:r>
    </w:p>
    <w:p w:rsidR="0080701B" w:rsidRDefault="0080701B" w:rsidP="0080701B">
      <w:pPr>
        <w:rPr>
          <w:rFonts w:cs="Arial"/>
          <w:lang w:val="es-ES"/>
        </w:rPr>
      </w:pPr>
    </w:p>
    <w:p w:rsidR="0080701B" w:rsidRPr="000657C2" w:rsidRDefault="0080701B" w:rsidP="0080701B">
      <w:pPr>
        <w:pStyle w:val="BodyText"/>
        <w:rPr>
          <w:rFonts w:cs="Arial"/>
          <w:lang w:val="es-ES"/>
        </w:rPr>
      </w:pPr>
      <w:r w:rsidRPr="000657C2">
        <w:rPr>
          <w:rFonts w:cs="Arial"/>
          <w:lang w:val="es-ES"/>
        </w:rPr>
        <w:t>En 2020, el COBORU recibió 148 solicitudes de protección nacional de derechos de obtentor, lo que supone un aumento de 21 solicitudes respecto al año anterior.</w:t>
      </w:r>
    </w:p>
    <w:p w:rsidR="0080701B" w:rsidRPr="000657C2" w:rsidRDefault="0080701B" w:rsidP="0080701B">
      <w:pPr>
        <w:pStyle w:val="BodyText"/>
        <w:rPr>
          <w:rFonts w:cs="Arial"/>
          <w:lang w:val="es-ES"/>
        </w:rPr>
      </w:pPr>
    </w:p>
    <w:p w:rsidR="0080701B" w:rsidRPr="000657C2" w:rsidRDefault="0080701B" w:rsidP="0080701B">
      <w:pPr>
        <w:pStyle w:val="BodyText"/>
        <w:rPr>
          <w:rFonts w:cs="Arial"/>
          <w:lang w:val="es-ES"/>
        </w:rPr>
      </w:pPr>
      <w:r w:rsidRPr="000657C2">
        <w:rPr>
          <w:rFonts w:cs="Arial"/>
          <w:lang w:val="es-ES"/>
        </w:rPr>
        <w:t>Entre el 1 de enero y el 1 de septiembre de 2021 se presentaron 94 nuevas solicitudes de derechos de obtentor, de las que 65 eran nacionales y 29, de otros países. Esa cifra supone una reducción de 4 solicitudes en relación con el período correspondiente al informe anterior (98).</w:t>
      </w:r>
    </w:p>
    <w:p w:rsidR="0080701B" w:rsidRPr="000657C2" w:rsidRDefault="0080701B" w:rsidP="0080701B">
      <w:pPr>
        <w:pStyle w:val="BodyText"/>
        <w:rPr>
          <w:rFonts w:cs="Arial"/>
          <w:lang w:val="es-ES"/>
        </w:rPr>
      </w:pPr>
    </w:p>
    <w:p w:rsidR="0080701B" w:rsidRPr="000657C2" w:rsidRDefault="0080701B" w:rsidP="0080701B">
      <w:pPr>
        <w:pStyle w:val="BodyText"/>
        <w:rPr>
          <w:rFonts w:cs="Arial"/>
          <w:lang w:val="es-ES"/>
        </w:rPr>
      </w:pPr>
      <w:r w:rsidRPr="000657C2">
        <w:rPr>
          <w:rFonts w:cs="Arial"/>
          <w:lang w:val="es-ES"/>
        </w:rPr>
        <w:t xml:space="preserve">En 2020, el COBORU otorgó 101 títulos de protección nacional (12 títulos más que en 2019). Al final de 2020 había 1.292 títulos nacionales de obtentor en vigor, una cifra que supone un aumento </w:t>
      </w:r>
      <w:r>
        <w:rPr>
          <w:rFonts w:cs="Arial"/>
          <w:lang w:val="es-ES"/>
        </w:rPr>
        <w:t xml:space="preserve">considerable, de </w:t>
      </w:r>
      <w:r w:rsidRPr="000657C2">
        <w:rPr>
          <w:rFonts w:cs="Arial"/>
          <w:lang w:val="es-ES"/>
        </w:rPr>
        <w:t>61</w:t>
      </w:r>
      <w:r>
        <w:rPr>
          <w:rFonts w:cs="Arial"/>
          <w:lang w:val="es-ES"/>
        </w:rPr>
        <w:t> </w:t>
      </w:r>
      <w:r w:rsidRPr="000657C2">
        <w:rPr>
          <w:rFonts w:cs="Arial"/>
          <w:lang w:val="es-ES"/>
        </w:rPr>
        <w:t xml:space="preserve">variedades, en relación con el año anterior. </w:t>
      </w:r>
    </w:p>
    <w:p w:rsidR="0080701B" w:rsidRPr="000657C2" w:rsidRDefault="0080701B" w:rsidP="0080701B">
      <w:pPr>
        <w:pStyle w:val="BodyText"/>
        <w:rPr>
          <w:rFonts w:cs="Arial"/>
          <w:lang w:val="es-ES"/>
        </w:rPr>
      </w:pPr>
    </w:p>
    <w:p w:rsidR="0080701B" w:rsidRPr="000657C2" w:rsidRDefault="0080701B" w:rsidP="0080701B">
      <w:pPr>
        <w:pStyle w:val="BodyText"/>
        <w:rPr>
          <w:rFonts w:cs="Arial"/>
          <w:lang w:val="es-ES"/>
        </w:rPr>
      </w:pPr>
      <w:r w:rsidRPr="000657C2">
        <w:rPr>
          <w:rFonts w:cs="Arial"/>
          <w:lang w:val="es-ES"/>
        </w:rPr>
        <w:t>En el período comprendido entre el 1 de enero y el 1 de septiembre de 2021 se concedieron 88 títulos de protección nacional de derechos de obtentor. A 1 de septiembre de 2021, el número total de variedades protegidas en Polonia es de 1.327.</w:t>
      </w:r>
    </w:p>
    <w:p w:rsidR="0080701B" w:rsidRPr="000657C2" w:rsidRDefault="0080701B" w:rsidP="0080701B">
      <w:pPr>
        <w:pStyle w:val="BodyText"/>
        <w:rPr>
          <w:rFonts w:cs="Arial"/>
          <w:lang w:val="es-ES"/>
        </w:rPr>
      </w:pPr>
    </w:p>
    <w:p w:rsidR="0080701B" w:rsidRPr="000657C2" w:rsidRDefault="0080701B" w:rsidP="0080701B">
      <w:pPr>
        <w:pStyle w:val="BodyText"/>
        <w:rPr>
          <w:rFonts w:cs="Arial"/>
          <w:lang w:val="es-ES"/>
        </w:rPr>
      </w:pPr>
      <w:r w:rsidRPr="000657C2">
        <w:rPr>
          <w:rFonts w:cs="Arial"/>
          <w:lang w:val="es-ES"/>
        </w:rPr>
        <w:t>En el cuadro siguiente se ofrecen datos estadísticos pormenorizados.</w:t>
      </w:r>
    </w:p>
    <w:p w:rsidR="0080701B" w:rsidRPr="000657C2" w:rsidRDefault="0080701B" w:rsidP="0080701B">
      <w:pPr>
        <w:pStyle w:val="BodyText2"/>
        <w:jc w:val="both"/>
        <w:rPr>
          <w:rFonts w:ascii="Arial" w:hAnsi="Arial" w:cs="Arial"/>
          <w:sz w:val="20"/>
          <w:lang w:val="es-ES"/>
        </w:rPr>
      </w:pPr>
    </w:p>
    <w:p w:rsidR="0080701B" w:rsidRPr="000657C2" w:rsidRDefault="0080701B" w:rsidP="0080701B">
      <w:pPr>
        <w:jc w:val="left"/>
        <w:rPr>
          <w:rFonts w:cs="Arial"/>
          <w:lang w:val="es-ES" w:eastAsia="pl-PL"/>
        </w:rPr>
      </w:pPr>
      <w:r w:rsidRPr="000657C2">
        <w:rPr>
          <w:rFonts w:cs="Arial"/>
          <w:lang w:val="es-ES"/>
        </w:rPr>
        <w:br w:type="page"/>
      </w:r>
    </w:p>
    <w:p w:rsidR="0080701B" w:rsidRPr="000657C2" w:rsidRDefault="0080701B" w:rsidP="0080701B">
      <w:pPr>
        <w:pStyle w:val="BodyText2"/>
        <w:keepNext/>
        <w:jc w:val="both"/>
        <w:rPr>
          <w:rFonts w:ascii="Arial" w:hAnsi="Arial" w:cs="Arial"/>
          <w:sz w:val="20"/>
          <w:lang w:val="es-ES"/>
        </w:rPr>
      </w:pPr>
      <w:r w:rsidRPr="000657C2">
        <w:rPr>
          <w:rFonts w:ascii="Arial" w:hAnsi="Arial" w:cs="Arial"/>
          <w:sz w:val="20"/>
          <w:lang w:val="es-ES"/>
        </w:rPr>
        <w:lastRenderedPageBreak/>
        <w:t>En la columna “Títulos caducados” figura</w:t>
      </w:r>
      <w:r>
        <w:rPr>
          <w:rFonts w:ascii="Arial" w:hAnsi="Arial" w:cs="Arial"/>
          <w:sz w:val="20"/>
          <w:lang w:val="es-ES"/>
        </w:rPr>
        <w:t>n 8 variedades</w:t>
      </w:r>
      <w:r w:rsidRPr="000657C2">
        <w:rPr>
          <w:rFonts w:ascii="Arial" w:hAnsi="Arial" w:cs="Arial"/>
          <w:sz w:val="20"/>
          <w:lang w:val="es-ES"/>
        </w:rPr>
        <w:t xml:space="preserve"> cuyo título nacional de obtentor ha vencido durante el período del informe.</w:t>
      </w:r>
    </w:p>
    <w:p w:rsidR="0080701B" w:rsidRPr="000657C2" w:rsidRDefault="0080701B" w:rsidP="0080701B">
      <w:pPr>
        <w:pStyle w:val="BodyText2"/>
        <w:keepNext/>
        <w:jc w:val="both"/>
        <w:rPr>
          <w:rFonts w:ascii="Arial" w:hAnsi="Arial" w:cs="Arial"/>
          <w:sz w:val="20"/>
          <w:lang w:val="es-ES"/>
        </w:rPr>
      </w:pPr>
    </w:p>
    <w:tbl>
      <w:tblPr>
        <w:tblW w:w="9609" w:type="dxa"/>
        <w:tblLayout w:type="fixed"/>
        <w:tblCellMar>
          <w:left w:w="57" w:type="dxa"/>
          <w:right w:w="57" w:type="dxa"/>
        </w:tblCellMar>
        <w:tblLook w:val="0000" w:firstRow="0" w:lastRow="0" w:firstColumn="0" w:lastColumn="0" w:noHBand="0" w:noVBand="0"/>
      </w:tblPr>
      <w:tblGrid>
        <w:gridCol w:w="1410"/>
        <w:gridCol w:w="1134"/>
        <w:gridCol w:w="850"/>
        <w:gridCol w:w="851"/>
        <w:gridCol w:w="1134"/>
        <w:gridCol w:w="992"/>
        <w:gridCol w:w="948"/>
        <w:gridCol w:w="1181"/>
        <w:gridCol w:w="1109"/>
      </w:tblGrid>
      <w:tr w:rsidR="0080701B" w:rsidRPr="000657C2" w:rsidTr="0080701B">
        <w:tc>
          <w:tcPr>
            <w:tcW w:w="1410" w:type="dxa"/>
            <w:tcBorders>
              <w:top w:val="single" w:sz="4" w:space="0" w:color="auto"/>
              <w:left w:val="single" w:sz="6" w:space="0" w:color="auto"/>
            </w:tcBorders>
          </w:tcPr>
          <w:p w:rsidR="0080701B" w:rsidRPr="000657C2" w:rsidRDefault="0080701B" w:rsidP="00AA577D">
            <w:pPr>
              <w:jc w:val="center"/>
              <w:rPr>
                <w:rFonts w:cs="Arial"/>
                <w:lang w:val="es-ES"/>
              </w:rPr>
            </w:pPr>
          </w:p>
          <w:p w:rsidR="0080701B" w:rsidRPr="000657C2" w:rsidRDefault="0080701B" w:rsidP="00AA577D">
            <w:pPr>
              <w:jc w:val="center"/>
              <w:rPr>
                <w:rFonts w:cs="Arial"/>
                <w:lang w:val="es-ES"/>
              </w:rPr>
            </w:pPr>
            <w:r w:rsidRPr="000657C2">
              <w:rPr>
                <w:rFonts w:cs="Arial"/>
                <w:lang w:val="es-ES"/>
              </w:rPr>
              <w:t>Especies vegetales</w:t>
            </w:r>
          </w:p>
        </w:tc>
        <w:tc>
          <w:tcPr>
            <w:tcW w:w="2835" w:type="dxa"/>
            <w:gridSpan w:val="3"/>
            <w:tcBorders>
              <w:top w:val="single" w:sz="4" w:space="0" w:color="auto"/>
              <w:left w:val="single" w:sz="12" w:space="0" w:color="auto"/>
              <w:right w:val="single" w:sz="12" w:space="0" w:color="auto"/>
            </w:tcBorders>
          </w:tcPr>
          <w:p w:rsidR="0080701B" w:rsidRPr="000657C2" w:rsidRDefault="0080701B" w:rsidP="00AA577D">
            <w:pPr>
              <w:jc w:val="center"/>
              <w:rPr>
                <w:rFonts w:cs="Arial"/>
                <w:lang w:val="es-ES"/>
              </w:rPr>
            </w:pPr>
            <w:r w:rsidRPr="000657C2">
              <w:rPr>
                <w:rFonts w:cs="Arial"/>
                <w:lang w:val="es-ES"/>
              </w:rPr>
              <w:t>Solicitudes de derechos de obtentor</w:t>
            </w:r>
          </w:p>
          <w:p w:rsidR="0080701B" w:rsidRPr="000657C2" w:rsidRDefault="0080701B" w:rsidP="00AA577D">
            <w:pPr>
              <w:keepNext/>
              <w:jc w:val="center"/>
              <w:rPr>
                <w:rFonts w:cs="Arial"/>
                <w:lang w:val="es-ES"/>
              </w:rPr>
            </w:pPr>
            <w:r w:rsidRPr="000657C2">
              <w:rPr>
                <w:rFonts w:cs="Arial"/>
                <w:lang w:val="es-ES"/>
              </w:rPr>
              <w:t>1/01/2021 a 1/09/2021</w:t>
            </w:r>
          </w:p>
        </w:tc>
        <w:tc>
          <w:tcPr>
            <w:tcW w:w="3074" w:type="dxa"/>
            <w:gridSpan w:val="3"/>
            <w:tcBorders>
              <w:top w:val="single" w:sz="4" w:space="0" w:color="auto"/>
              <w:left w:val="nil"/>
              <w:right w:val="single" w:sz="12" w:space="0" w:color="auto"/>
            </w:tcBorders>
            <w:shd w:val="clear" w:color="auto" w:fill="FFFFFF"/>
          </w:tcPr>
          <w:p w:rsidR="0080701B" w:rsidRPr="000657C2" w:rsidRDefault="0080701B" w:rsidP="00AA577D">
            <w:pPr>
              <w:shd w:val="clear" w:color="auto" w:fill="FFFFFF"/>
              <w:jc w:val="center"/>
              <w:rPr>
                <w:rFonts w:cs="Arial"/>
                <w:lang w:val="es-ES"/>
              </w:rPr>
            </w:pPr>
            <w:r w:rsidRPr="000657C2">
              <w:rPr>
                <w:rFonts w:cs="Arial"/>
                <w:lang w:val="es-ES"/>
              </w:rPr>
              <w:t>Títulos concedidos</w:t>
            </w:r>
          </w:p>
          <w:p w:rsidR="0080701B" w:rsidRPr="000657C2" w:rsidRDefault="0080701B" w:rsidP="00AA577D">
            <w:pPr>
              <w:keepNext/>
              <w:shd w:val="clear" w:color="auto" w:fill="FFFFFF"/>
              <w:jc w:val="center"/>
              <w:rPr>
                <w:rFonts w:cs="Arial"/>
                <w:lang w:val="es-ES"/>
              </w:rPr>
            </w:pPr>
            <w:r w:rsidRPr="000657C2">
              <w:rPr>
                <w:rFonts w:cs="Arial"/>
                <w:lang w:val="es-ES"/>
              </w:rPr>
              <w:t>1/01/2021 a 1/09/2021</w:t>
            </w:r>
          </w:p>
        </w:tc>
        <w:tc>
          <w:tcPr>
            <w:tcW w:w="1181" w:type="dxa"/>
            <w:tcBorders>
              <w:top w:val="single" w:sz="4" w:space="0" w:color="auto"/>
              <w:left w:val="nil"/>
              <w:right w:val="single" w:sz="12" w:space="0" w:color="auto"/>
            </w:tcBorders>
            <w:vAlign w:val="center"/>
          </w:tcPr>
          <w:p w:rsidR="0080701B" w:rsidRPr="000657C2" w:rsidRDefault="0080701B" w:rsidP="00AA577D">
            <w:pPr>
              <w:jc w:val="center"/>
              <w:rPr>
                <w:rFonts w:cs="Arial"/>
                <w:lang w:val="es-ES"/>
              </w:rPr>
            </w:pPr>
            <w:r w:rsidRPr="000657C2">
              <w:rPr>
                <w:rFonts w:cs="Arial"/>
                <w:lang w:val="es-ES"/>
              </w:rPr>
              <w:t>Títulos caducados</w:t>
            </w:r>
          </w:p>
        </w:tc>
        <w:tc>
          <w:tcPr>
            <w:tcW w:w="1109" w:type="dxa"/>
            <w:tcBorders>
              <w:top w:val="single" w:sz="4" w:space="0" w:color="auto"/>
              <w:left w:val="nil"/>
              <w:right w:val="single" w:sz="6" w:space="0" w:color="auto"/>
            </w:tcBorders>
            <w:shd w:val="clear" w:color="auto" w:fill="FFFFFF"/>
          </w:tcPr>
          <w:p w:rsidR="0080701B" w:rsidRPr="000657C2" w:rsidRDefault="0080701B" w:rsidP="00AA577D">
            <w:pPr>
              <w:keepNext/>
              <w:ind w:right="-6"/>
              <w:jc w:val="center"/>
              <w:rPr>
                <w:rFonts w:cs="Arial"/>
                <w:lang w:val="es-ES"/>
              </w:rPr>
            </w:pPr>
            <w:r w:rsidRPr="000657C2">
              <w:rPr>
                <w:rFonts w:cs="Arial"/>
                <w:lang w:val="es-ES"/>
              </w:rPr>
              <w:t>Títulos en vigor a 1/9/2021</w:t>
            </w:r>
          </w:p>
        </w:tc>
      </w:tr>
      <w:tr w:rsidR="0080701B" w:rsidRPr="000657C2" w:rsidTr="0080701B">
        <w:tc>
          <w:tcPr>
            <w:tcW w:w="1410" w:type="dxa"/>
            <w:tcBorders>
              <w:left w:val="single" w:sz="6" w:space="0" w:color="auto"/>
              <w:right w:val="single" w:sz="12" w:space="0" w:color="auto"/>
            </w:tcBorders>
          </w:tcPr>
          <w:p w:rsidR="0080701B" w:rsidRPr="000657C2" w:rsidRDefault="0080701B" w:rsidP="00AA577D">
            <w:pPr>
              <w:rPr>
                <w:rFonts w:cs="Arial"/>
                <w:lang w:val="es-ES"/>
              </w:rPr>
            </w:pPr>
          </w:p>
        </w:tc>
        <w:tc>
          <w:tcPr>
            <w:tcW w:w="1134" w:type="dxa"/>
            <w:tcBorders>
              <w:top w:val="single" w:sz="6" w:space="0" w:color="auto"/>
              <w:left w:val="nil"/>
              <w:right w:val="single" w:sz="6" w:space="0" w:color="auto"/>
            </w:tcBorders>
            <w:vAlign w:val="center"/>
          </w:tcPr>
          <w:p w:rsidR="0080701B" w:rsidRPr="000657C2" w:rsidRDefault="0080701B" w:rsidP="00AA577D">
            <w:pPr>
              <w:jc w:val="center"/>
              <w:rPr>
                <w:rFonts w:cs="Arial"/>
                <w:lang w:val="es-ES"/>
              </w:rPr>
            </w:pPr>
            <w:r w:rsidRPr="000657C2">
              <w:rPr>
                <w:rFonts w:cs="Arial"/>
                <w:lang w:val="es-ES"/>
              </w:rPr>
              <w:t>nacionales</w:t>
            </w:r>
          </w:p>
        </w:tc>
        <w:tc>
          <w:tcPr>
            <w:tcW w:w="850" w:type="dxa"/>
            <w:tcBorders>
              <w:top w:val="single" w:sz="6" w:space="0" w:color="auto"/>
              <w:left w:val="nil"/>
              <w:right w:val="single" w:sz="6" w:space="0" w:color="auto"/>
            </w:tcBorders>
            <w:vAlign w:val="center"/>
          </w:tcPr>
          <w:p w:rsidR="0080701B" w:rsidRPr="000657C2" w:rsidRDefault="0080701B" w:rsidP="00AA577D">
            <w:pPr>
              <w:jc w:val="center"/>
              <w:rPr>
                <w:rFonts w:cs="Arial"/>
                <w:lang w:val="es-ES"/>
              </w:rPr>
            </w:pPr>
            <w:r w:rsidRPr="000657C2">
              <w:rPr>
                <w:rFonts w:cs="Arial"/>
                <w:lang w:val="es-ES"/>
              </w:rPr>
              <w:t>otros países</w:t>
            </w:r>
          </w:p>
        </w:tc>
        <w:tc>
          <w:tcPr>
            <w:tcW w:w="851" w:type="dxa"/>
            <w:tcBorders>
              <w:top w:val="single" w:sz="6" w:space="0" w:color="auto"/>
              <w:left w:val="nil"/>
              <w:right w:val="single" w:sz="12" w:space="0" w:color="auto"/>
            </w:tcBorders>
            <w:vAlign w:val="center"/>
          </w:tcPr>
          <w:p w:rsidR="0080701B" w:rsidRPr="000657C2" w:rsidRDefault="0080701B" w:rsidP="00AA577D">
            <w:pPr>
              <w:jc w:val="center"/>
              <w:rPr>
                <w:rFonts w:cs="Arial"/>
                <w:lang w:val="es-ES"/>
              </w:rPr>
            </w:pPr>
            <w:r w:rsidRPr="000657C2">
              <w:rPr>
                <w:rFonts w:cs="Arial"/>
                <w:lang w:val="es-ES"/>
              </w:rPr>
              <w:t>total</w:t>
            </w:r>
          </w:p>
        </w:tc>
        <w:tc>
          <w:tcPr>
            <w:tcW w:w="1134" w:type="dxa"/>
            <w:tcBorders>
              <w:top w:val="single" w:sz="6" w:space="0" w:color="auto"/>
              <w:left w:val="nil"/>
              <w:right w:val="single" w:sz="6" w:space="0" w:color="auto"/>
            </w:tcBorders>
            <w:vAlign w:val="center"/>
          </w:tcPr>
          <w:p w:rsidR="0080701B" w:rsidRPr="000657C2" w:rsidRDefault="0080701B" w:rsidP="00AA577D">
            <w:pPr>
              <w:jc w:val="center"/>
              <w:rPr>
                <w:rFonts w:cs="Arial"/>
                <w:lang w:val="es-ES"/>
              </w:rPr>
            </w:pPr>
            <w:r w:rsidRPr="000657C2">
              <w:rPr>
                <w:rFonts w:cs="Arial"/>
                <w:lang w:val="es-ES"/>
              </w:rPr>
              <w:t>nacionales</w:t>
            </w:r>
          </w:p>
        </w:tc>
        <w:tc>
          <w:tcPr>
            <w:tcW w:w="992" w:type="dxa"/>
            <w:tcBorders>
              <w:top w:val="single" w:sz="6" w:space="0" w:color="auto"/>
              <w:left w:val="nil"/>
              <w:right w:val="single" w:sz="6" w:space="0" w:color="auto"/>
            </w:tcBorders>
            <w:vAlign w:val="center"/>
          </w:tcPr>
          <w:p w:rsidR="0080701B" w:rsidRPr="000657C2" w:rsidRDefault="0080701B" w:rsidP="00AA577D">
            <w:pPr>
              <w:jc w:val="center"/>
              <w:rPr>
                <w:rFonts w:cs="Arial"/>
                <w:lang w:val="es-ES"/>
              </w:rPr>
            </w:pPr>
            <w:r w:rsidRPr="000657C2">
              <w:rPr>
                <w:rFonts w:cs="Arial"/>
                <w:lang w:val="es-ES"/>
              </w:rPr>
              <w:t>otros países</w:t>
            </w:r>
          </w:p>
        </w:tc>
        <w:tc>
          <w:tcPr>
            <w:tcW w:w="948" w:type="dxa"/>
            <w:tcBorders>
              <w:top w:val="single" w:sz="6" w:space="0" w:color="auto"/>
              <w:left w:val="nil"/>
              <w:right w:val="single" w:sz="12" w:space="0" w:color="auto"/>
            </w:tcBorders>
            <w:vAlign w:val="center"/>
          </w:tcPr>
          <w:p w:rsidR="0080701B" w:rsidRPr="000657C2" w:rsidRDefault="0080701B" w:rsidP="00AA577D">
            <w:pPr>
              <w:jc w:val="center"/>
              <w:rPr>
                <w:rFonts w:cs="Arial"/>
                <w:lang w:val="es-ES"/>
              </w:rPr>
            </w:pPr>
            <w:r w:rsidRPr="000657C2">
              <w:rPr>
                <w:rFonts w:cs="Arial"/>
                <w:lang w:val="es-ES"/>
              </w:rPr>
              <w:t>total</w:t>
            </w:r>
          </w:p>
        </w:tc>
        <w:tc>
          <w:tcPr>
            <w:tcW w:w="1181" w:type="dxa"/>
            <w:tcBorders>
              <w:left w:val="nil"/>
              <w:right w:val="single" w:sz="12" w:space="0" w:color="auto"/>
            </w:tcBorders>
          </w:tcPr>
          <w:p w:rsidR="0080701B" w:rsidRPr="000657C2" w:rsidRDefault="0080701B" w:rsidP="00AA577D">
            <w:pPr>
              <w:jc w:val="center"/>
              <w:rPr>
                <w:rFonts w:cs="Arial"/>
                <w:lang w:val="es-ES"/>
              </w:rPr>
            </w:pPr>
          </w:p>
        </w:tc>
        <w:tc>
          <w:tcPr>
            <w:tcW w:w="1109" w:type="dxa"/>
            <w:tcBorders>
              <w:left w:val="nil"/>
              <w:right w:val="single" w:sz="6" w:space="0" w:color="auto"/>
            </w:tcBorders>
            <w:shd w:val="clear" w:color="auto" w:fill="FFFFFF"/>
          </w:tcPr>
          <w:p w:rsidR="0080701B" w:rsidRPr="000657C2" w:rsidRDefault="0080701B" w:rsidP="00AA577D">
            <w:pPr>
              <w:jc w:val="center"/>
              <w:rPr>
                <w:rFonts w:cs="Arial"/>
                <w:lang w:val="es-ES"/>
              </w:rPr>
            </w:pPr>
          </w:p>
        </w:tc>
      </w:tr>
      <w:tr w:rsidR="0080701B" w:rsidRPr="000657C2" w:rsidTr="0080701B">
        <w:tc>
          <w:tcPr>
            <w:tcW w:w="1410" w:type="dxa"/>
            <w:tcBorders>
              <w:top w:val="single" w:sz="12" w:space="0" w:color="auto"/>
              <w:left w:val="single" w:sz="6" w:space="0" w:color="auto"/>
              <w:bottom w:val="single" w:sz="6" w:space="0" w:color="auto"/>
              <w:right w:val="single" w:sz="12" w:space="0" w:color="auto"/>
            </w:tcBorders>
          </w:tcPr>
          <w:p w:rsidR="0080701B" w:rsidRPr="000657C2" w:rsidRDefault="0080701B" w:rsidP="00AA577D">
            <w:pPr>
              <w:spacing w:before="120"/>
              <w:jc w:val="center"/>
              <w:rPr>
                <w:rFonts w:cs="Arial"/>
                <w:lang w:val="es-ES"/>
              </w:rPr>
            </w:pPr>
            <w:r w:rsidRPr="000657C2">
              <w:rPr>
                <w:rFonts w:cs="Arial"/>
                <w:lang w:val="es-ES"/>
              </w:rPr>
              <w:t>Agrícolas</w:t>
            </w:r>
          </w:p>
        </w:tc>
        <w:tc>
          <w:tcPr>
            <w:tcW w:w="1134" w:type="dxa"/>
            <w:tcBorders>
              <w:top w:val="single" w:sz="12" w:space="0" w:color="auto"/>
              <w:left w:val="nil"/>
              <w:bottom w:val="single" w:sz="6" w:space="0" w:color="auto"/>
              <w:right w:val="single" w:sz="6" w:space="0" w:color="auto"/>
            </w:tcBorders>
          </w:tcPr>
          <w:p w:rsidR="0080701B" w:rsidRPr="000657C2" w:rsidRDefault="0080701B" w:rsidP="00AA577D">
            <w:pPr>
              <w:spacing w:before="120"/>
              <w:jc w:val="center"/>
              <w:rPr>
                <w:rFonts w:cs="Arial"/>
                <w:lang w:val="es-ES"/>
              </w:rPr>
            </w:pPr>
            <w:r w:rsidRPr="000657C2">
              <w:rPr>
                <w:rFonts w:cs="Arial"/>
                <w:lang w:val="es-ES"/>
              </w:rPr>
              <w:t>35</w:t>
            </w:r>
          </w:p>
        </w:tc>
        <w:tc>
          <w:tcPr>
            <w:tcW w:w="850" w:type="dxa"/>
            <w:tcBorders>
              <w:top w:val="single" w:sz="12" w:space="0" w:color="auto"/>
              <w:left w:val="single" w:sz="6" w:space="0" w:color="auto"/>
              <w:bottom w:val="single" w:sz="6" w:space="0" w:color="auto"/>
              <w:right w:val="single" w:sz="6" w:space="0" w:color="auto"/>
            </w:tcBorders>
          </w:tcPr>
          <w:p w:rsidR="0080701B" w:rsidRPr="000657C2" w:rsidRDefault="0080701B" w:rsidP="00AA577D">
            <w:pPr>
              <w:spacing w:before="120"/>
              <w:jc w:val="center"/>
              <w:rPr>
                <w:rFonts w:cs="Arial"/>
                <w:lang w:val="es-ES"/>
              </w:rPr>
            </w:pPr>
            <w:r w:rsidRPr="000657C2">
              <w:rPr>
                <w:rFonts w:cs="Arial"/>
                <w:lang w:val="es-ES"/>
              </w:rPr>
              <w:t>5</w:t>
            </w:r>
          </w:p>
        </w:tc>
        <w:tc>
          <w:tcPr>
            <w:tcW w:w="851" w:type="dxa"/>
            <w:tcBorders>
              <w:top w:val="single" w:sz="12" w:space="0" w:color="auto"/>
              <w:left w:val="single" w:sz="6" w:space="0" w:color="auto"/>
              <w:bottom w:val="single" w:sz="6" w:space="0" w:color="auto"/>
              <w:right w:val="single" w:sz="12" w:space="0" w:color="auto"/>
            </w:tcBorders>
            <w:shd w:val="clear" w:color="auto" w:fill="D9D9D9"/>
          </w:tcPr>
          <w:p w:rsidR="0080701B" w:rsidRPr="000657C2" w:rsidRDefault="0080701B" w:rsidP="00AA577D">
            <w:pPr>
              <w:spacing w:before="120"/>
              <w:jc w:val="center"/>
              <w:rPr>
                <w:rFonts w:cs="Arial"/>
                <w:lang w:val="es-ES"/>
              </w:rPr>
            </w:pPr>
            <w:r w:rsidRPr="000657C2">
              <w:rPr>
                <w:rFonts w:cs="Arial"/>
                <w:lang w:val="es-ES"/>
              </w:rPr>
              <w:t>40</w:t>
            </w:r>
          </w:p>
        </w:tc>
        <w:tc>
          <w:tcPr>
            <w:tcW w:w="1134" w:type="dxa"/>
            <w:tcBorders>
              <w:top w:val="single" w:sz="12" w:space="0" w:color="auto"/>
              <w:left w:val="nil"/>
              <w:bottom w:val="single" w:sz="6" w:space="0" w:color="auto"/>
              <w:right w:val="single" w:sz="6" w:space="0" w:color="auto"/>
            </w:tcBorders>
          </w:tcPr>
          <w:p w:rsidR="0080701B" w:rsidRPr="000657C2" w:rsidRDefault="0080701B" w:rsidP="00AA577D">
            <w:pPr>
              <w:spacing w:before="120"/>
              <w:jc w:val="center"/>
              <w:rPr>
                <w:rFonts w:cs="Arial"/>
                <w:lang w:val="es-ES"/>
              </w:rPr>
            </w:pPr>
            <w:r w:rsidRPr="000657C2">
              <w:rPr>
                <w:rFonts w:cs="Arial"/>
                <w:lang w:val="es-ES"/>
              </w:rPr>
              <w:t>3</w:t>
            </w:r>
          </w:p>
        </w:tc>
        <w:tc>
          <w:tcPr>
            <w:tcW w:w="992" w:type="dxa"/>
            <w:tcBorders>
              <w:top w:val="single" w:sz="12" w:space="0" w:color="auto"/>
              <w:left w:val="single" w:sz="6" w:space="0" w:color="auto"/>
              <w:bottom w:val="single" w:sz="6" w:space="0" w:color="auto"/>
              <w:right w:val="single" w:sz="6" w:space="0" w:color="auto"/>
            </w:tcBorders>
          </w:tcPr>
          <w:p w:rsidR="0080701B" w:rsidRPr="000657C2" w:rsidRDefault="0080701B" w:rsidP="00AA577D">
            <w:pPr>
              <w:spacing w:before="120"/>
              <w:jc w:val="center"/>
              <w:rPr>
                <w:rFonts w:cs="Arial"/>
                <w:lang w:val="es-ES"/>
              </w:rPr>
            </w:pPr>
            <w:r w:rsidRPr="000657C2">
              <w:rPr>
                <w:rFonts w:cs="Arial"/>
                <w:lang w:val="es-ES"/>
              </w:rPr>
              <w:t>39</w:t>
            </w:r>
          </w:p>
        </w:tc>
        <w:tc>
          <w:tcPr>
            <w:tcW w:w="948" w:type="dxa"/>
            <w:tcBorders>
              <w:top w:val="single" w:sz="12" w:space="0" w:color="auto"/>
              <w:left w:val="single" w:sz="6" w:space="0" w:color="auto"/>
              <w:bottom w:val="single" w:sz="6" w:space="0" w:color="auto"/>
              <w:right w:val="single" w:sz="12" w:space="0" w:color="auto"/>
            </w:tcBorders>
            <w:shd w:val="clear" w:color="auto" w:fill="D9D9D9"/>
          </w:tcPr>
          <w:p w:rsidR="0080701B" w:rsidRPr="000657C2" w:rsidRDefault="0080701B" w:rsidP="00AA577D">
            <w:pPr>
              <w:spacing w:before="120"/>
              <w:jc w:val="center"/>
              <w:rPr>
                <w:rFonts w:cs="Arial"/>
                <w:lang w:val="es-ES"/>
              </w:rPr>
            </w:pPr>
            <w:r w:rsidRPr="000657C2">
              <w:rPr>
                <w:rFonts w:cs="Arial"/>
                <w:lang w:val="es-ES"/>
              </w:rPr>
              <w:t>42</w:t>
            </w:r>
          </w:p>
        </w:tc>
        <w:tc>
          <w:tcPr>
            <w:tcW w:w="1181" w:type="dxa"/>
            <w:tcBorders>
              <w:top w:val="single" w:sz="12" w:space="0" w:color="auto"/>
              <w:left w:val="nil"/>
              <w:bottom w:val="single" w:sz="6" w:space="0" w:color="auto"/>
              <w:right w:val="single" w:sz="12" w:space="0" w:color="auto"/>
            </w:tcBorders>
          </w:tcPr>
          <w:p w:rsidR="0080701B" w:rsidRPr="000657C2" w:rsidRDefault="0080701B" w:rsidP="00AA577D">
            <w:pPr>
              <w:spacing w:before="120"/>
              <w:jc w:val="center"/>
              <w:rPr>
                <w:rFonts w:cs="Arial"/>
                <w:lang w:val="es-ES"/>
              </w:rPr>
            </w:pPr>
            <w:r w:rsidRPr="000657C2">
              <w:rPr>
                <w:rFonts w:cs="Arial"/>
                <w:lang w:val="es-ES"/>
              </w:rPr>
              <w:t>30</w:t>
            </w:r>
          </w:p>
        </w:tc>
        <w:tc>
          <w:tcPr>
            <w:tcW w:w="1109" w:type="dxa"/>
            <w:tcBorders>
              <w:top w:val="single" w:sz="12" w:space="0" w:color="auto"/>
              <w:left w:val="nil"/>
              <w:bottom w:val="single" w:sz="6" w:space="0" w:color="auto"/>
              <w:right w:val="single" w:sz="6" w:space="0" w:color="auto"/>
            </w:tcBorders>
            <w:shd w:val="clear" w:color="auto" w:fill="D9D9D9"/>
          </w:tcPr>
          <w:p w:rsidR="0080701B" w:rsidRPr="000657C2" w:rsidRDefault="0080701B" w:rsidP="00AA577D">
            <w:pPr>
              <w:spacing w:before="120"/>
              <w:jc w:val="center"/>
              <w:rPr>
                <w:rFonts w:cs="Arial"/>
                <w:lang w:val="es-ES"/>
              </w:rPr>
            </w:pPr>
            <w:r w:rsidRPr="000657C2">
              <w:rPr>
                <w:rFonts w:cs="Arial"/>
                <w:lang w:val="es-ES"/>
              </w:rPr>
              <w:t>739</w:t>
            </w:r>
          </w:p>
        </w:tc>
      </w:tr>
      <w:tr w:rsidR="0080701B" w:rsidRPr="000657C2" w:rsidTr="0080701B">
        <w:tc>
          <w:tcPr>
            <w:tcW w:w="1410" w:type="dxa"/>
            <w:tcBorders>
              <w:top w:val="single" w:sz="6" w:space="0" w:color="auto"/>
              <w:left w:val="single" w:sz="6" w:space="0" w:color="auto"/>
              <w:bottom w:val="single" w:sz="6" w:space="0" w:color="auto"/>
              <w:right w:val="single" w:sz="12" w:space="0" w:color="auto"/>
            </w:tcBorders>
          </w:tcPr>
          <w:p w:rsidR="0080701B" w:rsidRPr="000657C2" w:rsidRDefault="0080701B" w:rsidP="00AA577D">
            <w:pPr>
              <w:spacing w:before="120"/>
              <w:jc w:val="center"/>
              <w:rPr>
                <w:rFonts w:cs="Arial"/>
                <w:lang w:val="es-ES"/>
              </w:rPr>
            </w:pPr>
            <w:r w:rsidRPr="000657C2">
              <w:rPr>
                <w:rFonts w:cs="Arial"/>
                <w:lang w:val="es-ES"/>
              </w:rPr>
              <w:t>Hortícolas</w:t>
            </w:r>
          </w:p>
        </w:tc>
        <w:tc>
          <w:tcPr>
            <w:tcW w:w="1134" w:type="dxa"/>
            <w:tcBorders>
              <w:top w:val="single" w:sz="6" w:space="0" w:color="auto"/>
              <w:left w:val="nil"/>
              <w:bottom w:val="single" w:sz="6" w:space="0" w:color="auto"/>
              <w:right w:val="single" w:sz="6" w:space="0" w:color="auto"/>
            </w:tcBorders>
          </w:tcPr>
          <w:p w:rsidR="0080701B" w:rsidRPr="000657C2" w:rsidRDefault="0080701B" w:rsidP="00AA577D">
            <w:pPr>
              <w:spacing w:before="120"/>
              <w:jc w:val="center"/>
              <w:rPr>
                <w:rFonts w:cs="Arial"/>
                <w:lang w:val="es-ES"/>
              </w:rPr>
            </w:pPr>
            <w:r w:rsidRPr="000657C2">
              <w:rPr>
                <w:rFonts w:cs="Arial"/>
                <w:lang w:val="es-ES"/>
              </w:rPr>
              <w:t>12</w:t>
            </w:r>
          </w:p>
        </w:tc>
        <w:tc>
          <w:tcPr>
            <w:tcW w:w="850" w:type="dxa"/>
            <w:tcBorders>
              <w:top w:val="single" w:sz="6" w:space="0" w:color="auto"/>
              <w:left w:val="single" w:sz="6" w:space="0" w:color="auto"/>
              <w:bottom w:val="single" w:sz="6" w:space="0" w:color="auto"/>
              <w:right w:val="single" w:sz="6" w:space="0" w:color="auto"/>
            </w:tcBorders>
          </w:tcPr>
          <w:p w:rsidR="0080701B" w:rsidRPr="000657C2" w:rsidRDefault="0080701B" w:rsidP="00AA577D">
            <w:pPr>
              <w:spacing w:before="120"/>
              <w:jc w:val="center"/>
              <w:rPr>
                <w:rFonts w:cs="Arial"/>
                <w:lang w:val="es-ES"/>
              </w:rPr>
            </w:pPr>
            <w:r w:rsidRPr="000657C2">
              <w:rPr>
                <w:rFonts w:cs="Arial"/>
                <w:lang w:val="es-ES"/>
              </w:rPr>
              <w:t>1</w:t>
            </w:r>
          </w:p>
        </w:tc>
        <w:tc>
          <w:tcPr>
            <w:tcW w:w="851" w:type="dxa"/>
            <w:tcBorders>
              <w:top w:val="single" w:sz="6" w:space="0" w:color="auto"/>
              <w:left w:val="single" w:sz="6" w:space="0" w:color="auto"/>
              <w:bottom w:val="single" w:sz="6" w:space="0" w:color="auto"/>
              <w:right w:val="single" w:sz="12" w:space="0" w:color="auto"/>
            </w:tcBorders>
            <w:shd w:val="clear" w:color="auto" w:fill="D9D9D9"/>
          </w:tcPr>
          <w:p w:rsidR="0080701B" w:rsidRPr="000657C2" w:rsidRDefault="0080701B" w:rsidP="00AA577D">
            <w:pPr>
              <w:spacing w:before="120"/>
              <w:jc w:val="center"/>
              <w:rPr>
                <w:rFonts w:cs="Arial"/>
                <w:lang w:val="es-ES"/>
              </w:rPr>
            </w:pPr>
            <w:r w:rsidRPr="000657C2">
              <w:rPr>
                <w:rFonts w:cs="Arial"/>
                <w:lang w:val="es-ES"/>
              </w:rPr>
              <w:t>13</w:t>
            </w:r>
          </w:p>
        </w:tc>
        <w:tc>
          <w:tcPr>
            <w:tcW w:w="1134" w:type="dxa"/>
            <w:tcBorders>
              <w:top w:val="single" w:sz="6" w:space="0" w:color="auto"/>
              <w:left w:val="nil"/>
              <w:bottom w:val="single" w:sz="6" w:space="0" w:color="auto"/>
              <w:right w:val="single" w:sz="6" w:space="0" w:color="auto"/>
            </w:tcBorders>
          </w:tcPr>
          <w:p w:rsidR="0080701B" w:rsidRPr="000657C2" w:rsidRDefault="0080701B" w:rsidP="00AA577D">
            <w:pPr>
              <w:spacing w:before="120"/>
              <w:jc w:val="center"/>
              <w:rPr>
                <w:rFonts w:cs="Arial"/>
                <w:lang w:val="es-ES"/>
              </w:rPr>
            </w:pPr>
            <w:r w:rsidRPr="000657C2">
              <w:rPr>
                <w:rFonts w:cs="Arial"/>
                <w:lang w:val="es-ES"/>
              </w:rPr>
              <w:t>16</w:t>
            </w:r>
          </w:p>
        </w:tc>
        <w:tc>
          <w:tcPr>
            <w:tcW w:w="992" w:type="dxa"/>
            <w:tcBorders>
              <w:top w:val="single" w:sz="6" w:space="0" w:color="auto"/>
              <w:left w:val="single" w:sz="6" w:space="0" w:color="auto"/>
              <w:bottom w:val="single" w:sz="6" w:space="0" w:color="auto"/>
              <w:right w:val="single" w:sz="6" w:space="0" w:color="auto"/>
            </w:tcBorders>
          </w:tcPr>
          <w:p w:rsidR="0080701B" w:rsidRPr="000657C2" w:rsidRDefault="0080701B" w:rsidP="00AA577D">
            <w:pPr>
              <w:spacing w:before="120"/>
              <w:jc w:val="center"/>
              <w:rPr>
                <w:rFonts w:cs="Arial"/>
                <w:lang w:val="es-ES"/>
              </w:rPr>
            </w:pPr>
            <w:r w:rsidRPr="000657C2">
              <w:rPr>
                <w:rFonts w:cs="Arial"/>
                <w:lang w:val="es-ES"/>
              </w:rPr>
              <w:t>1</w:t>
            </w:r>
          </w:p>
        </w:tc>
        <w:tc>
          <w:tcPr>
            <w:tcW w:w="948" w:type="dxa"/>
            <w:tcBorders>
              <w:top w:val="single" w:sz="6" w:space="0" w:color="auto"/>
              <w:left w:val="single" w:sz="6" w:space="0" w:color="auto"/>
              <w:bottom w:val="single" w:sz="6" w:space="0" w:color="auto"/>
              <w:right w:val="single" w:sz="12" w:space="0" w:color="auto"/>
            </w:tcBorders>
            <w:shd w:val="clear" w:color="auto" w:fill="D9D9D9"/>
          </w:tcPr>
          <w:p w:rsidR="0080701B" w:rsidRPr="000657C2" w:rsidRDefault="0080701B" w:rsidP="00AA577D">
            <w:pPr>
              <w:spacing w:before="120"/>
              <w:jc w:val="center"/>
              <w:rPr>
                <w:rFonts w:cs="Arial"/>
                <w:lang w:val="es-ES"/>
              </w:rPr>
            </w:pPr>
            <w:r w:rsidRPr="000657C2">
              <w:rPr>
                <w:rFonts w:cs="Arial"/>
                <w:lang w:val="es-ES"/>
              </w:rPr>
              <w:t>17</w:t>
            </w:r>
          </w:p>
        </w:tc>
        <w:tc>
          <w:tcPr>
            <w:tcW w:w="1181" w:type="dxa"/>
            <w:tcBorders>
              <w:top w:val="single" w:sz="6" w:space="0" w:color="auto"/>
              <w:left w:val="nil"/>
              <w:bottom w:val="single" w:sz="6" w:space="0" w:color="auto"/>
              <w:right w:val="single" w:sz="12" w:space="0" w:color="auto"/>
            </w:tcBorders>
          </w:tcPr>
          <w:p w:rsidR="0080701B" w:rsidRPr="000657C2" w:rsidRDefault="0080701B" w:rsidP="00AA577D">
            <w:pPr>
              <w:spacing w:before="120"/>
              <w:jc w:val="center"/>
              <w:rPr>
                <w:rFonts w:cs="Arial"/>
                <w:lang w:val="es-ES"/>
              </w:rPr>
            </w:pPr>
            <w:r w:rsidRPr="000657C2">
              <w:rPr>
                <w:rFonts w:cs="Arial"/>
                <w:lang w:val="es-ES"/>
              </w:rPr>
              <w:t>11</w:t>
            </w:r>
          </w:p>
        </w:tc>
        <w:tc>
          <w:tcPr>
            <w:tcW w:w="1109" w:type="dxa"/>
            <w:tcBorders>
              <w:top w:val="single" w:sz="6" w:space="0" w:color="auto"/>
              <w:left w:val="nil"/>
              <w:bottom w:val="single" w:sz="6" w:space="0" w:color="auto"/>
              <w:right w:val="single" w:sz="6" w:space="0" w:color="auto"/>
            </w:tcBorders>
            <w:shd w:val="clear" w:color="auto" w:fill="D9D9D9"/>
          </w:tcPr>
          <w:p w:rsidR="0080701B" w:rsidRPr="000657C2" w:rsidRDefault="0080701B" w:rsidP="00AA577D">
            <w:pPr>
              <w:spacing w:before="120"/>
              <w:jc w:val="center"/>
              <w:rPr>
                <w:rFonts w:cs="Arial"/>
                <w:lang w:val="es-ES"/>
              </w:rPr>
            </w:pPr>
            <w:r w:rsidRPr="000657C2">
              <w:rPr>
                <w:rFonts w:cs="Arial"/>
                <w:lang w:val="es-ES"/>
              </w:rPr>
              <w:t>209</w:t>
            </w:r>
          </w:p>
        </w:tc>
      </w:tr>
      <w:tr w:rsidR="0080701B" w:rsidRPr="000657C2" w:rsidTr="0080701B">
        <w:tc>
          <w:tcPr>
            <w:tcW w:w="1410" w:type="dxa"/>
            <w:tcBorders>
              <w:top w:val="single" w:sz="6" w:space="0" w:color="auto"/>
              <w:left w:val="single" w:sz="6" w:space="0" w:color="auto"/>
              <w:right w:val="single" w:sz="12" w:space="0" w:color="auto"/>
            </w:tcBorders>
          </w:tcPr>
          <w:p w:rsidR="0080701B" w:rsidRPr="000657C2" w:rsidRDefault="0080701B" w:rsidP="00AA577D">
            <w:pPr>
              <w:spacing w:before="120"/>
              <w:jc w:val="center"/>
              <w:rPr>
                <w:rFonts w:cs="Arial"/>
                <w:lang w:val="es-ES"/>
              </w:rPr>
            </w:pPr>
            <w:r w:rsidRPr="000657C2">
              <w:rPr>
                <w:rFonts w:cs="Arial"/>
                <w:lang w:val="es-ES"/>
              </w:rPr>
              <w:t>Ornamentales</w:t>
            </w:r>
          </w:p>
        </w:tc>
        <w:tc>
          <w:tcPr>
            <w:tcW w:w="1134" w:type="dxa"/>
            <w:tcBorders>
              <w:top w:val="single" w:sz="6" w:space="0" w:color="auto"/>
              <w:left w:val="nil"/>
              <w:right w:val="single" w:sz="6" w:space="0" w:color="auto"/>
            </w:tcBorders>
          </w:tcPr>
          <w:p w:rsidR="0080701B" w:rsidRPr="000657C2" w:rsidRDefault="0080701B" w:rsidP="00AA577D">
            <w:pPr>
              <w:spacing w:before="120"/>
              <w:jc w:val="center"/>
              <w:rPr>
                <w:rFonts w:cs="Arial"/>
                <w:lang w:val="es-ES"/>
              </w:rPr>
            </w:pPr>
            <w:r w:rsidRPr="000657C2">
              <w:rPr>
                <w:rFonts w:cs="Arial"/>
                <w:lang w:val="es-ES"/>
              </w:rPr>
              <w:t>14</w:t>
            </w:r>
          </w:p>
        </w:tc>
        <w:tc>
          <w:tcPr>
            <w:tcW w:w="850" w:type="dxa"/>
            <w:tcBorders>
              <w:top w:val="single" w:sz="6" w:space="0" w:color="auto"/>
              <w:left w:val="single" w:sz="6" w:space="0" w:color="auto"/>
              <w:right w:val="single" w:sz="6" w:space="0" w:color="auto"/>
            </w:tcBorders>
          </w:tcPr>
          <w:p w:rsidR="0080701B" w:rsidRPr="000657C2" w:rsidRDefault="0080701B" w:rsidP="00AA577D">
            <w:pPr>
              <w:spacing w:before="120"/>
              <w:jc w:val="center"/>
              <w:rPr>
                <w:rFonts w:cs="Arial"/>
                <w:lang w:val="es-ES"/>
              </w:rPr>
            </w:pPr>
            <w:r w:rsidRPr="000657C2">
              <w:rPr>
                <w:rFonts w:cs="Arial"/>
                <w:lang w:val="es-ES"/>
              </w:rPr>
              <w:t>22</w:t>
            </w:r>
          </w:p>
        </w:tc>
        <w:tc>
          <w:tcPr>
            <w:tcW w:w="851" w:type="dxa"/>
            <w:tcBorders>
              <w:top w:val="single" w:sz="6" w:space="0" w:color="auto"/>
              <w:left w:val="single" w:sz="6" w:space="0" w:color="auto"/>
              <w:right w:val="single" w:sz="12" w:space="0" w:color="auto"/>
            </w:tcBorders>
            <w:shd w:val="clear" w:color="auto" w:fill="D9D9D9"/>
          </w:tcPr>
          <w:p w:rsidR="0080701B" w:rsidRPr="000657C2" w:rsidRDefault="0080701B" w:rsidP="00AA577D">
            <w:pPr>
              <w:spacing w:before="120"/>
              <w:jc w:val="center"/>
              <w:rPr>
                <w:rFonts w:cs="Arial"/>
                <w:lang w:val="es-ES"/>
              </w:rPr>
            </w:pPr>
            <w:r w:rsidRPr="000657C2">
              <w:rPr>
                <w:rFonts w:cs="Arial"/>
                <w:lang w:val="es-ES"/>
              </w:rPr>
              <w:t>36</w:t>
            </w:r>
          </w:p>
        </w:tc>
        <w:tc>
          <w:tcPr>
            <w:tcW w:w="1134" w:type="dxa"/>
            <w:tcBorders>
              <w:top w:val="single" w:sz="6" w:space="0" w:color="auto"/>
              <w:left w:val="nil"/>
              <w:right w:val="single" w:sz="6" w:space="0" w:color="auto"/>
            </w:tcBorders>
          </w:tcPr>
          <w:p w:rsidR="0080701B" w:rsidRPr="000657C2" w:rsidRDefault="0080701B" w:rsidP="00AA577D">
            <w:pPr>
              <w:spacing w:before="120"/>
              <w:jc w:val="center"/>
              <w:rPr>
                <w:rFonts w:cs="Arial"/>
                <w:lang w:val="es-ES"/>
              </w:rPr>
            </w:pPr>
            <w:r w:rsidRPr="000657C2">
              <w:rPr>
                <w:rFonts w:cs="Arial"/>
                <w:lang w:val="es-ES"/>
              </w:rPr>
              <w:t>13</w:t>
            </w:r>
          </w:p>
        </w:tc>
        <w:tc>
          <w:tcPr>
            <w:tcW w:w="992" w:type="dxa"/>
            <w:tcBorders>
              <w:top w:val="single" w:sz="6" w:space="0" w:color="auto"/>
              <w:left w:val="single" w:sz="6" w:space="0" w:color="auto"/>
              <w:right w:val="single" w:sz="6" w:space="0" w:color="auto"/>
            </w:tcBorders>
          </w:tcPr>
          <w:p w:rsidR="0080701B" w:rsidRPr="000657C2" w:rsidRDefault="0080701B" w:rsidP="00AA577D">
            <w:pPr>
              <w:spacing w:before="120"/>
              <w:jc w:val="center"/>
              <w:rPr>
                <w:rFonts w:cs="Arial"/>
                <w:lang w:val="es-ES"/>
              </w:rPr>
            </w:pPr>
            <w:r w:rsidRPr="000657C2">
              <w:rPr>
                <w:rFonts w:cs="Arial"/>
                <w:lang w:val="es-ES"/>
              </w:rPr>
              <w:t>9</w:t>
            </w:r>
          </w:p>
        </w:tc>
        <w:tc>
          <w:tcPr>
            <w:tcW w:w="948" w:type="dxa"/>
            <w:tcBorders>
              <w:top w:val="single" w:sz="6" w:space="0" w:color="auto"/>
              <w:left w:val="single" w:sz="6" w:space="0" w:color="auto"/>
              <w:right w:val="single" w:sz="12" w:space="0" w:color="auto"/>
            </w:tcBorders>
            <w:shd w:val="clear" w:color="auto" w:fill="D9D9D9"/>
          </w:tcPr>
          <w:p w:rsidR="0080701B" w:rsidRPr="000657C2" w:rsidRDefault="0080701B" w:rsidP="00AA577D">
            <w:pPr>
              <w:spacing w:before="120"/>
              <w:jc w:val="center"/>
              <w:rPr>
                <w:rFonts w:cs="Arial"/>
                <w:lang w:val="es-ES"/>
              </w:rPr>
            </w:pPr>
            <w:r w:rsidRPr="000657C2">
              <w:rPr>
                <w:rFonts w:cs="Arial"/>
                <w:lang w:val="es-ES"/>
              </w:rPr>
              <w:t>22</w:t>
            </w:r>
          </w:p>
        </w:tc>
        <w:tc>
          <w:tcPr>
            <w:tcW w:w="1181" w:type="dxa"/>
            <w:tcBorders>
              <w:top w:val="single" w:sz="6" w:space="0" w:color="auto"/>
              <w:left w:val="nil"/>
              <w:right w:val="single" w:sz="12" w:space="0" w:color="auto"/>
            </w:tcBorders>
          </w:tcPr>
          <w:p w:rsidR="0080701B" w:rsidRPr="000657C2" w:rsidRDefault="0080701B" w:rsidP="00AA577D">
            <w:pPr>
              <w:spacing w:before="120"/>
              <w:jc w:val="center"/>
              <w:rPr>
                <w:rFonts w:cs="Arial"/>
                <w:lang w:val="es-ES"/>
              </w:rPr>
            </w:pPr>
            <w:r w:rsidRPr="000657C2">
              <w:rPr>
                <w:rFonts w:cs="Arial"/>
                <w:lang w:val="es-ES"/>
              </w:rPr>
              <w:t>9</w:t>
            </w:r>
          </w:p>
        </w:tc>
        <w:tc>
          <w:tcPr>
            <w:tcW w:w="1109" w:type="dxa"/>
            <w:tcBorders>
              <w:top w:val="single" w:sz="6" w:space="0" w:color="auto"/>
              <w:left w:val="nil"/>
              <w:right w:val="single" w:sz="6" w:space="0" w:color="auto"/>
            </w:tcBorders>
            <w:shd w:val="clear" w:color="auto" w:fill="D9D9D9"/>
          </w:tcPr>
          <w:p w:rsidR="0080701B" w:rsidRPr="000657C2" w:rsidRDefault="0080701B" w:rsidP="00AA577D">
            <w:pPr>
              <w:spacing w:before="120"/>
              <w:jc w:val="center"/>
              <w:rPr>
                <w:rFonts w:cs="Arial"/>
                <w:lang w:val="es-ES"/>
              </w:rPr>
            </w:pPr>
            <w:r w:rsidRPr="000657C2">
              <w:rPr>
                <w:rFonts w:cs="Arial"/>
                <w:lang w:val="es-ES"/>
              </w:rPr>
              <w:t>260</w:t>
            </w:r>
          </w:p>
        </w:tc>
      </w:tr>
      <w:tr w:rsidR="0080701B" w:rsidRPr="000657C2" w:rsidTr="0080701B">
        <w:tc>
          <w:tcPr>
            <w:tcW w:w="1410" w:type="dxa"/>
            <w:tcBorders>
              <w:top w:val="single" w:sz="6" w:space="0" w:color="auto"/>
              <w:left w:val="single" w:sz="6" w:space="0" w:color="auto"/>
              <w:right w:val="single" w:sz="12" w:space="0" w:color="auto"/>
            </w:tcBorders>
          </w:tcPr>
          <w:p w:rsidR="0080701B" w:rsidRPr="000657C2" w:rsidRDefault="0080701B" w:rsidP="00AA577D">
            <w:pPr>
              <w:spacing w:before="120"/>
              <w:jc w:val="center"/>
              <w:rPr>
                <w:rFonts w:cs="Arial"/>
                <w:lang w:val="es-ES"/>
              </w:rPr>
            </w:pPr>
            <w:r w:rsidRPr="000657C2">
              <w:rPr>
                <w:rFonts w:cs="Arial"/>
                <w:lang w:val="es-ES"/>
              </w:rPr>
              <w:t>Frutales</w:t>
            </w:r>
          </w:p>
        </w:tc>
        <w:tc>
          <w:tcPr>
            <w:tcW w:w="1134" w:type="dxa"/>
            <w:tcBorders>
              <w:top w:val="single" w:sz="6" w:space="0" w:color="auto"/>
              <w:left w:val="nil"/>
              <w:right w:val="single" w:sz="6" w:space="0" w:color="auto"/>
            </w:tcBorders>
          </w:tcPr>
          <w:p w:rsidR="0080701B" w:rsidRPr="000657C2" w:rsidRDefault="0080701B" w:rsidP="00AA577D">
            <w:pPr>
              <w:spacing w:before="120"/>
              <w:jc w:val="center"/>
              <w:rPr>
                <w:rFonts w:cs="Arial"/>
                <w:lang w:val="es-ES"/>
              </w:rPr>
            </w:pPr>
            <w:r w:rsidRPr="000657C2">
              <w:rPr>
                <w:rFonts w:cs="Arial"/>
                <w:lang w:val="es-ES"/>
              </w:rPr>
              <w:t>4</w:t>
            </w:r>
          </w:p>
        </w:tc>
        <w:tc>
          <w:tcPr>
            <w:tcW w:w="850" w:type="dxa"/>
            <w:tcBorders>
              <w:top w:val="single" w:sz="6" w:space="0" w:color="auto"/>
              <w:left w:val="single" w:sz="6" w:space="0" w:color="auto"/>
              <w:right w:val="single" w:sz="6" w:space="0" w:color="auto"/>
            </w:tcBorders>
          </w:tcPr>
          <w:p w:rsidR="0080701B" w:rsidRPr="000657C2" w:rsidRDefault="0080701B" w:rsidP="00AA577D">
            <w:pPr>
              <w:spacing w:before="120"/>
              <w:jc w:val="center"/>
              <w:rPr>
                <w:rFonts w:cs="Arial"/>
                <w:lang w:val="es-ES"/>
              </w:rPr>
            </w:pPr>
            <w:r w:rsidRPr="000657C2">
              <w:rPr>
                <w:rFonts w:cs="Arial"/>
                <w:lang w:val="es-ES"/>
              </w:rPr>
              <w:t>1</w:t>
            </w:r>
          </w:p>
        </w:tc>
        <w:tc>
          <w:tcPr>
            <w:tcW w:w="851" w:type="dxa"/>
            <w:tcBorders>
              <w:top w:val="single" w:sz="6" w:space="0" w:color="auto"/>
              <w:left w:val="single" w:sz="6" w:space="0" w:color="auto"/>
              <w:right w:val="single" w:sz="12" w:space="0" w:color="auto"/>
            </w:tcBorders>
            <w:shd w:val="clear" w:color="auto" w:fill="D9D9D9"/>
          </w:tcPr>
          <w:p w:rsidR="0080701B" w:rsidRPr="000657C2" w:rsidRDefault="0080701B" w:rsidP="00AA577D">
            <w:pPr>
              <w:spacing w:before="120"/>
              <w:jc w:val="center"/>
              <w:rPr>
                <w:rFonts w:cs="Arial"/>
                <w:lang w:val="es-ES"/>
              </w:rPr>
            </w:pPr>
            <w:r w:rsidRPr="000657C2">
              <w:rPr>
                <w:rFonts w:cs="Arial"/>
                <w:lang w:val="es-ES"/>
              </w:rPr>
              <w:t>5</w:t>
            </w:r>
          </w:p>
        </w:tc>
        <w:tc>
          <w:tcPr>
            <w:tcW w:w="1134" w:type="dxa"/>
            <w:tcBorders>
              <w:top w:val="single" w:sz="6" w:space="0" w:color="auto"/>
              <w:left w:val="nil"/>
              <w:right w:val="single" w:sz="6" w:space="0" w:color="auto"/>
            </w:tcBorders>
          </w:tcPr>
          <w:p w:rsidR="0080701B" w:rsidRPr="000657C2" w:rsidRDefault="0080701B" w:rsidP="00AA577D">
            <w:pPr>
              <w:pStyle w:val="Footer"/>
              <w:rPr>
                <w:lang w:val="es-ES"/>
              </w:rPr>
            </w:pPr>
            <w:r w:rsidRPr="000657C2">
              <w:rPr>
                <w:lang w:val="es-ES"/>
              </w:rPr>
              <w:t>6</w:t>
            </w:r>
          </w:p>
        </w:tc>
        <w:tc>
          <w:tcPr>
            <w:tcW w:w="992" w:type="dxa"/>
            <w:tcBorders>
              <w:top w:val="single" w:sz="6" w:space="0" w:color="auto"/>
              <w:left w:val="single" w:sz="6" w:space="0" w:color="auto"/>
              <w:right w:val="single" w:sz="6" w:space="0" w:color="auto"/>
            </w:tcBorders>
          </w:tcPr>
          <w:p w:rsidR="0080701B" w:rsidRPr="000657C2" w:rsidRDefault="0080701B" w:rsidP="00AA577D">
            <w:pPr>
              <w:spacing w:before="120"/>
              <w:jc w:val="center"/>
              <w:rPr>
                <w:rFonts w:cs="Arial"/>
                <w:lang w:val="es-ES"/>
              </w:rPr>
            </w:pPr>
            <w:r w:rsidRPr="000657C2">
              <w:rPr>
                <w:rFonts w:cs="Arial"/>
                <w:lang w:val="es-ES"/>
              </w:rPr>
              <w:t>1</w:t>
            </w:r>
          </w:p>
        </w:tc>
        <w:tc>
          <w:tcPr>
            <w:tcW w:w="948" w:type="dxa"/>
            <w:tcBorders>
              <w:top w:val="single" w:sz="6" w:space="0" w:color="auto"/>
              <w:left w:val="single" w:sz="6" w:space="0" w:color="auto"/>
              <w:right w:val="single" w:sz="12" w:space="0" w:color="auto"/>
            </w:tcBorders>
            <w:shd w:val="clear" w:color="auto" w:fill="D9D9D9"/>
          </w:tcPr>
          <w:p w:rsidR="0080701B" w:rsidRPr="000657C2" w:rsidRDefault="0080701B" w:rsidP="00AA577D">
            <w:pPr>
              <w:spacing w:before="120"/>
              <w:jc w:val="center"/>
              <w:rPr>
                <w:rFonts w:cs="Arial"/>
                <w:lang w:val="es-ES"/>
              </w:rPr>
            </w:pPr>
            <w:r w:rsidRPr="000657C2">
              <w:rPr>
                <w:rFonts w:cs="Arial"/>
                <w:lang w:val="es-ES"/>
              </w:rPr>
              <w:t>7</w:t>
            </w:r>
          </w:p>
        </w:tc>
        <w:tc>
          <w:tcPr>
            <w:tcW w:w="1181" w:type="dxa"/>
            <w:tcBorders>
              <w:top w:val="single" w:sz="6" w:space="0" w:color="auto"/>
              <w:left w:val="nil"/>
              <w:right w:val="single" w:sz="12" w:space="0" w:color="auto"/>
            </w:tcBorders>
          </w:tcPr>
          <w:p w:rsidR="0080701B" w:rsidRPr="000657C2" w:rsidRDefault="0080701B" w:rsidP="00AA577D">
            <w:pPr>
              <w:spacing w:before="120"/>
              <w:jc w:val="center"/>
              <w:rPr>
                <w:rFonts w:cs="Arial"/>
                <w:lang w:val="es-ES"/>
              </w:rPr>
            </w:pPr>
            <w:r w:rsidRPr="000657C2">
              <w:rPr>
                <w:rFonts w:cs="Arial"/>
                <w:lang w:val="es-ES"/>
              </w:rPr>
              <w:t>3</w:t>
            </w:r>
          </w:p>
        </w:tc>
        <w:tc>
          <w:tcPr>
            <w:tcW w:w="1109" w:type="dxa"/>
            <w:tcBorders>
              <w:top w:val="single" w:sz="6" w:space="0" w:color="auto"/>
              <w:left w:val="nil"/>
              <w:right w:val="single" w:sz="6" w:space="0" w:color="auto"/>
            </w:tcBorders>
            <w:shd w:val="clear" w:color="auto" w:fill="D9D9D9"/>
          </w:tcPr>
          <w:p w:rsidR="0080701B" w:rsidRPr="000657C2" w:rsidRDefault="0080701B" w:rsidP="00AA577D">
            <w:pPr>
              <w:spacing w:before="120"/>
              <w:jc w:val="center"/>
              <w:rPr>
                <w:rFonts w:cs="Arial"/>
                <w:lang w:val="es-ES"/>
              </w:rPr>
            </w:pPr>
            <w:r w:rsidRPr="000657C2">
              <w:rPr>
                <w:rFonts w:cs="Arial"/>
                <w:lang w:val="es-ES"/>
              </w:rPr>
              <w:t>119</w:t>
            </w:r>
          </w:p>
        </w:tc>
      </w:tr>
      <w:tr w:rsidR="0080701B" w:rsidRPr="000657C2" w:rsidTr="0080701B">
        <w:tc>
          <w:tcPr>
            <w:tcW w:w="1410" w:type="dxa"/>
            <w:tcBorders>
              <w:top w:val="single" w:sz="12" w:space="0" w:color="auto"/>
              <w:left w:val="single" w:sz="6" w:space="0" w:color="auto"/>
              <w:bottom w:val="single" w:sz="6" w:space="0" w:color="auto"/>
              <w:right w:val="single" w:sz="12" w:space="0" w:color="auto"/>
            </w:tcBorders>
            <w:shd w:val="clear" w:color="auto" w:fill="FFFFFF"/>
          </w:tcPr>
          <w:p w:rsidR="0080701B" w:rsidRPr="000657C2" w:rsidRDefault="0080701B" w:rsidP="00AA577D">
            <w:pPr>
              <w:spacing w:before="120"/>
              <w:jc w:val="center"/>
              <w:rPr>
                <w:rFonts w:cs="Arial"/>
                <w:lang w:val="es-ES"/>
              </w:rPr>
            </w:pPr>
            <w:r w:rsidRPr="000657C2">
              <w:rPr>
                <w:rFonts w:cs="Arial"/>
                <w:b/>
                <w:lang w:val="es-ES"/>
              </w:rPr>
              <w:t>Total</w:t>
            </w:r>
          </w:p>
        </w:tc>
        <w:tc>
          <w:tcPr>
            <w:tcW w:w="1134" w:type="dxa"/>
            <w:tcBorders>
              <w:top w:val="single" w:sz="12" w:space="0" w:color="auto"/>
              <w:left w:val="nil"/>
              <w:bottom w:val="single" w:sz="6" w:space="0" w:color="auto"/>
              <w:right w:val="single" w:sz="6" w:space="0" w:color="auto"/>
            </w:tcBorders>
            <w:shd w:val="clear" w:color="auto" w:fill="D9D9D9"/>
          </w:tcPr>
          <w:p w:rsidR="0080701B" w:rsidRPr="000657C2" w:rsidRDefault="0080701B" w:rsidP="00AA577D">
            <w:pPr>
              <w:spacing w:before="120"/>
              <w:jc w:val="center"/>
              <w:rPr>
                <w:rFonts w:cs="Arial"/>
                <w:b/>
                <w:lang w:val="es-ES"/>
              </w:rPr>
            </w:pPr>
            <w:r w:rsidRPr="000657C2">
              <w:rPr>
                <w:rFonts w:cs="Arial"/>
                <w:b/>
                <w:lang w:val="es-ES"/>
              </w:rPr>
              <w:t>65</w:t>
            </w:r>
          </w:p>
        </w:tc>
        <w:tc>
          <w:tcPr>
            <w:tcW w:w="850" w:type="dxa"/>
            <w:tcBorders>
              <w:top w:val="single" w:sz="12" w:space="0" w:color="auto"/>
              <w:left w:val="single" w:sz="6" w:space="0" w:color="auto"/>
              <w:bottom w:val="single" w:sz="6" w:space="0" w:color="auto"/>
              <w:right w:val="single" w:sz="6" w:space="0" w:color="auto"/>
            </w:tcBorders>
            <w:shd w:val="clear" w:color="auto" w:fill="D9D9D9"/>
          </w:tcPr>
          <w:p w:rsidR="0080701B" w:rsidRPr="000657C2" w:rsidRDefault="0080701B" w:rsidP="00AA577D">
            <w:pPr>
              <w:spacing w:before="120"/>
              <w:jc w:val="center"/>
              <w:rPr>
                <w:rFonts w:cs="Arial"/>
                <w:b/>
                <w:lang w:val="es-ES"/>
              </w:rPr>
            </w:pPr>
            <w:r w:rsidRPr="000657C2">
              <w:rPr>
                <w:rFonts w:cs="Arial"/>
                <w:b/>
                <w:lang w:val="es-ES"/>
              </w:rPr>
              <w:t>29</w:t>
            </w:r>
          </w:p>
        </w:tc>
        <w:tc>
          <w:tcPr>
            <w:tcW w:w="851" w:type="dxa"/>
            <w:tcBorders>
              <w:top w:val="single" w:sz="12" w:space="0" w:color="auto"/>
              <w:left w:val="single" w:sz="6" w:space="0" w:color="auto"/>
              <w:bottom w:val="single" w:sz="6" w:space="0" w:color="auto"/>
              <w:right w:val="single" w:sz="12" w:space="0" w:color="auto"/>
            </w:tcBorders>
            <w:shd w:val="clear" w:color="auto" w:fill="D9D9D9"/>
          </w:tcPr>
          <w:p w:rsidR="0080701B" w:rsidRPr="000657C2" w:rsidRDefault="0080701B" w:rsidP="00AA577D">
            <w:pPr>
              <w:spacing w:before="120"/>
              <w:jc w:val="center"/>
              <w:rPr>
                <w:rFonts w:cs="Arial"/>
                <w:b/>
                <w:lang w:val="es-ES"/>
              </w:rPr>
            </w:pPr>
            <w:r w:rsidRPr="000657C2">
              <w:rPr>
                <w:rFonts w:cs="Arial"/>
                <w:b/>
                <w:lang w:val="es-ES"/>
              </w:rPr>
              <w:t>94</w:t>
            </w:r>
          </w:p>
        </w:tc>
        <w:tc>
          <w:tcPr>
            <w:tcW w:w="1134" w:type="dxa"/>
            <w:tcBorders>
              <w:top w:val="single" w:sz="12" w:space="0" w:color="auto"/>
              <w:left w:val="nil"/>
              <w:bottom w:val="single" w:sz="6" w:space="0" w:color="auto"/>
              <w:right w:val="single" w:sz="6" w:space="0" w:color="auto"/>
            </w:tcBorders>
            <w:shd w:val="clear" w:color="auto" w:fill="D9D9D9"/>
          </w:tcPr>
          <w:p w:rsidR="0080701B" w:rsidRPr="000657C2" w:rsidRDefault="0080701B" w:rsidP="00AA577D">
            <w:pPr>
              <w:spacing w:before="120"/>
              <w:jc w:val="center"/>
              <w:rPr>
                <w:rFonts w:cs="Arial"/>
                <w:b/>
                <w:lang w:val="es-ES"/>
              </w:rPr>
            </w:pPr>
            <w:r w:rsidRPr="000657C2">
              <w:rPr>
                <w:rFonts w:cs="Arial"/>
                <w:b/>
                <w:lang w:val="es-ES"/>
              </w:rPr>
              <w:t>38</w:t>
            </w:r>
          </w:p>
        </w:tc>
        <w:tc>
          <w:tcPr>
            <w:tcW w:w="992" w:type="dxa"/>
            <w:tcBorders>
              <w:top w:val="single" w:sz="12" w:space="0" w:color="auto"/>
              <w:left w:val="single" w:sz="6" w:space="0" w:color="auto"/>
              <w:bottom w:val="single" w:sz="6" w:space="0" w:color="auto"/>
              <w:right w:val="single" w:sz="6" w:space="0" w:color="auto"/>
            </w:tcBorders>
            <w:shd w:val="clear" w:color="auto" w:fill="D9D9D9"/>
          </w:tcPr>
          <w:p w:rsidR="0080701B" w:rsidRPr="000657C2" w:rsidRDefault="0080701B" w:rsidP="00AA577D">
            <w:pPr>
              <w:spacing w:before="120"/>
              <w:jc w:val="center"/>
              <w:rPr>
                <w:rFonts w:cs="Arial"/>
                <w:b/>
                <w:lang w:val="es-ES"/>
              </w:rPr>
            </w:pPr>
            <w:r w:rsidRPr="000657C2">
              <w:rPr>
                <w:rFonts w:cs="Arial"/>
                <w:b/>
                <w:lang w:val="es-ES"/>
              </w:rPr>
              <w:t>50</w:t>
            </w:r>
          </w:p>
        </w:tc>
        <w:tc>
          <w:tcPr>
            <w:tcW w:w="948" w:type="dxa"/>
            <w:tcBorders>
              <w:top w:val="single" w:sz="12" w:space="0" w:color="auto"/>
              <w:left w:val="single" w:sz="6" w:space="0" w:color="auto"/>
              <w:bottom w:val="single" w:sz="6" w:space="0" w:color="auto"/>
              <w:right w:val="single" w:sz="12" w:space="0" w:color="auto"/>
            </w:tcBorders>
            <w:shd w:val="clear" w:color="auto" w:fill="D9D9D9"/>
          </w:tcPr>
          <w:p w:rsidR="0080701B" w:rsidRPr="000657C2" w:rsidRDefault="0080701B" w:rsidP="00AA577D">
            <w:pPr>
              <w:spacing w:before="120"/>
              <w:jc w:val="center"/>
              <w:rPr>
                <w:rFonts w:cs="Arial"/>
                <w:b/>
                <w:lang w:val="es-ES"/>
              </w:rPr>
            </w:pPr>
            <w:r w:rsidRPr="000657C2">
              <w:rPr>
                <w:rFonts w:cs="Arial"/>
                <w:b/>
                <w:lang w:val="es-ES"/>
              </w:rPr>
              <w:t>88</w:t>
            </w:r>
          </w:p>
        </w:tc>
        <w:tc>
          <w:tcPr>
            <w:tcW w:w="1181" w:type="dxa"/>
            <w:tcBorders>
              <w:top w:val="single" w:sz="12" w:space="0" w:color="auto"/>
              <w:left w:val="nil"/>
              <w:bottom w:val="single" w:sz="6" w:space="0" w:color="auto"/>
              <w:right w:val="single" w:sz="12" w:space="0" w:color="auto"/>
            </w:tcBorders>
            <w:shd w:val="clear" w:color="auto" w:fill="D9D9D9"/>
          </w:tcPr>
          <w:p w:rsidR="0080701B" w:rsidRPr="000657C2" w:rsidRDefault="0080701B" w:rsidP="00AA577D">
            <w:pPr>
              <w:spacing w:before="120"/>
              <w:jc w:val="center"/>
              <w:rPr>
                <w:rFonts w:cs="Arial"/>
                <w:b/>
                <w:lang w:val="es-ES"/>
              </w:rPr>
            </w:pPr>
            <w:r w:rsidRPr="000657C2">
              <w:rPr>
                <w:rFonts w:cs="Arial"/>
                <w:b/>
                <w:lang w:val="es-ES"/>
              </w:rPr>
              <w:t>53</w:t>
            </w:r>
          </w:p>
        </w:tc>
        <w:tc>
          <w:tcPr>
            <w:tcW w:w="1109" w:type="dxa"/>
            <w:tcBorders>
              <w:top w:val="single" w:sz="12" w:space="0" w:color="auto"/>
              <w:left w:val="nil"/>
              <w:bottom w:val="single" w:sz="6" w:space="0" w:color="auto"/>
              <w:right w:val="single" w:sz="6" w:space="0" w:color="auto"/>
            </w:tcBorders>
            <w:shd w:val="clear" w:color="auto" w:fill="D9D9D9"/>
          </w:tcPr>
          <w:p w:rsidR="0080701B" w:rsidRPr="000657C2" w:rsidRDefault="0080701B" w:rsidP="00AA577D">
            <w:pPr>
              <w:spacing w:before="120"/>
              <w:jc w:val="center"/>
              <w:rPr>
                <w:rFonts w:cs="Arial"/>
                <w:b/>
                <w:lang w:val="es-ES"/>
              </w:rPr>
            </w:pPr>
            <w:r w:rsidRPr="000657C2">
              <w:rPr>
                <w:rFonts w:cs="Arial"/>
                <w:b/>
                <w:lang w:val="es-ES"/>
              </w:rPr>
              <w:t>1327</w:t>
            </w:r>
          </w:p>
        </w:tc>
      </w:tr>
    </w:tbl>
    <w:p w:rsidR="0080701B" w:rsidRPr="000657C2" w:rsidRDefault="0080701B" w:rsidP="0080701B">
      <w:pPr>
        <w:tabs>
          <w:tab w:val="left" w:pos="4962"/>
        </w:tabs>
        <w:rPr>
          <w:rFonts w:cs="Arial"/>
          <w:u w:val="single"/>
          <w:lang w:val="es-ES"/>
        </w:rPr>
      </w:pPr>
    </w:p>
    <w:p w:rsidR="0080701B" w:rsidRPr="000657C2" w:rsidRDefault="0080701B" w:rsidP="0080701B">
      <w:pPr>
        <w:tabs>
          <w:tab w:val="left" w:pos="4962"/>
        </w:tabs>
        <w:rPr>
          <w:rFonts w:cs="Arial"/>
          <w:u w:val="single"/>
          <w:lang w:val="es-ES"/>
        </w:rPr>
      </w:pPr>
    </w:p>
    <w:p w:rsidR="0080701B" w:rsidRPr="000657C2" w:rsidRDefault="0080701B" w:rsidP="0080701B">
      <w:pPr>
        <w:tabs>
          <w:tab w:val="left" w:pos="567"/>
          <w:tab w:val="left" w:pos="4962"/>
        </w:tabs>
        <w:rPr>
          <w:rFonts w:cs="Arial"/>
          <w:u w:val="single"/>
          <w:lang w:val="es-ES"/>
        </w:rPr>
      </w:pPr>
      <w:r w:rsidRPr="000657C2">
        <w:rPr>
          <w:rFonts w:cs="Arial"/>
          <w:lang w:val="es-ES"/>
        </w:rPr>
        <w:t>5.</w:t>
      </w:r>
      <w:r w:rsidRPr="000657C2">
        <w:rPr>
          <w:rFonts w:cs="Arial"/>
          <w:lang w:val="es-ES"/>
        </w:rPr>
        <w:tab/>
      </w:r>
      <w:r w:rsidRPr="000657C2">
        <w:rPr>
          <w:rFonts w:cs="Arial"/>
          <w:u w:val="single"/>
          <w:lang w:val="es-ES"/>
        </w:rPr>
        <w:t>Actividades para la promoción de la protección de las obtenciones vegetales</w:t>
      </w:r>
    </w:p>
    <w:p w:rsidR="0080701B" w:rsidRPr="000657C2" w:rsidRDefault="0080701B" w:rsidP="0080701B">
      <w:pPr>
        <w:tabs>
          <w:tab w:val="left" w:pos="567"/>
          <w:tab w:val="left" w:pos="4962"/>
        </w:tabs>
        <w:rPr>
          <w:rFonts w:cs="Arial"/>
          <w:u w:val="single"/>
          <w:lang w:val="es-ES"/>
        </w:rPr>
      </w:pPr>
    </w:p>
    <w:p w:rsidR="0080701B" w:rsidRPr="000657C2" w:rsidRDefault="0080701B" w:rsidP="0080701B">
      <w:pPr>
        <w:pStyle w:val="BodyText"/>
        <w:rPr>
          <w:rFonts w:cs="Arial"/>
          <w:lang w:val="es-ES"/>
        </w:rPr>
      </w:pPr>
      <w:r w:rsidRPr="000657C2">
        <w:rPr>
          <w:rFonts w:cs="Arial"/>
          <w:lang w:val="es-ES"/>
        </w:rPr>
        <w:t xml:space="preserve">Los representantes de Polonia participan de manera habitual en las reuniones o sesiones de los órganos de la UPOV y en los Grupos de Trabajo Técnico. </w:t>
      </w:r>
    </w:p>
    <w:p w:rsidR="0080701B" w:rsidRPr="000657C2" w:rsidRDefault="0080701B" w:rsidP="0080701B">
      <w:pPr>
        <w:pStyle w:val="BodyText"/>
        <w:rPr>
          <w:rFonts w:cs="Arial"/>
          <w:lang w:val="es-ES"/>
        </w:rPr>
      </w:pPr>
    </w:p>
    <w:p w:rsidR="0080701B" w:rsidRPr="000657C2" w:rsidRDefault="0080701B" w:rsidP="0080701B">
      <w:pPr>
        <w:pStyle w:val="BodyText"/>
        <w:rPr>
          <w:rFonts w:cs="Arial"/>
          <w:lang w:val="es-ES"/>
        </w:rPr>
      </w:pPr>
      <w:r w:rsidRPr="000657C2">
        <w:rPr>
          <w:rFonts w:cs="Arial"/>
          <w:lang w:val="es-ES"/>
        </w:rPr>
        <w:t>Asimismo, representantes de Polonia participan en las reuniones del Comité Permanente sobre protección comunitaria de las obtenciones vegetales de la Dirección General de Salud y Seguridad Alimentaria de la Comisión Europea (DG SANTE), en Bruselas, y en el Consejo de Administración de la OCVV.</w:t>
      </w:r>
    </w:p>
    <w:p w:rsidR="0080701B" w:rsidRPr="000657C2" w:rsidRDefault="0080701B" w:rsidP="0080701B">
      <w:pPr>
        <w:tabs>
          <w:tab w:val="left" w:pos="4962"/>
        </w:tabs>
        <w:rPr>
          <w:rFonts w:cs="Arial"/>
          <w:lang w:val="es-ES"/>
        </w:rPr>
      </w:pPr>
    </w:p>
    <w:p w:rsidR="0080701B" w:rsidRPr="000657C2" w:rsidRDefault="0080701B" w:rsidP="0080701B">
      <w:pPr>
        <w:tabs>
          <w:tab w:val="left" w:pos="4962"/>
        </w:tabs>
        <w:rPr>
          <w:rFonts w:cs="Arial"/>
          <w:color w:val="000000" w:themeColor="text1"/>
          <w:lang w:val="es-ES"/>
        </w:rPr>
      </w:pPr>
      <w:r w:rsidRPr="000657C2">
        <w:rPr>
          <w:rFonts w:cs="Arial"/>
          <w:color w:val="000000"/>
          <w:lang w:val="es-ES"/>
        </w:rPr>
        <w:t>Durante el período objeto del informe, un examinador DHE completó satisfactoriamente el curso de enseñanza a distancia de la UPOV “Introducción al sistema de la UPOV de protección de las variedades vegetales en virtud del Convenio de la UPOV” (DL-205), y dos expertos del COBORU completaron satisfactoriamente el curso de enseñanza a distancia de la UPOV “Examen de solicitudes de derechos de obtentor”</w:t>
      </w:r>
      <w:r w:rsidRPr="000657C2">
        <w:rPr>
          <w:rFonts w:cs="Arial"/>
          <w:color w:val="000000" w:themeColor="text1"/>
          <w:lang w:val="es-ES"/>
        </w:rPr>
        <w:t xml:space="preserve"> (DL-305).</w:t>
      </w:r>
    </w:p>
    <w:p w:rsidR="0080701B" w:rsidRPr="000657C2" w:rsidRDefault="0080701B" w:rsidP="0080701B">
      <w:pPr>
        <w:tabs>
          <w:tab w:val="left" w:pos="4962"/>
        </w:tabs>
        <w:rPr>
          <w:rFonts w:cs="Arial"/>
          <w:lang w:val="es-ES"/>
        </w:rPr>
      </w:pPr>
    </w:p>
    <w:p w:rsidR="0080701B" w:rsidRPr="000657C2" w:rsidRDefault="0080701B" w:rsidP="0080701B">
      <w:pPr>
        <w:pStyle w:val="BodyText"/>
        <w:tabs>
          <w:tab w:val="left" w:pos="567"/>
        </w:tabs>
        <w:rPr>
          <w:rFonts w:cs="Arial"/>
          <w:i/>
          <w:iCs/>
          <w:lang w:val="es-ES"/>
        </w:rPr>
      </w:pPr>
      <w:r w:rsidRPr="000657C2">
        <w:rPr>
          <w:rFonts w:cs="Arial"/>
          <w:i/>
          <w:iCs/>
          <w:lang w:val="es-ES"/>
        </w:rPr>
        <w:t>Publicaciones</w:t>
      </w:r>
    </w:p>
    <w:p w:rsidR="0080701B" w:rsidRPr="000657C2" w:rsidRDefault="0080701B" w:rsidP="0080701B">
      <w:pPr>
        <w:pStyle w:val="BodyText"/>
        <w:rPr>
          <w:rFonts w:cs="Arial"/>
          <w:u w:val="single"/>
          <w:lang w:val="es-ES"/>
        </w:rPr>
      </w:pPr>
    </w:p>
    <w:p w:rsidR="0080701B" w:rsidRPr="000657C2" w:rsidRDefault="0080701B" w:rsidP="0080701B">
      <w:pPr>
        <w:pStyle w:val="BodyText"/>
        <w:rPr>
          <w:rFonts w:cs="Arial"/>
          <w:lang w:val="es-ES"/>
        </w:rPr>
      </w:pPr>
      <w:r w:rsidRPr="000657C2">
        <w:rPr>
          <w:rFonts w:cs="Arial"/>
          <w:lang w:val="es-ES"/>
        </w:rPr>
        <w:t xml:space="preserve">El COBORU publica cada dos meses el boletín </w:t>
      </w:r>
      <w:proofErr w:type="spellStart"/>
      <w:r w:rsidRPr="000657C2">
        <w:rPr>
          <w:rFonts w:cs="Arial"/>
          <w:i/>
          <w:lang w:val="es-ES"/>
        </w:rPr>
        <w:t>Diariusz</w:t>
      </w:r>
      <w:proofErr w:type="spellEnd"/>
      <w:r w:rsidRPr="000657C2">
        <w:rPr>
          <w:rFonts w:cs="Arial"/>
          <w:lang w:val="es-ES"/>
        </w:rPr>
        <w:t xml:space="preserve"> (Gaceta Oficial y Lista Nacional de Derechos de Obtentor), que contiene información detallada sobre la protección de los derechos de obtentor nacionales y los sistemas de listas nacionales. </w:t>
      </w:r>
    </w:p>
    <w:p w:rsidR="0080701B" w:rsidRPr="000657C2" w:rsidRDefault="0080701B" w:rsidP="0080701B">
      <w:pPr>
        <w:pStyle w:val="BodyText"/>
        <w:rPr>
          <w:rFonts w:cs="Arial"/>
          <w:lang w:val="es-ES"/>
        </w:rPr>
      </w:pPr>
    </w:p>
    <w:p w:rsidR="0080701B" w:rsidRPr="000657C2" w:rsidRDefault="0080701B" w:rsidP="0080701B">
      <w:pPr>
        <w:pStyle w:val="BodyText"/>
        <w:rPr>
          <w:rFonts w:cs="Arial"/>
          <w:lang w:val="es-ES"/>
        </w:rPr>
      </w:pPr>
      <w:r w:rsidRPr="000657C2">
        <w:rPr>
          <w:rFonts w:cs="Arial"/>
          <w:lang w:val="es-ES"/>
        </w:rPr>
        <w:t>En el tercer número de la Gaceta Oficial y Lista Nacional de Derechos de Obtentor (N.º 3(164)2021) se publicó la lista de obtenciones protegidas por títulos nacionales de obtentor (incluidas las sujetas a derechos de obtentor provisionales) a fecha de 30 de junio de 2020.</w:t>
      </w:r>
    </w:p>
    <w:p w:rsidR="0080701B" w:rsidRPr="000657C2" w:rsidRDefault="0080701B" w:rsidP="0080701B">
      <w:pPr>
        <w:pStyle w:val="BodyText"/>
        <w:rPr>
          <w:rFonts w:cs="Arial"/>
          <w:lang w:val="es-ES"/>
        </w:rPr>
      </w:pPr>
    </w:p>
    <w:p w:rsidR="0080701B" w:rsidRPr="000657C2" w:rsidRDefault="0080701B" w:rsidP="0080701B">
      <w:pPr>
        <w:pStyle w:val="BodyText"/>
        <w:rPr>
          <w:rFonts w:cs="Arial"/>
          <w:lang w:val="es-ES"/>
        </w:rPr>
      </w:pPr>
      <w:r w:rsidRPr="000657C2">
        <w:rPr>
          <w:rFonts w:cs="Arial"/>
          <w:lang w:val="es-ES"/>
        </w:rPr>
        <w:t>La Gaceta Oficial también se publica en el apartado “Publicaciones” de nuestro sitio web.</w:t>
      </w:r>
    </w:p>
    <w:p w:rsidR="0080701B" w:rsidRPr="000657C2" w:rsidRDefault="0080701B" w:rsidP="0080701B">
      <w:pPr>
        <w:pStyle w:val="BodyText"/>
        <w:rPr>
          <w:rFonts w:cs="Arial"/>
          <w:lang w:val="es-ES"/>
        </w:rPr>
      </w:pPr>
    </w:p>
    <w:p w:rsidR="0080701B" w:rsidRPr="000657C2" w:rsidRDefault="0080701B" w:rsidP="0080701B">
      <w:pPr>
        <w:pStyle w:val="BodyText"/>
        <w:rPr>
          <w:rFonts w:cs="Arial"/>
          <w:lang w:val="es-ES"/>
        </w:rPr>
      </w:pPr>
      <w:r w:rsidRPr="000657C2">
        <w:rPr>
          <w:rFonts w:cs="Arial"/>
          <w:lang w:val="es-ES"/>
        </w:rPr>
        <w:t xml:space="preserve">Además, el </w:t>
      </w:r>
      <w:r w:rsidRPr="000657C2">
        <w:rPr>
          <w:lang w:val="es-ES"/>
        </w:rPr>
        <w:t>COBORU</w:t>
      </w:r>
      <w:r w:rsidRPr="000657C2">
        <w:rPr>
          <w:rFonts w:cs="Arial"/>
          <w:lang w:val="es-ES"/>
        </w:rPr>
        <w:t xml:space="preserve"> mantiene y actualiza regularmente el sitio web </w:t>
      </w:r>
      <w:hyperlink r:id="rId32" w:history="1">
        <w:r w:rsidRPr="000657C2">
          <w:rPr>
            <w:rStyle w:val="Hyperlink"/>
            <w:lang w:val="es-ES"/>
          </w:rPr>
          <w:t>www.coboru.gov.pl</w:t>
        </w:r>
      </w:hyperlink>
      <w:r w:rsidRPr="000657C2">
        <w:rPr>
          <w:lang w:val="es-ES"/>
        </w:rPr>
        <w:t>, que contiene información oficial sobre asuntos relativos a la protección de las obtenciones vegetales en Polonia.</w:t>
      </w:r>
    </w:p>
    <w:p w:rsidR="0080701B" w:rsidRPr="000657C2" w:rsidRDefault="0080701B" w:rsidP="0080701B">
      <w:pPr>
        <w:tabs>
          <w:tab w:val="left" w:pos="4962"/>
        </w:tabs>
        <w:rPr>
          <w:rFonts w:cs="Arial"/>
          <w:lang w:val="es-ES"/>
        </w:rPr>
      </w:pPr>
    </w:p>
    <w:p w:rsidR="0080701B" w:rsidRPr="000657C2" w:rsidRDefault="0080701B" w:rsidP="0080701B">
      <w:pPr>
        <w:tabs>
          <w:tab w:val="left" w:pos="4962"/>
        </w:tabs>
        <w:rPr>
          <w:rFonts w:cs="Arial"/>
          <w:lang w:val="es-ES"/>
        </w:rPr>
      </w:pPr>
      <w:r w:rsidRPr="000657C2">
        <w:rPr>
          <w:rFonts w:cs="Arial"/>
          <w:lang w:val="es-ES"/>
        </w:rPr>
        <w:t>Durante el período objeto del informe, el COBORU participó en las actividades promocionales siguientes:</w:t>
      </w:r>
    </w:p>
    <w:p w:rsidR="0080701B" w:rsidRPr="000657C2" w:rsidRDefault="0080701B" w:rsidP="0080701B">
      <w:pPr>
        <w:tabs>
          <w:tab w:val="left" w:pos="4962"/>
        </w:tabs>
        <w:rPr>
          <w:rFonts w:cs="Arial"/>
          <w:lang w:val="es-ES"/>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843"/>
        <w:gridCol w:w="982"/>
        <w:gridCol w:w="1266"/>
        <w:gridCol w:w="1286"/>
        <w:gridCol w:w="2410"/>
        <w:gridCol w:w="2126"/>
      </w:tblGrid>
      <w:tr w:rsidR="0080701B" w:rsidRPr="00424F8C" w:rsidTr="000532C1">
        <w:trPr>
          <w:cantSplit/>
          <w:tblHeader/>
        </w:trPr>
        <w:tc>
          <w:tcPr>
            <w:tcW w:w="1843" w:type="dxa"/>
            <w:hideMark/>
          </w:tcPr>
          <w:p w:rsidR="0080701B" w:rsidRPr="000657C2" w:rsidRDefault="0080701B" w:rsidP="00AA577D">
            <w:pPr>
              <w:jc w:val="left"/>
              <w:rPr>
                <w:sz w:val="16"/>
                <w:lang w:val="es-ES"/>
              </w:rPr>
            </w:pPr>
            <w:r w:rsidRPr="000657C2">
              <w:rPr>
                <w:sz w:val="16"/>
                <w:lang w:val="es-ES"/>
              </w:rPr>
              <w:t>Título de la actividad</w:t>
            </w:r>
          </w:p>
        </w:tc>
        <w:tc>
          <w:tcPr>
            <w:tcW w:w="982" w:type="dxa"/>
            <w:hideMark/>
          </w:tcPr>
          <w:p w:rsidR="0080701B" w:rsidRPr="000657C2" w:rsidRDefault="0080701B" w:rsidP="00AA577D">
            <w:pPr>
              <w:jc w:val="left"/>
              <w:rPr>
                <w:sz w:val="16"/>
                <w:lang w:val="es-ES"/>
              </w:rPr>
            </w:pPr>
            <w:r w:rsidRPr="000657C2">
              <w:rPr>
                <w:sz w:val="16"/>
                <w:lang w:val="es-ES"/>
              </w:rPr>
              <w:t>Fecha</w:t>
            </w:r>
          </w:p>
        </w:tc>
        <w:tc>
          <w:tcPr>
            <w:tcW w:w="1266" w:type="dxa"/>
            <w:hideMark/>
          </w:tcPr>
          <w:p w:rsidR="0080701B" w:rsidRPr="000657C2" w:rsidRDefault="0080701B" w:rsidP="00AA577D">
            <w:pPr>
              <w:jc w:val="left"/>
              <w:rPr>
                <w:sz w:val="16"/>
                <w:lang w:val="es-ES"/>
              </w:rPr>
            </w:pPr>
            <w:r w:rsidRPr="000657C2">
              <w:rPr>
                <w:sz w:val="16"/>
                <w:lang w:val="es-ES"/>
              </w:rPr>
              <w:t>Lugar</w:t>
            </w:r>
          </w:p>
        </w:tc>
        <w:tc>
          <w:tcPr>
            <w:tcW w:w="1286" w:type="dxa"/>
            <w:hideMark/>
          </w:tcPr>
          <w:p w:rsidR="0080701B" w:rsidRPr="000657C2" w:rsidRDefault="0080701B" w:rsidP="00AA577D">
            <w:pPr>
              <w:jc w:val="left"/>
              <w:rPr>
                <w:sz w:val="16"/>
                <w:lang w:val="es-ES"/>
              </w:rPr>
            </w:pPr>
            <w:r w:rsidRPr="000657C2">
              <w:rPr>
                <w:sz w:val="16"/>
                <w:lang w:val="es-ES"/>
              </w:rPr>
              <w:t>Organizador(es)</w:t>
            </w:r>
          </w:p>
        </w:tc>
        <w:tc>
          <w:tcPr>
            <w:tcW w:w="2410" w:type="dxa"/>
            <w:hideMark/>
          </w:tcPr>
          <w:p w:rsidR="0080701B" w:rsidRPr="000657C2" w:rsidRDefault="0080701B" w:rsidP="00AA577D">
            <w:pPr>
              <w:jc w:val="left"/>
              <w:rPr>
                <w:sz w:val="16"/>
                <w:lang w:val="es-ES"/>
              </w:rPr>
            </w:pPr>
            <w:r w:rsidRPr="000657C2">
              <w:rPr>
                <w:sz w:val="16"/>
                <w:lang w:val="es-ES"/>
              </w:rPr>
              <w:t>Finalidad de la actividad</w:t>
            </w:r>
          </w:p>
        </w:tc>
        <w:tc>
          <w:tcPr>
            <w:tcW w:w="2126" w:type="dxa"/>
            <w:hideMark/>
          </w:tcPr>
          <w:p w:rsidR="0080701B" w:rsidRPr="000657C2" w:rsidRDefault="0080701B" w:rsidP="00AA577D">
            <w:pPr>
              <w:jc w:val="left"/>
              <w:rPr>
                <w:sz w:val="16"/>
                <w:lang w:val="es-ES"/>
              </w:rPr>
            </w:pPr>
            <w:r w:rsidRPr="000657C2">
              <w:rPr>
                <w:sz w:val="16"/>
                <w:lang w:val="es-ES"/>
              </w:rPr>
              <w:t>Países/organizaciones participantes (número de participantes en cada caso)</w:t>
            </w:r>
          </w:p>
        </w:tc>
      </w:tr>
      <w:tr w:rsidR="0080701B" w:rsidRPr="000657C2" w:rsidTr="000532C1">
        <w:trPr>
          <w:cantSplit/>
        </w:trPr>
        <w:tc>
          <w:tcPr>
            <w:tcW w:w="1843" w:type="dxa"/>
          </w:tcPr>
          <w:p w:rsidR="0080701B" w:rsidRPr="000657C2" w:rsidRDefault="0080701B" w:rsidP="00AA577D">
            <w:pPr>
              <w:jc w:val="left"/>
              <w:rPr>
                <w:color w:val="000000" w:themeColor="text1"/>
                <w:sz w:val="16"/>
                <w:lang w:val="es-ES"/>
              </w:rPr>
            </w:pPr>
            <w:r w:rsidRPr="000657C2">
              <w:rPr>
                <w:color w:val="000000" w:themeColor="text1"/>
                <w:sz w:val="16"/>
                <w:lang w:val="es-ES"/>
              </w:rPr>
              <w:t>1. Reunión de cooperación: Instituto de Examen de Variedades Vegetales de Ucrania (UIBOR) / COBORU</w:t>
            </w:r>
          </w:p>
        </w:tc>
        <w:tc>
          <w:tcPr>
            <w:tcW w:w="982" w:type="dxa"/>
          </w:tcPr>
          <w:p w:rsidR="0080701B" w:rsidRPr="000657C2" w:rsidRDefault="0080701B" w:rsidP="00AA577D">
            <w:pPr>
              <w:jc w:val="left"/>
              <w:rPr>
                <w:color w:val="000000" w:themeColor="text1"/>
                <w:sz w:val="16"/>
                <w:lang w:val="es-ES"/>
              </w:rPr>
            </w:pPr>
            <w:r w:rsidRPr="000657C2">
              <w:rPr>
                <w:color w:val="000000" w:themeColor="text1"/>
                <w:sz w:val="16"/>
                <w:lang w:val="es-ES"/>
              </w:rPr>
              <w:t>21/12/2020</w:t>
            </w:r>
          </w:p>
        </w:tc>
        <w:tc>
          <w:tcPr>
            <w:tcW w:w="1266" w:type="dxa"/>
          </w:tcPr>
          <w:p w:rsidR="0080701B" w:rsidRPr="000657C2" w:rsidRDefault="0080701B" w:rsidP="00AA577D">
            <w:pPr>
              <w:jc w:val="left"/>
              <w:rPr>
                <w:color w:val="000000" w:themeColor="text1"/>
                <w:sz w:val="16"/>
                <w:lang w:val="es-ES"/>
              </w:rPr>
            </w:pPr>
            <w:r w:rsidRPr="000657C2">
              <w:rPr>
                <w:color w:val="000000" w:themeColor="text1"/>
                <w:sz w:val="16"/>
                <w:lang w:val="es-ES"/>
              </w:rPr>
              <w:t>Reunión por Internet</w:t>
            </w:r>
          </w:p>
        </w:tc>
        <w:tc>
          <w:tcPr>
            <w:tcW w:w="1286" w:type="dxa"/>
          </w:tcPr>
          <w:p w:rsidR="0080701B" w:rsidRPr="000657C2" w:rsidRDefault="0080701B" w:rsidP="00AA577D">
            <w:pPr>
              <w:jc w:val="left"/>
              <w:rPr>
                <w:color w:val="000000" w:themeColor="text1"/>
                <w:sz w:val="16"/>
                <w:lang w:val="es-ES"/>
              </w:rPr>
            </w:pPr>
            <w:r w:rsidRPr="000657C2">
              <w:rPr>
                <w:color w:val="000000" w:themeColor="text1"/>
                <w:sz w:val="16"/>
                <w:lang w:val="es-ES"/>
              </w:rPr>
              <w:t>COBORU</w:t>
            </w:r>
          </w:p>
        </w:tc>
        <w:tc>
          <w:tcPr>
            <w:tcW w:w="2410" w:type="dxa"/>
          </w:tcPr>
          <w:p w:rsidR="0080701B" w:rsidRPr="000657C2" w:rsidRDefault="0080701B" w:rsidP="00AA577D">
            <w:pPr>
              <w:jc w:val="left"/>
              <w:rPr>
                <w:color w:val="000000" w:themeColor="text1"/>
                <w:sz w:val="16"/>
                <w:lang w:val="es-ES"/>
              </w:rPr>
            </w:pPr>
            <w:r w:rsidRPr="000657C2">
              <w:rPr>
                <w:color w:val="000000" w:themeColor="text1"/>
                <w:sz w:val="16"/>
                <w:lang w:val="es-ES"/>
              </w:rPr>
              <w:t>Nuevo acuerdo de cooperación</w:t>
            </w:r>
          </w:p>
        </w:tc>
        <w:tc>
          <w:tcPr>
            <w:tcW w:w="2126" w:type="dxa"/>
          </w:tcPr>
          <w:p w:rsidR="0080701B" w:rsidRPr="000657C2" w:rsidRDefault="0080701B" w:rsidP="00AA577D">
            <w:pPr>
              <w:jc w:val="left"/>
              <w:rPr>
                <w:color w:val="000000" w:themeColor="text1"/>
                <w:sz w:val="16"/>
                <w:lang w:val="es-ES"/>
              </w:rPr>
            </w:pPr>
            <w:r w:rsidRPr="000657C2">
              <w:rPr>
                <w:color w:val="000000" w:themeColor="text1"/>
                <w:sz w:val="16"/>
                <w:lang w:val="es-ES"/>
              </w:rPr>
              <w:t>PL (8)</w:t>
            </w:r>
          </w:p>
          <w:p w:rsidR="0080701B" w:rsidRPr="000657C2" w:rsidRDefault="0080701B" w:rsidP="00AA577D">
            <w:pPr>
              <w:jc w:val="left"/>
              <w:rPr>
                <w:color w:val="000000" w:themeColor="text1"/>
                <w:sz w:val="16"/>
                <w:lang w:val="es-ES"/>
              </w:rPr>
            </w:pPr>
            <w:r w:rsidRPr="000657C2">
              <w:rPr>
                <w:color w:val="000000" w:themeColor="text1"/>
                <w:sz w:val="16"/>
                <w:lang w:val="es-ES"/>
              </w:rPr>
              <w:t>UA (9)</w:t>
            </w:r>
          </w:p>
        </w:tc>
      </w:tr>
      <w:tr w:rsidR="0080701B" w:rsidRPr="000657C2" w:rsidTr="000532C1">
        <w:trPr>
          <w:cantSplit/>
        </w:trPr>
        <w:tc>
          <w:tcPr>
            <w:tcW w:w="1843" w:type="dxa"/>
          </w:tcPr>
          <w:p w:rsidR="0080701B" w:rsidRPr="000657C2" w:rsidRDefault="0080701B" w:rsidP="00AA577D">
            <w:pPr>
              <w:jc w:val="left"/>
              <w:rPr>
                <w:color w:val="000000" w:themeColor="text1"/>
                <w:sz w:val="16"/>
                <w:lang w:val="es-ES"/>
              </w:rPr>
            </w:pPr>
            <w:r w:rsidRPr="000657C2">
              <w:rPr>
                <w:color w:val="000000" w:themeColor="text1"/>
                <w:sz w:val="16"/>
                <w:lang w:val="es-ES"/>
              </w:rPr>
              <w:t>2. Reunión de la Comisión Estatal de Uzbekistán para el Examen de Variedades de Plantas Agrícolas y el COBORU</w:t>
            </w:r>
          </w:p>
        </w:tc>
        <w:tc>
          <w:tcPr>
            <w:tcW w:w="982" w:type="dxa"/>
          </w:tcPr>
          <w:p w:rsidR="0080701B" w:rsidRPr="000657C2" w:rsidRDefault="0080701B" w:rsidP="00AA577D">
            <w:pPr>
              <w:jc w:val="left"/>
              <w:rPr>
                <w:color w:val="000000" w:themeColor="text1"/>
                <w:sz w:val="16"/>
                <w:lang w:val="es-ES"/>
              </w:rPr>
            </w:pPr>
            <w:r w:rsidRPr="000657C2">
              <w:rPr>
                <w:color w:val="000000" w:themeColor="text1"/>
                <w:sz w:val="16"/>
                <w:lang w:val="es-ES"/>
              </w:rPr>
              <w:t>17/03/2021</w:t>
            </w:r>
          </w:p>
        </w:tc>
        <w:tc>
          <w:tcPr>
            <w:tcW w:w="1266" w:type="dxa"/>
          </w:tcPr>
          <w:p w:rsidR="0080701B" w:rsidRPr="000657C2" w:rsidRDefault="0080701B" w:rsidP="00AA577D">
            <w:pPr>
              <w:jc w:val="left"/>
              <w:rPr>
                <w:color w:val="000000" w:themeColor="text1"/>
                <w:sz w:val="16"/>
                <w:lang w:val="es-ES"/>
              </w:rPr>
            </w:pPr>
            <w:r w:rsidRPr="000657C2">
              <w:rPr>
                <w:color w:val="000000" w:themeColor="text1"/>
                <w:sz w:val="16"/>
                <w:lang w:val="es-ES"/>
              </w:rPr>
              <w:t>Reunión por Internet</w:t>
            </w:r>
          </w:p>
        </w:tc>
        <w:tc>
          <w:tcPr>
            <w:tcW w:w="1286" w:type="dxa"/>
          </w:tcPr>
          <w:p w:rsidR="0080701B" w:rsidRPr="000657C2" w:rsidRDefault="0080701B" w:rsidP="00AA577D">
            <w:pPr>
              <w:jc w:val="left"/>
              <w:rPr>
                <w:color w:val="000000" w:themeColor="text1"/>
                <w:sz w:val="16"/>
                <w:lang w:val="es-ES"/>
              </w:rPr>
            </w:pPr>
            <w:r w:rsidRPr="000657C2">
              <w:rPr>
                <w:color w:val="000000" w:themeColor="text1"/>
                <w:sz w:val="16"/>
                <w:lang w:val="es-ES"/>
              </w:rPr>
              <w:t>COBORU</w:t>
            </w:r>
          </w:p>
        </w:tc>
        <w:tc>
          <w:tcPr>
            <w:tcW w:w="2410" w:type="dxa"/>
          </w:tcPr>
          <w:p w:rsidR="0080701B" w:rsidRPr="000657C2" w:rsidRDefault="0080701B" w:rsidP="00AA577D">
            <w:pPr>
              <w:jc w:val="left"/>
              <w:rPr>
                <w:color w:val="000000" w:themeColor="text1"/>
                <w:sz w:val="16"/>
                <w:lang w:val="es-ES"/>
              </w:rPr>
            </w:pPr>
            <w:r w:rsidRPr="000657C2">
              <w:rPr>
                <w:color w:val="000000" w:themeColor="text1"/>
                <w:sz w:val="16"/>
                <w:lang w:val="es-ES"/>
              </w:rPr>
              <w:t>Reunión de lanzamiento de la futura cooperación</w:t>
            </w:r>
          </w:p>
        </w:tc>
        <w:tc>
          <w:tcPr>
            <w:tcW w:w="2126" w:type="dxa"/>
          </w:tcPr>
          <w:p w:rsidR="0080701B" w:rsidRPr="000657C2" w:rsidRDefault="0080701B" w:rsidP="00AA577D">
            <w:pPr>
              <w:jc w:val="left"/>
              <w:rPr>
                <w:color w:val="000000" w:themeColor="text1"/>
                <w:sz w:val="16"/>
                <w:lang w:val="es-ES"/>
              </w:rPr>
            </w:pPr>
            <w:r w:rsidRPr="000657C2">
              <w:rPr>
                <w:color w:val="000000" w:themeColor="text1"/>
                <w:sz w:val="16"/>
                <w:lang w:val="es-ES"/>
              </w:rPr>
              <w:t>PL (2)</w:t>
            </w:r>
          </w:p>
          <w:p w:rsidR="0080701B" w:rsidRPr="000657C2" w:rsidRDefault="0080701B" w:rsidP="00AA577D">
            <w:pPr>
              <w:jc w:val="left"/>
              <w:rPr>
                <w:color w:val="000000" w:themeColor="text1"/>
                <w:sz w:val="16"/>
                <w:lang w:val="es-ES"/>
              </w:rPr>
            </w:pPr>
            <w:r w:rsidRPr="000657C2">
              <w:rPr>
                <w:color w:val="000000" w:themeColor="text1"/>
                <w:sz w:val="16"/>
                <w:lang w:val="es-ES"/>
              </w:rPr>
              <w:t>UZ (3)</w:t>
            </w:r>
          </w:p>
        </w:tc>
      </w:tr>
      <w:tr w:rsidR="0080701B" w:rsidRPr="000657C2" w:rsidTr="000532C1">
        <w:trPr>
          <w:cantSplit/>
        </w:trPr>
        <w:tc>
          <w:tcPr>
            <w:tcW w:w="1843" w:type="dxa"/>
          </w:tcPr>
          <w:p w:rsidR="0080701B" w:rsidRPr="000657C2" w:rsidRDefault="0080701B" w:rsidP="00AA577D">
            <w:pPr>
              <w:jc w:val="left"/>
              <w:rPr>
                <w:color w:val="000000" w:themeColor="text1"/>
                <w:sz w:val="16"/>
                <w:lang w:val="es-ES"/>
              </w:rPr>
            </w:pPr>
            <w:r w:rsidRPr="000657C2">
              <w:rPr>
                <w:color w:val="000000" w:themeColor="text1"/>
                <w:sz w:val="16"/>
                <w:lang w:val="es-ES"/>
              </w:rPr>
              <w:lastRenderedPageBreak/>
              <w:t>3. Grupo de trabajo Polonia/Ucrania</w:t>
            </w:r>
          </w:p>
        </w:tc>
        <w:tc>
          <w:tcPr>
            <w:tcW w:w="982" w:type="dxa"/>
          </w:tcPr>
          <w:p w:rsidR="0080701B" w:rsidRPr="000657C2" w:rsidRDefault="0080701B" w:rsidP="00AA577D">
            <w:pPr>
              <w:jc w:val="left"/>
              <w:rPr>
                <w:color w:val="000000" w:themeColor="text1"/>
                <w:sz w:val="16"/>
                <w:lang w:val="es-ES"/>
              </w:rPr>
            </w:pPr>
            <w:r w:rsidRPr="000657C2">
              <w:rPr>
                <w:color w:val="000000" w:themeColor="text1"/>
                <w:sz w:val="16"/>
                <w:lang w:val="es-ES"/>
              </w:rPr>
              <w:t>24/03/2021</w:t>
            </w:r>
          </w:p>
        </w:tc>
        <w:tc>
          <w:tcPr>
            <w:tcW w:w="1266" w:type="dxa"/>
          </w:tcPr>
          <w:p w:rsidR="0080701B" w:rsidRPr="000657C2" w:rsidRDefault="0080701B" w:rsidP="00AA577D">
            <w:pPr>
              <w:jc w:val="left"/>
              <w:rPr>
                <w:color w:val="000000" w:themeColor="text1"/>
                <w:sz w:val="16"/>
                <w:lang w:val="es-ES"/>
              </w:rPr>
            </w:pPr>
            <w:r w:rsidRPr="000657C2">
              <w:rPr>
                <w:color w:val="000000" w:themeColor="text1"/>
                <w:sz w:val="16"/>
                <w:lang w:val="es-ES"/>
              </w:rPr>
              <w:t>Reunión por Internet</w:t>
            </w:r>
          </w:p>
        </w:tc>
        <w:tc>
          <w:tcPr>
            <w:tcW w:w="1286" w:type="dxa"/>
          </w:tcPr>
          <w:p w:rsidR="0080701B" w:rsidRPr="000657C2" w:rsidRDefault="0080701B" w:rsidP="00AA577D">
            <w:pPr>
              <w:jc w:val="left"/>
              <w:rPr>
                <w:color w:val="000000" w:themeColor="text1"/>
                <w:sz w:val="16"/>
                <w:lang w:val="es-ES"/>
              </w:rPr>
            </w:pPr>
            <w:r w:rsidRPr="000657C2">
              <w:rPr>
                <w:color w:val="000000" w:themeColor="text1"/>
                <w:sz w:val="16"/>
                <w:lang w:val="es-ES"/>
              </w:rPr>
              <w:t>Ministerio de Agricultura y Desarrollo Rural (Polonia)</w:t>
            </w:r>
          </w:p>
        </w:tc>
        <w:tc>
          <w:tcPr>
            <w:tcW w:w="2410" w:type="dxa"/>
          </w:tcPr>
          <w:p w:rsidR="0080701B" w:rsidRPr="000657C2" w:rsidRDefault="0080701B" w:rsidP="00AA577D">
            <w:pPr>
              <w:jc w:val="left"/>
              <w:rPr>
                <w:rFonts w:cs="Arial"/>
                <w:color w:val="000000" w:themeColor="text1"/>
                <w:sz w:val="16"/>
                <w:szCs w:val="16"/>
                <w:lang w:val="es-ES"/>
              </w:rPr>
            </w:pPr>
            <w:r w:rsidRPr="000657C2">
              <w:rPr>
                <w:rFonts w:cs="Arial"/>
                <w:color w:val="000000" w:themeColor="text1"/>
                <w:sz w:val="16"/>
                <w:szCs w:val="16"/>
                <w:lang w:val="es-ES"/>
              </w:rPr>
              <w:t>Examen de la situación y las perspectivas de la cooperación en los siguientes ámbitos:</w:t>
            </w:r>
          </w:p>
          <w:p w:rsidR="0080701B" w:rsidRPr="000657C2" w:rsidRDefault="0080701B" w:rsidP="00AA577D">
            <w:pPr>
              <w:jc w:val="left"/>
              <w:rPr>
                <w:color w:val="000000" w:themeColor="text1"/>
                <w:sz w:val="16"/>
                <w:lang w:val="es-ES"/>
              </w:rPr>
            </w:pPr>
            <w:r w:rsidRPr="000657C2">
              <w:rPr>
                <w:rFonts w:cs="Arial"/>
                <w:color w:val="000000" w:themeColor="text1"/>
                <w:sz w:val="16"/>
                <w:szCs w:val="16"/>
                <w:lang w:val="es-ES"/>
              </w:rPr>
              <w:t>comercio de productos agroalimentarios; cuestiones fitosanitarias y veterinarias; desarrollo rural; producción y comercialización de productos ecológicos; producción de semillas y protección de obtenciones vegetales</w:t>
            </w:r>
          </w:p>
        </w:tc>
        <w:tc>
          <w:tcPr>
            <w:tcW w:w="2126" w:type="dxa"/>
          </w:tcPr>
          <w:p w:rsidR="0080701B" w:rsidRPr="000657C2" w:rsidRDefault="0080701B" w:rsidP="00AA577D">
            <w:pPr>
              <w:jc w:val="left"/>
              <w:rPr>
                <w:color w:val="000000" w:themeColor="text1"/>
                <w:sz w:val="16"/>
                <w:lang w:val="es-ES"/>
              </w:rPr>
            </w:pPr>
            <w:r w:rsidRPr="000657C2">
              <w:rPr>
                <w:color w:val="000000" w:themeColor="text1"/>
                <w:sz w:val="16"/>
                <w:lang w:val="es-ES"/>
              </w:rPr>
              <w:t>PL (16)</w:t>
            </w:r>
          </w:p>
          <w:p w:rsidR="0080701B" w:rsidRPr="000657C2" w:rsidRDefault="0080701B" w:rsidP="00AA577D">
            <w:pPr>
              <w:jc w:val="left"/>
              <w:rPr>
                <w:color w:val="000000" w:themeColor="text1"/>
                <w:sz w:val="16"/>
                <w:lang w:val="es-ES"/>
              </w:rPr>
            </w:pPr>
            <w:r w:rsidRPr="000657C2">
              <w:rPr>
                <w:color w:val="000000" w:themeColor="text1"/>
                <w:sz w:val="16"/>
                <w:lang w:val="es-ES"/>
              </w:rPr>
              <w:t>UA (9)</w:t>
            </w:r>
          </w:p>
        </w:tc>
      </w:tr>
      <w:tr w:rsidR="0080701B" w:rsidRPr="000657C2" w:rsidTr="000532C1">
        <w:trPr>
          <w:cantSplit/>
        </w:trPr>
        <w:tc>
          <w:tcPr>
            <w:tcW w:w="1843" w:type="dxa"/>
            <w:vMerge w:val="restart"/>
          </w:tcPr>
          <w:p w:rsidR="0080701B" w:rsidRPr="000657C2" w:rsidRDefault="0080701B" w:rsidP="00AA577D">
            <w:pPr>
              <w:jc w:val="left"/>
              <w:rPr>
                <w:color w:val="000000" w:themeColor="text1"/>
                <w:sz w:val="16"/>
                <w:lang w:val="es-ES"/>
              </w:rPr>
            </w:pPr>
            <w:r w:rsidRPr="000657C2">
              <w:rPr>
                <w:color w:val="000000" w:themeColor="text1"/>
                <w:sz w:val="16"/>
                <w:lang w:val="es-ES"/>
              </w:rPr>
              <w:t>4. Reuniones del Proyecto de Hermanamiento:</w:t>
            </w:r>
          </w:p>
          <w:p w:rsidR="0080701B" w:rsidRPr="000657C2" w:rsidRDefault="0080701B" w:rsidP="00AA577D">
            <w:pPr>
              <w:jc w:val="left"/>
              <w:rPr>
                <w:color w:val="000000" w:themeColor="text1"/>
                <w:sz w:val="16"/>
                <w:lang w:val="es-ES"/>
              </w:rPr>
            </w:pPr>
            <w:r w:rsidRPr="000657C2">
              <w:rPr>
                <w:rFonts w:eastAsia="CIDFont+F2"/>
                <w:color w:val="000000" w:themeColor="text1"/>
                <w:sz w:val="16"/>
                <w:lang w:val="es-ES"/>
              </w:rPr>
              <w:t xml:space="preserve">Delegación de la Unión Europa en Ucrania, Servicio Estatal de Protección de las Obtenciones Vegetales (Letonia), </w:t>
            </w:r>
            <w:proofErr w:type="spellStart"/>
            <w:r w:rsidRPr="000657C2">
              <w:rPr>
                <w:i/>
                <w:color w:val="000000" w:themeColor="text1"/>
                <w:sz w:val="16"/>
                <w:lang w:val="es-ES"/>
              </w:rPr>
              <w:t>Naktuinbouw</w:t>
            </w:r>
            <w:proofErr w:type="spellEnd"/>
            <w:r w:rsidRPr="000657C2">
              <w:rPr>
                <w:color w:val="000000" w:themeColor="text1"/>
                <w:sz w:val="16"/>
                <w:lang w:val="es-ES"/>
              </w:rPr>
              <w:t xml:space="preserve"> (Países Bajos), Servicio Estatal de Sanidad Vegetal e Inspección de Semillas (Polonia), COBORU (Polonia)</w:t>
            </w:r>
          </w:p>
        </w:tc>
        <w:tc>
          <w:tcPr>
            <w:tcW w:w="982" w:type="dxa"/>
          </w:tcPr>
          <w:p w:rsidR="0080701B" w:rsidRPr="000657C2" w:rsidRDefault="0080701B" w:rsidP="00AA577D">
            <w:pPr>
              <w:jc w:val="left"/>
              <w:rPr>
                <w:color w:val="000000" w:themeColor="text1"/>
                <w:sz w:val="16"/>
                <w:lang w:val="es-ES"/>
              </w:rPr>
            </w:pPr>
            <w:r w:rsidRPr="000657C2">
              <w:rPr>
                <w:color w:val="000000" w:themeColor="text1"/>
                <w:sz w:val="16"/>
                <w:lang w:val="es-ES"/>
              </w:rPr>
              <w:t>15/12/2020</w:t>
            </w:r>
          </w:p>
          <w:p w:rsidR="0080701B" w:rsidRPr="000657C2" w:rsidRDefault="0080701B" w:rsidP="00AA577D">
            <w:pPr>
              <w:jc w:val="left"/>
              <w:rPr>
                <w:color w:val="000000" w:themeColor="text1"/>
                <w:sz w:val="16"/>
                <w:lang w:val="es-ES"/>
              </w:rPr>
            </w:pPr>
            <w:r w:rsidRPr="000657C2">
              <w:rPr>
                <w:color w:val="000000" w:themeColor="text1"/>
                <w:sz w:val="16"/>
                <w:lang w:val="es-ES"/>
              </w:rPr>
              <w:t>15/04/2021</w:t>
            </w:r>
          </w:p>
          <w:p w:rsidR="0080701B" w:rsidRPr="000657C2" w:rsidRDefault="0080701B" w:rsidP="00AA577D">
            <w:pPr>
              <w:jc w:val="left"/>
              <w:rPr>
                <w:color w:val="000000" w:themeColor="text1"/>
                <w:sz w:val="16"/>
                <w:lang w:val="es-ES"/>
              </w:rPr>
            </w:pPr>
            <w:r w:rsidRPr="000657C2">
              <w:rPr>
                <w:color w:val="000000" w:themeColor="text1"/>
                <w:sz w:val="16"/>
                <w:lang w:val="es-ES"/>
              </w:rPr>
              <w:t>14/06/2021</w:t>
            </w:r>
          </w:p>
          <w:p w:rsidR="0080701B" w:rsidRPr="000657C2" w:rsidRDefault="0080701B" w:rsidP="00AA577D">
            <w:pPr>
              <w:jc w:val="left"/>
              <w:rPr>
                <w:color w:val="000000" w:themeColor="text1"/>
                <w:sz w:val="16"/>
                <w:lang w:val="es-ES"/>
              </w:rPr>
            </w:pPr>
            <w:r w:rsidRPr="000657C2">
              <w:rPr>
                <w:color w:val="000000" w:themeColor="text1"/>
                <w:sz w:val="16"/>
                <w:lang w:val="es-ES"/>
              </w:rPr>
              <w:t>28/07/2021</w:t>
            </w:r>
          </w:p>
          <w:p w:rsidR="0080701B" w:rsidRPr="000657C2" w:rsidRDefault="0080701B" w:rsidP="00AA577D">
            <w:pPr>
              <w:jc w:val="left"/>
              <w:rPr>
                <w:color w:val="000000" w:themeColor="text1"/>
                <w:sz w:val="16"/>
                <w:lang w:val="es-ES"/>
              </w:rPr>
            </w:pPr>
          </w:p>
        </w:tc>
        <w:tc>
          <w:tcPr>
            <w:tcW w:w="1266" w:type="dxa"/>
          </w:tcPr>
          <w:p w:rsidR="0080701B" w:rsidRPr="000657C2" w:rsidRDefault="0080701B" w:rsidP="00AA577D">
            <w:pPr>
              <w:jc w:val="left"/>
              <w:rPr>
                <w:color w:val="000000" w:themeColor="text1"/>
                <w:sz w:val="16"/>
                <w:lang w:val="es-ES"/>
              </w:rPr>
            </w:pPr>
            <w:r w:rsidRPr="000657C2">
              <w:rPr>
                <w:color w:val="000000" w:themeColor="text1"/>
                <w:sz w:val="16"/>
                <w:lang w:val="es-ES"/>
              </w:rPr>
              <w:t>Reuniones organizacionales por Internet</w:t>
            </w:r>
          </w:p>
        </w:tc>
        <w:tc>
          <w:tcPr>
            <w:tcW w:w="1286" w:type="dxa"/>
          </w:tcPr>
          <w:p w:rsidR="0080701B" w:rsidRPr="000657C2" w:rsidRDefault="0080701B" w:rsidP="00AA577D">
            <w:pPr>
              <w:jc w:val="left"/>
              <w:rPr>
                <w:color w:val="000000" w:themeColor="text1"/>
                <w:sz w:val="16"/>
                <w:lang w:val="es-ES"/>
              </w:rPr>
            </w:pPr>
            <w:r w:rsidRPr="000657C2">
              <w:rPr>
                <w:color w:val="000000" w:themeColor="text1"/>
                <w:sz w:val="16"/>
                <w:lang w:val="es-ES"/>
              </w:rPr>
              <w:t>Comisión Europea,</w:t>
            </w:r>
          </w:p>
          <w:p w:rsidR="0080701B" w:rsidRPr="000657C2" w:rsidRDefault="0080701B" w:rsidP="00AA577D">
            <w:pPr>
              <w:jc w:val="left"/>
              <w:rPr>
                <w:color w:val="000000" w:themeColor="text1"/>
                <w:sz w:val="16"/>
                <w:lang w:val="es-ES"/>
              </w:rPr>
            </w:pPr>
            <w:r w:rsidRPr="000657C2">
              <w:rPr>
                <w:rFonts w:eastAsia="CIDFont+F2"/>
                <w:color w:val="000000" w:themeColor="text1"/>
                <w:sz w:val="16"/>
                <w:lang w:val="es-ES"/>
              </w:rPr>
              <w:t>Servicio Estatal de Protección de las Obtenciones Vegetales (Letonia), UIBOR (Ucrania),</w:t>
            </w:r>
          </w:p>
          <w:p w:rsidR="0080701B" w:rsidRPr="000657C2" w:rsidRDefault="0080701B" w:rsidP="00AA577D">
            <w:pPr>
              <w:jc w:val="left"/>
              <w:rPr>
                <w:color w:val="000000" w:themeColor="text1"/>
                <w:sz w:val="16"/>
                <w:lang w:val="es-ES"/>
              </w:rPr>
            </w:pPr>
            <w:r w:rsidRPr="000657C2">
              <w:rPr>
                <w:color w:val="000000" w:themeColor="text1"/>
                <w:sz w:val="16"/>
                <w:lang w:val="es-ES"/>
              </w:rPr>
              <w:t>Ministerio de Asuntos Exteriores de la República de Polonia</w:t>
            </w:r>
          </w:p>
          <w:p w:rsidR="0080701B" w:rsidRPr="000657C2" w:rsidRDefault="0080701B" w:rsidP="00AA577D">
            <w:pPr>
              <w:jc w:val="left"/>
              <w:rPr>
                <w:color w:val="000000" w:themeColor="text1"/>
                <w:sz w:val="16"/>
                <w:lang w:val="es-ES"/>
              </w:rPr>
            </w:pPr>
          </w:p>
        </w:tc>
        <w:tc>
          <w:tcPr>
            <w:tcW w:w="2410" w:type="dxa"/>
          </w:tcPr>
          <w:p w:rsidR="0080701B" w:rsidRPr="000657C2" w:rsidRDefault="0080701B" w:rsidP="00AA577D">
            <w:pPr>
              <w:jc w:val="left"/>
              <w:rPr>
                <w:color w:val="000000" w:themeColor="text1"/>
                <w:sz w:val="16"/>
                <w:lang w:val="es-ES"/>
              </w:rPr>
            </w:pPr>
            <w:r w:rsidRPr="000657C2">
              <w:rPr>
                <w:color w:val="000000" w:themeColor="text1"/>
                <w:sz w:val="16"/>
                <w:lang w:val="es-ES"/>
              </w:rPr>
              <w:t>Proyecto de Hermanamiento:</w:t>
            </w:r>
          </w:p>
          <w:p w:rsidR="0080701B" w:rsidRPr="000657C2" w:rsidRDefault="0080701B" w:rsidP="00AA577D">
            <w:pPr>
              <w:jc w:val="left"/>
              <w:rPr>
                <w:color w:val="000000" w:themeColor="text1"/>
                <w:sz w:val="16"/>
                <w:lang w:val="es-ES"/>
              </w:rPr>
            </w:pPr>
            <w:r w:rsidRPr="000657C2">
              <w:rPr>
                <w:color w:val="000000" w:themeColor="text1"/>
                <w:sz w:val="16"/>
                <w:lang w:val="es-ES"/>
              </w:rPr>
              <w:t>”</w:t>
            </w:r>
            <w:r w:rsidRPr="000657C2">
              <w:rPr>
                <w:lang w:val="es-ES"/>
              </w:rPr>
              <w:t xml:space="preserve"> </w:t>
            </w:r>
            <w:r w:rsidRPr="000657C2">
              <w:rPr>
                <w:color w:val="000000" w:themeColor="text1"/>
                <w:sz w:val="16"/>
                <w:lang w:val="es-ES"/>
              </w:rPr>
              <w:t>Aproximación de la legislación nacional de Ucrania en los ámbitos de la supervisión (control) estatal de los OMG en sistemas abiertos, la protección de los derechos de obtentor y la producción de semillas y plántulas de acuerdo con las normas y criterios de la UE”</w:t>
            </w:r>
          </w:p>
          <w:p w:rsidR="0080701B" w:rsidRPr="000657C2" w:rsidRDefault="0080701B" w:rsidP="00AA577D">
            <w:pPr>
              <w:jc w:val="left"/>
              <w:rPr>
                <w:color w:val="000000" w:themeColor="text1"/>
                <w:sz w:val="16"/>
                <w:lang w:val="es-ES"/>
              </w:rPr>
            </w:pPr>
          </w:p>
        </w:tc>
        <w:tc>
          <w:tcPr>
            <w:tcW w:w="2126" w:type="dxa"/>
          </w:tcPr>
          <w:p w:rsidR="0080701B" w:rsidRPr="000657C2" w:rsidRDefault="0080701B" w:rsidP="00AA577D">
            <w:pPr>
              <w:jc w:val="left"/>
              <w:rPr>
                <w:color w:val="000000" w:themeColor="text1"/>
                <w:sz w:val="16"/>
                <w:lang w:val="es-ES"/>
              </w:rPr>
            </w:pPr>
            <w:r w:rsidRPr="000657C2">
              <w:rPr>
                <w:color w:val="000000" w:themeColor="text1"/>
                <w:sz w:val="16"/>
                <w:lang w:val="es-ES"/>
              </w:rPr>
              <w:t>EU (2)</w:t>
            </w:r>
          </w:p>
          <w:p w:rsidR="0080701B" w:rsidRPr="000657C2" w:rsidRDefault="0080701B" w:rsidP="00AA577D">
            <w:pPr>
              <w:jc w:val="left"/>
              <w:rPr>
                <w:color w:val="000000" w:themeColor="text1"/>
                <w:sz w:val="16"/>
                <w:lang w:val="es-ES"/>
              </w:rPr>
            </w:pPr>
            <w:r w:rsidRPr="000657C2">
              <w:rPr>
                <w:color w:val="000000" w:themeColor="text1"/>
                <w:sz w:val="16"/>
                <w:lang w:val="es-ES"/>
              </w:rPr>
              <w:t>LV (3)</w:t>
            </w:r>
          </w:p>
          <w:p w:rsidR="0080701B" w:rsidRPr="000657C2" w:rsidRDefault="0080701B" w:rsidP="00AA577D">
            <w:pPr>
              <w:jc w:val="left"/>
              <w:rPr>
                <w:color w:val="000000" w:themeColor="text1"/>
                <w:sz w:val="16"/>
                <w:lang w:val="es-ES"/>
              </w:rPr>
            </w:pPr>
            <w:r w:rsidRPr="000657C2">
              <w:rPr>
                <w:color w:val="000000" w:themeColor="text1"/>
                <w:sz w:val="16"/>
                <w:lang w:val="es-ES"/>
              </w:rPr>
              <w:t>NL (2)</w:t>
            </w:r>
          </w:p>
          <w:p w:rsidR="0080701B" w:rsidRPr="000657C2" w:rsidRDefault="0080701B" w:rsidP="00AA577D">
            <w:pPr>
              <w:jc w:val="left"/>
              <w:rPr>
                <w:color w:val="000000" w:themeColor="text1"/>
                <w:sz w:val="16"/>
                <w:lang w:val="es-ES"/>
              </w:rPr>
            </w:pPr>
            <w:r w:rsidRPr="000657C2">
              <w:rPr>
                <w:color w:val="000000" w:themeColor="text1"/>
                <w:sz w:val="16"/>
                <w:lang w:val="es-ES"/>
              </w:rPr>
              <w:t>PL (4)</w:t>
            </w:r>
          </w:p>
          <w:p w:rsidR="0080701B" w:rsidRPr="000657C2" w:rsidRDefault="0080701B" w:rsidP="00AA577D">
            <w:pPr>
              <w:jc w:val="left"/>
              <w:rPr>
                <w:color w:val="000000" w:themeColor="text1"/>
                <w:sz w:val="16"/>
                <w:lang w:val="es-ES"/>
              </w:rPr>
            </w:pPr>
            <w:r w:rsidRPr="000657C2">
              <w:rPr>
                <w:color w:val="000000" w:themeColor="text1"/>
                <w:sz w:val="16"/>
                <w:lang w:val="es-ES"/>
              </w:rPr>
              <w:t>UA (4)</w:t>
            </w:r>
          </w:p>
          <w:p w:rsidR="0080701B" w:rsidRPr="000657C2" w:rsidRDefault="0080701B" w:rsidP="00AA577D">
            <w:pPr>
              <w:jc w:val="left"/>
              <w:rPr>
                <w:color w:val="000000" w:themeColor="text1"/>
                <w:sz w:val="16"/>
                <w:lang w:val="es-ES"/>
              </w:rPr>
            </w:pPr>
            <w:r w:rsidRPr="000657C2">
              <w:rPr>
                <w:color w:val="000000" w:themeColor="text1"/>
                <w:sz w:val="16"/>
                <w:lang w:val="es-ES"/>
              </w:rPr>
              <w:t>DE (1)</w:t>
            </w:r>
          </w:p>
          <w:p w:rsidR="0080701B" w:rsidRPr="000657C2" w:rsidRDefault="0080701B" w:rsidP="00AA577D">
            <w:pPr>
              <w:jc w:val="left"/>
              <w:rPr>
                <w:color w:val="000000" w:themeColor="text1"/>
                <w:sz w:val="16"/>
                <w:lang w:val="es-ES"/>
              </w:rPr>
            </w:pPr>
          </w:p>
        </w:tc>
      </w:tr>
      <w:tr w:rsidR="0080701B" w:rsidRPr="000657C2" w:rsidTr="000532C1">
        <w:trPr>
          <w:cantSplit/>
        </w:trPr>
        <w:tc>
          <w:tcPr>
            <w:tcW w:w="1843" w:type="dxa"/>
            <w:vMerge/>
          </w:tcPr>
          <w:p w:rsidR="0080701B" w:rsidRPr="000657C2" w:rsidRDefault="0080701B" w:rsidP="00AA577D">
            <w:pPr>
              <w:jc w:val="left"/>
              <w:rPr>
                <w:color w:val="000000" w:themeColor="text1"/>
                <w:sz w:val="16"/>
                <w:lang w:val="es-ES"/>
              </w:rPr>
            </w:pPr>
          </w:p>
        </w:tc>
        <w:tc>
          <w:tcPr>
            <w:tcW w:w="982" w:type="dxa"/>
          </w:tcPr>
          <w:p w:rsidR="0080701B" w:rsidRPr="000657C2" w:rsidRDefault="0080701B" w:rsidP="00AA577D">
            <w:pPr>
              <w:jc w:val="left"/>
              <w:rPr>
                <w:color w:val="000000" w:themeColor="text1"/>
                <w:sz w:val="16"/>
                <w:lang w:val="es-ES"/>
              </w:rPr>
            </w:pPr>
            <w:r w:rsidRPr="000657C2">
              <w:rPr>
                <w:color w:val="000000" w:themeColor="text1"/>
                <w:sz w:val="16"/>
                <w:lang w:val="es-ES"/>
              </w:rPr>
              <w:t>01/07/2021</w:t>
            </w:r>
          </w:p>
          <w:p w:rsidR="0080701B" w:rsidRPr="000657C2" w:rsidRDefault="0080701B" w:rsidP="00AA577D">
            <w:pPr>
              <w:jc w:val="left"/>
              <w:rPr>
                <w:color w:val="000000" w:themeColor="text1"/>
                <w:sz w:val="16"/>
                <w:lang w:val="es-ES"/>
              </w:rPr>
            </w:pPr>
            <w:r w:rsidRPr="000657C2">
              <w:rPr>
                <w:color w:val="000000" w:themeColor="text1"/>
                <w:sz w:val="16"/>
                <w:lang w:val="es-ES"/>
              </w:rPr>
              <w:t>09/07/2021</w:t>
            </w:r>
          </w:p>
          <w:p w:rsidR="0080701B" w:rsidRPr="000657C2" w:rsidRDefault="0080701B" w:rsidP="00AA577D">
            <w:pPr>
              <w:jc w:val="left"/>
              <w:rPr>
                <w:color w:val="000000" w:themeColor="text1"/>
                <w:sz w:val="16"/>
                <w:lang w:val="es-ES"/>
              </w:rPr>
            </w:pPr>
          </w:p>
        </w:tc>
        <w:tc>
          <w:tcPr>
            <w:tcW w:w="1266" w:type="dxa"/>
          </w:tcPr>
          <w:p w:rsidR="0080701B" w:rsidRPr="000657C2" w:rsidRDefault="0080701B" w:rsidP="00AA577D">
            <w:pPr>
              <w:jc w:val="left"/>
              <w:rPr>
                <w:color w:val="000000" w:themeColor="text1"/>
                <w:sz w:val="16"/>
                <w:lang w:val="es-ES"/>
              </w:rPr>
            </w:pPr>
            <w:r w:rsidRPr="000657C2">
              <w:rPr>
                <w:color w:val="000000" w:themeColor="text1"/>
                <w:sz w:val="16"/>
                <w:lang w:val="es-ES"/>
              </w:rPr>
              <w:t>Reuniones de trabajo por Internet</w:t>
            </w:r>
          </w:p>
        </w:tc>
        <w:tc>
          <w:tcPr>
            <w:tcW w:w="1286" w:type="dxa"/>
          </w:tcPr>
          <w:p w:rsidR="0080701B" w:rsidRPr="000657C2" w:rsidRDefault="0080701B" w:rsidP="00AA577D">
            <w:pPr>
              <w:jc w:val="left"/>
              <w:rPr>
                <w:color w:val="000000" w:themeColor="text1"/>
                <w:sz w:val="16"/>
                <w:lang w:val="es-ES"/>
              </w:rPr>
            </w:pPr>
          </w:p>
        </w:tc>
        <w:tc>
          <w:tcPr>
            <w:tcW w:w="2410" w:type="dxa"/>
          </w:tcPr>
          <w:p w:rsidR="0080701B" w:rsidRPr="000657C2" w:rsidRDefault="0080701B" w:rsidP="00AA577D">
            <w:pPr>
              <w:jc w:val="left"/>
              <w:rPr>
                <w:color w:val="000000" w:themeColor="text1"/>
                <w:sz w:val="16"/>
                <w:lang w:val="es-ES"/>
              </w:rPr>
            </w:pPr>
            <w:r w:rsidRPr="000657C2">
              <w:rPr>
                <w:color w:val="000000" w:themeColor="text1"/>
                <w:sz w:val="16"/>
                <w:lang w:val="es-ES"/>
              </w:rPr>
              <w:t>Comparación del Derecho de Ucrania "sobre la protección de las obtenciones vegetales" con la legislación pertinente de la UE</w:t>
            </w:r>
          </w:p>
        </w:tc>
        <w:tc>
          <w:tcPr>
            <w:tcW w:w="2126" w:type="dxa"/>
          </w:tcPr>
          <w:p w:rsidR="0080701B" w:rsidRPr="000657C2" w:rsidRDefault="0080701B" w:rsidP="00AA577D">
            <w:pPr>
              <w:jc w:val="left"/>
              <w:rPr>
                <w:color w:val="000000" w:themeColor="text1"/>
                <w:sz w:val="16"/>
                <w:lang w:val="es-ES"/>
              </w:rPr>
            </w:pPr>
            <w:r w:rsidRPr="000657C2">
              <w:rPr>
                <w:color w:val="000000" w:themeColor="text1"/>
                <w:sz w:val="16"/>
                <w:lang w:val="es-ES"/>
              </w:rPr>
              <w:t>PL (1)</w:t>
            </w:r>
          </w:p>
          <w:p w:rsidR="0080701B" w:rsidRPr="000657C2" w:rsidRDefault="0080701B" w:rsidP="00AA577D">
            <w:pPr>
              <w:jc w:val="left"/>
              <w:rPr>
                <w:color w:val="000000" w:themeColor="text1"/>
                <w:sz w:val="16"/>
                <w:lang w:val="es-ES"/>
              </w:rPr>
            </w:pPr>
            <w:r w:rsidRPr="000657C2">
              <w:rPr>
                <w:color w:val="000000" w:themeColor="text1"/>
                <w:sz w:val="16"/>
                <w:lang w:val="es-ES"/>
              </w:rPr>
              <w:t>NL (1)</w:t>
            </w:r>
          </w:p>
          <w:p w:rsidR="0080701B" w:rsidRPr="000657C2" w:rsidRDefault="0080701B" w:rsidP="00AA577D">
            <w:pPr>
              <w:jc w:val="left"/>
              <w:rPr>
                <w:color w:val="000000" w:themeColor="text1"/>
                <w:sz w:val="16"/>
                <w:lang w:val="es-ES"/>
              </w:rPr>
            </w:pPr>
            <w:r w:rsidRPr="000657C2">
              <w:rPr>
                <w:color w:val="000000" w:themeColor="text1"/>
                <w:sz w:val="16"/>
                <w:lang w:val="es-ES"/>
              </w:rPr>
              <w:t>UA (3)</w:t>
            </w:r>
          </w:p>
          <w:p w:rsidR="0080701B" w:rsidRPr="000657C2" w:rsidRDefault="0080701B" w:rsidP="00AA577D">
            <w:pPr>
              <w:jc w:val="left"/>
              <w:rPr>
                <w:color w:val="000000" w:themeColor="text1"/>
                <w:sz w:val="16"/>
                <w:lang w:val="es-ES"/>
              </w:rPr>
            </w:pPr>
            <w:r w:rsidRPr="000657C2">
              <w:rPr>
                <w:color w:val="000000" w:themeColor="text1"/>
                <w:sz w:val="16"/>
                <w:lang w:val="es-ES"/>
              </w:rPr>
              <w:t>LV (1)</w:t>
            </w:r>
          </w:p>
        </w:tc>
      </w:tr>
    </w:tbl>
    <w:p w:rsidR="0080701B" w:rsidRPr="000657C2" w:rsidRDefault="0080701B" w:rsidP="0080701B">
      <w:pPr>
        <w:tabs>
          <w:tab w:val="left" w:pos="567"/>
          <w:tab w:val="left" w:pos="4962"/>
        </w:tabs>
        <w:rPr>
          <w:rFonts w:cs="Arial"/>
          <w:color w:val="000000"/>
          <w:lang w:val="es-ES"/>
        </w:rPr>
      </w:pPr>
    </w:p>
    <w:p w:rsidR="0080701B" w:rsidRPr="000657C2" w:rsidRDefault="0080701B" w:rsidP="0080701B">
      <w:pPr>
        <w:tabs>
          <w:tab w:val="left" w:pos="567"/>
          <w:tab w:val="left" w:pos="4962"/>
        </w:tabs>
        <w:rPr>
          <w:rFonts w:cs="Arial"/>
          <w:color w:val="000000"/>
          <w:lang w:val="es-ES"/>
        </w:rPr>
      </w:pPr>
    </w:p>
    <w:p w:rsidR="0080701B" w:rsidRPr="000657C2" w:rsidRDefault="0080701B" w:rsidP="0080701B">
      <w:pPr>
        <w:rPr>
          <w:lang w:val="es-ES"/>
        </w:rPr>
      </w:pPr>
      <w:r w:rsidRPr="000657C2">
        <w:rPr>
          <w:lang w:val="es-ES"/>
        </w:rPr>
        <w:t>II.</w:t>
      </w:r>
      <w:r w:rsidRPr="000657C2">
        <w:rPr>
          <w:lang w:val="es-ES"/>
        </w:rPr>
        <w:tab/>
        <w:t>OTRAS NOVEDADES DE INTERÉS PARA LA UPOV</w:t>
      </w:r>
    </w:p>
    <w:p w:rsidR="0080701B" w:rsidRPr="000657C2" w:rsidRDefault="0080701B" w:rsidP="0080701B">
      <w:pPr>
        <w:rPr>
          <w:rFonts w:cs="Arial"/>
          <w:lang w:val="es-ES"/>
        </w:rPr>
      </w:pPr>
    </w:p>
    <w:p w:rsidR="0080701B" w:rsidRPr="000657C2" w:rsidRDefault="0080701B" w:rsidP="0080701B">
      <w:pPr>
        <w:pStyle w:val="BodyText"/>
        <w:rPr>
          <w:rFonts w:cs="Arial"/>
          <w:i/>
          <w:iCs/>
          <w:lang w:val="es-ES"/>
        </w:rPr>
      </w:pPr>
      <w:r w:rsidRPr="000657C2">
        <w:rPr>
          <w:lang w:val="es-ES"/>
        </w:rPr>
        <w:t>En mayo de 2021 se publicaron la Lista nacional de variedades de plantas agrícolas, la Lista nacional de variedades de plantas hortícolas y la Lista nacional de variedades de plantas frutales de Polonia. Tanto las listas oficiales como las listas actualizadas de variedades pueden consultarse también en</w:t>
      </w:r>
      <w:r w:rsidRPr="000657C2">
        <w:rPr>
          <w:rFonts w:cs="Arial"/>
          <w:lang w:val="es-ES"/>
        </w:rPr>
        <w:t xml:space="preserve">: </w:t>
      </w:r>
      <w:hyperlink r:id="rId33" w:history="1">
        <w:r w:rsidRPr="000532C1">
          <w:rPr>
            <w:rStyle w:val="Hyperlink"/>
            <w:rFonts w:cs="Arial"/>
            <w:iCs/>
            <w:lang w:val="es-ES"/>
          </w:rPr>
          <w:t>www.coboru.gov.pl</w:t>
        </w:r>
      </w:hyperlink>
    </w:p>
    <w:p w:rsidR="0080701B" w:rsidRPr="000657C2" w:rsidRDefault="0080701B" w:rsidP="0080701B">
      <w:pPr>
        <w:tabs>
          <w:tab w:val="left" w:pos="567"/>
          <w:tab w:val="left" w:pos="4962"/>
        </w:tabs>
        <w:rPr>
          <w:rFonts w:cs="Arial"/>
          <w:color w:val="000000"/>
          <w:lang w:val="es-ES"/>
        </w:rPr>
      </w:pPr>
    </w:p>
    <w:p w:rsidR="009A51BC" w:rsidRPr="00592F7C" w:rsidRDefault="009A51BC" w:rsidP="009A51BC">
      <w:pPr>
        <w:rPr>
          <w:lang w:val="es-ES"/>
        </w:rPr>
      </w:pPr>
    </w:p>
    <w:p w:rsidR="0078167F" w:rsidRDefault="0078167F" w:rsidP="0078167F">
      <w:pPr>
        <w:jc w:val="left"/>
      </w:pPr>
    </w:p>
    <w:p w:rsidR="0078167F" w:rsidRDefault="00E80B45" w:rsidP="0078167F">
      <w:pPr>
        <w:jc w:val="right"/>
      </w:pPr>
      <w:r>
        <w:t>[Sigue el Anexo</w:t>
      </w:r>
      <w:r w:rsidR="0078167F">
        <w:t xml:space="preserve"> IX</w:t>
      </w:r>
      <w:r>
        <w:t>]</w:t>
      </w:r>
    </w:p>
    <w:p w:rsidR="0078167F" w:rsidRDefault="0078167F" w:rsidP="0078167F"/>
    <w:p w:rsidR="0078167F" w:rsidRDefault="0078167F" w:rsidP="0078167F">
      <w:pPr>
        <w:jc w:val="left"/>
        <w:sectPr w:rsidR="0078167F" w:rsidSect="002D1696">
          <w:headerReference w:type="default" r:id="rId34"/>
          <w:pgSz w:w="11907" w:h="16840" w:code="9"/>
          <w:pgMar w:top="510" w:right="1134" w:bottom="1134" w:left="1134" w:header="510" w:footer="680" w:gutter="0"/>
          <w:pgNumType w:start="1"/>
          <w:cols w:space="720"/>
          <w:titlePg/>
        </w:sectPr>
      </w:pPr>
    </w:p>
    <w:p w:rsidR="0078167F" w:rsidRPr="0075031D" w:rsidRDefault="00C55E19" w:rsidP="0078167F">
      <w:pPr>
        <w:jc w:val="center"/>
      </w:pPr>
      <w:r>
        <w:lastRenderedPageBreak/>
        <w:t>C/55/INF/4</w:t>
      </w:r>
    </w:p>
    <w:p w:rsidR="0078167F" w:rsidRPr="0075031D" w:rsidRDefault="0078167F" w:rsidP="0078167F">
      <w:pPr>
        <w:jc w:val="center"/>
      </w:pPr>
    </w:p>
    <w:p w:rsidR="0078167F" w:rsidRPr="0075031D" w:rsidRDefault="00E80B45" w:rsidP="0078167F">
      <w:pPr>
        <w:jc w:val="center"/>
      </w:pPr>
      <w:r>
        <w:t>ANEXO</w:t>
      </w:r>
      <w:r w:rsidR="0078167F" w:rsidRPr="0075031D">
        <w:t xml:space="preserve"> I</w:t>
      </w:r>
      <w:r w:rsidR="0078167F">
        <w:t>X</w:t>
      </w:r>
    </w:p>
    <w:p w:rsidR="0078167F" w:rsidRPr="0075031D" w:rsidRDefault="0078167F" w:rsidP="0078167F">
      <w:pPr>
        <w:jc w:val="center"/>
      </w:pPr>
    </w:p>
    <w:p w:rsidR="0078167F" w:rsidRDefault="0078167F" w:rsidP="0078167F">
      <w:pPr>
        <w:jc w:val="center"/>
      </w:pPr>
    </w:p>
    <w:p w:rsidR="00EA1CBD" w:rsidRPr="00592F7C" w:rsidRDefault="003F3E27" w:rsidP="00EA1CBD">
      <w:pPr>
        <w:jc w:val="center"/>
        <w:rPr>
          <w:lang w:val="es-ES"/>
        </w:rPr>
      </w:pPr>
      <w:r>
        <w:t>REPÚBLICA DE COREA</w:t>
      </w:r>
    </w:p>
    <w:p w:rsidR="00EA1CBD" w:rsidRPr="00592F7C" w:rsidRDefault="00EA1CBD" w:rsidP="00EA1CBD">
      <w:pPr>
        <w:rPr>
          <w:lang w:val="es-ES"/>
        </w:rPr>
      </w:pPr>
    </w:p>
    <w:p w:rsidR="00EA1CBD" w:rsidRPr="00592F7C" w:rsidRDefault="00EA1CBD" w:rsidP="00EA1CBD">
      <w:pPr>
        <w:rPr>
          <w:lang w:val="es-ES"/>
        </w:rPr>
      </w:pPr>
    </w:p>
    <w:p w:rsidR="00D33C7B" w:rsidRPr="000657C2" w:rsidRDefault="00D33C7B" w:rsidP="00D33C7B">
      <w:pPr>
        <w:rPr>
          <w:lang w:val="es-ES"/>
        </w:rPr>
      </w:pPr>
      <w:r w:rsidRPr="000657C2">
        <w:rPr>
          <w:lang w:val="es-ES"/>
        </w:rPr>
        <w:t>I.</w:t>
      </w:r>
      <w:r w:rsidRPr="000657C2">
        <w:rPr>
          <w:lang w:val="es-ES"/>
        </w:rPr>
        <w:tab/>
        <w:t>PROTECCIÓN DE LAS OBTENCIONES VEGETALES</w:t>
      </w:r>
    </w:p>
    <w:p w:rsidR="00D33C7B" w:rsidRPr="000657C2" w:rsidRDefault="00D33C7B" w:rsidP="00D33C7B">
      <w:pPr>
        <w:rPr>
          <w:lang w:val="es-ES"/>
        </w:rPr>
      </w:pPr>
    </w:p>
    <w:p w:rsidR="00D33C7B" w:rsidRPr="000657C2" w:rsidRDefault="00D33C7B" w:rsidP="00D33C7B">
      <w:pPr>
        <w:rPr>
          <w:lang w:val="es-ES"/>
        </w:rPr>
      </w:pPr>
      <w:r w:rsidRPr="000657C2">
        <w:rPr>
          <w:lang w:val="es-ES"/>
        </w:rPr>
        <w:t xml:space="preserve">1. </w:t>
      </w:r>
      <w:r w:rsidRPr="000657C2">
        <w:rPr>
          <w:lang w:val="es-ES"/>
        </w:rPr>
        <w:tab/>
      </w:r>
      <w:r w:rsidRPr="000657C2">
        <w:rPr>
          <w:u w:val="single"/>
          <w:lang w:val="es-ES"/>
        </w:rPr>
        <w:t>Situación en el ámbito legislativo</w:t>
      </w:r>
      <w:r w:rsidRPr="000657C2">
        <w:rPr>
          <w:lang w:val="es-ES"/>
        </w:rPr>
        <w:t>: No hay novedades reseñables</w:t>
      </w:r>
    </w:p>
    <w:p w:rsidR="00D33C7B" w:rsidRPr="000657C2" w:rsidRDefault="00D33C7B" w:rsidP="00D33C7B">
      <w:pPr>
        <w:rPr>
          <w:lang w:val="es-ES"/>
        </w:rPr>
      </w:pPr>
    </w:p>
    <w:p w:rsidR="00D33C7B" w:rsidRPr="000657C2" w:rsidRDefault="00D33C7B" w:rsidP="00D33C7B">
      <w:pPr>
        <w:rPr>
          <w:lang w:val="es-ES"/>
        </w:rPr>
      </w:pPr>
    </w:p>
    <w:p w:rsidR="00D33C7B" w:rsidRPr="000657C2" w:rsidRDefault="00D33C7B" w:rsidP="00D33C7B">
      <w:pPr>
        <w:rPr>
          <w:lang w:val="es-ES"/>
        </w:rPr>
      </w:pPr>
      <w:r w:rsidRPr="000657C2">
        <w:rPr>
          <w:lang w:val="es-ES"/>
        </w:rPr>
        <w:t>2.</w:t>
      </w:r>
      <w:r w:rsidRPr="000657C2">
        <w:rPr>
          <w:lang w:val="es-ES"/>
        </w:rPr>
        <w:tab/>
      </w:r>
      <w:r w:rsidRPr="000657C2">
        <w:rPr>
          <w:u w:val="single"/>
          <w:lang w:val="es-ES"/>
        </w:rPr>
        <w:t xml:space="preserve"> Cooperación en el examen</w:t>
      </w:r>
      <w:r w:rsidRPr="000657C2">
        <w:rPr>
          <w:lang w:val="es-ES"/>
        </w:rPr>
        <w:t xml:space="preserve"> </w:t>
      </w:r>
    </w:p>
    <w:p w:rsidR="00D33C7B" w:rsidRPr="000657C2" w:rsidRDefault="00D33C7B" w:rsidP="00D33C7B">
      <w:pPr>
        <w:rPr>
          <w:lang w:val="es-ES"/>
        </w:rPr>
      </w:pPr>
    </w:p>
    <w:p w:rsidR="00D33C7B" w:rsidRPr="000657C2" w:rsidRDefault="00D33C7B" w:rsidP="00D33C7B">
      <w:pPr>
        <w:ind w:left="567"/>
        <w:rPr>
          <w:lang w:val="es-ES"/>
        </w:rPr>
      </w:pPr>
      <w:r w:rsidRPr="000657C2">
        <w:rPr>
          <w:rFonts w:eastAsia="함초롬바탕"/>
          <w:lang w:val="es-ES"/>
        </w:rPr>
        <w:t xml:space="preserve">Sobre la base del Memorando de Entendimiento entre la Oficina de Propiedad Intelectual de Singapur (IPOS) y el Servicio de Semillas y Variedades de Corea (KSVS), el KSVS se encarga de llevar a cabo el examen técnico en nombre del IPOS y envía el resultado al Departamento de Producción de Cultivos de </w:t>
      </w:r>
      <w:proofErr w:type="spellStart"/>
      <w:r w:rsidRPr="000657C2">
        <w:rPr>
          <w:rFonts w:eastAsia="함초롬바탕"/>
          <w:lang w:val="es-ES"/>
        </w:rPr>
        <w:t>Viet</w:t>
      </w:r>
      <w:proofErr w:type="spellEnd"/>
      <w:r w:rsidRPr="000657C2">
        <w:rPr>
          <w:rFonts w:eastAsia="함초롬바탕"/>
          <w:lang w:val="es-ES"/>
        </w:rPr>
        <w:t xml:space="preserve"> </w:t>
      </w:r>
      <w:proofErr w:type="spellStart"/>
      <w:r w:rsidRPr="000657C2">
        <w:rPr>
          <w:rFonts w:eastAsia="함초롬바탕"/>
          <w:lang w:val="es-ES"/>
        </w:rPr>
        <w:t>Nam</w:t>
      </w:r>
      <w:proofErr w:type="spellEnd"/>
      <w:r w:rsidRPr="000657C2">
        <w:rPr>
          <w:rFonts w:eastAsia="함초롬바탕"/>
          <w:lang w:val="es-ES"/>
        </w:rPr>
        <w:t>, de acuerdo con el Memorando de Entendimiento entre ambas autoridades.</w:t>
      </w:r>
    </w:p>
    <w:p w:rsidR="00D33C7B" w:rsidRPr="000657C2" w:rsidRDefault="00D33C7B" w:rsidP="00D33C7B">
      <w:pPr>
        <w:rPr>
          <w:lang w:val="es-ES"/>
        </w:rPr>
      </w:pPr>
    </w:p>
    <w:p w:rsidR="00D33C7B" w:rsidRPr="000657C2" w:rsidRDefault="00D33C7B" w:rsidP="00D33C7B">
      <w:pPr>
        <w:rPr>
          <w:lang w:val="es-ES"/>
        </w:rPr>
      </w:pPr>
    </w:p>
    <w:p w:rsidR="00D33C7B" w:rsidRPr="000657C2" w:rsidRDefault="00D33C7B" w:rsidP="00D33C7B">
      <w:pPr>
        <w:rPr>
          <w:lang w:val="es-ES"/>
        </w:rPr>
      </w:pPr>
      <w:r w:rsidRPr="000657C2">
        <w:rPr>
          <w:lang w:val="es-ES"/>
        </w:rPr>
        <w:t>3.</w:t>
      </w:r>
      <w:r w:rsidRPr="000657C2">
        <w:rPr>
          <w:lang w:val="es-ES"/>
        </w:rPr>
        <w:tab/>
      </w:r>
      <w:r w:rsidRPr="000657C2">
        <w:rPr>
          <w:u w:val="single"/>
          <w:lang w:val="es-ES"/>
        </w:rPr>
        <w:t>Situación en el ámbito administrativo</w:t>
      </w:r>
      <w:r w:rsidRPr="000657C2">
        <w:rPr>
          <w:lang w:val="es-ES"/>
        </w:rPr>
        <w:t>: No hay novedades reseñables</w:t>
      </w:r>
    </w:p>
    <w:p w:rsidR="00D33C7B" w:rsidRPr="000657C2" w:rsidRDefault="00D33C7B" w:rsidP="00D33C7B">
      <w:pPr>
        <w:rPr>
          <w:lang w:val="es-ES"/>
        </w:rPr>
      </w:pPr>
    </w:p>
    <w:p w:rsidR="00D33C7B" w:rsidRPr="000657C2" w:rsidRDefault="00D33C7B" w:rsidP="00D33C7B">
      <w:pPr>
        <w:rPr>
          <w:lang w:val="es-ES"/>
        </w:rPr>
      </w:pPr>
    </w:p>
    <w:p w:rsidR="00D33C7B" w:rsidRPr="000657C2" w:rsidRDefault="00D33C7B" w:rsidP="00D33C7B">
      <w:pPr>
        <w:rPr>
          <w:lang w:val="es-ES"/>
        </w:rPr>
      </w:pPr>
      <w:r w:rsidRPr="000657C2">
        <w:rPr>
          <w:lang w:val="es-ES"/>
        </w:rPr>
        <w:t>4.</w:t>
      </w:r>
      <w:r w:rsidRPr="000657C2">
        <w:rPr>
          <w:lang w:val="es-ES"/>
        </w:rPr>
        <w:tab/>
      </w:r>
      <w:r w:rsidRPr="000657C2">
        <w:rPr>
          <w:u w:val="single"/>
          <w:lang w:val="es-ES"/>
        </w:rPr>
        <w:t>Situación en el ámbito técnico</w:t>
      </w:r>
    </w:p>
    <w:p w:rsidR="00D33C7B" w:rsidRPr="000657C2" w:rsidRDefault="00D33C7B" w:rsidP="00D33C7B">
      <w:pPr>
        <w:rPr>
          <w:rFonts w:eastAsia="함초롬바탕"/>
          <w:lang w:val="es-ES"/>
        </w:rPr>
      </w:pPr>
    </w:p>
    <w:p w:rsidR="00D33C7B" w:rsidRPr="000657C2" w:rsidRDefault="00D33C7B" w:rsidP="00D33C7B">
      <w:pPr>
        <w:ind w:left="567"/>
        <w:rPr>
          <w:lang w:val="es-ES"/>
        </w:rPr>
      </w:pPr>
      <w:r w:rsidRPr="000657C2">
        <w:rPr>
          <w:rFonts w:eastAsia="함초롬바탕"/>
          <w:lang w:val="es-ES"/>
        </w:rPr>
        <w:t>El KSVS ha desarrollado un programa informático para analizar imágenes que permite obtener datos fenotípicos a partir de imágenes de exámenes DHE. El programa incluye mediciones automáticas del tamaño de las hojas, las flores y las semillas. Este año, el KSVS ha empezado a utilizar estos datos para los informes de examen. Funciones propias del programa como la gestión de los datos de las fotografías, la edición de las mismas y la realización de análisis automáticos resultan fáciles de utilizar para el usuario. También añadiremos un programa para determinar el color de los pétalos y el número de la carta de colores RHS.</w:t>
      </w:r>
    </w:p>
    <w:p w:rsidR="00D33C7B" w:rsidRPr="000657C2" w:rsidRDefault="00D33C7B" w:rsidP="00D33C7B">
      <w:pPr>
        <w:rPr>
          <w:lang w:val="es-ES"/>
        </w:rPr>
      </w:pPr>
    </w:p>
    <w:p w:rsidR="00D33C7B" w:rsidRPr="000657C2" w:rsidRDefault="00D33C7B" w:rsidP="00D33C7B">
      <w:pPr>
        <w:rPr>
          <w:lang w:val="es-ES"/>
        </w:rPr>
      </w:pPr>
    </w:p>
    <w:p w:rsidR="00D33C7B" w:rsidRPr="000657C2" w:rsidRDefault="00D33C7B" w:rsidP="00D33C7B">
      <w:pPr>
        <w:ind w:left="567" w:hanging="567"/>
        <w:rPr>
          <w:lang w:val="es-ES"/>
        </w:rPr>
      </w:pPr>
      <w:r w:rsidRPr="000657C2">
        <w:rPr>
          <w:lang w:val="es-ES"/>
        </w:rPr>
        <w:t>5.</w:t>
      </w:r>
      <w:r w:rsidRPr="000657C2">
        <w:rPr>
          <w:lang w:val="es-ES"/>
        </w:rPr>
        <w:tab/>
      </w:r>
      <w:r w:rsidRPr="000657C2">
        <w:rPr>
          <w:u w:val="single"/>
          <w:lang w:val="es-ES"/>
        </w:rPr>
        <w:t>Actividades para la promoción de la protección de las obtenciones vegetales</w:t>
      </w:r>
      <w:r w:rsidRPr="000657C2">
        <w:rPr>
          <w:lang w:val="es-ES"/>
        </w:rPr>
        <w:t xml:space="preserve">: No hay novedades reseñables </w:t>
      </w:r>
    </w:p>
    <w:p w:rsidR="00D33C7B" w:rsidRPr="000657C2" w:rsidRDefault="00D33C7B" w:rsidP="00D33C7B">
      <w:pPr>
        <w:rPr>
          <w:lang w:val="es-ES"/>
        </w:rPr>
      </w:pPr>
    </w:p>
    <w:p w:rsidR="00D33C7B" w:rsidRPr="000657C2" w:rsidRDefault="00D33C7B" w:rsidP="00D33C7B">
      <w:pPr>
        <w:rPr>
          <w:lang w:val="es-ES"/>
        </w:rPr>
      </w:pPr>
    </w:p>
    <w:p w:rsidR="00D33C7B" w:rsidRPr="000657C2" w:rsidRDefault="00D33C7B" w:rsidP="00D33C7B">
      <w:pPr>
        <w:rPr>
          <w:lang w:val="es-ES"/>
        </w:rPr>
      </w:pPr>
      <w:r w:rsidRPr="000657C2">
        <w:rPr>
          <w:lang w:val="es-ES"/>
        </w:rPr>
        <w:t>II.</w:t>
      </w:r>
      <w:r w:rsidRPr="000657C2">
        <w:rPr>
          <w:lang w:val="es-ES"/>
        </w:rPr>
        <w:tab/>
        <w:t>OTRAS NOVEDADES DE INTERÉS PARA LA UPOV</w:t>
      </w:r>
    </w:p>
    <w:p w:rsidR="00D33C7B" w:rsidRPr="000657C2" w:rsidRDefault="00D33C7B" w:rsidP="00D33C7B">
      <w:pPr>
        <w:rPr>
          <w:lang w:val="es-ES"/>
        </w:rPr>
      </w:pPr>
    </w:p>
    <w:p w:rsidR="00D33C7B" w:rsidRPr="000657C2" w:rsidRDefault="00D33C7B" w:rsidP="00D33C7B">
      <w:pPr>
        <w:rPr>
          <w:lang w:val="es-ES"/>
        </w:rPr>
      </w:pPr>
      <w:r w:rsidRPr="000657C2">
        <w:rPr>
          <w:lang w:val="es-ES"/>
        </w:rPr>
        <w:t>No hay novedades reseñables.</w:t>
      </w:r>
    </w:p>
    <w:p w:rsidR="00EA1CBD" w:rsidRPr="00592F7C" w:rsidRDefault="00EA1CBD" w:rsidP="00EA1CBD">
      <w:pPr>
        <w:rPr>
          <w:rFonts w:cs="Arial"/>
          <w:lang w:val="es-ES"/>
        </w:rPr>
      </w:pPr>
    </w:p>
    <w:p w:rsidR="00EA1CBD" w:rsidRPr="00592F7C" w:rsidRDefault="00EA1CBD" w:rsidP="00EA1CBD">
      <w:pPr>
        <w:rPr>
          <w:lang w:val="es-ES"/>
        </w:rPr>
      </w:pPr>
    </w:p>
    <w:p w:rsidR="0078167F" w:rsidRDefault="0078167F" w:rsidP="0078167F">
      <w:pPr>
        <w:jc w:val="left"/>
      </w:pPr>
    </w:p>
    <w:p w:rsidR="0078167F" w:rsidRDefault="00E80B45" w:rsidP="0078167F">
      <w:pPr>
        <w:jc w:val="right"/>
      </w:pPr>
      <w:r>
        <w:t>[Sigue el Anexo</w:t>
      </w:r>
      <w:r w:rsidR="0078167F">
        <w:t xml:space="preserve"> X</w:t>
      </w:r>
      <w:r>
        <w:t>]</w:t>
      </w:r>
    </w:p>
    <w:p w:rsidR="0078167F" w:rsidRDefault="0078167F" w:rsidP="0078167F"/>
    <w:p w:rsidR="0078167F" w:rsidRDefault="0078167F" w:rsidP="0078167F">
      <w:pPr>
        <w:jc w:val="left"/>
        <w:sectPr w:rsidR="0078167F" w:rsidSect="002D1696">
          <w:headerReference w:type="default" r:id="rId35"/>
          <w:pgSz w:w="11907" w:h="16840" w:code="9"/>
          <w:pgMar w:top="510" w:right="1134" w:bottom="1134" w:left="1134" w:header="510" w:footer="680" w:gutter="0"/>
          <w:pgNumType w:start="1"/>
          <w:cols w:space="720"/>
          <w:titlePg/>
        </w:sectPr>
      </w:pPr>
    </w:p>
    <w:p w:rsidR="0078167F" w:rsidRPr="0075031D" w:rsidRDefault="00C55E19" w:rsidP="0078167F">
      <w:pPr>
        <w:jc w:val="center"/>
      </w:pPr>
      <w:r>
        <w:lastRenderedPageBreak/>
        <w:t>C/55/INF/4</w:t>
      </w:r>
    </w:p>
    <w:p w:rsidR="0078167F" w:rsidRPr="0075031D" w:rsidRDefault="0078167F" w:rsidP="0078167F">
      <w:pPr>
        <w:jc w:val="center"/>
      </w:pPr>
    </w:p>
    <w:p w:rsidR="0078167F" w:rsidRPr="0075031D" w:rsidRDefault="00E80B45" w:rsidP="0078167F">
      <w:pPr>
        <w:jc w:val="center"/>
      </w:pPr>
      <w:r>
        <w:t>ANEXO</w:t>
      </w:r>
      <w:r w:rsidR="0078167F">
        <w:t xml:space="preserve"> X</w:t>
      </w:r>
    </w:p>
    <w:p w:rsidR="0078167F" w:rsidRPr="0075031D" w:rsidRDefault="0078167F" w:rsidP="0078167F">
      <w:pPr>
        <w:jc w:val="center"/>
      </w:pPr>
    </w:p>
    <w:p w:rsidR="0078167F" w:rsidRDefault="0078167F" w:rsidP="0078167F">
      <w:pPr>
        <w:jc w:val="center"/>
      </w:pPr>
    </w:p>
    <w:p w:rsidR="008627A5" w:rsidRPr="00592F7C" w:rsidRDefault="003F3E27" w:rsidP="008627A5">
      <w:pPr>
        <w:jc w:val="center"/>
        <w:rPr>
          <w:lang w:val="es-ES"/>
        </w:rPr>
      </w:pPr>
      <w:r>
        <w:t>REPÚBLICA DE MOLDOVA</w:t>
      </w:r>
    </w:p>
    <w:p w:rsidR="008627A5" w:rsidRPr="00592F7C" w:rsidRDefault="008627A5" w:rsidP="008627A5">
      <w:pPr>
        <w:rPr>
          <w:lang w:val="es-ES"/>
        </w:rPr>
      </w:pPr>
    </w:p>
    <w:p w:rsidR="008627A5" w:rsidRPr="00592F7C" w:rsidRDefault="008627A5" w:rsidP="008627A5">
      <w:pPr>
        <w:rPr>
          <w:lang w:val="es-ES"/>
        </w:rPr>
      </w:pPr>
    </w:p>
    <w:p w:rsidR="000C1305" w:rsidRPr="000657C2" w:rsidRDefault="000C1305" w:rsidP="000C1305">
      <w:pPr>
        <w:rPr>
          <w:lang w:val="es-ES"/>
        </w:rPr>
      </w:pPr>
      <w:r w:rsidRPr="000657C2">
        <w:rPr>
          <w:lang w:val="es-ES"/>
        </w:rPr>
        <w:t>I.</w:t>
      </w:r>
      <w:r w:rsidRPr="000657C2">
        <w:rPr>
          <w:lang w:val="es-ES"/>
        </w:rPr>
        <w:tab/>
        <w:t>PROTECCIÓN DE LAS OBTENCIONES VEGETALES</w:t>
      </w:r>
    </w:p>
    <w:p w:rsidR="000C1305" w:rsidRPr="000657C2" w:rsidRDefault="000C1305" w:rsidP="000C1305">
      <w:pPr>
        <w:tabs>
          <w:tab w:val="left" w:pos="4962"/>
        </w:tabs>
        <w:rPr>
          <w:rFonts w:cs="Arial"/>
          <w:u w:val="single"/>
          <w:lang w:val="es-ES"/>
        </w:rPr>
      </w:pPr>
    </w:p>
    <w:p w:rsidR="000C1305" w:rsidRPr="000657C2" w:rsidRDefault="000C1305" w:rsidP="000C1305">
      <w:pPr>
        <w:rPr>
          <w:u w:val="single"/>
          <w:lang w:val="es-ES"/>
        </w:rPr>
      </w:pPr>
      <w:r w:rsidRPr="000657C2">
        <w:rPr>
          <w:lang w:val="es-ES"/>
        </w:rPr>
        <w:t>1.</w:t>
      </w:r>
      <w:r w:rsidRPr="000657C2">
        <w:rPr>
          <w:lang w:val="es-ES"/>
        </w:rPr>
        <w:tab/>
      </w:r>
      <w:r w:rsidRPr="000657C2">
        <w:rPr>
          <w:u w:val="single"/>
          <w:lang w:val="es-ES"/>
        </w:rPr>
        <w:t>Situación en el ámbito legislativo</w:t>
      </w:r>
    </w:p>
    <w:p w:rsidR="000C1305" w:rsidRPr="000657C2" w:rsidRDefault="000C1305" w:rsidP="000C1305">
      <w:pPr>
        <w:rPr>
          <w:lang w:val="es-ES"/>
        </w:rPr>
      </w:pPr>
    </w:p>
    <w:p w:rsidR="000C1305" w:rsidRPr="000657C2" w:rsidRDefault="000C1305" w:rsidP="000C1305">
      <w:pPr>
        <w:rPr>
          <w:lang w:val="es-ES"/>
        </w:rPr>
      </w:pPr>
      <w:r w:rsidRPr="000657C2">
        <w:rPr>
          <w:lang w:val="es-ES"/>
        </w:rPr>
        <w:t>1.1.</w:t>
      </w:r>
      <w:r w:rsidRPr="000657C2">
        <w:rPr>
          <w:lang w:val="es-ES"/>
        </w:rPr>
        <w:tab/>
        <w:t>Modificaciones de la ley y de los reglamentos: No se han producido cambios.</w:t>
      </w:r>
    </w:p>
    <w:p w:rsidR="000C1305" w:rsidRPr="000657C2" w:rsidRDefault="000C1305" w:rsidP="000C1305">
      <w:pPr>
        <w:rPr>
          <w:lang w:val="es-ES"/>
        </w:rPr>
      </w:pPr>
    </w:p>
    <w:p w:rsidR="000C1305" w:rsidRPr="000657C2" w:rsidRDefault="000C1305" w:rsidP="000C1305">
      <w:pPr>
        <w:rPr>
          <w:lang w:val="es-ES"/>
        </w:rPr>
      </w:pPr>
      <w:r w:rsidRPr="000657C2">
        <w:rPr>
          <w:lang w:val="es-ES"/>
        </w:rPr>
        <w:t>1.2.</w:t>
      </w:r>
      <w:r w:rsidRPr="000657C2">
        <w:rPr>
          <w:lang w:val="es-ES"/>
        </w:rPr>
        <w:tab/>
        <w:t>Extensión de la protección a otros géneros y especies</w:t>
      </w:r>
    </w:p>
    <w:p w:rsidR="000C1305" w:rsidRPr="000657C2" w:rsidRDefault="000C1305" w:rsidP="000C1305">
      <w:pPr>
        <w:rPr>
          <w:lang w:val="es-ES"/>
        </w:rPr>
      </w:pPr>
    </w:p>
    <w:p w:rsidR="000C1305" w:rsidRPr="000657C2" w:rsidRDefault="000C1305" w:rsidP="000C1305">
      <w:pPr>
        <w:ind w:left="567"/>
        <w:rPr>
          <w:lang w:val="es-ES"/>
        </w:rPr>
      </w:pPr>
      <w:r w:rsidRPr="000657C2">
        <w:rPr>
          <w:lang w:val="es-ES"/>
        </w:rPr>
        <w:t xml:space="preserve">De conformidad con la Ley N.º 39-XVI/2008 sobre la Protección de las Obtenciones Vegetales, se ofrece protección a las variedades de todos los géneros y especies botánicos, incluidos los híbridos </w:t>
      </w:r>
      <w:proofErr w:type="spellStart"/>
      <w:r w:rsidRPr="000657C2">
        <w:rPr>
          <w:lang w:val="es-ES"/>
        </w:rPr>
        <w:t>intergenéricos</w:t>
      </w:r>
      <w:proofErr w:type="spellEnd"/>
      <w:r w:rsidRPr="000657C2">
        <w:rPr>
          <w:lang w:val="es-ES"/>
        </w:rPr>
        <w:t xml:space="preserve"> e </w:t>
      </w:r>
      <w:proofErr w:type="spellStart"/>
      <w:r w:rsidRPr="000657C2">
        <w:rPr>
          <w:lang w:val="es-ES"/>
        </w:rPr>
        <w:t>interespecíficos</w:t>
      </w:r>
      <w:proofErr w:type="spellEnd"/>
      <w:r w:rsidRPr="000657C2">
        <w:rPr>
          <w:lang w:val="es-ES"/>
        </w:rPr>
        <w:t>.</w:t>
      </w:r>
    </w:p>
    <w:p w:rsidR="000C1305" w:rsidRPr="000657C2" w:rsidRDefault="000C1305" w:rsidP="000C1305">
      <w:pPr>
        <w:rPr>
          <w:lang w:val="es-ES"/>
        </w:rPr>
      </w:pPr>
    </w:p>
    <w:p w:rsidR="000C1305" w:rsidRPr="000657C2" w:rsidRDefault="000C1305" w:rsidP="000C1305">
      <w:pPr>
        <w:rPr>
          <w:lang w:val="es-ES"/>
        </w:rPr>
      </w:pPr>
      <w:r w:rsidRPr="000657C2">
        <w:rPr>
          <w:lang w:val="es-ES"/>
        </w:rPr>
        <w:t>1.3.</w:t>
      </w:r>
      <w:r w:rsidRPr="000657C2">
        <w:rPr>
          <w:lang w:val="es-ES"/>
        </w:rPr>
        <w:tab/>
        <w:t>Jurisprudencia</w:t>
      </w:r>
    </w:p>
    <w:p w:rsidR="000C1305" w:rsidRPr="000657C2" w:rsidRDefault="000C1305" w:rsidP="000C1305">
      <w:pPr>
        <w:rPr>
          <w:lang w:val="es-ES"/>
        </w:rPr>
      </w:pPr>
    </w:p>
    <w:p w:rsidR="000C1305" w:rsidRPr="000657C2" w:rsidRDefault="000C1305" w:rsidP="000C1305">
      <w:pPr>
        <w:ind w:left="567"/>
        <w:rPr>
          <w:highlight w:val="yellow"/>
          <w:lang w:val="es-ES"/>
        </w:rPr>
      </w:pPr>
      <w:r w:rsidRPr="000657C2">
        <w:rPr>
          <w:lang w:val="es-ES"/>
        </w:rPr>
        <w:t>No existen precedentes relativos a la protección del derecho de obtentor.</w:t>
      </w:r>
    </w:p>
    <w:p w:rsidR="000C1305" w:rsidRPr="000657C2" w:rsidRDefault="000C1305" w:rsidP="000C1305">
      <w:pPr>
        <w:rPr>
          <w:lang w:val="es-ES"/>
        </w:rPr>
      </w:pPr>
    </w:p>
    <w:p w:rsidR="000C1305" w:rsidRPr="000657C2" w:rsidRDefault="000C1305" w:rsidP="000C1305">
      <w:pPr>
        <w:rPr>
          <w:lang w:val="es-ES"/>
        </w:rPr>
      </w:pPr>
    </w:p>
    <w:p w:rsidR="000C1305" w:rsidRPr="000657C2" w:rsidRDefault="000C1305" w:rsidP="000C1305">
      <w:pPr>
        <w:rPr>
          <w:lang w:val="es-ES"/>
        </w:rPr>
      </w:pPr>
      <w:r w:rsidRPr="000657C2">
        <w:rPr>
          <w:lang w:val="es-ES"/>
        </w:rPr>
        <w:t>2.</w:t>
      </w:r>
      <w:r w:rsidRPr="000657C2">
        <w:rPr>
          <w:lang w:val="es-ES"/>
        </w:rPr>
        <w:tab/>
      </w:r>
      <w:r w:rsidRPr="000657C2">
        <w:rPr>
          <w:u w:val="single"/>
          <w:lang w:val="es-ES"/>
        </w:rPr>
        <w:t>Cooperación en el examen</w:t>
      </w:r>
    </w:p>
    <w:p w:rsidR="000C1305" w:rsidRPr="000657C2" w:rsidRDefault="000C1305" w:rsidP="000C1305">
      <w:pPr>
        <w:rPr>
          <w:lang w:val="es-ES"/>
        </w:rPr>
      </w:pPr>
    </w:p>
    <w:p w:rsidR="000C1305" w:rsidRPr="000657C2" w:rsidRDefault="000C1305" w:rsidP="000C1305">
      <w:pPr>
        <w:rPr>
          <w:lang w:val="es-ES"/>
        </w:rPr>
      </w:pPr>
      <w:r w:rsidRPr="000657C2">
        <w:rPr>
          <w:lang w:val="es-ES"/>
        </w:rPr>
        <w:t>Empleo de informes DHE existentes ofrecidos por:</w:t>
      </w:r>
    </w:p>
    <w:p w:rsidR="000C1305" w:rsidRPr="000657C2" w:rsidRDefault="000C1305" w:rsidP="000C1305">
      <w:pPr>
        <w:numPr>
          <w:ilvl w:val="0"/>
          <w:numId w:val="9"/>
        </w:numPr>
        <w:rPr>
          <w:lang w:val="es-ES"/>
        </w:rPr>
      </w:pPr>
      <w:r w:rsidRPr="000657C2">
        <w:rPr>
          <w:lang w:val="es-ES"/>
        </w:rPr>
        <w:t>el GEVES (</w:t>
      </w:r>
      <w:proofErr w:type="spellStart"/>
      <w:r w:rsidRPr="000657C2">
        <w:rPr>
          <w:lang w:val="es-ES"/>
        </w:rPr>
        <w:t>Beaucouzé</w:t>
      </w:r>
      <w:proofErr w:type="spellEnd"/>
      <w:r w:rsidRPr="000657C2">
        <w:rPr>
          <w:lang w:val="es-ES"/>
        </w:rPr>
        <w:t>, Francia);</w:t>
      </w:r>
    </w:p>
    <w:p w:rsidR="000C1305" w:rsidRPr="000657C2" w:rsidRDefault="000C1305" w:rsidP="000C1305">
      <w:pPr>
        <w:numPr>
          <w:ilvl w:val="0"/>
          <w:numId w:val="9"/>
        </w:numPr>
        <w:rPr>
          <w:lang w:val="es-ES"/>
        </w:rPr>
      </w:pPr>
      <w:r w:rsidRPr="000657C2">
        <w:rPr>
          <w:lang w:val="es-ES"/>
        </w:rPr>
        <w:t>Centro Polaco de Investigación para el Examen de Cultivares (Polonia).</w:t>
      </w:r>
    </w:p>
    <w:p w:rsidR="000C1305" w:rsidRPr="000657C2" w:rsidRDefault="000C1305" w:rsidP="000C1305">
      <w:pPr>
        <w:rPr>
          <w:lang w:val="es-ES"/>
        </w:rPr>
      </w:pPr>
    </w:p>
    <w:p w:rsidR="000C1305" w:rsidRPr="000657C2" w:rsidRDefault="000C1305" w:rsidP="000C1305">
      <w:pPr>
        <w:rPr>
          <w:lang w:val="es-ES"/>
        </w:rPr>
      </w:pPr>
    </w:p>
    <w:p w:rsidR="000C1305" w:rsidRPr="000657C2" w:rsidRDefault="000C1305" w:rsidP="000C1305">
      <w:pPr>
        <w:rPr>
          <w:lang w:val="es-ES"/>
        </w:rPr>
      </w:pPr>
      <w:r w:rsidRPr="000657C2">
        <w:rPr>
          <w:lang w:val="es-ES"/>
        </w:rPr>
        <w:t>3.</w:t>
      </w:r>
      <w:r w:rsidRPr="000657C2">
        <w:rPr>
          <w:lang w:val="es-ES"/>
        </w:rPr>
        <w:tab/>
      </w:r>
      <w:r w:rsidRPr="000657C2">
        <w:rPr>
          <w:u w:val="single"/>
          <w:lang w:val="es-ES"/>
        </w:rPr>
        <w:t>Situación en el ámbito administrativo</w:t>
      </w:r>
      <w:r w:rsidRPr="000657C2">
        <w:rPr>
          <w:lang w:val="es-ES"/>
        </w:rPr>
        <w:t>: No se han producido cambios.</w:t>
      </w:r>
    </w:p>
    <w:p w:rsidR="000C1305" w:rsidRPr="000657C2" w:rsidRDefault="000C1305" w:rsidP="000C1305">
      <w:pPr>
        <w:rPr>
          <w:lang w:val="es-ES"/>
        </w:rPr>
      </w:pPr>
    </w:p>
    <w:p w:rsidR="000C1305" w:rsidRPr="000657C2" w:rsidRDefault="000C1305" w:rsidP="000C1305">
      <w:pPr>
        <w:rPr>
          <w:i/>
          <w:lang w:val="es-ES"/>
        </w:rPr>
      </w:pPr>
      <w:r w:rsidRPr="000657C2">
        <w:rPr>
          <w:i/>
          <w:color w:val="000000" w:themeColor="text1"/>
          <w:lang w:val="es-ES"/>
        </w:rPr>
        <w:t>Cambios en el procedimiento y en el sistema de protección</w:t>
      </w:r>
      <w:r w:rsidRPr="000657C2">
        <w:rPr>
          <w:i/>
          <w:lang w:val="es-ES"/>
        </w:rPr>
        <w:t xml:space="preserve"> </w:t>
      </w:r>
    </w:p>
    <w:p w:rsidR="000C1305" w:rsidRPr="000657C2" w:rsidRDefault="000C1305" w:rsidP="000C1305">
      <w:pPr>
        <w:rPr>
          <w:lang w:val="es-ES"/>
        </w:rPr>
      </w:pPr>
    </w:p>
    <w:p w:rsidR="000C1305" w:rsidRPr="000657C2" w:rsidRDefault="000C1305" w:rsidP="000C1305">
      <w:pPr>
        <w:rPr>
          <w:lang w:val="es-ES"/>
        </w:rPr>
      </w:pPr>
      <w:r w:rsidRPr="000657C2">
        <w:rPr>
          <w:lang w:val="es-ES"/>
        </w:rPr>
        <w:t>Se desarrollaron dos (2) directrices nacionales de examen para:</w:t>
      </w:r>
    </w:p>
    <w:p w:rsidR="000C1305" w:rsidRPr="000657C2" w:rsidRDefault="000C1305" w:rsidP="000C1305">
      <w:pPr>
        <w:numPr>
          <w:ilvl w:val="0"/>
          <w:numId w:val="9"/>
        </w:numPr>
        <w:rPr>
          <w:bCs/>
          <w:shd w:val="clear" w:color="auto" w:fill="FFFFFF"/>
          <w:lang w:val="es-ES"/>
        </w:rPr>
      </w:pPr>
      <w:proofErr w:type="spellStart"/>
      <w:r w:rsidRPr="000657C2">
        <w:rPr>
          <w:bCs/>
          <w:i/>
          <w:shd w:val="clear" w:color="auto" w:fill="FFFFFF"/>
          <w:lang w:val="es-ES"/>
        </w:rPr>
        <w:t>Paeonia</w:t>
      </w:r>
      <w:proofErr w:type="spellEnd"/>
      <w:r w:rsidRPr="000657C2">
        <w:rPr>
          <w:bCs/>
          <w:i/>
          <w:shd w:val="clear" w:color="auto" w:fill="FFFFFF"/>
          <w:lang w:val="es-ES"/>
        </w:rPr>
        <w:t xml:space="preserve"> </w:t>
      </w:r>
      <w:proofErr w:type="spellStart"/>
      <w:r w:rsidRPr="000657C2">
        <w:rPr>
          <w:bCs/>
          <w:i/>
          <w:shd w:val="clear" w:color="auto" w:fill="FFFFFF"/>
          <w:lang w:val="es-ES"/>
        </w:rPr>
        <w:t>lactiflora</w:t>
      </w:r>
      <w:proofErr w:type="spellEnd"/>
      <w:r w:rsidRPr="000657C2">
        <w:rPr>
          <w:bCs/>
          <w:shd w:val="clear" w:color="auto" w:fill="FFFFFF"/>
          <w:lang w:val="es-ES"/>
        </w:rPr>
        <w:t xml:space="preserve"> </w:t>
      </w:r>
      <w:proofErr w:type="spellStart"/>
      <w:r w:rsidRPr="000657C2">
        <w:rPr>
          <w:bCs/>
          <w:shd w:val="clear" w:color="auto" w:fill="FFFFFF"/>
          <w:lang w:val="es-ES"/>
        </w:rPr>
        <w:t>Pall</w:t>
      </w:r>
      <w:proofErr w:type="spellEnd"/>
      <w:r w:rsidRPr="000657C2">
        <w:rPr>
          <w:bCs/>
          <w:shd w:val="clear" w:color="auto" w:fill="FFFFFF"/>
          <w:lang w:val="es-ES"/>
        </w:rPr>
        <w:t>. MTG 19-1</w:t>
      </w:r>
    </w:p>
    <w:p w:rsidR="000C1305" w:rsidRPr="000657C2" w:rsidRDefault="000C1305" w:rsidP="000C1305">
      <w:pPr>
        <w:numPr>
          <w:ilvl w:val="0"/>
          <w:numId w:val="9"/>
        </w:numPr>
        <w:rPr>
          <w:lang w:val="es-ES"/>
        </w:rPr>
      </w:pPr>
      <w:proofErr w:type="spellStart"/>
      <w:r w:rsidRPr="000657C2">
        <w:rPr>
          <w:i/>
          <w:lang w:val="es-ES"/>
        </w:rPr>
        <w:t>Mentha</w:t>
      </w:r>
      <w:proofErr w:type="spellEnd"/>
      <w:r w:rsidRPr="000657C2">
        <w:rPr>
          <w:i/>
          <w:lang w:val="es-ES"/>
        </w:rPr>
        <w:t xml:space="preserve"> x </w:t>
      </w:r>
      <w:proofErr w:type="spellStart"/>
      <w:r w:rsidRPr="000657C2">
        <w:rPr>
          <w:i/>
          <w:lang w:val="es-ES"/>
        </w:rPr>
        <w:t>verticillata</w:t>
      </w:r>
      <w:proofErr w:type="spellEnd"/>
      <w:r w:rsidRPr="000657C2">
        <w:rPr>
          <w:lang w:val="es-ES"/>
        </w:rPr>
        <w:t xml:space="preserve"> L. MTG 20-1</w:t>
      </w:r>
    </w:p>
    <w:p w:rsidR="000C1305" w:rsidRPr="000657C2" w:rsidRDefault="000C1305" w:rsidP="000C1305">
      <w:pPr>
        <w:rPr>
          <w:lang w:val="es-ES"/>
        </w:rPr>
      </w:pPr>
    </w:p>
    <w:p w:rsidR="000C1305" w:rsidRPr="000657C2" w:rsidRDefault="000C1305" w:rsidP="000C1305">
      <w:pPr>
        <w:rPr>
          <w:i/>
          <w:lang w:val="es-ES"/>
        </w:rPr>
      </w:pPr>
      <w:r w:rsidRPr="000657C2">
        <w:rPr>
          <w:i/>
          <w:lang w:val="es-ES"/>
        </w:rPr>
        <w:t>Estadísticas</w:t>
      </w:r>
    </w:p>
    <w:p w:rsidR="000C1305" w:rsidRPr="000657C2" w:rsidRDefault="000C1305" w:rsidP="000C1305">
      <w:pPr>
        <w:rPr>
          <w:lang w:val="es-ES"/>
        </w:rPr>
      </w:pPr>
    </w:p>
    <w:p w:rsidR="000C1305" w:rsidRPr="000657C2" w:rsidRDefault="000C1305" w:rsidP="000C1305">
      <w:pPr>
        <w:rPr>
          <w:lang w:val="es-ES"/>
        </w:rPr>
      </w:pPr>
      <w:r w:rsidRPr="000657C2">
        <w:rPr>
          <w:lang w:val="es-ES"/>
        </w:rPr>
        <w:t>En el período comprendido entre el 1 de enero y el 31 de diciembre de  2020:</w:t>
      </w:r>
    </w:p>
    <w:p w:rsidR="000C1305" w:rsidRPr="000657C2" w:rsidRDefault="000C1305" w:rsidP="000C1305">
      <w:pPr>
        <w:rPr>
          <w:lang w:val="es-ES"/>
        </w:rPr>
      </w:pPr>
    </w:p>
    <w:p w:rsidR="000C1305" w:rsidRPr="000657C2" w:rsidRDefault="000C1305" w:rsidP="000C1305">
      <w:pPr>
        <w:numPr>
          <w:ilvl w:val="0"/>
          <w:numId w:val="9"/>
        </w:numPr>
        <w:ind w:left="567" w:hanging="283"/>
        <w:rPr>
          <w:lang w:val="es-ES"/>
        </w:rPr>
      </w:pPr>
      <w:r>
        <w:rPr>
          <w:lang w:val="es-ES"/>
        </w:rPr>
        <w:t>S</w:t>
      </w:r>
      <w:r w:rsidRPr="000657C2">
        <w:rPr>
          <w:lang w:val="es-ES"/>
        </w:rPr>
        <w:t xml:space="preserve">e recibieron las siguientes 31 solicitudes (24 de solicitantes nacionales y 7 de solicitantes de otros países): </w:t>
      </w:r>
    </w:p>
    <w:p w:rsidR="000C1305" w:rsidRPr="000657C2" w:rsidRDefault="000C1305" w:rsidP="000C1305">
      <w:pPr>
        <w:ind w:left="567"/>
        <w:rPr>
          <w:lang w:val="es-ES"/>
        </w:rPr>
      </w:pPr>
    </w:p>
    <w:p w:rsidR="000C1305" w:rsidRPr="000657C2" w:rsidRDefault="000C1305" w:rsidP="000C1305">
      <w:pPr>
        <w:ind w:left="567"/>
        <w:rPr>
          <w:lang w:val="es-ES"/>
        </w:rPr>
      </w:pPr>
      <w:r w:rsidRPr="000657C2">
        <w:rPr>
          <w:lang w:val="es-ES"/>
        </w:rPr>
        <w:t>Manzano (</w:t>
      </w:r>
      <w:proofErr w:type="spellStart"/>
      <w:r w:rsidRPr="000657C2">
        <w:rPr>
          <w:bCs/>
          <w:i/>
          <w:lang w:val="es-ES"/>
        </w:rPr>
        <w:t>Malus</w:t>
      </w:r>
      <w:proofErr w:type="spellEnd"/>
      <w:r w:rsidRPr="000657C2">
        <w:rPr>
          <w:bCs/>
          <w:i/>
          <w:lang w:val="es-ES"/>
        </w:rPr>
        <w:t xml:space="preserve"> domestica </w:t>
      </w:r>
      <w:proofErr w:type="spellStart"/>
      <w:r w:rsidRPr="000657C2">
        <w:rPr>
          <w:bCs/>
          <w:lang w:val="es-ES"/>
        </w:rPr>
        <w:t>Borkh</w:t>
      </w:r>
      <w:proofErr w:type="spellEnd"/>
      <w:r w:rsidRPr="000657C2">
        <w:rPr>
          <w:lang w:val="es-ES"/>
        </w:rPr>
        <w:t>): 1</w:t>
      </w:r>
    </w:p>
    <w:p w:rsidR="000C1305" w:rsidRPr="000657C2" w:rsidRDefault="000C1305" w:rsidP="000C1305">
      <w:pPr>
        <w:ind w:left="567"/>
        <w:rPr>
          <w:lang w:val="es-ES"/>
        </w:rPr>
      </w:pPr>
      <w:r w:rsidRPr="000657C2">
        <w:rPr>
          <w:lang w:val="es-ES"/>
        </w:rPr>
        <w:t>Cebada (</w:t>
      </w:r>
      <w:proofErr w:type="spellStart"/>
      <w:r w:rsidRPr="000657C2">
        <w:rPr>
          <w:bCs/>
          <w:i/>
          <w:lang w:val="es-ES"/>
        </w:rPr>
        <w:t>Hordeum</w:t>
      </w:r>
      <w:proofErr w:type="spellEnd"/>
      <w:r w:rsidRPr="000657C2">
        <w:rPr>
          <w:bCs/>
          <w:i/>
          <w:lang w:val="es-ES"/>
        </w:rPr>
        <w:t xml:space="preserve"> </w:t>
      </w:r>
      <w:proofErr w:type="spellStart"/>
      <w:r w:rsidRPr="000657C2">
        <w:rPr>
          <w:bCs/>
          <w:i/>
          <w:lang w:val="es-ES"/>
        </w:rPr>
        <w:t>vulgare</w:t>
      </w:r>
      <w:proofErr w:type="spellEnd"/>
      <w:r w:rsidRPr="000657C2">
        <w:rPr>
          <w:bCs/>
          <w:i/>
          <w:lang w:val="es-ES"/>
        </w:rPr>
        <w:t xml:space="preserve"> </w:t>
      </w:r>
      <w:r w:rsidRPr="000657C2">
        <w:rPr>
          <w:bCs/>
          <w:lang w:val="es-ES"/>
        </w:rPr>
        <w:t>L.</w:t>
      </w:r>
      <w:r w:rsidRPr="000657C2">
        <w:rPr>
          <w:lang w:val="es-ES"/>
        </w:rPr>
        <w:t>): 1</w:t>
      </w:r>
    </w:p>
    <w:p w:rsidR="000C1305" w:rsidRPr="000657C2" w:rsidRDefault="000C1305" w:rsidP="000C1305">
      <w:pPr>
        <w:ind w:left="567"/>
        <w:rPr>
          <w:lang w:val="es-ES"/>
        </w:rPr>
      </w:pPr>
      <w:r w:rsidRPr="000657C2">
        <w:rPr>
          <w:lang w:val="es-ES"/>
        </w:rPr>
        <w:t>Judía (</w:t>
      </w:r>
      <w:proofErr w:type="spellStart"/>
      <w:r w:rsidRPr="000657C2">
        <w:rPr>
          <w:bCs/>
          <w:i/>
          <w:lang w:val="es-ES"/>
        </w:rPr>
        <w:t>Phaseolus</w:t>
      </w:r>
      <w:proofErr w:type="spellEnd"/>
      <w:r w:rsidRPr="000657C2">
        <w:rPr>
          <w:bCs/>
          <w:i/>
          <w:lang w:val="es-ES"/>
        </w:rPr>
        <w:t xml:space="preserve"> </w:t>
      </w:r>
      <w:proofErr w:type="spellStart"/>
      <w:r w:rsidRPr="000657C2">
        <w:rPr>
          <w:bCs/>
          <w:i/>
          <w:lang w:val="es-ES"/>
        </w:rPr>
        <w:t>vulgaris</w:t>
      </w:r>
      <w:proofErr w:type="spellEnd"/>
      <w:r w:rsidRPr="000657C2">
        <w:rPr>
          <w:bCs/>
          <w:i/>
          <w:lang w:val="es-ES"/>
        </w:rPr>
        <w:t xml:space="preserve"> </w:t>
      </w:r>
      <w:r w:rsidRPr="000657C2">
        <w:rPr>
          <w:bCs/>
          <w:lang w:val="es-ES"/>
        </w:rPr>
        <w:t>L.</w:t>
      </w:r>
      <w:r w:rsidRPr="000657C2">
        <w:rPr>
          <w:lang w:val="es-ES"/>
        </w:rPr>
        <w:t>): 1</w:t>
      </w:r>
    </w:p>
    <w:p w:rsidR="000C1305" w:rsidRPr="000657C2" w:rsidRDefault="000C1305" w:rsidP="000C1305">
      <w:pPr>
        <w:ind w:left="567"/>
        <w:rPr>
          <w:lang w:val="es-ES"/>
        </w:rPr>
      </w:pPr>
      <w:r w:rsidRPr="000657C2">
        <w:rPr>
          <w:lang w:val="es-ES"/>
        </w:rPr>
        <w:t>Zarzamora (</w:t>
      </w:r>
      <w:proofErr w:type="spellStart"/>
      <w:r w:rsidRPr="000657C2">
        <w:rPr>
          <w:bCs/>
          <w:i/>
          <w:lang w:val="es-ES"/>
        </w:rPr>
        <w:t>Rubus</w:t>
      </w:r>
      <w:proofErr w:type="spellEnd"/>
      <w:r w:rsidRPr="000657C2">
        <w:rPr>
          <w:bCs/>
          <w:i/>
          <w:lang w:val="es-ES"/>
        </w:rPr>
        <w:t xml:space="preserve"> </w:t>
      </w:r>
      <w:proofErr w:type="spellStart"/>
      <w:r w:rsidRPr="000657C2">
        <w:rPr>
          <w:bCs/>
          <w:i/>
          <w:lang w:val="es-ES"/>
        </w:rPr>
        <w:t>fructicosus</w:t>
      </w:r>
      <w:proofErr w:type="spellEnd"/>
      <w:r w:rsidRPr="000657C2">
        <w:rPr>
          <w:bCs/>
          <w:i/>
          <w:lang w:val="es-ES"/>
        </w:rPr>
        <w:t xml:space="preserve"> </w:t>
      </w:r>
      <w:r w:rsidRPr="000657C2">
        <w:rPr>
          <w:bCs/>
          <w:lang w:val="es-ES"/>
        </w:rPr>
        <w:t>L.</w:t>
      </w:r>
      <w:r w:rsidRPr="000657C2">
        <w:rPr>
          <w:lang w:val="es-ES"/>
        </w:rPr>
        <w:t>): 1</w:t>
      </w:r>
    </w:p>
    <w:p w:rsidR="000C1305" w:rsidRPr="000657C2" w:rsidRDefault="000C1305" w:rsidP="000C1305">
      <w:pPr>
        <w:ind w:left="567"/>
        <w:rPr>
          <w:lang w:val="es-ES"/>
        </w:rPr>
      </w:pPr>
      <w:r w:rsidRPr="000657C2">
        <w:rPr>
          <w:lang w:val="es-ES"/>
        </w:rPr>
        <w:t>Trigo duro (</w:t>
      </w:r>
      <w:proofErr w:type="spellStart"/>
      <w:r w:rsidRPr="000657C2">
        <w:rPr>
          <w:i/>
          <w:lang w:val="es-ES"/>
        </w:rPr>
        <w:t>Triticum</w:t>
      </w:r>
      <w:proofErr w:type="spellEnd"/>
      <w:r w:rsidRPr="000657C2">
        <w:rPr>
          <w:i/>
          <w:lang w:val="es-ES"/>
        </w:rPr>
        <w:t xml:space="preserve"> </w:t>
      </w:r>
      <w:proofErr w:type="spellStart"/>
      <w:r w:rsidRPr="000657C2">
        <w:rPr>
          <w:i/>
          <w:lang w:val="es-ES"/>
        </w:rPr>
        <w:t>durum</w:t>
      </w:r>
      <w:proofErr w:type="spellEnd"/>
      <w:r w:rsidRPr="000657C2">
        <w:rPr>
          <w:i/>
          <w:lang w:val="es-ES"/>
        </w:rPr>
        <w:t xml:space="preserve"> </w:t>
      </w:r>
      <w:proofErr w:type="spellStart"/>
      <w:r w:rsidRPr="000657C2">
        <w:rPr>
          <w:lang w:val="es-ES"/>
        </w:rPr>
        <w:t>Desf</w:t>
      </w:r>
      <w:proofErr w:type="spellEnd"/>
      <w:r w:rsidRPr="000657C2">
        <w:rPr>
          <w:lang w:val="es-ES"/>
        </w:rPr>
        <w:t>.): 1</w:t>
      </w:r>
    </w:p>
    <w:p w:rsidR="000C1305" w:rsidRPr="000657C2" w:rsidRDefault="000C1305" w:rsidP="000C1305">
      <w:pPr>
        <w:ind w:left="567"/>
        <w:rPr>
          <w:lang w:val="es-ES"/>
        </w:rPr>
      </w:pPr>
      <w:r w:rsidRPr="002D5CD7">
        <w:rPr>
          <w:i/>
          <w:lang w:val="fr-FR"/>
        </w:rPr>
        <w:t>Miscanthus</w:t>
      </w:r>
      <w:r w:rsidRPr="002D5CD7">
        <w:rPr>
          <w:lang w:val="fr-FR"/>
        </w:rPr>
        <w:t xml:space="preserve"> </w:t>
      </w:r>
      <w:proofErr w:type="spellStart"/>
      <w:r w:rsidRPr="002D5CD7">
        <w:rPr>
          <w:lang w:val="fr-FR"/>
        </w:rPr>
        <w:t>gigante</w:t>
      </w:r>
      <w:proofErr w:type="spellEnd"/>
      <w:r w:rsidRPr="002D5CD7">
        <w:rPr>
          <w:lang w:val="fr-FR"/>
        </w:rPr>
        <w:t xml:space="preserve"> (</w:t>
      </w:r>
      <w:proofErr w:type="spellStart"/>
      <w:r w:rsidRPr="002D5CD7">
        <w:rPr>
          <w:i/>
          <w:lang w:val="fr-FR"/>
        </w:rPr>
        <w:t>Miscanthus×giganteus</w:t>
      </w:r>
      <w:proofErr w:type="spellEnd"/>
      <w:r w:rsidRPr="002D5CD7">
        <w:rPr>
          <w:i/>
          <w:lang w:val="fr-FR"/>
        </w:rPr>
        <w:t xml:space="preserve"> J</w:t>
      </w:r>
      <w:r w:rsidRPr="002D5CD7">
        <w:rPr>
          <w:lang w:val="fr-FR"/>
        </w:rPr>
        <w:t xml:space="preserve">. M. </w:t>
      </w:r>
      <w:proofErr w:type="spellStart"/>
      <w:r w:rsidRPr="002D5CD7">
        <w:rPr>
          <w:lang w:val="fr-FR"/>
        </w:rPr>
        <w:t>Greef</w:t>
      </w:r>
      <w:proofErr w:type="spellEnd"/>
      <w:r w:rsidRPr="002D5CD7">
        <w:rPr>
          <w:lang w:val="fr-FR"/>
        </w:rPr>
        <w:t xml:space="preserve"> &amp; </w:t>
      </w:r>
      <w:proofErr w:type="spellStart"/>
      <w:r w:rsidRPr="002D5CD7">
        <w:rPr>
          <w:lang w:val="fr-FR"/>
        </w:rPr>
        <w:t>Deuter</w:t>
      </w:r>
      <w:proofErr w:type="spellEnd"/>
      <w:r w:rsidRPr="002D5CD7">
        <w:rPr>
          <w:lang w:val="fr-FR"/>
        </w:rPr>
        <w:t xml:space="preserve"> ex </w:t>
      </w:r>
      <w:proofErr w:type="spellStart"/>
      <w:r w:rsidRPr="002D5CD7">
        <w:rPr>
          <w:lang w:val="fr-FR"/>
        </w:rPr>
        <w:t>Hodk</w:t>
      </w:r>
      <w:proofErr w:type="spellEnd"/>
      <w:r w:rsidRPr="002D5CD7">
        <w:rPr>
          <w:lang w:val="fr-FR"/>
        </w:rPr>
        <w:t xml:space="preserve">. </w:t>
      </w:r>
      <w:r w:rsidRPr="000657C2">
        <w:rPr>
          <w:lang w:val="es-ES"/>
        </w:rPr>
        <w:t xml:space="preserve">&amp; </w:t>
      </w:r>
      <w:proofErr w:type="spellStart"/>
      <w:r w:rsidRPr="000657C2">
        <w:rPr>
          <w:lang w:val="es-ES"/>
        </w:rPr>
        <w:t>Renvoize</w:t>
      </w:r>
      <w:proofErr w:type="spellEnd"/>
      <w:r w:rsidRPr="000657C2">
        <w:rPr>
          <w:lang w:val="es-ES"/>
        </w:rPr>
        <w:t>): 1</w:t>
      </w:r>
    </w:p>
    <w:p w:rsidR="000C1305" w:rsidRPr="000657C2" w:rsidRDefault="000C1305" w:rsidP="000C1305">
      <w:pPr>
        <w:ind w:left="567"/>
        <w:rPr>
          <w:lang w:val="es-ES"/>
        </w:rPr>
      </w:pPr>
      <w:r w:rsidRPr="000657C2">
        <w:rPr>
          <w:lang w:val="es-ES"/>
        </w:rPr>
        <w:t>Vid (</w:t>
      </w:r>
      <w:proofErr w:type="spellStart"/>
      <w:r w:rsidRPr="000657C2">
        <w:rPr>
          <w:bCs/>
          <w:i/>
          <w:lang w:val="es-ES"/>
        </w:rPr>
        <w:t>Vitis</w:t>
      </w:r>
      <w:proofErr w:type="spellEnd"/>
      <w:r w:rsidRPr="000657C2">
        <w:rPr>
          <w:bCs/>
          <w:i/>
          <w:lang w:val="es-ES"/>
        </w:rPr>
        <w:t xml:space="preserve"> </w:t>
      </w:r>
      <w:proofErr w:type="spellStart"/>
      <w:r w:rsidRPr="000657C2">
        <w:rPr>
          <w:bCs/>
          <w:i/>
          <w:lang w:val="es-ES"/>
        </w:rPr>
        <w:t>vinifera</w:t>
      </w:r>
      <w:proofErr w:type="spellEnd"/>
      <w:r w:rsidRPr="000657C2">
        <w:rPr>
          <w:bCs/>
          <w:lang w:val="es-ES"/>
        </w:rPr>
        <w:t xml:space="preserve"> L. </w:t>
      </w:r>
      <w:proofErr w:type="spellStart"/>
      <w:r w:rsidRPr="000657C2">
        <w:rPr>
          <w:bCs/>
          <w:lang w:val="es-ES"/>
        </w:rPr>
        <w:t>ssp</w:t>
      </w:r>
      <w:proofErr w:type="spellEnd"/>
      <w:r w:rsidRPr="000657C2">
        <w:rPr>
          <w:bCs/>
          <w:lang w:val="es-ES"/>
        </w:rPr>
        <w:t xml:space="preserve">. </w:t>
      </w:r>
      <w:r w:rsidRPr="000657C2">
        <w:rPr>
          <w:bCs/>
          <w:i/>
          <w:lang w:val="es-ES"/>
        </w:rPr>
        <w:t xml:space="preserve">sativa </w:t>
      </w:r>
      <w:r w:rsidRPr="000657C2">
        <w:rPr>
          <w:bCs/>
          <w:lang w:val="es-ES"/>
        </w:rPr>
        <w:t xml:space="preserve">D.C. </w:t>
      </w:r>
      <w:r w:rsidRPr="000657C2">
        <w:rPr>
          <w:lang w:val="es-ES"/>
        </w:rPr>
        <w:t>x</w:t>
      </w:r>
      <w:r w:rsidRPr="000657C2">
        <w:rPr>
          <w:bCs/>
          <w:lang w:val="es-ES"/>
        </w:rPr>
        <w:t xml:space="preserve"> </w:t>
      </w:r>
      <w:proofErr w:type="spellStart"/>
      <w:r w:rsidRPr="000657C2">
        <w:rPr>
          <w:bCs/>
          <w:i/>
          <w:lang w:val="es-ES"/>
        </w:rPr>
        <w:t>Muscadinia</w:t>
      </w:r>
      <w:proofErr w:type="spellEnd"/>
      <w:r w:rsidRPr="000657C2">
        <w:rPr>
          <w:bCs/>
          <w:i/>
          <w:lang w:val="es-ES"/>
        </w:rPr>
        <w:t xml:space="preserve"> </w:t>
      </w:r>
      <w:proofErr w:type="spellStart"/>
      <w:r w:rsidRPr="000657C2">
        <w:rPr>
          <w:bCs/>
          <w:i/>
          <w:lang w:val="es-ES"/>
        </w:rPr>
        <w:t>rotundifolia</w:t>
      </w:r>
      <w:proofErr w:type="spellEnd"/>
      <w:r w:rsidRPr="000657C2">
        <w:rPr>
          <w:bCs/>
          <w:i/>
          <w:lang w:val="es-ES"/>
        </w:rPr>
        <w:t xml:space="preserve"> </w:t>
      </w:r>
      <w:proofErr w:type="spellStart"/>
      <w:r w:rsidRPr="000657C2">
        <w:rPr>
          <w:bCs/>
          <w:lang w:val="es-ES"/>
        </w:rPr>
        <w:t>Michx</w:t>
      </w:r>
      <w:proofErr w:type="spellEnd"/>
      <w:r w:rsidRPr="000657C2">
        <w:rPr>
          <w:bCs/>
          <w:lang w:val="es-ES"/>
        </w:rPr>
        <w:t>.</w:t>
      </w:r>
      <w:r w:rsidRPr="000657C2">
        <w:rPr>
          <w:lang w:val="es-ES"/>
        </w:rPr>
        <w:t>): 2</w:t>
      </w:r>
    </w:p>
    <w:p w:rsidR="000C1305" w:rsidRPr="000657C2" w:rsidRDefault="000C1305" w:rsidP="000C1305">
      <w:pPr>
        <w:ind w:left="567"/>
        <w:rPr>
          <w:lang w:val="es-ES"/>
        </w:rPr>
      </w:pPr>
      <w:r w:rsidRPr="000657C2">
        <w:rPr>
          <w:lang w:val="es-ES"/>
        </w:rPr>
        <w:t>Orégano griego (</w:t>
      </w:r>
      <w:proofErr w:type="spellStart"/>
      <w:r w:rsidRPr="000657C2">
        <w:rPr>
          <w:bCs/>
          <w:i/>
          <w:lang w:val="es-ES"/>
        </w:rPr>
        <w:t>Origanum</w:t>
      </w:r>
      <w:proofErr w:type="spellEnd"/>
      <w:r w:rsidRPr="000657C2">
        <w:rPr>
          <w:bCs/>
          <w:i/>
          <w:lang w:val="es-ES"/>
        </w:rPr>
        <w:t xml:space="preserve"> </w:t>
      </w:r>
      <w:proofErr w:type="spellStart"/>
      <w:r w:rsidRPr="000657C2">
        <w:rPr>
          <w:bCs/>
          <w:i/>
          <w:lang w:val="es-ES"/>
        </w:rPr>
        <w:t>vulgare</w:t>
      </w:r>
      <w:proofErr w:type="spellEnd"/>
      <w:r w:rsidRPr="000657C2">
        <w:rPr>
          <w:bCs/>
          <w:i/>
          <w:lang w:val="es-ES"/>
        </w:rPr>
        <w:t xml:space="preserve"> </w:t>
      </w:r>
      <w:r w:rsidRPr="000657C2">
        <w:rPr>
          <w:bCs/>
          <w:lang w:val="es-ES"/>
        </w:rPr>
        <w:t xml:space="preserve">L. </w:t>
      </w:r>
      <w:proofErr w:type="spellStart"/>
      <w:r w:rsidRPr="000657C2">
        <w:rPr>
          <w:bCs/>
          <w:lang w:val="es-ES"/>
        </w:rPr>
        <w:t>ssp</w:t>
      </w:r>
      <w:proofErr w:type="spellEnd"/>
      <w:r w:rsidRPr="000657C2">
        <w:rPr>
          <w:bCs/>
          <w:lang w:val="es-ES"/>
        </w:rPr>
        <w:t xml:space="preserve">. </w:t>
      </w:r>
      <w:proofErr w:type="spellStart"/>
      <w:r w:rsidRPr="000657C2">
        <w:rPr>
          <w:bCs/>
          <w:i/>
          <w:lang w:val="es-ES"/>
        </w:rPr>
        <w:t>hirtum</w:t>
      </w:r>
      <w:proofErr w:type="spellEnd"/>
      <w:r w:rsidRPr="000657C2">
        <w:rPr>
          <w:bCs/>
          <w:i/>
          <w:lang w:val="es-ES"/>
        </w:rPr>
        <w:t xml:space="preserve"> </w:t>
      </w:r>
      <w:proofErr w:type="spellStart"/>
      <w:r w:rsidRPr="000657C2">
        <w:rPr>
          <w:bCs/>
          <w:lang w:val="es-ES"/>
        </w:rPr>
        <w:t>Ietsw</w:t>
      </w:r>
      <w:proofErr w:type="spellEnd"/>
      <w:r w:rsidRPr="000657C2">
        <w:rPr>
          <w:bCs/>
          <w:lang w:val="es-ES"/>
        </w:rPr>
        <w:t>.</w:t>
      </w:r>
      <w:r w:rsidRPr="000657C2">
        <w:rPr>
          <w:lang w:val="es-ES"/>
        </w:rPr>
        <w:t>): 1</w:t>
      </w:r>
    </w:p>
    <w:p w:rsidR="000C1305" w:rsidRPr="000657C2" w:rsidRDefault="000C1305" w:rsidP="000C1305">
      <w:pPr>
        <w:ind w:left="567"/>
        <w:rPr>
          <w:lang w:val="es-ES"/>
        </w:rPr>
      </w:pPr>
      <w:r w:rsidRPr="000657C2">
        <w:rPr>
          <w:lang w:val="es-ES"/>
        </w:rPr>
        <w:t>Membrillo japonés (</w:t>
      </w:r>
      <w:proofErr w:type="spellStart"/>
      <w:r w:rsidRPr="000657C2">
        <w:rPr>
          <w:bCs/>
          <w:i/>
          <w:lang w:val="es-ES"/>
        </w:rPr>
        <w:t>Chaenomeles</w:t>
      </w:r>
      <w:proofErr w:type="spellEnd"/>
      <w:r w:rsidRPr="000657C2">
        <w:rPr>
          <w:bCs/>
          <w:i/>
          <w:lang w:val="es-ES"/>
        </w:rPr>
        <w:t xml:space="preserve"> </w:t>
      </w:r>
      <w:proofErr w:type="spellStart"/>
      <w:r w:rsidRPr="000657C2">
        <w:rPr>
          <w:bCs/>
          <w:i/>
          <w:lang w:val="es-ES"/>
        </w:rPr>
        <w:t>japonica</w:t>
      </w:r>
      <w:proofErr w:type="spellEnd"/>
      <w:r w:rsidRPr="000657C2">
        <w:rPr>
          <w:bCs/>
          <w:i/>
          <w:lang w:val="es-ES"/>
        </w:rPr>
        <w:t xml:space="preserve"> </w:t>
      </w:r>
      <w:r w:rsidRPr="000657C2">
        <w:rPr>
          <w:bCs/>
          <w:lang w:val="es-ES"/>
        </w:rPr>
        <w:t>(</w:t>
      </w:r>
      <w:proofErr w:type="spellStart"/>
      <w:r w:rsidRPr="000657C2">
        <w:rPr>
          <w:bCs/>
          <w:lang w:val="es-ES"/>
        </w:rPr>
        <w:t>Thunb</w:t>
      </w:r>
      <w:proofErr w:type="spellEnd"/>
      <w:r w:rsidRPr="000657C2">
        <w:rPr>
          <w:bCs/>
          <w:lang w:val="es-ES"/>
        </w:rPr>
        <w:t xml:space="preserve">.) </w:t>
      </w:r>
      <w:proofErr w:type="spellStart"/>
      <w:r w:rsidRPr="000657C2">
        <w:rPr>
          <w:bCs/>
          <w:lang w:val="es-ES"/>
        </w:rPr>
        <w:t>Lindl</w:t>
      </w:r>
      <w:proofErr w:type="spellEnd"/>
      <w:r w:rsidRPr="000657C2">
        <w:rPr>
          <w:bCs/>
          <w:lang w:val="es-ES"/>
        </w:rPr>
        <w:t>.</w:t>
      </w:r>
      <w:r w:rsidRPr="000657C2">
        <w:rPr>
          <w:lang w:val="es-ES"/>
        </w:rPr>
        <w:t>): 1</w:t>
      </w:r>
    </w:p>
    <w:p w:rsidR="000C1305" w:rsidRPr="000657C2" w:rsidRDefault="000C1305" w:rsidP="000C1305">
      <w:pPr>
        <w:ind w:left="567"/>
        <w:rPr>
          <w:lang w:val="es-ES"/>
        </w:rPr>
      </w:pPr>
      <w:r w:rsidRPr="000657C2">
        <w:rPr>
          <w:lang w:val="es-ES"/>
        </w:rPr>
        <w:t>Maíz (</w:t>
      </w:r>
      <w:r w:rsidRPr="000657C2">
        <w:rPr>
          <w:i/>
          <w:lang w:val="es-ES"/>
        </w:rPr>
        <w:t xml:space="preserve">Zea </w:t>
      </w:r>
      <w:proofErr w:type="spellStart"/>
      <w:r w:rsidRPr="000657C2">
        <w:rPr>
          <w:i/>
          <w:lang w:val="es-ES"/>
        </w:rPr>
        <w:t>mays</w:t>
      </w:r>
      <w:proofErr w:type="spellEnd"/>
      <w:r w:rsidRPr="000657C2">
        <w:rPr>
          <w:i/>
          <w:lang w:val="es-ES"/>
        </w:rPr>
        <w:t xml:space="preserve"> </w:t>
      </w:r>
      <w:r w:rsidRPr="000657C2">
        <w:rPr>
          <w:lang w:val="es-ES"/>
        </w:rPr>
        <w:t>L.): 2</w:t>
      </w:r>
    </w:p>
    <w:p w:rsidR="000C1305" w:rsidRPr="000657C2" w:rsidRDefault="000C1305" w:rsidP="000C1305">
      <w:pPr>
        <w:ind w:left="567"/>
        <w:rPr>
          <w:lang w:val="es-ES"/>
        </w:rPr>
      </w:pPr>
      <w:r w:rsidRPr="000657C2">
        <w:rPr>
          <w:lang w:val="es-ES"/>
        </w:rPr>
        <w:t>Orégano (</w:t>
      </w:r>
      <w:proofErr w:type="spellStart"/>
      <w:r w:rsidRPr="000657C2">
        <w:rPr>
          <w:bCs/>
          <w:i/>
          <w:lang w:val="es-ES"/>
        </w:rPr>
        <w:t>Origanum</w:t>
      </w:r>
      <w:proofErr w:type="spellEnd"/>
      <w:r w:rsidRPr="000657C2">
        <w:rPr>
          <w:bCs/>
          <w:i/>
          <w:lang w:val="es-ES"/>
        </w:rPr>
        <w:t xml:space="preserve"> </w:t>
      </w:r>
      <w:proofErr w:type="spellStart"/>
      <w:r w:rsidRPr="000657C2">
        <w:rPr>
          <w:bCs/>
          <w:i/>
          <w:lang w:val="es-ES"/>
        </w:rPr>
        <w:t>vulgare</w:t>
      </w:r>
      <w:proofErr w:type="spellEnd"/>
      <w:r w:rsidRPr="000657C2">
        <w:rPr>
          <w:bCs/>
          <w:i/>
          <w:lang w:val="es-ES"/>
        </w:rPr>
        <w:t xml:space="preserve"> </w:t>
      </w:r>
      <w:r w:rsidRPr="000657C2">
        <w:rPr>
          <w:bCs/>
          <w:lang w:val="es-ES"/>
        </w:rPr>
        <w:t xml:space="preserve">L. </w:t>
      </w:r>
      <w:proofErr w:type="spellStart"/>
      <w:r w:rsidRPr="000657C2">
        <w:rPr>
          <w:bCs/>
          <w:lang w:val="es-ES"/>
        </w:rPr>
        <w:t>ssp</w:t>
      </w:r>
      <w:proofErr w:type="spellEnd"/>
      <w:r w:rsidRPr="000657C2">
        <w:rPr>
          <w:bCs/>
          <w:lang w:val="es-ES"/>
        </w:rPr>
        <w:t xml:space="preserve">. </w:t>
      </w:r>
      <w:proofErr w:type="spellStart"/>
      <w:r w:rsidRPr="000657C2">
        <w:rPr>
          <w:bCs/>
          <w:i/>
          <w:lang w:val="es-ES"/>
        </w:rPr>
        <w:t>vulgare</w:t>
      </w:r>
      <w:proofErr w:type="spellEnd"/>
      <w:r w:rsidRPr="000657C2">
        <w:rPr>
          <w:bCs/>
          <w:i/>
          <w:lang w:val="es-ES"/>
        </w:rPr>
        <w:t xml:space="preserve"> </w:t>
      </w:r>
      <w:r w:rsidRPr="000657C2">
        <w:rPr>
          <w:bCs/>
          <w:lang w:val="es-ES"/>
        </w:rPr>
        <w:t>L.</w:t>
      </w:r>
      <w:r w:rsidRPr="000657C2">
        <w:rPr>
          <w:lang w:val="es-ES"/>
        </w:rPr>
        <w:t>): 1</w:t>
      </w:r>
    </w:p>
    <w:p w:rsidR="000C1305" w:rsidRPr="000657C2" w:rsidRDefault="000C1305" w:rsidP="000C1305">
      <w:pPr>
        <w:ind w:left="567"/>
        <w:rPr>
          <w:lang w:val="es-ES"/>
        </w:rPr>
      </w:pPr>
      <w:proofErr w:type="spellStart"/>
      <w:r w:rsidRPr="000657C2">
        <w:rPr>
          <w:lang w:val="es-ES"/>
        </w:rPr>
        <w:t>Paulownia</w:t>
      </w:r>
      <w:proofErr w:type="spellEnd"/>
      <w:r w:rsidRPr="000657C2">
        <w:rPr>
          <w:lang w:val="es-ES"/>
        </w:rPr>
        <w:t xml:space="preserve"> (</w:t>
      </w:r>
      <w:proofErr w:type="spellStart"/>
      <w:r w:rsidRPr="000657C2">
        <w:rPr>
          <w:bCs/>
          <w:i/>
          <w:lang w:val="es-ES"/>
        </w:rPr>
        <w:t>Paulownia</w:t>
      </w:r>
      <w:proofErr w:type="spellEnd"/>
      <w:r w:rsidRPr="000657C2">
        <w:rPr>
          <w:lang w:val="es-ES"/>
        </w:rPr>
        <w:t>): 1</w:t>
      </w:r>
    </w:p>
    <w:p w:rsidR="000C1305" w:rsidRPr="000657C2" w:rsidRDefault="000C1305" w:rsidP="000C1305">
      <w:pPr>
        <w:ind w:left="567"/>
        <w:rPr>
          <w:lang w:val="es-ES"/>
        </w:rPr>
      </w:pPr>
      <w:r w:rsidRPr="000657C2">
        <w:rPr>
          <w:lang w:val="es-ES"/>
        </w:rPr>
        <w:t>Salvia (</w:t>
      </w:r>
      <w:r w:rsidRPr="000657C2">
        <w:rPr>
          <w:i/>
          <w:lang w:val="es-ES"/>
        </w:rPr>
        <w:t xml:space="preserve">Salvia </w:t>
      </w:r>
      <w:proofErr w:type="spellStart"/>
      <w:r w:rsidRPr="000657C2">
        <w:rPr>
          <w:i/>
          <w:lang w:val="es-ES"/>
        </w:rPr>
        <w:t>sclarea</w:t>
      </w:r>
      <w:proofErr w:type="spellEnd"/>
      <w:r w:rsidRPr="000657C2">
        <w:rPr>
          <w:i/>
          <w:lang w:val="es-ES"/>
        </w:rPr>
        <w:t xml:space="preserve"> </w:t>
      </w:r>
      <w:r w:rsidRPr="000657C2">
        <w:rPr>
          <w:lang w:val="es-ES"/>
        </w:rPr>
        <w:t>L</w:t>
      </w:r>
      <w:r w:rsidRPr="000657C2">
        <w:rPr>
          <w:i/>
          <w:lang w:val="es-ES"/>
        </w:rPr>
        <w:t>.</w:t>
      </w:r>
      <w:r w:rsidRPr="000657C2">
        <w:rPr>
          <w:lang w:val="es-ES"/>
        </w:rPr>
        <w:t>): 1</w:t>
      </w:r>
    </w:p>
    <w:p w:rsidR="000C1305" w:rsidRPr="000657C2" w:rsidRDefault="000C1305" w:rsidP="000C1305">
      <w:pPr>
        <w:ind w:left="567"/>
        <w:rPr>
          <w:lang w:val="es-ES"/>
        </w:rPr>
      </w:pPr>
      <w:r w:rsidRPr="000657C2">
        <w:rPr>
          <w:lang w:val="es-ES"/>
        </w:rPr>
        <w:t>Sorgo (</w:t>
      </w:r>
      <w:proofErr w:type="spellStart"/>
      <w:r w:rsidRPr="000657C2">
        <w:rPr>
          <w:i/>
          <w:lang w:val="es-ES"/>
        </w:rPr>
        <w:t>S</w:t>
      </w:r>
      <w:r w:rsidRPr="000657C2">
        <w:rPr>
          <w:bCs/>
          <w:i/>
          <w:lang w:val="es-ES"/>
        </w:rPr>
        <w:t>orghum</w:t>
      </w:r>
      <w:proofErr w:type="spellEnd"/>
      <w:r w:rsidRPr="000657C2">
        <w:rPr>
          <w:bCs/>
          <w:i/>
          <w:lang w:val="es-ES"/>
        </w:rPr>
        <w:t xml:space="preserve"> bicolor</w:t>
      </w:r>
      <w:r w:rsidRPr="000657C2">
        <w:rPr>
          <w:lang w:val="es-ES"/>
        </w:rPr>
        <w:t xml:space="preserve"> </w:t>
      </w:r>
      <w:r w:rsidRPr="000657C2">
        <w:rPr>
          <w:bCs/>
          <w:lang w:val="es-ES"/>
        </w:rPr>
        <w:t xml:space="preserve">(L.) </w:t>
      </w:r>
      <w:proofErr w:type="spellStart"/>
      <w:r w:rsidRPr="000657C2">
        <w:rPr>
          <w:bCs/>
          <w:lang w:val="es-ES"/>
        </w:rPr>
        <w:t>Moench</w:t>
      </w:r>
      <w:proofErr w:type="spellEnd"/>
      <w:r w:rsidRPr="000657C2">
        <w:rPr>
          <w:bCs/>
          <w:lang w:val="es-ES"/>
        </w:rPr>
        <w:t xml:space="preserve"> </w:t>
      </w:r>
      <w:proofErr w:type="spellStart"/>
      <w:r w:rsidRPr="000657C2">
        <w:rPr>
          <w:bCs/>
          <w:lang w:val="es-ES"/>
        </w:rPr>
        <w:t>var</w:t>
      </w:r>
      <w:proofErr w:type="spellEnd"/>
      <w:r w:rsidRPr="000657C2">
        <w:rPr>
          <w:bCs/>
          <w:lang w:val="es-ES"/>
        </w:rPr>
        <w:t>.</w:t>
      </w:r>
      <w:r w:rsidRPr="000657C2">
        <w:rPr>
          <w:lang w:val="es-ES"/>
        </w:rPr>
        <w:t xml:space="preserve"> </w:t>
      </w:r>
      <w:proofErr w:type="spellStart"/>
      <w:r w:rsidRPr="000657C2">
        <w:rPr>
          <w:bCs/>
          <w:i/>
          <w:lang w:val="es-ES"/>
        </w:rPr>
        <w:t>caffrorum</w:t>
      </w:r>
      <w:proofErr w:type="spellEnd"/>
      <w:r w:rsidRPr="000657C2">
        <w:rPr>
          <w:lang w:val="es-ES"/>
        </w:rPr>
        <w:t xml:space="preserve"> </w:t>
      </w:r>
      <w:r w:rsidRPr="000657C2">
        <w:rPr>
          <w:bCs/>
          <w:lang w:val="es-ES"/>
        </w:rPr>
        <w:t xml:space="preserve">(L.) </w:t>
      </w:r>
      <w:proofErr w:type="spellStart"/>
      <w:r w:rsidRPr="000657C2">
        <w:rPr>
          <w:bCs/>
          <w:lang w:val="es-ES"/>
        </w:rPr>
        <w:t>subvar</w:t>
      </w:r>
      <w:proofErr w:type="spellEnd"/>
      <w:r w:rsidRPr="000657C2">
        <w:rPr>
          <w:bCs/>
          <w:lang w:val="es-ES"/>
        </w:rPr>
        <w:t xml:space="preserve">. </w:t>
      </w:r>
      <w:proofErr w:type="spellStart"/>
      <w:r w:rsidRPr="000657C2">
        <w:rPr>
          <w:bCs/>
          <w:i/>
          <w:lang w:val="es-ES"/>
        </w:rPr>
        <w:t>oryzoidum</w:t>
      </w:r>
      <w:proofErr w:type="spellEnd"/>
      <w:r w:rsidRPr="000657C2">
        <w:rPr>
          <w:lang w:val="es-ES"/>
        </w:rPr>
        <w:t>): 1</w:t>
      </w:r>
    </w:p>
    <w:p w:rsidR="000C1305" w:rsidRPr="000657C2" w:rsidRDefault="000C1305" w:rsidP="000C1305">
      <w:pPr>
        <w:ind w:left="567"/>
        <w:rPr>
          <w:lang w:val="es-ES"/>
        </w:rPr>
      </w:pPr>
      <w:r w:rsidRPr="000657C2">
        <w:rPr>
          <w:lang w:val="es-ES"/>
        </w:rPr>
        <w:t>Sorgo x Pasto del Sudán (</w:t>
      </w:r>
      <w:proofErr w:type="spellStart"/>
      <w:r w:rsidRPr="000657C2">
        <w:rPr>
          <w:bCs/>
          <w:i/>
          <w:lang w:val="es-ES"/>
        </w:rPr>
        <w:t>Sorghum</w:t>
      </w:r>
      <w:proofErr w:type="spellEnd"/>
      <w:r w:rsidRPr="000657C2">
        <w:rPr>
          <w:bCs/>
          <w:i/>
          <w:lang w:val="es-ES"/>
        </w:rPr>
        <w:t xml:space="preserve"> bicolor</w:t>
      </w:r>
      <w:r w:rsidRPr="000657C2">
        <w:rPr>
          <w:lang w:val="es-ES"/>
        </w:rPr>
        <w:t xml:space="preserve"> </w:t>
      </w:r>
      <w:r w:rsidRPr="000657C2">
        <w:rPr>
          <w:bCs/>
          <w:lang w:val="es-ES"/>
        </w:rPr>
        <w:t>(L.) x</w:t>
      </w:r>
      <w:r w:rsidRPr="000657C2">
        <w:rPr>
          <w:lang w:val="es-ES"/>
        </w:rPr>
        <w:t xml:space="preserve"> </w:t>
      </w:r>
      <w:proofErr w:type="spellStart"/>
      <w:r w:rsidRPr="000657C2">
        <w:rPr>
          <w:bCs/>
          <w:i/>
          <w:lang w:val="es-ES"/>
        </w:rPr>
        <w:t>Sorghum</w:t>
      </w:r>
      <w:proofErr w:type="spellEnd"/>
      <w:r w:rsidRPr="000657C2">
        <w:rPr>
          <w:bCs/>
          <w:i/>
          <w:lang w:val="es-ES"/>
        </w:rPr>
        <w:t xml:space="preserve"> bicolor</w:t>
      </w:r>
      <w:r w:rsidRPr="000657C2">
        <w:rPr>
          <w:lang w:val="es-ES"/>
        </w:rPr>
        <w:t xml:space="preserve"> </w:t>
      </w:r>
      <w:r w:rsidRPr="000657C2">
        <w:rPr>
          <w:bCs/>
          <w:lang w:val="es-ES"/>
        </w:rPr>
        <w:t xml:space="preserve">(L.) </w:t>
      </w:r>
      <w:proofErr w:type="spellStart"/>
      <w:r w:rsidRPr="000657C2">
        <w:rPr>
          <w:bCs/>
          <w:lang w:val="es-ES"/>
        </w:rPr>
        <w:t>var</w:t>
      </w:r>
      <w:proofErr w:type="spellEnd"/>
      <w:r w:rsidRPr="000657C2">
        <w:rPr>
          <w:bCs/>
          <w:lang w:val="es-ES"/>
        </w:rPr>
        <w:t>.</w:t>
      </w:r>
      <w:r w:rsidRPr="000657C2">
        <w:rPr>
          <w:lang w:val="es-ES"/>
        </w:rPr>
        <w:t xml:space="preserve"> </w:t>
      </w:r>
      <w:proofErr w:type="spellStart"/>
      <w:r w:rsidRPr="000657C2">
        <w:rPr>
          <w:bCs/>
          <w:i/>
          <w:lang w:val="es-ES"/>
        </w:rPr>
        <w:t>sudanse</w:t>
      </w:r>
      <w:proofErr w:type="spellEnd"/>
      <w:r w:rsidRPr="000657C2">
        <w:rPr>
          <w:lang w:val="es-ES"/>
        </w:rPr>
        <w:t>): 1</w:t>
      </w:r>
    </w:p>
    <w:p w:rsidR="000C1305" w:rsidRPr="000657C2" w:rsidRDefault="000C1305" w:rsidP="000C1305">
      <w:pPr>
        <w:ind w:left="567"/>
        <w:rPr>
          <w:lang w:val="es-ES"/>
        </w:rPr>
      </w:pPr>
      <w:r w:rsidRPr="000657C2">
        <w:rPr>
          <w:lang w:val="es-ES"/>
        </w:rPr>
        <w:t>Soja (</w:t>
      </w:r>
      <w:proofErr w:type="spellStart"/>
      <w:r w:rsidRPr="000657C2">
        <w:rPr>
          <w:bCs/>
          <w:i/>
          <w:lang w:val="es-ES"/>
        </w:rPr>
        <w:t>Glycine</w:t>
      </w:r>
      <w:proofErr w:type="spellEnd"/>
      <w:r w:rsidRPr="000657C2">
        <w:rPr>
          <w:bCs/>
          <w:i/>
          <w:lang w:val="es-ES"/>
        </w:rPr>
        <w:t xml:space="preserve"> </w:t>
      </w:r>
      <w:proofErr w:type="spellStart"/>
      <w:r w:rsidRPr="000657C2">
        <w:rPr>
          <w:bCs/>
          <w:i/>
          <w:lang w:val="es-ES"/>
        </w:rPr>
        <w:t>max</w:t>
      </w:r>
      <w:proofErr w:type="spellEnd"/>
      <w:r w:rsidRPr="000657C2">
        <w:rPr>
          <w:bCs/>
          <w:i/>
          <w:lang w:val="es-ES"/>
        </w:rPr>
        <w:t xml:space="preserve">. </w:t>
      </w:r>
      <w:r w:rsidRPr="000657C2">
        <w:rPr>
          <w:bCs/>
          <w:lang w:val="es-ES"/>
        </w:rPr>
        <w:t>(L.) Merrill</w:t>
      </w:r>
      <w:r w:rsidRPr="000657C2">
        <w:rPr>
          <w:lang w:val="es-ES"/>
        </w:rPr>
        <w:t>): 3</w:t>
      </w:r>
    </w:p>
    <w:p w:rsidR="000C1305" w:rsidRPr="000657C2" w:rsidRDefault="000C1305" w:rsidP="000C1305">
      <w:pPr>
        <w:ind w:left="567"/>
        <w:rPr>
          <w:lang w:val="es-ES"/>
        </w:rPr>
      </w:pPr>
      <w:r w:rsidRPr="000657C2">
        <w:rPr>
          <w:lang w:val="es-ES"/>
        </w:rPr>
        <w:t>Cerezo dulce (</w:t>
      </w:r>
      <w:proofErr w:type="spellStart"/>
      <w:r w:rsidRPr="000657C2">
        <w:rPr>
          <w:bCs/>
          <w:i/>
          <w:lang w:val="es-ES"/>
        </w:rPr>
        <w:t>Prunus</w:t>
      </w:r>
      <w:proofErr w:type="spellEnd"/>
      <w:r w:rsidRPr="000657C2">
        <w:rPr>
          <w:bCs/>
          <w:i/>
          <w:lang w:val="es-ES"/>
        </w:rPr>
        <w:t xml:space="preserve"> </w:t>
      </w:r>
      <w:proofErr w:type="spellStart"/>
      <w:r w:rsidRPr="000657C2">
        <w:rPr>
          <w:bCs/>
          <w:i/>
          <w:lang w:val="es-ES"/>
        </w:rPr>
        <w:t>avium</w:t>
      </w:r>
      <w:proofErr w:type="spellEnd"/>
      <w:r w:rsidRPr="000657C2">
        <w:rPr>
          <w:bCs/>
          <w:i/>
          <w:lang w:val="es-ES"/>
        </w:rPr>
        <w:t xml:space="preserve"> </w:t>
      </w:r>
      <w:r w:rsidRPr="000657C2">
        <w:rPr>
          <w:bCs/>
          <w:lang w:val="es-ES"/>
        </w:rPr>
        <w:t>L</w:t>
      </w:r>
      <w:r w:rsidRPr="000657C2">
        <w:rPr>
          <w:bCs/>
          <w:i/>
          <w:lang w:val="es-ES"/>
        </w:rPr>
        <w:t>.</w:t>
      </w:r>
      <w:r w:rsidRPr="000657C2">
        <w:rPr>
          <w:lang w:val="es-ES"/>
        </w:rPr>
        <w:t>): 2</w:t>
      </w:r>
    </w:p>
    <w:p w:rsidR="000C1305" w:rsidRPr="002D5CD7" w:rsidRDefault="000C1305" w:rsidP="000C1305">
      <w:pPr>
        <w:ind w:left="567"/>
      </w:pPr>
      <w:r w:rsidRPr="000657C2">
        <w:rPr>
          <w:lang w:val="es-ES"/>
        </w:rPr>
        <w:t>Sorgo bicolor (</w:t>
      </w:r>
      <w:proofErr w:type="spellStart"/>
      <w:r w:rsidRPr="000657C2">
        <w:rPr>
          <w:bCs/>
          <w:i/>
          <w:lang w:val="es-ES"/>
        </w:rPr>
        <w:t>Sorghum</w:t>
      </w:r>
      <w:proofErr w:type="spellEnd"/>
      <w:r w:rsidRPr="000657C2">
        <w:rPr>
          <w:bCs/>
          <w:i/>
          <w:lang w:val="es-ES"/>
        </w:rPr>
        <w:t xml:space="preserve"> bicolor</w:t>
      </w:r>
      <w:r w:rsidRPr="000657C2">
        <w:rPr>
          <w:lang w:val="es-ES"/>
        </w:rPr>
        <w:t xml:space="preserve"> </w:t>
      </w:r>
      <w:r w:rsidRPr="000657C2">
        <w:rPr>
          <w:bCs/>
          <w:lang w:val="es-ES"/>
        </w:rPr>
        <w:t xml:space="preserve">(L.) </w:t>
      </w:r>
      <w:proofErr w:type="spellStart"/>
      <w:r w:rsidRPr="002D5CD7">
        <w:rPr>
          <w:bCs/>
        </w:rPr>
        <w:t>Moench</w:t>
      </w:r>
      <w:proofErr w:type="spellEnd"/>
      <w:r w:rsidRPr="002D5CD7">
        <w:rPr>
          <w:bCs/>
        </w:rPr>
        <w:t xml:space="preserve"> </w:t>
      </w:r>
      <w:proofErr w:type="spellStart"/>
      <w:r w:rsidRPr="002D5CD7">
        <w:rPr>
          <w:bCs/>
        </w:rPr>
        <w:t>var</w:t>
      </w:r>
      <w:proofErr w:type="spellEnd"/>
      <w:r w:rsidRPr="002D5CD7">
        <w:rPr>
          <w:bCs/>
        </w:rPr>
        <w:t>.</w:t>
      </w:r>
      <w:r w:rsidRPr="002D5CD7">
        <w:t xml:space="preserve"> </w:t>
      </w:r>
      <w:proofErr w:type="spellStart"/>
      <w:r w:rsidRPr="002D5CD7">
        <w:rPr>
          <w:bCs/>
          <w:i/>
        </w:rPr>
        <w:t>saccharatum</w:t>
      </w:r>
      <w:proofErr w:type="spellEnd"/>
      <w:r w:rsidRPr="002D5CD7">
        <w:t xml:space="preserve"> </w:t>
      </w:r>
      <w:r w:rsidRPr="002D5CD7">
        <w:rPr>
          <w:bCs/>
        </w:rPr>
        <w:t>(L.)</w:t>
      </w:r>
      <w:r w:rsidRPr="002D5CD7">
        <w:t>): 2</w:t>
      </w:r>
    </w:p>
    <w:p w:rsidR="000C1305" w:rsidRPr="002D5CD7" w:rsidRDefault="000C1305" w:rsidP="000C1305">
      <w:pPr>
        <w:ind w:left="567"/>
      </w:pPr>
      <w:r w:rsidRPr="002D5CD7">
        <w:lastRenderedPageBreak/>
        <w:t>Tomate (</w:t>
      </w:r>
      <w:proofErr w:type="spellStart"/>
      <w:r w:rsidRPr="002D5CD7">
        <w:rPr>
          <w:i/>
        </w:rPr>
        <w:t>Solanum</w:t>
      </w:r>
      <w:proofErr w:type="spellEnd"/>
      <w:r w:rsidRPr="002D5CD7">
        <w:rPr>
          <w:i/>
        </w:rPr>
        <w:t xml:space="preserve"> </w:t>
      </w:r>
      <w:proofErr w:type="spellStart"/>
      <w:r w:rsidRPr="002D5CD7">
        <w:rPr>
          <w:i/>
        </w:rPr>
        <w:t>lycopersicum</w:t>
      </w:r>
      <w:proofErr w:type="spellEnd"/>
      <w:r w:rsidRPr="002D5CD7">
        <w:rPr>
          <w:i/>
        </w:rPr>
        <w:t xml:space="preserve"> </w:t>
      </w:r>
      <w:r w:rsidRPr="002D5CD7">
        <w:t>L): 1</w:t>
      </w:r>
    </w:p>
    <w:p w:rsidR="000C1305" w:rsidRPr="002D5CD7" w:rsidRDefault="000C1305" w:rsidP="000C1305">
      <w:pPr>
        <w:ind w:left="567"/>
      </w:pPr>
      <w:r w:rsidRPr="002D5CD7">
        <w:t>Topinambur (</w:t>
      </w:r>
      <w:proofErr w:type="spellStart"/>
      <w:r w:rsidRPr="002D5CD7">
        <w:rPr>
          <w:bCs/>
          <w:i/>
        </w:rPr>
        <w:t>Helianthus</w:t>
      </w:r>
      <w:proofErr w:type="spellEnd"/>
      <w:r w:rsidRPr="002D5CD7">
        <w:rPr>
          <w:bCs/>
          <w:i/>
        </w:rPr>
        <w:t xml:space="preserve"> </w:t>
      </w:r>
      <w:proofErr w:type="spellStart"/>
      <w:r w:rsidRPr="002D5CD7">
        <w:rPr>
          <w:bCs/>
          <w:i/>
        </w:rPr>
        <w:t>tuberosus</w:t>
      </w:r>
      <w:proofErr w:type="spellEnd"/>
      <w:r w:rsidRPr="002D5CD7">
        <w:rPr>
          <w:bCs/>
          <w:i/>
        </w:rPr>
        <w:t xml:space="preserve"> </w:t>
      </w:r>
      <w:r w:rsidRPr="002D5CD7">
        <w:rPr>
          <w:bCs/>
        </w:rPr>
        <w:t>L.</w:t>
      </w:r>
      <w:r w:rsidRPr="002D5CD7">
        <w:t>): 1</w:t>
      </w:r>
    </w:p>
    <w:p w:rsidR="000C1305" w:rsidRPr="002D5CD7" w:rsidRDefault="000C1305" w:rsidP="000C1305">
      <w:pPr>
        <w:ind w:left="567"/>
      </w:pPr>
      <w:proofErr w:type="spellStart"/>
      <w:r w:rsidRPr="002D5CD7">
        <w:t>Triticale</w:t>
      </w:r>
      <w:proofErr w:type="spellEnd"/>
      <w:r w:rsidRPr="002D5CD7">
        <w:t xml:space="preserve"> (</w:t>
      </w:r>
      <w:proofErr w:type="spellStart"/>
      <w:r w:rsidRPr="002D5CD7">
        <w:rPr>
          <w:bCs/>
          <w:i/>
        </w:rPr>
        <w:t>Triticosecale</w:t>
      </w:r>
      <w:proofErr w:type="spellEnd"/>
      <w:r w:rsidRPr="002D5CD7">
        <w:rPr>
          <w:bCs/>
          <w:i/>
        </w:rPr>
        <w:t xml:space="preserve"> </w:t>
      </w:r>
      <w:r w:rsidRPr="002D5CD7">
        <w:rPr>
          <w:bCs/>
        </w:rPr>
        <w:t>Witt</w:t>
      </w:r>
      <w:r w:rsidRPr="002D5CD7">
        <w:t>): 1</w:t>
      </w:r>
    </w:p>
    <w:p w:rsidR="000C1305" w:rsidRPr="000657C2" w:rsidRDefault="000C1305" w:rsidP="000C1305">
      <w:pPr>
        <w:ind w:left="567"/>
        <w:rPr>
          <w:rFonts w:eastAsia="Calibri"/>
          <w:bCs/>
          <w:i/>
          <w:iCs/>
          <w:lang w:val="es-ES"/>
        </w:rPr>
      </w:pPr>
      <w:r w:rsidRPr="000657C2">
        <w:rPr>
          <w:lang w:val="es-ES"/>
        </w:rPr>
        <w:t>Trigo (</w:t>
      </w:r>
      <w:proofErr w:type="spellStart"/>
      <w:r w:rsidRPr="000657C2">
        <w:rPr>
          <w:i/>
          <w:lang w:val="es-ES"/>
        </w:rPr>
        <w:t>Triticum</w:t>
      </w:r>
      <w:proofErr w:type="spellEnd"/>
      <w:r w:rsidRPr="000657C2">
        <w:rPr>
          <w:i/>
          <w:lang w:val="es-ES"/>
        </w:rPr>
        <w:t xml:space="preserve"> </w:t>
      </w:r>
      <w:proofErr w:type="spellStart"/>
      <w:r w:rsidRPr="000657C2">
        <w:rPr>
          <w:i/>
          <w:lang w:val="es-ES"/>
        </w:rPr>
        <w:t>aestivum</w:t>
      </w:r>
      <w:proofErr w:type="spellEnd"/>
      <w:r w:rsidRPr="000657C2">
        <w:rPr>
          <w:i/>
          <w:lang w:val="es-ES"/>
        </w:rPr>
        <w:t xml:space="preserve"> </w:t>
      </w:r>
      <w:r w:rsidRPr="000657C2">
        <w:rPr>
          <w:lang w:val="es-ES"/>
        </w:rPr>
        <w:t>L.): 4</w:t>
      </w:r>
    </w:p>
    <w:p w:rsidR="000C1305" w:rsidRPr="000657C2" w:rsidRDefault="000C1305" w:rsidP="000C1305">
      <w:pPr>
        <w:rPr>
          <w:lang w:val="es-ES"/>
        </w:rPr>
      </w:pPr>
    </w:p>
    <w:p w:rsidR="000C1305" w:rsidRPr="000657C2" w:rsidRDefault="000C1305" w:rsidP="000C1305">
      <w:pPr>
        <w:numPr>
          <w:ilvl w:val="0"/>
          <w:numId w:val="9"/>
        </w:numPr>
        <w:ind w:left="567" w:hanging="283"/>
        <w:rPr>
          <w:lang w:val="es-ES"/>
        </w:rPr>
      </w:pPr>
      <w:r>
        <w:rPr>
          <w:lang w:val="es-ES"/>
        </w:rPr>
        <w:t>S</w:t>
      </w:r>
      <w:r w:rsidRPr="000657C2">
        <w:rPr>
          <w:lang w:val="es-ES"/>
        </w:rPr>
        <w:t>e concedieron títulos a las siguientes 43 obtenciones vegetales (37 de solicitantes nacionales y 6 de solicitantes de otros países):</w:t>
      </w:r>
    </w:p>
    <w:p w:rsidR="000C1305" w:rsidRPr="000657C2" w:rsidRDefault="000C1305" w:rsidP="000C1305">
      <w:pPr>
        <w:ind w:left="567"/>
        <w:rPr>
          <w:lang w:val="es-ES"/>
        </w:rPr>
      </w:pPr>
    </w:p>
    <w:p w:rsidR="000C1305" w:rsidRPr="000657C2" w:rsidRDefault="000C1305" w:rsidP="000C1305">
      <w:pPr>
        <w:ind w:left="567"/>
        <w:rPr>
          <w:lang w:val="es-ES"/>
        </w:rPr>
      </w:pPr>
      <w:r w:rsidRPr="000657C2">
        <w:rPr>
          <w:lang w:val="es-ES"/>
        </w:rPr>
        <w:t>Albaricoque (</w:t>
      </w:r>
      <w:proofErr w:type="spellStart"/>
      <w:r w:rsidRPr="000657C2">
        <w:rPr>
          <w:i/>
          <w:iCs/>
          <w:lang w:val="es-ES"/>
        </w:rPr>
        <w:t>Prunus</w:t>
      </w:r>
      <w:proofErr w:type="spellEnd"/>
      <w:r w:rsidRPr="000657C2">
        <w:rPr>
          <w:i/>
          <w:iCs/>
          <w:lang w:val="es-ES"/>
        </w:rPr>
        <w:t xml:space="preserve"> </w:t>
      </w:r>
      <w:proofErr w:type="spellStart"/>
      <w:r w:rsidRPr="000657C2">
        <w:rPr>
          <w:i/>
          <w:iCs/>
          <w:lang w:val="es-ES"/>
        </w:rPr>
        <w:t>armeniaca</w:t>
      </w:r>
      <w:proofErr w:type="spellEnd"/>
      <w:r w:rsidRPr="000657C2">
        <w:rPr>
          <w:lang w:val="es-ES"/>
        </w:rPr>
        <w:t xml:space="preserve"> L.):1</w:t>
      </w:r>
    </w:p>
    <w:p w:rsidR="000C1305" w:rsidRPr="000657C2" w:rsidRDefault="000C1305" w:rsidP="000C1305">
      <w:pPr>
        <w:ind w:left="567"/>
        <w:rPr>
          <w:iCs/>
          <w:lang w:val="es-ES"/>
        </w:rPr>
      </w:pPr>
      <w:r w:rsidRPr="000657C2">
        <w:rPr>
          <w:iCs/>
          <w:lang w:val="es-ES"/>
        </w:rPr>
        <w:t>Cebada (</w:t>
      </w:r>
      <w:proofErr w:type="spellStart"/>
      <w:r w:rsidRPr="000657C2">
        <w:rPr>
          <w:i/>
          <w:iCs/>
          <w:lang w:val="es-ES"/>
        </w:rPr>
        <w:t>Hordeum</w:t>
      </w:r>
      <w:proofErr w:type="spellEnd"/>
      <w:r w:rsidRPr="000657C2">
        <w:rPr>
          <w:i/>
          <w:iCs/>
          <w:lang w:val="es-ES"/>
        </w:rPr>
        <w:t xml:space="preserve"> </w:t>
      </w:r>
      <w:proofErr w:type="spellStart"/>
      <w:r w:rsidRPr="000657C2">
        <w:rPr>
          <w:i/>
          <w:iCs/>
          <w:lang w:val="es-ES"/>
        </w:rPr>
        <w:t>vulgare</w:t>
      </w:r>
      <w:proofErr w:type="spellEnd"/>
      <w:r w:rsidRPr="000657C2">
        <w:rPr>
          <w:i/>
          <w:iCs/>
          <w:lang w:val="es-ES"/>
        </w:rPr>
        <w:t xml:space="preserve"> </w:t>
      </w:r>
      <w:r w:rsidRPr="000657C2">
        <w:rPr>
          <w:lang w:val="es-ES"/>
        </w:rPr>
        <w:t>L.</w:t>
      </w:r>
      <w:r w:rsidRPr="000657C2">
        <w:rPr>
          <w:iCs/>
          <w:lang w:val="es-ES"/>
        </w:rPr>
        <w:t>): 1</w:t>
      </w:r>
    </w:p>
    <w:p w:rsidR="000C1305" w:rsidRPr="000657C2" w:rsidRDefault="000C1305" w:rsidP="000C1305">
      <w:pPr>
        <w:ind w:left="567"/>
        <w:rPr>
          <w:iCs/>
          <w:lang w:val="es-ES"/>
        </w:rPr>
      </w:pPr>
      <w:r w:rsidRPr="000657C2">
        <w:rPr>
          <w:iCs/>
          <w:lang w:val="es-ES"/>
        </w:rPr>
        <w:t>Avellano común (</w:t>
      </w:r>
      <w:proofErr w:type="spellStart"/>
      <w:r w:rsidRPr="000657C2">
        <w:rPr>
          <w:i/>
          <w:iCs/>
          <w:lang w:val="es-ES"/>
        </w:rPr>
        <w:t>Corylus</w:t>
      </w:r>
      <w:proofErr w:type="spellEnd"/>
      <w:r w:rsidRPr="000657C2">
        <w:rPr>
          <w:i/>
          <w:iCs/>
          <w:lang w:val="es-ES"/>
        </w:rPr>
        <w:t xml:space="preserve"> avellana </w:t>
      </w:r>
      <w:r w:rsidRPr="000657C2">
        <w:rPr>
          <w:lang w:val="es-ES"/>
        </w:rPr>
        <w:t>L.</w:t>
      </w:r>
      <w:r w:rsidRPr="000657C2">
        <w:rPr>
          <w:iCs/>
          <w:lang w:val="es-ES"/>
        </w:rPr>
        <w:t>): 1</w:t>
      </w:r>
    </w:p>
    <w:p w:rsidR="000C1305" w:rsidRPr="000657C2" w:rsidRDefault="000C1305" w:rsidP="000C1305">
      <w:pPr>
        <w:ind w:left="567"/>
        <w:rPr>
          <w:iCs/>
          <w:lang w:val="es-ES"/>
        </w:rPr>
      </w:pPr>
      <w:r w:rsidRPr="000657C2">
        <w:rPr>
          <w:iCs/>
          <w:lang w:val="es-ES"/>
        </w:rPr>
        <w:t>Trigo duro (</w:t>
      </w:r>
      <w:proofErr w:type="spellStart"/>
      <w:r w:rsidRPr="000657C2">
        <w:rPr>
          <w:i/>
          <w:iCs/>
          <w:lang w:val="es-ES"/>
        </w:rPr>
        <w:t>Triticum</w:t>
      </w:r>
      <w:proofErr w:type="spellEnd"/>
      <w:r w:rsidRPr="000657C2">
        <w:rPr>
          <w:i/>
          <w:iCs/>
          <w:lang w:val="es-ES"/>
        </w:rPr>
        <w:t xml:space="preserve"> </w:t>
      </w:r>
      <w:proofErr w:type="spellStart"/>
      <w:r w:rsidRPr="000657C2">
        <w:rPr>
          <w:i/>
          <w:iCs/>
          <w:lang w:val="es-ES"/>
        </w:rPr>
        <w:t>durum</w:t>
      </w:r>
      <w:proofErr w:type="spellEnd"/>
      <w:r w:rsidRPr="000657C2">
        <w:rPr>
          <w:i/>
          <w:iCs/>
          <w:lang w:val="es-ES"/>
        </w:rPr>
        <w:t xml:space="preserve"> </w:t>
      </w:r>
      <w:proofErr w:type="spellStart"/>
      <w:r w:rsidRPr="000657C2">
        <w:rPr>
          <w:lang w:val="es-ES"/>
        </w:rPr>
        <w:t>Desf</w:t>
      </w:r>
      <w:proofErr w:type="spellEnd"/>
      <w:r w:rsidRPr="000657C2">
        <w:rPr>
          <w:lang w:val="es-ES"/>
        </w:rPr>
        <w:t>.</w:t>
      </w:r>
      <w:r w:rsidRPr="000657C2">
        <w:rPr>
          <w:iCs/>
          <w:lang w:val="es-ES"/>
        </w:rPr>
        <w:t>): 1</w:t>
      </w:r>
    </w:p>
    <w:p w:rsidR="000C1305" w:rsidRPr="000657C2" w:rsidRDefault="000C1305" w:rsidP="000C1305">
      <w:pPr>
        <w:ind w:left="567"/>
        <w:rPr>
          <w:lang w:val="es-ES"/>
        </w:rPr>
      </w:pPr>
      <w:r w:rsidRPr="000657C2">
        <w:rPr>
          <w:lang w:val="es-ES"/>
        </w:rPr>
        <w:t>Ciruelo europeo (</w:t>
      </w:r>
      <w:proofErr w:type="spellStart"/>
      <w:r w:rsidRPr="000657C2">
        <w:rPr>
          <w:i/>
          <w:iCs/>
          <w:lang w:val="es-ES"/>
        </w:rPr>
        <w:t>Prunus</w:t>
      </w:r>
      <w:proofErr w:type="spellEnd"/>
      <w:r w:rsidRPr="000657C2">
        <w:rPr>
          <w:i/>
          <w:iCs/>
          <w:lang w:val="es-ES"/>
        </w:rPr>
        <w:t xml:space="preserve"> domestica </w:t>
      </w:r>
      <w:r w:rsidRPr="000657C2">
        <w:rPr>
          <w:lang w:val="es-ES"/>
        </w:rPr>
        <w:t>L.): 2</w:t>
      </w:r>
    </w:p>
    <w:p w:rsidR="000C1305" w:rsidRPr="000657C2" w:rsidRDefault="000C1305" w:rsidP="000C1305">
      <w:pPr>
        <w:ind w:left="567"/>
        <w:rPr>
          <w:lang w:val="es-ES"/>
        </w:rPr>
      </w:pPr>
      <w:r w:rsidRPr="002D5CD7">
        <w:rPr>
          <w:i/>
          <w:lang w:val="fr-FR"/>
        </w:rPr>
        <w:t>Miscanthus</w:t>
      </w:r>
      <w:r w:rsidRPr="002D5CD7">
        <w:rPr>
          <w:lang w:val="fr-FR"/>
        </w:rPr>
        <w:t xml:space="preserve"> </w:t>
      </w:r>
      <w:proofErr w:type="spellStart"/>
      <w:r w:rsidRPr="002D5CD7">
        <w:rPr>
          <w:lang w:val="fr-FR"/>
        </w:rPr>
        <w:t>gigante</w:t>
      </w:r>
      <w:proofErr w:type="spellEnd"/>
      <w:r w:rsidRPr="002D5CD7">
        <w:rPr>
          <w:lang w:val="fr-FR"/>
        </w:rPr>
        <w:t xml:space="preserve"> (</w:t>
      </w:r>
      <w:proofErr w:type="spellStart"/>
      <w:r w:rsidRPr="002D5CD7">
        <w:rPr>
          <w:i/>
          <w:iCs/>
          <w:lang w:val="fr-FR"/>
        </w:rPr>
        <w:t>Miscanthus×giganteus</w:t>
      </w:r>
      <w:proofErr w:type="spellEnd"/>
      <w:r w:rsidRPr="002D5CD7">
        <w:rPr>
          <w:i/>
          <w:iCs/>
          <w:lang w:val="fr-FR"/>
        </w:rPr>
        <w:t xml:space="preserve"> J</w:t>
      </w:r>
      <w:r w:rsidRPr="002D5CD7">
        <w:rPr>
          <w:lang w:val="fr-FR"/>
        </w:rPr>
        <w:t xml:space="preserve">. M. </w:t>
      </w:r>
      <w:proofErr w:type="spellStart"/>
      <w:r w:rsidRPr="002D5CD7">
        <w:rPr>
          <w:lang w:val="fr-FR"/>
        </w:rPr>
        <w:t>Greef</w:t>
      </w:r>
      <w:proofErr w:type="spellEnd"/>
      <w:r w:rsidRPr="002D5CD7">
        <w:rPr>
          <w:lang w:val="fr-FR"/>
        </w:rPr>
        <w:t xml:space="preserve"> &amp; </w:t>
      </w:r>
      <w:proofErr w:type="spellStart"/>
      <w:r w:rsidRPr="002D5CD7">
        <w:rPr>
          <w:lang w:val="fr-FR"/>
        </w:rPr>
        <w:t>Deuter</w:t>
      </w:r>
      <w:proofErr w:type="spellEnd"/>
      <w:r w:rsidRPr="002D5CD7">
        <w:rPr>
          <w:lang w:val="fr-FR"/>
        </w:rPr>
        <w:t xml:space="preserve"> ex </w:t>
      </w:r>
      <w:proofErr w:type="spellStart"/>
      <w:r w:rsidRPr="002D5CD7">
        <w:rPr>
          <w:lang w:val="fr-FR"/>
        </w:rPr>
        <w:t>Hodk</w:t>
      </w:r>
      <w:proofErr w:type="spellEnd"/>
      <w:r w:rsidRPr="002D5CD7">
        <w:rPr>
          <w:lang w:val="fr-FR"/>
        </w:rPr>
        <w:t xml:space="preserve">. </w:t>
      </w:r>
      <w:r w:rsidRPr="000657C2">
        <w:rPr>
          <w:lang w:val="es-ES"/>
        </w:rPr>
        <w:t xml:space="preserve">&amp; </w:t>
      </w:r>
      <w:proofErr w:type="spellStart"/>
      <w:r w:rsidRPr="000657C2">
        <w:rPr>
          <w:lang w:val="es-ES"/>
        </w:rPr>
        <w:t>Renvoize</w:t>
      </w:r>
      <w:proofErr w:type="spellEnd"/>
      <w:r w:rsidRPr="000657C2">
        <w:rPr>
          <w:lang w:val="es-ES"/>
        </w:rPr>
        <w:t>): 1</w:t>
      </w:r>
    </w:p>
    <w:p w:rsidR="000C1305" w:rsidRPr="000657C2" w:rsidRDefault="000C1305" w:rsidP="000C1305">
      <w:pPr>
        <w:ind w:left="567"/>
        <w:rPr>
          <w:lang w:val="es-ES"/>
        </w:rPr>
      </w:pPr>
      <w:r w:rsidRPr="000657C2">
        <w:rPr>
          <w:lang w:val="es-ES"/>
        </w:rPr>
        <w:t>Vid (</w:t>
      </w:r>
      <w:proofErr w:type="spellStart"/>
      <w:r w:rsidRPr="000657C2">
        <w:rPr>
          <w:i/>
          <w:iCs/>
          <w:lang w:val="es-ES"/>
        </w:rPr>
        <w:t>Vitis</w:t>
      </w:r>
      <w:proofErr w:type="spellEnd"/>
      <w:r w:rsidRPr="000657C2">
        <w:rPr>
          <w:i/>
          <w:iCs/>
          <w:lang w:val="es-ES"/>
        </w:rPr>
        <w:t xml:space="preserve"> </w:t>
      </w:r>
      <w:proofErr w:type="spellStart"/>
      <w:r w:rsidRPr="000657C2">
        <w:rPr>
          <w:i/>
          <w:iCs/>
          <w:lang w:val="es-ES"/>
        </w:rPr>
        <w:t>vinifera</w:t>
      </w:r>
      <w:proofErr w:type="spellEnd"/>
      <w:r w:rsidRPr="000657C2">
        <w:rPr>
          <w:i/>
          <w:iCs/>
          <w:lang w:val="es-ES"/>
        </w:rPr>
        <w:t xml:space="preserve"> </w:t>
      </w:r>
      <w:r w:rsidRPr="000657C2">
        <w:rPr>
          <w:lang w:val="es-ES"/>
        </w:rPr>
        <w:t>L.): 4</w:t>
      </w:r>
    </w:p>
    <w:p w:rsidR="000C1305" w:rsidRPr="000657C2" w:rsidRDefault="000C1305" w:rsidP="000C1305">
      <w:pPr>
        <w:ind w:left="567"/>
        <w:rPr>
          <w:iCs/>
          <w:lang w:val="es-ES"/>
        </w:rPr>
      </w:pPr>
      <w:r w:rsidRPr="000657C2">
        <w:rPr>
          <w:iCs/>
          <w:lang w:val="es-ES"/>
        </w:rPr>
        <w:t>Menta de caballo (</w:t>
      </w:r>
      <w:proofErr w:type="spellStart"/>
      <w:r w:rsidRPr="000657C2">
        <w:rPr>
          <w:i/>
          <w:iCs/>
          <w:lang w:val="es-ES"/>
        </w:rPr>
        <w:t>Mentha</w:t>
      </w:r>
      <w:proofErr w:type="spellEnd"/>
      <w:r w:rsidRPr="000657C2">
        <w:rPr>
          <w:i/>
          <w:iCs/>
          <w:lang w:val="es-ES"/>
        </w:rPr>
        <w:t xml:space="preserve"> </w:t>
      </w:r>
      <w:proofErr w:type="spellStart"/>
      <w:r w:rsidRPr="000657C2">
        <w:rPr>
          <w:i/>
          <w:iCs/>
          <w:lang w:val="es-ES"/>
        </w:rPr>
        <w:t>longifolia</w:t>
      </w:r>
      <w:proofErr w:type="spellEnd"/>
      <w:r w:rsidRPr="000657C2">
        <w:rPr>
          <w:i/>
          <w:iCs/>
          <w:lang w:val="es-ES"/>
        </w:rPr>
        <w:t xml:space="preserve"> </w:t>
      </w:r>
      <w:r w:rsidRPr="000657C2">
        <w:rPr>
          <w:lang w:val="es-ES"/>
        </w:rPr>
        <w:t xml:space="preserve">L. </w:t>
      </w:r>
      <w:proofErr w:type="spellStart"/>
      <w:r w:rsidRPr="000657C2">
        <w:rPr>
          <w:lang w:val="es-ES"/>
        </w:rPr>
        <w:t>Huds</w:t>
      </w:r>
      <w:proofErr w:type="spellEnd"/>
      <w:r w:rsidRPr="000657C2">
        <w:rPr>
          <w:lang w:val="es-ES"/>
        </w:rPr>
        <w:t>.</w:t>
      </w:r>
      <w:r w:rsidRPr="000657C2">
        <w:rPr>
          <w:iCs/>
          <w:lang w:val="es-ES"/>
        </w:rPr>
        <w:t>): 1</w:t>
      </w:r>
    </w:p>
    <w:p w:rsidR="000C1305" w:rsidRPr="000657C2" w:rsidRDefault="000C1305" w:rsidP="000C1305">
      <w:pPr>
        <w:ind w:left="567"/>
        <w:rPr>
          <w:iCs/>
          <w:lang w:val="es-ES"/>
        </w:rPr>
      </w:pPr>
      <w:r w:rsidRPr="000657C2">
        <w:rPr>
          <w:iCs/>
          <w:lang w:val="es-ES"/>
        </w:rPr>
        <w:t>Maíz (</w:t>
      </w:r>
      <w:r w:rsidRPr="000657C2">
        <w:rPr>
          <w:i/>
          <w:iCs/>
          <w:lang w:val="es-ES"/>
        </w:rPr>
        <w:t xml:space="preserve">Zea </w:t>
      </w:r>
      <w:proofErr w:type="spellStart"/>
      <w:r w:rsidRPr="000657C2">
        <w:rPr>
          <w:i/>
          <w:iCs/>
          <w:lang w:val="es-ES"/>
        </w:rPr>
        <w:t>mays</w:t>
      </w:r>
      <w:proofErr w:type="spellEnd"/>
      <w:r w:rsidRPr="000657C2">
        <w:rPr>
          <w:i/>
          <w:iCs/>
          <w:lang w:val="es-ES"/>
        </w:rPr>
        <w:t xml:space="preserve"> </w:t>
      </w:r>
      <w:r w:rsidRPr="000657C2">
        <w:rPr>
          <w:lang w:val="es-ES"/>
        </w:rPr>
        <w:t>L.</w:t>
      </w:r>
      <w:r w:rsidRPr="000657C2">
        <w:rPr>
          <w:iCs/>
          <w:lang w:val="es-ES"/>
        </w:rPr>
        <w:t>): 6</w:t>
      </w:r>
    </w:p>
    <w:p w:rsidR="000C1305" w:rsidRPr="000657C2" w:rsidRDefault="000C1305" w:rsidP="000C1305">
      <w:pPr>
        <w:ind w:left="567"/>
        <w:rPr>
          <w:iCs/>
          <w:lang w:val="es-ES"/>
        </w:rPr>
      </w:pPr>
      <w:r w:rsidRPr="000657C2">
        <w:rPr>
          <w:lang w:val="es-ES"/>
        </w:rPr>
        <w:t>Cebolla (</w:t>
      </w:r>
      <w:proofErr w:type="spellStart"/>
      <w:r w:rsidRPr="000657C2">
        <w:rPr>
          <w:i/>
          <w:iCs/>
          <w:lang w:val="es-ES"/>
        </w:rPr>
        <w:t>Allium</w:t>
      </w:r>
      <w:proofErr w:type="spellEnd"/>
      <w:r w:rsidRPr="000657C2">
        <w:rPr>
          <w:i/>
          <w:iCs/>
          <w:lang w:val="es-ES"/>
        </w:rPr>
        <w:t xml:space="preserve"> cepa):</w:t>
      </w:r>
      <w:r w:rsidRPr="000657C2">
        <w:rPr>
          <w:iCs/>
          <w:lang w:val="es-ES"/>
        </w:rPr>
        <w:t xml:space="preserve"> 3</w:t>
      </w:r>
    </w:p>
    <w:p w:rsidR="000C1305" w:rsidRPr="002D5CD7" w:rsidRDefault="000C1305" w:rsidP="000C1305">
      <w:pPr>
        <w:ind w:left="567"/>
        <w:rPr>
          <w:iCs/>
          <w:lang w:val="fr-FR"/>
        </w:rPr>
      </w:pPr>
      <w:proofErr w:type="spellStart"/>
      <w:r w:rsidRPr="002D5CD7">
        <w:rPr>
          <w:iCs/>
          <w:lang w:val="fr-FR"/>
        </w:rPr>
        <w:t>Peral</w:t>
      </w:r>
      <w:proofErr w:type="spellEnd"/>
      <w:r w:rsidRPr="002D5CD7">
        <w:rPr>
          <w:iCs/>
          <w:lang w:val="fr-FR"/>
        </w:rPr>
        <w:t xml:space="preserve"> (</w:t>
      </w:r>
      <w:proofErr w:type="spellStart"/>
      <w:r w:rsidRPr="002D5CD7">
        <w:rPr>
          <w:i/>
          <w:iCs/>
          <w:lang w:val="fr-FR"/>
        </w:rPr>
        <w:t>Pyrus</w:t>
      </w:r>
      <w:proofErr w:type="spellEnd"/>
      <w:r w:rsidRPr="002D5CD7">
        <w:rPr>
          <w:i/>
          <w:iCs/>
          <w:lang w:val="fr-FR"/>
        </w:rPr>
        <w:t xml:space="preserve"> </w:t>
      </w:r>
      <w:proofErr w:type="spellStart"/>
      <w:r w:rsidRPr="002D5CD7">
        <w:rPr>
          <w:i/>
          <w:iCs/>
          <w:lang w:val="fr-FR"/>
        </w:rPr>
        <w:t>communis</w:t>
      </w:r>
      <w:proofErr w:type="spellEnd"/>
      <w:r w:rsidRPr="002D5CD7">
        <w:rPr>
          <w:i/>
          <w:iCs/>
          <w:lang w:val="fr-FR"/>
        </w:rPr>
        <w:t xml:space="preserve"> </w:t>
      </w:r>
      <w:r w:rsidRPr="002D5CD7">
        <w:rPr>
          <w:lang w:val="fr-FR"/>
        </w:rPr>
        <w:t>L.</w:t>
      </w:r>
      <w:r w:rsidRPr="002D5CD7">
        <w:rPr>
          <w:iCs/>
          <w:lang w:val="fr-FR"/>
        </w:rPr>
        <w:t>): 1</w:t>
      </w:r>
    </w:p>
    <w:p w:rsidR="000C1305" w:rsidRPr="002D5CD7" w:rsidRDefault="000C1305" w:rsidP="000C1305">
      <w:pPr>
        <w:ind w:left="567"/>
        <w:rPr>
          <w:lang w:val="fr-FR"/>
        </w:rPr>
      </w:pPr>
      <w:proofErr w:type="spellStart"/>
      <w:r w:rsidRPr="002D5CD7">
        <w:rPr>
          <w:lang w:val="fr-FR"/>
        </w:rPr>
        <w:t>Guisantes</w:t>
      </w:r>
      <w:proofErr w:type="spellEnd"/>
      <w:r w:rsidRPr="002D5CD7">
        <w:rPr>
          <w:lang w:val="fr-FR"/>
        </w:rPr>
        <w:t xml:space="preserve"> (</w:t>
      </w:r>
      <w:proofErr w:type="spellStart"/>
      <w:r w:rsidRPr="002D5CD7">
        <w:rPr>
          <w:i/>
          <w:iCs/>
          <w:lang w:val="fr-FR"/>
        </w:rPr>
        <w:t>Pisum</w:t>
      </w:r>
      <w:proofErr w:type="spellEnd"/>
      <w:r w:rsidRPr="002D5CD7">
        <w:rPr>
          <w:i/>
          <w:iCs/>
          <w:lang w:val="fr-FR"/>
        </w:rPr>
        <w:t xml:space="preserve"> </w:t>
      </w:r>
      <w:proofErr w:type="spellStart"/>
      <w:r w:rsidRPr="002D5CD7">
        <w:rPr>
          <w:i/>
          <w:iCs/>
          <w:lang w:val="fr-FR"/>
        </w:rPr>
        <w:t>sativum</w:t>
      </w:r>
      <w:proofErr w:type="spellEnd"/>
      <w:r w:rsidRPr="002D5CD7">
        <w:rPr>
          <w:lang w:val="fr-FR"/>
        </w:rPr>
        <w:t xml:space="preserve"> L. (</w:t>
      </w:r>
      <w:proofErr w:type="spellStart"/>
      <w:r w:rsidRPr="002D5CD7">
        <w:rPr>
          <w:lang w:val="fr-FR"/>
        </w:rPr>
        <w:t>partim</w:t>
      </w:r>
      <w:proofErr w:type="spellEnd"/>
      <w:r w:rsidRPr="002D5CD7">
        <w:rPr>
          <w:lang w:val="fr-FR"/>
        </w:rPr>
        <w:t>)): 1</w:t>
      </w:r>
    </w:p>
    <w:p w:rsidR="000C1305" w:rsidRPr="000657C2" w:rsidRDefault="000C1305" w:rsidP="000C1305">
      <w:pPr>
        <w:ind w:left="567"/>
        <w:rPr>
          <w:iCs/>
          <w:lang w:val="es-ES"/>
        </w:rPr>
      </w:pPr>
      <w:r w:rsidRPr="000657C2">
        <w:rPr>
          <w:iCs/>
          <w:lang w:val="es-ES"/>
        </w:rPr>
        <w:t>Menta (</w:t>
      </w:r>
      <w:proofErr w:type="spellStart"/>
      <w:r w:rsidRPr="000657C2">
        <w:rPr>
          <w:i/>
          <w:iCs/>
          <w:lang w:val="es-ES"/>
        </w:rPr>
        <w:t>Mentha</w:t>
      </w:r>
      <w:proofErr w:type="spellEnd"/>
      <w:r w:rsidRPr="000657C2">
        <w:rPr>
          <w:i/>
          <w:iCs/>
          <w:lang w:val="es-ES"/>
        </w:rPr>
        <w:t xml:space="preserve"> </w:t>
      </w:r>
      <w:proofErr w:type="spellStart"/>
      <w:r w:rsidRPr="000657C2">
        <w:rPr>
          <w:i/>
          <w:iCs/>
          <w:lang w:val="es-ES"/>
        </w:rPr>
        <w:t>piperita</w:t>
      </w:r>
      <w:proofErr w:type="spellEnd"/>
      <w:r w:rsidRPr="000657C2">
        <w:rPr>
          <w:i/>
          <w:iCs/>
          <w:lang w:val="es-ES"/>
        </w:rPr>
        <w:t xml:space="preserve"> </w:t>
      </w:r>
      <w:r w:rsidRPr="000657C2">
        <w:rPr>
          <w:lang w:val="es-ES"/>
        </w:rPr>
        <w:t>L.</w:t>
      </w:r>
      <w:r w:rsidRPr="000657C2">
        <w:rPr>
          <w:iCs/>
          <w:lang w:val="es-ES"/>
        </w:rPr>
        <w:t>): 1</w:t>
      </w:r>
    </w:p>
    <w:p w:rsidR="000C1305" w:rsidRPr="000657C2" w:rsidRDefault="000C1305" w:rsidP="000C1305">
      <w:pPr>
        <w:ind w:left="567"/>
        <w:rPr>
          <w:lang w:val="es-ES"/>
        </w:rPr>
      </w:pPr>
      <w:r w:rsidRPr="000657C2">
        <w:rPr>
          <w:lang w:val="es-ES"/>
        </w:rPr>
        <w:t>Salvia (</w:t>
      </w:r>
      <w:r w:rsidRPr="000657C2">
        <w:rPr>
          <w:i/>
          <w:iCs/>
          <w:lang w:val="es-ES"/>
        </w:rPr>
        <w:t xml:space="preserve">Salvia </w:t>
      </w:r>
      <w:proofErr w:type="spellStart"/>
      <w:r w:rsidRPr="000657C2">
        <w:rPr>
          <w:i/>
          <w:iCs/>
          <w:lang w:val="es-ES"/>
        </w:rPr>
        <w:t>sclarea</w:t>
      </w:r>
      <w:proofErr w:type="spellEnd"/>
      <w:r w:rsidRPr="000657C2">
        <w:rPr>
          <w:i/>
          <w:iCs/>
          <w:lang w:val="es-ES"/>
        </w:rPr>
        <w:t xml:space="preserve"> </w:t>
      </w:r>
      <w:r w:rsidRPr="000657C2">
        <w:rPr>
          <w:lang w:val="es-ES"/>
        </w:rPr>
        <w:t>L</w:t>
      </w:r>
      <w:r w:rsidRPr="000657C2">
        <w:rPr>
          <w:i/>
          <w:iCs/>
          <w:lang w:val="es-ES"/>
        </w:rPr>
        <w:t>.</w:t>
      </w:r>
      <w:r w:rsidRPr="000657C2">
        <w:rPr>
          <w:lang w:val="es-ES"/>
        </w:rPr>
        <w:t>): 1</w:t>
      </w:r>
    </w:p>
    <w:p w:rsidR="000C1305" w:rsidRPr="000657C2" w:rsidRDefault="000C1305" w:rsidP="000C1305">
      <w:pPr>
        <w:ind w:left="567"/>
        <w:rPr>
          <w:lang w:val="es-ES"/>
        </w:rPr>
      </w:pPr>
      <w:r w:rsidRPr="000657C2">
        <w:rPr>
          <w:lang w:val="es-ES"/>
        </w:rPr>
        <w:t>Sorgo negro forrajero (</w:t>
      </w:r>
      <w:proofErr w:type="spellStart"/>
      <w:r w:rsidRPr="000657C2">
        <w:rPr>
          <w:i/>
          <w:iCs/>
          <w:lang w:val="es-ES"/>
        </w:rPr>
        <w:t>Sorghum</w:t>
      </w:r>
      <w:proofErr w:type="spellEnd"/>
      <w:r w:rsidRPr="000657C2">
        <w:rPr>
          <w:i/>
          <w:iCs/>
          <w:lang w:val="es-ES"/>
        </w:rPr>
        <w:t xml:space="preserve"> </w:t>
      </w:r>
      <w:proofErr w:type="spellStart"/>
      <w:r w:rsidRPr="000657C2">
        <w:rPr>
          <w:i/>
          <w:iCs/>
          <w:lang w:val="es-ES"/>
        </w:rPr>
        <w:t>almum</w:t>
      </w:r>
      <w:proofErr w:type="spellEnd"/>
      <w:r w:rsidRPr="000657C2">
        <w:rPr>
          <w:i/>
          <w:iCs/>
          <w:lang w:val="es-ES"/>
        </w:rPr>
        <w:t xml:space="preserve"> </w:t>
      </w:r>
      <w:r w:rsidRPr="000657C2">
        <w:rPr>
          <w:lang w:val="es-ES"/>
        </w:rPr>
        <w:t>Parodi): 1</w:t>
      </w:r>
    </w:p>
    <w:p w:rsidR="000C1305" w:rsidRPr="000657C2" w:rsidRDefault="000C1305" w:rsidP="000C1305">
      <w:pPr>
        <w:ind w:left="567"/>
        <w:rPr>
          <w:lang w:val="es-ES"/>
        </w:rPr>
      </w:pPr>
      <w:r w:rsidRPr="000657C2">
        <w:rPr>
          <w:lang w:val="es-ES"/>
        </w:rPr>
        <w:t>Cerezo ácido (</w:t>
      </w:r>
      <w:proofErr w:type="spellStart"/>
      <w:r w:rsidRPr="000657C2">
        <w:rPr>
          <w:i/>
          <w:iCs/>
          <w:lang w:val="es-ES"/>
        </w:rPr>
        <w:t>Prunus</w:t>
      </w:r>
      <w:proofErr w:type="spellEnd"/>
      <w:r w:rsidRPr="000657C2">
        <w:rPr>
          <w:i/>
          <w:iCs/>
          <w:lang w:val="es-ES"/>
        </w:rPr>
        <w:t xml:space="preserve"> </w:t>
      </w:r>
      <w:proofErr w:type="spellStart"/>
      <w:r w:rsidRPr="000657C2">
        <w:rPr>
          <w:i/>
          <w:iCs/>
          <w:lang w:val="es-ES"/>
        </w:rPr>
        <w:t>cerasus</w:t>
      </w:r>
      <w:proofErr w:type="spellEnd"/>
      <w:r w:rsidRPr="000657C2">
        <w:rPr>
          <w:i/>
          <w:iCs/>
          <w:lang w:val="es-ES"/>
        </w:rPr>
        <w:t xml:space="preserve"> </w:t>
      </w:r>
      <w:r w:rsidRPr="000657C2">
        <w:rPr>
          <w:lang w:val="es-ES"/>
        </w:rPr>
        <w:t>L.): 1</w:t>
      </w:r>
    </w:p>
    <w:p w:rsidR="000C1305" w:rsidRPr="000657C2" w:rsidRDefault="000C1305" w:rsidP="000C1305">
      <w:pPr>
        <w:ind w:left="567"/>
        <w:rPr>
          <w:iCs/>
          <w:lang w:val="es-ES"/>
        </w:rPr>
      </w:pPr>
      <w:r w:rsidRPr="000657C2">
        <w:rPr>
          <w:iCs/>
          <w:lang w:val="es-ES"/>
        </w:rPr>
        <w:t>Pimiento (</w:t>
      </w:r>
      <w:proofErr w:type="spellStart"/>
      <w:r w:rsidRPr="000657C2">
        <w:rPr>
          <w:i/>
          <w:iCs/>
          <w:lang w:val="es-ES"/>
        </w:rPr>
        <w:t>Capsicum</w:t>
      </w:r>
      <w:proofErr w:type="spellEnd"/>
      <w:r w:rsidRPr="000657C2">
        <w:rPr>
          <w:i/>
          <w:iCs/>
          <w:lang w:val="es-ES"/>
        </w:rPr>
        <w:t xml:space="preserve"> </w:t>
      </w:r>
      <w:proofErr w:type="spellStart"/>
      <w:r w:rsidRPr="000657C2">
        <w:rPr>
          <w:i/>
          <w:iCs/>
          <w:lang w:val="es-ES"/>
        </w:rPr>
        <w:t>annuum</w:t>
      </w:r>
      <w:proofErr w:type="spellEnd"/>
      <w:r w:rsidRPr="000657C2">
        <w:rPr>
          <w:i/>
          <w:iCs/>
          <w:lang w:val="es-ES"/>
        </w:rPr>
        <w:t xml:space="preserve"> </w:t>
      </w:r>
      <w:r w:rsidRPr="000657C2">
        <w:rPr>
          <w:lang w:val="es-ES"/>
        </w:rPr>
        <w:t>L.</w:t>
      </w:r>
      <w:r w:rsidRPr="000657C2">
        <w:rPr>
          <w:iCs/>
          <w:lang w:val="es-ES"/>
        </w:rPr>
        <w:t>)- 7</w:t>
      </w:r>
    </w:p>
    <w:p w:rsidR="000C1305" w:rsidRPr="000657C2" w:rsidRDefault="000C1305" w:rsidP="000C1305">
      <w:pPr>
        <w:ind w:left="567"/>
        <w:rPr>
          <w:lang w:val="es-ES"/>
        </w:rPr>
      </w:pPr>
      <w:r w:rsidRPr="000657C2">
        <w:rPr>
          <w:lang w:val="es-ES"/>
        </w:rPr>
        <w:t>Tomate (</w:t>
      </w:r>
      <w:proofErr w:type="spellStart"/>
      <w:r w:rsidRPr="000657C2">
        <w:rPr>
          <w:i/>
          <w:iCs/>
          <w:lang w:val="es-ES"/>
        </w:rPr>
        <w:t>Solanum</w:t>
      </w:r>
      <w:proofErr w:type="spellEnd"/>
      <w:r w:rsidRPr="000657C2">
        <w:rPr>
          <w:i/>
          <w:iCs/>
          <w:lang w:val="es-ES"/>
        </w:rPr>
        <w:t xml:space="preserve"> </w:t>
      </w:r>
      <w:proofErr w:type="spellStart"/>
      <w:r w:rsidRPr="000657C2">
        <w:rPr>
          <w:i/>
          <w:iCs/>
          <w:lang w:val="es-ES"/>
        </w:rPr>
        <w:t>lycopersicum</w:t>
      </w:r>
      <w:proofErr w:type="spellEnd"/>
      <w:r w:rsidRPr="000657C2">
        <w:rPr>
          <w:i/>
          <w:iCs/>
          <w:lang w:val="es-ES"/>
        </w:rPr>
        <w:t xml:space="preserve"> </w:t>
      </w:r>
      <w:r w:rsidRPr="000657C2">
        <w:rPr>
          <w:lang w:val="es-ES"/>
        </w:rPr>
        <w:t>L): 1</w:t>
      </w:r>
    </w:p>
    <w:p w:rsidR="000C1305" w:rsidRPr="000657C2" w:rsidRDefault="000C1305" w:rsidP="000C1305">
      <w:pPr>
        <w:ind w:left="567"/>
        <w:rPr>
          <w:lang w:val="es-ES"/>
        </w:rPr>
      </w:pPr>
      <w:r w:rsidRPr="000657C2">
        <w:rPr>
          <w:lang w:val="es-ES"/>
        </w:rPr>
        <w:t>Nogal (</w:t>
      </w:r>
      <w:proofErr w:type="spellStart"/>
      <w:r w:rsidRPr="000657C2">
        <w:rPr>
          <w:i/>
          <w:iCs/>
          <w:lang w:val="es-ES"/>
        </w:rPr>
        <w:t>Juglans</w:t>
      </w:r>
      <w:proofErr w:type="spellEnd"/>
      <w:r w:rsidRPr="000657C2">
        <w:rPr>
          <w:i/>
          <w:iCs/>
          <w:lang w:val="es-ES"/>
        </w:rPr>
        <w:t xml:space="preserve"> regia</w:t>
      </w:r>
      <w:r w:rsidRPr="000657C2">
        <w:rPr>
          <w:lang w:val="es-ES"/>
        </w:rPr>
        <w:t>): 4</w:t>
      </w:r>
    </w:p>
    <w:p w:rsidR="000C1305" w:rsidRPr="000657C2" w:rsidRDefault="000C1305" w:rsidP="000C1305">
      <w:pPr>
        <w:ind w:left="567"/>
        <w:rPr>
          <w:iCs/>
          <w:lang w:val="es-ES"/>
        </w:rPr>
      </w:pPr>
      <w:r w:rsidRPr="000657C2">
        <w:rPr>
          <w:iCs/>
          <w:lang w:val="es-ES"/>
        </w:rPr>
        <w:t>Trigo (</w:t>
      </w:r>
      <w:proofErr w:type="spellStart"/>
      <w:r w:rsidRPr="000657C2">
        <w:rPr>
          <w:i/>
          <w:iCs/>
          <w:lang w:val="es-ES"/>
        </w:rPr>
        <w:t>Triticum</w:t>
      </w:r>
      <w:proofErr w:type="spellEnd"/>
      <w:r w:rsidRPr="000657C2">
        <w:rPr>
          <w:i/>
          <w:iCs/>
          <w:lang w:val="es-ES"/>
        </w:rPr>
        <w:t xml:space="preserve"> </w:t>
      </w:r>
      <w:proofErr w:type="spellStart"/>
      <w:r w:rsidRPr="000657C2">
        <w:rPr>
          <w:i/>
          <w:iCs/>
          <w:lang w:val="es-ES"/>
        </w:rPr>
        <w:t>aestivum</w:t>
      </w:r>
      <w:proofErr w:type="spellEnd"/>
      <w:r w:rsidRPr="000657C2">
        <w:rPr>
          <w:i/>
          <w:iCs/>
          <w:lang w:val="es-ES"/>
        </w:rPr>
        <w:t xml:space="preserve"> </w:t>
      </w:r>
      <w:r w:rsidRPr="000657C2">
        <w:rPr>
          <w:lang w:val="es-ES"/>
        </w:rPr>
        <w:t>L.</w:t>
      </w:r>
      <w:r w:rsidRPr="000657C2">
        <w:rPr>
          <w:iCs/>
          <w:lang w:val="es-ES"/>
        </w:rPr>
        <w:t>): 4</w:t>
      </w:r>
    </w:p>
    <w:p w:rsidR="000C1305" w:rsidRPr="000657C2" w:rsidRDefault="000C1305" w:rsidP="000C1305">
      <w:pPr>
        <w:ind w:left="567"/>
        <w:rPr>
          <w:color w:val="000000"/>
          <w:lang w:val="es-ES"/>
        </w:rPr>
      </w:pPr>
    </w:p>
    <w:p w:rsidR="000C1305" w:rsidRPr="000657C2" w:rsidRDefault="000C1305" w:rsidP="000C1305">
      <w:pPr>
        <w:ind w:left="567"/>
        <w:rPr>
          <w:lang w:val="es-ES"/>
        </w:rPr>
      </w:pPr>
      <w:r w:rsidRPr="000657C2">
        <w:rPr>
          <w:lang w:val="es-ES"/>
        </w:rPr>
        <w:t>A 31 de diciembre de 2020, ha</w:t>
      </w:r>
      <w:r>
        <w:rPr>
          <w:lang w:val="es-ES"/>
        </w:rPr>
        <w:t>bía</w:t>
      </w:r>
      <w:r w:rsidRPr="000657C2">
        <w:rPr>
          <w:lang w:val="es-ES"/>
        </w:rPr>
        <w:t> 273 títulos de obtentor en vigor.</w:t>
      </w:r>
    </w:p>
    <w:p w:rsidR="000C1305" w:rsidRPr="000657C2" w:rsidRDefault="000C1305" w:rsidP="000C1305">
      <w:pPr>
        <w:rPr>
          <w:lang w:val="es-ES"/>
        </w:rPr>
      </w:pPr>
    </w:p>
    <w:p w:rsidR="000C1305" w:rsidRPr="000657C2" w:rsidRDefault="000C1305" w:rsidP="000C1305">
      <w:pPr>
        <w:rPr>
          <w:lang w:val="es-ES"/>
        </w:rPr>
      </w:pPr>
    </w:p>
    <w:p w:rsidR="000C1305" w:rsidRPr="000657C2" w:rsidRDefault="000C1305" w:rsidP="000C1305">
      <w:pPr>
        <w:rPr>
          <w:lang w:val="es-ES"/>
        </w:rPr>
      </w:pPr>
      <w:r w:rsidRPr="000657C2">
        <w:rPr>
          <w:lang w:val="es-ES"/>
        </w:rPr>
        <w:t>4.</w:t>
      </w:r>
      <w:r w:rsidRPr="000657C2">
        <w:rPr>
          <w:lang w:val="es-ES"/>
        </w:rPr>
        <w:tab/>
      </w:r>
      <w:r w:rsidRPr="000657C2">
        <w:rPr>
          <w:u w:val="single"/>
          <w:lang w:val="es-ES"/>
        </w:rPr>
        <w:t>Situación en el ámbito técnico</w:t>
      </w:r>
      <w:r w:rsidRPr="000657C2">
        <w:rPr>
          <w:lang w:val="es-ES"/>
        </w:rPr>
        <w:t>: No se han producido cambios.</w:t>
      </w:r>
    </w:p>
    <w:p w:rsidR="000C1305" w:rsidRPr="000657C2" w:rsidRDefault="000C1305" w:rsidP="000C1305">
      <w:pPr>
        <w:rPr>
          <w:lang w:val="es-ES"/>
        </w:rPr>
      </w:pPr>
    </w:p>
    <w:p w:rsidR="000C1305" w:rsidRPr="000657C2" w:rsidRDefault="000C1305" w:rsidP="000C1305">
      <w:pPr>
        <w:rPr>
          <w:lang w:val="es-ES"/>
        </w:rPr>
      </w:pPr>
    </w:p>
    <w:p w:rsidR="000C1305" w:rsidRPr="000657C2" w:rsidRDefault="000C1305" w:rsidP="000C1305">
      <w:pPr>
        <w:rPr>
          <w:u w:val="single"/>
          <w:lang w:val="es-ES"/>
        </w:rPr>
      </w:pPr>
      <w:r w:rsidRPr="000657C2">
        <w:rPr>
          <w:lang w:val="es-ES"/>
        </w:rPr>
        <w:t>5.</w:t>
      </w:r>
      <w:r w:rsidRPr="000657C2">
        <w:rPr>
          <w:lang w:val="es-ES"/>
        </w:rPr>
        <w:tab/>
      </w:r>
      <w:r w:rsidRPr="000657C2">
        <w:rPr>
          <w:u w:val="single"/>
          <w:lang w:val="es-ES"/>
        </w:rPr>
        <w:t>Actividades para la promoción de la protección de las obtenciones vegetales</w:t>
      </w:r>
    </w:p>
    <w:p w:rsidR="000C1305" w:rsidRPr="000657C2" w:rsidRDefault="000C1305" w:rsidP="000C1305">
      <w:pPr>
        <w:rPr>
          <w:sz w:val="25"/>
          <w:szCs w:val="25"/>
          <w:lang w:val="es-ES"/>
        </w:rPr>
      </w:pPr>
    </w:p>
    <w:p w:rsidR="000C1305" w:rsidRPr="000657C2" w:rsidRDefault="000C1305" w:rsidP="000C1305">
      <w:pPr>
        <w:rPr>
          <w:lang w:val="es-ES"/>
        </w:rPr>
      </w:pPr>
      <w:r w:rsidRPr="000657C2">
        <w:rPr>
          <w:lang w:val="es-ES"/>
        </w:rPr>
        <w:t xml:space="preserve">El AGEPI mantiene periódicamente el sitio web </w:t>
      </w:r>
      <w:hyperlink r:id="rId36" w:history="1">
        <w:r w:rsidRPr="000657C2">
          <w:rPr>
            <w:rStyle w:val="Hyperlink"/>
            <w:lang w:val="es-ES"/>
          </w:rPr>
          <w:t>www.agepi.gov.md</w:t>
        </w:r>
      </w:hyperlink>
      <w:r w:rsidRPr="000657C2">
        <w:rPr>
          <w:lang w:val="es-ES"/>
        </w:rPr>
        <w:t>, en el que puede consultarse la legislación nacional en el ámbito de la protección de las obtenciones vegetales, así como el formulario de solicitud de registro del título de obtentor e informaciones útiles para solicitantes y obtentores, disponibles en rumano, ruso e inglés.</w:t>
      </w:r>
    </w:p>
    <w:p w:rsidR="000C1305" w:rsidRPr="000657C2" w:rsidRDefault="000C1305" w:rsidP="000C1305">
      <w:pPr>
        <w:rPr>
          <w:lang w:val="es-ES"/>
        </w:rPr>
      </w:pPr>
    </w:p>
    <w:p w:rsidR="000C1305" w:rsidRPr="000657C2" w:rsidRDefault="000C1305" w:rsidP="000C1305">
      <w:pPr>
        <w:rPr>
          <w:lang w:val="es-ES"/>
        </w:rPr>
      </w:pPr>
      <w:r w:rsidRPr="000657C2">
        <w:rPr>
          <w:lang w:val="es-ES"/>
        </w:rPr>
        <w:t>En las distintas actividades organizadas por el AGEPI o en las que participa este organismo, como seminarios, campañas de sensibilización acerca de la propiedad intelectual o exposiciones, se distribuye material de información sobre la protección de las obtenciones vegetales.</w:t>
      </w:r>
    </w:p>
    <w:p w:rsidR="000C1305" w:rsidRPr="000657C2" w:rsidRDefault="000C1305" w:rsidP="000C1305">
      <w:pPr>
        <w:rPr>
          <w:lang w:val="es-ES"/>
        </w:rPr>
      </w:pPr>
    </w:p>
    <w:p w:rsidR="000C1305" w:rsidRPr="000657C2" w:rsidRDefault="000C1305" w:rsidP="000C1305">
      <w:pPr>
        <w:rPr>
          <w:lang w:val="es-ES"/>
        </w:rPr>
      </w:pPr>
      <w:r w:rsidRPr="000657C2">
        <w:rPr>
          <w:lang w:val="es-ES"/>
        </w:rPr>
        <w:t xml:space="preserve">Desde 2016, la República de </w:t>
      </w:r>
      <w:proofErr w:type="spellStart"/>
      <w:r w:rsidRPr="000657C2">
        <w:rPr>
          <w:lang w:val="es-ES"/>
        </w:rPr>
        <w:t>Moldova</w:t>
      </w:r>
      <w:proofErr w:type="spellEnd"/>
      <w:r w:rsidRPr="000657C2">
        <w:rPr>
          <w:lang w:val="es-ES"/>
        </w:rPr>
        <w:t>, representada por el AGEPI, participa en el proyecto de la UPOV para la elaboración del formulario electrónico de solicitud UPOV PRISMA.</w:t>
      </w:r>
    </w:p>
    <w:p w:rsidR="000C1305" w:rsidRPr="000657C2" w:rsidRDefault="000C1305" w:rsidP="000C1305">
      <w:pPr>
        <w:jc w:val="left"/>
        <w:rPr>
          <w:lang w:val="es-ES"/>
        </w:rPr>
      </w:pPr>
    </w:p>
    <w:p w:rsidR="008627A5" w:rsidRPr="00592F7C" w:rsidRDefault="008627A5" w:rsidP="008627A5">
      <w:pPr>
        <w:rPr>
          <w:rFonts w:cs="Mangal"/>
          <w:lang w:val="es-ES" w:bidi="ne-NP"/>
        </w:rPr>
      </w:pPr>
    </w:p>
    <w:p w:rsidR="0078167F" w:rsidRDefault="0078167F" w:rsidP="0078167F">
      <w:pPr>
        <w:jc w:val="left"/>
      </w:pPr>
    </w:p>
    <w:p w:rsidR="0078167F" w:rsidRDefault="00E80B45" w:rsidP="0078167F">
      <w:pPr>
        <w:jc w:val="right"/>
      </w:pPr>
      <w:r>
        <w:t>[Sigue el Anexo</w:t>
      </w:r>
      <w:r w:rsidR="0078167F">
        <w:t xml:space="preserve"> XI</w:t>
      </w:r>
      <w:r>
        <w:t>]</w:t>
      </w:r>
    </w:p>
    <w:p w:rsidR="0078167F" w:rsidRDefault="0078167F" w:rsidP="0078167F"/>
    <w:p w:rsidR="0078167F" w:rsidRDefault="0078167F" w:rsidP="0078167F">
      <w:pPr>
        <w:jc w:val="left"/>
        <w:sectPr w:rsidR="0078167F" w:rsidSect="002D1696">
          <w:headerReference w:type="default" r:id="rId37"/>
          <w:pgSz w:w="11907" w:h="16840" w:code="9"/>
          <w:pgMar w:top="510" w:right="1134" w:bottom="1134" w:left="1134" w:header="510" w:footer="680" w:gutter="0"/>
          <w:pgNumType w:start="1"/>
          <w:cols w:space="720"/>
          <w:titlePg/>
        </w:sectPr>
      </w:pPr>
    </w:p>
    <w:p w:rsidR="0078167F" w:rsidRPr="0075031D" w:rsidRDefault="00C55E19" w:rsidP="0078167F">
      <w:pPr>
        <w:jc w:val="center"/>
      </w:pPr>
      <w:r>
        <w:lastRenderedPageBreak/>
        <w:t>C/55/INF/4</w:t>
      </w:r>
    </w:p>
    <w:p w:rsidR="0078167F" w:rsidRPr="0075031D" w:rsidRDefault="0078167F" w:rsidP="0078167F">
      <w:pPr>
        <w:jc w:val="center"/>
      </w:pPr>
    </w:p>
    <w:p w:rsidR="0078167F" w:rsidRPr="00932993" w:rsidRDefault="00E80B45" w:rsidP="0078167F">
      <w:pPr>
        <w:jc w:val="center"/>
        <w:rPr>
          <w:lang w:val="pt-PT"/>
        </w:rPr>
      </w:pPr>
      <w:r w:rsidRPr="00932993">
        <w:rPr>
          <w:lang w:val="pt-PT"/>
        </w:rPr>
        <w:t>ANEXO</w:t>
      </w:r>
      <w:r w:rsidR="0078167F" w:rsidRPr="00932993">
        <w:rPr>
          <w:lang w:val="pt-PT"/>
        </w:rPr>
        <w:t xml:space="preserve"> XI</w:t>
      </w:r>
    </w:p>
    <w:p w:rsidR="0078167F" w:rsidRPr="00932993" w:rsidRDefault="0078167F" w:rsidP="0078167F">
      <w:pPr>
        <w:jc w:val="center"/>
        <w:rPr>
          <w:lang w:val="pt-PT"/>
        </w:rPr>
      </w:pPr>
    </w:p>
    <w:p w:rsidR="0078167F" w:rsidRPr="00932993" w:rsidRDefault="0078167F" w:rsidP="0078167F">
      <w:pPr>
        <w:jc w:val="center"/>
        <w:rPr>
          <w:lang w:val="pt-PT"/>
        </w:rPr>
      </w:pPr>
    </w:p>
    <w:p w:rsidR="002D1696" w:rsidRPr="00932993" w:rsidRDefault="003F3E27" w:rsidP="002D1696">
      <w:pPr>
        <w:jc w:val="center"/>
        <w:rPr>
          <w:lang w:val="pt-PT"/>
        </w:rPr>
      </w:pPr>
      <w:r>
        <w:rPr>
          <w:lang w:val="pt-PT"/>
        </w:rPr>
        <w:t>RUMANIA</w:t>
      </w:r>
    </w:p>
    <w:p w:rsidR="002D1696" w:rsidRPr="00932993" w:rsidRDefault="002D1696" w:rsidP="002D1696">
      <w:pPr>
        <w:tabs>
          <w:tab w:val="left" w:pos="4962"/>
        </w:tabs>
        <w:jc w:val="center"/>
        <w:rPr>
          <w:rFonts w:cs="Arial"/>
          <w:lang w:val="pt-PT"/>
        </w:rPr>
      </w:pPr>
    </w:p>
    <w:p w:rsidR="002D1696" w:rsidRPr="00932993" w:rsidRDefault="002D1696" w:rsidP="002D1696">
      <w:pPr>
        <w:tabs>
          <w:tab w:val="left" w:pos="4962"/>
        </w:tabs>
        <w:jc w:val="center"/>
        <w:rPr>
          <w:rFonts w:cs="Arial"/>
          <w:lang w:val="pt-PT"/>
        </w:rPr>
      </w:pPr>
    </w:p>
    <w:p w:rsidR="000C1305" w:rsidRPr="000657C2" w:rsidRDefault="000C1305" w:rsidP="000C1305">
      <w:pPr>
        <w:rPr>
          <w:lang w:val="es-ES"/>
        </w:rPr>
      </w:pPr>
      <w:r w:rsidRPr="000657C2">
        <w:rPr>
          <w:lang w:val="es-ES"/>
        </w:rPr>
        <w:t>PROTECCIÓN DE LAS OBTENCIONES VEGETALES</w:t>
      </w:r>
    </w:p>
    <w:p w:rsidR="000C1305" w:rsidRPr="000657C2" w:rsidRDefault="000C1305" w:rsidP="000C1305">
      <w:pPr>
        <w:rPr>
          <w:lang w:val="es-ES"/>
        </w:rPr>
      </w:pPr>
    </w:p>
    <w:p w:rsidR="000C1305" w:rsidRPr="000657C2" w:rsidRDefault="000C1305" w:rsidP="000C1305">
      <w:pPr>
        <w:rPr>
          <w:lang w:val="es-ES"/>
        </w:rPr>
      </w:pPr>
      <w:r w:rsidRPr="000657C2">
        <w:rPr>
          <w:lang w:val="es-ES"/>
        </w:rPr>
        <w:t xml:space="preserve">1. </w:t>
      </w:r>
      <w:r w:rsidRPr="000657C2">
        <w:rPr>
          <w:lang w:val="es-ES"/>
        </w:rPr>
        <w:tab/>
      </w:r>
      <w:r w:rsidRPr="000657C2">
        <w:rPr>
          <w:u w:val="single"/>
          <w:lang w:val="es-ES"/>
        </w:rPr>
        <w:t>Situación en el ámbito legislativo</w:t>
      </w:r>
    </w:p>
    <w:p w:rsidR="000C1305" w:rsidRPr="000657C2" w:rsidRDefault="000C1305" w:rsidP="000C1305">
      <w:pPr>
        <w:rPr>
          <w:lang w:val="es-ES"/>
        </w:rPr>
      </w:pPr>
    </w:p>
    <w:p w:rsidR="000C1305" w:rsidRPr="000C1305" w:rsidRDefault="000C1305" w:rsidP="000C1305">
      <w:pPr>
        <w:rPr>
          <w:i/>
          <w:lang w:val="es-ES"/>
        </w:rPr>
      </w:pPr>
      <w:r w:rsidRPr="000C1305">
        <w:rPr>
          <w:rStyle w:val="Emphasis"/>
          <w:rFonts w:cs="Arial"/>
          <w:i w:val="0"/>
          <w:lang w:val="es-ES"/>
        </w:rPr>
        <w:t>Orden Ministerial N.º 1/2020 por la que se modifica la Orden Ministerial N.º 1348/2005 para la aprobación de las normas relativas al examen y registro de especies agrícolas y Orden N.º 1349/2005 para la aprobación de las normas relativas al examen y registro de especies hortícolas.</w:t>
      </w:r>
    </w:p>
    <w:p w:rsidR="000C1305" w:rsidRPr="000657C2" w:rsidRDefault="000C1305" w:rsidP="000C1305">
      <w:pPr>
        <w:rPr>
          <w:lang w:val="es-ES"/>
        </w:rPr>
      </w:pPr>
    </w:p>
    <w:p w:rsidR="000C1305" w:rsidRPr="000657C2" w:rsidRDefault="000C1305" w:rsidP="000C1305">
      <w:pPr>
        <w:rPr>
          <w:lang w:val="es-ES"/>
        </w:rPr>
      </w:pPr>
      <w:r w:rsidRPr="000657C2">
        <w:rPr>
          <w:lang w:val="es-ES"/>
        </w:rPr>
        <w:t>Esta orden se ajusta a la nueva Directiva 2019/1985 de la Unión Europea, de 28 de noviembre de 2019, referente al examen y registro de variedades.</w:t>
      </w:r>
    </w:p>
    <w:p w:rsidR="000C1305" w:rsidRPr="000657C2" w:rsidRDefault="000C1305" w:rsidP="000C1305">
      <w:pPr>
        <w:rPr>
          <w:lang w:val="es-ES"/>
        </w:rPr>
      </w:pPr>
    </w:p>
    <w:p w:rsidR="000C1305" w:rsidRPr="000657C2" w:rsidRDefault="000C1305" w:rsidP="000C1305">
      <w:pPr>
        <w:rPr>
          <w:lang w:val="es-ES"/>
        </w:rPr>
      </w:pPr>
    </w:p>
    <w:p w:rsidR="000C1305" w:rsidRPr="000657C2" w:rsidRDefault="000C1305" w:rsidP="000C1305">
      <w:pPr>
        <w:rPr>
          <w:lang w:val="es-ES"/>
        </w:rPr>
      </w:pPr>
      <w:r w:rsidRPr="000657C2">
        <w:rPr>
          <w:lang w:val="es-ES"/>
        </w:rPr>
        <w:t>2.</w:t>
      </w:r>
      <w:r w:rsidRPr="000657C2">
        <w:rPr>
          <w:lang w:val="es-ES"/>
        </w:rPr>
        <w:tab/>
      </w:r>
      <w:r w:rsidRPr="000657C2">
        <w:rPr>
          <w:u w:val="single"/>
          <w:lang w:val="es-ES"/>
        </w:rPr>
        <w:t>Cooperación en el examen</w:t>
      </w:r>
    </w:p>
    <w:p w:rsidR="000C1305" w:rsidRPr="000657C2" w:rsidRDefault="000C1305" w:rsidP="000C1305">
      <w:pPr>
        <w:rPr>
          <w:lang w:val="es-ES"/>
        </w:rPr>
      </w:pPr>
    </w:p>
    <w:p w:rsidR="000C1305" w:rsidRPr="000657C2" w:rsidRDefault="000C1305" w:rsidP="000C1305">
      <w:pPr>
        <w:rPr>
          <w:lang w:val="es-ES"/>
        </w:rPr>
      </w:pPr>
      <w:r w:rsidRPr="000657C2">
        <w:rPr>
          <w:lang w:val="es-ES"/>
        </w:rPr>
        <w:t>Se mantiene la colaboración con el UKZUZ de la República Checa en lo que respecta al examen DHE y también se mantiene el intercambio de muestras de semillas con otras autoridades de la Unión Europea.</w:t>
      </w:r>
    </w:p>
    <w:p w:rsidR="000C1305" w:rsidRPr="000657C2" w:rsidRDefault="000C1305" w:rsidP="000C1305">
      <w:pPr>
        <w:rPr>
          <w:lang w:val="es-ES"/>
        </w:rPr>
      </w:pPr>
    </w:p>
    <w:p w:rsidR="000C1305" w:rsidRPr="000657C2" w:rsidRDefault="000C1305" w:rsidP="000C1305">
      <w:pPr>
        <w:rPr>
          <w:lang w:val="es-ES"/>
        </w:rPr>
      </w:pPr>
      <w:r w:rsidRPr="000657C2">
        <w:rPr>
          <w:lang w:val="es-ES"/>
        </w:rPr>
        <w:t>Se mantiene la venta de informes técnicos DHE a autoridades de la Unión Europea y a otros países europeos.</w:t>
      </w:r>
    </w:p>
    <w:p w:rsidR="000C1305" w:rsidRPr="000657C2" w:rsidRDefault="000C1305" w:rsidP="000C1305">
      <w:pPr>
        <w:rPr>
          <w:lang w:val="es-ES"/>
        </w:rPr>
      </w:pPr>
    </w:p>
    <w:p w:rsidR="000C1305" w:rsidRPr="000657C2" w:rsidRDefault="000C1305" w:rsidP="000C1305">
      <w:pPr>
        <w:rPr>
          <w:lang w:val="es-ES"/>
        </w:rPr>
      </w:pPr>
    </w:p>
    <w:p w:rsidR="000C1305" w:rsidRPr="000657C2" w:rsidRDefault="000C1305" w:rsidP="000C1305">
      <w:pPr>
        <w:rPr>
          <w:u w:val="single"/>
          <w:lang w:val="es-ES"/>
        </w:rPr>
      </w:pPr>
      <w:r w:rsidRPr="000657C2">
        <w:rPr>
          <w:lang w:val="es-ES"/>
        </w:rPr>
        <w:t>3.</w:t>
      </w:r>
      <w:r w:rsidRPr="000657C2">
        <w:rPr>
          <w:lang w:val="es-ES"/>
        </w:rPr>
        <w:tab/>
      </w:r>
      <w:r w:rsidRPr="000657C2">
        <w:rPr>
          <w:u w:val="single"/>
          <w:lang w:val="es-ES"/>
        </w:rPr>
        <w:t>Situación en el ámbito administrativo</w:t>
      </w:r>
    </w:p>
    <w:p w:rsidR="000C1305" w:rsidRPr="000657C2" w:rsidRDefault="000C1305" w:rsidP="000C1305">
      <w:pPr>
        <w:rPr>
          <w:lang w:val="es-ES"/>
        </w:rPr>
      </w:pPr>
    </w:p>
    <w:p w:rsidR="000C1305" w:rsidRPr="000657C2" w:rsidRDefault="000C1305" w:rsidP="000C1305">
      <w:pPr>
        <w:rPr>
          <w:lang w:val="es-ES"/>
        </w:rPr>
      </w:pPr>
      <w:r w:rsidRPr="000657C2">
        <w:rPr>
          <w:lang w:val="es-ES"/>
        </w:rPr>
        <w:t>No se produjeron cambios en la estructura administrativa ni en el sistema de procedimientos.</w:t>
      </w:r>
    </w:p>
    <w:p w:rsidR="000C1305" w:rsidRPr="000657C2" w:rsidRDefault="000C1305" w:rsidP="000C1305">
      <w:pPr>
        <w:rPr>
          <w:lang w:val="es-ES"/>
        </w:rPr>
      </w:pPr>
    </w:p>
    <w:p w:rsidR="000C1305" w:rsidRPr="000657C2" w:rsidRDefault="000C1305" w:rsidP="000C1305">
      <w:pPr>
        <w:rPr>
          <w:lang w:val="es-ES"/>
        </w:rPr>
      </w:pPr>
      <w:r w:rsidRPr="000657C2">
        <w:rPr>
          <w:lang w:val="es-ES"/>
        </w:rPr>
        <w:t>Se ha finalizado la construcción de un nuevo sistema de almacenamiento refrigerado de especies agrícolas con el fin de ampliar la colección de referencia.</w:t>
      </w:r>
    </w:p>
    <w:p w:rsidR="000C1305" w:rsidRPr="000657C2" w:rsidRDefault="000C1305" w:rsidP="000C1305">
      <w:pPr>
        <w:rPr>
          <w:lang w:val="es-ES"/>
        </w:rPr>
      </w:pPr>
    </w:p>
    <w:p w:rsidR="000C1305" w:rsidRPr="000657C2" w:rsidRDefault="000C1305" w:rsidP="000C1305">
      <w:pPr>
        <w:rPr>
          <w:lang w:val="es-ES"/>
        </w:rPr>
      </w:pPr>
    </w:p>
    <w:p w:rsidR="000C1305" w:rsidRPr="000657C2" w:rsidRDefault="000C1305" w:rsidP="000C1305">
      <w:pPr>
        <w:rPr>
          <w:lang w:val="es-ES"/>
        </w:rPr>
      </w:pPr>
      <w:r w:rsidRPr="000657C2">
        <w:rPr>
          <w:lang w:val="es-ES"/>
        </w:rPr>
        <w:t>4.</w:t>
      </w:r>
      <w:r w:rsidRPr="000657C2">
        <w:rPr>
          <w:lang w:val="es-ES"/>
        </w:rPr>
        <w:tab/>
      </w:r>
      <w:r w:rsidRPr="000657C2">
        <w:rPr>
          <w:u w:val="single"/>
          <w:lang w:val="es-ES"/>
        </w:rPr>
        <w:t>Situación en el ámbito técnico</w:t>
      </w:r>
    </w:p>
    <w:p w:rsidR="000C1305" w:rsidRPr="000657C2" w:rsidRDefault="000C1305" w:rsidP="000C1305">
      <w:pPr>
        <w:rPr>
          <w:lang w:val="es-ES"/>
        </w:rPr>
      </w:pPr>
    </w:p>
    <w:p w:rsidR="000C1305" w:rsidRPr="000657C2" w:rsidRDefault="000C1305" w:rsidP="000C1305">
      <w:pPr>
        <w:rPr>
          <w:lang w:val="es-ES"/>
        </w:rPr>
      </w:pPr>
      <w:r w:rsidRPr="000657C2">
        <w:rPr>
          <w:lang w:val="es-ES"/>
        </w:rPr>
        <w:t>En 2020 se examinaron 1.169 variedades sobre el terreno (947 variedades de plantas agrícolas, 123 hortícolas, 14 ornamentales, 42 árboles y arbustos frutales y 43 variedade</w:t>
      </w:r>
      <w:r>
        <w:rPr>
          <w:lang w:val="es-ES"/>
        </w:rPr>
        <w:t>s de vid) y se inscribieron 297 </w:t>
      </w:r>
      <w:r w:rsidRPr="000657C2">
        <w:rPr>
          <w:lang w:val="es-ES"/>
        </w:rPr>
        <w:t>variedades en el Catálogo Nacional Oficial (252 variedades de plantas agrícolas, 35 hortícolas, 8 árboles y arbustos frutales y 2 variedad de vid).</w:t>
      </w:r>
    </w:p>
    <w:p w:rsidR="000C1305" w:rsidRPr="000C1305" w:rsidRDefault="000C1305" w:rsidP="000C1305"/>
    <w:p w:rsidR="000C1305" w:rsidRPr="000657C2" w:rsidRDefault="000C1305" w:rsidP="000C1305">
      <w:pPr>
        <w:rPr>
          <w:lang w:val="es-ES"/>
        </w:rPr>
      </w:pPr>
      <w:r w:rsidRPr="000657C2">
        <w:rPr>
          <w:lang w:val="es-ES"/>
        </w:rPr>
        <w:t xml:space="preserve">Además, se presentaron 50 solicitudes de protección de obtenciones vegetales y se concedieron 40 títulos. </w:t>
      </w:r>
    </w:p>
    <w:p w:rsidR="000C1305" w:rsidRPr="000657C2" w:rsidRDefault="000C1305" w:rsidP="000C1305">
      <w:pPr>
        <w:jc w:val="left"/>
        <w:rPr>
          <w:lang w:val="es-ES"/>
        </w:rPr>
      </w:pPr>
    </w:p>
    <w:p w:rsidR="002D1696" w:rsidRPr="00592F7C" w:rsidRDefault="002D1696" w:rsidP="002D1696">
      <w:pPr>
        <w:rPr>
          <w:rFonts w:cs="Arial"/>
          <w:u w:val="single"/>
          <w:lang w:val="es-ES"/>
        </w:rPr>
      </w:pPr>
    </w:p>
    <w:p w:rsidR="0078167F" w:rsidRDefault="0078167F" w:rsidP="0078167F">
      <w:pPr>
        <w:jc w:val="left"/>
      </w:pPr>
    </w:p>
    <w:p w:rsidR="0078167F" w:rsidRDefault="00E80B45" w:rsidP="0078167F">
      <w:pPr>
        <w:jc w:val="right"/>
      </w:pPr>
      <w:r>
        <w:t>[Sigue el Anexo</w:t>
      </w:r>
      <w:r w:rsidR="0078167F">
        <w:t xml:space="preserve"> XII</w:t>
      </w:r>
      <w:r>
        <w:t>]</w:t>
      </w:r>
    </w:p>
    <w:p w:rsidR="0078167F" w:rsidRDefault="0078167F" w:rsidP="0078167F"/>
    <w:p w:rsidR="0078167F" w:rsidRDefault="0078167F" w:rsidP="0078167F">
      <w:pPr>
        <w:jc w:val="left"/>
        <w:sectPr w:rsidR="0078167F" w:rsidSect="002D1696">
          <w:headerReference w:type="default" r:id="rId38"/>
          <w:pgSz w:w="11907" w:h="16840" w:code="9"/>
          <w:pgMar w:top="510" w:right="1134" w:bottom="1134" w:left="1134" w:header="510" w:footer="680" w:gutter="0"/>
          <w:pgNumType w:start="1"/>
          <w:cols w:space="720"/>
          <w:titlePg/>
        </w:sectPr>
      </w:pPr>
    </w:p>
    <w:p w:rsidR="0078167F" w:rsidRPr="0075031D" w:rsidRDefault="00C55E19" w:rsidP="0078167F">
      <w:pPr>
        <w:jc w:val="center"/>
      </w:pPr>
      <w:r>
        <w:lastRenderedPageBreak/>
        <w:t>C/55/INF/4</w:t>
      </w:r>
    </w:p>
    <w:p w:rsidR="0078167F" w:rsidRPr="0075031D" w:rsidRDefault="0078167F" w:rsidP="0078167F">
      <w:pPr>
        <w:jc w:val="center"/>
      </w:pPr>
    </w:p>
    <w:p w:rsidR="0078167F" w:rsidRPr="0075031D" w:rsidRDefault="00E80B45" w:rsidP="0078167F">
      <w:pPr>
        <w:jc w:val="center"/>
      </w:pPr>
      <w:r>
        <w:t>ANEXO</w:t>
      </w:r>
      <w:r w:rsidR="0078167F" w:rsidRPr="0075031D">
        <w:t xml:space="preserve"> </w:t>
      </w:r>
      <w:r w:rsidR="0078167F">
        <w:t>XI</w:t>
      </w:r>
      <w:r w:rsidR="0078167F" w:rsidRPr="0075031D">
        <w:t>I</w:t>
      </w:r>
    </w:p>
    <w:p w:rsidR="0078167F" w:rsidRPr="0075031D" w:rsidRDefault="0078167F" w:rsidP="0078167F">
      <w:pPr>
        <w:jc w:val="center"/>
      </w:pPr>
    </w:p>
    <w:p w:rsidR="0078167F" w:rsidRDefault="0078167F" w:rsidP="0078167F">
      <w:pPr>
        <w:jc w:val="center"/>
      </w:pPr>
    </w:p>
    <w:p w:rsidR="00EC2B3C" w:rsidRPr="00592F7C" w:rsidRDefault="003F3E27" w:rsidP="00EC2B3C">
      <w:pPr>
        <w:jc w:val="center"/>
        <w:rPr>
          <w:lang w:val="es-ES"/>
        </w:rPr>
      </w:pPr>
      <w:r>
        <w:t>REINO UNIDO</w:t>
      </w:r>
    </w:p>
    <w:p w:rsidR="00EC2B3C" w:rsidRPr="00592F7C" w:rsidRDefault="00EC2B3C" w:rsidP="00EC2B3C">
      <w:pPr>
        <w:rPr>
          <w:rFonts w:cs="Arial"/>
          <w:lang w:val="es-ES"/>
        </w:rPr>
      </w:pPr>
    </w:p>
    <w:p w:rsidR="00EC2B3C" w:rsidRPr="00592F7C" w:rsidRDefault="00EC2B3C" w:rsidP="00EC2B3C">
      <w:pPr>
        <w:rPr>
          <w:rFonts w:cs="Arial"/>
          <w:lang w:val="es-ES"/>
        </w:rPr>
      </w:pPr>
    </w:p>
    <w:p w:rsidR="00602633" w:rsidRPr="000657C2" w:rsidRDefault="00602633" w:rsidP="00602633">
      <w:pPr>
        <w:rPr>
          <w:lang w:val="es-ES"/>
        </w:rPr>
      </w:pPr>
      <w:r w:rsidRPr="000657C2">
        <w:rPr>
          <w:lang w:val="es-ES"/>
        </w:rPr>
        <w:t>I.</w:t>
      </w:r>
      <w:r w:rsidRPr="000657C2">
        <w:rPr>
          <w:lang w:val="es-ES"/>
        </w:rPr>
        <w:tab/>
        <w:t>PROTECCIÓN DE LAS OBTENCIONES VEGETALES</w:t>
      </w:r>
    </w:p>
    <w:p w:rsidR="00602633" w:rsidRPr="000657C2" w:rsidRDefault="00602633" w:rsidP="00602633">
      <w:pPr>
        <w:rPr>
          <w:lang w:val="es-ES"/>
        </w:rPr>
      </w:pPr>
    </w:p>
    <w:p w:rsidR="00602633" w:rsidRPr="000657C2" w:rsidRDefault="00602633" w:rsidP="00602633">
      <w:pPr>
        <w:rPr>
          <w:lang w:val="es-ES"/>
        </w:rPr>
      </w:pPr>
      <w:r w:rsidRPr="000657C2">
        <w:rPr>
          <w:lang w:val="es-ES"/>
        </w:rPr>
        <w:t xml:space="preserve">1. </w:t>
      </w:r>
      <w:r w:rsidRPr="000657C2">
        <w:rPr>
          <w:lang w:val="es-ES"/>
        </w:rPr>
        <w:tab/>
      </w:r>
      <w:r w:rsidRPr="000657C2">
        <w:rPr>
          <w:u w:val="single"/>
          <w:lang w:val="es-ES"/>
        </w:rPr>
        <w:t>Situación en el ámbito legislativo</w:t>
      </w:r>
    </w:p>
    <w:p w:rsidR="00602633" w:rsidRPr="000657C2" w:rsidRDefault="00602633" w:rsidP="00602633">
      <w:pPr>
        <w:rPr>
          <w:lang w:val="es-ES"/>
        </w:rPr>
      </w:pPr>
    </w:p>
    <w:p w:rsidR="00602633" w:rsidRPr="000657C2" w:rsidRDefault="00602633" w:rsidP="00602633">
      <w:pPr>
        <w:rPr>
          <w:lang w:val="es-ES"/>
        </w:rPr>
      </w:pPr>
      <w:r w:rsidRPr="000657C2">
        <w:rPr>
          <w:lang w:val="es-ES"/>
        </w:rPr>
        <w:t>1.1</w:t>
      </w:r>
      <w:r w:rsidRPr="000657C2">
        <w:rPr>
          <w:lang w:val="es-ES"/>
        </w:rPr>
        <w:tab/>
        <w:t>Modificaciones de la ley y de los reglamentos</w:t>
      </w:r>
    </w:p>
    <w:p w:rsidR="00602633" w:rsidRPr="000657C2" w:rsidRDefault="00602633" w:rsidP="00602633">
      <w:pPr>
        <w:rPr>
          <w:lang w:val="es-ES"/>
        </w:rPr>
      </w:pPr>
    </w:p>
    <w:p w:rsidR="00602633" w:rsidRPr="000657C2" w:rsidRDefault="00602633" w:rsidP="00602633">
      <w:pPr>
        <w:rPr>
          <w:lang w:val="es-ES"/>
        </w:rPr>
      </w:pPr>
      <w:r w:rsidRPr="000657C2">
        <w:rPr>
          <w:lang w:val="es-ES"/>
        </w:rPr>
        <w:t>Se aplicó la legislación relativa a la salida del Reino Unido de la Unión Europea:</w:t>
      </w:r>
    </w:p>
    <w:p w:rsidR="00602633" w:rsidRPr="000657C2" w:rsidRDefault="00602633" w:rsidP="00602633">
      <w:pPr>
        <w:rPr>
          <w:lang w:val="es-ES"/>
        </w:rPr>
      </w:pPr>
    </w:p>
    <w:p w:rsidR="00602633" w:rsidRPr="000657C2" w:rsidRDefault="00602633" w:rsidP="00602633">
      <w:pPr>
        <w:rPr>
          <w:lang w:val="es-ES"/>
        </w:rPr>
      </w:pPr>
      <w:r w:rsidRPr="000657C2">
        <w:rPr>
          <w:lang w:val="es-ES"/>
        </w:rPr>
        <w:t xml:space="preserve">Reglamento de 2019 sobre los </w:t>
      </w:r>
      <w:r>
        <w:rPr>
          <w:lang w:val="es-ES"/>
        </w:rPr>
        <w:t>Derechos de O</w:t>
      </w:r>
      <w:r w:rsidRPr="000657C2">
        <w:rPr>
          <w:lang w:val="es-ES"/>
        </w:rPr>
        <w:t>btentor (</w:t>
      </w:r>
      <w:r>
        <w:rPr>
          <w:lang w:val="es-ES"/>
        </w:rPr>
        <w:t>M</w:t>
      </w:r>
      <w:r w:rsidRPr="000657C2">
        <w:rPr>
          <w:lang w:val="es-ES"/>
        </w:rPr>
        <w:t>odificación etc.) (</w:t>
      </w:r>
      <w:r>
        <w:rPr>
          <w:lang w:val="es-ES"/>
        </w:rPr>
        <w:t>Salida de la UE):</w:t>
      </w:r>
      <w:r w:rsidRPr="000657C2">
        <w:rPr>
          <w:lang w:val="es-ES"/>
        </w:rPr>
        <w:t xml:space="preserve"> Este instrumento jurídico introduce las disposiciones pertinentes para garantizar la continuidad</w:t>
      </w:r>
      <w:r>
        <w:rPr>
          <w:lang w:val="es-ES"/>
        </w:rPr>
        <w:t xml:space="preserve"> de la protección en el Reino </w:t>
      </w:r>
      <w:r w:rsidRPr="000657C2">
        <w:rPr>
          <w:lang w:val="es-ES"/>
        </w:rPr>
        <w:t>Unido de las variedades a las que se concedió la protección comunitaria de las obtenciones vegetales antes del día de la salida y permite a los futuros titulares solicitar derechos de obtentor en el Reino Unido con respecto a las solicitudes que se encuentr</w:t>
      </w:r>
      <w:r>
        <w:rPr>
          <w:lang w:val="es-ES"/>
        </w:rPr>
        <w:t>e</w:t>
      </w:r>
      <w:r w:rsidRPr="000657C2">
        <w:rPr>
          <w:lang w:val="es-ES"/>
        </w:rPr>
        <w:t xml:space="preserve">n en trámite el día de la salida. Asimismo, introduce modificaciones operativas en la Ley de Variedades Vegetales de 1997 y su legislación secundaria. </w:t>
      </w:r>
      <w:r>
        <w:rPr>
          <w:lang w:val="es-ES"/>
        </w:rPr>
        <w:t>Se deroga</w:t>
      </w:r>
      <w:r w:rsidRPr="000657C2">
        <w:rPr>
          <w:lang w:val="es-ES"/>
        </w:rPr>
        <w:t xml:space="preserve"> el Reglamento 2100/94 del Consejo y sus reglamentos de aplicación.</w:t>
      </w:r>
    </w:p>
    <w:p w:rsidR="00602633" w:rsidRPr="000657C2" w:rsidRDefault="00602633" w:rsidP="00602633">
      <w:pPr>
        <w:rPr>
          <w:lang w:val="es-ES"/>
        </w:rPr>
      </w:pPr>
    </w:p>
    <w:p w:rsidR="00602633" w:rsidRPr="000657C2" w:rsidRDefault="00602633" w:rsidP="00602633">
      <w:pPr>
        <w:rPr>
          <w:lang w:val="es-ES"/>
        </w:rPr>
      </w:pPr>
      <w:r w:rsidRPr="000657C2">
        <w:rPr>
          <w:lang w:val="es-ES"/>
        </w:rPr>
        <w:t xml:space="preserve">Reglamento de 2020 sobre los </w:t>
      </w:r>
      <w:r>
        <w:rPr>
          <w:lang w:val="es-ES"/>
        </w:rPr>
        <w:t>Derechos de O</w:t>
      </w:r>
      <w:r w:rsidRPr="000657C2">
        <w:rPr>
          <w:lang w:val="es-ES"/>
        </w:rPr>
        <w:t>btentor (</w:t>
      </w:r>
      <w:r>
        <w:rPr>
          <w:lang w:val="es-ES"/>
        </w:rPr>
        <w:t>M</w:t>
      </w:r>
      <w:r w:rsidRPr="000657C2">
        <w:rPr>
          <w:lang w:val="es-ES"/>
        </w:rPr>
        <w:t>odificación) (</w:t>
      </w:r>
      <w:r>
        <w:rPr>
          <w:lang w:val="es-ES"/>
        </w:rPr>
        <w:t>Salida de la UE):</w:t>
      </w:r>
      <w:r w:rsidRPr="000657C2">
        <w:rPr>
          <w:lang w:val="es-ES"/>
        </w:rPr>
        <w:t xml:space="preserve"> Este instrumento jurídico tiene por objeto implementar los artículos 54 a 61 relativos a la r</w:t>
      </w:r>
      <w:r>
        <w:rPr>
          <w:lang w:val="es-ES"/>
        </w:rPr>
        <w:t>etirada del Reino Unido de Gran </w:t>
      </w:r>
      <w:r w:rsidRPr="000657C2">
        <w:rPr>
          <w:lang w:val="es-ES"/>
        </w:rPr>
        <w:t>Bretaña e Irlanda del Norte de la Unión Europea y de la Comunidad Europea de la Energía Atómica, en los que se hace referencia a la propiedad intelectual y se incluye la protección comunitaria de las obtenciones vegetales. El objetivo principal de las modificaciones es garantizar que las variedades que cuentan con protección comunitaria al final del período de transición sigan estando protegidas en el Reino Unido mediante la concesión del derecho correspondiente en virtud de la legislación británica.</w:t>
      </w:r>
    </w:p>
    <w:p w:rsidR="00602633" w:rsidRPr="000657C2" w:rsidRDefault="00602633" w:rsidP="00602633">
      <w:pPr>
        <w:rPr>
          <w:lang w:val="es-ES"/>
        </w:rPr>
      </w:pPr>
    </w:p>
    <w:p w:rsidR="00602633" w:rsidRPr="000657C2" w:rsidRDefault="00602633" w:rsidP="00602633">
      <w:pPr>
        <w:rPr>
          <w:lang w:val="es-ES"/>
        </w:rPr>
      </w:pPr>
      <w:r w:rsidRPr="000657C2">
        <w:rPr>
          <w:lang w:val="es-ES"/>
        </w:rPr>
        <w:t>1.2</w:t>
      </w:r>
      <w:r w:rsidRPr="000657C2">
        <w:rPr>
          <w:lang w:val="es-ES"/>
        </w:rPr>
        <w:tab/>
        <w:t>Extensión de la protección a otros géneros y especies: No hay novedades reseñables.</w:t>
      </w:r>
    </w:p>
    <w:p w:rsidR="00602633" w:rsidRPr="000657C2" w:rsidRDefault="00602633" w:rsidP="00602633">
      <w:pPr>
        <w:rPr>
          <w:lang w:val="es-ES"/>
        </w:rPr>
      </w:pPr>
    </w:p>
    <w:p w:rsidR="00602633" w:rsidRPr="000657C2" w:rsidRDefault="00602633" w:rsidP="00602633">
      <w:pPr>
        <w:rPr>
          <w:iCs/>
          <w:lang w:val="es-ES"/>
        </w:rPr>
      </w:pPr>
      <w:r w:rsidRPr="000657C2">
        <w:rPr>
          <w:lang w:val="es-ES"/>
        </w:rPr>
        <w:t>1.3</w:t>
      </w:r>
      <w:r w:rsidRPr="000657C2">
        <w:rPr>
          <w:lang w:val="es-ES"/>
        </w:rPr>
        <w:tab/>
        <w:t xml:space="preserve">Jurisprudencia: </w:t>
      </w:r>
      <w:r w:rsidRPr="000657C2">
        <w:rPr>
          <w:iCs/>
          <w:lang w:val="es-ES"/>
        </w:rPr>
        <w:t>No hay novedades reseñables.</w:t>
      </w:r>
    </w:p>
    <w:p w:rsidR="00602633" w:rsidRPr="000657C2" w:rsidRDefault="00602633" w:rsidP="00602633">
      <w:pPr>
        <w:rPr>
          <w:lang w:val="es-ES"/>
        </w:rPr>
      </w:pPr>
    </w:p>
    <w:p w:rsidR="00602633" w:rsidRPr="000657C2" w:rsidRDefault="00602633" w:rsidP="00602633">
      <w:pPr>
        <w:rPr>
          <w:lang w:val="es-ES"/>
        </w:rPr>
      </w:pPr>
    </w:p>
    <w:p w:rsidR="00602633" w:rsidRPr="000657C2" w:rsidRDefault="00602633" w:rsidP="00602633">
      <w:pPr>
        <w:rPr>
          <w:iCs/>
          <w:lang w:val="es-ES"/>
        </w:rPr>
      </w:pPr>
      <w:r w:rsidRPr="000657C2">
        <w:rPr>
          <w:lang w:val="es-ES"/>
        </w:rPr>
        <w:t>2.</w:t>
      </w:r>
      <w:r w:rsidRPr="000657C2">
        <w:rPr>
          <w:lang w:val="es-ES"/>
        </w:rPr>
        <w:tab/>
      </w:r>
      <w:r w:rsidRPr="000657C2">
        <w:rPr>
          <w:u w:val="single"/>
          <w:lang w:val="es-ES"/>
        </w:rPr>
        <w:t>Cooperación en el examen</w:t>
      </w:r>
      <w:r w:rsidRPr="000657C2">
        <w:rPr>
          <w:lang w:val="es-ES"/>
        </w:rPr>
        <w:t xml:space="preserve">: </w:t>
      </w:r>
      <w:r w:rsidRPr="000657C2">
        <w:rPr>
          <w:iCs/>
          <w:lang w:val="es-ES"/>
        </w:rPr>
        <w:t>No hay novedades reseñables.</w:t>
      </w:r>
    </w:p>
    <w:p w:rsidR="00602633" w:rsidRPr="000657C2" w:rsidRDefault="00602633" w:rsidP="00602633">
      <w:pPr>
        <w:rPr>
          <w:iCs/>
          <w:lang w:val="es-ES"/>
        </w:rPr>
      </w:pPr>
    </w:p>
    <w:p w:rsidR="00602633" w:rsidRPr="000657C2" w:rsidRDefault="00602633" w:rsidP="00602633">
      <w:pPr>
        <w:rPr>
          <w:iCs/>
          <w:lang w:val="es-ES"/>
        </w:rPr>
      </w:pPr>
    </w:p>
    <w:p w:rsidR="00602633" w:rsidRPr="000657C2" w:rsidRDefault="00602633" w:rsidP="00602633">
      <w:pPr>
        <w:rPr>
          <w:lang w:val="es-ES"/>
        </w:rPr>
      </w:pPr>
      <w:r w:rsidRPr="000657C2">
        <w:rPr>
          <w:lang w:val="es-ES"/>
        </w:rPr>
        <w:t>3.</w:t>
      </w:r>
      <w:r w:rsidRPr="000657C2">
        <w:rPr>
          <w:lang w:val="es-ES"/>
        </w:rPr>
        <w:tab/>
      </w:r>
      <w:r w:rsidRPr="000657C2">
        <w:rPr>
          <w:u w:val="single"/>
          <w:lang w:val="es-ES"/>
        </w:rPr>
        <w:t>Situación en el ámbito administrativo</w:t>
      </w:r>
    </w:p>
    <w:p w:rsidR="00602633" w:rsidRPr="000657C2" w:rsidRDefault="00602633" w:rsidP="00602633">
      <w:pPr>
        <w:rPr>
          <w:lang w:val="es-ES"/>
        </w:rPr>
      </w:pPr>
    </w:p>
    <w:p w:rsidR="00602633" w:rsidRPr="000657C2" w:rsidRDefault="00602633" w:rsidP="00602633">
      <w:pPr>
        <w:rPr>
          <w:lang w:val="es-ES"/>
        </w:rPr>
      </w:pPr>
      <w:r w:rsidRPr="000657C2">
        <w:rPr>
          <w:lang w:val="es-ES"/>
        </w:rPr>
        <w:t xml:space="preserve">Se han reducido las tasas administrativas por solicitud de 741 a 450 libras esterlinas. Las solicitudes combinadas de inclusión en la lista nacional y de derechos de obtentor también conllevan ahora una única tasa administrativa de 450 libras esterlinas en lugar de dos tasas, aunque solo si se solicitan al mismo tiempo. </w:t>
      </w:r>
    </w:p>
    <w:p w:rsidR="00602633" w:rsidRPr="000657C2" w:rsidRDefault="00602633" w:rsidP="00602633">
      <w:pPr>
        <w:rPr>
          <w:lang w:val="es-ES"/>
        </w:rPr>
      </w:pPr>
    </w:p>
    <w:p w:rsidR="00602633" w:rsidRPr="000657C2" w:rsidRDefault="00602633" w:rsidP="00602633">
      <w:pPr>
        <w:rPr>
          <w:lang w:val="es-ES"/>
        </w:rPr>
      </w:pPr>
    </w:p>
    <w:p w:rsidR="00602633" w:rsidRPr="000657C2" w:rsidRDefault="00602633" w:rsidP="00602633">
      <w:pPr>
        <w:rPr>
          <w:lang w:val="es-ES"/>
        </w:rPr>
      </w:pPr>
      <w:r w:rsidRPr="000657C2">
        <w:rPr>
          <w:lang w:val="es-ES"/>
        </w:rPr>
        <w:t>4.</w:t>
      </w:r>
      <w:r w:rsidRPr="000657C2">
        <w:rPr>
          <w:lang w:val="es-ES"/>
        </w:rPr>
        <w:tab/>
      </w:r>
      <w:r w:rsidRPr="000657C2">
        <w:rPr>
          <w:u w:val="single"/>
          <w:lang w:val="es-ES"/>
        </w:rPr>
        <w:t>Situación en el ámbito técnico</w:t>
      </w:r>
      <w:r w:rsidRPr="000657C2">
        <w:rPr>
          <w:lang w:val="es-ES"/>
        </w:rPr>
        <w:t>: No hay novedades reseñables.</w:t>
      </w:r>
    </w:p>
    <w:p w:rsidR="00602633" w:rsidRPr="000657C2" w:rsidRDefault="00602633" w:rsidP="00602633">
      <w:pPr>
        <w:rPr>
          <w:lang w:val="es-ES"/>
        </w:rPr>
      </w:pPr>
    </w:p>
    <w:p w:rsidR="00602633" w:rsidRPr="000657C2" w:rsidRDefault="00602633" w:rsidP="00602633">
      <w:pPr>
        <w:rPr>
          <w:lang w:val="es-ES"/>
        </w:rPr>
      </w:pPr>
    </w:p>
    <w:p w:rsidR="00602633" w:rsidRPr="000657C2" w:rsidRDefault="00602633" w:rsidP="00602633">
      <w:pPr>
        <w:ind w:left="567" w:hanging="567"/>
        <w:rPr>
          <w:lang w:val="es-ES"/>
        </w:rPr>
      </w:pPr>
      <w:r w:rsidRPr="000657C2">
        <w:rPr>
          <w:lang w:val="es-ES"/>
        </w:rPr>
        <w:t>5.</w:t>
      </w:r>
      <w:r w:rsidRPr="000657C2">
        <w:rPr>
          <w:lang w:val="es-ES"/>
        </w:rPr>
        <w:tab/>
      </w:r>
      <w:r w:rsidRPr="000657C2">
        <w:rPr>
          <w:u w:val="single"/>
          <w:lang w:val="es-ES"/>
        </w:rPr>
        <w:t>Actividades para la promoción de la protección de las obtenciones vegetales</w:t>
      </w:r>
      <w:r w:rsidRPr="000657C2">
        <w:rPr>
          <w:lang w:val="es-ES"/>
        </w:rPr>
        <w:t>: No hay novedades reseñables.</w:t>
      </w:r>
    </w:p>
    <w:p w:rsidR="00602633" w:rsidRPr="000657C2" w:rsidRDefault="00602633" w:rsidP="00602633">
      <w:pPr>
        <w:rPr>
          <w:lang w:val="es-ES"/>
        </w:rPr>
      </w:pPr>
    </w:p>
    <w:p w:rsidR="00EC2B3C" w:rsidRPr="00592F7C" w:rsidRDefault="00EC2B3C" w:rsidP="00EC2B3C">
      <w:pPr>
        <w:jc w:val="left"/>
        <w:rPr>
          <w:lang w:val="es-ES"/>
        </w:rPr>
      </w:pPr>
    </w:p>
    <w:p w:rsidR="0078167F" w:rsidRDefault="0078167F" w:rsidP="0078167F">
      <w:pPr>
        <w:jc w:val="left"/>
      </w:pPr>
    </w:p>
    <w:p w:rsidR="0078167F" w:rsidRDefault="00E80B45" w:rsidP="0078167F">
      <w:pPr>
        <w:jc w:val="right"/>
      </w:pPr>
      <w:r>
        <w:t>[Sigue el Anexo</w:t>
      </w:r>
      <w:r w:rsidR="0078167F">
        <w:t xml:space="preserve"> XIII</w:t>
      </w:r>
      <w:r>
        <w:t>]</w:t>
      </w:r>
    </w:p>
    <w:p w:rsidR="0078167F" w:rsidRDefault="0078167F" w:rsidP="0078167F"/>
    <w:p w:rsidR="0078167F" w:rsidRDefault="0078167F" w:rsidP="0078167F">
      <w:pPr>
        <w:jc w:val="left"/>
        <w:sectPr w:rsidR="0078167F" w:rsidSect="002D1696">
          <w:headerReference w:type="default" r:id="rId39"/>
          <w:pgSz w:w="11907" w:h="16840" w:code="9"/>
          <w:pgMar w:top="510" w:right="1134" w:bottom="1134" w:left="1134" w:header="510" w:footer="680" w:gutter="0"/>
          <w:pgNumType w:start="1"/>
          <w:cols w:space="720"/>
          <w:titlePg/>
        </w:sectPr>
      </w:pPr>
    </w:p>
    <w:p w:rsidR="0078167F" w:rsidRPr="0075031D" w:rsidRDefault="00C55E19" w:rsidP="0078167F">
      <w:pPr>
        <w:jc w:val="center"/>
      </w:pPr>
      <w:r>
        <w:lastRenderedPageBreak/>
        <w:t>C/55/INF/4</w:t>
      </w:r>
    </w:p>
    <w:p w:rsidR="0078167F" w:rsidRPr="0075031D" w:rsidRDefault="0078167F" w:rsidP="0078167F">
      <w:pPr>
        <w:jc w:val="center"/>
      </w:pPr>
    </w:p>
    <w:p w:rsidR="0078167F" w:rsidRPr="0075031D" w:rsidRDefault="00E80B45" w:rsidP="0078167F">
      <w:pPr>
        <w:jc w:val="center"/>
      </w:pPr>
      <w:r>
        <w:t>ANEXO</w:t>
      </w:r>
      <w:r w:rsidR="0078167F" w:rsidRPr="0075031D">
        <w:t xml:space="preserve"> </w:t>
      </w:r>
      <w:r w:rsidR="0078167F">
        <w:t>XII</w:t>
      </w:r>
      <w:r w:rsidR="0078167F" w:rsidRPr="0075031D">
        <w:t>I</w:t>
      </w:r>
    </w:p>
    <w:p w:rsidR="0078167F" w:rsidRPr="0075031D" w:rsidRDefault="0078167F" w:rsidP="0078167F">
      <w:pPr>
        <w:jc w:val="center"/>
      </w:pPr>
    </w:p>
    <w:p w:rsidR="0078167F" w:rsidRDefault="0078167F" w:rsidP="0078167F">
      <w:pPr>
        <w:jc w:val="center"/>
      </w:pPr>
    </w:p>
    <w:p w:rsidR="00EC2B3C" w:rsidRPr="00592F7C" w:rsidRDefault="003F3E27" w:rsidP="00EC2B3C">
      <w:pPr>
        <w:jc w:val="center"/>
        <w:rPr>
          <w:lang w:val="es-ES"/>
        </w:rPr>
      </w:pPr>
      <w:r>
        <w:t>SERBIA</w:t>
      </w:r>
    </w:p>
    <w:p w:rsidR="00EC2B3C" w:rsidRPr="00592F7C" w:rsidRDefault="00EC2B3C" w:rsidP="00EC2B3C">
      <w:pPr>
        <w:jc w:val="center"/>
        <w:rPr>
          <w:lang w:val="es-ES"/>
        </w:rPr>
      </w:pPr>
    </w:p>
    <w:p w:rsidR="00EC2B3C" w:rsidRPr="00592F7C" w:rsidRDefault="00EC2B3C" w:rsidP="00EC2B3C">
      <w:pPr>
        <w:jc w:val="center"/>
        <w:rPr>
          <w:lang w:val="es-ES"/>
        </w:rPr>
      </w:pPr>
    </w:p>
    <w:p w:rsidR="00602633" w:rsidRPr="000657C2" w:rsidRDefault="00602633" w:rsidP="00602633">
      <w:pPr>
        <w:rPr>
          <w:lang w:val="es-ES"/>
        </w:rPr>
      </w:pPr>
      <w:r w:rsidRPr="000657C2">
        <w:rPr>
          <w:lang w:val="es-ES"/>
        </w:rPr>
        <w:t>I.</w:t>
      </w:r>
      <w:r w:rsidRPr="000657C2">
        <w:rPr>
          <w:lang w:val="es-ES"/>
        </w:rPr>
        <w:tab/>
        <w:t>PROTECCIÓN DE LAS OBTENCIONES VEGETALES</w:t>
      </w:r>
    </w:p>
    <w:p w:rsidR="00602633" w:rsidRPr="000657C2" w:rsidRDefault="00602633" w:rsidP="00602633">
      <w:pPr>
        <w:rPr>
          <w:lang w:val="es-ES"/>
        </w:rPr>
      </w:pPr>
    </w:p>
    <w:p w:rsidR="00602633" w:rsidRPr="000657C2" w:rsidRDefault="00602633" w:rsidP="00602633">
      <w:pPr>
        <w:rPr>
          <w:u w:val="single"/>
          <w:lang w:val="es-ES"/>
        </w:rPr>
      </w:pPr>
      <w:r w:rsidRPr="000657C2">
        <w:rPr>
          <w:lang w:val="es-ES"/>
        </w:rPr>
        <w:t xml:space="preserve">1. </w:t>
      </w:r>
      <w:r w:rsidRPr="000657C2">
        <w:rPr>
          <w:lang w:val="es-ES"/>
        </w:rPr>
        <w:tab/>
      </w:r>
      <w:r w:rsidRPr="000657C2">
        <w:rPr>
          <w:u w:val="single"/>
          <w:lang w:val="es-ES"/>
        </w:rPr>
        <w:t>Situación en el ámbito legislativo</w:t>
      </w:r>
    </w:p>
    <w:p w:rsidR="00602633" w:rsidRPr="000657C2" w:rsidRDefault="00602633" w:rsidP="00602633">
      <w:pPr>
        <w:rPr>
          <w:lang w:val="es-ES"/>
        </w:rPr>
      </w:pPr>
    </w:p>
    <w:p w:rsidR="00602633" w:rsidRPr="000657C2" w:rsidRDefault="00602633" w:rsidP="00602633">
      <w:pPr>
        <w:ind w:left="567"/>
        <w:rPr>
          <w:rFonts w:cs="Arial"/>
          <w:lang w:val="es-ES"/>
        </w:rPr>
      </w:pPr>
      <w:r w:rsidRPr="000657C2">
        <w:rPr>
          <w:lang w:val="es-ES"/>
        </w:rPr>
        <w:t>1.1</w:t>
      </w:r>
      <w:r w:rsidRPr="000657C2">
        <w:rPr>
          <w:lang w:val="es-ES"/>
        </w:rPr>
        <w:tab/>
        <w:t>Modificaciones de la ley y de los reglamentos: No se han producido cambios</w:t>
      </w:r>
      <w:r w:rsidRPr="000657C2">
        <w:rPr>
          <w:rFonts w:cs="Arial"/>
          <w:lang w:val="es-ES"/>
        </w:rPr>
        <w:t>.</w:t>
      </w:r>
    </w:p>
    <w:p w:rsidR="00602633" w:rsidRPr="000657C2" w:rsidRDefault="00602633" w:rsidP="00602633">
      <w:pPr>
        <w:ind w:left="567"/>
        <w:rPr>
          <w:lang w:val="es-ES"/>
        </w:rPr>
      </w:pPr>
    </w:p>
    <w:p w:rsidR="00602633" w:rsidRPr="000657C2" w:rsidRDefault="00602633" w:rsidP="00602633">
      <w:pPr>
        <w:ind w:left="567"/>
        <w:rPr>
          <w:lang w:val="es-ES"/>
        </w:rPr>
      </w:pPr>
      <w:r w:rsidRPr="000657C2">
        <w:rPr>
          <w:lang w:val="es-ES"/>
        </w:rPr>
        <w:t>-</w:t>
      </w:r>
      <w:r w:rsidRPr="000657C2">
        <w:rPr>
          <w:lang w:val="es-ES"/>
        </w:rPr>
        <w:tab/>
        <w:t>Otras modificaciones, incluidas las que atañen a las tasas:</w:t>
      </w:r>
    </w:p>
    <w:p w:rsidR="00602633" w:rsidRPr="000657C2" w:rsidRDefault="00602633" w:rsidP="00602633">
      <w:pPr>
        <w:ind w:left="567"/>
        <w:rPr>
          <w:lang w:val="es-ES"/>
        </w:rPr>
      </w:pPr>
    </w:p>
    <w:p w:rsidR="00602633" w:rsidRPr="000657C2" w:rsidRDefault="00602633" w:rsidP="00602633">
      <w:pPr>
        <w:ind w:left="567"/>
        <w:rPr>
          <w:lang w:val="es-ES"/>
        </w:rPr>
      </w:pPr>
      <w:r w:rsidRPr="000657C2">
        <w:rPr>
          <w:lang w:val="es-ES"/>
        </w:rPr>
        <w:t>Las nuevas tasas relacionadas con los derechos de obtentor se encuentran recogidas en la Ley de Tasas Administrativas (Boletín Oficial de la República de Serbia N.º 62/21, texto consolidado), y están en vigor desde el 1 de julio de 2021.</w:t>
      </w:r>
    </w:p>
    <w:p w:rsidR="00602633" w:rsidRPr="000657C2" w:rsidRDefault="00602633" w:rsidP="00602633">
      <w:pPr>
        <w:rPr>
          <w:lang w:val="es-ES"/>
        </w:rPr>
      </w:pPr>
    </w:p>
    <w:p w:rsidR="00602633" w:rsidRPr="000657C2" w:rsidRDefault="00602633" w:rsidP="00602633">
      <w:pPr>
        <w:ind w:left="567"/>
        <w:rPr>
          <w:lang w:val="es-ES"/>
        </w:rPr>
      </w:pPr>
      <w:r w:rsidRPr="000657C2">
        <w:rPr>
          <w:lang w:val="es-ES"/>
        </w:rPr>
        <w:t>1.2</w:t>
      </w:r>
      <w:r w:rsidRPr="000657C2">
        <w:rPr>
          <w:lang w:val="es-ES"/>
        </w:rPr>
        <w:tab/>
        <w:t>Extensión de la protección a otros géneros y especies</w:t>
      </w:r>
    </w:p>
    <w:p w:rsidR="00602633" w:rsidRPr="000657C2" w:rsidRDefault="00602633" w:rsidP="00602633">
      <w:pPr>
        <w:ind w:left="567"/>
        <w:rPr>
          <w:lang w:val="es-ES"/>
        </w:rPr>
      </w:pPr>
    </w:p>
    <w:p w:rsidR="00602633" w:rsidRPr="000657C2" w:rsidRDefault="00602633" w:rsidP="00602633">
      <w:pPr>
        <w:ind w:left="567"/>
        <w:rPr>
          <w:rFonts w:cs="Arial"/>
          <w:lang w:val="es-ES"/>
        </w:rPr>
      </w:pPr>
      <w:r w:rsidRPr="000657C2">
        <w:rPr>
          <w:rFonts w:cs="Arial"/>
          <w:lang w:val="es-ES"/>
        </w:rPr>
        <w:t>Todos los géneros y especies vegetales son susceptibles de protección en virtud de la Ley de Protección de los Derechos de Obtentor (Boletín Oficial de la República de Serbia, N.º 41/2009 y 88/2011).</w:t>
      </w:r>
    </w:p>
    <w:p w:rsidR="00602633" w:rsidRPr="000657C2" w:rsidRDefault="00602633" w:rsidP="00602633">
      <w:pPr>
        <w:rPr>
          <w:lang w:val="es-ES"/>
        </w:rPr>
      </w:pPr>
    </w:p>
    <w:p w:rsidR="00602633" w:rsidRPr="000657C2" w:rsidRDefault="00602633" w:rsidP="00602633">
      <w:pPr>
        <w:rPr>
          <w:lang w:val="es-ES"/>
        </w:rPr>
      </w:pPr>
    </w:p>
    <w:p w:rsidR="00602633" w:rsidRPr="000657C2" w:rsidRDefault="00602633" w:rsidP="00602633">
      <w:pPr>
        <w:rPr>
          <w:lang w:val="es-ES"/>
        </w:rPr>
      </w:pPr>
      <w:r w:rsidRPr="000657C2">
        <w:rPr>
          <w:lang w:val="es-ES"/>
        </w:rPr>
        <w:t>2.</w:t>
      </w:r>
      <w:r w:rsidRPr="000657C2">
        <w:rPr>
          <w:lang w:val="es-ES"/>
        </w:rPr>
        <w:tab/>
      </w:r>
      <w:r w:rsidRPr="000657C2">
        <w:rPr>
          <w:u w:val="single"/>
          <w:lang w:val="es-ES"/>
        </w:rPr>
        <w:t>Cooperación en el examen</w:t>
      </w:r>
      <w:r w:rsidRPr="000657C2">
        <w:rPr>
          <w:lang w:val="es-ES"/>
        </w:rPr>
        <w:t>: No se han producido cambios.</w:t>
      </w:r>
    </w:p>
    <w:p w:rsidR="00602633" w:rsidRPr="000657C2" w:rsidRDefault="00602633" w:rsidP="00602633">
      <w:pPr>
        <w:rPr>
          <w:lang w:val="es-ES"/>
        </w:rPr>
      </w:pPr>
    </w:p>
    <w:p w:rsidR="00602633" w:rsidRPr="000657C2" w:rsidRDefault="00602633" w:rsidP="00602633">
      <w:pPr>
        <w:rPr>
          <w:lang w:val="es-ES"/>
        </w:rPr>
      </w:pPr>
    </w:p>
    <w:p w:rsidR="00602633" w:rsidRPr="000657C2" w:rsidRDefault="00602633" w:rsidP="00602633">
      <w:pPr>
        <w:rPr>
          <w:u w:val="single"/>
          <w:lang w:val="es-ES"/>
        </w:rPr>
      </w:pPr>
      <w:r w:rsidRPr="000657C2">
        <w:rPr>
          <w:lang w:val="es-ES"/>
        </w:rPr>
        <w:t>3.</w:t>
      </w:r>
      <w:r w:rsidRPr="000657C2">
        <w:rPr>
          <w:lang w:val="es-ES"/>
        </w:rPr>
        <w:tab/>
      </w:r>
      <w:r w:rsidRPr="000657C2">
        <w:rPr>
          <w:u w:val="single"/>
          <w:lang w:val="es-ES"/>
        </w:rPr>
        <w:t>Situación en el ámbito administrativo</w:t>
      </w:r>
    </w:p>
    <w:p w:rsidR="00602633" w:rsidRPr="000657C2" w:rsidRDefault="00602633" w:rsidP="00602633">
      <w:pPr>
        <w:rPr>
          <w:lang w:val="es-ES"/>
        </w:rPr>
      </w:pPr>
    </w:p>
    <w:p w:rsidR="00602633" w:rsidRPr="000657C2" w:rsidRDefault="00602633" w:rsidP="00602633">
      <w:pPr>
        <w:ind w:left="567"/>
        <w:rPr>
          <w:rFonts w:cs="Arial"/>
          <w:lang w:val="es-ES"/>
        </w:rPr>
      </w:pPr>
      <w:r w:rsidRPr="000657C2">
        <w:rPr>
          <w:lang w:val="es-ES"/>
        </w:rPr>
        <w:t>-</w:t>
      </w:r>
      <w:r w:rsidRPr="000657C2">
        <w:rPr>
          <w:lang w:val="es-ES"/>
        </w:rPr>
        <w:tab/>
        <w:t xml:space="preserve">Cambios en la estructura administrativa: </w:t>
      </w:r>
      <w:r w:rsidRPr="000657C2">
        <w:rPr>
          <w:rFonts w:cs="Arial"/>
          <w:lang w:val="es-ES"/>
        </w:rPr>
        <w:t>No se han producido cambios.</w:t>
      </w:r>
    </w:p>
    <w:p w:rsidR="00602633" w:rsidRPr="000657C2" w:rsidRDefault="00602633" w:rsidP="00602633">
      <w:pPr>
        <w:rPr>
          <w:rFonts w:cs="Arial"/>
          <w:lang w:val="es-ES"/>
        </w:rPr>
      </w:pPr>
    </w:p>
    <w:p w:rsidR="00602633" w:rsidRPr="000657C2" w:rsidRDefault="00602633" w:rsidP="00602633">
      <w:pPr>
        <w:ind w:left="567"/>
        <w:rPr>
          <w:rFonts w:cs="Arial"/>
          <w:lang w:val="es-ES"/>
        </w:rPr>
      </w:pPr>
      <w:r w:rsidRPr="000657C2">
        <w:rPr>
          <w:rFonts w:cs="Arial"/>
          <w:lang w:val="es-ES"/>
        </w:rPr>
        <w:t>La Dirección de Protección Vegetal, dependiente del Ministerio de Agricultura, Silvicultura y Gestión de Recursos Hídricos, es el organismo designado para la protección de los derechos de obtentor en la República de Serbia. Asimismo, lleva a cabo tareas relacionadas con la protección de los vegetales contra los organismos nocivos; la autorización y el control de los productos fitosanitarios, los abonos y los fertilizantes; la autorización y el control del uso de productos fitosanitarios; el registro de las variedades vegetales en la lista nacional; la seguridad biológica (organismos genéticamente modificados), y las inspecciones fitosanitarias. Dentro de la Dirección de Protección Vegetal, el Grupo para la Protección de las Variedades Vegetales y la Bioseguridad ejerce funciones administrativas concernientes a las disposiciones de la Ley de Protección de los Derechos de Obtentor y a la concesión de los títulos de obtentor, y realiza labores relacionadas con los organismos genéticamente modificados.</w:t>
      </w:r>
    </w:p>
    <w:p w:rsidR="00602633" w:rsidRPr="000657C2" w:rsidRDefault="00602633" w:rsidP="00602633">
      <w:pPr>
        <w:rPr>
          <w:lang w:val="es-ES"/>
        </w:rPr>
      </w:pPr>
    </w:p>
    <w:p w:rsidR="00602633" w:rsidRPr="000657C2" w:rsidRDefault="00602633" w:rsidP="00602633">
      <w:pPr>
        <w:ind w:left="567"/>
        <w:rPr>
          <w:rFonts w:cs="Arial"/>
          <w:lang w:val="es-ES"/>
        </w:rPr>
      </w:pPr>
      <w:r w:rsidRPr="000657C2">
        <w:rPr>
          <w:lang w:val="es-ES"/>
        </w:rPr>
        <w:t>-</w:t>
      </w:r>
      <w:r w:rsidRPr="000657C2">
        <w:rPr>
          <w:lang w:val="es-ES"/>
        </w:rPr>
        <w:tab/>
        <w:t xml:space="preserve">Cambios en los procedimientos y sistemas administrativos: </w:t>
      </w:r>
      <w:r w:rsidRPr="000657C2">
        <w:rPr>
          <w:rFonts w:cs="Arial"/>
          <w:lang w:val="es-ES"/>
        </w:rPr>
        <w:t>No se han producido cambios.</w:t>
      </w:r>
    </w:p>
    <w:p w:rsidR="00602633" w:rsidRPr="000657C2" w:rsidRDefault="00602633" w:rsidP="00602633">
      <w:pPr>
        <w:rPr>
          <w:lang w:val="es-ES"/>
        </w:rPr>
      </w:pPr>
    </w:p>
    <w:p w:rsidR="00602633" w:rsidRPr="000657C2" w:rsidRDefault="00602633" w:rsidP="00602633">
      <w:pPr>
        <w:rPr>
          <w:lang w:val="es-ES"/>
        </w:rPr>
      </w:pPr>
    </w:p>
    <w:p w:rsidR="00602633" w:rsidRPr="000657C2" w:rsidRDefault="00602633" w:rsidP="00602633">
      <w:pPr>
        <w:rPr>
          <w:lang w:val="es-ES"/>
        </w:rPr>
      </w:pPr>
      <w:r w:rsidRPr="000657C2">
        <w:rPr>
          <w:lang w:val="es-ES"/>
        </w:rPr>
        <w:t>4.</w:t>
      </w:r>
      <w:r w:rsidRPr="000657C2">
        <w:rPr>
          <w:lang w:val="es-ES"/>
        </w:rPr>
        <w:tab/>
      </w:r>
      <w:r w:rsidRPr="000657C2">
        <w:rPr>
          <w:u w:val="single"/>
          <w:lang w:val="es-ES"/>
        </w:rPr>
        <w:t>Situación en el ámbito técnico</w:t>
      </w:r>
    </w:p>
    <w:p w:rsidR="00602633" w:rsidRPr="000657C2" w:rsidRDefault="00602633" w:rsidP="00602633">
      <w:pPr>
        <w:rPr>
          <w:lang w:val="es-ES"/>
        </w:rPr>
      </w:pPr>
    </w:p>
    <w:p w:rsidR="00602633" w:rsidRPr="000657C2" w:rsidRDefault="00602633" w:rsidP="00602633">
      <w:pPr>
        <w:rPr>
          <w:rFonts w:cs="Arial"/>
          <w:color w:val="000000"/>
          <w:spacing w:val="-2"/>
          <w:lang w:val="es-ES"/>
        </w:rPr>
      </w:pPr>
      <w:r w:rsidRPr="000657C2">
        <w:rPr>
          <w:rFonts w:cs="Arial"/>
          <w:color w:val="000000"/>
          <w:spacing w:val="-2"/>
          <w:lang w:val="es-ES"/>
        </w:rPr>
        <w:t>Serbia participa en la herramienta de solicitud de derechos de obtentor UPOV PRISMA.</w:t>
      </w:r>
    </w:p>
    <w:p w:rsidR="00602633" w:rsidRPr="000657C2" w:rsidRDefault="00602633" w:rsidP="00602633">
      <w:pPr>
        <w:rPr>
          <w:rFonts w:cs="Arial"/>
          <w:color w:val="000000"/>
          <w:spacing w:val="-2"/>
          <w:lang w:val="es-ES"/>
        </w:rPr>
      </w:pPr>
    </w:p>
    <w:p w:rsidR="00602633" w:rsidRPr="000657C2" w:rsidRDefault="00602633" w:rsidP="00602633">
      <w:pPr>
        <w:rPr>
          <w:rFonts w:cs="Arial"/>
          <w:kern w:val="28"/>
          <w:lang w:val="es-ES"/>
        </w:rPr>
      </w:pPr>
      <w:r w:rsidRPr="000657C2">
        <w:rPr>
          <w:rFonts w:cs="Arial"/>
          <w:lang w:val="es-ES" w:bidi="ne-NP"/>
        </w:rPr>
        <w:t>Desde septiembre de 2020 hasta septiembre de 2021, se han concedi</w:t>
      </w:r>
      <w:r>
        <w:rPr>
          <w:rFonts w:cs="Arial"/>
          <w:lang w:val="es-ES" w:bidi="ne-NP"/>
        </w:rPr>
        <w:t>do derechos de obtentor para 54 </w:t>
      </w:r>
      <w:r w:rsidRPr="000657C2">
        <w:rPr>
          <w:rFonts w:cs="Arial"/>
          <w:lang w:val="es-ES" w:bidi="ne-NP"/>
        </w:rPr>
        <w:t>variedades vegetales, sobre la base de los resultados del examen de las variedades vegetales y las propuestas del Consejo de Expertos para la Protección de los Derechos de Obtentor, como órgano especial de expertos de la Dirección de Protección Vegetal, dependiente del Ministerio de Agricultura, Silvicultura y Gestión de Recursos Hídricos.</w:t>
      </w:r>
    </w:p>
    <w:p w:rsidR="00602633" w:rsidRPr="000657C2" w:rsidRDefault="00602633" w:rsidP="00602633">
      <w:pPr>
        <w:rPr>
          <w:rFonts w:cs="Arial"/>
          <w:lang w:val="es-ES"/>
        </w:rPr>
      </w:pPr>
    </w:p>
    <w:p w:rsidR="00602633" w:rsidRPr="000657C2" w:rsidRDefault="00602633" w:rsidP="00602633">
      <w:pPr>
        <w:rPr>
          <w:rFonts w:cs="Arial"/>
          <w:lang w:val="es-ES"/>
        </w:rPr>
      </w:pPr>
      <w:r w:rsidRPr="000657C2">
        <w:rPr>
          <w:rFonts w:cs="Arial"/>
          <w:lang w:val="es-ES"/>
        </w:rPr>
        <w:t>En la página web</w:t>
      </w:r>
      <w:r>
        <w:rPr>
          <w:rFonts w:cs="Arial"/>
          <w:lang w:val="es-ES"/>
        </w:rPr>
        <w:t xml:space="preserve"> que se indica a continuación</w:t>
      </w:r>
      <w:r w:rsidRPr="000657C2">
        <w:rPr>
          <w:rFonts w:cs="Arial"/>
          <w:lang w:val="es-ES"/>
        </w:rPr>
        <w:t xml:space="preserve"> se pueden consultar los registros de protección de obtenciones vegetales, así como otros datos relacionados con los derechos de obtentor:</w:t>
      </w:r>
    </w:p>
    <w:p w:rsidR="00602633" w:rsidRPr="000657C2" w:rsidRDefault="00602633" w:rsidP="00602633">
      <w:pPr>
        <w:rPr>
          <w:rFonts w:cs="Arial"/>
          <w:lang w:val="es-ES"/>
        </w:rPr>
      </w:pPr>
      <w:hyperlink r:id="rId40" w:history="1">
        <w:r w:rsidRPr="000657C2">
          <w:rPr>
            <w:rStyle w:val="Hyperlink"/>
            <w:rFonts w:cs="Arial"/>
            <w:lang w:val="es-ES"/>
          </w:rPr>
          <w:t>https://www.uzb.minpolj.gov.rs/index.php?option=com_content&amp;view=article&amp;id=61&amp;Itemid=14&amp;lang=en</w:t>
        </w:r>
      </w:hyperlink>
    </w:p>
    <w:p w:rsidR="00602633" w:rsidRPr="000657C2" w:rsidRDefault="00602633" w:rsidP="00602633">
      <w:pPr>
        <w:rPr>
          <w:lang w:val="es-ES"/>
        </w:rPr>
      </w:pPr>
    </w:p>
    <w:p w:rsidR="00EC2B3C" w:rsidRPr="00592F7C" w:rsidRDefault="00EC2B3C" w:rsidP="00EC2B3C">
      <w:pPr>
        <w:jc w:val="left"/>
        <w:rPr>
          <w:lang w:val="es-ES"/>
        </w:rPr>
      </w:pPr>
    </w:p>
    <w:p w:rsidR="0078167F" w:rsidRDefault="0078167F" w:rsidP="0078167F">
      <w:pPr>
        <w:jc w:val="left"/>
      </w:pPr>
    </w:p>
    <w:p w:rsidR="0078167F" w:rsidRDefault="00E80B45" w:rsidP="004939B6">
      <w:pPr>
        <w:jc w:val="right"/>
      </w:pPr>
      <w:r>
        <w:t>[Sigue el Anexo</w:t>
      </w:r>
      <w:r w:rsidR="0078167F">
        <w:t xml:space="preserve"> XIV</w:t>
      </w:r>
      <w:r>
        <w:t>]</w:t>
      </w:r>
    </w:p>
    <w:p w:rsidR="0078167F" w:rsidRDefault="0078167F" w:rsidP="0078167F">
      <w:pPr>
        <w:jc w:val="left"/>
        <w:sectPr w:rsidR="0078167F" w:rsidSect="002D1696">
          <w:headerReference w:type="default" r:id="rId41"/>
          <w:pgSz w:w="11907" w:h="16840" w:code="9"/>
          <w:pgMar w:top="510" w:right="1134" w:bottom="1134" w:left="1134" w:header="510" w:footer="680" w:gutter="0"/>
          <w:pgNumType w:start="1"/>
          <w:cols w:space="720"/>
          <w:titlePg/>
        </w:sectPr>
      </w:pPr>
    </w:p>
    <w:p w:rsidR="0078167F" w:rsidRPr="0075031D" w:rsidRDefault="00C55E19" w:rsidP="0078167F">
      <w:pPr>
        <w:jc w:val="center"/>
      </w:pPr>
      <w:r>
        <w:lastRenderedPageBreak/>
        <w:t>C/55/INF/4</w:t>
      </w:r>
    </w:p>
    <w:p w:rsidR="0078167F" w:rsidRPr="0075031D" w:rsidRDefault="0078167F" w:rsidP="0078167F">
      <w:pPr>
        <w:jc w:val="center"/>
      </w:pPr>
    </w:p>
    <w:p w:rsidR="0078167F" w:rsidRPr="0075031D" w:rsidRDefault="00E80B45" w:rsidP="0078167F">
      <w:pPr>
        <w:jc w:val="center"/>
      </w:pPr>
      <w:r>
        <w:t>ANEXO</w:t>
      </w:r>
      <w:r w:rsidR="0078167F">
        <w:t xml:space="preserve"> XIV</w:t>
      </w:r>
    </w:p>
    <w:p w:rsidR="0078167F" w:rsidRPr="0075031D" w:rsidRDefault="0078167F" w:rsidP="0078167F">
      <w:pPr>
        <w:jc w:val="center"/>
      </w:pPr>
    </w:p>
    <w:p w:rsidR="0078167F" w:rsidRDefault="0078167F" w:rsidP="0078167F">
      <w:pPr>
        <w:jc w:val="center"/>
      </w:pPr>
    </w:p>
    <w:p w:rsidR="00EC2B3C" w:rsidRPr="00592F7C" w:rsidRDefault="00EC2B3C" w:rsidP="00EC2B3C">
      <w:pPr>
        <w:jc w:val="center"/>
        <w:rPr>
          <w:lang w:val="es-ES"/>
        </w:rPr>
      </w:pPr>
      <w:r w:rsidRPr="00CC39C6">
        <w:t>SINGAPUR</w:t>
      </w:r>
    </w:p>
    <w:p w:rsidR="00EC2B3C" w:rsidRPr="00592F7C" w:rsidRDefault="00EC2B3C" w:rsidP="00EC2B3C">
      <w:pPr>
        <w:jc w:val="center"/>
        <w:rPr>
          <w:lang w:val="es-ES"/>
        </w:rPr>
      </w:pPr>
    </w:p>
    <w:p w:rsidR="00EC2B3C" w:rsidRPr="00592F7C" w:rsidRDefault="00EC2B3C" w:rsidP="00EC2B3C">
      <w:pPr>
        <w:jc w:val="center"/>
        <w:rPr>
          <w:lang w:val="es-ES"/>
        </w:rPr>
      </w:pPr>
    </w:p>
    <w:p w:rsidR="004939B6" w:rsidRPr="000657C2" w:rsidRDefault="004939B6" w:rsidP="004939B6">
      <w:pPr>
        <w:rPr>
          <w:lang w:val="es-ES"/>
        </w:rPr>
      </w:pPr>
      <w:r w:rsidRPr="000657C2">
        <w:rPr>
          <w:lang w:val="es-ES"/>
        </w:rPr>
        <w:t>I.</w:t>
      </w:r>
      <w:r w:rsidRPr="000657C2">
        <w:rPr>
          <w:lang w:val="es-ES"/>
        </w:rPr>
        <w:tab/>
        <w:t>PROTECCIÓN DE LAS OBTENCIONES VEGETALES</w:t>
      </w:r>
    </w:p>
    <w:p w:rsidR="004939B6" w:rsidRPr="000657C2" w:rsidRDefault="004939B6" w:rsidP="004939B6">
      <w:pPr>
        <w:rPr>
          <w:lang w:val="es-ES"/>
        </w:rPr>
      </w:pPr>
    </w:p>
    <w:p w:rsidR="004939B6" w:rsidRPr="000657C2" w:rsidRDefault="004939B6" w:rsidP="004939B6">
      <w:pPr>
        <w:rPr>
          <w:lang w:val="es-ES"/>
        </w:rPr>
      </w:pPr>
      <w:r w:rsidRPr="000657C2">
        <w:rPr>
          <w:lang w:val="es-ES"/>
        </w:rPr>
        <w:t xml:space="preserve">1. </w:t>
      </w:r>
      <w:r w:rsidRPr="000657C2">
        <w:rPr>
          <w:lang w:val="es-ES"/>
        </w:rPr>
        <w:tab/>
      </w:r>
      <w:r w:rsidRPr="000657C2">
        <w:rPr>
          <w:u w:val="single"/>
          <w:lang w:val="es-ES"/>
        </w:rPr>
        <w:t>Situación en el ámbito legislativo</w:t>
      </w:r>
    </w:p>
    <w:p w:rsidR="004939B6" w:rsidRPr="000657C2" w:rsidRDefault="004939B6" w:rsidP="004939B6">
      <w:pPr>
        <w:rPr>
          <w:lang w:val="es-ES"/>
        </w:rPr>
      </w:pPr>
    </w:p>
    <w:p w:rsidR="004939B6" w:rsidRPr="000657C2" w:rsidRDefault="004939B6" w:rsidP="004939B6">
      <w:pPr>
        <w:ind w:left="567"/>
        <w:rPr>
          <w:lang w:val="es-ES"/>
        </w:rPr>
      </w:pPr>
      <w:r w:rsidRPr="000657C2">
        <w:rPr>
          <w:lang w:val="es-ES"/>
        </w:rPr>
        <w:t>1.1</w:t>
      </w:r>
      <w:r w:rsidRPr="000657C2">
        <w:rPr>
          <w:lang w:val="es-ES"/>
        </w:rPr>
        <w:tab/>
        <w:t>Modificaciones de la ley y de los reglamentos</w:t>
      </w:r>
    </w:p>
    <w:p w:rsidR="004939B6" w:rsidRPr="000657C2" w:rsidRDefault="004939B6" w:rsidP="004939B6">
      <w:pPr>
        <w:ind w:left="567"/>
        <w:rPr>
          <w:lang w:val="es-ES"/>
        </w:rPr>
      </w:pPr>
    </w:p>
    <w:p w:rsidR="004939B6" w:rsidRPr="000657C2" w:rsidRDefault="004939B6" w:rsidP="004939B6">
      <w:pPr>
        <w:ind w:left="567"/>
        <w:rPr>
          <w:lang w:val="es-ES"/>
        </w:rPr>
      </w:pPr>
      <w:r w:rsidRPr="000657C2">
        <w:rPr>
          <w:lang w:val="es-ES"/>
        </w:rPr>
        <w:t>No se ha realizado ninguna modificación de la legislación de Singapur en materia de protección de obtenciones vegetales tras el informe presentado al Consejo en 2020.</w:t>
      </w:r>
    </w:p>
    <w:p w:rsidR="004939B6" w:rsidRPr="000657C2" w:rsidRDefault="004939B6" w:rsidP="004939B6">
      <w:pPr>
        <w:ind w:left="567"/>
        <w:rPr>
          <w:lang w:val="es-ES"/>
        </w:rPr>
      </w:pPr>
    </w:p>
    <w:p w:rsidR="004939B6" w:rsidRPr="000657C2" w:rsidRDefault="004939B6" w:rsidP="004939B6">
      <w:pPr>
        <w:ind w:left="567"/>
        <w:rPr>
          <w:lang w:val="es-ES"/>
        </w:rPr>
      </w:pPr>
      <w:r w:rsidRPr="000657C2">
        <w:rPr>
          <w:lang w:val="es-ES"/>
        </w:rPr>
        <w:t>La legislación más reciente de Singapur en materia de protección de obtenciones vegetales es la siguiente:</w:t>
      </w:r>
    </w:p>
    <w:p w:rsidR="004939B6" w:rsidRPr="000657C2" w:rsidRDefault="004939B6" w:rsidP="004939B6">
      <w:pPr>
        <w:ind w:left="567"/>
        <w:rPr>
          <w:lang w:val="es-ES"/>
        </w:rPr>
      </w:pPr>
    </w:p>
    <w:p w:rsidR="004939B6" w:rsidRPr="000657C2" w:rsidRDefault="004939B6" w:rsidP="004939B6">
      <w:pPr>
        <w:numPr>
          <w:ilvl w:val="0"/>
          <w:numId w:val="10"/>
        </w:numPr>
        <w:ind w:left="1287"/>
        <w:jc w:val="left"/>
        <w:rPr>
          <w:lang w:val="es-ES"/>
        </w:rPr>
      </w:pPr>
      <w:r w:rsidRPr="000657C2">
        <w:rPr>
          <w:lang w:val="es-ES"/>
        </w:rPr>
        <w:t xml:space="preserve">Ley de protección de obtenciones vegetales de Singapur </w:t>
      </w:r>
    </w:p>
    <w:p w:rsidR="004939B6" w:rsidRPr="000657C2" w:rsidRDefault="004939B6" w:rsidP="004939B6">
      <w:pPr>
        <w:numPr>
          <w:ilvl w:val="0"/>
          <w:numId w:val="10"/>
        </w:numPr>
        <w:ind w:left="1287"/>
        <w:jc w:val="left"/>
        <w:rPr>
          <w:lang w:val="es-ES"/>
        </w:rPr>
      </w:pPr>
      <w:r w:rsidRPr="000657C2">
        <w:rPr>
          <w:lang w:val="es-ES"/>
        </w:rPr>
        <w:t>Reglamento de protección de obtenciones vegetales de Singapur</w:t>
      </w:r>
    </w:p>
    <w:p w:rsidR="004939B6" w:rsidRPr="000657C2" w:rsidRDefault="004939B6" w:rsidP="004939B6">
      <w:pPr>
        <w:ind w:left="567"/>
        <w:rPr>
          <w:lang w:val="es-ES"/>
        </w:rPr>
      </w:pPr>
    </w:p>
    <w:p w:rsidR="004939B6" w:rsidRPr="000657C2" w:rsidRDefault="004939B6" w:rsidP="004939B6">
      <w:pPr>
        <w:ind w:left="567"/>
        <w:rPr>
          <w:lang w:val="es-ES"/>
        </w:rPr>
      </w:pPr>
      <w:r w:rsidRPr="000657C2">
        <w:rPr>
          <w:lang w:val="es-ES"/>
        </w:rPr>
        <w:t>1.2</w:t>
      </w:r>
      <w:r w:rsidRPr="000657C2">
        <w:rPr>
          <w:lang w:val="es-ES"/>
        </w:rPr>
        <w:tab/>
        <w:t>Extensión de la protección a otros géneros y especies</w:t>
      </w:r>
    </w:p>
    <w:p w:rsidR="004939B6" w:rsidRPr="000657C2" w:rsidRDefault="004939B6" w:rsidP="004939B6">
      <w:pPr>
        <w:ind w:left="567"/>
        <w:rPr>
          <w:lang w:val="es-ES"/>
        </w:rPr>
      </w:pPr>
    </w:p>
    <w:p w:rsidR="004939B6" w:rsidRPr="000657C2" w:rsidRDefault="004939B6" w:rsidP="004939B6">
      <w:pPr>
        <w:ind w:left="567"/>
        <w:rPr>
          <w:lang w:val="es-ES"/>
        </w:rPr>
      </w:pPr>
      <w:r w:rsidRPr="000657C2">
        <w:rPr>
          <w:lang w:val="es-ES"/>
        </w:rPr>
        <w:t>Singapur permite la protección de todos los géneros y especies vegetales desde el 30 de julio de 2014.</w:t>
      </w:r>
    </w:p>
    <w:p w:rsidR="004939B6" w:rsidRPr="000657C2" w:rsidRDefault="004939B6" w:rsidP="004939B6">
      <w:pPr>
        <w:ind w:left="567"/>
        <w:rPr>
          <w:lang w:val="es-ES"/>
        </w:rPr>
      </w:pPr>
    </w:p>
    <w:p w:rsidR="004939B6" w:rsidRPr="000657C2" w:rsidRDefault="004939B6" w:rsidP="004939B6">
      <w:pPr>
        <w:ind w:left="567"/>
        <w:rPr>
          <w:lang w:val="es-ES"/>
        </w:rPr>
      </w:pPr>
      <w:r w:rsidRPr="000657C2">
        <w:rPr>
          <w:lang w:val="es-ES"/>
        </w:rPr>
        <w:t>1.3</w:t>
      </w:r>
      <w:r w:rsidRPr="000657C2">
        <w:rPr>
          <w:lang w:val="es-ES"/>
        </w:rPr>
        <w:tab/>
        <w:t>Jurisprudencia: No se han producido novedades.</w:t>
      </w:r>
    </w:p>
    <w:p w:rsidR="004939B6" w:rsidRPr="000657C2" w:rsidRDefault="004939B6" w:rsidP="004939B6">
      <w:pPr>
        <w:rPr>
          <w:lang w:val="es-ES"/>
        </w:rPr>
      </w:pPr>
    </w:p>
    <w:p w:rsidR="004939B6" w:rsidRPr="000657C2" w:rsidRDefault="004939B6" w:rsidP="004939B6">
      <w:pPr>
        <w:rPr>
          <w:lang w:val="es-ES"/>
        </w:rPr>
      </w:pPr>
    </w:p>
    <w:p w:rsidR="004939B6" w:rsidRPr="000657C2" w:rsidRDefault="004939B6" w:rsidP="004939B6">
      <w:pPr>
        <w:rPr>
          <w:lang w:val="es-ES"/>
        </w:rPr>
      </w:pPr>
      <w:r w:rsidRPr="000657C2">
        <w:rPr>
          <w:lang w:val="es-ES"/>
        </w:rPr>
        <w:t>2.</w:t>
      </w:r>
      <w:r w:rsidRPr="000657C2">
        <w:rPr>
          <w:lang w:val="es-ES"/>
        </w:rPr>
        <w:tab/>
      </w:r>
      <w:r w:rsidRPr="000657C2">
        <w:rPr>
          <w:u w:val="single"/>
          <w:lang w:val="es-ES"/>
        </w:rPr>
        <w:t xml:space="preserve"> Cooperación en el examen</w:t>
      </w:r>
      <w:r w:rsidRPr="000657C2">
        <w:rPr>
          <w:lang w:val="es-ES"/>
        </w:rPr>
        <w:t>: No se han producido novedades.</w:t>
      </w:r>
    </w:p>
    <w:p w:rsidR="004939B6" w:rsidRPr="000657C2" w:rsidRDefault="004939B6" w:rsidP="004939B6">
      <w:pPr>
        <w:rPr>
          <w:lang w:val="es-ES"/>
        </w:rPr>
      </w:pPr>
    </w:p>
    <w:p w:rsidR="004939B6" w:rsidRPr="000657C2" w:rsidRDefault="004939B6" w:rsidP="004939B6">
      <w:pPr>
        <w:rPr>
          <w:lang w:val="es-ES"/>
        </w:rPr>
      </w:pPr>
    </w:p>
    <w:p w:rsidR="004939B6" w:rsidRPr="000657C2" w:rsidRDefault="004939B6" w:rsidP="004939B6">
      <w:pPr>
        <w:rPr>
          <w:lang w:val="es-ES"/>
        </w:rPr>
      </w:pPr>
      <w:r w:rsidRPr="000657C2">
        <w:rPr>
          <w:lang w:val="es-ES"/>
        </w:rPr>
        <w:t>3.</w:t>
      </w:r>
      <w:r w:rsidRPr="000657C2">
        <w:rPr>
          <w:lang w:val="es-ES"/>
        </w:rPr>
        <w:tab/>
      </w:r>
      <w:r w:rsidRPr="000657C2">
        <w:rPr>
          <w:u w:val="single"/>
          <w:lang w:val="es-ES"/>
        </w:rPr>
        <w:t>Situación en el ámbito administrativo</w:t>
      </w:r>
      <w:r w:rsidRPr="000657C2">
        <w:rPr>
          <w:lang w:val="es-ES"/>
        </w:rPr>
        <w:t>: No se han producido novedades.</w:t>
      </w:r>
    </w:p>
    <w:p w:rsidR="004939B6" w:rsidRPr="000657C2" w:rsidRDefault="004939B6" w:rsidP="004939B6">
      <w:pPr>
        <w:rPr>
          <w:lang w:val="es-ES"/>
        </w:rPr>
      </w:pPr>
    </w:p>
    <w:p w:rsidR="004939B6" w:rsidRPr="000657C2" w:rsidRDefault="004939B6" w:rsidP="004939B6">
      <w:pPr>
        <w:rPr>
          <w:lang w:val="es-ES"/>
        </w:rPr>
      </w:pPr>
    </w:p>
    <w:p w:rsidR="004939B6" w:rsidRPr="000657C2" w:rsidRDefault="004939B6" w:rsidP="004939B6">
      <w:pPr>
        <w:rPr>
          <w:lang w:val="es-ES"/>
        </w:rPr>
      </w:pPr>
      <w:r w:rsidRPr="000657C2">
        <w:rPr>
          <w:lang w:val="es-ES"/>
        </w:rPr>
        <w:t>4.</w:t>
      </w:r>
      <w:r w:rsidRPr="000657C2">
        <w:rPr>
          <w:lang w:val="es-ES"/>
        </w:rPr>
        <w:tab/>
      </w:r>
      <w:r w:rsidRPr="000657C2">
        <w:rPr>
          <w:u w:val="single"/>
          <w:lang w:val="es-ES"/>
        </w:rPr>
        <w:t>Situación en el ámbito técnico</w:t>
      </w:r>
      <w:r w:rsidRPr="000657C2">
        <w:rPr>
          <w:lang w:val="es-ES"/>
        </w:rPr>
        <w:t>: No se han producido novedades.</w:t>
      </w:r>
    </w:p>
    <w:p w:rsidR="004939B6" w:rsidRPr="000657C2" w:rsidRDefault="004939B6" w:rsidP="004939B6">
      <w:pPr>
        <w:rPr>
          <w:lang w:val="es-ES"/>
        </w:rPr>
      </w:pPr>
    </w:p>
    <w:p w:rsidR="004939B6" w:rsidRPr="000657C2" w:rsidRDefault="004939B6" w:rsidP="004939B6">
      <w:pPr>
        <w:rPr>
          <w:lang w:val="es-ES"/>
        </w:rPr>
      </w:pPr>
    </w:p>
    <w:p w:rsidR="004939B6" w:rsidRPr="000657C2" w:rsidRDefault="004939B6" w:rsidP="004939B6">
      <w:pPr>
        <w:ind w:left="567" w:hanging="567"/>
        <w:rPr>
          <w:lang w:val="es-ES"/>
        </w:rPr>
      </w:pPr>
      <w:r w:rsidRPr="000657C2">
        <w:rPr>
          <w:lang w:val="es-ES"/>
        </w:rPr>
        <w:t>5.</w:t>
      </w:r>
      <w:r w:rsidRPr="000657C2">
        <w:rPr>
          <w:lang w:val="es-ES"/>
        </w:rPr>
        <w:tab/>
      </w:r>
      <w:r w:rsidRPr="000657C2">
        <w:rPr>
          <w:u w:val="single"/>
          <w:lang w:val="es-ES"/>
        </w:rPr>
        <w:t>Actividades para la promoción de la protección de las obtenciones vegetales</w:t>
      </w:r>
      <w:r w:rsidRPr="000657C2">
        <w:rPr>
          <w:lang w:val="es-ES"/>
        </w:rPr>
        <w:t>: No se han producido novedades.</w:t>
      </w:r>
    </w:p>
    <w:p w:rsidR="004939B6" w:rsidRPr="000657C2" w:rsidRDefault="004939B6" w:rsidP="004939B6">
      <w:pPr>
        <w:rPr>
          <w:lang w:val="es-ES"/>
        </w:rPr>
      </w:pPr>
    </w:p>
    <w:p w:rsidR="004939B6" w:rsidRPr="000657C2" w:rsidRDefault="004939B6" w:rsidP="004939B6">
      <w:pPr>
        <w:rPr>
          <w:lang w:val="es-ES"/>
        </w:rPr>
      </w:pPr>
    </w:p>
    <w:p w:rsidR="004939B6" w:rsidRPr="000657C2" w:rsidRDefault="004939B6" w:rsidP="004939B6">
      <w:pPr>
        <w:rPr>
          <w:lang w:val="es-ES"/>
        </w:rPr>
      </w:pPr>
      <w:r w:rsidRPr="000657C2">
        <w:rPr>
          <w:lang w:val="es-ES"/>
        </w:rPr>
        <w:t>II.</w:t>
      </w:r>
      <w:r w:rsidRPr="000657C2">
        <w:rPr>
          <w:lang w:val="es-ES"/>
        </w:rPr>
        <w:tab/>
        <w:t>OTRAS NOVEDADES DE INTERÉS PARA LA UPOV</w:t>
      </w:r>
    </w:p>
    <w:p w:rsidR="004939B6" w:rsidRPr="000657C2" w:rsidRDefault="004939B6" w:rsidP="004939B6">
      <w:pPr>
        <w:rPr>
          <w:lang w:val="es-ES"/>
        </w:rPr>
      </w:pPr>
    </w:p>
    <w:p w:rsidR="004939B6" w:rsidRPr="000657C2" w:rsidRDefault="004939B6" w:rsidP="004939B6">
      <w:pPr>
        <w:rPr>
          <w:lang w:val="es-ES"/>
        </w:rPr>
      </w:pPr>
      <w:r w:rsidRPr="000657C2">
        <w:rPr>
          <w:lang w:val="es-ES"/>
        </w:rPr>
        <w:tab/>
        <w:t>No se han producido novedades.</w:t>
      </w:r>
    </w:p>
    <w:p w:rsidR="00EC2B3C" w:rsidRDefault="00EC2B3C" w:rsidP="00EC2B3C">
      <w:pPr>
        <w:rPr>
          <w:lang w:val="es-ES"/>
        </w:rPr>
      </w:pPr>
    </w:p>
    <w:p w:rsidR="004939B6" w:rsidRPr="00592F7C" w:rsidRDefault="004939B6" w:rsidP="00EC2B3C">
      <w:pPr>
        <w:rPr>
          <w:lang w:val="es-ES"/>
        </w:rPr>
      </w:pPr>
    </w:p>
    <w:p w:rsidR="00EC2B3C" w:rsidRPr="00592F7C" w:rsidRDefault="00EC2B3C" w:rsidP="00EC2B3C">
      <w:pPr>
        <w:rPr>
          <w:lang w:val="es-ES"/>
        </w:rPr>
      </w:pPr>
    </w:p>
    <w:p w:rsidR="0078167F" w:rsidRDefault="00E80B45" w:rsidP="00EC2B3C">
      <w:pPr>
        <w:jc w:val="right"/>
      </w:pPr>
      <w:r>
        <w:t>[Sigue el Anexo</w:t>
      </w:r>
      <w:r w:rsidR="0078167F">
        <w:t xml:space="preserve"> XV</w:t>
      </w:r>
      <w:r>
        <w:t>]</w:t>
      </w:r>
    </w:p>
    <w:p w:rsidR="0078167F" w:rsidRDefault="0078167F" w:rsidP="0078167F">
      <w:pPr>
        <w:jc w:val="left"/>
        <w:sectPr w:rsidR="0078167F" w:rsidSect="00EC2B3C">
          <w:headerReference w:type="default" r:id="rId42"/>
          <w:pgSz w:w="11907" w:h="16840" w:code="9"/>
          <w:pgMar w:top="510" w:right="1134" w:bottom="851" w:left="1134" w:header="510" w:footer="680" w:gutter="0"/>
          <w:pgNumType w:start="1"/>
          <w:cols w:space="720"/>
          <w:titlePg/>
        </w:sectPr>
      </w:pPr>
    </w:p>
    <w:p w:rsidR="0078167F" w:rsidRPr="0075031D" w:rsidRDefault="00C55E19" w:rsidP="0078167F">
      <w:pPr>
        <w:jc w:val="center"/>
      </w:pPr>
      <w:r>
        <w:lastRenderedPageBreak/>
        <w:t>C/55/INF/4</w:t>
      </w:r>
    </w:p>
    <w:p w:rsidR="0078167F" w:rsidRPr="0075031D" w:rsidRDefault="0078167F" w:rsidP="0078167F">
      <w:pPr>
        <w:jc w:val="center"/>
      </w:pPr>
    </w:p>
    <w:p w:rsidR="0078167F" w:rsidRPr="0075031D" w:rsidRDefault="00E80B45" w:rsidP="0078167F">
      <w:pPr>
        <w:jc w:val="center"/>
      </w:pPr>
      <w:r>
        <w:t>ANEXO</w:t>
      </w:r>
      <w:r w:rsidR="003F3E27">
        <w:t xml:space="preserve"> XV</w:t>
      </w:r>
    </w:p>
    <w:p w:rsidR="0078167F" w:rsidRPr="0075031D" w:rsidRDefault="0078167F" w:rsidP="0078167F">
      <w:pPr>
        <w:jc w:val="center"/>
      </w:pPr>
    </w:p>
    <w:p w:rsidR="0078167F" w:rsidRDefault="0078167F" w:rsidP="0078167F">
      <w:pPr>
        <w:jc w:val="center"/>
      </w:pPr>
    </w:p>
    <w:p w:rsidR="00D23C11" w:rsidRPr="00592F7C" w:rsidRDefault="00D23C11" w:rsidP="00D23C11">
      <w:pPr>
        <w:jc w:val="center"/>
        <w:rPr>
          <w:lang w:val="es-ES"/>
        </w:rPr>
      </w:pPr>
      <w:r w:rsidRPr="00B70FDA">
        <w:t>UCRANIA</w:t>
      </w:r>
    </w:p>
    <w:p w:rsidR="00D23C11" w:rsidRPr="00592F7C" w:rsidRDefault="00D23C11" w:rsidP="00D23C11">
      <w:pPr>
        <w:jc w:val="center"/>
        <w:rPr>
          <w:lang w:val="es-ES"/>
        </w:rPr>
      </w:pPr>
    </w:p>
    <w:p w:rsidR="00D23C11" w:rsidRPr="00592F7C" w:rsidRDefault="00D23C11" w:rsidP="00D23C11">
      <w:pPr>
        <w:jc w:val="center"/>
        <w:rPr>
          <w:lang w:val="es-ES"/>
        </w:rPr>
      </w:pPr>
    </w:p>
    <w:p w:rsidR="009E5061" w:rsidRPr="000657C2" w:rsidRDefault="009E5061" w:rsidP="009E5061">
      <w:pPr>
        <w:rPr>
          <w:lang w:val="es-ES"/>
        </w:rPr>
      </w:pPr>
      <w:r w:rsidRPr="000657C2">
        <w:rPr>
          <w:lang w:val="es-ES"/>
        </w:rPr>
        <w:t>I.</w:t>
      </w:r>
      <w:r w:rsidRPr="000657C2">
        <w:rPr>
          <w:lang w:val="es-ES"/>
        </w:rPr>
        <w:tab/>
        <w:t>PROTECCIÓN DE LAS OBTENCIONES VEGETALES</w:t>
      </w:r>
    </w:p>
    <w:p w:rsidR="009E5061" w:rsidRPr="000657C2" w:rsidRDefault="009E5061" w:rsidP="009E5061">
      <w:pPr>
        <w:rPr>
          <w:lang w:val="es-ES"/>
        </w:rPr>
      </w:pPr>
    </w:p>
    <w:p w:rsidR="009E5061" w:rsidRPr="000657C2" w:rsidRDefault="009E5061" w:rsidP="009E5061">
      <w:pPr>
        <w:rPr>
          <w:lang w:val="es-ES"/>
        </w:rPr>
      </w:pPr>
      <w:r w:rsidRPr="000657C2">
        <w:rPr>
          <w:lang w:val="es-ES"/>
        </w:rPr>
        <w:t xml:space="preserve">1. </w:t>
      </w:r>
      <w:r w:rsidRPr="000657C2">
        <w:rPr>
          <w:lang w:val="es-ES"/>
        </w:rPr>
        <w:tab/>
      </w:r>
      <w:r w:rsidRPr="000657C2">
        <w:rPr>
          <w:u w:val="single"/>
          <w:lang w:val="es-ES"/>
        </w:rPr>
        <w:t>Situación en el ámbito legislativo</w:t>
      </w:r>
    </w:p>
    <w:p w:rsidR="009E5061" w:rsidRPr="000657C2" w:rsidRDefault="009E5061" w:rsidP="009E5061">
      <w:pPr>
        <w:rPr>
          <w:lang w:val="es-ES"/>
        </w:rPr>
      </w:pPr>
    </w:p>
    <w:p w:rsidR="009E5061" w:rsidRPr="000657C2" w:rsidRDefault="009E5061" w:rsidP="009E5061">
      <w:pPr>
        <w:rPr>
          <w:lang w:val="es-ES"/>
        </w:rPr>
      </w:pPr>
      <w:r w:rsidRPr="000657C2">
        <w:rPr>
          <w:lang w:val="es-ES"/>
        </w:rPr>
        <w:t>1.1</w:t>
      </w:r>
      <w:r w:rsidRPr="000657C2">
        <w:rPr>
          <w:lang w:val="es-ES"/>
        </w:rPr>
        <w:tab/>
        <w:t>Cambios en la legislación y en la aplicación de las normas jurídicas</w:t>
      </w:r>
    </w:p>
    <w:p w:rsidR="009E5061" w:rsidRPr="000657C2" w:rsidRDefault="009E5061" w:rsidP="009E5061">
      <w:pPr>
        <w:rPr>
          <w:lang w:val="es-ES"/>
        </w:rPr>
      </w:pPr>
    </w:p>
    <w:p w:rsidR="009E5061" w:rsidRPr="000657C2" w:rsidRDefault="009E5061" w:rsidP="009E5061">
      <w:pPr>
        <w:rPr>
          <w:lang w:val="es-ES"/>
        </w:rPr>
      </w:pPr>
      <w:r w:rsidRPr="000657C2">
        <w:rPr>
          <w:lang w:val="es-ES"/>
        </w:rPr>
        <w:t>La Resolución N.º 1</w:t>
      </w:r>
      <w:r>
        <w:rPr>
          <w:lang w:val="es-ES"/>
        </w:rPr>
        <w:t>.</w:t>
      </w:r>
      <w:r w:rsidRPr="000657C2">
        <w:rPr>
          <w:lang w:val="es-ES"/>
        </w:rPr>
        <w:t>344 del Consejo de Ministros de Ucrania, de 28 de diciembre de 2020, "Algunas cuestiones relativas a la optimización del sistema de órganos ejecutivos centrales" anuló la decisión sobre la reorganización del Ministerio de Política Agraria y Alimentación de Ucrania.</w:t>
      </w:r>
    </w:p>
    <w:p w:rsidR="009E5061" w:rsidRPr="000657C2" w:rsidRDefault="009E5061" w:rsidP="009E5061">
      <w:pPr>
        <w:rPr>
          <w:lang w:val="es-ES"/>
        </w:rPr>
      </w:pPr>
    </w:p>
    <w:p w:rsidR="009E5061" w:rsidRPr="000657C2" w:rsidRDefault="009E5061" w:rsidP="009E5061">
      <w:pPr>
        <w:rPr>
          <w:lang w:val="es-ES"/>
        </w:rPr>
      </w:pPr>
      <w:r w:rsidRPr="000657C2">
        <w:rPr>
          <w:lang w:val="es-ES"/>
        </w:rPr>
        <w:t>De conformidad con los apartados 1 y 3 del Reglamento del Ministerio de Política Agraria y Alimentación de Ucrania, aprobado en virtud de la Resolución N.º 124 del Consejo de Ministros de Ucrania, de 17 de febrero de 2021, "Algunas cuestiones relativas a las actividades de los órganos ejecutivos centrales", se asignan al Ministerio de Política Agraria y Alimentación de Ucrania las funciones de órgano ejecutivo central encargado de velar por la elaboración y aplicación de una política agraria estatal en el ámbito de la protección de las obtenciones vegetales.</w:t>
      </w:r>
    </w:p>
    <w:p w:rsidR="009E5061" w:rsidRPr="000657C2" w:rsidRDefault="009E5061" w:rsidP="009E5061">
      <w:pPr>
        <w:rPr>
          <w:lang w:val="es-ES"/>
        </w:rPr>
      </w:pPr>
    </w:p>
    <w:p w:rsidR="009E5061" w:rsidRPr="000657C2" w:rsidRDefault="009E5061" w:rsidP="009E5061">
      <w:pPr>
        <w:rPr>
          <w:lang w:val="es-ES"/>
        </w:rPr>
      </w:pPr>
      <w:r w:rsidRPr="000657C2">
        <w:rPr>
          <w:lang w:val="es-ES"/>
        </w:rPr>
        <w:t>Por lo tanto, está previsto que en 2021 se introduzcan las modificaciones correspondientes en la reglamentación relativa a la protección de las obtenciones vegetales en lo que concierne al cambio de organismo competente.</w:t>
      </w:r>
    </w:p>
    <w:p w:rsidR="009E5061" w:rsidRPr="000657C2" w:rsidRDefault="009E5061" w:rsidP="009E5061">
      <w:pPr>
        <w:rPr>
          <w:lang w:val="es-ES"/>
        </w:rPr>
      </w:pPr>
    </w:p>
    <w:p w:rsidR="009E5061" w:rsidRPr="000657C2" w:rsidRDefault="009E5061" w:rsidP="009E5061">
      <w:pPr>
        <w:rPr>
          <w:lang w:val="es-ES"/>
        </w:rPr>
      </w:pPr>
      <w:r w:rsidRPr="000657C2">
        <w:rPr>
          <w:lang w:val="es-ES"/>
        </w:rPr>
        <w:t>2.</w:t>
      </w:r>
      <w:r w:rsidRPr="000657C2">
        <w:rPr>
          <w:lang w:val="es-ES"/>
        </w:rPr>
        <w:tab/>
      </w:r>
      <w:r w:rsidRPr="000657C2">
        <w:rPr>
          <w:u w:val="single"/>
          <w:lang w:val="es-ES"/>
        </w:rPr>
        <w:t xml:space="preserve"> Cooperación en el examen</w:t>
      </w:r>
    </w:p>
    <w:p w:rsidR="009E5061" w:rsidRPr="000657C2" w:rsidRDefault="009E5061" w:rsidP="009E5061">
      <w:pPr>
        <w:rPr>
          <w:lang w:val="es-ES"/>
        </w:rPr>
      </w:pPr>
    </w:p>
    <w:p w:rsidR="009E5061" w:rsidRPr="000657C2" w:rsidRDefault="009E5061" w:rsidP="009E5061">
      <w:pPr>
        <w:rPr>
          <w:lang w:val="es-ES"/>
        </w:rPr>
      </w:pPr>
      <w:r w:rsidRPr="000657C2">
        <w:rPr>
          <w:lang w:val="es-ES"/>
        </w:rPr>
        <w:t>A lo largo de 2020, Ucrania ha intercambiado 125 resultados de exámenes DHE. Asimismo, ha utilizado informes de exámenes DHE de los siguientes países: Austria, Eslovaquia, España, Estados Unidos de América, Hungría, Italia, Países Bajos, Reino Unido, República Checa, Rumania y Serbia, y ha facilitado informes a la Federación de Rusia, Serbia y Turquía.</w:t>
      </w:r>
    </w:p>
    <w:p w:rsidR="009E5061" w:rsidRPr="000657C2" w:rsidRDefault="009E5061" w:rsidP="009E5061">
      <w:pPr>
        <w:rPr>
          <w:lang w:val="es-ES"/>
        </w:rPr>
      </w:pPr>
    </w:p>
    <w:p w:rsidR="009E5061" w:rsidRPr="000657C2" w:rsidRDefault="009E5061" w:rsidP="009E5061">
      <w:pPr>
        <w:rPr>
          <w:u w:val="single"/>
          <w:lang w:val="es-ES"/>
        </w:rPr>
      </w:pPr>
      <w:r w:rsidRPr="000657C2">
        <w:rPr>
          <w:lang w:val="es-ES"/>
        </w:rPr>
        <w:t>3.</w:t>
      </w:r>
      <w:r w:rsidRPr="000657C2">
        <w:rPr>
          <w:lang w:val="es-ES"/>
        </w:rPr>
        <w:tab/>
      </w:r>
      <w:r w:rsidRPr="000657C2">
        <w:rPr>
          <w:u w:val="single"/>
          <w:lang w:val="es-ES"/>
        </w:rPr>
        <w:t>Situación en el ámbito administrativo</w:t>
      </w:r>
    </w:p>
    <w:p w:rsidR="009E5061" w:rsidRPr="000657C2" w:rsidRDefault="009E5061" w:rsidP="009E5061">
      <w:pPr>
        <w:rPr>
          <w:lang w:val="es-ES"/>
        </w:rPr>
      </w:pPr>
    </w:p>
    <w:p w:rsidR="009E5061" w:rsidRPr="000657C2" w:rsidRDefault="009E5061" w:rsidP="009E5061">
      <w:pPr>
        <w:rPr>
          <w:lang w:val="es-ES"/>
        </w:rPr>
      </w:pPr>
      <w:r w:rsidRPr="000657C2">
        <w:rPr>
          <w:lang w:val="es-ES"/>
        </w:rPr>
        <w:t>En 2020 se restableció el Ministerio de Política Agraria y Alimentación de Ucrania como organismo competente para el registro de los derechos de obtentor en Ucrania.</w:t>
      </w:r>
    </w:p>
    <w:p w:rsidR="009E5061" w:rsidRPr="000657C2" w:rsidRDefault="009E5061" w:rsidP="009E5061">
      <w:pPr>
        <w:rPr>
          <w:lang w:val="es-ES"/>
        </w:rPr>
      </w:pPr>
    </w:p>
    <w:p w:rsidR="009E5061" w:rsidRPr="000657C2" w:rsidRDefault="009E5061" w:rsidP="009E5061">
      <w:pPr>
        <w:rPr>
          <w:lang w:val="es-ES"/>
        </w:rPr>
      </w:pPr>
      <w:r w:rsidRPr="000657C2">
        <w:rPr>
          <w:lang w:val="es-ES"/>
        </w:rPr>
        <w:t>4.</w:t>
      </w:r>
      <w:r w:rsidRPr="000657C2">
        <w:rPr>
          <w:lang w:val="es-ES"/>
        </w:rPr>
        <w:tab/>
      </w:r>
      <w:r w:rsidRPr="000657C2">
        <w:rPr>
          <w:u w:val="single"/>
          <w:lang w:val="es-ES"/>
        </w:rPr>
        <w:t>Situación en el ámbito técnico</w:t>
      </w:r>
    </w:p>
    <w:p w:rsidR="009E5061" w:rsidRPr="000657C2" w:rsidRDefault="009E5061" w:rsidP="009E5061">
      <w:pPr>
        <w:rPr>
          <w:lang w:val="es-ES"/>
        </w:rPr>
      </w:pPr>
    </w:p>
    <w:p w:rsidR="009E5061" w:rsidRPr="000657C2" w:rsidRDefault="009E5061" w:rsidP="009E5061">
      <w:pPr>
        <w:spacing w:after="120"/>
        <w:rPr>
          <w:lang w:val="es-ES"/>
        </w:rPr>
      </w:pPr>
      <w:r w:rsidRPr="000657C2">
        <w:rPr>
          <w:lang w:val="es-ES"/>
        </w:rPr>
        <w:t>Se introdujeron cambios en las directrices de examen para evaluar la distinción, la homogeneidad y la estabilidad de las siguientes variedades vegetales:</w:t>
      </w:r>
    </w:p>
    <w:p w:rsidR="009E5061" w:rsidRPr="000657C2" w:rsidRDefault="009E5061" w:rsidP="009E5061">
      <w:pPr>
        <w:numPr>
          <w:ilvl w:val="0"/>
          <w:numId w:val="11"/>
        </w:numPr>
        <w:rPr>
          <w:lang w:val="es-ES"/>
        </w:rPr>
      </w:pPr>
      <w:r w:rsidRPr="000657C2">
        <w:rPr>
          <w:lang w:val="es-ES"/>
        </w:rPr>
        <w:t>Grupo de los cereales;</w:t>
      </w:r>
    </w:p>
    <w:p w:rsidR="009E5061" w:rsidRPr="000657C2" w:rsidRDefault="009E5061" w:rsidP="009E5061">
      <w:pPr>
        <w:numPr>
          <w:ilvl w:val="0"/>
          <w:numId w:val="11"/>
        </w:numPr>
        <w:rPr>
          <w:lang w:val="es-ES"/>
        </w:rPr>
      </w:pPr>
      <w:r w:rsidRPr="000657C2">
        <w:rPr>
          <w:lang w:val="es-ES"/>
        </w:rPr>
        <w:t xml:space="preserve">Alforfón </w:t>
      </w:r>
      <w:r w:rsidRPr="000657C2">
        <w:rPr>
          <w:i/>
          <w:lang w:val="es-ES"/>
        </w:rPr>
        <w:t>(</w:t>
      </w:r>
      <w:proofErr w:type="spellStart"/>
      <w:r w:rsidRPr="000657C2">
        <w:rPr>
          <w:i/>
          <w:lang w:val="es-ES"/>
        </w:rPr>
        <w:t>Fagopyrum</w:t>
      </w:r>
      <w:proofErr w:type="spellEnd"/>
      <w:r w:rsidRPr="000657C2">
        <w:rPr>
          <w:i/>
          <w:lang w:val="es-ES"/>
        </w:rPr>
        <w:t xml:space="preserve"> </w:t>
      </w:r>
      <w:proofErr w:type="spellStart"/>
      <w:r w:rsidRPr="000657C2">
        <w:rPr>
          <w:i/>
          <w:lang w:val="es-ES"/>
        </w:rPr>
        <w:t>esculentum</w:t>
      </w:r>
      <w:proofErr w:type="spellEnd"/>
      <w:r w:rsidRPr="000657C2">
        <w:rPr>
          <w:i/>
          <w:lang w:val="es-ES"/>
        </w:rPr>
        <w:t xml:space="preserve"> </w:t>
      </w:r>
      <w:proofErr w:type="spellStart"/>
      <w:r w:rsidRPr="000657C2">
        <w:rPr>
          <w:lang w:val="es-ES"/>
        </w:rPr>
        <w:t>Moench</w:t>
      </w:r>
      <w:proofErr w:type="spellEnd"/>
      <w:r w:rsidRPr="000657C2">
        <w:rPr>
          <w:lang w:val="es-ES"/>
        </w:rPr>
        <w:t>);</w:t>
      </w:r>
    </w:p>
    <w:p w:rsidR="009E5061" w:rsidRPr="000657C2" w:rsidRDefault="009E5061" w:rsidP="009E5061">
      <w:pPr>
        <w:numPr>
          <w:ilvl w:val="0"/>
          <w:numId w:val="11"/>
        </w:numPr>
        <w:rPr>
          <w:lang w:val="es-ES"/>
        </w:rPr>
      </w:pPr>
      <w:r w:rsidRPr="000657C2">
        <w:rPr>
          <w:lang w:val="es-ES"/>
        </w:rPr>
        <w:t xml:space="preserve">Lino </w:t>
      </w:r>
      <w:r w:rsidRPr="000657C2">
        <w:rPr>
          <w:i/>
          <w:lang w:val="es-ES"/>
        </w:rPr>
        <w:t>(</w:t>
      </w:r>
      <w:proofErr w:type="spellStart"/>
      <w:r w:rsidRPr="000657C2">
        <w:rPr>
          <w:i/>
          <w:lang w:val="es-ES"/>
        </w:rPr>
        <w:t>Linum</w:t>
      </w:r>
      <w:proofErr w:type="spellEnd"/>
      <w:r w:rsidRPr="000657C2">
        <w:rPr>
          <w:i/>
          <w:lang w:val="es-ES"/>
        </w:rPr>
        <w:t xml:space="preserve"> </w:t>
      </w:r>
      <w:proofErr w:type="spellStart"/>
      <w:r w:rsidRPr="000657C2">
        <w:rPr>
          <w:i/>
          <w:lang w:val="es-ES"/>
        </w:rPr>
        <w:t>usitatissimum</w:t>
      </w:r>
      <w:proofErr w:type="spellEnd"/>
      <w:r w:rsidRPr="000657C2">
        <w:rPr>
          <w:i/>
          <w:lang w:val="es-ES"/>
        </w:rPr>
        <w:t xml:space="preserve"> </w:t>
      </w:r>
      <w:r w:rsidRPr="000657C2">
        <w:rPr>
          <w:lang w:val="es-ES"/>
        </w:rPr>
        <w:t>L.);</w:t>
      </w:r>
    </w:p>
    <w:p w:rsidR="009E5061" w:rsidRPr="000657C2" w:rsidRDefault="009E5061" w:rsidP="009E5061">
      <w:pPr>
        <w:numPr>
          <w:ilvl w:val="0"/>
          <w:numId w:val="11"/>
        </w:numPr>
        <w:rPr>
          <w:lang w:val="es-ES"/>
        </w:rPr>
      </w:pPr>
      <w:proofErr w:type="spellStart"/>
      <w:r w:rsidRPr="000657C2">
        <w:rPr>
          <w:lang w:val="es-ES"/>
        </w:rPr>
        <w:t>Festuca</w:t>
      </w:r>
      <w:proofErr w:type="spellEnd"/>
      <w:r w:rsidRPr="000657C2">
        <w:rPr>
          <w:lang w:val="es-ES"/>
        </w:rPr>
        <w:t xml:space="preserve"> roja, </w:t>
      </w:r>
      <w:proofErr w:type="spellStart"/>
      <w:r w:rsidRPr="000657C2">
        <w:rPr>
          <w:lang w:val="es-ES"/>
        </w:rPr>
        <w:t>Festuca</w:t>
      </w:r>
      <w:proofErr w:type="spellEnd"/>
      <w:r w:rsidRPr="000657C2">
        <w:rPr>
          <w:lang w:val="es-ES"/>
        </w:rPr>
        <w:t xml:space="preserve"> ovina </w:t>
      </w:r>
      <w:r w:rsidRPr="000657C2">
        <w:rPr>
          <w:i/>
          <w:lang w:val="es-ES"/>
        </w:rPr>
        <w:t>(</w:t>
      </w:r>
      <w:proofErr w:type="spellStart"/>
      <w:r w:rsidRPr="000657C2">
        <w:rPr>
          <w:i/>
          <w:lang w:val="es-ES"/>
        </w:rPr>
        <w:t>Festuca</w:t>
      </w:r>
      <w:proofErr w:type="spellEnd"/>
      <w:r w:rsidRPr="000657C2">
        <w:rPr>
          <w:i/>
          <w:lang w:val="es-ES"/>
        </w:rPr>
        <w:t xml:space="preserve"> rubra </w:t>
      </w:r>
      <w:r w:rsidRPr="000657C2">
        <w:rPr>
          <w:lang w:val="es-ES"/>
        </w:rPr>
        <w:t xml:space="preserve">L., </w:t>
      </w:r>
      <w:proofErr w:type="spellStart"/>
      <w:r w:rsidRPr="000657C2">
        <w:rPr>
          <w:i/>
          <w:lang w:val="es-ES"/>
        </w:rPr>
        <w:t>Festuca</w:t>
      </w:r>
      <w:proofErr w:type="spellEnd"/>
      <w:r w:rsidRPr="000657C2">
        <w:rPr>
          <w:i/>
          <w:lang w:val="es-ES"/>
        </w:rPr>
        <w:t xml:space="preserve"> ovina </w:t>
      </w:r>
      <w:r w:rsidRPr="000657C2">
        <w:rPr>
          <w:lang w:val="es-ES"/>
        </w:rPr>
        <w:t xml:space="preserve">L., </w:t>
      </w:r>
      <w:proofErr w:type="spellStart"/>
      <w:r w:rsidRPr="000657C2">
        <w:rPr>
          <w:i/>
          <w:lang w:val="es-ES"/>
        </w:rPr>
        <w:t>Festuca</w:t>
      </w:r>
      <w:proofErr w:type="spellEnd"/>
      <w:r w:rsidRPr="000657C2">
        <w:rPr>
          <w:i/>
          <w:lang w:val="es-ES"/>
        </w:rPr>
        <w:t xml:space="preserve"> </w:t>
      </w:r>
      <w:proofErr w:type="spellStart"/>
      <w:r w:rsidRPr="000657C2">
        <w:rPr>
          <w:i/>
          <w:lang w:val="es-ES"/>
        </w:rPr>
        <w:t>filiformis</w:t>
      </w:r>
      <w:proofErr w:type="spellEnd"/>
      <w:r w:rsidRPr="000657C2">
        <w:rPr>
          <w:i/>
          <w:lang w:val="es-ES"/>
        </w:rPr>
        <w:t xml:space="preserve"> </w:t>
      </w:r>
      <w:proofErr w:type="spellStart"/>
      <w:r w:rsidRPr="000657C2">
        <w:rPr>
          <w:lang w:val="es-ES"/>
        </w:rPr>
        <w:t>Pourr</w:t>
      </w:r>
      <w:proofErr w:type="spellEnd"/>
      <w:r w:rsidRPr="000657C2">
        <w:rPr>
          <w:lang w:val="es-ES"/>
        </w:rPr>
        <w:t xml:space="preserve">., </w:t>
      </w:r>
      <w:proofErr w:type="spellStart"/>
      <w:r w:rsidRPr="000657C2">
        <w:rPr>
          <w:i/>
          <w:lang w:val="es-ES"/>
        </w:rPr>
        <w:t>Festuca</w:t>
      </w:r>
      <w:proofErr w:type="spellEnd"/>
      <w:r w:rsidRPr="000657C2">
        <w:rPr>
          <w:i/>
          <w:lang w:val="es-ES"/>
        </w:rPr>
        <w:t xml:space="preserve"> </w:t>
      </w:r>
      <w:proofErr w:type="spellStart"/>
      <w:r w:rsidRPr="000657C2">
        <w:rPr>
          <w:i/>
          <w:lang w:val="es-ES"/>
        </w:rPr>
        <w:t>brevipila</w:t>
      </w:r>
      <w:proofErr w:type="spellEnd"/>
      <w:r w:rsidRPr="000657C2">
        <w:rPr>
          <w:i/>
          <w:lang w:val="es-ES"/>
        </w:rPr>
        <w:t xml:space="preserve"> </w:t>
      </w:r>
      <w:r w:rsidRPr="000657C2">
        <w:rPr>
          <w:lang w:val="es-ES"/>
        </w:rPr>
        <w:t xml:space="preserve">R. </w:t>
      </w:r>
      <w:proofErr w:type="spellStart"/>
      <w:r w:rsidRPr="000657C2">
        <w:rPr>
          <w:lang w:val="es-ES"/>
        </w:rPr>
        <w:t>Tracey</w:t>
      </w:r>
      <w:proofErr w:type="spellEnd"/>
      <w:r w:rsidRPr="000657C2">
        <w:rPr>
          <w:lang w:val="es-ES"/>
        </w:rPr>
        <w:t xml:space="preserve"> , </w:t>
      </w:r>
      <w:proofErr w:type="spellStart"/>
      <w:r w:rsidRPr="000657C2">
        <w:rPr>
          <w:i/>
          <w:lang w:val="es-ES"/>
        </w:rPr>
        <w:t>Festuca</w:t>
      </w:r>
      <w:proofErr w:type="spellEnd"/>
      <w:r w:rsidRPr="000657C2">
        <w:rPr>
          <w:i/>
          <w:lang w:val="es-ES"/>
        </w:rPr>
        <w:t xml:space="preserve"> </w:t>
      </w:r>
      <w:proofErr w:type="spellStart"/>
      <w:r w:rsidRPr="000657C2">
        <w:rPr>
          <w:i/>
          <w:lang w:val="es-ES"/>
        </w:rPr>
        <w:t>heterophylla</w:t>
      </w:r>
      <w:proofErr w:type="spellEnd"/>
      <w:r w:rsidRPr="000657C2">
        <w:rPr>
          <w:i/>
          <w:lang w:val="es-ES"/>
        </w:rPr>
        <w:t xml:space="preserve"> </w:t>
      </w:r>
      <w:r w:rsidRPr="000657C2">
        <w:rPr>
          <w:lang w:val="es-ES"/>
        </w:rPr>
        <w:t xml:space="preserve">Lam., </w:t>
      </w:r>
      <w:proofErr w:type="spellStart"/>
      <w:r w:rsidRPr="000657C2">
        <w:rPr>
          <w:i/>
          <w:lang w:val="es-ES"/>
        </w:rPr>
        <w:t>Festuca</w:t>
      </w:r>
      <w:proofErr w:type="spellEnd"/>
      <w:r w:rsidRPr="000657C2">
        <w:rPr>
          <w:i/>
          <w:lang w:val="es-ES"/>
        </w:rPr>
        <w:t xml:space="preserve"> </w:t>
      </w:r>
      <w:proofErr w:type="spellStart"/>
      <w:r w:rsidRPr="000657C2">
        <w:rPr>
          <w:i/>
          <w:lang w:val="es-ES"/>
        </w:rPr>
        <w:t>pseudovina</w:t>
      </w:r>
      <w:proofErr w:type="spellEnd"/>
      <w:r w:rsidRPr="000657C2">
        <w:rPr>
          <w:i/>
          <w:lang w:val="es-ES"/>
        </w:rPr>
        <w:t xml:space="preserve"> </w:t>
      </w:r>
      <w:proofErr w:type="spellStart"/>
      <w:r w:rsidRPr="000657C2">
        <w:rPr>
          <w:lang w:val="es-ES"/>
        </w:rPr>
        <w:t>Hack</w:t>
      </w:r>
      <w:proofErr w:type="spellEnd"/>
      <w:r w:rsidRPr="000657C2">
        <w:rPr>
          <w:lang w:val="es-ES"/>
        </w:rPr>
        <w:t xml:space="preserve">. ex </w:t>
      </w:r>
      <w:proofErr w:type="spellStart"/>
      <w:r w:rsidRPr="000657C2">
        <w:rPr>
          <w:lang w:val="es-ES"/>
        </w:rPr>
        <w:t>Wiesb</w:t>
      </w:r>
      <w:proofErr w:type="spellEnd"/>
      <w:r w:rsidRPr="000657C2">
        <w:rPr>
          <w:lang w:val="es-ES"/>
        </w:rPr>
        <w:t xml:space="preserve">., </w:t>
      </w:r>
      <w:proofErr w:type="spellStart"/>
      <w:r w:rsidRPr="000657C2">
        <w:rPr>
          <w:i/>
          <w:lang w:val="es-ES"/>
        </w:rPr>
        <w:t>Festuca</w:t>
      </w:r>
      <w:proofErr w:type="spellEnd"/>
      <w:r w:rsidRPr="000657C2">
        <w:rPr>
          <w:i/>
          <w:lang w:val="es-ES"/>
        </w:rPr>
        <w:t xml:space="preserve"> </w:t>
      </w:r>
      <w:proofErr w:type="spellStart"/>
      <w:r w:rsidRPr="000657C2">
        <w:rPr>
          <w:i/>
          <w:lang w:val="es-ES"/>
        </w:rPr>
        <w:t>rupicola</w:t>
      </w:r>
      <w:proofErr w:type="spellEnd"/>
      <w:r w:rsidRPr="000657C2">
        <w:rPr>
          <w:i/>
          <w:lang w:val="es-ES"/>
        </w:rPr>
        <w:t xml:space="preserve"> </w:t>
      </w:r>
      <w:proofErr w:type="spellStart"/>
      <w:r w:rsidRPr="000657C2">
        <w:rPr>
          <w:lang w:val="es-ES"/>
        </w:rPr>
        <w:t>Heuff</w:t>
      </w:r>
      <w:proofErr w:type="spellEnd"/>
      <w:r w:rsidRPr="000657C2">
        <w:rPr>
          <w:lang w:val="es-ES"/>
        </w:rPr>
        <w:t>.);</w:t>
      </w:r>
    </w:p>
    <w:p w:rsidR="009E5061" w:rsidRPr="000657C2" w:rsidRDefault="009E5061" w:rsidP="009E5061">
      <w:pPr>
        <w:numPr>
          <w:ilvl w:val="0"/>
          <w:numId w:val="11"/>
        </w:numPr>
        <w:rPr>
          <w:lang w:val="es-ES"/>
        </w:rPr>
      </w:pPr>
      <w:r w:rsidRPr="000657C2">
        <w:rPr>
          <w:lang w:val="es-ES"/>
        </w:rPr>
        <w:t>Poa de los prados</w:t>
      </w:r>
      <w:r w:rsidRPr="000657C2">
        <w:rPr>
          <w:i/>
          <w:lang w:val="es-ES"/>
        </w:rPr>
        <w:t xml:space="preserve"> (Poa </w:t>
      </w:r>
      <w:proofErr w:type="spellStart"/>
      <w:r w:rsidRPr="000657C2">
        <w:rPr>
          <w:i/>
          <w:lang w:val="es-ES"/>
        </w:rPr>
        <w:t>pratensis</w:t>
      </w:r>
      <w:proofErr w:type="spellEnd"/>
      <w:r w:rsidRPr="000657C2">
        <w:rPr>
          <w:i/>
          <w:lang w:val="es-ES"/>
        </w:rPr>
        <w:t xml:space="preserve"> </w:t>
      </w:r>
      <w:r w:rsidRPr="000657C2">
        <w:rPr>
          <w:lang w:val="es-ES"/>
        </w:rPr>
        <w:t>L.);</w:t>
      </w:r>
    </w:p>
    <w:p w:rsidR="009E5061" w:rsidRPr="000657C2" w:rsidRDefault="009E5061" w:rsidP="009E5061">
      <w:pPr>
        <w:numPr>
          <w:ilvl w:val="0"/>
          <w:numId w:val="11"/>
        </w:numPr>
        <w:rPr>
          <w:lang w:val="es-ES"/>
        </w:rPr>
      </w:pPr>
      <w:r w:rsidRPr="000657C2">
        <w:rPr>
          <w:lang w:val="es-ES"/>
        </w:rPr>
        <w:t xml:space="preserve">Repollo chino </w:t>
      </w:r>
      <w:r w:rsidRPr="000657C2">
        <w:rPr>
          <w:i/>
          <w:lang w:val="es-ES"/>
        </w:rPr>
        <w:t xml:space="preserve">(B </w:t>
      </w:r>
      <w:proofErr w:type="spellStart"/>
      <w:r w:rsidRPr="000657C2">
        <w:rPr>
          <w:i/>
          <w:lang w:val="es-ES"/>
        </w:rPr>
        <w:t>rassica</w:t>
      </w:r>
      <w:proofErr w:type="spellEnd"/>
      <w:r w:rsidRPr="000657C2">
        <w:rPr>
          <w:i/>
          <w:lang w:val="es-ES"/>
        </w:rPr>
        <w:t xml:space="preserve"> rapa </w:t>
      </w:r>
      <w:r w:rsidRPr="000657C2">
        <w:rPr>
          <w:lang w:val="es-ES"/>
        </w:rPr>
        <w:t xml:space="preserve">L. </w:t>
      </w:r>
      <w:proofErr w:type="spellStart"/>
      <w:r w:rsidRPr="000657C2">
        <w:rPr>
          <w:lang w:val="es-ES"/>
        </w:rPr>
        <w:t>var</w:t>
      </w:r>
      <w:proofErr w:type="spellEnd"/>
      <w:r w:rsidRPr="000657C2">
        <w:rPr>
          <w:lang w:val="es-ES"/>
        </w:rPr>
        <w:t xml:space="preserve">. </w:t>
      </w:r>
      <w:proofErr w:type="spellStart"/>
      <w:r w:rsidRPr="000657C2">
        <w:rPr>
          <w:i/>
          <w:lang w:val="es-ES"/>
        </w:rPr>
        <w:t>pekinensis</w:t>
      </w:r>
      <w:proofErr w:type="spellEnd"/>
      <w:r w:rsidRPr="000657C2">
        <w:rPr>
          <w:i/>
          <w:lang w:val="es-ES"/>
        </w:rPr>
        <w:t xml:space="preserve"> </w:t>
      </w:r>
      <w:r w:rsidRPr="000657C2">
        <w:rPr>
          <w:lang w:val="es-ES"/>
        </w:rPr>
        <w:t xml:space="preserve">(Lo </w:t>
      </w:r>
      <w:proofErr w:type="spellStart"/>
      <w:r w:rsidRPr="000657C2">
        <w:rPr>
          <w:lang w:val="es-ES"/>
        </w:rPr>
        <w:t>ur</w:t>
      </w:r>
      <w:proofErr w:type="spellEnd"/>
      <w:r w:rsidRPr="000657C2">
        <w:rPr>
          <w:lang w:val="es-ES"/>
        </w:rPr>
        <w:t xml:space="preserve">.) </w:t>
      </w:r>
      <w:proofErr w:type="spellStart"/>
      <w:r w:rsidRPr="000657C2">
        <w:rPr>
          <w:lang w:val="es-ES"/>
        </w:rPr>
        <w:t>Kitam</w:t>
      </w:r>
      <w:proofErr w:type="spellEnd"/>
      <w:r w:rsidRPr="000657C2">
        <w:rPr>
          <w:lang w:val="es-ES"/>
        </w:rPr>
        <w:t>.);</w:t>
      </w:r>
    </w:p>
    <w:p w:rsidR="009E5061" w:rsidRPr="000657C2" w:rsidRDefault="009E5061" w:rsidP="009E5061">
      <w:pPr>
        <w:numPr>
          <w:ilvl w:val="0"/>
          <w:numId w:val="11"/>
        </w:numPr>
        <w:rPr>
          <w:lang w:val="es-ES"/>
        </w:rPr>
      </w:pPr>
      <w:r w:rsidRPr="000657C2">
        <w:rPr>
          <w:lang w:val="es-ES"/>
        </w:rPr>
        <w:t xml:space="preserve">Lechuga </w:t>
      </w:r>
      <w:r w:rsidRPr="000657C2">
        <w:rPr>
          <w:i/>
          <w:lang w:val="es-ES"/>
        </w:rPr>
        <w:t>(</w:t>
      </w:r>
      <w:proofErr w:type="spellStart"/>
      <w:r w:rsidRPr="000657C2">
        <w:rPr>
          <w:i/>
          <w:lang w:val="es-ES"/>
        </w:rPr>
        <w:t>Lactuca</w:t>
      </w:r>
      <w:proofErr w:type="spellEnd"/>
      <w:r w:rsidRPr="000657C2">
        <w:rPr>
          <w:i/>
          <w:lang w:val="es-ES"/>
        </w:rPr>
        <w:t xml:space="preserve"> sativa </w:t>
      </w:r>
      <w:r w:rsidRPr="000657C2">
        <w:rPr>
          <w:lang w:val="es-ES"/>
        </w:rPr>
        <w:t>L.);</w:t>
      </w:r>
    </w:p>
    <w:p w:rsidR="009E5061" w:rsidRPr="000657C2" w:rsidRDefault="009E5061" w:rsidP="009E5061">
      <w:pPr>
        <w:numPr>
          <w:ilvl w:val="0"/>
          <w:numId w:val="11"/>
        </w:numPr>
        <w:rPr>
          <w:lang w:val="es-ES"/>
        </w:rPr>
      </w:pPr>
      <w:r w:rsidRPr="000657C2">
        <w:rPr>
          <w:lang w:val="es-ES"/>
        </w:rPr>
        <w:t xml:space="preserve">Arándanos y moras </w:t>
      </w:r>
      <w:r w:rsidRPr="000657C2">
        <w:rPr>
          <w:i/>
          <w:lang w:val="es-ES"/>
        </w:rPr>
        <w:t>(</w:t>
      </w:r>
      <w:proofErr w:type="spellStart"/>
      <w:r w:rsidRPr="000657C2">
        <w:rPr>
          <w:i/>
          <w:lang w:val="es-ES"/>
        </w:rPr>
        <w:t>Vaccinium</w:t>
      </w:r>
      <w:proofErr w:type="spellEnd"/>
      <w:r w:rsidRPr="000657C2">
        <w:rPr>
          <w:i/>
          <w:lang w:val="es-ES"/>
        </w:rPr>
        <w:t xml:space="preserve"> </w:t>
      </w:r>
      <w:proofErr w:type="spellStart"/>
      <w:r w:rsidRPr="000657C2">
        <w:rPr>
          <w:i/>
          <w:lang w:val="es-ES"/>
        </w:rPr>
        <w:t>angustifolium</w:t>
      </w:r>
      <w:proofErr w:type="spellEnd"/>
      <w:r w:rsidRPr="000657C2">
        <w:rPr>
          <w:i/>
          <w:lang w:val="es-ES"/>
        </w:rPr>
        <w:t xml:space="preserve"> </w:t>
      </w:r>
      <w:r w:rsidRPr="000657C2">
        <w:rPr>
          <w:lang w:val="es-ES"/>
        </w:rPr>
        <w:t xml:space="preserve">Aiton; V. </w:t>
      </w:r>
      <w:proofErr w:type="spellStart"/>
      <w:r w:rsidRPr="000657C2">
        <w:rPr>
          <w:i/>
          <w:lang w:val="es-ES"/>
        </w:rPr>
        <w:t>corymbosum</w:t>
      </w:r>
      <w:proofErr w:type="spellEnd"/>
      <w:r w:rsidRPr="000657C2">
        <w:rPr>
          <w:i/>
          <w:lang w:val="es-ES"/>
        </w:rPr>
        <w:t xml:space="preserve"> </w:t>
      </w:r>
      <w:r w:rsidRPr="000657C2">
        <w:rPr>
          <w:lang w:val="es-ES"/>
        </w:rPr>
        <w:t xml:space="preserve">L.; </w:t>
      </w:r>
      <w:proofErr w:type="spellStart"/>
      <w:r w:rsidRPr="000657C2">
        <w:rPr>
          <w:i/>
          <w:lang w:val="es-ES"/>
        </w:rPr>
        <w:t>V.formosum</w:t>
      </w:r>
      <w:proofErr w:type="spellEnd"/>
      <w:r w:rsidRPr="000657C2">
        <w:rPr>
          <w:i/>
          <w:lang w:val="es-ES"/>
        </w:rPr>
        <w:t xml:space="preserve"> </w:t>
      </w:r>
      <w:r w:rsidRPr="000657C2">
        <w:rPr>
          <w:lang w:val="es-ES"/>
        </w:rPr>
        <w:t xml:space="preserve">Andrews; V. </w:t>
      </w:r>
      <w:proofErr w:type="spellStart"/>
      <w:r w:rsidRPr="000657C2">
        <w:rPr>
          <w:i/>
          <w:lang w:val="es-ES"/>
        </w:rPr>
        <w:t>myrtilloides</w:t>
      </w:r>
      <w:proofErr w:type="spellEnd"/>
      <w:r w:rsidRPr="000657C2">
        <w:rPr>
          <w:i/>
          <w:lang w:val="es-ES"/>
        </w:rPr>
        <w:t xml:space="preserve"> </w:t>
      </w:r>
      <w:proofErr w:type="spellStart"/>
      <w:r w:rsidRPr="000657C2">
        <w:rPr>
          <w:lang w:val="es-ES"/>
        </w:rPr>
        <w:t>Michx</w:t>
      </w:r>
      <w:proofErr w:type="spellEnd"/>
      <w:r w:rsidRPr="000657C2">
        <w:rPr>
          <w:lang w:val="es-ES"/>
        </w:rPr>
        <w:t xml:space="preserve">.; V. </w:t>
      </w:r>
      <w:proofErr w:type="spellStart"/>
      <w:r w:rsidRPr="000657C2">
        <w:rPr>
          <w:i/>
          <w:lang w:val="es-ES"/>
        </w:rPr>
        <w:t>myrtillus</w:t>
      </w:r>
      <w:proofErr w:type="spellEnd"/>
      <w:r w:rsidRPr="000657C2">
        <w:rPr>
          <w:i/>
          <w:lang w:val="es-ES"/>
        </w:rPr>
        <w:t xml:space="preserve"> </w:t>
      </w:r>
      <w:r w:rsidRPr="000657C2">
        <w:rPr>
          <w:lang w:val="es-ES"/>
        </w:rPr>
        <w:t xml:space="preserve">L.; V. </w:t>
      </w:r>
      <w:proofErr w:type="spellStart"/>
      <w:r w:rsidRPr="000657C2">
        <w:rPr>
          <w:i/>
          <w:lang w:val="es-ES"/>
        </w:rPr>
        <w:t>virgatum</w:t>
      </w:r>
      <w:proofErr w:type="spellEnd"/>
      <w:r w:rsidRPr="000657C2">
        <w:rPr>
          <w:i/>
          <w:lang w:val="es-ES"/>
        </w:rPr>
        <w:t xml:space="preserve"> </w:t>
      </w:r>
      <w:r w:rsidRPr="000657C2">
        <w:rPr>
          <w:lang w:val="es-ES"/>
        </w:rPr>
        <w:t xml:space="preserve">Aiton; V. </w:t>
      </w:r>
      <w:proofErr w:type="spellStart"/>
      <w:r w:rsidRPr="000657C2">
        <w:rPr>
          <w:i/>
          <w:lang w:val="es-ES"/>
        </w:rPr>
        <w:t>simulatum</w:t>
      </w:r>
      <w:proofErr w:type="spellEnd"/>
      <w:r w:rsidRPr="000657C2">
        <w:rPr>
          <w:i/>
          <w:lang w:val="es-ES"/>
        </w:rPr>
        <w:t xml:space="preserve"> </w:t>
      </w:r>
      <w:r w:rsidRPr="000657C2">
        <w:rPr>
          <w:lang w:val="es-ES"/>
        </w:rPr>
        <w:t>Small);</w:t>
      </w:r>
    </w:p>
    <w:p w:rsidR="009E5061" w:rsidRPr="000657C2" w:rsidRDefault="009E5061" w:rsidP="009E5061">
      <w:pPr>
        <w:numPr>
          <w:ilvl w:val="0"/>
          <w:numId w:val="11"/>
        </w:numPr>
        <w:rPr>
          <w:lang w:val="es-ES"/>
        </w:rPr>
      </w:pPr>
      <w:r w:rsidRPr="000657C2">
        <w:rPr>
          <w:lang w:val="es-ES"/>
        </w:rPr>
        <w:t xml:space="preserve">Género </w:t>
      </w:r>
      <w:proofErr w:type="spellStart"/>
      <w:r w:rsidRPr="000657C2">
        <w:rPr>
          <w:i/>
          <w:lang w:val="es-ES"/>
        </w:rPr>
        <w:t>Chrysanthemum</w:t>
      </w:r>
      <w:proofErr w:type="spellEnd"/>
      <w:r w:rsidRPr="000657C2">
        <w:rPr>
          <w:lang w:val="es-ES"/>
        </w:rPr>
        <w:t xml:space="preserve"> (</w:t>
      </w:r>
      <w:proofErr w:type="spellStart"/>
      <w:r w:rsidRPr="000657C2">
        <w:rPr>
          <w:i/>
          <w:lang w:val="es-ES"/>
        </w:rPr>
        <w:t>Chrysanthemum</w:t>
      </w:r>
      <w:proofErr w:type="spellEnd"/>
      <w:r w:rsidRPr="000657C2">
        <w:rPr>
          <w:i/>
          <w:lang w:val="es-ES"/>
        </w:rPr>
        <w:t xml:space="preserve"> </w:t>
      </w:r>
      <w:r w:rsidRPr="000657C2">
        <w:rPr>
          <w:lang w:val="es-ES"/>
        </w:rPr>
        <w:t>L.);</w:t>
      </w:r>
    </w:p>
    <w:p w:rsidR="009E5061" w:rsidRPr="000657C2" w:rsidRDefault="009E5061" w:rsidP="009E5061">
      <w:pPr>
        <w:numPr>
          <w:ilvl w:val="0"/>
          <w:numId w:val="11"/>
        </w:numPr>
        <w:rPr>
          <w:lang w:val="es-ES"/>
        </w:rPr>
      </w:pPr>
      <w:proofErr w:type="spellStart"/>
      <w:r w:rsidRPr="000657C2">
        <w:rPr>
          <w:lang w:val="es-ES"/>
        </w:rPr>
        <w:t>Abésoda</w:t>
      </w:r>
      <w:proofErr w:type="spellEnd"/>
      <w:r w:rsidRPr="000657C2">
        <w:rPr>
          <w:lang w:val="es-ES"/>
        </w:rPr>
        <w:t xml:space="preserve"> </w:t>
      </w:r>
      <w:r w:rsidRPr="000657C2">
        <w:rPr>
          <w:i/>
          <w:lang w:val="es-ES"/>
        </w:rPr>
        <w:t>(</w:t>
      </w:r>
      <w:proofErr w:type="spellStart"/>
      <w:r w:rsidRPr="000657C2">
        <w:rPr>
          <w:i/>
          <w:lang w:val="es-ES"/>
        </w:rPr>
        <w:t>Nigella</w:t>
      </w:r>
      <w:proofErr w:type="spellEnd"/>
      <w:r w:rsidRPr="000657C2">
        <w:rPr>
          <w:i/>
          <w:lang w:val="es-ES"/>
        </w:rPr>
        <w:t xml:space="preserve"> sativa </w:t>
      </w:r>
      <w:r w:rsidRPr="000657C2">
        <w:rPr>
          <w:lang w:val="es-ES"/>
        </w:rPr>
        <w:t>L.);</w:t>
      </w:r>
    </w:p>
    <w:p w:rsidR="009E5061" w:rsidRPr="000657C2" w:rsidRDefault="009E5061" w:rsidP="009E5061">
      <w:pPr>
        <w:numPr>
          <w:ilvl w:val="0"/>
          <w:numId w:val="11"/>
        </w:numPr>
        <w:rPr>
          <w:lang w:val="es-ES"/>
        </w:rPr>
      </w:pPr>
      <w:r w:rsidRPr="000657C2">
        <w:rPr>
          <w:lang w:val="es-ES"/>
        </w:rPr>
        <w:t>Salvia con flor de genciana</w:t>
      </w:r>
      <w:r w:rsidRPr="000657C2">
        <w:rPr>
          <w:i/>
          <w:lang w:val="es-ES"/>
        </w:rPr>
        <w:t xml:space="preserve"> (Salvia </w:t>
      </w:r>
      <w:proofErr w:type="spellStart"/>
      <w:r w:rsidRPr="000657C2">
        <w:rPr>
          <w:i/>
          <w:lang w:val="es-ES"/>
        </w:rPr>
        <w:t>patens</w:t>
      </w:r>
      <w:proofErr w:type="spellEnd"/>
      <w:r w:rsidRPr="000657C2">
        <w:rPr>
          <w:i/>
          <w:lang w:val="es-ES"/>
        </w:rPr>
        <w:t xml:space="preserve"> </w:t>
      </w:r>
      <w:proofErr w:type="spellStart"/>
      <w:r w:rsidRPr="000657C2">
        <w:rPr>
          <w:lang w:val="es-ES"/>
        </w:rPr>
        <w:t>Cav</w:t>
      </w:r>
      <w:proofErr w:type="spellEnd"/>
      <w:r w:rsidRPr="000657C2">
        <w:rPr>
          <w:lang w:val="es-ES"/>
        </w:rPr>
        <w:t>.).</w:t>
      </w:r>
    </w:p>
    <w:p w:rsidR="009E5061" w:rsidRPr="000657C2" w:rsidRDefault="009E5061" w:rsidP="009E5061">
      <w:pPr>
        <w:spacing w:before="120" w:after="120"/>
        <w:ind w:left="357"/>
        <w:rPr>
          <w:lang w:val="es-ES"/>
        </w:rPr>
      </w:pPr>
      <w:r w:rsidRPr="000657C2">
        <w:rPr>
          <w:lang w:val="es-ES"/>
        </w:rPr>
        <w:t>Se elaboraron directrices de examen para evaluar la distinción, la homogeneidad y la estabilidad de las variedades vegetales para:</w:t>
      </w:r>
    </w:p>
    <w:p w:rsidR="009E5061" w:rsidRPr="000657C2" w:rsidRDefault="009E5061" w:rsidP="009E5061">
      <w:pPr>
        <w:numPr>
          <w:ilvl w:val="0"/>
          <w:numId w:val="11"/>
        </w:numPr>
        <w:rPr>
          <w:lang w:val="es-ES"/>
        </w:rPr>
      </w:pPr>
      <w:proofErr w:type="spellStart"/>
      <w:r w:rsidRPr="000657C2">
        <w:rPr>
          <w:lang w:val="es-ES"/>
        </w:rPr>
        <w:t>Quinoa</w:t>
      </w:r>
      <w:proofErr w:type="spellEnd"/>
      <w:r w:rsidRPr="000657C2">
        <w:rPr>
          <w:lang w:val="es-ES"/>
        </w:rPr>
        <w:t xml:space="preserve"> </w:t>
      </w:r>
      <w:r w:rsidRPr="000657C2">
        <w:rPr>
          <w:i/>
          <w:lang w:val="es-ES"/>
        </w:rPr>
        <w:t>(</w:t>
      </w:r>
      <w:proofErr w:type="spellStart"/>
      <w:r w:rsidRPr="000657C2">
        <w:rPr>
          <w:i/>
          <w:lang w:val="es-ES"/>
        </w:rPr>
        <w:t>Chenopodium</w:t>
      </w:r>
      <w:proofErr w:type="spellEnd"/>
      <w:r w:rsidRPr="000657C2">
        <w:rPr>
          <w:i/>
          <w:lang w:val="es-ES"/>
        </w:rPr>
        <w:t xml:space="preserve"> </w:t>
      </w:r>
      <w:proofErr w:type="spellStart"/>
      <w:r w:rsidRPr="000657C2">
        <w:rPr>
          <w:i/>
          <w:lang w:val="es-ES"/>
        </w:rPr>
        <w:t>quinoa</w:t>
      </w:r>
      <w:proofErr w:type="spellEnd"/>
      <w:r w:rsidRPr="000657C2">
        <w:rPr>
          <w:i/>
          <w:lang w:val="es-ES"/>
        </w:rPr>
        <w:t xml:space="preserve"> </w:t>
      </w:r>
      <w:proofErr w:type="spellStart"/>
      <w:r w:rsidRPr="000657C2">
        <w:rPr>
          <w:lang w:val="es-ES"/>
        </w:rPr>
        <w:t>Willd</w:t>
      </w:r>
      <w:proofErr w:type="spellEnd"/>
      <w:r w:rsidRPr="000657C2">
        <w:rPr>
          <w:lang w:val="es-ES"/>
        </w:rPr>
        <w:t>.);</w:t>
      </w:r>
    </w:p>
    <w:p w:rsidR="009E5061" w:rsidRPr="000657C2" w:rsidRDefault="009E5061" w:rsidP="009E5061">
      <w:pPr>
        <w:numPr>
          <w:ilvl w:val="0"/>
          <w:numId w:val="11"/>
        </w:numPr>
        <w:rPr>
          <w:lang w:val="es-ES"/>
        </w:rPr>
      </w:pPr>
      <w:r w:rsidRPr="000657C2">
        <w:rPr>
          <w:lang w:val="es-ES"/>
        </w:rPr>
        <w:t xml:space="preserve">Batata </w:t>
      </w:r>
      <w:r w:rsidRPr="000657C2">
        <w:rPr>
          <w:i/>
          <w:lang w:val="es-ES"/>
        </w:rPr>
        <w:t>(</w:t>
      </w:r>
      <w:proofErr w:type="spellStart"/>
      <w:r w:rsidRPr="000657C2">
        <w:rPr>
          <w:i/>
          <w:lang w:val="es-ES"/>
        </w:rPr>
        <w:t>Ipomoea</w:t>
      </w:r>
      <w:proofErr w:type="spellEnd"/>
      <w:r w:rsidRPr="000657C2">
        <w:rPr>
          <w:i/>
          <w:lang w:val="es-ES"/>
        </w:rPr>
        <w:t xml:space="preserve"> batatas </w:t>
      </w:r>
      <w:r w:rsidRPr="000657C2">
        <w:rPr>
          <w:lang w:val="es-ES"/>
        </w:rPr>
        <w:t>(L.) Lam.);</w:t>
      </w:r>
    </w:p>
    <w:p w:rsidR="009E5061" w:rsidRDefault="009E5061" w:rsidP="000B7750">
      <w:pPr>
        <w:numPr>
          <w:ilvl w:val="0"/>
          <w:numId w:val="11"/>
        </w:numPr>
        <w:jc w:val="left"/>
      </w:pPr>
      <w:r w:rsidRPr="009E5061">
        <w:rPr>
          <w:lang w:val="es-ES"/>
        </w:rPr>
        <w:t xml:space="preserve">Jengibre común </w:t>
      </w:r>
      <w:r w:rsidRPr="009E5061">
        <w:rPr>
          <w:i/>
          <w:lang w:val="es-ES"/>
        </w:rPr>
        <w:t>(</w:t>
      </w:r>
      <w:proofErr w:type="spellStart"/>
      <w:r w:rsidRPr="009E5061">
        <w:rPr>
          <w:i/>
          <w:lang w:val="es-ES"/>
        </w:rPr>
        <w:t>Zingiber</w:t>
      </w:r>
      <w:proofErr w:type="spellEnd"/>
      <w:r w:rsidRPr="009E5061">
        <w:rPr>
          <w:i/>
          <w:lang w:val="es-ES"/>
        </w:rPr>
        <w:t xml:space="preserve"> </w:t>
      </w:r>
      <w:proofErr w:type="spellStart"/>
      <w:r w:rsidRPr="009E5061">
        <w:rPr>
          <w:i/>
          <w:lang w:val="es-ES"/>
        </w:rPr>
        <w:t>officinale</w:t>
      </w:r>
      <w:proofErr w:type="spellEnd"/>
      <w:r w:rsidRPr="009E5061">
        <w:rPr>
          <w:i/>
          <w:lang w:val="es-ES"/>
        </w:rPr>
        <w:t xml:space="preserve"> </w:t>
      </w:r>
      <w:r w:rsidRPr="009E5061">
        <w:rPr>
          <w:lang w:val="es-ES"/>
        </w:rPr>
        <w:t>Rose.).</w:t>
      </w:r>
    </w:p>
    <w:p w:rsidR="00D23C11" w:rsidRDefault="00D23C11" w:rsidP="0078167F">
      <w:pPr>
        <w:jc w:val="left"/>
        <w:sectPr w:rsidR="00D23C11" w:rsidSect="009E5061">
          <w:headerReference w:type="default" r:id="rId43"/>
          <w:pgSz w:w="11907" w:h="16840" w:code="9"/>
          <w:pgMar w:top="510" w:right="1134" w:bottom="993" w:left="1134" w:header="510" w:footer="680" w:gutter="0"/>
          <w:pgNumType w:start="1"/>
          <w:cols w:space="720"/>
          <w:titlePg/>
        </w:sectPr>
      </w:pPr>
    </w:p>
    <w:p w:rsidR="00D23C11" w:rsidRPr="00592F7C" w:rsidRDefault="00D23C11" w:rsidP="00D23C11">
      <w:pPr>
        <w:rPr>
          <w:u w:val="single"/>
          <w:lang w:val="es-ES"/>
        </w:rPr>
      </w:pPr>
      <w:r w:rsidRPr="00592F7C">
        <w:rPr>
          <w:lang w:val="es-ES"/>
        </w:rPr>
        <w:lastRenderedPageBreak/>
        <w:t>5.</w:t>
      </w:r>
      <w:r w:rsidRPr="00592F7C">
        <w:rPr>
          <w:lang w:val="es-ES"/>
        </w:rPr>
        <w:tab/>
      </w:r>
      <w:r w:rsidRPr="00B70FDA">
        <w:rPr>
          <w:u w:val="single"/>
        </w:rPr>
        <w:t>Actividades para la promoción de la protección de las obtenciones vegetales</w:t>
      </w:r>
    </w:p>
    <w:p w:rsidR="00D23C11" w:rsidRPr="00592F7C" w:rsidRDefault="00D23C11" w:rsidP="00D23C11">
      <w:pPr>
        <w:rPr>
          <w:lang w:val="es-ES"/>
        </w:rPr>
      </w:pPr>
    </w:p>
    <w:tbl>
      <w:tblPr>
        <w:tblW w:w="151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1"/>
        <w:gridCol w:w="1276"/>
        <w:gridCol w:w="969"/>
        <w:gridCol w:w="3005"/>
        <w:gridCol w:w="3686"/>
        <w:gridCol w:w="1843"/>
        <w:gridCol w:w="1418"/>
      </w:tblGrid>
      <w:tr w:rsidR="009E5061" w:rsidRPr="00DB7A36" w:rsidTr="00867DFB">
        <w:tc>
          <w:tcPr>
            <w:tcW w:w="3001" w:type="dxa"/>
            <w:shd w:val="clear" w:color="auto" w:fill="auto"/>
            <w:tcMar>
              <w:top w:w="28" w:type="dxa"/>
              <w:left w:w="57" w:type="dxa"/>
              <w:bottom w:w="28" w:type="dxa"/>
              <w:right w:w="57" w:type="dxa"/>
            </w:tcMar>
            <w:vAlign w:val="center"/>
            <w:hideMark/>
          </w:tcPr>
          <w:p w:rsidR="009E5061" w:rsidRPr="00DB7A36" w:rsidRDefault="009E5061" w:rsidP="00867DFB">
            <w:pPr>
              <w:keepNext/>
              <w:jc w:val="left"/>
              <w:rPr>
                <w:rFonts w:cs="Arial"/>
                <w:color w:val="262626"/>
                <w:sz w:val="16"/>
                <w:szCs w:val="16"/>
                <w:lang w:val="es-419" w:eastAsia="uk-UA"/>
              </w:rPr>
            </w:pPr>
            <w:r w:rsidRPr="00DB7A36">
              <w:rPr>
                <w:rFonts w:cs="Arial"/>
                <w:color w:val="262626"/>
                <w:sz w:val="16"/>
                <w:szCs w:val="16"/>
                <w:lang w:val="es-419" w:eastAsia="uk-UA"/>
              </w:rPr>
              <w:t>Título de la actividad</w:t>
            </w:r>
          </w:p>
        </w:tc>
        <w:tc>
          <w:tcPr>
            <w:tcW w:w="1276" w:type="dxa"/>
            <w:shd w:val="clear" w:color="auto" w:fill="auto"/>
            <w:tcMar>
              <w:top w:w="28" w:type="dxa"/>
              <w:left w:w="57" w:type="dxa"/>
              <w:bottom w:w="28" w:type="dxa"/>
              <w:right w:w="57" w:type="dxa"/>
            </w:tcMar>
            <w:vAlign w:val="center"/>
            <w:hideMark/>
          </w:tcPr>
          <w:p w:rsidR="009E5061" w:rsidRPr="00DB7A36" w:rsidRDefault="009E5061" w:rsidP="00867DFB">
            <w:pPr>
              <w:jc w:val="left"/>
              <w:rPr>
                <w:sz w:val="16"/>
                <w:lang w:val="es-419"/>
              </w:rPr>
            </w:pPr>
            <w:r w:rsidRPr="00DB7A36">
              <w:rPr>
                <w:sz w:val="16"/>
                <w:lang w:val="es-419"/>
              </w:rPr>
              <w:t>Fecha</w:t>
            </w:r>
          </w:p>
        </w:tc>
        <w:tc>
          <w:tcPr>
            <w:tcW w:w="969" w:type="dxa"/>
            <w:shd w:val="clear" w:color="auto" w:fill="auto"/>
            <w:tcMar>
              <w:top w:w="28" w:type="dxa"/>
              <w:left w:w="57" w:type="dxa"/>
              <w:bottom w:w="28" w:type="dxa"/>
              <w:right w:w="57" w:type="dxa"/>
            </w:tcMar>
            <w:vAlign w:val="center"/>
            <w:hideMark/>
          </w:tcPr>
          <w:p w:rsidR="009E5061" w:rsidRPr="00DB7A36" w:rsidRDefault="009E5061" w:rsidP="00867DFB">
            <w:pPr>
              <w:jc w:val="left"/>
              <w:rPr>
                <w:sz w:val="16"/>
                <w:lang w:val="es-419"/>
              </w:rPr>
            </w:pPr>
            <w:r w:rsidRPr="00DB7A36">
              <w:rPr>
                <w:sz w:val="16"/>
                <w:lang w:val="es-419"/>
              </w:rPr>
              <w:t>Lugar</w:t>
            </w:r>
          </w:p>
        </w:tc>
        <w:tc>
          <w:tcPr>
            <w:tcW w:w="3005" w:type="dxa"/>
            <w:shd w:val="clear" w:color="auto" w:fill="auto"/>
            <w:tcMar>
              <w:top w:w="28" w:type="dxa"/>
              <w:left w:w="57" w:type="dxa"/>
              <w:bottom w:w="28" w:type="dxa"/>
              <w:right w:w="57" w:type="dxa"/>
            </w:tcMar>
            <w:vAlign w:val="center"/>
            <w:hideMark/>
          </w:tcPr>
          <w:p w:rsidR="009E5061" w:rsidRPr="00DB7A36" w:rsidRDefault="009E5061" w:rsidP="00867DFB">
            <w:pPr>
              <w:jc w:val="left"/>
              <w:rPr>
                <w:sz w:val="16"/>
                <w:lang w:val="es-419"/>
              </w:rPr>
            </w:pPr>
            <w:r w:rsidRPr="00DB7A36">
              <w:rPr>
                <w:sz w:val="16"/>
                <w:lang w:val="es-419"/>
              </w:rPr>
              <w:t>Organizador(es)</w:t>
            </w:r>
          </w:p>
        </w:tc>
        <w:tc>
          <w:tcPr>
            <w:tcW w:w="3686" w:type="dxa"/>
            <w:shd w:val="clear" w:color="auto" w:fill="auto"/>
            <w:tcMar>
              <w:top w:w="28" w:type="dxa"/>
              <w:left w:w="57" w:type="dxa"/>
              <w:bottom w:w="28" w:type="dxa"/>
              <w:right w:w="57" w:type="dxa"/>
            </w:tcMar>
            <w:vAlign w:val="center"/>
            <w:hideMark/>
          </w:tcPr>
          <w:p w:rsidR="009E5061" w:rsidRPr="00DB7A36" w:rsidRDefault="009E5061" w:rsidP="00867DFB">
            <w:pPr>
              <w:jc w:val="left"/>
              <w:rPr>
                <w:sz w:val="16"/>
                <w:lang w:val="es-419"/>
              </w:rPr>
            </w:pPr>
            <w:r w:rsidRPr="00DB7A36">
              <w:rPr>
                <w:sz w:val="16"/>
                <w:lang w:val="es-419"/>
              </w:rPr>
              <w:t>Finalidad de la actividad</w:t>
            </w:r>
          </w:p>
        </w:tc>
        <w:tc>
          <w:tcPr>
            <w:tcW w:w="1843" w:type="dxa"/>
            <w:shd w:val="clear" w:color="auto" w:fill="auto"/>
            <w:tcMar>
              <w:top w:w="28" w:type="dxa"/>
              <w:left w:w="57" w:type="dxa"/>
              <w:bottom w:w="28" w:type="dxa"/>
              <w:right w:w="57" w:type="dxa"/>
            </w:tcMar>
            <w:vAlign w:val="center"/>
            <w:hideMark/>
          </w:tcPr>
          <w:p w:rsidR="009E5061" w:rsidRPr="00DB7A36" w:rsidRDefault="009E5061" w:rsidP="00867DFB">
            <w:pPr>
              <w:jc w:val="left"/>
              <w:rPr>
                <w:sz w:val="16"/>
                <w:lang w:val="es-419"/>
              </w:rPr>
            </w:pPr>
            <w:r w:rsidRPr="00DB7A36">
              <w:rPr>
                <w:sz w:val="16"/>
                <w:lang w:val="es-419"/>
              </w:rPr>
              <w:t>Países/organizaciones participantes (número de participantes en cada caso)</w:t>
            </w:r>
          </w:p>
        </w:tc>
        <w:tc>
          <w:tcPr>
            <w:tcW w:w="1418" w:type="dxa"/>
            <w:shd w:val="clear" w:color="auto" w:fill="auto"/>
            <w:tcMar>
              <w:top w:w="28" w:type="dxa"/>
              <w:left w:w="57" w:type="dxa"/>
              <w:bottom w:w="28" w:type="dxa"/>
              <w:right w:w="57" w:type="dxa"/>
            </w:tcMar>
            <w:vAlign w:val="center"/>
            <w:hideMark/>
          </w:tcPr>
          <w:p w:rsidR="009E5061" w:rsidRPr="00DB7A36" w:rsidRDefault="009E5061" w:rsidP="00867DFB">
            <w:pPr>
              <w:jc w:val="left"/>
              <w:rPr>
                <w:sz w:val="16"/>
                <w:lang w:val="es-419"/>
              </w:rPr>
            </w:pPr>
            <w:r w:rsidRPr="00DB7A36">
              <w:rPr>
                <w:sz w:val="16"/>
                <w:lang w:val="es-419"/>
              </w:rPr>
              <w:t>Observaciones</w:t>
            </w:r>
          </w:p>
        </w:tc>
      </w:tr>
      <w:tr w:rsidR="009E5061" w:rsidRPr="00DB7A36" w:rsidTr="00867DFB">
        <w:tc>
          <w:tcPr>
            <w:tcW w:w="3001" w:type="dxa"/>
            <w:shd w:val="clear" w:color="auto" w:fill="auto"/>
            <w:tcMar>
              <w:top w:w="28" w:type="dxa"/>
              <w:left w:w="57" w:type="dxa"/>
              <w:bottom w:w="28" w:type="dxa"/>
              <w:right w:w="57" w:type="dxa"/>
            </w:tcMar>
            <w:hideMark/>
          </w:tcPr>
          <w:p w:rsidR="009E5061" w:rsidRPr="00DB7A36" w:rsidRDefault="009E5061" w:rsidP="00867DFB">
            <w:pPr>
              <w:jc w:val="left"/>
              <w:rPr>
                <w:sz w:val="16"/>
                <w:szCs w:val="16"/>
                <w:lang w:val="es-419"/>
              </w:rPr>
            </w:pPr>
            <w:proofErr w:type="spellStart"/>
            <w:r w:rsidRPr="00DB7A36">
              <w:rPr>
                <w:i/>
                <w:sz w:val="16"/>
                <w:szCs w:val="16"/>
                <w:lang w:val="es-419"/>
              </w:rPr>
              <w:t>Plant</w:t>
            </w:r>
            <w:proofErr w:type="spellEnd"/>
            <w:r w:rsidRPr="00DB7A36">
              <w:rPr>
                <w:i/>
                <w:sz w:val="16"/>
                <w:szCs w:val="16"/>
                <w:lang w:val="es-419"/>
              </w:rPr>
              <w:t xml:space="preserve"> </w:t>
            </w:r>
            <w:proofErr w:type="spellStart"/>
            <w:r w:rsidRPr="00DB7A36">
              <w:rPr>
                <w:i/>
                <w:sz w:val="16"/>
                <w:szCs w:val="16"/>
                <w:lang w:val="es-419"/>
              </w:rPr>
              <w:t>Varieties</w:t>
            </w:r>
            <w:proofErr w:type="spellEnd"/>
            <w:r w:rsidRPr="00DB7A36">
              <w:rPr>
                <w:i/>
                <w:sz w:val="16"/>
                <w:szCs w:val="16"/>
                <w:lang w:val="es-419"/>
              </w:rPr>
              <w:t xml:space="preserve"> </w:t>
            </w:r>
            <w:proofErr w:type="spellStart"/>
            <w:r w:rsidRPr="00DB7A36">
              <w:rPr>
                <w:i/>
                <w:sz w:val="16"/>
                <w:szCs w:val="16"/>
                <w:lang w:val="es-419"/>
              </w:rPr>
              <w:t>Studying</w:t>
            </w:r>
            <w:proofErr w:type="spellEnd"/>
            <w:r w:rsidRPr="00DB7A36">
              <w:rPr>
                <w:i/>
                <w:sz w:val="16"/>
                <w:szCs w:val="16"/>
                <w:lang w:val="es-419"/>
              </w:rPr>
              <w:t xml:space="preserve"> and </w:t>
            </w:r>
            <w:proofErr w:type="spellStart"/>
            <w:r w:rsidRPr="00DB7A36">
              <w:rPr>
                <w:i/>
                <w:sz w:val="16"/>
                <w:szCs w:val="16"/>
                <w:lang w:val="es-419"/>
              </w:rPr>
              <w:t>Protection</w:t>
            </w:r>
            <w:proofErr w:type="spellEnd"/>
            <w:r w:rsidRPr="00DB7A36">
              <w:rPr>
                <w:sz w:val="16"/>
                <w:szCs w:val="16"/>
                <w:lang w:val="es-419"/>
              </w:rPr>
              <w:t xml:space="preserve"> (“Estudio y protección de las variedades vegetales”)</w:t>
            </w:r>
          </w:p>
          <w:p w:rsidR="009E5061" w:rsidRPr="00DB7A36" w:rsidRDefault="009E5061" w:rsidP="00867DFB">
            <w:pPr>
              <w:jc w:val="left"/>
              <w:rPr>
                <w:sz w:val="16"/>
                <w:szCs w:val="16"/>
                <w:lang w:val="es-419"/>
              </w:rPr>
            </w:pPr>
            <w:r w:rsidRPr="00DB7A36">
              <w:rPr>
                <w:sz w:val="16"/>
                <w:szCs w:val="16"/>
                <w:lang w:val="es-419"/>
              </w:rPr>
              <w:t>ISSN impreso 2518-1017</w:t>
            </w:r>
          </w:p>
          <w:p w:rsidR="009E5061" w:rsidRPr="00DB7A36" w:rsidRDefault="009E5061" w:rsidP="00867DFB">
            <w:pPr>
              <w:jc w:val="left"/>
              <w:rPr>
                <w:sz w:val="16"/>
                <w:szCs w:val="16"/>
                <w:lang w:val="es-419"/>
              </w:rPr>
            </w:pPr>
            <w:r w:rsidRPr="00DB7A36">
              <w:rPr>
                <w:sz w:val="16"/>
                <w:szCs w:val="16"/>
                <w:lang w:val="es-419"/>
              </w:rPr>
              <w:t>ISSN electrónico 2518-7457</w:t>
            </w:r>
          </w:p>
          <w:p w:rsidR="009E5061" w:rsidRPr="00DB7A36" w:rsidRDefault="009E5061" w:rsidP="00867DFB">
            <w:pPr>
              <w:jc w:val="left"/>
              <w:rPr>
                <w:sz w:val="16"/>
                <w:szCs w:val="16"/>
                <w:lang w:val="es-419"/>
              </w:rPr>
            </w:pPr>
            <w:proofErr w:type="spellStart"/>
            <w:r w:rsidRPr="00DB7A36">
              <w:rPr>
                <w:sz w:val="16"/>
                <w:szCs w:val="16"/>
                <w:lang w:val="es-419"/>
              </w:rPr>
              <w:t>N.</w:t>
            </w:r>
            <w:r w:rsidRPr="00DB7A36">
              <w:rPr>
                <w:sz w:val="16"/>
                <w:szCs w:val="16"/>
                <w:vertAlign w:val="superscript"/>
                <w:lang w:val="es-419"/>
              </w:rPr>
              <w:t>os</w:t>
            </w:r>
            <w:proofErr w:type="spellEnd"/>
            <w:r w:rsidRPr="00DB7A36">
              <w:rPr>
                <w:sz w:val="16"/>
                <w:szCs w:val="16"/>
                <w:lang w:val="es-419"/>
              </w:rPr>
              <w:t> 1, 2, 3 y 4, volumen </w:t>
            </w:r>
            <w:r w:rsidRPr="00DB7A36">
              <w:rPr>
                <w:rFonts w:cs="Arial"/>
                <w:sz w:val="16"/>
                <w:szCs w:val="18"/>
                <w:lang w:val="es-419"/>
              </w:rPr>
              <w:t>16, 2020</w:t>
            </w:r>
          </w:p>
          <w:p w:rsidR="009E5061" w:rsidRPr="00DB7A36" w:rsidRDefault="009E5061" w:rsidP="00867DFB">
            <w:pPr>
              <w:jc w:val="left"/>
              <w:rPr>
                <w:rFonts w:cs="Arial"/>
                <w:sz w:val="16"/>
                <w:szCs w:val="18"/>
                <w:lang w:val="es-419"/>
              </w:rPr>
            </w:pPr>
            <w:hyperlink r:id="rId44" w:history="1">
              <w:r w:rsidRPr="00DB7A36">
                <w:rPr>
                  <w:rStyle w:val="Hyperlink"/>
                  <w:sz w:val="16"/>
                  <w:szCs w:val="16"/>
                  <w:lang w:val="es-419"/>
                </w:rPr>
                <w:t>http://journal.sops.gov.ua/</w:t>
              </w:r>
            </w:hyperlink>
          </w:p>
        </w:tc>
        <w:tc>
          <w:tcPr>
            <w:tcW w:w="1276" w:type="dxa"/>
            <w:shd w:val="clear" w:color="auto" w:fill="auto"/>
            <w:tcMar>
              <w:top w:w="28" w:type="dxa"/>
              <w:left w:w="57" w:type="dxa"/>
              <w:bottom w:w="28" w:type="dxa"/>
              <w:right w:w="57" w:type="dxa"/>
            </w:tcMar>
            <w:hideMark/>
          </w:tcPr>
          <w:p w:rsidR="009E5061" w:rsidRPr="00DB7A36" w:rsidRDefault="009E5061" w:rsidP="00867DFB">
            <w:pPr>
              <w:jc w:val="left"/>
              <w:rPr>
                <w:sz w:val="16"/>
                <w:lang w:val="es-419"/>
              </w:rPr>
            </w:pPr>
            <w:r w:rsidRPr="00DB7A36">
              <w:rPr>
                <w:sz w:val="16"/>
                <w:lang w:val="es-419"/>
              </w:rPr>
              <w:t>Trimestral</w:t>
            </w:r>
          </w:p>
        </w:tc>
        <w:tc>
          <w:tcPr>
            <w:tcW w:w="969" w:type="dxa"/>
            <w:shd w:val="clear" w:color="auto" w:fill="auto"/>
            <w:tcMar>
              <w:top w:w="28" w:type="dxa"/>
              <w:left w:w="57" w:type="dxa"/>
              <w:bottom w:w="28" w:type="dxa"/>
              <w:right w:w="57" w:type="dxa"/>
            </w:tcMar>
            <w:hideMark/>
          </w:tcPr>
          <w:p w:rsidR="009E5061" w:rsidRPr="00DB7A36" w:rsidRDefault="009E5061" w:rsidP="00867DFB">
            <w:pPr>
              <w:jc w:val="left"/>
              <w:rPr>
                <w:sz w:val="16"/>
                <w:lang w:val="es-419"/>
              </w:rPr>
            </w:pPr>
            <w:r w:rsidRPr="00DB7A36">
              <w:rPr>
                <w:sz w:val="16"/>
                <w:lang w:val="es-419"/>
              </w:rPr>
              <w:t>Kiev (Ucrania)</w:t>
            </w:r>
          </w:p>
        </w:tc>
        <w:tc>
          <w:tcPr>
            <w:tcW w:w="3005" w:type="dxa"/>
            <w:shd w:val="clear" w:color="auto" w:fill="auto"/>
            <w:tcMar>
              <w:top w:w="28" w:type="dxa"/>
              <w:left w:w="57" w:type="dxa"/>
              <w:bottom w:w="28" w:type="dxa"/>
              <w:right w:w="57" w:type="dxa"/>
            </w:tcMar>
            <w:hideMark/>
          </w:tcPr>
          <w:p w:rsidR="009E5061" w:rsidRPr="00DB7A36" w:rsidRDefault="009E5061" w:rsidP="00867DFB">
            <w:pPr>
              <w:jc w:val="left"/>
              <w:rPr>
                <w:rFonts w:cs="Arial"/>
                <w:sz w:val="16"/>
                <w:szCs w:val="18"/>
                <w:lang w:val="es-419"/>
              </w:rPr>
            </w:pPr>
            <w:r w:rsidRPr="00DB7A36">
              <w:rPr>
                <w:sz w:val="16"/>
                <w:lang w:val="es-419"/>
              </w:rPr>
              <w:t xml:space="preserve">Instituto de Examen de Variedades Vegetales de Ucrania; Instituto de </w:t>
            </w:r>
            <w:proofErr w:type="spellStart"/>
            <w:r w:rsidRPr="00DB7A36">
              <w:rPr>
                <w:sz w:val="16"/>
                <w:lang w:val="es-419"/>
              </w:rPr>
              <w:t>Fitomejoramiento</w:t>
            </w:r>
            <w:proofErr w:type="spellEnd"/>
            <w:r w:rsidRPr="00DB7A36">
              <w:rPr>
                <w:sz w:val="16"/>
                <w:lang w:val="es-419"/>
              </w:rPr>
              <w:t xml:space="preserve"> y </w:t>
            </w:r>
            <w:proofErr w:type="spellStart"/>
            <w:r w:rsidRPr="00DB7A36">
              <w:rPr>
                <w:sz w:val="16"/>
                <w:lang w:val="es-419"/>
              </w:rPr>
              <w:t>Fitogenética</w:t>
            </w:r>
            <w:proofErr w:type="spellEnd"/>
            <w:r w:rsidRPr="00DB7A36">
              <w:rPr>
                <w:sz w:val="16"/>
                <w:lang w:val="es-419"/>
              </w:rPr>
              <w:t xml:space="preserve">; Centro Nacional de Semillas e Investigación de Cultivares de la NAAS; Instituto de Fisiología Vegetal y </w:t>
            </w:r>
            <w:proofErr w:type="spellStart"/>
            <w:r w:rsidRPr="00DB7A36">
              <w:rPr>
                <w:sz w:val="16"/>
                <w:lang w:val="es-419"/>
              </w:rPr>
              <w:t>Fitogenética</w:t>
            </w:r>
            <w:proofErr w:type="spellEnd"/>
            <w:r w:rsidRPr="00DB7A36">
              <w:rPr>
                <w:sz w:val="16"/>
                <w:lang w:val="es-419"/>
              </w:rPr>
              <w:t>, Academia Nacional de Ciencias de Ucrania</w:t>
            </w:r>
          </w:p>
        </w:tc>
        <w:tc>
          <w:tcPr>
            <w:tcW w:w="3686" w:type="dxa"/>
            <w:shd w:val="clear" w:color="auto" w:fill="auto"/>
            <w:tcMar>
              <w:top w:w="28" w:type="dxa"/>
              <w:left w:w="57" w:type="dxa"/>
              <w:bottom w:w="28" w:type="dxa"/>
              <w:right w:w="57" w:type="dxa"/>
            </w:tcMar>
            <w:hideMark/>
          </w:tcPr>
          <w:p w:rsidR="009E5061" w:rsidRPr="00DB7A36" w:rsidRDefault="009E5061" w:rsidP="00867DFB">
            <w:pPr>
              <w:jc w:val="left"/>
              <w:rPr>
                <w:rFonts w:cs="Arial"/>
                <w:sz w:val="16"/>
                <w:szCs w:val="18"/>
                <w:lang w:val="es-419"/>
              </w:rPr>
            </w:pPr>
            <w:r w:rsidRPr="00DB7A36">
              <w:rPr>
                <w:sz w:val="16"/>
                <w:lang w:val="es-419"/>
              </w:rPr>
              <w:t xml:space="preserve">Publicación sobre el estudio, el </w:t>
            </w:r>
            <w:proofErr w:type="spellStart"/>
            <w:r w:rsidRPr="00DB7A36">
              <w:rPr>
                <w:sz w:val="16"/>
                <w:lang w:val="es-419"/>
              </w:rPr>
              <w:t>fitomejoramiento</w:t>
            </w:r>
            <w:proofErr w:type="spellEnd"/>
            <w:r w:rsidRPr="00DB7A36">
              <w:rPr>
                <w:sz w:val="16"/>
                <w:lang w:val="es-419"/>
              </w:rPr>
              <w:t>, la genética y la producción de semillas de las variedades vegetales, fisiología vegetal, biotecnología y bioseguridad, producción agrícola, comercialización de variedades vegetales, protección de las obtenciones vegetales, cooperación internacional, sistemas y tecnologías de la información, opiniones de científicos jóvenes, historia de la ciencia, efemérides</w:t>
            </w:r>
          </w:p>
        </w:tc>
        <w:tc>
          <w:tcPr>
            <w:tcW w:w="1843" w:type="dxa"/>
            <w:shd w:val="clear" w:color="auto" w:fill="auto"/>
            <w:tcMar>
              <w:top w:w="28" w:type="dxa"/>
              <w:left w:w="57" w:type="dxa"/>
              <w:bottom w:w="28" w:type="dxa"/>
              <w:right w:w="57" w:type="dxa"/>
            </w:tcMar>
            <w:hideMark/>
          </w:tcPr>
          <w:p w:rsidR="009E5061" w:rsidRPr="00DB7A36" w:rsidRDefault="009E5061" w:rsidP="00867DFB">
            <w:pPr>
              <w:jc w:val="left"/>
              <w:rPr>
                <w:rFonts w:cs="Arial"/>
                <w:sz w:val="16"/>
                <w:szCs w:val="18"/>
                <w:lang w:val="es-419"/>
              </w:rPr>
            </w:pPr>
            <w:r w:rsidRPr="00DB7A36">
              <w:rPr>
                <w:sz w:val="16"/>
                <w:lang w:val="es-419"/>
              </w:rPr>
              <w:t>Ucrania</w:t>
            </w:r>
          </w:p>
        </w:tc>
        <w:tc>
          <w:tcPr>
            <w:tcW w:w="1418" w:type="dxa"/>
            <w:shd w:val="clear" w:color="auto" w:fill="auto"/>
            <w:tcMar>
              <w:top w:w="28" w:type="dxa"/>
              <w:left w:w="57" w:type="dxa"/>
              <w:bottom w:w="28" w:type="dxa"/>
              <w:right w:w="57" w:type="dxa"/>
            </w:tcMar>
            <w:hideMark/>
          </w:tcPr>
          <w:p w:rsidR="009E5061" w:rsidRPr="00DB7A36" w:rsidRDefault="009E5061" w:rsidP="00867DFB">
            <w:pPr>
              <w:jc w:val="left"/>
              <w:rPr>
                <w:rFonts w:cs="Arial"/>
                <w:sz w:val="16"/>
                <w:szCs w:val="18"/>
                <w:lang w:val="es-419"/>
              </w:rPr>
            </w:pPr>
          </w:p>
        </w:tc>
      </w:tr>
      <w:tr w:rsidR="009E5061" w:rsidRPr="00DB7A36" w:rsidTr="00867DFB">
        <w:tc>
          <w:tcPr>
            <w:tcW w:w="3001" w:type="dxa"/>
            <w:shd w:val="clear" w:color="auto" w:fill="auto"/>
            <w:tcMar>
              <w:top w:w="28" w:type="dxa"/>
              <w:left w:w="57" w:type="dxa"/>
              <w:bottom w:w="28" w:type="dxa"/>
              <w:right w:w="57" w:type="dxa"/>
            </w:tcMar>
            <w:hideMark/>
          </w:tcPr>
          <w:p w:rsidR="009E5061" w:rsidRPr="00DB7A36" w:rsidRDefault="009E5061" w:rsidP="00867DFB">
            <w:pPr>
              <w:jc w:val="left"/>
              <w:rPr>
                <w:sz w:val="16"/>
                <w:szCs w:val="16"/>
                <w:lang w:val="es-419"/>
              </w:rPr>
            </w:pPr>
            <w:r w:rsidRPr="00DB7A36">
              <w:rPr>
                <w:sz w:val="16"/>
                <w:szCs w:val="16"/>
                <w:lang w:val="es-419"/>
              </w:rPr>
              <w:t xml:space="preserve">Boletín “Protección de las variedades vegetales”, </w:t>
            </w:r>
            <w:proofErr w:type="spellStart"/>
            <w:r w:rsidRPr="00DB7A36">
              <w:rPr>
                <w:sz w:val="16"/>
                <w:szCs w:val="16"/>
                <w:lang w:val="es-419"/>
              </w:rPr>
              <w:t>N.</w:t>
            </w:r>
            <w:r w:rsidRPr="00DB7A36">
              <w:rPr>
                <w:sz w:val="16"/>
                <w:szCs w:val="16"/>
                <w:vertAlign w:val="superscript"/>
                <w:lang w:val="es-419"/>
              </w:rPr>
              <w:t>os</w:t>
            </w:r>
            <w:proofErr w:type="spellEnd"/>
            <w:r w:rsidRPr="00DB7A36">
              <w:rPr>
                <w:sz w:val="16"/>
                <w:szCs w:val="16"/>
                <w:lang w:val="es-419"/>
              </w:rPr>
              <w:t> 1, 2, 3, 4, 5 y 6 de 2020</w:t>
            </w:r>
          </w:p>
          <w:p w:rsidR="009E5061" w:rsidRPr="00DB7A36" w:rsidRDefault="009E5061" w:rsidP="00867DFB">
            <w:pPr>
              <w:jc w:val="left"/>
              <w:rPr>
                <w:rFonts w:cs="Arial"/>
                <w:sz w:val="16"/>
                <w:szCs w:val="18"/>
                <w:lang w:val="es-419"/>
              </w:rPr>
            </w:pPr>
            <w:hyperlink r:id="rId45" w:history="1">
              <w:r w:rsidRPr="00DB7A36">
                <w:rPr>
                  <w:rStyle w:val="Hyperlink"/>
                  <w:sz w:val="16"/>
                  <w:szCs w:val="16"/>
                  <w:lang w:val="es-419"/>
                </w:rPr>
                <w:t>https://sops.gov.ua/uploads/page/buleten/B_3_2020.pdf</w:t>
              </w:r>
            </w:hyperlink>
          </w:p>
        </w:tc>
        <w:tc>
          <w:tcPr>
            <w:tcW w:w="1276" w:type="dxa"/>
            <w:shd w:val="clear" w:color="auto" w:fill="auto"/>
            <w:tcMar>
              <w:top w:w="28" w:type="dxa"/>
              <w:left w:w="57" w:type="dxa"/>
              <w:bottom w:w="28" w:type="dxa"/>
              <w:right w:w="57" w:type="dxa"/>
            </w:tcMar>
            <w:hideMark/>
          </w:tcPr>
          <w:p w:rsidR="009E5061" w:rsidRPr="00DB7A36" w:rsidRDefault="009E5061" w:rsidP="00867DFB">
            <w:pPr>
              <w:jc w:val="left"/>
              <w:rPr>
                <w:sz w:val="16"/>
                <w:lang w:val="es-419"/>
              </w:rPr>
            </w:pPr>
            <w:r w:rsidRPr="00DB7A36">
              <w:rPr>
                <w:sz w:val="16"/>
                <w:lang w:val="es-419"/>
              </w:rPr>
              <w:t>Trimestral</w:t>
            </w:r>
          </w:p>
        </w:tc>
        <w:tc>
          <w:tcPr>
            <w:tcW w:w="969" w:type="dxa"/>
            <w:shd w:val="clear" w:color="auto" w:fill="auto"/>
            <w:tcMar>
              <w:top w:w="28" w:type="dxa"/>
              <w:left w:w="57" w:type="dxa"/>
              <w:bottom w:w="28" w:type="dxa"/>
              <w:right w:w="57" w:type="dxa"/>
            </w:tcMar>
            <w:hideMark/>
          </w:tcPr>
          <w:p w:rsidR="009E5061" w:rsidRPr="00DB7A36" w:rsidRDefault="009E5061" w:rsidP="00867DFB">
            <w:pPr>
              <w:jc w:val="left"/>
              <w:rPr>
                <w:sz w:val="16"/>
                <w:lang w:val="es-419"/>
              </w:rPr>
            </w:pPr>
            <w:r w:rsidRPr="00DB7A36">
              <w:rPr>
                <w:sz w:val="16"/>
                <w:lang w:val="es-419"/>
              </w:rPr>
              <w:t>Kiev (Ucrania)</w:t>
            </w:r>
          </w:p>
        </w:tc>
        <w:tc>
          <w:tcPr>
            <w:tcW w:w="3005" w:type="dxa"/>
            <w:shd w:val="clear" w:color="auto" w:fill="auto"/>
            <w:tcMar>
              <w:top w:w="28" w:type="dxa"/>
              <w:left w:w="57" w:type="dxa"/>
              <w:bottom w:w="28" w:type="dxa"/>
              <w:right w:w="57" w:type="dxa"/>
            </w:tcMar>
            <w:hideMark/>
          </w:tcPr>
          <w:p w:rsidR="009E5061" w:rsidRPr="00DB7A36" w:rsidRDefault="009E5061" w:rsidP="00867DFB">
            <w:pPr>
              <w:jc w:val="left"/>
              <w:rPr>
                <w:sz w:val="16"/>
                <w:lang w:val="es-419"/>
              </w:rPr>
            </w:pPr>
            <w:r w:rsidRPr="00DB7A36">
              <w:rPr>
                <w:sz w:val="16"/>
                <w:lang w:val="es-419"/>
              </w:rPr>
              <w:t>Instituto de Examen de Variedades Vegetales de Ucrania</w:t>
            </w:r>
          </w:p>
        </w:tc>
        <w:tc>
          <w:tcPr>
            <w:tcW w:w="3686" w:type="dxa"/>
            <w:shd w:val="clear" w:color="auto" w:fill="auto"/>
            <w:tcMar>
              <w:top w:w="28" w:type="dxa"/>
              <w:left w:w="57" w:type="dxa"/>
              <w:bottom w:w="28" w:type="dxa"/>
              <w:right w:w="57" w:type="dxa"/>
            </w:tcMar>
            <w:hideMark/>
          </w:tcPr>
          <w:p w:rsidR="009E5061" w:rsidRPr="00DB7A36" w:rsidRDefault="009E5061" w:rsidP="00867DFB">
            <w:pPr>
              <w:jc w:val="left"/>
              <w:rPr>
                <w:sz w:val="16"/>
                <w:lang w:val="es-419"/>
              </w:rPr>
            </w:pPr>
            <w:r w:rsidRPr="00DB7A36">
              <w:rPr>
                <w:sz w:val="16"/>
                <w:lang w:val="es-419"/>
              </w:rPr>
              <w:t>Este boletín se edita conforme a lo dispuesto en la Ley de Protección de las Obtenciones Vegetales de Ucrania y constituye el medio de información oficial en el ámbito de los derechos de obtentor y el cumplimiento de las obligaciones internacionales de Ucrania como miembro de la Unión Internacional para la Protección de las Obtenciones Vegetales (UPOV)</w:t>
            </w:r>
          </w:p>
        </w:tc>
        <w:tc>
          <w:tcPr>
            <w:tcW w:w="1843" w:type="dxa"/>
            <w:shd w:val="clear" w:color="auto" w:fill="auto"/>
            <w:tcMar>
              <w:top w:w="28" w:type="dxa"/>
              <w:left w:w="57" w:type="dxa"/>
              <w:bottom w:w="28" w:type="dxa"/>
              <w:right w:w="57" w:type="dxa"/>
            </w:tcMar>
            <w:hideMark/>
          </w:tcPr>
          <w:p w:rsidR="009E5061" w:rsidRPr="00DB7A36" w:rsidRDefault="009E5061" w:rsidP="00867DFB">
            <w:pPr>
              <w:jc w:val="left"/>
              <w:rPr>
                <w:rFonts w:cs="Arial"/>
                <w:sz w:val="16"/>
                <w:szCs w:val="18"/>
                <w:lang w:val="es-419"/>
              </w:rPr>
            </w:pPr>
            <w:r w:rsidRPr="00DB7A36">
              <w:rPr>
                <w:sz w:val="16"/>
                <w:lang w:val="es-419"/>
              </w:rPr>
              <w:t>Ucrania</w:t>
            </w:r>
          </w:p>
        </w:tc>
        <w:tc>
          <w:tcPr>
            <w:tcW w:w="1418" w:type="dxa"/>
            <w:shd w:val="clear" w:color="auto" w:fill="auto"/>
            <w:tcMar>
              <w:top w:w="28" w:type="dxa"/>
              <w:left w:w="57" w:type="dxa"/>
              <w:bottom w:w="28" w:type="dxa"/>
              <w:right w:w="57" w:type="dxa"/>
            </w:tcMar>
            <w:hideMark/>
          </w:tcPr>
          <w:p w:rsidR="009E5061" w:rsidRPr="00DB7A36" w:rsidRDefault="009E5061" w:rsidP="00867DFB">
            <w:pPr>
              <w:jc w:val="left"/>
              <w:rPr>
                <w:rFonts w:cs="Arial"/>
                <w:sz w:val="16"/>
                <w:szCs w:val="18"/>
                <w:lang w:val="es-419"/>
              </w:rPr>
            </w:pPr>
          </w:p>
        </w:tc>
      </w:tr>
      <w:tr w:rsidR="009E5061" w:rsidRPr="00DB7A36" w:rsidTr="00867DFB">
        <w:tc>
          <w:tcPr>
            <w:tcW w:w="3001" w:type="dxa"/>
            <w:shd w:val="clear" w:color="auto" w:fill="auto"/>
            <w:tcMar>
              <w:top w:w="28" w:type="dxa"/>
              <w:left w:w="57" w:type="dxa"/>
              <w:bottom w:w="28" w:type="dxa"/>
              <w:right w:w="57" w:type="dxa"/>
            </w:tcMar>
          </w:tcPr>
          <w:p w:rsidR="009E5061" w:rsidRPr="00DB7A36" w:rsidRDefault="009E5061" w:rsidP="00867DFB">
            <w:pPr>
              <w:jc w:val="left"/>
              <w:rPr>
                <w:sz w:val="16"/>
                <w:szCs w:val="16"/>
                <w:lang w:val="es-419"/>
              </w:rPr>
            </w:pPr>
            <w:r w:rsidRPr="00DB7A36">
              <w:rPr>
                <w:sz w:val="16"/>
                <w:szCs w:val="16"/>
                <w:lang w:val="es-419"/>
              </w:rPr>
              <w:t>VIII Conferencia internacional de investigación aplicada de científicos y especialistas jóvenes "</w:t>
            </w:r>
            <w:proofErr w:type="spellStart"/>
            <w:r w:rsidRPr="00DB7A36">
              <w:rPr>
                <w:sz w:val="16"/>
                <w:szCs w:val="16"/>
                <w:lang w:val="es-419"/>
              </w:rPr>
              <w:t>Fitomejoramiento</w:t>
            </w:r>
            <w:proofErr w:type="spellEnd"/>
            <w:r w:rsidRPr="00DB7A36">
              <w:rPr>
                <w:sz w:val="16"/>
                <w:szCs w:val="16"/>
                <w:lang w:val="es-419"/>
              </w:rPr>
              <w:t>, genética y tecnología para los cultivos agrícolas"</w:t>
            </w:r>
          </w:p>
          <w:p w:rsidR="009E5061" w:rsidRPr="00DB7A36" w:rsidRDefault="009E5061" w:rsidP="00867DFB">
            <w:pPr>
              <w:jc w:val="left"/>
              <w:rPr>
                <w:rFonts w:cs="Arial"/>
                <w:sz w:val="16"/>
                <w:szCs w:val="18"/>
                <w:lang w:val="es-419"/>
              </w:rPr>
            </w:pPr>
            <w:hyperlink r:id="rId46" w:history="1">
              <w:r w:rsidRPr="00DB7A36">
                <w:rPr>
                  <w:rStyle w:val="Hyperlink"/>
                  <w:sz w:val="16"/>
                  <w:szCs w:val="16"/>
                  <w:lang w:val="es-419"/>
                </w:rPr>
                <w:t>https://sops.gov.ua/uploads/page/5cc15bea99d43.pdf</w:t>
              </w:r>
            </w:hyperlink>
          </w:p>
        </w:tc>
        <w:tc>
          <w:tcPr>
            <w:tcW w:w="1276" w:type="dxa"/>
            <w:shd w:val="clear" w:color="auto" w:fill="auto"/>
            <w:tcMar>
              <w:top w:w="28" w:type="dxa"/>
              <w:left w:w="57" w:type="dxa"/>
              <w:bottom w:w="28" w:type="dxa"/>
              <w:right w:w="57" w:type="dxa"/>
            </w:tcMar>
          </w:tcPr>
          <w:p w:rsidR="009E5061" w:rsidRPr="00DB7A36" w:rsidRDefault="009E5061" w:rsidP="00867DFB">
            <w:pPr>
              <w:jc w:val="left"/>
              <w:rPr>
                <w:rFonts w:cs="Arial"/>
                <w:sz w:val="16"/>
                <w:szCs w:val="18"/>
                <w:lang w:val="es-419"/>
              </w:rPr>
            </w:pPr>
            <w:r w:rsidRPr="00DB7A36">
              <w:rPr>
                <w:rFonts w:cs="Arial"/>
                <w:sz w:val="16"/>
                <w:szCs w:val="18"/>
                <w:lang w:val="es-419"/>
              </w:rPr>
              <w:t>24 de abril de 2020</w:t>
            </w:r>
          </w:p>
        </w:tc>
        <w:tc>
          <w:tcPr>
            <w:tcW w:w="969" w:type="dxa"/>
            <w:shd w:val="clear" w:color="auto" w:fill="auto"/>
            <w:tcMar>
              <w:top w:w="28" w:type="dxa"/>
              <w:left w:w="57" w:type="dxa"/>
              <w:bottom w:w="28" w:type="dxa"/>
              <w:right w:w="57" w:type="dxa"/>
            </w:tcMar>
          </w:tcPr>
          <w:p w:rsidR="009E5061" w:rsidRPr="00DB7A36" w:rsidRDefault="009E5061" w:rsidP="00867DFB">
            <w:pPr>
              <w:jc w:val="left"/>
              <w:rPr>
                <w:rFonts w:cs="Arial"/>
                <w:sz w:val="16"/>
                <w:szCs w:val="18"/>
                <w:lang w:val="es-419"/>
              </w:rPr>
            </w:pPr>
            <w:r w:rsidRPr="00DB7A36">
              <w:rPr>
                <w:sz w:val="16"/>
                <w:lang w:val="es-419"/>
              </w:rPr>
              <w:t xml:space="preserve">Localidad de </w:t>
            </w:r>
            <w:proofErr w:type="spellStart"/>
            <w:r w:rsidRPr="00DB7A36">
              <w:rPr>
                <w:sz w:val="16"/>
                <w:lang w:val="es-419"/>
              </w:rPr>
              <w:t>Centralne</w:t>
            </w:r>
            <w:proofErr w:type="spellEnd"/>
            <w:r w:rsidRPr="00DB7A36">
              <w:rPr>
                <w:sz w:val="16"/>
                <w:lang w:val="es-419"/>
              </w:rPr>
              <w:t>, región de Kiev</w:t>
            </w:r>
          </w:p>
        </w:tc>
        <w:tc>
          <w:tcPr>
            <w:tcW w:w="3005" w:type="dxa"/>
            <w:shd w:val="clear" w:color="auto" w:fill="auto"/>
            <w:tcMar>
              <w:top w:w="28" w:type="dxa"/>
              <w:left w:w="57" w:type="dxa"/>
              <w:bottom w:w="28" w:type="dxa"/>
              <w:right w:w="57" w:type="dxa"/>
            </w:tcMar>
          </w:tcPr>
          <w:p w:rsidR="009E5061" w:rsidRPr="00DB7A36" w:rsidRDefault="009E5061" w:rsidP="00867DFB">
            <w:pPr>
              <w:jc w:val="left"/>
              <w:rPr>
                <w:rFonts w:cs="Arial"/>
                <w:sz w:val="16"/>
                <w:szCs w:val="18"/>
                <w:lang w:val="es-419"/>
              </w:rPr>
            </w:pPr>
            <w:r w:rsidRPr="00DB7A36">
              <w:rPr>
                <w:sz w:val="16"/>
                <w:lang w:val="es-419"/>
              </w:rPr>
              <w:t xml:space="preserve">Instituto del Trigo V.M. </w:t>
            </w:r>
            <w:proofErr w:type="spellStart"/>
            <w:r w:rsidRPr="00DB7A36">
              <w:rPr>
                <w:sz w:val="16"/>
                <w:lang w:val="es-419"/>
              </w:rPr>
              <w:t>Remeslo</w:t>
            </w:r>
            <w:proofErr w:type="spellEnd"/>
            <w:r w:rsidRPr="00DB7A36">
              <w:rPr>
                <w:sz w:val="16"/>
                <w:lang w:val="es-419"/>
              </w:rPr>
              <w:t xml:space="preserve"> </w:t>
            </w:r>
            <w:proofErr w:type="spellStart"/>
            <w:r w:rsidRPr="00DB7A36">
              <w:rPr>
                <w:sz w:val="16"/>
                <w:lang w:val="es-419"/>
              </w:rPr>
              <w:t>Myronivka</w:t>
            </w:r>
            <w:proofErr w:type="spellEnd"/>
            <w:r w:rsidRPr="00DB7A36">
              <w:rPr>
                <w:sz w:val="16"/>
                <w:lang w:val="es-419"/>
              </w:rPr>
              <w:t>; Academia Nacional de Ciencias Agrarias de Ucrania; Instituto de Examen de Variedades Vegetales de Ucrania</w:t>
            </w:r>
          </w:p>
        </w:tc>
        <w:tc>
          <w:tcPr>
            <w:tcW w:w="3686" w:type="dxa"/>
            <w:shd w:val="clear" w:color="auto" w:fill="auto"/>
            <w:tcMar>
              <w:top w:w="28" w:type="dxa"/>
              <w:left w:w="57" w:type="dxa"/>
              <w:bottom w:w="28" w:type="dxa"/>
              <w:right w:w="57" w:type="dxa"/>
            </w:tcMar>
          </w:tcPr>
          <w:p w:rsidR="009E5061" w:rsidRPr="00DB7A36" w:rsidRDefault="009E5061" w:rsidP="00867DFB">
            <w:pPr>
              <w:jc w:val="left"/>
              <w:rPr>
                <w:rFonts w:cs="Arial"/>
                <w:sz w:val="16"/>
                <w:szCs w:val="18"/>
                <w:lang w:val="es-419"/>
              </w:rPr>
            </w:pPr>
            <w:r w:rsidRPr="00DB7A36">
              <w:rPr>
                <w:sz w:val="16"/>
                <w:lang w:val="es-419"/>
              </w:rPr>
              <w:t>Definición de las técnicas actuales de investigación agrícola y evaluación de las variedades vegetales</w:t>
            </w:r>
          </w:p>
        </w:tc>
        <w:tc>
          <w:tcPr>
            <w:tcW w:w="1843" w:type="dxa"/>
            <w:shd w:val="clear" w:color="auto" w:fill="auto"/>
            <w:tcMar>
              <w:top w:w="28" w:type="dxa"/>
              <w:left w:w="57" w:type="dxa"/>
              <w:bottom w:w="28" w:type="dxa"/>
              <w:right w:w="57" w:type="dxa"/>
            </w:tcMar>
          </w:tcPr>
          <w:p w:rsidR="009E5061" w:rsidRPr="00DB7A36" w:rsidRDefault="009E5061" w:rsidP="00867DFB">
            <w:pPr>
              <w:jc w:val="left"/>
              <w:rPr>
                <w:rFonts w:cs="Arial"/>
                <w:sz w:val="16"/>
                <w:szCs w:val="18"/>
                <w:lang w:val="es-419"/>
              </w:rPr>
            </w:pPr>
            <w:r w:rsidRPr="00DB7A36">
              <w:rPr>
                <w:sz w:val="16"/>
                <w:lang w:val="es-419"/>
              </w:rPr>
              <w:t xml:space="preserve">Ucrania, </w:t>
            </w:r>
            <w:proofErr w:type="spellStart"/>
            <w:r w:rsidRPr="00DB7A36">
              <w:rPr>
                <w:sz w:val="16"/>
                <w:lang w:val="es-419"/>
              </w:rPr>
              <w:t>Belarús</w:t>
            </w:r>
            <w:proofErr w:type="spellEnd"/>
            <w:r w:rsidRPr="00DB7A36">
              <w:rPr>
                <w:sz w:val="16"/>
                <w:lang w:val="es-419"/>
              </w:rPr>
              <w:t xml:space="preserve">, República de </w:t>
            </w:r>
            <w:proofErr w:type="spellStart"/>
            <w:r w:rsidRPr="00DB7A36">
              <w:rPr>
                <w:rFonts w:cs="Arial"/>
                <w:sz w:val="16"/>
                <w:szCs w:val="18"/>
                <w:lang w:val="es-419"/>
              </w:rPr>
              <w:t>Moldova</w:t>
            </w:r>
            <w:proofErr w:type="spellEnd"/>
            <w:r w:rsidRPr="00DB7A36">
              <w:rPr>
                <w:rFonts w:cs="Arial"/>
                <w:sz w:val="16"/>
                <w:szCs w:val="18"/>
                <w:lang w:val="es-419"/>
              </w:rPr>
              <w:t xml:space="preserve">, Azerbaiyán </w:t>
            </w:r>
            <w:r w:rsidRPr="00DB7A36">
              <w:rPr>
                <w:sz w:val="16"/>
                <w:lang w:val="es-419"/>
              </w:rPr>
              <w:t>(162 asistentes)</w:t>
            </w:r>
          </w:p>
        </w:tc>
        <w:tc>
          <w:tcPr>
            <w:tcW w:w="1418" w:type="dxa"/>
            <w:shd w:val="clear" w:color="auto" w:fill="auto"/>
            <w:tcMar>
              <w:top w:w="28" w:type="dxa"/>
              <w:left w:w="57" w:type="dxa"/>
              <w:bottom w:w="28" w:type="dxa"/>
              <w:right w:w="57" w:type="dxa"/>
            </w:tcMar>
          </w:tcPr>
          <w:p w:rsidR="009E5061" w:rsidRPr="00DB7A36" w:rsidRDefault="009E5061" w:rsidP="00867DFB">
            <w:pPr>
              <w:jc w:val="left"/>
              <w:rPr>
                <w:rFonts w:cs="Arial"/>
                <w:sz w:val="16"/>
                <w:szCs w:val="18"/>
                <w:lang w:val="es-419"/>
              </w:rPr>
            </w:pPr>
            <w:r w:rsidRPr="00DB7A36">
              <w:rPr>
                <w:sz w:val="16"/>
                <w:lang w:val="es-419"/>
              </w:rPr>
              <w:t>Se ha publicado una colección de materiales de la conferencia</w:t>
            </w:r>
          </w:p>
        </w:tc>
      </w:tr>
      <w:tr w:rsidR="009E5061" w:rsidRPr="00DB7A36" w:rsidTr="00867DFB">
        <w:tc>
          <w:tcPr>
            <w:tcW w:w="3001" w:type="dxa"/>
            <w:shd w:val="clear" w:color="auto" w:fill="auto"/>
            <w:tcMar>
              <w:top w:w="28" w:type="dxa"/>
              <w:left w:w="57" w:type="dxa"/>
              <w:bottom w:w="28" w:type="dxa"/>
              <w:right w:w="57" w:type="dxa"/>
            </w:tcMar>
          </w:tcPr>
          <w:p w:rsidR="009E5061" w:rsidRPr="00DB7A36" w:rsidRDefault="009E5061" w:rsidP="00867DFB">
            <w:pPr>
              <w:jc w:val="left"/>
              <w:rPr>
                <w:rFonts w:cs="Arial"/>
                <w:sz w:val="16"/>
                <w:szCs w:val="18"/>
                <w:lang w:val="es-419"/>
              </w:rPr>
            </w:pPr>
            <w:r w:rsidRPr="00DB7A36">
              <w:rPr>
                <w:rFonts w:cs="Arial"/>
                <w:sz w:val="16"/>
                <w:szCs w:val="18"/>
                <w:lang w:val="es-419"/>
              </w:rPr>
              <w:t xml:space="preserve">I Conferencia internacional de ciencias aplicadas "Las nuevas </w:t>
            </w:r>
            <w:proofErr w:type="spellStart"/>
            <w:r w:rsidRPr="00DB7A36">
              <w:rPr>
                <w:rFonts w:cs="Arial"/>
                <w:sz w:val="16"/>
                <w:szCs w:val="18"/>
                <w:lang w:val="es-419"/>
              </w:rPr>
              <w:t>agrotecnologías</w:t>
            </w:r>
            <w:proofErr w:type="spellEnd"/>
            <w:r w:rsidRPr="00DB7A36">
              <w:rPr>
                <w:rFonts w:cs="Arial"/>
                <w:sz w:val="16"/>
                <w:szCs w:val="18"/>
                <w:lang w:val="es-419"/>
              </w:rPr>
              <w:t>"</w:t>
            </w:r>
          </w:p>
          <w:p w:rsidR="009E5061" w:rsidRPr="00DB7A36" w:rsidRDefault="009E5061" w:rsidP="00867DFB">
            <w:pPr>
              <w:jc w:val="left"/>
              <w:rPr>
                <w:rFonts w:cs="Arial"/>
                <w:sz w:val="16"/>
                <w:szCs w:val="18"/>
                <w:lang w:val="es-419"/>
              </w:rPr>
            </w:pPr>
          </w:p>
          <w:p w:rsidR="009E5061" w:rsidRPr="00DB7A36" w:rsidRDefault="009E5061" w:rsidP="00867DFB">
            <w:pPr>
              <w:jc w:val="left"/>
              <w:rPr>
                <w:rFonts w:cs="Arial"/>
                <w:sz w:val="16"/>
                <w:szCs w:val="18"/>
                <w:lang w:val="es-419"/>
              </w:rPr>
            </w:pPr>
            <w:hyperlink r:id="rId47" w:history="1">
              <w:r w:rsidRPr="00DB7A36">
                <w:rPr>
                  <w:rStyle w:val="Hyperlink"/>
                  <w:rFonts w:cs="Arial"/>
                  <w:sz w:val="16"/>
                  <w:szCs w:val="18"/>
                  <w:lang w:val="es-419"/>
                </w:rPr>
                <w:t>https://conference.ukragroexpert.com.ua</w:t>
              </w:r>
            </w:hyperlink>
          </w:p>
          <w:p w:rsidR="009E5061" w:rsidRPr="00DB7A36" w:rsidRDefault="009E5061" w:rsidP="00867DFB">
            <w:pPr>
              <w:jc w:val="left"/>
              <w:rPr>
                <w:rFonts w:cs="Arial"/>
                <w:sz w:val="16"/>
                <w:szCs w:val="18"/>
                <w:lang w:val="es-419"/>
              </w:rPr>
            </w:pPr>
          </w:p>
          <w:p w:rsidR="009E5061" w:rsidRPr="00DB7A36" w:rsidRDefault="009E5061" w:rsidP="00867DFB">
            <w:pPr>
              <w:jc w:val="left"/>
              <w:rPr>
                <w:rFonts w:cs="Arial"/>
                <w:sz w:val="16"/>
                <w:szCs w:val="18"/>
                <w:lang w:val="es-419"/>
              </w:rPr>
            </w:pPr>
            <w:hyperlink r:id="rId48" w:history="1">
              <w:r w:rsidRPr="00DB7A36">
                <w:rPr>
                  <w:rStyle w:val="Hyperlink"/>
                  <w:rFonts w:cs="Arial"/>
                  <w:sz w:val="16"/>
                  <w:szCs w:val="18"/>
                  <w:lang w:val="es-419"/>
                </w:rPr>
                <w:t>https://conference-ua.ukragroexpert.com.ua/wp-content/uploads/2020/09/%D0%97%D0%B1%D1%96%D1%80%D0%BD%D0%B8%D0%BA.pdf</w:t>
              </w:r>
            </w:hyperlink>
          </w:p>
        </w:tc>
        <w:tc>
          <w:tcPr>
            <w:tcW w:w="1276" w:type="dxa"/>
            <w:shd w:val="clear" w:color="auto" w:fill="auto"/>
            <w:tcMar>
              <w:top w:w="28" w:type="dxa"/>
              <w:left w:w="57" w:type="dxa"/>
              <w:bottom w:w="28" w:type="dxa"/>
              <w:right w:w="57" w:type="dxa"/>
            </w:tcMar>
          </w:tcPr>
          <w:p w:rsidR="009E5061" w:rsidRPr="00DB7A36" w:rsidRDefault="009E5061" w:rsidP="00867DFB">
            <w:pPr>
              <w:jc w:val="left"/>
              <w:rPr>
                <w:rFonts w:cs="Arial"/>
                <w:sz w:val="16"/>
                <w:szCs w:val="18"/>
                <w:lang w:val="es-419"/>
              </w:rPr>
            </w:pPr>
            <w:r w:rsidRPr="00DB7A36">
              <w:rPr>
                <w:rFonts w:cs="Arial"/>
                <w:sz w:val="16"/>
                <w:szCs w:val="18"/>
                <w:lang w:val="es-419"/>
              </w:rPr>
              <w:t>10 de septiembre de 2020</w:t>
            </w:r>
          </w:p>
        </w:tc>
        <w:tc>
          <w:tcPr>
            <w:tcW w:w="969" w:type="dxa"/>
            <w:shd w:val="clear" w:color="auto" w:fill="auto"/>
            <w:tcMar>
              <w:top w:w="28" w:type="dxa"/>
              <w:left w:w="57" w:type="dxa"/>
              <w:bottom w:w="28" w:type="dxa"/>
              <w:right w:w="57" w:type="dxa"/>
            </w:tcMar>
          </w:tcPr>
          <w:p w:rsidR="009E5061" w:rsidRPr="00DB7A36" w:rsidRDefault="009E5061" w:rsidP="00867DFB">
            <w:pPr>
              <w:jc w:val="left"/>
              <w:rPr>
                <w:rFonts w:cs="Arial"/>
                <w:sz w:val="16"/>
                <w:szCs w:val="18"/>
                <w:lang w:val="es-419"/>
              </w:rPr>
            </w:pPr>
            <w:r w:rsidRPr="00DB7A36">
              <w:rPr>
                <w:rFonts w:cs="Arial"/>
                <w:sz w:val="16"/>
                <w:szCs w:val="18"/>
                <w:lang w:val="es-419"/>
              </w:rPr>
              <w:t>Kiev</w:t>
            </w:r>
          </w:p>
        </w:tc>
        <w:tc>
          <w:tcPr>
            <w:tcW w:w="3005" w:type="dxa"/>
            <w:shd w:val="clear" w:color="auto" w:fill="auto"/>
            <w:tcMar>
              <w:top w:w="28" w:type="dxa"/>
              <w:left w:w="57" w:type="dxa"/>
              <w:bottom w:w="28" w:type="dxa"/>
              <w:right w:w="57" w:type="dxa"/>
            </w:tcMar>
          </w:tcPr>
          <w:p w:rsidR="009E5061" w:rsidRPr="00DB7A36" w:rsidRDefault="009E5061" w:rsidP="00867DFB">
            <w:pPr>
              <w:jc w:val="left"/>
              <w:rPr>
                <w:rFonts w:cs="Arial"/>
                <w:sz w:val="16"/>
                <w:szCs w:val="18"/>
                <w:lang w:val="es-419"/>
              </w:rPr>
            </w:pPr>
            <w:r w:rsidRPr="00DB7A36">
              <w:rPr>
                <w:sz w:val="16"/>
                <w:lang w:val="es-419"/>
              </w:rPr>
              <w:t>Instituto de Examen de Variedades Vegetales de Ucrania</w:t>
            </w:r>
            <w:r w:rsidRPr="00DB7A36">
              <w:rPr>
                <w:rFonts w:cs="Arial"/>
                <w:sz w:val="16"/>
                <w:szCs w:val="18"/>
                <w:lang w:val="es-419"/>
              </w:rPr>
              <w:t xml:space="preserve">; Universidad Nacional de Ciencias de la Vida y el Medio Ambiente de Ucrania; Instituto de Cultivos </w:t>
            </w:r>
            <w:proofErr w:type="spellStart"/>
            <w:r w:rsidRPr="00DB7A36">
              <w:rPr>
                <w:rFonts w:cs="Arial"/>
                <w:sz w:val="16"/>
                <w:szCs w:val="18"/>
                <w:lang w:val="es-419"/>
              </w:rPr>
              <w:t>Bioenergéticos</w:t>
            </w:r>
            <w:proofErr w:type="spellEnd"/>
            <w:r w:rsidRPr="00DB7A36">
              <w:rPr>
                <w:rFonts w:cs="Arial"/>
                <w:sz w:val="16"/>
                <w:szCs w:val="18"/>
                <w:lang w:val="es-419"/>
              </w:rPr>
              <w:t xml:space="preserve"> y Remolacha Azucarera de la NAAS (</w:t>
            </w:r>
            <w:r w:rsidRPr="00DB7A36">
              <w:rPr>
                <w:sz w:val="16"/>
                <w:lang w:val="es-419"/>
              </w:rPr>
              <w:t>Ucrania</w:t>
            </w:r>
            <w:r w:rsidRPr="00DB7A36">
              <w:rPr>
                <w:rFonts w:cs="Arial"/>
                <w:sz w:val="16"/>
                <w:szCs w:val="18"/>
                <w:lang w:val="es-419"/>
              </w:rPr>
              <w:t xml:space="preserve">); Universidad Agraria Nacional </w:t>
            </w:r>
            <w:proofErr w:type="spellStart"/>
            <w:r w:rsidRPr="00DB7A36">
              <w:rPr>
                <w:rFonts w:cs="Arial"/>
                <w:sz w:val="16"/>
                <w:szCs w:val="18"/>
                <w:lang w:val="es-419"/>
              </w:rPr>
              <w:t>Bila</w:t>
            </w:r>
            <w:proofErr w:type="spellEnd"/>
            <w:r w:rsidRPr="00DB7A36">
              <w:rPr>
                <w:rFonts w:cs="Arial"/>
                <w:sz w:val="16"/>
                <w:szCs w:val="18"/>
                <w:lang w:val="es-419"/>
              </w:rPr>
              <w:t xml:space="preserve"> </w:t>
            </w:r>
            <w:proofErr w:type="spellStart"/>
            <w:r w:rsidRPr="00DB7A36">
              <w:rPr>
                <w:rFonts w:cs="Arial"/>
                <w:sz w:val="16"/>
                <w:szCs w:val="18"/>
                <w:lang w:val="es-419"/>
              </w:rPr>
              <w:t>Tserkva</w:t>
            </w:r>
            <w:proofErr w:type="spellEnd"/>
            <w:r w:rsidRPr="00DB7A36">
              <w:rPr>
                <w:rFonts w:cs="Arial"/>
                <w:sz w:val="16"/>
                <w:szCs w:val="18"/>
                <w:lang w:val="es-419"/>
              </w:rPr>
              <w:t xml:space="preserve"> (</w:t>
            </w:r>
            <w:r w:rsidRPr="00DB7A36">
              <w:rPr>
                <w:sz w:val="16"/>
                <w:lang w:val="es-419"/>
              </w:rPr>
              <w:t>Ucrania</w:t>
            </w:r>
            <w:r w:rsidRPr="00DB7A36">
              <w:rPr>
                <w:rFonts w:cs="Arial"/>
                <w:sz w:val="16"/>
                <w:szCs w:val="18"/>
                <w:lang w:val="es-419"/>
              </w:rPr>
              <w:t>); Instituto de Fisiología y Genética Vegetales de la NAAS (</w:t>
            </w:r>
            <w:r w:rsidRPr="00DB7A36">
              <w:rPr>
                <w:sz w:val="16"/>
                <w:lang w:val="es-419"/>
              </w:rPr>
              <w:t>Ucrania</w:t>
            </w:r>
            <w:r w:rsidRPr="00DB7A36">
              <w:rPr>
                <w:rFonts w:cs="Arial"/>
                <w:sz w:val="16"/>
                <w:szCs w:val="18"/>
                <w:lang w:val="es-419"/>
              </w:rPr>
              <w:t xml:space="preserve">); </w:t>
            </w:r>
            <w:proofErr w:type="spellStart"/>
            <w:r w:rsidRPr="00DB7A36">
              <w:rPr>
                <w:rFonts w:cs="Arial"/>
                <w:i/>
                <w:sz w:val="16"/>
                <w:szCs w:val="18"/>
                <w:lang w:val="es-419"/>
              </w:rPr>
              <w:t>Ltd</w:t>
            </w:r>
            <w:proofErr w:type="spellEnd"/>
            <w:r w:rsidRPr="00DB7A36">
              <w:rPr>
                <w:rFonts w:cs="Arial"/>
                <w:i/>
                <w:sz w:val="16"/>
                <w:szCs w:val="18"/>
                <w:lang w:val="es-419"/>
              </w:rPr>
              <w:t xml:space="preserve"> </w:t>
            </w:r>
            <w:proofErr w:type="spellStart"/>
            <w:r w:rsidRPr="00DB7A36">
              <w:rPr>
                <w:rFonts w:cs="Arial"/>
                <w:i/>
                <w:sz w:val="16"/>
                <w:szCs w:val="18"/>
                <w:lang w:val="es-419"/>
              </w:rPr>
              <w:t>Research</w:t>
            </w:r>
            <w:proofErr w:type="spellEnd"/>
            <w:r w:rsidRPr="00DB7A36">
              <w:rPr>
                <w:rFonts w:cs="Arial"/>
                <w:i/>
                <w:sz w:val="16"/>
                <w:szCs w:val="18"/>
                <w:lang w:val="es-419"/>
              </w:rPr>
              <w:t xml:space="preserve"> </w:t>
            </w:r>
            <w:proofErr w:type="spellStart"/>
            <w:r w:rsidRPr="00DB7A36">
              <w:rPr>
                <w:rFonts w:cs="Arial"/>
                <w:i/>
                <w:sz w:val="16"/>
                <w:szCs w:val="18"/>
                <w:lang w:val="es-419"/>
              </w:rPr>
              <w:t>Institute</w:t>
            </w:r>
            <w:proofErr w:type="spellEnd"/>
            <w:r w:rsidRPr="00DB7A36">
              <w:rPr>
                <w:rFonts w:cs="Arial"/>
                <w:i/>
                <w:sz w:val="16"/>
                <w:szCs w:val="18"/>
                <w:lang w:val="es-419"/>
              </w:rPr>
              <w:t xml:space="preserve"> of </w:t>
            </w:r>
            <w:proofErr w:type="spellStart"/>
            <w:r w:rsidRPr="00DB7A36">
              <w:rPr>
                <w:rFonts w:cs="Arial"/>
                <w:i/>
                <w:sz w:val="16"/>
                <w:szCs w:val="18"/>
                <w:lang w:val="es-419"/>
              </w:rPr>
              <w:t>Agrarian</w:t>
            </w:r>
            <w:proofErr w:type="spellEnd"/>
            <w:r w:rsidRPr="00DB7A36">
              <w:rPr>
                <w:rFonts w:cs="Arial"/>
                <w:i/>
                <w:sz w:val="16"/>
                <w:szCs w:val="18"/>
                <w:lang w:val="es-419"/>
              </w:rPr>
              <w:t xml:space="preserve"> Business</w:t>
            </w:r>
            <w:r w:rsidRPr="00DB7A36">
              <w:rPr>
                <w:rFonts w:cs="Arial"/>
                <w:sz w:val="16"/>
                <w:szCs w:val="18"/>
                <w:lang w:val="es-419"/>
              </w:rPr>
              <w:t xml:space="preserve"> (</w:t>
            </w:r>
            <w:r w:rsidRPr="00DB7A36">
              <w:rPr>
                <w:sz w:val="16"/>
                <w:lang w:val="es-419"/>
              </w:rPr>
              <w:t>Ucrania</w:t>
            </w:r>
            <w:r w:rsidRPr="00DB7A36">
              <w:rPr>
                <w:rFonts w:cs="Arial"/>
                <w:sz w:val="16"/>
                <w:szCs w:val="18"/>
                <w:lang w:val="es-419"/>
              </w:rPr>
              <w:t>); Universidad de Sarajevo Oriental (Bosnia y Herzegovina)</w:t>
            </w:r>
          </w:p>
        </w:tc>
        <w:tc>
          <w:tcPr>
            <w:tcW w:w="3686" w:type="dxa"/>
            <w:shd w:val="clear" w:color="auto" w:fill="auto"/>
            <w:tcMar>
              <w:top w:w="28" w:type="dxa"/>
              <w:left w:w="57" w:type="dxa"/>
              <w:bottom w:w="28" w:type="dxa"/>
              <w:right w:w="57" w:type="dxa"/>
            </w:tcMar>
          </w:tcPr>
          <w:p w:rsidR="009E5061" w:rsidRPr="00DB7A36" w:rsidRDefault="009E5061" w:rsidP="00867DFB">
            <w:pPr>
              <w:jc w:val="left"/>
              <w:rPr>
                <w:rFonts w:cs="Arial"/>
                <w:sz w:val="16"/>
                <w:szCs w:val="18"/>
                <w:lang w:val="es-419"/>
              </w:rPr>
            </w:pPr>
            <w:r w:rsidRPr="00DB7A36">
              <w:rPr>
                <w:rFonts w:cs="Arial"/>
                <w:sz w:val="16"/>
                <w:szCs w:val="18"/>
                <w:lang w:val="es-419"/>
              </w:rPr>
              <w:t>El establecimiento y la profundización de las conexiones científicas, el intercambio de experiencias y la difusión de conocimientos sobre la importancia del enfoque científico en la agricultura, y la búsqueda de soluciones para las labores aplicadas y teóricas que se llevan a cabo en el sector agrícola y para el examen de variedades vegetales</w:t>
            </w:r>
          </w:p>
        </w:tc>
        <w:tc>
          <w:tcPr>
            <w:tcW w:w="1843" w:type="dxa"/>
            <w:shd w:val="clear" w:color="auto" w:fill="auto"/>
            <w:tcMar>
              <w:top w:w="28" w:type="dxa"/>
              <w:left w:w="57" w:type="dxa"/>
              <w:bottom w:w="28" w:type="dxa"/>
              <w:right w:w="57" w:type="dxa"/>
            </w:tcMar>
          </w:tcPr>
          <w:p w:rsidR="009E5061" w:rsidRPr="00DB7A36" w:rsidRDefault="009E5061" w:rsidP="00867DFB">
            <w:pPr>
              <w:jc w:val="left"/>
              <w:rPr>
                <w:rFonts w:cs="Arial"/>
                <w:sz w:val="16"/>
                <w:szCs w:val="18"/>
                <w:lang w:val="es-419"/>
              </w:rPr>
            </w:pPr>
            <w:r w:rsidRPr="00DB7A36">
              <w:rPr>
                <w:sz w:val="16"/>
                <w:lang w:val="es-419"/>
              </w:rPr>
              <w:t>Ucrania</w:t>
            </w:r>
            <w:r w:rsidRPr="00DB7A36">
              <w:rPr>
                <w:rFonts w:cs="Arial"/>
                <w:sz w:val="16"/>
                <w:szCs w:val="18"/>
                <w:lang w:val="es-419"/>
              </w:rPr>
              <w:t>, Hungría (32 </w:t>
            </w:r>
            <w:r w:rsidRPr="00DB7A36">
              <w:rPr>
                <w:sz w:val="16"/>
                <w:lang w:val="es-419"/>
              </w:rPr>
              <w:t>asistentes</w:t>
            </w:r>
            <w:r w:rsidRPr="00DB7A36">
              <w:rPr>
                <w:rFonts w:cs="Arial"/>
                <w:sz w:val="16"/>
                <w:szCs w:val="18"/>
                <w:lang w:val="es-419"/>
              </w:rPr>
              <w:t>)</w:t>
            </w:r>
          </w:p>
        </w:tc>
        <w:tc>
          <w:tcPr>
            <w:tcW w:w="1418" w:type="dxa"/>
            <w:shd w:val="clear" w:color="auto" w:fill="auto"/>
            <w:tcMar>
              <w:top w:w="28" w:type="dxa"/>
              <w:left w:w="57" w:type="dxa"/>
              <w:bottom w:w="28" w:type="dxa"/>
              <w:right w:w="57" w:type="dxa"/>
            </w:tcMar>
          </w:tcPr>
          <w:p w:rsidR="009E5061" w:rsidRPr="00DB7A36" w:rsidRDefault="009E5061" w:rsidP="00867DFB">
            <w:pPr>
              <w:jc w:val="left"/>
              <w:rPr>
                <w:rFonts w:cs="Arial"/>
                <w:sz w:val="16"/>
                <w:szCs w:val="18"/>
                <w:lang w:val="es-419"/>
              </w:rPr>
            </w:pPr>
            <w:r w:rsidRPr="00DB7A36">
              <w:rPr>
                <w:sz w:val="16"/>
                <w:lang w:val="es-419"/>
              </w:rPr>
              <w:t>Se ha publicado una colección de materiales de la conferencia</w:t>
            </w:r>
          </w:p>
        </w:tc>
      </w:tr>
      <w:tr w:rsidR="009E5061" w:rsidRPr="00DB7A36" w:rsidTr="00867DFB">
        <w:tc>
          <w:tcPr>
            <w:tcW w:w="3001" w:type="dxa"/>
            <w:shd w:val="clear" w:color="auto" w:fill="auto"/>
            <w:tcMar>
              <w:top w:w="28" w:type="dxa"/>
              <w:left w:w="57" w:type="dxa"/>
              <w:bottom w:w="28" w:type="dxa"/>
              <w:right w:w="57" w:type="dxa"/>
            </w:tcMar>
          </w:tcPr>
          <w:p w:rsidR="009E5061" w:rsidRPr="00DB7A36" w:rsidRDefault="009E5061" w:rsidP="00867DFB">
            <w:pPr>
              <w:jc w:val="left"/>
              <w:rPr>
                <w:rFonts w:cs="Arial"/>
                <w:sz w:val="16"/>
                <w:szCs w:val="18"/>
                <w:lang w:val="es-419"/>
              </w:rPr>
            </w:pPr>
            <w:r w:rsidRPr="00DB7A36">
              <w:rPr>
                <w:rFonts w:cs="Arial"/>
                <w:sz w:val="16"/>
                <w:szCs w:val="18"/>
                <w:lang w:val="es-419"/>
              </w:rPr>
              <w:t xml:space="preserve">IV </w:t>
            </w:r>
            <w:r w:rsidRPr="00DB7A36">
              <w:rPr>
                <w:sz w:val="16"/>
                <w:szCs w:val="16"/>
                <w:lang w:val="es-419"/>
              </w:rPr>
              <w:t>Conferencia en línea de científicos jóvenes "Genética y selección de plantas agrícolas: de la molécula a la variedad"</w:t>
            </w:r>
          </w:p>
          <w:p w:rsidR="009E5061" w:rsidRPr="00DB7A36" w:rsidRDefault="009E5061" w:rsidP="00867DFB">
            <w:pPr>
              <w:jc w:val="left"/>
              <w:rPr>
                <w:rFonts w:cs="Arial"/>
                <w:sz w:val="16"/>
                <w:szCs w:val="18"/>
                <w:lang w:val="es-419"/>
              </w:rPr>
            </w:pPr>
            <w:hyperlink r:id="rId49" w:history="1">
              <w:r w:rsidRPr="00DB7A36">
                <w:rPr>
                  <w:rStyle w:val="Hyperlink"/>
                  <w:rFonts w:cs="Arial"/>
                  <w:sz w:val="16"/>
                  <w:szCs w:val="18"/>
                  <w:lang w:val="es-419"/>
                </w:rPr>
                <w:t>https://sops.gov.ua/uploads/page/5f634fd4031cc.pdf</w:t>
              </w:r>
            </w:hyperlink>
          </w:p>
        </w:tc>
        <w:tc>
          <w:tcPr>
            <w:tcW w:w="1276" w:type="dxa"/>
            <w:shd w:val="clear" w:color="auto" w:fill="auto"/>
            <w:tcMar>
              <w:top w:w="28" w:type="dxa"/>
              <w:left w:w="57" w:type="dxa"/>
              <w:bottom w:w="28" w:type="dxa"/>
              <w:right w:w="57" w:type="dxa"/>
            </w:tcMar>
          </w:tcPr>
          <w:p w:rsidR="009E5061" w:rsidRPr="00DB7A36" w:rsidRDefault="009E5061" w:rsidP="00867DFB">
            <w:pPr>
              <w:jc w:val="left"/>
              <w:rPr>
                <w:rFonts w:cs="Arial"/>
                <w:sz w:val="16"/>
                <w:szCs w:val="18"/>
                <w:lang w:val="es-419"/>
              </w:rPr>
            </w:pPr>
            <w:r w:rsidRPr="00DB7A36">
              <w:rPr>
                <w:rFonts w:cs="Arial"/>
                <w:sz w:val="16"/>
                <w:szCs w:val="18"/>
                <w:lang w:val="es-419"/>
              </w:rPr>
              <w:t>18 de septiembre de 2020</w:t>
            </w:r>
          </w:p>
        </w:tc>
        <w:tc>
          <w:tcPr>
            <w:tcW w:w="969" w:type="dxa"/>
            <w:shd w:val="clear" w:color="auto" w:fill="auto"/>
            <w:tcMar>
              <w:top w:w="28" w:type="dxa"/>
              <w:left w:w="57" w:type="dxa"/>
              <w:bottom w:w="28" w:type="dxa"/>
              <w:right w:w="57" w:type="dxa"/>
            </w:tcMar>
          </w:tcPr>
          <w:p w:rsidR="009E5061" w:rsidRPr="00DB7A36" w:rsidRDefault="009E5061" w:rsidP="00867DFB">
            <w:pPr>
              <w:jc w:val="left"/>
              <w:rPr>
                <w:rFonts w:cs="Arial"/>
                <w:sz w:val="16"/>
                <w:szCs w:val="18"/>
                <w:lang w:val="es-419"/>
              </w:rPr>
            </w:pPr>
            <w:r w:rsidRPr="00DB7A36">
              <w:rPr>
                <w:rFonts w:cs="Arial"/>
                <w:sz w:val="16"/>
                <w:szCs w:val="18"/>
                <w:lang w:val="es-419"/>
              </w:rPr>
              <w:t>Kiev, Odesa</w:t>
            </w:r>
          </w:p>
        </w:tc>
        <w:tc>
          <w:tcPr>
            <w:tcW w:w="3005" w:type="dxa"/>
            <w:shd w:val="clear" w:color="auto" w:fill="auto"/>
            <w:tcMar>
              <w:top w:w="28" w:type="dxa"/>
              <w:left w:w="57" w:type="dxa"/>
              <w:bottom w:w="28" w:type="dxa"/>
              <w:right w:w="57" w:type="dxa"/>
            </w:tcMar>
          </w:tcPr>
          <w:p w:rsidR="009E5061" w:rsidRPr="00DB7A36" w:rsidRDefault="009E5061" w:rsidP="00867DFB">
            <w:pPr>
              <w:jc w:val="left"/>
              <w:rPr>
                <w:rFonts w:cs="Arial"/>
                <w:sz w:val="16"/>
                <w:szCs w:val="18"/>
                <w:lang w:val="es-419"/>
              </w:rPr>
            </w:pPr>
            <w:r w:rsidRPr="00DB7A36">
              <w:rPr>
                <w:sz w:val="16"/>
                <w:lang w:val="es-419"/>
              </w:rPr>
              <w:t xml:space="preserve">Instituto de Examen de Variedades Vegetales de Ucrania; Instituto de </w:t>
            </w:r>
            <w:proofErr w:type="spellStart"/>
            <w:r w:rsidRPr="00DB7A36">
              <w:rPr>
                <w:sz w:val="16"/>
                <w:lang w:val="es-419"/>
              </w:rPr>
              <w:t>Fitomejoramiento</w:t>
            </w:r>
            <w:proofErr w:type="spellEnd"/>
            <w:r w:rsidRPr="00DB7A36">
              <w:rPr>
                <w:sz w:val="16"/>
                <w:lang w:val="es-419"/>
              </w:rPr>
              <w:t xml:space="preserve"> y </w:t>
            </w:r>
            <w:proofErr w:type="spellStart"/>
            <w:r w:rsidRPr="00DB7A36">
              <w:rPr>
                <w:sz w:val="16"/>
                <w:lang w:val="es-419"/>
              </w:rPr>
              <w:t>Fitogenética</w:t>
            </w:r>
            <w:proofErr w:type="spellEnd"/>
            <w:r w:rsidRPr="00DB7A36">
              <w:rPr>
                <w:sz w:val="16"/>
                <w:lang w:val="es-419"/>
              </w:rPr>
              <w:t>; Centro Nacional de Semillas e Investigación de Cultivares de la NAAS</w:t>
            </w:r>
            <w:r w:rsidRPr="00DB7A36">
              <w:rPr>
                <w:rFonts w:cs="Arial"/>
                <w:sz w:val="16"/>
                <w:szCs w:val="18"/>
                <w:lang w:val="es-419"/>
              </w:rPr>
              <w:t xml:space="preserve"> </w:t>
            </w:r>
          </w:p>
        </w:tc>
        <w:tc>
          <w:tcPr>
            <w:tcW w:w="3686" w:type="dxa"/>
            <w:shd w:val="clear" w:color="auto" w:fill="auto"/>
            <w:tcMar>
              <w:top w:w="28" w:type="dxa"/>
              <w:left w:w="57" w:type="dxa"/>
              <w:bottom w:w="28" w:type="dxa"/>
              <w:right w:w="57" w:type="dxa"/>
            </w:tcMar>
          </w:tcPr>
          <w:p w:rsidR="009E5061" w:rsidRPr="00DB7A36" w:rsidRDefault="009E5061" w:rsidP="00867DFB">
            <w:pPr>
              <w:jc w:val="left"/>
              <w:rPr>
                <w:rFonts w:cs="Arial"/>
                <w:sz w:val="16"/>
                <w:szCs w:val="18"/>
                <w:lang w:val="es-419"/>
              </w:rPr>
            </w:pPr>
            <w:r w:rsidRPr="00DB7A36">
              <w:rPr>
                <w:sz w:val="16"/>
                <w:lang w:val="es-419"/>
              </w:rPr>
              <w:t>Aplicación de métodos biotecnológicos y genéticos modernos a la agricultura y el examen de variedades</w:t>
            </w:r>
          </w:p>
        </w:tc>
        <w:tc>
          <w:tcPr>
            <w:tcW w:w="1843" w:type="dxa"/>
            <w:shd w:val="clear" w:color="auto" w:fill="auto"/>
            <w:tcMar>
              <w:top w:w="28" w:type="dxa"/>
              <w:left w:w="57" w:type="dxa"/>
              <w:bottom w:w="28" w:type="dxa"/>
              <w:right w:w="57" w:type="dxa"/>
            </w:tcMar>
          </w:tcPr>
          <w:p w:rsidR="009E5061" w:rsidRPr="00DB7A36" w:rsidRDefault="009E5061" w:rsidP="00867DFB">
            <w:pPr>
              <w:jc w:val="left"/>
              <w:rPr>
                <w:rFonts w:cs="Arial"/>
                <w:sz w:val="16"/>
                <w:szCs w:val="18"/>
                <w:lang w:val="es-419"/>
              </w:rPr>
            </w:pPr>
            <w:r w:rsidRPr="00DB7A36">
              <w:rPr>
                <w:sz w:val="16"/>
                <w:lang w:val="es-419"/>
              </w:rPr>
              <w:t>Ucrania</w:t>
            </w:r>
            <w:r w:rsidRPr="00DB7A36">
              <w:rPr>
                <w:rFonts w:cs="Arial"/>
                <w:sz w:val="16"/>
                <w:szCs w:val="18"/>
                <w:lang w:val="es-419"/>
              </w:rPr>
              <w:t>,</w:t>
            </w:r>
          </w:p>
          <w:p w:rsidR="009E5061" w:rsidRPr="00DB7A36" w:rsidRDefault="009E5061" w:rsidP="00867DFB">
            <w:pPr>
              <w:jc w:val="left"/>
              <w:rPr>
                <w:rFonts w:cs="Arial"/>
                <w:sz w:val="16"/>
                <w:szCs w:val="18"/>
                <w:lang w:val="es-419"/>
              </w:rPr>
            </w:pPr>
            <w:r w:rsidRPr="00DB7A36">
              <w:rPr>
                <w:rFonts w:cs="Arial"/>
                <w:sz w:val="16"/>
                <w:szCs w:val="18"/>
                <w:lang w:val="es-419"/>
              </w:rPr>
              <w:t xml:space="preserve">(34 </w:t>
            </w:r>
            <w:r w:rsidRPr="00DB7A36">
              <w:rPr>
                <w:sz w:val="16"/>
                <w:lang w:val="es-419"/>
              </w:rPr>
              <w:t>asistentes</w:t>
            </w:r>
            <w:r w:rsidRPr="00DB7A36">
              <w:rPr>
                <w:rFonts w:cs="Arial"/>
                <w:sz w:val="16"/>
                <w:szCs w:val="18"/>
                <w:lang w:val="es-419"/>
              </w:rPr>
              <w:t>)</w:t>
            </w:r>
          </w:p>
        </w:tc>
        <w:tc>
          <w:tcPr>
            <w:tcW w:w="1418" w:type="dxa"/>
            <w:shd w:val="clear" w:color="auto" w:fill="auto"/>
            <w:tcMar>
              <w:top w:w="28" w:type="dxa"/>
              <w:left w:w="57" w:type="dxa"/>
              <w:bottom w:w="28" w:type="dxa"/>
              <w:right w:w="57" w:type="dxa"/>
            </w:tcMar>
          </w:tcPr>
          <w:p w:rsidR="009E5061" w:rsidRPr="00DB7A36" w:rsidRDefault="009E5061" w:rsidP="00867DFB">
            <w:pPr>
              <w:jc w:val="left"/>
              <w:rPr>
                <w:rFonts w:cs="Arial"/>
                <w:sz w:val="16"/>
                <w:szCs w:val="18"/>
                <w:lang w:val="es-419"/>
              </w:rPr>
            </w:pPr>
            <w:r w:rsidRPr="00DB7A36">
              <w:rPr>
                <w:sz w:val="16"/>
                <w:lang w:val="es-419"/>
              </w:rPr>
              <w:t>Se ha publicado una colección de materiales de la conferencia</w:t>
            </w:r>
          </w:p>
        </w:tc>
      </w:tr>
    </w:tbl>
    <w:p w:rsidR="00D23C11" w:rsidRDefault="00D23C11" w:rsidP="0078167F">
      <w:pPr>
        <w:jc w:val="left"/>
      </w:pPr>
    </w:p>
    <w:p w:rsidR="00D23C11" w:rsidRDefault="00D23C11" w:rsidP="0078167F">
      <w:pPr>
        <w:jc w:val="left"/>
        <w:sectPr w:rsidR="00D23C11" w:rsidSect="00867DFB">
          <w:headerReference w:type="default" r:id="rId50"/>
          <w:pgSz w:w="16840" w:h="11907" w:orient="landscape" w:code="9"/>
          <w:pgMar w:top="510" w:right="1134" w:bottom="851" w:left="1134" w:header="510" w:footer="680" w:gutter="0"/>
          <w:cols w:space="720"/>
          <w:docGrid w:linePitch="272"/>
        </w:sectPr>
      </w:pPr>
    </w:p>
    <w:p w:rsidR="00D23C11" w:rsidRPr="00592F7C" w:rsidRDefault="00D23C11" w:rsidP="00D23C11">
      <w:pPr>
        <w:rPr>
          <w:lang w:val="es-ES"/>
        </w:rPr>
      </w:pPr>
      <w:r w:rsidRPr="00592F7C">
        <w:rPr>
          <w:lang w:val="es-ES"/>
        </w:rPr>
        <w:lastRenderedPageBreak/>
        <w:t>II.</w:t>
      </w:r>
      <w:r w:rsidRPr="00592F7C">
        <w:rPr>
          <w:lang w:val="es-ES"/>
        </w:rPr>
        <w:tab/>
      </w:r>
      <w:r w:rsidRPr="00031B93">
        <w:t>OTRAS NOVEDADES DE INTERÉS PARA LA UPOV</w:t>
      </w:r>
    </w:p>
    <w:p w:rsidR="00D23C11" w:rsidRPr="00592F7C" w:rsidRDefault="00D23C11" w:rsidP="00D23C11">
      <w:pPr>
        <w:rPr>
          <w:lang w:val="es-ES"/>
        </w:rPr>
      </w:pPr>
    </w:p>
    <w:p w:rsidR="009E5061" w:rsidRPr="000657C2" w:rsidRDefault="009E5061" w:rsidP="009E5061">
      <w:pPr>
        <w:rPr>
          <w:lang w:val="es-ES"/>
        </w:rPr>
      </w:pPr>
      <w:r w:rsidRPr="000657C2">
        <w:rPr>
          <w:lang w:val="es-ES"/>
        </w:rPr>
        <w:t xml:space="preserve">Se han enviado datos estadísticos sobre la protección de las obtenciones vegetales en Ucrania en el período comprendido entre 2001 y 2020 a la dirección de correo electrónico </w:t>
      </w:r>
      <w:hyperlink r:id="rId51" w:history="1">
        <w:r w:rsidRPr="000657C2">
          <w:rPr>
            <w:rStyle w:val="Hyperlink"/>
            <w:lang w:val="es-ES"/>
          </w:rPr>
          <w:t>upov.mail@upov.int</w:t>
        </w:r>
      </w:hyperlink>
      <w:r w:rsidRPr="000657C2">
        <w:rPr>
          <w:lang w:val="es-ES"/>
        </w:rPr>
        <w:t>.</w:t>
      </w:r>
    </w:p>
    <w:p w:rsidR="00D23C11" w:rsidRDefault="00D23C11" w:rsidP="0078167F">
      <w:pPr>
        <w:jc w:val="left"/>
      </w:pPr>
    </w:p>
    <w:p w:rsidR="00D23C11" w:rsidRDefault="00D23C11" w:rsidP="0078167F">
      <w:pPr>
        <w:jc w:val="left"/>
      </w:pPr>
    </w:p>
    <w:p w:rsidR="00D23C11" w:rsidRDefault="00D23C11" w:rsidP="0078167F">
      <w:pPr>
        <w:jc w:val="left"/>
      </w:pPr>
    </w:p>
    <w:p w:rsidR="0078167F" w:rsidRDefault="00E80B45" w:rsidP="0078167F">
      <w:pPr>
        <w:jc w:val="right"/>
      </w:pPr>
      <w:r>
        <w:t>[Sigue el Anexo</w:t>
      </w:r>
      <w:r w:rsidR="0078167F">
        <w:t xml:space="preserve"> XVI</w:t>
      </w:r>
      <w:r>
        <w:t>]</w:t>
      </w:r>
    </w:p>
    <w:p w:rsidR="0078167F" w:rsidRDefault="0078167F" w:rsidP="0078167F"/>
    <w:p w:rsidR="0078167F" w:rsidRDefault="0078167F" w:rsidP="0078167F">
      <w:pPr>
        <w:jc w:val="left"/>
        <w:sectPr w:rsidR="0078167F" w:rsidSect="00D23C11">
          <w:pgSz w:w="11907" w:h="16840" w:code="9"/>
          <w:pgMar w:top="510" w:right="1134" w:bottom="1134" w:left="1134" w:header="510" w:footer="680" w:gutter="0"/>
          <w:cols w:space="720"/>
          <w:docGrid w:linePitch="272"/>
        </w:sectPr>
      </w:pPr>
    </w:p>
    <w:p w:rsidR="0078167F" w:rsidRPr="0075031D" w:rsidRDefault="00C55E19" w:rsidP="0078167F">
      <w:pPr>
        <w:jc w:val="center"/>
      </w:pPr>
      <w:r>
        <w:lastRenderedPageBreak/>
        <w:t>C/55/INF/4</w:t>
      </w:r>
    </w:p>
    <w:p w:rsidR="0078167F" w:rsidRPr="0075031D" w:rsidRDefault="0078167F" w:rsidP="0078167F">
      <w:pPr>
        <w:jc w:val="center"/>
      </w:pPr>
    </w:p>
    <w:p w:rsidR="0078167F" w:rsidRPr="0075031D" w:rsidRDefault="00E80B45" w:rsidP="0078167F">
      <w:pPr>
        <w:jc w:val="center"/>
      </w:pPr>
      <w:r>
        <w:t>ANEXO</w:t>
      </w:r>
      <w:r w:rsidR="003F3E27">
        <w:t xml:space="preserve"> XVI</w:t>
      </w:r>
    </w:p>
    <w:p w:rsidR="0078167F" w:rsidRPr="0075031D" w:rsidRDefault="0078167F" w:rsidP="0078167F">
      <w:pPr>
        <w:jc w:val="center"/>
      </w:pPr>
    </w:p>
    <w:p w:rsidR="0078167F" w:rsidRDefault="0078167F" w:rsidP="0078167F">
      <w:pPr>
        <w:jc w:val="center"/>
      </w:pPr>
    </w:p>
    <w:p w:rsidR="00094AE7" w:rsidRPr="00607DEE" w:rsidRDefault="00094AE7" w:rsidP="00094AE7">
      <w:pPr>
        <w:jc w:val="center"/>
      </w:pPr>
      <w:r>
        <w:t>UNIÓN EUROPEA</w:t>
      </w:r>
      <w:r>
        <w:rPr>
          <w:rStyle w:val="EndnoteReference"/>
        </w:rPr>
        <w:endnoteReference w:id="2"/>
      </w:r>
    </w:p>
    <w:p w:rsidR="008035EB" w:rsidRPr="00354EB1" w:rsidRDefault="008035EB" w:rsidP="008035EB">
      <w:pPr>
        <w:shd w:val="clear" w:color="auto" w:fill="FFFFFF"/>
        <w:ind w:left="1134" w:right="1134"/>
        <w:contextualSpacing/>
        <w:jc w:val="center"/>
        <w:rPr>
          <w:rFonts w:cs="Arial"/>
          <w:lang w:val="es-419"/>
        </w:rPr>
      </w:pPr>
      <w:r w:rsidRPr="00354EB1">
        <w:rPr>
          <w:rFonts w:cs="Arial"/>
          <w:lang w:val="es-419"/>
        </w:rPr>
        <w:t>Período: julio de 2020 a julio de 2021</w:t>
      </w:r>
    </w:p>
    <w:p w:rsidR="008035EB" w:rsidRPr="00354EB1" w:rsidRDefault="008035EB" w:rsidP="008035EB">
      <w:pPr>
        <w:shd w:val="clear" w:color="auto" w:fill="FFFFFF"/>
        <w:contextualSpacing/>
        <w:jc w:val="center"/>
        <w:rPr>
          <w:rFonts w:cs="Arial"/>
          <w:lang w:val="es-419"/>
        </w:rPr>
      </w:pPr>
    </w:p>
    <w:p w:rsidR="008035EB" w:rsidRPr="00354EB1" w:rsidRDefault="008035EB" w:rsidP="008035EB">
      <w:pPr>
        <w:shd w:val="clear" w:color="auto" w:fill="FFFFFF"/>
        <w:contextualSpacing/>
        <w:jc w:val="center"/>
        <w:rPr>
          <w:rFonts w:cs="Arial"/>
          <w:lang w:val="es-419"/>
        </w:rPr>
      </w:pPr>
      <w:r w:rsidRPr="00354EB1">
        <w:rPr>
          <w:rFonts w:cs="Arial"/>
          <w:lang w:val="es-419"/>
        </w:rPr>
        <w:t>(</w:t>
      </w:r>
      <w:r w:rsidRPr="00354EB1">
        <w:rPr>
          <w:lang w:val="es-419"/>
        </w:rPr>
        <w:t xml:space="preserve">Informe preparado por la Comisión Europea en estrecha cooperación con la </w:t>
      </w:r>
      <w:r w:rsidRPr="00354EB1">
        <w:rPr>
          <w:lang w:val="es-419"/>
        </w:rPr>
        <w:br/>
        <w:t>Oficina Comunitaria de Variedades Vegetales</w:t>
      </w:r>
      <w:r w:rsidRPr="00354EB1">
        <w:rPr>
          <w:rFonts w:cs="Arial"/>
          <w:lang w:val="es-419"/>
        </w:rPr>
        <w:t>)</w:t>
      </w:r>
    </w:p>
    <w:p w:rsidR="008035EB" w:rsidRPr="00354EB1" w:rsidRDefault="008035EB" w:rsidP="008035EB">
      <w:pPr>
        <w:shd w:val="clear" w:color="auto" w:fill="FFFFFF"/>
        <w:contextualSpacing/>
        <w:jc w:val="center"/>
        <w:rPr>
          <w:rFonts w:cs="Arial"/>
          <w:lang w:val="es-419"/>
        </w:rPr>
      </w:pPr>
    </w:p>
    <w:p w:rsidR="008035EB" w:rsidRPr="00354EB1" w:rsidRDefault="008035EB" w:rsidP="008035EB">
      <w:pPr>
        <w:shd w:val="clear" w:color="auto" w:fill="FFFFFF"/>
        <w:contextualSpacing/>
        <w:jc w:val="center"/>
        <w:rPr>
          <w:rFonts w:cs="Arial"/>
          <w:lang w:val="es-419"/>
        </w:rPr>
      </w:pPr>
    </w:p>
    <w:p w:rsidR="008035EB" w:rsidRPr="00354EB1" w:rsidRDefault="008035EB" w:rsidP="008035EB">
      <w:pPr>
        <w:pStyle w:val="ListBullet"/>
        <w:numPr>
          <w:ilvl w:val="0"/>
          <w:numId w:val="0"/>
        </w:numPr>
        <w:tabs>
          <w:tab w:val="left" w:pos="720"/>
        </w:tabs>
        <w:spacing w:after="0"/>
        <w:ind w:left="283" w:hanging="283"/>
        <w:contextualSpacing/>
        <w:rPr>
          <w:rFonts w:cs="Arial"/>
          <w:lang w:val="es-419"/>
        </w:rPr>
      </w:pPr>
      <w:r w:rsidRPr="00354EB1">
        <w:rPr>
          <w:lang w:val="es-419"/>
        </w:rPr>
        <w:t>PROTECCIÓN DE LAS OBTENCIONES VEGETALES</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rFonts w:cs="Arial"/>
          <w:lang w:val="es-419"/>
        </w:rPr>
        <w:t>1)</w:t>
      </w:r>
      <w:r w:rsidRPr="00354EB1">
        <w:rPr>
          <w:rFonts w:cs="Arial"/>
          <w:lang w:val="es-419"/>
        </w:rPr>
        <w:tab/>
      </w:r>
      <w:r w:rsidRPr="00354EB1">
        <w:rPr>
          <w:u w:val="single"/>
          <w:lang w:val="es-419"/>
        </w:rPr>
        <w:t>Legislación</w:t>
      </w:r>
    </w:p>
    <w:p w:rsidR="008035EB" w:rsidRPr="00354EB1" w:rsidRDefault="008035EB" w:rsidP="008035EB">
      <w:pPr>
        <w:pStyle w:val="ListBullet"/>
        <w:numPr>
          <w:ilvl w:val="0"/>
          <w:numId w:val="0"/>
        </w:numPr>
        <w:tabs>
          <w:tab w:val="left" w:pos="720"/>
        </w:tabs>
        <w:spacing w:after="0"/>
        <w:ind w:left="283" w:hanging="283"/>
        <w:contextualSpacing/>
        <w:rPr>
          <w:rFonts w:cs="Arial"/>
          <w:lang w:val="es-419"/>
        </w:rPr>
      </w:pPr>
    </w:p>
    <w:p w:rsidR="008035EB" w:rsidRPr="00354EB1" w:rsidRDefault="008035EB" w:rsidP="008035EB">
      <w:pPr>
        <w:pStyle w:val="ListBullet"/>
        <w:numPr>
          <w:ilvl w:val="0"/>
          <w:numId w:val="0"/>
        </w:numPr>
        <w:tabs>
          <w:tab w:val="left" w:pos="720"/>
        </w:tabs>
        <w:spacing w:after="0"/>
        <w:ind w:left="283" w:hanging="283"/>
        <w:contextualSpacing/>
        <w:rPr>
          <w:rFonts w:cs="Arial"/>
          <w:b/>
          <w:u w:val="single"/>
          <w:lang w:val="es-419"/>
        </w:rPr>
      </w:pPr>
      <w:r w:rsidRPr="00354EB1">
        <w:rPr>
          <w:rFonts w:cs="Arial"/>
          <w:u w:val="single"/>
          <w:lang w:val="es-419"/>
        </w:rPr>
        <w:t xml:space="preserve">1.0 </w:t>
      </w:r>
      <w:r w:rsidRPr="00354EB1">
        <w:rPr>
          <w:u w:val="single"/>
          <w:lang w:val="es-419"/>
        </w:rPr>
        <w:t>General</w:t>
      </w:r>
      <w:r w:rsidRPr="00354EB1">
        <w:rPr>
          <w:rFonts w:cs="Arial"/>
          <w:b/>
          <w:u w:val="single"/>
          <w:lang w:val="es-419"/>
        </w:rPr>
        <w:t xml:space="preserve">: </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rFonts w:cs="Arial"/>
          <w:lang w:val="es-419"/>
        </w:rPr>
        <w:t xml:space="preserve">La salida del Reino Unido de la Unión Europea está sujeta a un período de transición que finaliza el </w:t>
      </w:r>
      <w:r w:rsidR="006E402E">
        <w:rPr>
          <w:rFonts w:cs="Arial"/>
          <w:lang w:val="es-419"/>
        </w:rPr>
        <w:br/>
      </w:r>
      <w:r w:rsidRPr="00354EB1">
        <w:rPr>
          <w:rFonts w:cs="Arial"/>
          <w:lang w:val="es-419"/>
        </w:rPr>
        <w:t xml:space="preserve">31 de diciembre de 2021. Por consiguiente, el país ha dejado de participar en el </w:t>
      </w:r>
      <w:r w:rsidR="006E402E">
        <w:rPr>
          <w:rFonts w:cs="Arial"/>
          <w:lang w:val="es-419"/>
        </w:rPr>
        <w:t>régimen de protección de la </w:t>
      </w:r>
      <w:r w:rsidRPr="00354EB1">
        <w:rPr>
          <w:rFonts w:cs="Arial"/>
          <w:lang w:val="es-419"/>
        </w:rPr>
        <w:t>Unión respecto de las obtenciones vegetales. Todos los derechos comunitarios de obtentor en vigor en la UE hasta el 31 de diciembre de 2021 se han transferido a los derechos nacion</w:t>
      </w:r>
      <w:r w:rsidR="006E402E">
        <w:rPr>
          <w:rFonts w:cs="Arial"/>
          <w:lang w:val="es-419"/>
        </w:rPr>
        <w:t>ales correspondientes del Reino </w:t>
      </w:r>
      <w:r w:rsidRPr="00354EB1">
        <w:rPr>
          <w:rFonts w:cs="Arial"/>
          <w:lang w:val="es-419"/>
        </w:rPr>
        <w:t>Unido.</w:t>
      </w:r>
    </w:p>
    <w:p w:rsidR="008035EB" w:rsidRPr="00354EB1" w:rsidRDefault="008035EB" w:rsidP="008035EB">
      <w:pPr>
        <w:contextualSpacing/>
        <w:rPr>
          <w:rFonts w:cs="Arial"/>
          <w:lang w:val="es-419"/>
        </w:rPr>
      </w:pPr>
    </w:p>
    <w:p w:rsidR="008035EB" w:rsidRPr="00354EB1" w:rsidRDefault="008035EB" w:rsidP="008035EB">
      <w:pPr>
        <w:contextualSpacing/>
        <w:rPr>
          <w:rFonts w:cs="Arial"/>
          <w:u w:val="single"/>
          <w:lang w:val="es-419"/>
        </w:rPr>
      </w:pPr>
      <w:r w:rsidRPr="00354EB1">
        <w:rPr>
          <w:rFonts w:cs="Arial"/>
          <w:u w:val="single"/>
          <w:lang w:val="es-419"/>
        </w:rPr>
        <w:t xml:space="preserve">1.1 </w:t>
      </w:r>
      <w:r w:rsidRPr="00354EB1">
        <w:rPr>
          <w:u w:val="single"/>
          <w:lang w:val="es-419"/>
        </w:rPr>
        <w:t>Modificaciones de la ley y de los reglamentos</w:t>
      </w:r>
      <w:r w:rsidRPr="00354EB1">
        <w:rPr>
          <w:rFonts w:cs="Arial"/>
          <w:u w:val="single"/>
          <w:lang w:val="es-419"/>
        </w:rPr>
        <w:t>:</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rFonts w:cs="Arial"/>
          <w:lang w:val="es-419"/>
        </w:rPr>
        <w:t>La Comisión Europea ha adoptado una propuesta de Reglamento del Parlamento Europeo y del Consejo para ampliar de 25 a 30 años la duración de la protección comunitaria de las obtenciones vegetales respecto a las especies de espárragos y los grupos de especies de bulbos de flores, pequeños frutos de plantas leñosas y plantas ornamentales leñosas. Se ha llegado a un acuerdo entre las instituciones y el Reglamento debería adoptarse antes de que termine el año 2021.</w:t>
      </w:r>
    </w:p>
    <w:p w:rsidR="008035EB" w:rsidRPr="00354EB1" w:rsidRDefault="008035EB" w:rsidP="008035EB">
      <w:pPr>
        <w:contextualSpacing/>
        <w:rPr>
          <w:rFonts w:cs="Arial"/>
          <w:u w:val="single"/>
          <w:lang w:val="es-419"/>
        </w:rPr>
      </w:pPr>
    </w:p>
    <w:p w:rsidR="008035EB" w:rsidRPr="00354EB1" w:rsidRDefault="008035EB" w:rsidP="008035EB">
      <w:pPr>
        <w:contextualSpacing/>
        <w:rPr>
          <w:rFonts w:cs="Arial"/>
          <w:u w:val="single"/>
          <w:lang w:val="es-419"/>
        </w:rPr>
      </w:pPr>
      <w:r w:rsidRPr="00354EB1">
        <w:rPr>
          <w:rFonts w:cs="Arial"/>
          <w:u w:val="single"/>
          <w:lang w:val="es-419"/>
        </w:rPr>
        <w:t xml:space="preserve">1.2 </w:t>
      </w:r>
      <w:r w:rsidRPr="00354EB1">
        <w:rPr>
          <w:u w:val="single"/>
          <w:lang w:val="es-419"/>
        </w:rPr>
        <w:t>Jurisprudencia</w:t>
      </w:r>
      <w:r w:rsidRPr="00354EB1">
        <w:rPr>
          <w:rFonts w:cs="Arial"/>
          <w:u w:val="single"/>
          <w:lang w:val="es-419"/>
        </w:rPr>
        <w:t xml:space="preserve">: </w:t>
      </w:r>
    </w:p>
    <w:p w:rsidR="008035EB" w:rsidRPr="00354EB1" w:rsidRDefault="008035EB" w:rsidP="008035EB">
      <w:pPr>
        <w:pStyle w:val="Default"/>
        <w:ind w:right="141"/>
        <w:contextualSpacing/>
        <w:jc w:val="both"/>
        <w:rPr>
          <w:i/>
          <w:color w:val="auto"/>
          <w:sz w:val="20"/>
          <w:szCs w:val="20"/>
          <w:lang w:val="es-419" w:eastAsia="fr-FR"/>
        </w:rPr>
      </w:pPr>
    </w:p>
    <w:p w:rsidR="008035EB" w:rsidRPr="00354EB1" w:rsidRDefault="008035EB" w:rsidP="008035EB">
      <w:pPr>
        <w:pStyle w:val="Default"/>
        <w:ind w:right="141"/>
        <w:contextualSpacing/>
        <w:jc w:val="both"/>
        <w:rPr>
          <w:i/>
          <w:color w:val="auto"/>
          <w:sz w:val="20"/>
          <w:szCs w:val="20"/>
          <w:lang w:val="es-419" w:eastAsia="fr-FR"/>
        </w:rPr>
      </w:pPr>
      <w:r w:rsidRPr="00354EB1">
        <w:rPr>
          <w:i/>
          <w:color w:val="auto"/>
          <w:sz w:val="20"/>
          <w:szCs w:val="20"/>
          <w:lang w:val="es-419" w:eastAsia="fr-FR"/>
        </w:rPr>
        <w:t>Sentencia del Tribunal General de 14 de julio de 2021 en el asunto T-181/20, “</w:t>
      </w:r>
      <w:proofErr w:type="spellStart"/>
      <w:r w:rsidRPr="00354EB1">
        <w:rPr>
          <w:i/>
          <w:color w:val="auto"/>
          <w:sz w:val="20"/>
          <w:szCs w:val="20"/>
          <w:lang w:val="es-419" w:eastAsia="fr-FR"/>
        </w:rPr>
        <w:t>Stark</w:t>
      </w:r>
      <w:proofErr w:type="spellEnd"/>
      <w:r w:rsidRPr="00354EB1">
        <w:rPr>
          <w:i/>
          <w:color w:val="auto"/>
          <w:sz w:val="20"/>
          <w:szCs w:val="20"/>
          <w:lang w:val="es-419" w:eastAsia="fr-FR"/>
        </w:rPr>
        <w:t xml:space="preserve"> </w:t>
      </w:r>
      <w:proofErr w:type="spellStart"/>
      <w:r w:rsidRPr="00354EB1">
        <w:rPr>
          <w:i/>
          <w:color w:val="auto"/>
          <w:sz w:val="20"/>
          <w:szCs w:val="20"/>
          <w:lang w:val="es-419" w:eastAsia="fr-FR"/>
        </w:rPr>
        <w:t>Gugger</w:t>
      </w:r>
      <w:proofErr w:type="spellEnd"/>
      <w:r w:rsidRPr="00354EB1">
        <w:rPr>
          <w:i/>
          <w:color w:val="auto"/>
          <w:sz w:val="20"/>
          <w:szCs w:val="20"/>
          <w:lang w:val="es-419" w:eastAsia="fr-FR"/>
        </w:rPr>
        <w:t>”</w:t>
      </w:r>
    </w:p>
    <w:p w:rsidR="008035EB" w:rsidRPr="00354EB1" w:rsidRDefault="008035EB" w:rsidP="008035EB">
      <w:pPr>
        <w:pStyle w:val="Default"/>
        <w:ind w:right="141"/>
        <w:contextualSpacing/>
        <w:jc w:val="both"/>
        <w:rPr>
          <w:color w:val="auto"/>
          <w:sz w:val="20"/>
          <w:szCs w:val="20"/>
          <w:lang w:val="es-419" w:eastAsia="fr-FR"/>
        </w:rPr>
      </w:pPr>
    </w:p>
    <w:p w:rsidR="008035EB" w:rsidRPr="00354EB1" w:rsidRDefault="008035EB" w:rsidP="008035EB">
      <w:pPr>
        <w:pStyle w:val="Default"/>
        <w:ind w:right="141"/>
        <w:contextualSpacing/>
        <w:jc w:val="both"/>
        <w:rPr>
          <w:color w:val="auto"/>
          <w:sz w:val="20"/>
          <w:szCs w:val="20"/>
          <w:lang w:val="es-419" w:eastAsia="fr-FR"/>
        </w:rPr>
      </w:pPr>
      <w:r w:rsidRPr="00354EB1">
        <w:rPr>
          <w:color w:val="auto"/>
          <w:sz w:val="20"/>
          <w:szCs w:val="20"/>
          <w:lang w:val="es-419" w:eastAsia="fr-FR"/>
        </w:rPr>
        <w:t xml:space="preserve">Por una sentencia de 14 de julio de 2021, el Tribunal General ha desestimado en su totalidad el recurso presentado por la parte recurrente y la ha condenado al pago de las costas. </w:t>
      </w:r>
    </w:p>
    <w:p w:rsidR="008035EB" w:rsidRPr="00354EB1" w:rsidRDefault="008035EB" w:rsidP="008035EB">
      <w:pPr>
        <w:pStyle w:val="Default"/>
        <w:ind w:right="141"/>
        <w:contextualSpacing/>
        <w:jc w:val="both"/>
        <w:rPr>
          <w:color w:val="auto"/>
          <w:sz w:val="20"/>
          <w:szCs w:val="20"/>
          <w:lang w:val="es-419" w:eastAsia="fr-FR"/>
        </w:rPr>
      </w:pPr>
    </w:p>
    <w:p w:rsidR="008035EB" w:rsidRPr="00354EB1" w:rsidRDefault="008035EB" w:rsidP="008035EB">
      <w:pPr>
        <w:pStyle w:val="Default"/>
        <w:ind w:right="141"/>
        <w:contextualSpacing/>
        <w:jc w:val="both"/>
        <w:rPr>
          <w:color w:val="auto"/>
          <w:sz w:val="20"/>
          <w:szCs w:val="20"/>
          <w:lang w:val="es-419" w:eastAsia="fr-FR"/>
        </w:rPr>
      </w:pPr>
      <w:r w:rsidRPr="00354EB1">
        <w:rPr>
          <w:color w:val="auto"/>
          <w:sz w:val="20"/>
          <w:szCs w:val="20"/>
          <w:lang w:val="es-419" w:eastAsia="fr-FR"/>
        </w:rPr>
        <w:t xml:space="preserve">El Tribunal confirmó las conclusiones de la Sala de Recurso en cuanto a la determinación del lugar de ensayo de la variedad candidata de </w:t>
      </w:r>
      <w:proofErr w:type="spellStart"/>
      <w:r w:rsidRPr="00354EB1">
        <w:rPr>
          <w:i/>
          <w:color w:val="auto"/>
          <w:sz w:val="20"/>
          <w:szCs w:val="20"/>
          <w:lang w:val="es-419" w:eastAsia="fr-FR"/>
        </w:rPr>
        <w:t>Malus</w:t>
      </w:r>
      <w:proofErr w:type="spellEnd"/>
      <w:r w:rsidRPr="00354EB1">
        <w:rPr>
          <w:i/>
          <w:color w:val="auto"/>
          <w:sz w:val="20"/>
          <w:szCs w:val="20"/>
          <w:lang w:val="es-419" w:eastAsia="fr-FR"/>
        </w:rPr>
        <w:t xml:space="preserve"> domestica</w:t>
      </w:r>
      <w:r w:rsidRPr="00354EB1">
        <w:rPr>
          <w:color w:val="auto"/>
          <w:sz w:val="20"/>
          <w:szCs w:val="20"/>
          <w:lang w:val="es-419" w:eastAsia="fr-FR"/>
        </w:rPr>
        <w:t xml:space="preserve"> </w:t>
      </w:r>
      <w:proofErr w:type="spellStart"/>
      <w:r w:rsidRPr="00354EB1">
        <w:rPr>
          <w:color w:val="auto"/>
          <w:sz w:val="20"/>
          <w:szCs w:val="20"/>
          <w:lang w:val="es-419" w:eastAsia="fr-FR"/>
        </w:rPr>
        <w:t>Borkh</w:t>
      </w:r>
      <w:proofErr w:type="spellEnd"/>
      <w:r w:rsidRPr="00354EB1">
        <w:rPr>
          <w:color w:val="auto"/>
          <w:sz w:val="20"/>
          <w:szCs w:val="20"/>
          <w:lang w:val="es-419" w:eastAsia="fr-FR"/>
        </w:rPr>
        <w:t xml:space="preserve"> "</w:t>
      </w:r>
      <w:proofErr w:type="spellStart"/>
      <w:r w:rsidRPr="00354EB1">
        <w:rPr>
          <w:color w:val="auto"/>
          <w:sz w:val="20"/>
          <w:szCs w:val="20"/>
          <w:lang w:val="es-419" w:eastAsia="fr-FR"/>
        </w:rPr>
        <w:t>Stark</w:t>
      </w:r>
      <w:proofErr w:type="spellEnd"/>
      <w:r w:rsidRPr="00354EB1">
        <w:rPr>
          <w:color w:val="auto"/>
          <w:sz w:val="20"/>
          <w:szCs w:val="20"/>
          <w:lang w:val="es-419" w:eastAsia="fr-FR"/>
        </w:rPr>
        <w:t xml:space="preserve"> </w:t>
      </w:r>
      <w:proofErr w:type="spellStart"/>
      <w:r w:rsidRPr="00354EB1">
        <w:rPr>
          <w:color w:val="auto"/>
          <w:sz w:val="20"/>
          <w:szCs w:val="20"/>
          <w:lang w:val="es-419" w:eastAsia="fr-FR"/>
        </w:rPr>
        <w:t>Gugger</w:t>
      </w:r>
      <w:proofErr w:type="spellEnd"/>
      <w:r w:rsidRPr="00354EB1">
        <w:rPr>
          <w:color w:val="auto"/>
          <w:sz w:val="20"/>
          <w:szCs w:val="20"/>
          <w:lang w:val="es-419" w:eastAsia="fr-FR"/>
        </w:rPr>
        <w:t xml:space="preserve">". El recurrente impugnó la denegación de la solicitud alegando que el método de poda utilizado por la Oficina de Examen y el lugar en el que se llevó a cabo el ensayo, </w:t>
      </w:r>
      <w:proofErr w:type="spellStart"/>
      <w:r w:rsidRPr="00354EB1">
        <w:rPr>
          <w:color w:val="auto"/>
          <w:sz w:val="20"/>
          <w:szCs w:val="20"/>
          <w:lang w:val="es-419" w:eastAsia="fr-FR"/>
        </w:rPr>
        <w:t>Geves</w:t>
      </w:r>
      <w:proofErr w:type="spellEnd"/>
      <w:r w:rsidRPr="00354EB1">
        <w:rPr>
          <w:color w:val="auto"/>
          <w:sz w:val="20"/>
          <w:szCs w:val="20"/>
          <w:lang w:val="es-419" w:eastAsia="fr-FR"/>
        </w:rPr>
        <w:t xml:space="preserve">-Angers, no eran adecuados para evaluar la distinción, de conformidad con el artículo 7 del Reglamento relativo a la protección comunitaria de las obtenciones vegetales, teniendo en cuenta también las diferencias en las condiciones climáticas existentes en la Oficina de Examen y en el lugar donde se desarrolló la variedad. </w:t>
      </w:r>
    </w:p>
    <w:p w:rsidR="008035EB" w:rsidRPr="00354EB1" w:rsidRDefault="008035EB" w:rsidP="008035EB">
      <w:pPr>
        <w:pStyle w:val="Default"/>
        <w:ind w:right="141"/>
        <w:contextualSpacing/>
        <w:jc w:val="both"/>
        <w:rPr>
          <w:color w:val="auto"/>
          <w:sz w:val="20"/>
          <w:szCs w:val="20"/>
          <w:lang w:val="es-419" w:eastAsia="fr-FR"/>
        </w:rPr>
      </w:pPr>
    </w:p>
    <w:p w:rsidR="008035EB" w:rsidRPr="00354EB1" w:rsidRDefault="008035EB" w:rsidP="008035EB">
      <w:pPr>
        <w:pStyle w:val="Default"/>
        <w:ind w:right="141"/>
        <w:contextualSpacing/>
        <w:jc w:val="both"/>
        <w:rPr>
          <w:color w:val="auto"/>
          <w:sz w:val="20"/>
          <w:szCs w:val="20"/>
          <w:lang w:val="es-419" w:eastAsia="fr-FR"/>
        </w:rPr>
      </w:pPr>
      <w:r w:rsidRPr="00354EB1">
        <w:rPr>
          <w:color w:val="auto"/>
          <w:sz w:val="20"/>
          <w:szCs w:val="20"/>
          <w:lang w:val="es-419" w:eastAsia="fr-FR"/>
        </w:rPr>
        <w:t>El Tribunal General llegó a la misma conclusión que el Consejo de Administración de la Oficina Comunitaria de Variedades Vegetales (OCVV), en el sentido de que la Oficina de Examen no estaba obligada a aplicar el método de poda sugerido por el recurrente ni a cambiar el lugar de examen. El Tribunal argumentó que corresponde al Consejo de Administración de la OCVV encomendar a las oficinas competentes el examen técnico de las variedades candidatas, de acuerdo con el apartado 1 del artículo 55 del Reglamento relativo a la protección comunitaria de las obtenciones vegetales y con el apartado 1 del artículo 13 del Reglamento (CE) N.º 874/2009 de la Comisión. La elección del lugar de examen era inequívoca y previa a la solicitud específica objeto de debate. Además, la OCVV no hubiera podido intervenir en el cambio del centro de ensayo, que fue designado para todas las especies o variedades pertenecientes al mismo grupo de mutantes en virtud del anuncio correspondiente del Consejo de Administración.</w:t>
      </w:r>
    </w:p>
    <w:p w:rsidR="008035EB" w:rsidRPr="00354EB1" w:rsidRDefault="008035EB" w:rsidP="008035EB">
      <w:pPr>
        <w:pStyle w:val="Default"/>
        <w:ind w:right="141"/>
        <w:contextualSpacing/>
        <w:jc w:val="both"/>
        <w:rPr>
          <w:color w:val="auto"/>
          <w:sz w:val="20"/>
          <w:szCs w:val="20"/>
          <w:lang w:val="es-419" w:eastAsia="fr-FR"/>
        </w:rPr>
      </w:pPr>
    </w:p>
    <w:p w:rsidR="008035EB" w:rsidRPr="00354EB1" w:rsidRDefault="008035EB" w:rsidP="008035EB">
      <w:pPr>
        <w:pStyle w:val="Default"/>
        <w:ind w:right="141"/>
        <w:contextualSpacing/>
        <w:jc w:val="both"/>
        <w:rPr>
          <w:color w:val="auto"/>
          <w:sz w:val="20"/>
          <w:szCs w:val="20"/>
          <w:lang w:val="es-419" w:eastAsia="fr-FR"/>
        </w:rPr>
      </w:pPr>
      <w:r w:rsidRPr="00354EB1">
        <w:rPr>
          <w:color w:val="auto"/>
          <w:sz w:val="20"/>
          <w:szCs w:val="20"/>
          <w:lang w:val="es-419" w:eastAsia="fr-FR"/>
        </w:rPr>
        <w:t>Por otro lado, el Tribunal consideró que los datos relativos a la proximidad genética no tenían ninguna importancia en la apreciación de la distinción y rechazó en su totalidad los motivos relativos a un supuesto incumplimiento por parte del Consejo de Administración de su propia obligación de motivación y del derecho del recurrente a ser oído.</w:t>
      </w:r>
    </w:p>
    <w:p w:rsidR="008035EB" w:rsidRPr="00354EB1" w:rsidRDefault="008035EB" w:rsidP="008035EB">
      <w:pPr>
        <w:pStyle w:val="Default"/>
        <w:ind w:right="141"/>
        <w:contextualSpacing/>
        <w:jc w:val="both"/>
        <w:rPr>
          <w:i/>
          <w:color w:val="auto"/>
          <w:sz w:val="20"/>
          <w:szCs w:val="20"/>
          <w:lang w:val="es-419" w:eastAsia="fr-FR"/>
        </w:rPr>
      </w:pPr>
    </w:p>
    <w:p w:rsidR="008035EB" w:rsidRPr="00354EB1" w:rsidRDefault="008035EB" w:rsidP="008035EB">
      <w:pPr>
        <w:pStyle w:val="Default"/>
        <w:ind w:right="141"/>
        <w:contextualSpacing/>
        <w:jc w:val="both"/>
        <w:rPr>
          <w:i/>
          <w:color w:val="auto"/>
          <w:sz w:val="20"/>
          <w:szCs w:val="20"/>
          <w:lang w:val="es-419" w:eastAsia="fr-FR"/>
        </w:rPr>
      </w:pPr>
      <w:r w:rsidRPr="00354EB1">
        <w:rPr>
          <w:i/>
          <w:color w:val="auto"/>
          <w:sz w:val="20"/>
          <w:szCs w:val="20"/>
          <w:lang w:val="es-419" w:eastAsia="fr-FR"/>
        </w:rPr>
        <w:t xml:space="preserve">Sentencia del Tribunal General de 14 de julio de 2021 en el asunto T-182/20, “Gala </w:t>
      </w:r>
      <w:proofErr w:type="spellStart"/>
      <w:r w:rsidRPr="00354EB1">
        <w:rPr>
          <w:i/>
          <w:color w:val="auto"/>
          <w:sz w:val="20"/>
          <w:szCs w:val="20"/>
          <w:lang w:val="es-419" w:eastAsia="fr-FR"/>
        </w:rPr>
        <w:t>Perathoner</w:t>
      </w:r>
      <w:proofErr w:type="spellEnd"/>
      <w:r w:rsidRPr="00354EB1">
        <w:rPr>
          <w:i/>
          <w:color w:val="auto"/>
          <w:sz w:val="20"/>
          <w:szCs w:val="20"/>
          <w:lang w:val="es-419" w:eastAsia="fr-FR"/>
        </w:rPr>
        <w:t>”</w:t>
      </w:r>
    </w:p>
    <w:p w:rsidR="008035EB" w:rsidRPr="00354EB1" w:rsidRDefault="008035EB" w:rsidP="008035EB">
      <w:pPr>
        <w:pStyle w:val="Default"/>
        <w:ind w:right="141"/>
        <w:contextualSpacing/>
        <w:jc w:val="both"/>
        <w:rPr>
          <w:color w:val="auto"/>
          <w:sz w:val="20"/>
          <w:szCs w:val="20"/>
          <w:lang w:val="es-419" w:eastAsia="fr-FR"/>
        </w:rPr>
      </w:pPr>
    </w:p>
    <w:p w:rsidR="008035EB" w:rsidRPr="00354EB1" w:rsidRDefault="008035EB" w:rsidP="008035EB">
      <w:pPr>
        <w:pStyle w:val="Default"/>
        <w:ind w:right="141"/>
        <w:contextualSpacing/>
        <w:jc w:val="both"/>
        <w:rPr>
          <w:color w:val="auto"/>
          <w:sz w:val="20"/>
          <w:szCs w:val="20"/>
          <w:lang w:val="es-419" w:eastAsia="fr-FR"/>
        </w:rPr>
      </w:pPr>
      <w:r w:rsidRPr="00354EB1">
        <w:rPr>
          <w:color w:val="auto"/>
          <w:sz w:val="20"/>
          <w:szCs w:val="20"/>
          <w:lang w:val="es-419" w:eastAsia="fr-FR"/>
        </w:rPr>
        <w:t xml:space="preserve">Por una sentencia de 14 de julio de 2021, el Tribunal General ha desestimado en su totalidad el recurso presentado por la parte recurrente y la ha condenado al pago de las costas. </w:t>
      </w:r>
    </w:p>
    <w:p w:rsidR="008035EB" w:rsidRPr="00354EB1" w:rsidRDefault="008035EB" w:rsidP="008035EB">
      <w:pPr>
        <w:pStyle w:val="Default"/>
        <w:ind w:right="141"/>
        <w:contextualSpacing/>
        <w:jc w:val="both"/>
        <w:rPr>
          <w:color w:val="auto"/>
          <w:sz w:val="20"/>
          <w:szCs w:val="20"/>
          <w:lang w:val="es-419" w:eastAsia="fr-FR"/>
        </w:rPr>
      </w:pPr>
    </w:p>
    <w:p w:rsidR="008035EB" w:rsidRPr="00354EB1" w:rsidRDefault="008035EB" w:rsidP="008035EB">
      <w:pPr>
        <w:pStyle w:val="Default"/>
        <w:ind w:right="141"/>
        <w:contextualSpacing/>
        <w:jc w:val="both"/>
        <w:rPr>
          <w:color w:val="auto"/>
          <w:sz w:val="20"/>
          <w:szCs w:val="20"/>
          <w:lang w:val="es-419" w:eastAsia="fr-FR"/>
        </w:rPr>
      </w:pPr>
      <w:r w:rsidRPr="00354EB1">
        <w:rPr>
          <w:color w:val="auto"/>
          <w:sz w:val="20"/>
          <w:szCs w:val="20"/>
          <w:lang w:val="es-419" w:eastAsia="fr-FR"/>
        </w:rPr>
        <w:lastRenderedPageBreak/>
        <w:t xml:space="preserve">El Tribunal confirmó las conclusiones de la Sala de Recurso en cuanto a la determinación del lugar de ensayo de la variedad candidata de </w:t>
      </w:r>
      <w:proofErr w:type="spellStart"/>
      <w:r w:rsidRPr="00354EB1">
        <w:rPr>
          <w:i/>
          <w:color w:val="auto"/>
          <w:sz w:val="20"/>
          <w:szCs w:val="20"/>
          <w:lang w:val="es-419" w:eastAsia="fr-FR"/>
        </w:rPr>
        <w:t>Malus</w:t>
      </w:r>
      <w:proofErr w:type="spellEnd"/>
      <w:r w:rsidRPr="00354EB1">
        <w:rPr>
          <w:i/>
          <w:color w:val="auto"/>
          <w:sz w:val="20"/>
          <w:szCs w:val="20"/>
          <w:lang w:val="es-419" w:eastAsia="fr-FR"/>
        </w:rPr>
        <w:t xml:space="preserve"> domestica</w:t>
      </w:r>
      <w:r w:rsidRPr="00354EB1">
        <w:rPr>
          <w:color w:val="auto"/>
          <w:sz w:val="20"/>
          <w:szCs w:val="20"/>
          <w:lang w:val="es-419" w:eastAsia="fr-FR"/>
        </w:rPr>
        <w:t xml:space="preserve"> </w:t>
      </w:r>
      <w:proofErr w:type="spellStart"/>
      <w:r w:rsidRPr="00354EB1">
        <w:rPr>
          <w:color w:val="auto"/>
          <w:sz w:val="20"/>
          <w:szCs w:val="20"/>
          <w:lang w:val="es-419" w:eastAsia="fr-FR"/>
        </w:rPr>
        <w:t>Borkh</w:t>
      </w:r>
      <w:proofErr w:type="spellEnd"/>
      <w:r w:rsidRPr="00354EB1">
        <w:rPr>
          <w:color w:val="auto"/>
          <w:sz w:val="20"/>
          <w:szCs w:val="20"/>
          <w:lang w:val="es-419" w:eastAsia="fr-FR"/>
        </w:rPr>
        <w:t xml:space="preserve"> " Gala </w:t>
      </w:r>
      <w:proofErr w:type="spellStart"/>
      <w:r w:rsidRPr="00354EB1">
        <w:rPr>
          <w:color w:val="auto"/>
          <w:sz w:val="20"/>
          <w:szCs w:val="20"/>
          <w:lang w:val="es-419" w:eastAsia="fr-FR"/>
        </w:rPr>
        <w:t>Perathoner</w:t>
      </w:r>
      <w:proofErr w:type="spellEnd"/>
      <w:r w:rsidRPr="00354EB1">
        <w:rPr>
          <w:color w:val="auto"/>
          <w:sz w:val="20"/>
          <w:szCs w:val="20"/>
          <w:lang w:val="es-419" w:eastAsia="fr-FR"/>
        </w:rPr>
        <w:t xml:space="preserve">". El recurrente impugnó la denegación de la solicitud alegando que la Oficina de Examen determinó incorrectamente el momento de recogida de los frutos de la variedad candidata. En opinión de la recurrente, el momento óptimo de recolección debía determinarse a partir del índice de regresión del almidón. </w:t>
      </w:r>
    </w:p>
    <w:p w:rsidR="008035EB" w:rsidRPr="00354EB1" w:rsidRDefault="008035EB" w:rsidP="008035EB">
      <w:pPr>
        <w:pStyle w:val="Default"/>
        <w:ind w:right="141"/>
        <w:contextualSpacing/>
        <w:jc w:val="both"/>
        <w:rPr>
          <w:color w:val="auto"/>
          <w:sz w:val="20"/>
          <w:szCs w:val="20"/>
          <w:lang w:val="es-419" w:eastAsia="fr-FR"/>
        </w:rPr>
      </w:pPr>
    </w:p>
    <w:p w:rsidR="008035EB" w:rsidRPr="00354EB1" w:rsidRDefault="008035EB" w:rsidP="008035EB">
      <w:pPr>
        <w:pStyle w:val="Default"/>
        <w:ind w:right="141"/>
        <w:contextualSpacing/>
        <w:jc w:val="both"/>
        <w:rPr>
          <w:color w:val="auto"/>
          <w:sz w:val="20"/>
          <w:szCs w:val="20"/>
          <w:lang w:val="es-419" w:eastAsia="fr-FR"/>
        </w:rPr>
      </w:pPr>
      <w:r w:rsidRPr="00354EB1">
        <w:rPr>
          <w:color w:val="auto"/>
          <w:sz w:val="20"/>
          <w:szCs w:val="20"/>
          <w:lang w:val="es-419" w:eastAsia="fr-FR"/>
        </w:rPr>
        <w:t xml:space="preserve">Por otra parte, el recurrente alegó que el lugar de ensayo, </w:t>
      </w:r>
      <w:proofErr w:type="spellStart"/>
      <w:r w:rsidRPr="00354EB1">
        <w:rPr>
          <w:color w:val="auto"/>
          <w:sz w:val="20"/>
          <w:szCs w:val="20"/>
          <w:lang w:val="es-419" w:eastAsia="fr-FR"/>
        </w:rPr>
        <w:t>Geves</w:t>
      </w:r>
      <w:proofErr w:type="spellEnd"/>
      <w:r w:rsidRPr="00354EB1">
        <w:rPr>
          <w:color w:val="auto"/>
          <w:sz w:val="20"/>
          <w:szCs w:val="20"/>
          <w:lang w:val="es-419" w:eastAsia="fr-FR"/>
        </w:rPr>
        <w:t xml:space="preserve">-Angers, no era apropiado para la evaluación de la distinción, de conformidad con el artículo 7 del Reglamento relativo a la protección comunitaria de las obtenciones vegetales, teniendo en cuenta también las diferencias en las condiciones climáticas existentes en la Oficina de Examen y en el lugar donde se desarrolló la variedad. </w:t>
      </w:r>
    </w:p>
    <w:p w:rsidR="008035EB" w:rsidRPr="00354EB1" w:rsidRDefault="008035EB" w:rsidP="008035EB">
      <w:pPr>
        <w:pStyle w:val="Default"/>
        <w:ind w:right="141"/>
        <w:contextualSpacing/>
        <w:jc w:val="both"/>
        <w:rPr>
          <w:color w:val="auto"/>
          <w:sz w:val="20"/>
          <w:szCs w:val="20"/>
          <w:lang w:val="es-419" w:eastAsia="fr-FR"/>
        </w:rPr>
      </w:pPr>
    </w:p>
    <w:p w:rsidR="008035EB" w:rsidRPr="00354EB1" w:rsidRDefault="008035EB" w:rsidP="008035EB">
      <w:pPr>
        <w:pStyle w:val="Default"/>
        <w:ind w:right="141"/>
        <w:contextualSpacing/>
        <w:jc w:val="both"/>
        <w:rPr>
          <w:color w:val="auto"/>
          <w:sz w:val="20"/>
          <w:szCs w:val="20"/>
          <w:lang w:val="es-419" w:eastAsia="fr-FR"/>
        </w:rPr>
      </w:pPr>
      <w:r w:rsidRPr="00354EB1">
        <w:rPr>
          <w:color w:val="auto"/>
          <w:sz w:val="20"/>
          <w:szCs w:val="20"/>
          <w:lang w:val="es-419" w:eastAsia="fr-FR"/>
        </w:rPr>
        <w:t>El Tribunal General llegó a la conclusión de que la Oficina de Examen aplicó correctamente el protocolo técnico pertinente para el examen DHE de la variedad candidata (Protocolo TP/14/2 de la OCVV), que no preveía el uso de la regresión del almidón como único medio para determinar el momento óptimo para cosechar el material. En relación con este motivo, el Tribunal también confirmó que el Consejo de Administración fundamentó correctamente sus argumentaciones en el protocolo técnico aplicable para desestimar el recurso y, por lo tanto, no infringió el derecho del recurrente a ser oído ni su propia obligación de motivación.</w:t>
      </w:r>
    </w:p>
    <w:p w:rsidR="008035EB" w:rsidRPr="00354EB1" w:rsidRDefault="008035EB" w:rsidP="008035EB">
      <w:pPr>
        <w:pStyle w:val="Default"/>
        <w:ind w:right="141"/>
        <w:contextualSpacing/>
        <w:jc w:val="both"/>
        <w:rPr>
          <w:color w:val="auto"/>
          <w:sz w:val="20"/>
          <w:szCs w:val="20"/>
          <w:lang w:val="es-419" w:eastAsia="fr-FR"/>
        </w:rPr>
      </w:pPr>
    </w:p>
    <w:p w:rsidR="008035EB" w:rsidRPr="00354EB1" w:rsidRDefault="008035EB" w:rsidP="008035EB">
      <w:pPr>
        <w:pStyle w:val="Default"/>
        <w:ind w:right="141"/>
        <w:contextualSpacing/>
        <w:jc w:val="both"/>
        <w:rPr>
          <w:color w:val="auto"/>
          <w:sz w:val="20"/>
          <w:szCs w:val="20"/>
          <w:lang w:val="es-419" w:eastAsia="fr-FR"/>
        </w:rPr>
      </w:pPr>
      <w:r w:rsidRPr="00354EB1">
        <w:rPr>
          <w:color w:val="auto"/>
          <w:sz w:val="20"/>
          <w:szCs w:val="20"/>
          <w:lang w:val="es-419" w:eastAsia="fr-FR"/>
        </w:rPr>
        <w:t>El Tribunal, haciendo suyo el razonamiento de la OCVV, declaró que corresponde al Consejo de Administración de la OCVV encomendar a las oficinas competentes el examen técnico de las variedades candidatas, de acuerdo con el apartado 1 del artículo 55 del Reglamento relativo a la protección comunitaria de las obtenciones vegetales y con el apartado 1 del artículo 13 del Reglamento (CE) N.º 874/2009 de la Comisión. La elección del lugar de examen era inequívoca y previa a la solicitud específica objeto de debate. Además, la OCVV no hubiera podido intervenir en el cambio del centro de ensayo, que fue designado para todas las especies o variedades pertenecientes al mismo grupo de mutantes en virtud del anuncio correspondiente del Consejo de Administración.</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rFonts w:cs="Arial"/>
          <w:lang w:val="es-419"/>
        </w:rPr>
        <w:t>2)</w:t>
      </w:r>
      <w:r w:rsidRPr="00354EB1">
        <w:rPr>
          <w:rFonts w:cs="Arial"/>
          <w:lang w:val="es-419"/>
        </w:rPr>
        <w:tab/>
      </w:r>
      <w:r w:rsidRPr="00354EB1">
        <w:rPr>
          <w:u w:val="single"/>
          <w:lang w:val="es-419"/>
        </w:rPr>
        <w:t>Cooperación en el examen</w:t>
      </w:r>
      <w:r w:rsidRPr="00354EB1">
        <w:rPr>
          <w:rFonts w:cs="Arial"/>
          <w:lang w:val="es-419"/>
        </w:rPr>
        <w:t xml:space="preserve"> </w:t>
      </w:r>
    </w:p>
    <w:p w:rsidR="008035EB" w:rsidRPr="00354EB1" w:rsidRDefault="008035EB" w:rsidP="008035EB">
      <w:pPr>
        <w:contextualSpacing/>
        <w:rPr>
          <w:rFonts w:cs="Arial"/>
          <w:u w:val="single"/>
          <w:lang w:val="es-419"/>
        </w:rPr>
      </w:pPr>
    </w:p>
    <w:p w:rsidR="008035EB" w:rsidRPr="00354EB1" w:rsidRDefault="008035EB" w:rsidP="008035EB">
      <w:pPr>
        <w:contextualSpacing/>
        <w:rPr>
          <w:rFonts w:cs="Arial"/>
          <w:lang w:val="es-419"/>
        </w:rPr>
      </w:pPr>
      <w:r w:rsidRPr="00354EB1">
        <w:rPr>
          <w:rFonts w:cs="Arial"/>
          <w:u w:val="single"/>
          <w:lang w:val="es-419"/>
        </w:rPr>
        <w:t xml:space="preserve">2.1 </w:t>
      </w:r>
      <w:r w:rsidRPr="00354EB1">
        <w:rPr>
          <w:u w:val="single"/>
          <w:lang w:val="es-419"/>
        </w:rPr>
        <w:t>Suscripción de nuevos acuerdos</w:t>
      </w:r>
      <w:r w:rsidRPr="00354EB1">
        <w:rPr>
          <w:rFonts w:cs="Arial"/>
          <w:u w:val="single"/>
          <w:lang w:val="es-419"/>
        </w:rPr>
        <w:t>:</w:t>
      </w:r>
      <w:r w:rsidRPr="00354EB1">
        <w:rPr>
          <w:rFonts w:cs="Arial"/>
          <w:lang w:val="es-419"/>
        </w:rPr>
        <w:t xml:space="preserve"> </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rFonts w:cs="Arial"/>
          <w:lang w:val="es-419"/>
        </w:rPr>
        <w:t xml:space="preserve">El Consejo de Administración de la OCVV acordó en abril de 2021 que la OCVV concluyera un acuerdo con el Ministerio de Agricultura, Silvicultura y Pesca del Japón para asumir los informes DHE y llevar a cabo el examen técnico de la especie </w:t>
      </w:r>
      <w:proofErr w:type="spellStart"/>
      <w:r w:rsidRPr="00354EB1">
        <w:rPr>
          <w:rFonts w:cs="Arial"/>
          <w:i/>
          <w:lang w:val="es-419"/>
        </w:rPr>
        <w:t>Eutrema</w:t>
      </w:r>
      <w:proofErr w:type="spellEnd"/>
      <w:r w:rsidRPr="00354EB1">
        <w:rPr>
          <w:rFonts w:cs="Arial"/>
          <w:i/>
          <w:lang w:val="es-419"/>
        </w:rPr>
        <w:t xml:space="preserve"> </w:t>
      </w:r>
      <w:proofErr w:type="spellStart"/>
      <w:r w:rsidRPr="00354EB1">
        <w:rPr>
          <w:rFonts w:cs="Arial"/>
          <w:i/>
          <w:lang w:val="es-419"/>
        </w:rPr>
        <w:t>japonicum</w:t>
      </w:r>
      <w:proofErr w:type="spellEnd"/>
      <w:r w:rsidRPr="00354EB1">
        <w:rPr>
          <w:rFonts w:cs="Arial"/>
          <w:lang w:val="es-419"/>
        </w:rPr>
        <w:t xml:space="preserve"> (</w:t>
      </w:r>
      <w:proofErr w:type="spellStart"/>
      <w:r w:rsidRPr="00354EB1">
        <w:rPr>
          <w:rFonts w:cs="Arial"/>
          <w:lang w:val="es-419"/>
        </w:rPr>
        <w:t>Miq</w:t>
      </w:r>
      <w:proofErr w:type="spellEnd"/>
      <w:r w:rsidRPr="00354EB1">
        <w:rPr>
          <w:rFonts w:cs="Arial"/>
          <w:lang w:val="es-419"/>
        </w:rPr>
        <w:t xml:space="preserve">.) </w:t>
      </w:r>
      <w:proofErr w:type="spellStart"/>
      <w:r w:rsidRPr="00354EB1">
        <w:rPr>
          <w:rFonts w:cs="Arial"/>
          <w:lang w:val="es-419"/>
        </w:rPr>
        <w:t>Koidz</w:t>
      </w:r>
      <w:proofErr w:type="spellEnd"/>
      <w:r w:rsidRPr="00354EB1">
        <w:rPr>
          <w:rFonts w:cs="Arial"/>
          <w:lang w:val="es-419"/>
        </w:rPr>
        <w:t>. (</w:t>
      </w:r>
      <w:proofErr w:type="spellStart"/>
      <w:r w:rsidRPr="00354EB1">
        <w:rPr>
          <w:rFonts w:cs="Arial"/>
          <w:lang w:val="es-419"/>
        </w:rPr>
        <w:t>syn</w:t>
      </w:r>
      <w:proofErr w:type="spellEnd"/>
      <w:r w:rsidRPr="00354EB1">
        <w:rPr>
          <w:rFonts w:cs="Arial"/>
          <w:lang w:val="es-419"/>
        </w:rPr>
        <w:t xml:space="preserve">. </w:t>
      </w:r>
      <w:proofErr w:type="spellStart"/>
      <w:r w:rsidRPr="00354EB1">
        <w:rPr>
          <w:rFonts w:cs="Arial"/>
          <w:i/>
          <w:lang w:val="es-419"/>
        </w:rPr>
        <w:t>Wasabia</w:t>
      </w:r>
      <w:proofErr w:type="spellEnd"/>
      <w:r w:rsidRPr="00354EB1">
        <w:rPr>
          <w:rFonts w:cs="Arial"/>
          <w:i/>
          <w:lang w:val="es-419"/>
        </w:rPr>
        <w:t xml:space="preserve"> </w:t>
      </w:r>
      <w:proofErr w:type="spellStart"/>
      <w:r w:rsidRPr="00354EB1">
        <w:rPr>
          <w:rFonts w:cs="Arial"/>
          <w:i/>
          <w:lang w:val="es-419"/>
        </w:rPr>
        <w:t>japonica</w:t>
      </w:r>
      <w:proofErr w:type="spellEnd"/>
      <w:r w:rsidRPr="00354EB1">
        <w:rPr>
          <w:rFonts w:cs="Arial"/>
          <w:lang w:val="es-419"/>
        </w:rPr>
        <w:t xml:space="preserve"> (</w:t>
      </w:r>
      <w:proofErr w:type="spellStart"/>
      <w:r w:rsidRPr="00354EB1">
        <w:rPr>
          <w:rFonts w:cs="Arial"/>
          <w:lang w:val="es-419"/>
        </w:rPr>
        <w:t>Miq</w:t>
      </w:r>
      <w:proofErr w:type="spellEnd"/>
      <w:r w:rsidRPr="00354EB1">
        <w:rPr>
          <w:rFonts w:cs="Arial"/>
          <w:lang w:val="es-419"/>
        </w:rPr>
        <w:t xml:space="preserve">.) </w:t>
      </w:r>
      <w:proofErr w:type="spellStart"/>
      <w:r w:rsidRPr="00354EB1">
        <w:rPr>
          <w:rFonts w:cs="Arial"/>
          <w:lang w:val="es-419"/>
        </w:rPr>
        <w:t>Matsum</w:t>
      </w:r>
      <w:proofErr w:type="spellEnd"/>
      <w:r w:rsidRPr="00354EB1">
        <w:rPr>
          <w:rFonts w:cs="Arial"/>
          <w:lang w:val="es-419"/>
        </w:rPr>
        <w:t>.) en nombre de la OCVV.</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rFonts w:cs="Arial"/>
          <w:u w:val="single"/>
          <w:lang w:val="es-419"/>
        </w:rPr>
        <w:t xml:space="preserve">2.2 </w:t>
      </w:r>
      <w:r w:rsidRPr="00354EB1">
        <w:rPr>
          <w:u w:val="single"/>
          <w:lang w:val="es-419"/>
        </w:rPr>
        <w:t>Modificación de los acuerdos existentes</w:t>
      </w:r>
      <w:r w:rsidRPr="00354EB1">
        <w:rPr>
          <w:rFonts w:cs="Arial"/>
          <w:u w:val="single"/>
          <w:lang w:val="es-419"/>
        </w:rPr>
        <w:t>:</w:t>
      </w:r>
      <w:r w:rsidRPr="00354EB1">
        <w:rPr>
          <w:rFonts w:cs="Arial"/>
          <w:lang w:val="es-419"/>
        </w:rPr>
        <w:t xml:space="preserve"> </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lang w:val="es-419"/>
        </w:rPr>
        <w:t xml:space="preserve">Se ha ampliado el alcance del acuerdo con el Servicio Nacional de Inspección y Certificación de Semillas (SNICS) de México para efectuar exámenes DHE de la especie </w:t>
      </w:r>
      <w:proofErr w:type="spellStart"/>
      <w:r w:rsidRPr="00354EB1">
        <w:rPr>
          <w:i/>
          <w:lang w:val="es-419"/>
        </w:rPr>
        <w:t>Psidium</w:t>
      </w:r>
      <w:proofErr w:type="spellEnd"/>
      <w:r w:rsidRPr="00354EB1">
        <w:rPr>
          <w:i/>
          <w:lang w:val="es-419"/>
        </w:rPr>
        <w:t xml:space="preserve"> </w:t>
      </w:r>
      <w:proofErr w:type="spellStart"/>
      <w:r w:rsidRPr="00354EB1">
        <w:rPr>
          <w:i/>
          <w:lang w:val="es-419"/>
        </w:rPr>
        <w:t>gujava</w:t>
      </w:r>
      <w:proofErr w:type="spellEnd"/>
      <w:r w:rsidRPr="00354EB1">
        <w:rPr>
          <w:rFonts w:cs="Arial"/>
          <w:lang w:val="es-419"/>
        </w:rPr>
        <w:t>.</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rFonts w:cs="Arial"/>
          <w:u w:val="single"/>
          <w:lang w:val="es-419"/>
        </w:rPr>
        <w:t xml:space="preserve">2.3 </w:t>
      </w:r>
      <w:r w:rsidRPr="00354EB1">
        <w:rPr>
          <w:u w:val="single"/>
          <w:lang w:val="es-419"/>
        </w:rPr>
        <w:t>Memorando de entendimiento con otros países</w:t>
      </w:r>
      <w:r w:rsidRPr="00354EB1">
        <w:rPr>
          <w:rFonts w:cs="Arial"/>
          <w:u w:val="single"/>
          <w:lang w:val="es-419"/>
        </w:rPr>
        <w:t>:</w:t>
      </w:r>
      <w:r w:rsidRPr="00354EB1">
        <w:rPr>
          <w:rFonts w:cs="Arial"/>
          <w:lang w:val="es-419"/>
        </w:rPr>
        <w:t xml:space="preserve"> </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lang w:val="es-419"/>
        </w:rPr>
        <w:t>Véase el apartado 2.1; aparte de eso, no hay novedades reseñables</w:t>
      </w:r>
      <w:r w:rsidRPr="00354EB1">
        <w:rPr>
          <w:rFonts w:cs="Arial"/>
          <w:lang w:val="es-419"/>
        </w:rPr>
        <w:t>.</w:t>
      </w:r>
    </w:p>
    <w:p w:rsidR="008035EB" w:rsidRPr="00354EB1" w:rsidRDefault="008035EB" w:rsidP="008035EB">
      <w:pPr>
        <w:contextualSpacing/>
        <w:rPr>
          <w:rFonts w:cs="Arial"/>
          <w:u w:val="single"/>
          <w:lang w:val="es-419"/>
        </w:rPr>
      </w:pPr>
    </w:p>
    <w:p w:rsidR="008035EB" w:rsidRPr="00354EB1" w:rsidRDefault="008035EB" w:rsidP="008035EB">
      <w:pPr>
        <w:contextualSpacing/>
        <w:rPr>
          <w:rFonts w:cs="Arial"/>
          <w:u w:val="single"/>
          <w:lang w:val="es-419"/>
        </w:rPr>
      </w:pPr>
    </w:p>
    <w:p w:rsidR="008035EB" w:rsidRPr="00354EB1" w:rsidRDefault="008035EB" w:rsidP="008035EB">
      <w:pPr>
        <w:contextualSpacing/>
        <w:rPr>
          <w:rFonts w:cs="Arial"/>
          <w:lang w:val="es-419"/>
        </w:rPr>
      </w:pPr>
      <w:r w:rsidRPr="00354EB1">
        <w:rPr>
          <w:rFonts w:cs="Arial"/>
          <w:lang w:val="es-419"/>
        </w:rPr>
        <w:t>3)</w:t>
      </w:r>
      <w:r w:rsidRPr="00354EB1">
        <w:rPr>
          <w:rFonts w:cs="Arial"/>
          <w:lang w:val="es-419"/>
        </w:rPr>
        <w:tab/>
      </w:r>
      <w:r w:rsidRPr="00354EB1">
        <w:rPr>
          <w:u w:val="single"/>
          <w:lang w:val="es-419"/>
        </w:rPr>
        <w:t>Situación en el ámbito administrativo</w:t>
      </w:r>
    </w:p>
    <w:p w:rsidR="008035EB" w:rsidRPr="00354EB1" w:rsidRDefault="008035EB" w:rsidP="008035EB">
      <w:pPr>
        <w:autoSpaceDE w:val="0"/>
        <w:autoSpaceDN w:val="0"/>
        <w:adjustRightInd w:val="0"/>
        <w:contextualSpacing/>
        <w:rPr>
          <w:rFonts w:cs="Arial"/>
          <w:lang w:val="es-419"/>
        </w:rPr>
      </w:pPr>
    </w:p>
    <w:p w:rsidR="008035EB" w:rsidRPr="00354EB1" w:rsidRDefault="008035EB" w:rsidP="008035EB">
      <w:pPr>
        <w:autoSpaceDE w:val="0"/>
        <w:autoSpaceDN w:val="0"/>
        <w:adjustRightInd w:val="0"/>
        <w:contextualSpacing/>
        <w:rPr>
          <w:rFonts w:cs="Arial"/>
          <w:lang w:val="es-419"/>
        </w:rPr>
      </w:pPr>
      <w:r w:rsidRPr="00354EB1">
        <w:rPr>
          <w:lang w:val="es-419"/>
        </w:rPr>
        <w:t>No hay novedades reseñables</w:t>
      </w:r>
      <w:r w:rsidRPr="00354EB1">
        <w:rPr>
          <w:rFonts w:cs="Arial"/>
          <w:lang w:val="es-419"/>
        </w:rPr>
        <w:t>.</w:t>
      </w:r>
    </w:p>
    <w:p w:rsidR="008035EB" w:rsidRPr="00354EB1" w:rsidRDefault="008035EB" w:rsidP="008035EB">
      <w:pPr>
        <w:autoSpaceDE w:val="0"/>
        <w:autoSpaceDN w:val="0"/>
        <w:adjustRightInd w:val="0"/>
        <w:contextualSpacing/>
        <w:rPr>
          <w:rFonts w:cs="Arial"/>
          <w:lang w:val="es-419"/>
        </w:rPr>
      </w:pPr>
    </w:p>
    <w:p w:rsidR="008035EB" w:rsidRPr="00354EB1" w:rsidRDefault="008035EB" w:rsidP="008035EB">
      <w:pPr>
        <w:autoSpaceDE w:val="0"/>
        <w:autoSpaceDN w:val="0"/>
        <w:adjustRightInd w:val="0"/>
        <w:contextualSpacing/>
        <w:rPr>
          <w:rFonts w:cs="Arial"/>
          <w:lang w:val="es-419"/>
        </w:rPr>
      </w:pPr>
    </w:p>
    <w:p w:rsidR="008035EB" w:rsidRPr="00354EB1" w:rsidRDefault="008035EB" w:rsidP="008035EB">
      <w:pPr>
        <w:contextualSpacing/>
        <w:rPr>
          <w:rFonts w:cs="Arial"/>
          <w:lang w:val="es-419"/>
        </w:rPr>
      </w:pPr>
      <w:r w:rsidRPr="00354EB1">
        <w:rPr>
          <w:rFonts w:cs="Arial"/>
          <w:lang w:val="es-419"/>
        </w:rPr>
        <w:t>4)</w:t>
      </w:r>
      <w:r w:rsidRPr="00354EB1">
        <w:rPr>
          <w:rFonts w:cs="Arial"/>
          <w:lang w:val="es-419"/>
        </w:rPr>
        <w:tab/>
      </w:r>
      <w:r w:rsidRPr="00354EB1">
        <w:rPr>
          <w:u w:val="single"/>
          <w:lang w:val="es-419"/>
        </w:rPr>
        <w:t>Situación en el ámbito técnico</w:t>
      </w:r>
    </w:p>
    <w:p w:rsidR="008035EB" w:rsidRPr="00354EB1" w:rsidRDefault="008035EB" w:rsidP="008035EB">
      <w:pPr>
        <w:contextualSpacing/>
        <w:rPr>
          <w:rFonts w:cs="Arial"/>
          <w:lang w:val="es-419"/>
        </w:rPr>
      </w:pPr>
    </w:p>
    <w:p w:rsidR="008035EB" w:rsidRPr="00354EB1" w:rsidRDefault="008035EB" w:rsidP="008035EB">
      <w:pPr>
        <w:contextualSpacing/>
        <w:rPr>
          <w:rFonts w:cs="Arial"/>
          <w:u w:val="single"/>
          <w:lang w:val="es-419"/>
        </w:rPr>
      </w:pPr>
      <w:r w:rsidRPr="00354EB1">
        <w:rPr>
          <w:rFonts w:cs="Arial"/>
          <w:u w:val="single"/>
          <w:lang w:val="es-419"/>
        </w:rPr>
        <w:t xml:space="preserve">4.1 </w:t>
      </w:r>
      <w:r w:rsidRPr="00354EB1">
        <w:rPr>
          <w:u w:val="single"/>
          <w:lang w:val="es-419"/>
        </w:rPr>
        <w:t>Información sobre el funcionamiento de la protección de las obtenciones vegetales en la Unión Europea</w:t>
      </w:r>
      <w:r w:rsidRPr="00354EB1">
        <w:rPr>
          <w:rFonts w:cs="Arial"/>
          <w:u w:val="single"/>
          <w:lang w:val="es-419"/>
        </w:rPr>
        <w:t xml:space="preserve"> </w:t>
      </w:r>
    </w:p>
    <w:p w:rsidR="008035EB" w:rsidRPr="00354EB1" w:rsidRDefault="008035EB" w:rsidP="008035EB">
      <w:pPr>
        <w:contextualSpacing/>
        <w:rPr>
          <w:rFonts w:cs="Arial"/>
          <w:bCs/>
          <w:u w:val="single"/>
          <w:lang w:val="es-419"/>
        </w:rPr>
      </w:pPr>
    </w:p>
    <w:p w:rsidR="008035EB" w:rsidRPr="00354EB1" w:rsidRDefault="008035EB" w:rsidP="008035EB">
      <w:pPr>
        <w:contextualSpacing/>
        <w:rPr>
          <w:rFonts w:cs="Arial"/>
          <w:bCs/>
          <w:u w:val="single"/>
          <w:lang w:val="es-419"/>
        </w:rPr>
      </w:pPr>
      <w:r w:rsidRPr="00354EB1">
        <w:rPr>
          <w:rFonts w:cs="Arial"/>
          <w:bCs/>
          <w:u w:val="single"/>
          <w:lang w:val="es-419"/>
        </w:rPr>
        <w:t xml:space="preserve">a. </w:t>
      </w:r>
      <w:r w:rsidRPr="00354EB1">
        <w:rPr>
          <w:u w:val="single"/>
          <w:lang w:val="es-419"/>
        </w:rPr>
        <w:t>Relación con las oficinas de examen</w:t>
      </w:r>
    </w:p>
    <w:p w:rsidR="008035EB" w:rsidRPr="00354EB1" w:rsidRDefault="008035EB" w:rsidP="008035EB">
      <w:pPr>
        <w:rPr>
          <w:lang w:val="es-419"/>
        </w:rPr>
      </w:pPr>
    </w:p>
    <w:p w:rsidR="008035EB" w:rsidRPr="00354EB1" w:rsidRDefault="008035EB" w:rsidP="008035EB">
      <w:pPr>
        <w:rPr>
          <w:lang w:val="es-419"/>
        </w:rPr>
      </w:pPr>
      <w:r w:rsidRPr="00354EB1">
        <w:rPr>
          <w:lang w:val="es-419"/>
        </w:rPr>
        <w:t xml:space="preserve">En diciembre de 2020, la OCVV celebró su vigesimocuarta reunión anual con sus oficinas de examen, a la que también asistieron representantes de la Comisión Europea, la Oficina de la UPOV, la Oficina Europea de Patentes y las organizaciones de obtentores (CIOPORA, </w:t>
      </w:r>
      <w:proofErr w:type="spellStart"/>
      <w:r w:rsidRPr="00354EB1">
        <w:rPr>
          <w:lang w:val="es-419"/>
        </w:rPr>
        <w:t>Euroseed</w:t>
      </w:r>
      <w:proofErr w:type="spellEnd"/>
      <w:r w:rsidRPr="00354EB1">
        <w:rPr>
          <w:lang w:val="es-419"/>
        </w:rPr>
        <w:t xml:space="preserve">, </w:t>
      </w:r>
      <w:proofErr w:type="spellStart"/>
      <w:r w:rsidRPr="00354EB1">
        <w:rPr>
          <w:lang w:val="es-419"/>
        </w:rPr>
        <w:t>Plantum</w:t>
      </w:r>
      <w:proofErr w:type="spellEnd"/>
      <w:r w:rsidRPr="00354EB1">
        <w:rPr>
          <w:lang w:val="es-419"/>
        </w:rPr>
        <w:t xml:space="preserve"> y ECO-PB), así como representantes de Suiza y Noruega como autoridades en la materia ajenas a la Unión. Los principales temas tratados fueron los siguientes:</w:t>
      </w:r>
    </w:p>
    <w:p w:rsidR="008035EB" w:rsidRPr="00354EB1" w:rsidRDefault="008035EB" w:rsidP="008035EB">
      <w:pPr>
        <w:rPr>
          <w:lang w:val="es-419"/>
        </w:rPr>
      </w:pPr>
    </w:p>
    <w:p w:rsidR="008035EB" w:rsidRPr="00354EB1" w:rsidRDefault="008035EB" w:rsidP="008035EB">
      <w:pPr>
        <w:widowControl w:val="0"/>
        <w:numPr>
          <w:ilvl w:val="0"/>
          <w:numId w:val="19"/>
        </w:numPr>
        <w:shd w:val="clear" w:color="auto" w:fill="FFFFFF"/>
        <w:autoSpaceDE w:val="0"/>
        <w:autoSpaceDN w:val="0"/>
        <w:adjustRightInd w:val="0"/>
        <w:contextualSpacing/>
        <w:textAlignment w:val="center"/>
        <w:rPr>
          <w:rFonts w:cs="Arial"/>
          <w:color w:val="000000"/>
          <w:lang w:val="es-419"/>
        </w:rPr>
      </w:pPr>
      <w:r w:rsidRPr="00354EB1">
        <w:rPr>
          <w:rFonts w:cs="Arial"/>
          <w:color w:val="000000"/>
          <w:lang w:val="es-419"/>
        </w:rPr>
        <w:lastRenderedPageBreak/>
        <w:t>la utilización de protocolos nacionales para las solicitudes de protección comunitaria de obtenciones vegetales;</w:t>
      </w:r>
    </w:p>
    <w:p w:rsidR="008035EB" w:rsidRPr="00354EB1" w:rsidRDefault="008035EB" w:rsidP="008035EB">
      <w:pPr>
        <w:widowControl w:val="0"/>
        <w:numPr>
          <w:ilvl w:val="0"/>
          <w:numId w:val="19"/>
        </w:numPr>
        <w:shd w:val="clear" w:color="auto" w:fill="FFFFFF"/>
        <w:autoSpaceDE w:val="0"/>
        <w:autoSpaceDN w:val="0"/>
        <w:adjustRightInd w:val="0"/>
        <w:contextualSpacing/>
        <w:textAlignment w:val="center"/>
        <w:rPr>
          <w:rFonts w:cs="Arial"/>
          <w:color w:val="000000"/>
          <w:lang w:val="es-419"/>
        </w:rPr>
      </w:pPr>
      <w:r w:rsidRPr="00354EB1">
        <w:rPr>
          <w:rFonts w:cs="Arial"/>
          <w:color w:val="000000"/>
          <w:lang w:val="es-419"/>
        </w:rPr>
        <w:t>el calendario de adopción de los protocolos técnicos de la OCVV;</w:t>
      </w:r>
    </w:p>
    <w:p w:rsidR="008035EB" w:rsidRPr="00354EB1" w:rsidRDefault="008035EB" w:rsidP="008035EB">
      <w:pPr>
        <w:widowControl w:val="0"/>
        <w:numPr>
          <w:ilvl w:val="0"/>
          <w:numId w:val="19"/>
        </w:numPr>
        <w:shd w:val="clear" w:color="auto" w:fill="FFFFFF"/>
        <w:autoSpaceDE w:val="0"/>
        <w:autoSpaceDN w:val="0"/>
        <w:adjustRightInd w:val="0"/>
        <w:contextualSpacing/>
        <w:textAlignment w:val="center"/>
        <w:rPr>
          <w:rFonts w:cs="Arial"/>
          <w:color w:val="000000"/>
          <w:lang w:val="es-419"/>
        </w:rPr>
      </w:pPr>
      <w:r w:rsidRPr="00354EB1">
        <w:rPr>
          <w:rFonts w:cs="Arial"/>
          <w:lang w:val="es-419"/>
        </w:rPr>
        <w:t>las características observadas una sola vez en los exámenes plurianuales;</w:t>
      </w:r>
    </w:p>
    <w:p w:rsidR="008035EB" w:rsidRPr="00354EB1" w:rsidRDefault="008035EB" w:rsidP="008035EB">
      <w:pPr>
        <w:keepNext/>
        <w:widowControl w:val="0"/>
        <w:numPr>
          <w:ilvl w:val="0"/>
          <w:numId w:val="19"/>
        </w:numPr>
        <w:shd w:val="clear" w:color="auto" w:fill="FFFFFF"/>
        <w:autoSpaceDE w:val="0"/>
        <w:autoSpaceDN w:val="0"/>
        <w:adjustRightInd w:val="0"/>
        <w:contextualSpacing/>
        <w:textAlignment w:val="center"/>
        <w:rPr>
          <w:rFonts w:cs="Arial"/>
          <w:color w:val="000000"/>
          <w:lang w:val="es-419"/>
        </w:rPr>
      </w:pPr>
      <w:r w:rsidRPr="00354EB1">
        <w:rPr>
          <w:rFonts w:cs="Arial"/>
          <w:lang w:val="es-419"/>
        </w:rPr>
        <w:t>la asunción de los informes de los procedimientos nacionales de examen DHE;</w:t>
      </w:r>
    </w:p>
    <w:p w:rsidR="008035EB" w:rsidRPr="00354EB1" w:rsidRDefault="008035EB" w:rsidP="008035EB">
      <w:pPr>
        <w:widowControl w:val="0"/>
        <w:numPr>
          <w:ilvl w:val="0"/>
          <w:numId w:val="19"/>
        </w:numPr>
        <w:shd w:val="clear" w:color="auto" w:fill="FFFFFF"/>
        <w:autoSpaceDE w:val="0"/>
        <w:autoSpaceDN w:val="0"/>
        <w:adjustRightInd w:val="0"/>
        <w:contextualSpacing/>
        <w:textAlignment w:val="center"/>
        <w:rPr>
          <w:rFonts w:cs="Arial"/>
          <w:color w:val="000000"/>
          <w:lang w:val="es-419"/>
        </w:rPr>
      </w:pPr>
      <w:r w:rsidRPr="00354EB1">
        <w:rPr>
          <w:rFonts w:cs="Arial"/>
          <w:lang w:val="es-419"/>
        </w:rPr>
        <w:t>la elaboración de orientaciones para los contratos entre las oficinas de examen y los organismos técnicamente cualificados.</w:t>
      </w:r>
    </w:p>
    <w:p w:rsidR="008035EB" w:rsidRPr="00354EB1" w:rsidRDefault="008035EB" w:rsidP="008035EB">
      <w:pPr>
        <w:shd w:val="clear" w:color="auto" w:fill="FFFFFF"/>
        <w:tabs>
          <w:tab w:val="left" w:pos="567"/>
          <w:tab w:val="left" w:pos="9072"/>
          <w:tab w:val="left" w:pos="9214"/>
        </w:tabs>
        <w:contextualSpacing/>
        <w:rPr>
          <w:rFonts w:cs="Arial"/>
          <w:lang w:val="es-419"/>
        </w:rPr>
      </w:pPr>
    </w:p>
    <w:p w:rsidR="008035EB" w:rsidRPr="00354EB1" w:rsidRDefault="008035EB" w:rsidP="008035EB">
      <w:pPr>
        <w:shd w:val="clear" w:color="auto" w:fill="FFFFFF"/>
        <w:tabs>
          <w:tab w:val="left" w:pos="567"/>
          <w:tab w:val="left" w:pos="9072"/>
          <w:tab w:val="left" w:pos="9214"/>
        </w:tabs>
        <w:contextualSpacing/>
        <w:rPr>
          <w:rFonts w:cs="Arial"/>
          <w:lang w:val="es-419"/>
        </w:rPr>
      </w:pPr>
      <w:r w:rsidRPr="00354EB1">
        <w:rPr>
          <w:rFonts w:cs="Arial"/>
          <w:lang w:val="es-419"/>
        </w:rPr>
        <w:t>Además, se informó a los participantes de la situación de los proyectos de I+D, los proyectos informáticos y el cálculo de los costos por parte de las oficinas de examen.</w:t>
      </w:r>
    </w:p>
    <w:p w:rsidR="008035EB" w:rsidRPr="00354EB1" w:rsidRDefault="008035EB" w:rsidP="008035EB">
      <w:pPr>
        <w:contextualSpacing/>
        <w:rPr>
          <w:rFonts w:cs="Arial"/>
          <w:u w:val="single"/>
          <w:lang w:val="es-419"/>
        </w:rPr>
      </w:pPr>
    </w:p>
    <w:p w:rsidR="008035EB" w:rsidRPr="00354EB1" w:rsidRDefault="008035EB" w:rsidP="008035EB">
      <w:pPr>
        <w:contextualSpacing/>
        <w:rPr>
          <w:rFonts w:cs="Arial"/>
          <w:u w:val="single"/>
          <w:lang w:val="es-419"/>
        </w:rPr>
      </w:pPr>
      <w:r w:rsidRPr="00354EB1">
        <w:rPr>
          <w:rFonts w:cs="Arial"/>
          <w:u w:val="single"/>
          <w:lang w:val="es-419"/>
        </w:rPr>
        <w:t xml:space="preserve">b. </w:t>
      </w:r>
      <w:r w:rsidRPr="00354EB1">
        <w:rPr>
          <w:u w:val="single"/>
          <w:lang w:val="es-419"/>
        </w:rPr>
        <w:t>Preparación de los protocolos de la OCVV</w:t>
      </w:r>
      <w:r w:rsidRPr="00354EB1">
        <w:rPr>
          <w:rFonts w:cs="Arial"/>
          <w:u w:val="single"/>
          <w:lang w:val="es-419"/>
        </w:rPr>
        <w:t xml:space="preserve"> </w:t>
      </w:r>
    </w:p>
    <w:p w:rsidR="008035EB" w:rsidRPr="00354EB1" w:rsidRDefault="008035EB" w:rsidP="008035EB">
      <w:pPr>
        <w:ind w:right="43"/>
        <w:contextualSpacing/>
        <w:rPr>
          <w:rFonts w:cs="Arial"/>
          <w:lang w:val="es-419"/>
        </w:rPr>
      </w:pPr>
    </w:p>
    <w:p w:rsidR="008035EB" w:rsidRPr="00354EB1" w:rsidRDefault="008035EB" w:rsidP="008035EB">
      <w:pPr>
        <w:ind w:right="43"/>
        <w:contextualSpacing/>
        <w:rPr>
          <w:rFonts w:cs="Arial"/>
          <w:lang w:val="es-419"/>
        </w:rPr>
      </w:pPr>
      <w:r w:rsidRPr="00354EB1">
        <w:rPr>
          <w:lang w:val="es-419"/>
        </w:rPr>
        <w:t>En 2020, se invitó a los expertos de las oficinas de examen de los Estados miembros de la Unión Europea a participar en la elaboración o la revisión de los protocolos técnicos para el examen DHE que posteriormente el Consejo de Administración ha aprobado o se prevé que apruebe en 2021. Se celebraron reuniones de expertos para examinar los protocolos técnicos correspondientes a</w:t>
      </w:r>
      <w:r w:rsidRPr="00354EB1">
        <w:rPr>
          <w:rFonts w:cs="Arial"/>
          <w:lang w:val="es-419"/>
        </w:rPr>
        <w:t>:</w:t>
      </w:r>
    </w:p>
    <w:p w:rsidR="008035EB" w:rsidRPr="00354EB1" w:rsidRDefault="008035EB" w:rsidP="008035EB">
      <w:pPr>
        <w:ind w:right="43"/>
        <w:contextualSpacing/>
        <w:rPr>
          <w:rFonts w:cs="Arial"/>
          <w:lang w:val="es-419"/>
        </w:rPr>
      </w:pPr>
    </w:p>
    <w:p w:rsidR="008035EB" w:rsidRPr="00354EB1" w:rsidRDefault="008035EB" w:rsidP="008035EB">
      <w:pPr>
        <w:numPr>
          <w:ilvl w:val="0"/>
          <w:numId w:val="20"/>
        </w:numPr>
        <w:ind w:right="43"/>
        <w:contextualSpacing/>
        <w:rPr>
          <w:rFonts w:cs="Arial"/>
          <w:lang w:val="es-419"/>
        </w:rPr>
      </w:pPr>
      <w:r w:rsidRPr="00354EB1">
        <w:rPr>
          <w:lang w:val="es-419"/>
        </w:rPr>
        <w:t>Especies agrícolas</w:t>
      </w:r>
      <w:r w:rsidRPr="00354EB1">
        <w:rPr>
          <w:rFonts w:cs="Arial"/>
          <w:lang w:val="es-419"/>
        </w:rPr>
        <w:t xml:space="preserve">: </w:t>
      </w:r>
      <w:proofErr w:type="spellStart"/>
      <w:r w:rsidRPr="00354EB1">
        <w:rPr>
          <w:rFonts w:cs="Arial"/>
          <w:color w:val="000000"/>
          <w:lang w:val="es-419"/>
        </w:rPr>
        <w:t>dactilo</w:t>
      </w:r>
      <w:proofErr w:type="spellEnd"/>
      <w:r w:rsidRPr="00354EB1">
        <w:rPr>
          <w:rFonts w:cs="Arial"/>
          <w:color w:val="000000"/>
          <w:lang w:val="es-419"/>
        </w:rPr>
        <w:t xml:space="preserve">, algodón y </w:t>
      </w:r>
      <w:proofErr w:type="spellStart"/>
      <w:r w:rsidRPr="00354EB1">
        <w:rPr>
          <w:rFonts w:cs="Arial"/>
          <w:color w:val="000000"/>
          <w:lang w:val="es-419"/>
        </w:rPr>
        <w:t>quinoa</w:t>
      </w:r>
      <w:proofErr w:type="spellEnd"/>
      <w:r w:rsidRPr="00354EB1">
        <w:rPr>
          <w:rFonts w:cs="Arial"/>
          <w:color w:val="000000"/>
          <w:lang w:val="es-419"/>
        </w:rPr>
        <w:t>.</w:t>
      </w:r>
    </w:p>
    <w:p w:rsidR="008035EB" w:rsidRPr="00354EB1" w:rsidRDefault="008035EB" w:rsidP="008035EB">
      <w:pPr>
        <w:numPr>
          <w:ilvl w:val="0"/>
          <w:numId w:val="20"/>
        </w:numPr>
        <w:ind w:right="4"/>
        <w:contextualSpacing/>
        <w:rPr>
          <w:rFonts w:cs="Arial"/>
          <w:lang w:val="es-419"/>
        </w:rPr>
      </w:pPr>
      <w:r w:rsidRPr="00354EB1">
        <w:rPr>
          <w:lang w:val="es-419"/>
        </w:rPr>
        <w:t>Especies hortícolas</w:t>
      </w:r>
      <w:r w:rsidRPr="00354EB1">
        <w:rPr>
          <w:rFonts w:cs="Arial"/>
          <w:lang w:val="es-419"/>
        </w:rPr>
        <w:t xml:space="preserve">: </w:t>
      </w:r>
      <w:r w:rsidRPr="00354EB1">
        <w:rPr>
          <w:rFonts w:cs="Arial"/>
          <w:color w:val="000000"/>
          <w:lang w:val="es-419"/>
        </w:rPr>
        <w:t xml:space="preserve">hinojo, remolacha de hoja, melón, sandía, tomate, </w:t>
      </w:r>
      <w:proofErr w:type="spellStart"/>
      <w:r w:rsidRPr="00354EB1">
        <w:rPr>
          <w:rFonts w:cs="Arial"/>
          <w:color w:val="000000"/>
          <w:lang w:val="es-419"/>
        </w:rPr>
        <w:t>portainjertos</w:t>
      </w:r>
      <w:proofErr w:type="spellEnd"/>
      <w:r w:rsidRPr="00354EB1">
        <w:rPr>
          <w:rFonts w:cs="Arial"/>
          <w:color w:val="000000"/>
          <w:lang w:val="es-419"/>
        </w:rPr>
        <w:t xml:space="preserve"> de tomate, col, achicoria de hoja y lechuga</w:t>
      </w:r>
      <w:r w:rsidRPr="00354EB1">
        <w:rPr>
          <w:rFonts w:cs="Arial"/>
          <w:lang w:val="es-419"/>
        </w:rPr>
        <w:t>.</w:t>
      </w:r>
    </w:p>
    <w:p w:rsidR="008035EB" w:rsidRPr="00354EB1" w:rsidRDefault="008035EB" w:rsidP="008035EB">
      <w:pPr>
        <w:numPr>
          <w:ilvl w:val="0"/>
          <w:numId w:val="20"/>
        </w:numPr>
        <w:ind w:right="4"/>
        <w:contextualSpacing/>
        <w:rPr>
          <w:rFonts w:cs="Arial"/>
          <w:u w:val="single"/>
          <w:lang w:val="es-419"/>
        </w:rPr>
      </w:pPr>
      <w:r w:rsidRPr="00354EB1">
        <w:rPr>
          <w:lang w:val="es-419"/>
        </w:rPr>
        <w:t>Especies ornamentales</w:t>
      </w:r>
      <w:r w:rsidRPr="00354EB1">
        <w:rPr>
          <w:rFonts w:cs="Arial"/>
          <w:lang w:val="es-419"/>
        </w:rPr>
        <w:t xml:space="preserve">: </w:t>
      </w:r>
      <w:bookmarkStart w:id="0" w:name="_Toc25329854"/>
      <w:r w:rsidRPr="00354EB1">
        <w:rPr>
          <w:rFonts w:cs="Arial"/>
          <w:i/>
          <w:color w:val="000000"/>
          <w:lang w:val="es-419"/>
        </w:rPr>
        <w:t>Alstroemeria</w:t>
      </w:r>
      <w:r w:rsidRPr="00354EB1">
        <w:rPr>
          <w:rFonts w:cs="Arial"/>
          <w:color w:val="000000"/>
          <w:lang w:val="es-419"/>
        </w:rPr>
        <w:t xml:space="preserve"> L., </w:t>
      </w:r>
      <w:proofErr w:type="spellStart"/>
      <w:r w:rsidRPr="00354EB1">
        <w:rPr>
          <w:rFonts w:cs="Arial"/>
          <w:i/>
          <w:color w:val="000000"/>
          <w:lang w:val="es-419"/>
        </w:rPr>
        <w:t>Phalaenpsis</w:t>
      </w:r>
      <w:proofErr w:type="spellEnd"/>
      <w:r w:rsidRPr="00354EB1">
        <w:rPr>
          <w:rFonts w:cs="Arial"/>
          <w:color w:val="000000"/>
          <w:lang w:val="es-419"/>
        </w:rPr>
        <w:t xml:space="preserve"> </w:t>
      </w:r>
      <w:proofErr w:type="spellStart"/>
      <w:r w:rsidRPr="00354EB1">
        <w:rPr>
          <w:rFonts w:cs="Arial"/>
          <w:color w:val="000000"/>
          <w:lang w:val="es-419"/>
        </w:rPr>
        <w:t>Blume</w:t>
      </w:r>
      <w:proofErr w:type="spellEnd"/>
      <w:r w:rsidRPr="00354EB1">
        <w:rPr>
          <w:rFonts w:cs="Arial"/>
          <w:color w:val="000000"/>
          <w:lang w:val="es-419"/>
        </w:rPr>
        <w:t xml:space="preserve"> y </w:t>
      </w:r>
      <w:proofErr w:type="spellStart"/>
      <w:r w:rsidRPr="00354EB1">
        <w:rPr>
          <w:rFonts w:cs="Arial"/>
          <w:bCs/>
          <w:i/>
          <w:lang w:val="es-419"/>
        </w:rPr>
        <w:t>Anigozanthos</w:t>
      </w:r>
      <w:proofErr w:type="spellEnd"/>
      <w:r w:rsidRPr="00354EB1">
        <w:rPr>
          <w:rFonts w:cs="Arial"/>
          <w:bCs/>
          <w:lang w:val="es-419"/>
        </w:rPr>
        <w:t xml:space="preserve"> </w:t>
      </w:r>
      <w:proofErr w:type="spellStart"/>
      <w:r w:rsidRPr="00354EB1">
        <w:rPr>
          <w:rFonts w:cs="Arial"/>
          <w:bCs/>
          <w:lang w:val="es-419"/>
        </w:rPr>
        <w:t>Labill</w:t>
      </w:r>
      <w:proofErr w:type="spellEnd"/>
      <w:r w:rsidRPr="00354EB1">
        <w:rPr>
          <w:rFonts w:cs="Arial"/>
          <w:bCs/>
          <w:lang w:val="es-419"/>
        </w:rPr>
        <w:t xml:space="preserve">. y </w:t>
      </w:r>
      <w:proofErr w:type="spellStart"/>
      <w:r w:rsidRPr="00354EB1">
        <w:rPr>
          <w:rFonts w:cs="Arial"/>
          <w:bCs/>
          <w:i/>
          <w:lang w:val="es-419"/>
        </w:rPr>
        <w:t>Macropidia</w:t>
      </w:r>
      <w:proofErr w:type="spellEnd"/>
      <w:r w:rsidRPr="00354EB1">
        <w:rPr>
          <w:rFonts w:cs="Arial"/>
          <w:bCs/>
          <w:i/>
          <w:lang w:val="es-419"/>
        </w:rPr>
        <w:t xml:space="preserve"> fuliginosa</w:t>
      </w:r>
      <w:r w:rsidRPr="00354EB1">
        <w:rPr>
          <w:rFonts w:cs="Arial"/>
          <w:bCs/>
          <w:lang w:val="es-419"/>
        </w:rPr>
        <w:t xml:space="preserve"> (Hook.) </w:t>
      </w:r>
      <w:proofErr w:type="spellStart"/>
      <w:r w:rsidRPr="00354EB1">
        <w:rPr>
          <w:rFonts w:cs="Arial"/>
          <w:bCs/>
          <w:lang w:val="es-419"/>
        </w:rPr>
        <w:t>Druce</w:t>
      </w:r>
      <w:bookmarkEnd w:id="0"/>
      <w:proofErr w:type="spellEnd"/>
      <w:r w:rsidRPr="00354EB1">
        <w:rPr>
          <w:rFonts w:cs="Arial"/>
          <w:bCs/>
          <w:lang w:val="es-419"/>
        </w:rPr>
        <w:t>.</w:t>
      </w:r>
    </w:p>
    <w:p w:rsidR="008035EB" w:rsidRPr="00354EB1" w:rsidRDefault="008035EB" w:rsidP="008035EB">
      <w:pPr>
        <w:numPr>
          <w:ilvl w:val="0"/>
          <w:numId w:val="20"/>
        </w:numPr>
        <w:contextualSpacing/>
        <w:rPr>
          <w:rFonts w:cs="Arial"/>
          <w:lang w:val="es-419"/>
        </w:rPr>
      </w:pPr>
      <w:r w:rsidRPr="00354EB1">
        <w:rPr>
          <w:lang w:val="es-419"/>
        </w:rPr>
        <w:t>Especies frutales</w:t>
      </w:r>
      <w:r w:rsidRPr="00354EB1">
        <w:rPr>
          <w:rFonts w:cs="Arial"/>
          <w:lang w:val="es-419"/>
        </w:rPr>
        <w:t xml:space="preserve">: </w:t>
      </w:r>
      <w:r w:rsidRPr="00354EB1">
        <w:rPr>
          <w:rFonts w:cs="Arial"/>
          <w:color w:val="000000"/>
          <w:lang w:val="es-419"/>
        </w:rPr>
        <w:t>arándano, nogal y kiwi</w:t>
      </w:r>
      <w:r w:rsidRPr="00354EB1">
        <w:rPr>
          <w:rFonts w:cs="Arial"/>
          <w:lang w:val="es-419"/>
        </w:rPr>
        <w:t>.</w:t>
      </w:r>
    </w:p>
    <w:p w:rsidR="008035EB" w:rsidRPr="00354EB1" w:rsidRDefault="008035EB" w:rsidP="008035EB">
      <w:pPr>
        <w:contextualSpacing/>
        <w:rPr>
          <w:rFonts w:cs="Arial"/>
          <w:u w:val="single"/>
          <w:lang w:val="es-419"/>
        </w:rPr>
      </w:pPr>
    </w:p>
    <w:p w:rsidR="008035EB" w:rsidRPr="00354EB1" w:rsidRDefault="008035EB" w:rsidP="008035EB">
      <w:pPr>
        <w:contextualSpacing/>
        <w:rPr>
          <w:rFonts w:cs="Arial"/>
          <w:u w:val="single"/>
          <w:lang w:val="es-419"/>
        </w:rPr>
      </w:pPr>
      <w:r w:rsidRPr="00354EB1">
        <w:rPr>
          <w:rFonts w:cs="Arial"/>
          <w:u w:val="single"/>
          <w:lang w:val="es-419"/>
        </w:rPr>
        <w:t xml:space="preserve">c. </w:t>
      </w:r>
      <w:r w:rsidRPr="00354EB1">
        <w:rPr>
          <w:u w:val="single"/>
          <w:lang w:val="es-419"/>
        </w:rPr>
        <w:t xml:space="preserve">Novedades relativas a la base de datos </w:t>
      </w:r>
      <w:proofErr w:type="spellStart"/>
      <w:r w:rsidRPr="00354EB1">
        <w:rPr>
          <w:u w:val="single"/>
          <w:lang w:val="es-419"/>
        </w:rPr>
        <w:t>Variety</w:t>
      </w:r>
      <w:proofErr w:type="spellEnd"/>
      <w:r w:rsidRPr="00354EB1">
        <w:rPr>
          <w:u w:val="single"/>
          <w:lang w:val="es-419"/>
        </w:rPr>
        <w:t xml:space="preserve"> </w:t>
      </w:r>
      <w:proofErr w:type="spellStart"/>
      <w:r w:rsidRPr="00354EB1">
        <w:rPr>
          <w:u w:val="single"/>
          <w:lang w:val="es-419"/>
        </w:rPr>
        <w:t>Finder</w:t>
      </w:r>
      <w:proofErr w:type="spellEnd"/>
      <w:r w:rsidRPr="00354EB1">
        <w:rPr>
          <w:u w:val="single"/>
          <w:lang w:val="es-419"/>
        </w:rPr>
        <w:t xml:space="preserve"> de la OCVV</w:t>
      </w:r>
      <w:r w:rsidRPr="00354EB1">
        <w:rPr>
          <w:rFonts w:cs="Arial"/>
          <w:u w:val="single"/>
          <w:lang w:val="es-419"/>
        </w:rPr>
        <w:t xml:space="preserve"> </w:t>
      </w:r>
    </w:p>
    <w:p w:rsidR="008035EB" w:rsidRPr="00354EB1" w:rsidRDefault="008035EB" w:rsidP="008035EB">
      <w:pPr>
        <w:widowControl w:val="0"/>
        <w:autoSpaceDE w:val="0"/>
        <w:autoSpaceDN w:val="0"/>
        <w:adjustRightInd w:val="0"/>
        <w:contextualSpacing/>
        <w:textAlignment w:val="center"/>
        <w:rPr>
          <w:rFonts w:cs="Arial"/>
          <w:lang w:val="es-419"/>
        </w:rPr>
      </w:pPr>
    </w:p>
    <w:p w:rsidR="008035EB" w:rsidRPr="00354EB1" w:rsidRDefault="008035EB" w:rsidP="008035EB">
      <w:pPr>
        <w:widowControl w:val="0"/>
        <w:autoSpaceDE w:val="0"/>
        <w:autoSpaceDN w:val="0"/>
        <w:adjustRightInd w:val="0"/>
        <w:contextualSpacing/>
        <w:textAlignment w:val="center"/>
        <w:rPr>
          <w:rFonts w:cs="Arial"/>
          <w:lang w:val="es-419" w:eastAsia="zh-CN"/>
        </w:rPr>
      </w:pPr>
      <w:r w:rsidRPr="00354EB1">
        <w:rPr>
          <w:lang w:val="es-419"/>
        </w:rPr>
        <w:t xml:space="preserve">La base de datos en Internet </w:t>
      </w:r>
      <w:proofErr w:type="spellStart"/>
      <w:r w:rsidRPr="00354EB1">
        <w:rPr>
          <w:lang w:val="es-419"/>
        </w:rPr>
        <w:t>Variety</w:t>
      </w:r>
      <w:proofErr w:type="spellEnd"/>
      <w:r w:rsidRPr="00354EB1">
        <w:rPr>
          <w:lang w:val="es-419"/>
        </w:rPr>
        <w:t xml:space="preserve"> </w:t>
      </w:r>
      <w:proofErr w:type="spellStart"/>
      <w:r w:rsidRPr="00354EB1">
        <w:rPr>
          <w:lang w:val="es-419"/>
        </w:rPr>
        <w:t>Finder</w:t>
      </w:r>
      <w:proofErr w:type="spellEnd"/>
      <w:r w:rsidRPr="00354EB1">
        <w:rPr>
          <w:lang w:val="es-419"/>
        </w:rPr>
        <w:t xml:space="preserve"> de la OCVV, mantenida y desarrollada por esta Oficina desde 2005, contiene información sobre los registros de más de 70 países y cuenta con una herramienta de búsqueda general. También incluye un instrumento de búsqueda de similitud para comprobar la admisibilidad de las denominaciones. La norma general es actualizar la base de datos en cuanto se publican oficialmente los datos. Se ha firmado un memorando de entendimiento con la UPOV para compartir las tareas de recopilación de datos de los Estados miembros de la Unión Europea y de terceros países y garantizar un intercambio periódico de datos.</w:t>
      </w:r>
    </w:p>
    <w:p w:rsidR="008035EB" w:rsidRPr="00354EB1" w:rsidRDefault="008035EB" w:rsidP="008035EB">
      <w:pPr>
        <w:widowControl w:val="0"/>
        <w:autoSpaceDE w:val="0"/>
        <w:autoSpaceDN w:val="0"/>
        <w:adjustRightInd w:val="0"/>
        <w:contextualSpacing/>
        <w:textAlignment w:val="center"/>
        <w:rPr>
          <w:rFonts w:cs="Arial"/>
          <w:color w:val="000000"/>
          <w:lang w:val="es-419"/>
        </w:rPr>
      </w:pPr>
    </w:p>
    <w:p w:rsidR="008035EB" w:rsidRPr="00354EB1" w:rsidRDefault="008035EB" w:rsidP="008035EB">
      <w:pPr>
        <w:widowControl w:val="0"/>
        <w:autoSpaceDE w:val="0"/>
        <w:autoSpaceDN w:val="0"/>
        <w:adjustRightInd w:val="0"/>
        <w:contextualSpacing/>
        <w:textAlignment w:val="center"/>
        <w:rPr>
          <w:rFonts w:cs="Arial"/>
          <w:lang w:val="es-419"/>
        </w:rPr>
      </w:pPr>
      <w:r w:rsidRPr="00354EB1">
        <w:rPr>
          <w:lang w:val="es-419"/>
        </w:rPr>
        <w:t xml:space="preserve">En total, </w:t>
      </w:r>
      <w:proofErr w:type="spellStart"/>
      <w:r w:rsidRPr="00354EB1">
        <w:rPr>
          <w:lang w:val="es-419"/>
        </w:rPr>
        <w:t>Variety</w:t>
      </w:r>
      <w:proofErr w:type="spellEnd"/>
      <w:r w:rsidRPr="00354EB1">
        <w:rPr>
          <w:lang w:val="es-419"/>
        </w:rPr>
        <w:t xml:space="preserve"> </w:t>
      </w:r>
      <w:proofErr w:type="spellStart"/>
      <w:r w:rsidRPr="00354EB1">
        <w:rPr>
          <w:lang w:val="es-419"/>
        </w:rPr>
        <w:t>Finder</w:t>
      </w:r>
      <w:proofErr w:type="spellEnd"/>
      <w:r w:rsidRPr="00354EB1">
        <w:rPr>
          <w:lang w:val="es-419"/>
        </w:rPr>
        <w:t xml:space="preserve"> contiene más de un millón de inscripciones de los miembros de la Unión Europea y de la UPOV. El uso de </w:t>
      </w:r>
      <w:proofErr w:type="spellStart"/>
      <w:r w:rsidRPr="00354EB1">
        <w:rPr>
          <w:lang w:val="es-419"/>
        </w:rPr>
        <w:t>Variety</w:t>
      </w:r>
      <w:proofErr w:type="spellEnd"/>
      <w:r w:rsidRPr="00354EB1">
        <w:rPr>
          <w:lang w:val="es-419"/>
        </w:rPr>
        <w:t xml:space="preserve"> </w:t>
      </w:r>
      <w:proofErr w:type="spellStart"/>
      <w:r w:rsidRPr="00354EB1">
        <w:rPr>
          <w:lang w:val="es-419"/>
        </w:rPr>
        <w:t>Finder</w:t>
      </w:r>
      <w:proofErr w:type="spellEnd"/>
      <w:r w:rsidRPr="00354EB1">
        <w:rPr>
          <w:lang w:val="es-419"/>
        </w:rPr>
        <w:t xml:space="preserve"> ha aumentado sin cesar en los últimos años. Los clientes de la OCVV constituyen el mayor grupo de usuarios y las comprobaciones de similitud que ejecutan representan más del 50% del total. Cada año se ejecutan aproximadamente 80.000 comprobaciones de similitud de denominaciones.</w:t>
      </w:r>
    </w:p>
    <w:p w:rsidR="008035EB" w:rsidRPr="00354EB1" w:rsidRDefault="008035EB" w:rsidP="008035EB">
      <w:pPr>
        <w:widowControl w:val="0"/>
        <w:autoSpaceDE w:val="0"/>
        <w:autoSpaceDN w:val="0"/>
        <w:adjustRightInd w:val="0"/>
        <w:contextualSpacing/>
        <w:textAlignment w:val="center"/>
        <w:rPr>
          <w:rFonts w:cs="Arial"/>
          <w:lang w:val="es-419"/>
        </w:rPr>
      </w:pPr>
    </w:p>
    <w:p w:rsidR="008035EB" w:rsidRPr="00354EB1" w:rsidRDefault="008035EB" w:rsidP="008035EB">
      <w:pPr>
        <w:widowControl w:val="0"/>
        <w:autoSpaceDE w:val="0"/>
        <w:autoSpaceDN w:val="0"/>
        <w:adjustRightInd w:val="0"/>
        <w:contextualSpacing/>
        <w:textAlignment w:val="center"/>
        <w:rPr>
          <w:rFonts w:cs="Arial"/>
          <w:lang w:val="es-419"/>
        </w:rPr>
      </w:pPr>
      <w:r w:rsidRPr="00354EB1">
        <w:rPr>
          <w:lang w:val="es-419"/>
        </w:rPr>
        <w:t>En el gráfico siguiente se ofrece un panorama del contenido de la base de datos, con el número total de inscripciones por cada tipo de registro</w:t>
      </w:r>
      <w:r w:rsidRPr="00354EB1">
        <w:rPr>
          <w:rFonts w:cs="Arial"/>
          <w:lang w:val="es-419"/>
        </w:rPr>
        <w:t>.</w:t>
      </w:r>
    </w:p>
    <w:p w:rsidR="008035EB" w:rsidRPr="00354EB1" w:rsidRDefault="008035EB" w:rsidP="008035EB">
      <w:pPr>
        <w:widowControl w:val="0"/>
        <w:autoSpaceDE w:val="0"/>
        <w:autoSpaceDN w:val="0"/>
        <w:adjustRightInd w:val="0"/>
        <w:contextualSpacing/>
        <w:textAlignment w:val="center"/>
        <w:rPr>
          <w:rFonts w:cs="Arial"/>
          <w:lang w:val="es-419"/>
        </w:rPr>
      </w:pPr>
    </w:p>
    <w:p w:rsidR="008035EB" w:rsidRPr="00354EB1" w:rsidRDefault="008035EB" w:rsidP="006E402E">
      <w:pPr>
        <w:widowControl w:val="0"/>
        <w:autoSpaceDE w:val="0"/>
        <w:autoSpaceDN w:val="0"/>
        <w:adjustRightInd w:val="0"/>
        <w:contextualSpacing/>
        <w:jc w:val="center"/>
        <w:textAlignment w:val="center"/>
        <w:rPr>
          <w:rFonts w:cs="Arial"/>
          <w:lang w:val="es-419"/>
        </w:rPr>
      </w:pPr>
      <w:r w:rsidRPr="00354EB1">
        <w:rPr>
          <w:rFonts w:cs="Arial"/>
          <w:noProof/>
        </w:rPr>
        <w:drawing>
          <wp:inline distT="0" distB="0" distL="0" distR="0" wp14:anchorId="270256E5" wp14:editId="1FCC5D88">
            <wp:extent cx="5149475" cy="297047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2">
                      <a:extLst>
                        <a:ext uri="{28A0092B-C50C-407E-A947-70E740481C1C}">
                          <a14:useLocalDpi xmlns:a14="http://schemas.microsoft.com/office/drawing/2010/main" val="0"/>
                        </a:ext>
                      </a:extLst>
                    </a:blip>
                    <a:srcRect l="1993" t="2879" r="978" b="2730"/>
                    <a:stretch/>
                  </pic:blipFill>
                  <pic:spPr bwMode="auto">
                    <a:xfrm>
                      <a:off x="0" y="0"/>
                      <a:ext cx="5179274" cy="2987667"/>
                    </a:xfrm>
                    <a:prstGeom prst="rect">
                      <a:avLst/>
                    </a:prstGeom>
                    <a:noFill/>
                    <a:ln>
                      <a:noFill/>
                    </a:ln>
                    <a:extLst>
                      <a:ext uri="{53640926-AAD7-44D8-BBD7-CCE9431645EC}">
                        <a14:shadowObscured xmlns:a14="http://schemas.microsoft.com/office/drawing/2010/main"/>
                      </a:ext>
                    </a:extLst>
                  </pic:spPr>
                </pic:pic>
              </a:graphicData>
            </a:graphic>
          </wp:inline>
        </w:drawing>
      </w:r>
    </w:p>
    <w:p w:rsidR="008035EB" w:rsidRPr="00354EB1" w:rsidRDefault="008035EB" w:rsidP="006E402E">
      <w:pPr>
        <w:keepNext/>
        <w:tabs>
          <w:tab w:val="left" w:pos="142"/>
        </w:tabs>
        <w:autoSpaceDE w:val="0"/>
        <w:autoSpaceDN w:val="0"/>
        <w:adjustRightInd w:val="0"/>
        <w:contextualSpacing/>
        <w:rPr>
          <w:rFonts w:cs="Arial"/>
          <w:u w:val="single"/>
          <w:lang w:val="es-419"/>
        </w:rPr>
      </w:pPr>
      <w:r w:rsidRPr="00354EB1">
        <w:rPr>
          <w:rFonts w:cs="Arial"/>
          <w:u w:val="single"/>
          <w:lang w:val="es-419"/>
        </w:rPr>
        <w:lastRenderedPageBreak/>
        <w:t xml:space="preserve">d. </w:t>
      </w:r>
      <w:r w:rsidRPr="00354EB1">
        <w:rPr>
          <w:u w:val="single"/>
          <w:lang w:val="es-419"/>
        </w:rPr>
        <w:t>Cooperación en la comprobación de denominaciones con los Estados miembros de la Unión Europea</w:t>
      </w:r>
      <w:r w:rsidRPr="00354EB1">
        <w:rPr>
          <w:rFonts w:cs="Arial"/>
          <w:u w:val="single"/>
          <w:lang w:val="es-419"/>
        </w:rPr>
        <w:t xml:space="preserve"> </w:t>
      </w:r>
    </w:p>
    <w:p w:rsidR="008035EB" w:rsidRPr="00354EB1" w:rsidRDefault="008035EB" w:rsidP="006E402E">
      <w:pPr>
        <w:keepNext/>
        <w:tabs>
          <w:tab w:val="left" w:pos="142"/>
        </w:tabs>
        <w:autoSpaceDE w:val="0"/>
        <w:autoSpaceDN w:val="0"/>
        <w:adjustRightInd w:val="0"/>
        <w:contextualSpacing/>
        <w:rPr>
          <w:rFonts w:cs="Arial"/>
          <w:lang w:val="es-419"/>
        </w:rPr>
      </w:pPr>
    </w:p>
    <w:p w:rsidR="008035EB" w:rsidRPr="00354EB1" w:rsidRDefault="008035EB" w:rsidP="008035EB">
      <w:pPr>
        <w:tabs>
          <w:tab w:val="left" w:pos="142"/>
        </w:tabs>
        <w:autoSpaceDE w:val="0"/>
        <w:autoSpaceDN w:val="0"/>
        <w:adjustRightInd w:val="0"/>
        <w:contextualSpacing/>
        <w:jc w:val="left"/>
        <w:rPr>
          <w:lang w:val="es-419"/>
        </w:rPr>
      </w:pPr>
      <w:r w:rsidRPr="00354EB1">
        <w:rPr>
          <w:lang w:val="es-419"/>
        </w:rPr>
        <w:t>Número de peticiones de asesoramiento recibidas y autoridades nacionales participantes al 31 de diciembre de 2019 (2012-2019)</w:t>
      </w:r>
    </w:p>
    <w:p w:rsidR="008035EB" w:rsidRPr="00354EB1" w:rsidRDefault="008035EB" w:rsidP="008035EB">
      <w:pPr>
        <w:tabs>
          <w:tab w:val="left" w:pos="142"/>
        </w:tabs>
        <w:autoSpaceDE w:val="0"/>
        <w:autoSpaceDN w:val="0"/>
        <w:adjustRightInd w:val="0"/>
        <w:contextualSpacing/>
        <w:jc w:val="left"/>
        <w:rPr>
          <w:lang w:val="es-419"/>
        </w:rPr>
      </w:pPr>
    </w:p>
    <w:p w:rsidR="008035EB" w:rsidRPr="00354EB1" w:rsidRDefault="008035EB" w:rsidP="006E402E">
      <w:pPr>
        <w:tabs>
          <w:tab w:val="left" w:pos="142"/>
        </w:tabs>
        <w:autoSpaceDE w:val="0"/>
        <w:autoSpaceDN w:val="0"/>
        <w:adjustRightInd w:val="0"/>
        <w:contextualSpacing/>
        <w:jc w:val="center"/>
        <w:rPr>
          <w:rFonts w:cs="Arial"/>
          <w:lang w:val="es-419"/>
        </w:rPr>
      </w:pPr>
      <w:r w:rsidRPr="00354EB1">
        <w:rPr>
          <w:rFonts w:cs="Arial"/>
          <w:noProof/>
        </w:rPr>
        <w:drawing>
          <wp:inline distT="0" distB="0" distL="0" distR="0" wp14:anchorId="7E2CED6D" wp14:editId="1C9D6DF1">
            <wp:extent cx="5448764" cy="32853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80949" cy="3304713"/>
                    </a:xfrm>
                    <a:prstGeom prst="rect">
                      <a:avLst/>
                    </a:prstGeom>
                    <a:noFill/>
                    <a:ln>
                      <a:noFill/>
                    </a:ln>
                  </pic:spPr>
                </pic:pic>
              </a:graphicData>
            </a:graphic>
          </wp:inline>
        </w:drawing>
      </w:r>
    </w:p>
    <w:p w:rsidR="008035EB" w:rsidRPr="00354EB1" w:rsidRDefault="008035EB" w:rsidP="008035EB">
      <w:pPr>
        <w:tabs>
          <w:tab w:val="left" w:pos="142"/>
        </w:tabs>
        <w:autoSpaceDE w:val="0"/>
        <w:autoSpaceDN w:val="0"/>
        <w:adjustRightInd w:val="0"/>
        <w:contextualSpacing/>
        <w:rPr>
          <w:rFonts w:eastAsia="MyriadPro-Light" w:cs="Arial"/>
          <w:lang w:val="es-419"/>
        </w:rPr>
      </w:pPr>
    </w:p>
    <w:p w:rsidR="008035EB" w:rsidRPr="00354EB1" w:rsidRDefault="008035EB" w:rsidP="008035EB">
      <w:pPr>
        <w:tabs>
          <w:tab w:val="left" w:pos="142"/>
        </w:tabs>
        <w:autoSpaceDE w:val="0"/>
        <w:autoSpaceDN w:val="0"/>
        <w:adjustRightInd w:val="0"/>
        <w:contextualSpacing/>
        <w:rPr>
          <w:rFonts w:eastAsia="MyriadPro-Light" w:cs="Arial"/>
          <w:lang w:val="es-419"/>
        </w:rPr>
      </w:pPr>
      <w:r w:rsidRPr="00354EB1">
        <w:rPr>
          <w:lang w:val="es-419"/>
        </w:rPr>
        <w:t>Aunque hubo un ligero descenso del número de peticiones de opinión en 2019, la cooperación en las comprobaciones de similitud de las denominaciones ha adquirido una gran vitalidad con el tiempo. Este servicio garantiza la armonización de enfoques y una mayor convergencia en la aplicación e introducción de las normas de denominación, en beneficio del sistema de protección de las obtenciones vegetales y de las partes interesadas. El servicio de cooperación se basa en un proceso dinámico y colaborativo que permite mantener la capacidad de respuesta en lo que se refiere a la interpretación de las normas y las necesidades de evolución</w:t>
      </w:r>
      <w:r w:rsidRPr="00354EB1">
        <w:rPr>
          <w:rFonts w:eastAsia="MyriadPro-Light" w:cs="Arial"/>
          <w:lang w:val="es-419"/>
        </w:rPr>
        <w:t xml:space="preserve">. </w:t>
      </w:r>
    </w:p>
    <w:p w:rsidR="008035EB" w:rsidRPr="00354EB1" w:rsidRDefault="008035EB" w:rsidP="008035EB">
      <w:pPr>
        <w:contextualSpacing/>
        <w:rPr>
          <w:rFonts w:cs="Arial"/>
          <w:u w:val="single"/>
          <w:lang w:val="es-419"/>
        </w:rPr>
      </w:pPr>
    </w:p>
    <w:p w:rsidR="008035EB" w:rsidRPr="00354EB1" w:rsidRDefault="008035EB" w:rsidP="008035EB">
      <w:pPr>
        <w:contextualSpacing/>
        <w:rPr>
          <w:rFonts w:cs="Arial"/>
          <w:u w:val="single"/>
          <w:lang w:val="es-419"/>
        </w:rPr>
      </w:pPr>
      <w:r w:rsidRPr="00354EB1">
        <w:rPr>
          <w:rFonts w:cs="Arial"/>
          <w:u w:val="single"/>
          <w:lang w:val="es-419"/>
        </w:rPr>
        <w:t xml:space="preserve">4.2 </w:t>
      </w:r>
      <w:r w:rsidRPr="00354EB1">
        <w:rPr>
          <w:u w:val="single"/>
          <w:lang w:val="es-419"/>
        </w:rPr>
        <w:t>Reuniones de expertos en cultivos</w:t>
      </w:r>
    </w:p>
    <w:p w:rsidR="008035EB" w:rsidRPr="00354EB1" w:rsidRDefault="008035EB" w:rsidP="008035EB">
      <w:pPr>
        <w:autoSpaceDE w:val="0"/>
        <w:autoSpaceDN w:val="0"/>
        <w:adjustRightInd w:val="0"/>
        <w:contextualSpacing/>
        <w:rPr>
          <w:rFonts w:cs="Arial"/>
          <w:color w:val="000000"/>
          <w:lang w:val="es-419" w:eastAsia="en-GB"/>
        </w:rPr>
      </w:pPr>
    </w:p>
    <w:p w:rsidR="008035EB" w:rsidRPr="00354EB1" w:rsidRDefault="008035EB" w:rsidP="008035EB">
      <w:pPr>
        <w:autoSpaceDE w:val="0"/>
        <w:autoSpaceDN w:val="0"/>
        <w:adjustRightInd w:val="0"/>
        <w:contextualSpacing/>
        <w:rPr>
          <w:rFonts w:cs="Arial"/>
          <w:color w:val="000000"/>
          <w:lang w:val="es-419" w:eastAsia="en-GB"/>
        </w:rPr>
      </w:pPr>
      <w:r w:rsidRPr="00354EB1">
        <w:rPr>
          <w:lang w:val="es-419"/>
        </w:rPr>
        <w:t>En octubre de 2020 se celebró una reunión de expertos en plantas agrícolas para examinar los asuntos siguientes</w:t>
      </w:r>
      <w:r w:rsidRPr="00354EB1">
        <w:rPr>
          <w:rFonts w:cs="Arial"/>
          <w:color w:val="000000"/>
          <w:lang w:val="es-419" w:eastAsia="en-GB"/>
        </w:rPr>
        <w:t>:</w:t>
      </w:r>
    </w:p>
    <w:p w:rsidR="008035EB" w:rsidRPr="00354EB1" w:rsidRDefault="008035EB" w:rsidP="008035EB">
      <w:pPr>
        <w:autoSpaceDE w:val="0"/>
        <w:autoSpaceDN w:val="0"/>
        <w:adjustRightInd w:val="0"/>
        <w:contextualSpacing/>
        <w:rPr>
          <w:rFonts w:cs="Arial"/>
          <w:color w:val="000000"/>
          <w:lang w:val="es-419" w:eastAsia="en-GB"/>
        </w:rPr>
      </w:pPr>
    </w:p>
    <w:p w:rsidR="008035EB" w:rsidRPr="00557648" w:rsidRDefault="008035EB" w:rsidP="00557648">
      <w:pPr>
        <w:numPr>
          <w:ilvl w:val="0"/>
          <w:numId w:val="13"/>
        </w:numPr>
        <w:autoSpaceDE w:val="0"/>
        <w:autoSpaceDN w:val="0"/>
        <w:adjustRightInd w:val="0"/>
        <w:contextualSpacing/>
        <w:rPr>
          <w:rFonts w:cs="Arial"/>
          <w:lang w:val="es-419"/>
        </w:rPr>
      </w:pPr>
      <w:r w:rsidRPr="00354EB1">
        <w:rPr>
          <w:rFonts w:cs="Arial"/>
          <w:color w:val="000000"/>
          <w:lang w:val="es-419" w:eastAsia="en-GB"/>
        </w:rPr>
        <w:t>lo</w:t>
      </w:r>
      <w:r w:rsidRPr="00557648">
        <w:rPr>
          <w:rFonts w:cs="Arial"/>
          <w:lang w:val="es-419"/>
        </w:rPr>
        <w:t xml:space="preserve">s ensayos del trigo híbrido y la consideración de las plantas alargadas como una nueva forma de plantas fuera de tipo en este cultivo; </w:t>
      </w:r>
    </w:p>
    <w:p w:rsidR="008035EB" w:rsidRPr="00557648" w:rsidRDefault="008035EB" w:rsidP="00557648">
      <w:pPr>
        <w:numPr>
          <w:ilvl w:val="0"/>
          <w:numId w:val="13"/>
        </w:numPr>
        <w:autoSpaceDE w:val="0"/>
        <w:autoSpaceDN w:val="0"/>
        <w:adjustRightInd w:val="0"/>
        <w:contextualSpacing/>
        <w:rPr>
          <w:rFonts w:cs="Arial"/>
          <w:lang w:val="es-419"/>
        </w:rPr>
      </w:pPr>
      <w:r w:rsidRPr="00557648">
        <w:rPr>
          <w:rFonts w:cs="Arial"/>
          <w:lang w:val="es-419"/>
        </w:rPr>
        <w:t xml:space="preserve">la observación de determinadas características una sola vez en los ensayos plurianuales; </w:t>
      </w:r>
    </w:p>
    <w:p w:rsidR="008035EB" w:rsidRPr="00557648" w:rsidRDefault="008035EB" w:rsidP="00557648">
      <w:pPr>
        <w:numPr>
          <w:ilvl w:val="0"/>
          <w:numId w:val="13"/>
        </w:numPr>
        <w:autoSpaceDE w:val="0"/>
        <w:autoSpaceDN w:val="0"/>
        <w:adjustRightInd w:val="0"/>
        <w:contextualSpacing/>
        <w:rPr>
          <w:rFonts w:cs="Arial"/>
          <w:lang w:val="es-419"/>
        </w:rPr>
      </w:pPr>
      <w:r w:rsidRPr="00557648">
        <w:rPr>
          <w:rFonts w:cs="Arial"/>
          <w:lang w:val="es-419"/>
        </w:rPr>
        <w:t>la sustitución de los números de la FAO por la época de floración en el maíz;</w:t>
      </w:r>
    </w:p>
    <w:p w:rsidR="008035EB" w:rsidRPr="00557648" w:rsidRDefault="008035EB" w:rsidP="00557648">
      <w:pPr>
        <w:numPr>
          <w:ilvl w:val="0"/>
          <w:numId w:val="13"/>
        </w:numPr>
        <w:autoSpaceDE w:val="0"/>
        <w:autoSpaceDN w:val="0"/>
        <w:adjustRightInd w:val="0"/>
        <w:contextualSpacing/>
        <w:rPr>
          <w:rFonts w:cs="Arial"/>
          <w:lang w:val="es-419"/>
        </w:rPr>
      </w:pPr>
      <w:r w:rsidRPr="00557648">
        <w:rPr>
          <w:rFonts w:cs="Arial"/>
          <w:lang w:val="es-419"/>
        </w:rPr>
        <w:t xml:space="preserve">los métodos de plantación cíclica en el examen de las gramíneas; </w:t>
      </w:r>
    </w:p>
    <w:p w:rsidR="008035EB" w:rsidRPr="00557648" w:rsidRDefault="008035EB" w:rsidP="00557648">
      <w:pPr>
        <w:numPr>
          <w:ilvl w:val="0"/>
          <w:numId w:val="13"/>
        </w:numPr>
        <w:autoSpaceDE w:val="0"/>
        <w:autoSpaceDN w:val="0"/>
        <w:adjustRightInd w:val="0"/>
        <w:contextualSpacing/>
        <w:rPr>
          <w:rFonts w:cs="Arial"/>
          <w:lang w:val="es-419"/>
        </w:rPr>
      </w:pPr>
      <w:r w:rsidRPr="00557648">
        <w:rPr>
          <w:rFonts w:cs="Arial"/>
          <w:lang w:val="es-419"/>
        </w:rPr>
        <w:t>la aportación de información actualizada sobre la estrategia de I+D de la Oficina;</w:t>
      </w:r>
    </w:p>
    <w:p w:rsidR="008035EB" w:rsidRPr="00354EB1" w:rsidRDefault="008035EB" w:rsidP="00557648">
      <w:pPr>
        <w:numPr>
          <w:ilvl w:val="0"/>
          <w:numId w:val="13"/>
        </w:numPr>
        <w:autoSpaceDE w:val="0"/>
        <w:autoSpaceDN w:val="0"/>
        <w:adjustRightInd w:val="0"/>
        <w:contextualSpacing/>
        <w:rPr>
          <w:rFonts w:cs="Arial"/>
          <w:color w:val="000000"/>
          <w:lang w:val="es-419" w:eastAsia="en-GB"/>
        </w:rPr>
      </w:pPr>
      <w:r w:rsidRPr="00557648">
        <w:rPr>
          <w:rFonts w:cs="Arial"/>
          <w:lang w:val="es-419"/>
        </w:rPr>
        <w:t>la r</w:t>
      </w:r>
      <w:r w:rsidRPr="00354EB1">
        <w:rPr>
          <w:rFonts w:cs="Arial"/>
          <w:color w:val="000000"/>
          <w:lang w:val="es-419" w:eastAsia="en-GB"/>
        </w:rPr>
        <w:t xml:space="preserve">evisión de varios protocolos técnicos y la introducción de nuevos protocolos técnicos. </w:t>
      </w:r>
    </w:p>
    <w:p w:rsidR="008035EB" w:rsidRPr="00354EB1" w:rsidRDefault="008035EB" w:rsidP="008035EB">
      <w:pPr>
        <w:autoSpaceDE w:val="0"/>
        <w:autoSpaceDN w:val="0"/>
        <w:adjustRightInd w:val="0"/>
        <w:contextualSpacing/>
        <w:rPr>
          <w:rFonts w:cs="Arial"/>
          <w:color w:val="000000"/>
          <w:lang w:val="es-419" w:eastAsia="en-GB"/>
        </w:rPr>
      </w:pPr>
    </w:p>
    <w:p w:rsidR="008035EB" w:rsidRPr="00354EB1" w:rsidRDefault="008035EB" w:rsidP="008035EB">
      <w:pPr>
        <w:autoSpaceDE w:val="0"/>
        <w:autoSpaceDN w:val="0"/>
        <w:adjustRightInd w:val="0"/>
        <w:contextualSpacing/>
        <w:rPr>
          <w:rFonts w:cs="Arial"/>
          <w:color w:val="000000"/>
          <w:lang w:val="es-419" w:eastAsia="en-GB"/>
        </w:rPr>
      </w:pPr>
      <w:r w:rsidRPr="00354EB1">
        <w:rPr>
          <w:lang w:val="es-419"/>
        </w:rPr>
        <w:t>Los días 2 y 3 de diciembre de 2020 se celebró una reunión de expertos en plantas hortícolas para examinar los asuntos siguientes</w:t>
      </w:r>
      <w:r w:rsidRPr="00354EB1">
        <w:rPr>
          <w:rFonts w:cs="Arial"/>
          <w:color w:val="000000"/>
          <w:lang w:val="es-419" w:eastAsia="en-GB"/>
        </w:rPr>
        <w:t>:</w:t>
      </w:r>
    </w:p>
    <w:p w:rsidR="008035EB" w:rsidRPr="00354EB1" w:rsidRDefault="008035EB" w:rsidP="008035EB">
      <w:pPr>
        <w:autoSpaceDE w:val="0"/>
        <w:autoSpaceDN w:val="0"/>
        <w:adjustRightInd w:val="0"/>
        <w:contextualSpacing/>
        <w:rPr>
          <w:rFonts w:cs="Arial"/>
          <w:color w:val="000000"/>
          <w:lang w:val="es-419" w:eastAsia="en-GB"/>
        </w:rPr>
      </w:pPr>
    </w:p>
    <w:p w:rsidR="008035EB" w:rsidRPr="00354EB1" w:rsidRDefault="008035EB" w:rsidP="008035EB">
      <w:pPr>
        <w:numPr>
          <w:ilvl w:val="0"/>
          <w:numId w:val="13"/>
        </w:numPr>
        <w:autoSpaceDE w:val="0"/>
        <w:autoSpaceDN w:val="0"/>
        <w:adjustRightInd w:val="0"/>
        <w:contextualSpacing/>
        <w:rPr>
          <w:rFonts w:cs="Arial"/>
          <w:color w:val="000000"/>
          <w:lang w:val="es-419" w:eastAsia="en-GB"/>
        </w:rPr>
      </w:pPr>
      <w:r w:rsidRPr="00354EB1">
        <w:rPr>
          <w:rFonts w:cs="Arial"/>
          <w:lang w:val="es-419"/>
        </w:rPr>
        <w:t>la fusión de los boletines S2 y S3 de la Oficina y sus consecuencias para los encargos y los tipos de cultivo;</w:t>
      </w:r>
    </w:p>
    <w:p w:rsidR="008035EB" w:rsidRPr="00354EB1" w:rsidRDefault="008035EB" w:rsidP="008035EB">
      <w:pPr>
        <w:numPr>
          <w:ilvl w:val="0"/>
          <w:numId w:val="13"/>
        </w:numPr>
        <w:autoSpaceDE w:val="0"/>
        <w:autoSpaceDN w:val="0"/>
        <w:adjustRightInd w:val="0"/>
        <w:contextualSpacing/>
        <w:rPr>
          <w:rFonts w:cs="Arial"/>
          <w:color w:val="000000"/>
          <w:lang w:val="es-419" w:eastAsia="en-GB"/>
        </w:rPr>
      </w:pPr>
      <w:r w:rsidRPr="00354EB1">
        <w:rPr>
          <w:rFonts w:cs="Arial"/>
          <w:lang w:val="es-419"/>
        </w:rPr>
        <w:t xml:space="preserve">el pasaporte vegetal de la Unión Europea y los certificados fitosanitarios; </w:t>
      </w:r>
    </w:p>
    <w:p w:rsidR="008035EB" w:rsidRPr="00354EB1" w:rsidRDefault="008035EB" w:rsidP="008035EB">
      <w:pPr>
        <w:numPr>
          <w:ilvl w:val="0"/>
          <w:numId w:val="13"/>
        </w:numPr>
        <w:autoSpaceDE w:val="0"/>
        <w:autoSpaceDN w:val="0"/>
        <w:adjustRightInd w:val="0"/>
        <w:contextualSpacing/>
        <w:rPr>
          <w:rFonts w:cs="Arial"/>
          <w:color w:val="000000"/>
          <w:lang w:val="es-419" w:eastAsia="en-GB"/>
        </w:rPr>
      </w:pPr>
      <w:r w:rsidRPr="00354EB1">
        <w:rPr>
          <w:rFonts w:cs="Arial"/>
          <w:lang w:val="es-419"/>
        </w:rPr>
        <w:t xml:space="preserve">la adopción y publicación de protocolos técnicos nacionales por parte de la OCVV; </w:t>
      </w:r>
    </w:p>
    <w:p w:rsidR="008035EB" w:rsidRPr="00354EB1" w:rsidRDefault="008035EB" w:rsidP="008035EB">
      <w:pPr>
        <w:numPr>
          <w:ilvl w:val="0"/>
          <w:numId w:val="13"/>
        </w:numPr>
        <w:autoSpaceDE w:val="0"/>
        <w:autoSpaceDN w:val="0"/>
        <w:adjustRightInd w:val="0"/>
        <w:contextualSpacing/>
        <w:rPr>
          <w:rFonts w:cs="Arial"/>
          <w:color w:val="000000"/>
          <w:lang w:val="es-419" w:eastAsia="en-GB"/>
        </w:rPr>
      </w:pPr>
      <w:r w:rsidRPr="00354EB1">
        <w:rPr>
          <w:rFonts w:cs="Arial"/>
          <w:lang w:val="es-419"/>
        </w:rPr>
        <w:t>un nuevo modelo de carta para la obtención de variedades de referencia o la organización de reuniones de expertos sobre el terreno;</w:t>
      </w:r>
    </w:p>
    <w:p w:rsidR="008035EB" w:rsidRPr="00354EB1" w:rsidRDefault="008035EB" w:rsidP="008035EB">
      <w:pPr>
        <w:numPr>
          <w:ilvl w:val="0"/>
          <w:numId w:val="13"/>
        </w:numPr>
        <w:autoSpaceDE w:val="0"/>
        <w:autoSpaceDN w:val="0"/>
        <w:adjustRightInd w:val="0"/>
        <w:contextualSpacing/>
        <w:rPr>
          <w:rFonts w:cs="Arial"/>
          <w:color w:val="000000"/>
          <w:lang w:val="es-419" w:eastAsia="en-GB"/>
        </w:rPr>
      </w:pPr>
      <w:r w:rsidRPr="00354EB1">
        <w:rPr>
          <w:rFonts w:cs="Arial"/>
          <w:color w:val="000000"/>
          <w:lang w:val="es-419" w:eastAsia="en-GB"/>
        </w:rPr>
        <w:t>la revisión de varios protocolos técnicos sobre hortalizas.</w:t>
      </w:r>
    </w:p>
    <w:p w:rsidR="008035EB" w:rsidRPr="00354EB1" w:rsidRDefault="008035EB" w:rsidP="008035EB">
      <w:pPr>
        <w:autoSpaceDE w:val="0"/>
        <w:autoSpaceDN w:val="0"/>
        <w:adjustRightInd w:val="0"/>
        <w:contextualSpacing/>
        <w:rPr>
          <w:rFonts w:cs="Arial"/>
          <w:color w:val="000000"/>
          <w:lang w:val="es-419" w:eastAsia="en-GB"/>
        </w:rPr>
      </w:pPr>
    </w:p>
    <w:p w:rsidR="008035EB" w:rsidRPr="00354EB1" w:rsidRDefault="008035EB" w:rsidP="00557648">
      <w:pPr>
        <w:keepNext/>
        <w:autoSpaceDE w:val="0"/>
        <w:autoSpaceDN w:val="0"/>
        <w:adjustRightInd w:val="0"/>
        <w:contextualSpacing/>
        <w:rPr>
          <w:rFonts w:cs="Arial"/>
          <w:color w:val="000000"/>
          <w:lang w:val="es-419" w:eastAsia="en-GB"/>
        </w:rPr>
      </w:pPr>
      <w:r w:rsidRPr="00354EB1">
        <w:rPr>
          <w:lang w:val="es-419"/>
        </w:rPr>
        <w:lastRenderedPageBreak/>
        <w:t>En noviembre de 2020 se celebró una reunión de expertos en plantas frutales para examinar los asuntos siguientes, entre otros</w:t>
      </w:r>
      <w:r w:rsidRPr="00354EB1">
        <w:rPr>
          <w:rFonts w:cs="Arial"/>
          <w:color w:val="000000"/>
          <w:lang w:val="es-419" w:eastAsia="en-GB"/>
        </w:rPr>
        <w:t>:</w:t>
      </w:r>
    </w:p>
    <w:p w:rsidR="008035EB" w:rsidRPr="00354EB1" w:rsidRDefault="008035EB" w:rsidP="00557648">
      <w:pPr>
        <w:keepNext/>
        <w:autoSpaceDE w:val="0"/>
        <w:autoSpaceDN w:val="0"/>
        <w:adjustRightInd w:val="0"/>
        <w:contextualSpacing/>
        <w:rPr>
          <w:rFonts w:cs="Arial"/>
          <w:color w:val="000000"/>
          <w:lang w:val="es-419" w:eastAsia="en-GB"/>
        </w:rPr>
      </w:pPr>
    </w:p>
    <w:p w:rsidR="008035EB" w:rsidRPr="00557648" w:rsidRDefault="008035EB" w:rsidP="00557648">
      <w:pPr>
        <w:keepNext/>
        <w:numPr>
          <w:ilvl w:val="0"/>
          <w:numId w:val="13"/>
        </w:numPr>
        <w:autoSpaceDE w:val="0"/>
        <w:autoSpaceDN w:val="0"/>
        <w:adjustRightInd w:val="0"/>
        <w:contextualSpacing/>
        <w:rPr>
          <w:rFonts w:cs="Arial"/>
          <w:lang w:val="es-419"/>
        </w:rPr>
      </w:pPr>
      <w:r w:rsidRPr="00354EB1">
        <w:rPr>
          <w:rFonts w:cs="Arial"/>
          <w:lang w:val="es-419"/>
        </w:rPr>
        <w:t>los ensayos de grupos de mutantes del manzano;</w:t>
      </w:r>
    </w:p>
    <w:p w:rsidR="008035EB" w:rsidRPr="00557648" w:rsidRDefault="008035EB" w:rsidP="00557648">
      <w:pPr>
        <w:keepNext/>
        <w:numPr>
          <w:ilvl w:val="0"/>
          <w:numId w:val="13"/>
        </w:numPr>
        <w:autoSpaceDE w:val="0"/>
        <w:autoSpaceDN w:val="0"/>
        <w:adjustRightInd w:val="0"/>
        <w:contextualSpacing/>
        <w:rPr>
          <w:rFonts w:cs="Arial"/>
          <w:lang w:val="es-419"/>
        </w:rPr>
      </w:pPr>
      <w:r w:rsidRPr="00354EB1">
        <w:rPr>
          <w:rFonts w:cs="Arial"/>
          <w:lang w:val="es-419"/>
        </w:rPr>
        <w:t xml:space="preserve">las verificaciones técnicas; </w:t>
      </w:r>
    </w:p>
    <w:p w:rsidR="008035EB" w:rsidRPr="00557648" w:rsidRDefault="008035EB" w:rsidP="00557648">
      <w:pPr>
        <w:numPr>
          <w:ilvl w:val="0"/>
          <w:numId w:val="13"/>
        </w:numPr>
        <w:autoSpaceDE w:val="0"/>
        <w:autoSpaceDN w:val="0"/>
        <w:adjustRightInd w:val="0"/>
        <w:contextualSpacing/>
        <w:rPr>
          <w:rFonts w:cs="Arial"/>
          <w:lang w:val="es-419"/>
        </w:rPr>
      </w:pPr>
      <w:r w:rsidRPr="00354EB1">
        <w:rPr>
          <w:rFonts w:cs="Arial"/>
          <w:lang w:val="es-419"/>
        </w:rPr>
        <w:t xml:space="preserve">la confirmación a los solicitantes de la recepción de material vegetal; </w:t>
      </w:r>
    </w:p>
    <w:p w:rsidR="008035EB" w:rsidRPr="00557648" w:rsidRDefault="008035EB" w:rsidP="00557648">
      <w:pPr>
        <w:numPr>
          <w:ilvl w:val="0"/>
          <w:numId w:val="13"/>
        </w:numPr>
        <w:autoSpaceDE w:val="0"/>
        <w:autoSpaceDN w:val="0"/>
        <w:adjustRightInd w:val="0"/>
        <w:contextualSpacing/>
        <w:rPr>
          <w:rFonts w:cs="Arial"/>
          <w:lang w:val="es-419"/>
        </w:rPr>
      </w:pPr>
      <w:r w:rsidRPr="00354EB1">
        <w:rPr>
          <w:rFonts w:cs="Arial"/>
          <w:lang w:val="es-419"/>
        </w:rPr>
        <w:t xml:space="preserve">la obtención de variedades de referencia para el examen DHE; </w:t>
      </w:r>
    </w:p>
    <w:p w:rsidR="008035EB" w:rsidRPr="00557648" w:rsidRDefault="008035EB" w:rsidP="00557648">
      <w:pPr>
        <w:numPr>
          <w:ilvl w:val="0"/>
          <w:numId w:val="13"/>
        </w:numPr>
        <w:autoSpaceDE w:val="0"/>
        <w:autoSpaceDN w:val="0"/>
        <w:adjustRightInd w:val="0"/>
        <w:contextualSpacing/>
        <w:rPr>
          <w:rFonts w:cs="Arial"/>
          <w:lang w:val="es-419"/>
        </w:rPr>
      </w:pPr>
      <w:r w:rsidRPr="00557648">
        <w:rPr>
          <w:rFonts w:cs="Arial"/>
          <w:lang w:val="es-419"/>
        </w:rPr>
        <w:t>la observación de determinadas características una sola vez en los ensayos plurianuales;</w:t>
      </w:r>
      <w:r w:rsidRPr="00354EB1">
        <w:rPr>
          <w:rFonts w:cs="Arial"/>
          <w:lang w:val="es-419"/>
        </w:rPr>
        <w:t xml:space="preserve"> </w:t>
      </w:r>
    </w:p>
    <w:p w:rsidR="008035EB" w:rsidRPr="00557648" w:rsidRDefault="008035EB" w:rsidP="00557648">
      <w:pPr>
        <w:numPr>
          <w:ilvl w:val="0"/>
          <w:numId w:val="13"/>
        </w:numPr>
        <w:autoSpaceDE w:val="0"/>
        <w:autoSpaceDN w:val="0"/>
        <w:adjustRightInd w:val="0"/>
        <w:contextualSpacing/>
        <w:rPr>
          <w:rFonts w:cs="Arial"/>
          <w:lang w:val="es-419"/>
        </w:rPr>
      </w:pPr>
      <w:r w:rsidRPr="00354EB1">
        <w:rPr>
          <w:rFonts w:cs="Arial"/>
          <w:lang w:val="es-419"/>
        </w:rPr>
        <w:t xml:space="preserve">el número de plantas de las variedades de referencia que deben evaluarse; </w:t>
      </w:r>
    </w:p>
    <w:p w:rsidR="008035EB" w:rsidRPr="00354EB1" w:rsidRDefault="008035EB" w:rsidP="00557648">
      <w:pPr>
        <w:numPr>
          <w:ilvl w:val="0"/>
          <w:numId w:val="13"/>
        </w:numPr>
        <w:autoSpaceDE w:val="0"/>
        <w:autoSpaceDN w:val="0"/>
        <w:adjustRightInd w:val="0"/>
        <w:contextualSpacing/>
        <w:rPr>
          <w:rFonts w:cs="Arial"/>
          <w:color w:val="000000"/>
          <w:lang w:val="es-419" w:eastAsia="en-GB"/>
        </w:rPr>
      </w:pPr>
      <w:r w:rsidRPr="00354EB1">
        <w:rPr>
          <w:rFonts w:cs="Arial"/>
          <w:lang w:val="es-419"/>
        </w:rPr>
        <w:t>cuestiones fitosanitarias y proyectos de I+D.</w:t>
      </w:r>
    </w:p>
    <w:p w:rsidR="008035EB" w:rsidRPr="00354EB1" w:rsidRDefault="008035EB" w:rsidP="008035EB">
      <w:pPr>
        <w:autoSpaceDE w:val="0"/>
        <w:autoSpaceDN w:val="0"/>
        <w:adjustRightInd w:val="0"/>
        <w:contextualSpacing/>
        <w:rPr>
          <w:rFonts w:cs="Arial"/>
          <w:color w:val="000000"/>
          <w:lang w:val="es-419" w:eastAsia="en-GB"/>
        </w:rPr>
      </w:pPr>
    </w:p>
    <w:p w:rsidR="008035EB" w:rsidRPr="00354EB1" w:rsidRDefault="008035EB" w:rsidP="008035EB">
      <w:pPr>
        <w:autoSpaceDE w:val="0"/>
        <w:autoSpaceDN w:val="0"/>
        <w:adjustRightInd w:val="0"/>
        <w:contextualSpacing/>
        <w:rPr>
          <w:rFonts w:cs="Arial"/>
          <w:color w:val="000000"/>
          <w:lang w:val="es-419" w:eastAsia="en-GB"/>
        </w:rPr>
      </w:pPr>
      <w:r w:rsidRPr="00354EB1">
        <w:rPr>
          <w:lang w:val="es-419"/>
        </w:rPr>
        <w:t>Los días 8 y 9 de octubre de 2020 se celebró una reunión de expertos en plantas ornamentales para examinar los asuntos siguientes, entre otros</w:t>
      </w:r>
      <w:r w:rsidRPr="00354EB1">
        <w:rPr>
          <w:rFonts w:cs="Arial"/>
          <w:color w:val="000000"/>
          <w:lang w:val="es-419" w:eastAsia="en-GB"/>
        </w:rPr>
        <w:t>:</w:t>
      </w:r>
    </w:p>
    <w:p w:rsidR="008035EB" w:rsidRPr="00354EB1" w:rsidRDefault="008035EB" w:rsidP="008035EB">
      <w:pPr>
        <w:autoSpaceDE w:val="0"/>
        <w:autoSpaceDN w:val="0"/>
        <w:adjustRightInd w:val="0"/>
        <w:contextualSpacing/>
        <w:rPr>
          <w:rFonts w:cs="Arial"/>
          <w:color w:val="000000"/>
          <w:lang w:val="es-419" w:eastAsia="en-GB"/>
        </w:rPr>
      </w:pPr>
    </w:p>
    <w:p w:rsidR="008035EB" w:rsidRPr="00354EB1" w:rsidRDefault="008035EB" w:rsidP="008035EB">
      <w:pPr>
        <w:numPr>
          <w:ilvl w:val="0"/>
          <w:numId w:val="16"/>
        </w:numPr>
        <w:autoSpaceDE w:val="0"/>
        <w:autoSpaceDN w:val="0"/>
        <w:adjustRightInd w:val="0"/>
        <w:ind w:left="709"/>
        <w:contextualSpacing/>
        <w:rPr>
          <w:rFonts w:cs="Arial"/>
          <w:color w:val="000000"/>
          <w:lang w:val="es-419" w:eastAsia="en-GB"/>
        </w:rPr>
      </w:pPr>
      <w:r w:rsidRPr="00354EB1">
        <w:rPr>
          <w:rFonts w:cs="Arial"/>
          <w:lang w:val="es-419"/>
        </w:rPr>
        <w:t>el número de plantas de las variedades de referencia;</w:t>
      </w:r>
    </w:p>
    <w:p w:rsidR="008035EB" w:rsidRPr="00354EB1" w:rsidRDefault="008035EB" w:rsidP="008035EB">
      <w:pPr>
        <w:numPr>
          <w:ilvl w:val="0"/>
          <w:numId w:val="18"/>
        </w:numPr>
        <w:autoSpaceDE w:val="0"/>
        <w:autoSpaceDN w:val="0"/>
        <w:adjustRightInd w:val="0"/>
        <w:contextualSpacing/>
        <w:rPr>
          <w:rFonts w:cs="Arial"/>
          <w:lang w:val="es-419"/>
        </w:rPr>
      </w:pPr>
      <w:r w:rsidRPr="00354EB1">
        <w:rPr>
          <w:rFonts w:cs="Arial"/>
          <w:color w:val="000000"/>
          <w:lang w:val="es-419" w:eastAsia="en-GB"/>
        </w:rPr>
        <w:t>la observación de determinadas características una sola vez en los ensayos plurianuales;</w:t>
      </w:r>
    </w:p>
    <w:p w:rsidR="008035EB" w:rsidRPr="00354EB1" w:rsidRDefault="008035EB" w:rsidP="008035EB">
      <w:pPr>
        <w:numPr>
          <w:ilvl w:val="0"/>
          <w:numId w:val="18"/>
        </w:numPr>
        <w:autoSpaceDE w:val="0"/>
        <w:autoSpaceDN w:val="0"/>
        <w:adjustRightInd w:val="0"/>
        <w:contextualSpacing/>
        <w:rPr>
          <w:rFonts w:cs="Arial"/>
          <w:lang w:val="es-419"/>
        </w:rPr>
      </w:pPr>
      <w:r w:rsidRPr="00354EB1">
        <w:rPr>
          <w:rFonts w:cs="Arial"/>
          <w:lang w:val="es-419"/>
        </w:rPr>
        <w:t>la adopción y publicación de protocolos nacionales (procedimiento en discusión);</w:t>
      </w:r>
    </w:p>
    <w:p w:rsidR="008035EB" w:rsidRPr="00354EB1" w:rsidRDefault="008035EB" w:rsidP="008035EB">
      <w:pPr>
        <w:numPr>
          <w:ilvl w:val="0"/>
          <w:numId w:val="18"/>
        </w:numPr>
        <w:autoSpaceDE w:val="0"/>
        <w:autoSpaceDN w:val="0"/>
        <w:adjustRightInd w:val="0"/>
        <w:contextualSpacing/>
        <w:rPr>
          <w:rFonts w:cs="Arial"/>
          <w:lang w:val="es-419"/>
        </w:rPr>
      </w:pPr>
      <w:r w:rsidRPr="00354EB1">
        <w:rPr>
          <w:rFonts w:cs="Arial"/>
          <w:lang w:val="es-419"/>
        </w:rPr>
        <w:t>la interpretación de los métodos MS/MG y sus posibles consecuencias en la decisión relativa a la distinción;</w:t>
      </w:r>
    </w:p>
    <w:p w:rsidR="008035EB" w:rsidRPr="00354EB1" w:rsidRDefault="008035EB" w:rsidP="008035EB">
      <w:pPr>
        <w:numPr>
          <w:ilvl w:val="0"/>
          <w:numId w:val="18"/>
        </w:numPr>
        <w:autoSpaceDE w:val="0"/>
        <w:autoSpaceDN w:val="0"/>
        <w:adjustRightInd w:val="0"/>
        <w:contextualSpacing/>
        <w:rPr>
          <w:rFonts w:cs="Arial"/>
          <w:lang w:val="es-419"/>
        </w:rPr>
      </w:pPr>
      <w:r w:rsidRPr="00354EB1">
        <w:rPr>
          <w:rFonts w:cs="Arial"/>
          <w:lang w:val="es-419"/>
        </w:rPr>
        <w:t>la posibilidad de considerar las resistencias a enfermedades en los protocolos de la OCVV relativos a las plantas ornamentales;</w:t>
      </w:r>
    </w:p>
    <w:p w:rsidR="008035EB" w:rsidRPr="00354EB1" w:rsidRDefault="008035EB" w:rsidP="008035EB">
      <w:pPr>
        <w:numPr>
          <w:ilvl w:val="0"/>
          <w:numId w:val="18"/>
        </w:numPr>
        <w:autoSpaceDE w:val="0"/>
        <w:autoSpaceDN w:val="0"/>
        <w:adjustRightInd w:val="0"/>
        <w:contextualSpacing/>
        <w:rPr>
          <w:rFonts w:cs="Arial"/>
          <w:lang w:val="es-419"/>
        </w:rPr>
      </w:pPr>
      <w:r w:rsidRPr="00354EB1">
        <w:rPr>
          <w:rFonts w:cs="Arial"/>
          <w:lang w:val="es-419"/>
        </w:rPr>
        <w:t>un nuevo modelo de carta para la obtención de variedades de referencia para el examen DHE;</w:t>
      </w:r>
    </w:p>
    <w:p w:rsidR="008035EB" w:rsidRPr="00354EB1" w:rsidRDefault="008035EB" w:rsidP="008035EB">
      <w:pPr>
        <w:numPr>
          <w:ilvl w:val="0"/>
          <w:numId w:val="18"/>
        </w:numPr>
        <w:autoSpaceDE w:val="0"/>
        <w:autoSpaceDN w:val="0"/>
        <w:adjustRightInd w:val="0"/>
        <w:contextualSpacing/>
        <w:rPr>
          <w:rFonts w:cs="Arial"/>
          <w:lang w:val="es-419"/>
        </w:rPr>
      </w:pPr>
      <w:r w:rsidRPr="00354EB1">
        <w:rPr>
          <w:rFonts w:cs="Arial"/>
          <w:lang w:val="es-419"/>
        </w:rPr>
        <w:t>un paso adicional relativo a la propagación de algunos cultivos (intercambio de experiencias);</w:t>
      </w:r>
    </w:p>
    <w:p w:rsidR="008035EB" w:rsidRPr="00354EB1" w:rsidRDefault="008035EB" w:rsidP="008035EB">
      <w:pPr>
        <w:numPr>
          <w:ilvl w:val="0"/>
          <w:numId w:val="18"/>
        </w:numPr>
        <w:autoSpaceDE w:val="0"/>
        <w:autoSpaceDN w:val="0"/>
        <w:adjustRightInd w:val="0"/>
        <w:contextualSpacing/>
        <w:rPr>
          <w:rFonts w:cs="Arial"/>
          <w:lang w:val="es-419"/>
        </w:rPr>
      </w:pPr>
      <w:r w:rsidRPr="00354EB1">
        <w:rPr>
          <w:rFonts w:cs="Arial"/>
          <w:lang w:val="es-419"/>
        </w:rPr>
        <w:t>la información de retorno de las oficinas de examen en relación con el pasaporte vegetal/certificado fitosanitario.</w:t>
      </w:r>
    </w:p>
    <w:p w:rsidR="008035EB" w:rsidRPr="00354EB1" w:rsidRDefault="008035EB" w:rsidP="008035EB">
      <w:pPr>
        <w:contextualSpacing/>
        <w:rPr>
          <w:rFonts w:cs="Arial"/>
          <w:u w:val="single"/>
          <w:lang w:val="es-419"/>
        </w:rPr>
      </w:pPr>
    </w:p>
    <w:p w:rsidR="008035EB" w:rsidRPr="00354EB1" w:rsidRDefault="008035EB" w:rsidP="008035EB">
      <w:pPr>
        <w:contextualSpacing/>
        <w:rPr>
          <w:rFonts w:cs="Arial"/>
          <w:u w:val="single"/>
          <w:lang w:val="es-419"/>
        </w:rPr>
      </w:pPr>
      <w:r w:rsidRPr="00354EB1">
        <w:rPr>
          <w:rFonts w:cs="Arial"/>
          <w:u w:val="single"/>
          <w:lang w:val="es-419"/>
        </w:rPr>
        <w:t xml:space="preserve">4.3 </w:t>
      </w:r>
      <w:r w:rsidRPr="00354EB1">
        <w:rPr>
          <w:u w:val="single"/>
          <w:lang w:val="es-419"/>
        </w:rPr>
        <w:t>Servicio de Auditoría de la Calidad</w:t>
      </w:r>
      <w:r w:rsidRPr="00354EB1">
        <w:rPr>
          <w:rFonts w:cs="Arial"/>
          <w:u w:val="single"/>
          <w:lang w:val="es-419"/>
        </w:rPr>
        <w:t xml:space="preserve"> </w:t>
      </w:r>
    </w:p>
    <w:p w:rsidR="008035EB" w:rsidRPr="00354EB1" w:rsidRDefault="008035EB" w:rsidP="008035EB">
      <w:pPr>
        <w:contextualSpacing/>
        <w:rPr>
          <w:rFonts w:cs="Arial"/>
          <w:u w:val="single"/>
          <w:lang w:val="es-419"/>
        </w:rPr>
      </w:pPr>
    </w:p>
    <w:p w:rsidR="008035EB" w:rsidRPr="00354EB1" w:rsidRDefault="008035EB" w:rsidP="008035EB">
      <w:pPr>
        <w:contextualSpacing/>
        <w:rPr>
          <w:rFonts w:cs="Arial"/>
          <w:lang w:val="es-419"/>
        </w:rPr>
      </w:pPr>
      <w:r w:rsidRPr="00354EB1">
        <w:rPr>
          <w:rFonts w:cs="Arial"/>
          <w:lang w:val="es-419"/>
        </w:rPr>
        <w:t xml:space="preserve">El Servicio de Auditoría de Calidad </w:t>
      </w:r>
      <w:r w:rsidRPr="00354EB1">
        <w:rPr>
          <w:rFonts w:cs="Arial"/>
          <w:u w:val="single"/>
          <w:lang w:val="es-419"/>
        </w:rPr>
        <w:t>(QAS)</w:t>
      </w:r>
      <w:r w:rsidRPr="00354EB1">
        <w:rPr>
          <w:rFonts w:cs="Arial"/>
          <w:lang w:val="es-419"/>
        </w:rPr>
        <w:t xml:space="preserve"> se vio muy afectado por la pandemia de COVID-19 y tuvo que ajustar en consecuencia su metodología de trabajo y el calendario de evaluación de las oficinas de examen de la UE. De los nueve ejercicios de evaluación que se habían programado para todo el año 2020, al llegar al mes de septiembre solo se habían realizado dos. Teniendo en cuenta las circunstancias, el Consejo de Administración de la OCVV acordó en septiembre de 2020 prolongar un año el actual ciclo de evaluaciones del QAS, hasta finales de 2022. Dado que la pandemia de COVID-19 continuó en 2021, y con ella las restricciones en los viajes, el QAS elaboró un "Plan B" para realizar ejercicios de evaluación virtuales a las oficinas de examen a través de un sistema de teleconferencia. Durante el primer semestre de 2021, el QAS llevó a cabo cuatro ejercicios virtuales de evaluación, y, cuando se puso en marcha el programa de vacunación en la UE y comenzó a utilizarse el certificado COVID digital de la UE, pudo realizar también tres evaluaciones presenciales en las oficinas de examen. Gracias a la aplicación del plan B de las evaluaciones virtuales, en combinación con las evaluaciones periódicas </w:t>
      </w:r>
      <w:r w:rsidRPr="00354EB1">
        <w:rPr>
          <w:rFonts w:cs="Arial"/>
          <w:i/>
          <w:lang w:val="es-419"/>
        </w:rPr>
        <w:t>in situ</w:t>
      </w:r>
      <w:r w:rsidRPr="00354EB1">
        <w:rPr>
          <w:rFonts w:cs="Arial"/>
          <w:lang w:val="es-419"/>
        </w:rPr>
        <w:t>, el QAS va camino de completar todas sus evaluaciones programadas para 2021.</w:t>
      </w:r>
    </w:p>
    <w:p w:rsidR="008035EB" w:rsidRPr="00354EB1" w:rsidRDefault="008035EB" w:rsidP="008035EB">
      <w:pPr>
        <w:autoSpaceDE w:val="0"/>
        <w:autoSpaceDN w:val="0"/>
        <w:adjustRightInd w:val="0"/>
        <w:contextualSpacing/>
        <w:rPr>
          <w:rFonts w:cs="Arial"/>
          <w:lang w:val="es-419"/>
        </w:rPr>
      </w:pPr>
    </w:p>
    <w:p w:rsidR="008035EB" w:rsidRPr="00354EB1" w:rsidRDefault="008035EB" w:rsidP="008035EB">
      <w:pPr>
        <w:autoSpaceDE w:val="0"/>
        <w:autoSpaceDN w:val="0"/>
        <w:adjustRightInd w:val="0"/>
        <w:contextualSpacing/>
        <w:rPr>
          <w:rFonts w:cs="Arial"/>
          <w:lang w:val="es-419"/>
        </w:rPr>
      </w:pPr>
      <w:r w:rsidRPr="00354EB1">
        <w:rPr>
          <w:rFonts w:cs="Arial"/>
          <w:lang w:val="es-419"/>
        </w:rPr>
        <w:t>Durante el primer semestre de 2021 se inició el proceso de revisión de los requisitos que deben cumplir las oficinas encargadas de realizar los exámenes DHE de acuerdo con la OCVV, por ejemplo, en lo que se refiere a la organización y el procedimiento. El proceso se lleva a cabo en consulta con las partes interesadas (oficinas de examen encargadas, organizaciones de obtentores y expertos técnicos del QAS) para tener en cuenta los avances y las mejoras en el examen DHE. Se espera que el proceso de revisión concluya a finales de 2021 y que el Consejo de Administración pueda aprobarlo en marzo/abril de 2022.</w:t>
      </w:r>
    </w:p>
    <w:p w:rsidR="008035EB" w:rsidRPr="00354EB1" w:rsidRDefault="008035EB" w:rsidP="008035EB">
      <w:pPr>
        <w:autoSpaceDE w:val="0"/>
        <w:autoSpaceDN w:val="0"/>
        <w:adjustRightInd w:val="0"/>
        <w:contextualSpacing/>
        <w:rPr>
          <w:rFonts w:cs="Arial"/>
          <w:lang w:val="es-419"/>
        </w:rPr>
      </w:pPr>
    </w:p>
    <w:p w:rsidR="008035EB" w:rsidRPr="00354EB1" w:rsidRDefault="008035EB" w:rsidP="008035EB">
      <w:pPr>
        <w:autoSpaceDE w:val="0"/>
        <w:autoSpaceDN w:val="0"/>
        <w:adjustRightInd w:val="0"/>
        <w:contextualSpacing/>
        <w:rPr>
          <w:rFonts w:cs="Arial"/>
          <w:lang w:val="es-419"/>
        </w:rPr>
      </w:pPr>
      <w:r w:rsidRPr="00354EB1">
        <w:rPr>
          <w:rFonts w:cs="Arial"/>
          <w:lang w:val="es-419"/>
        </w:rPr>
        <w:t xml:space="preserve">Durante el segundo semestre de 2020 y el primero de 2021, el QAS llevó a cabo actividades de evaluación en relación con el proyecto de la OAPI a través de teleconferencias y desplazamientos a sus oficinas de examen en el Camerún, el Senegal, </w:t>
      </w:r>
      <w:proofErr w:type="spellStart"/>
      <w:r w:rsidRPr="00354EB1">
        <w:rPr>
          <w:rFonts w:cs="Arial"/>
          <w:lang w:val="es-419"/>
        </w:rPr>
        <w:t>Côte</w:t>
      </w:r>
      <w:proofErr w:type="spellEnd"/>
      <w:r w:rsidRPr="00354EB1">
        <w:rPr>
          <w:rFonts w:cs="Arial"/>
          <w:lang w:val="es-419"/>
        </w:rPr>
        <w:t xml:space="preserve"> </w:t>
      </w:r>
      <w:proofErr w:type="spellStart"/>
      <w:r w:rsidRPr="00354EB1">
        <w:rPr>
          <w:rFonts w:cs="Arial"/>
          <w:lang w:val="es-419"/>
        </w:rPr>
        <w:t>d'Ivoire</w:t>
      </w:r>
      <w:proofErr w:type="spellEnd"/>
      <w:r w:rsidRPr="00354EB1">
        <w:rPr>
          <w:rFonts w:cs="Arial"/>
          <w:lang w:val="es-419"/>
        </w:rPr>
        <w:t xml:space="preserve"> y Burkina Faso. Durante este período, el QAS también impartió formación a numerosos países de Centroamérica y América del Sur en el contexto de los proyectos IP Key América Latina y </w:t>
      </w:r>
      <w:proofErr w:type="spellStart"/>
      <w:r w:rsidRPr="00354EB1">
        <w:rPr>
          <w:rFonts w:cs="Arial"/>
          <w:lang w:val="es-419"/>
        </w:rPr>
        <w:t>CarIPI</w:t>
      </w:r>
      <w:proofErr w:type="spellEnd"/>
      <w:r w:rsidRPr="00354EB1">
        <w:rPr>
          <w:rFonts w:cs="Arial"/>
          <w:lang w:val="es-419"/>
        </w:rPr>
        <w:t>, a través de seminarios virtuales sobre la organización de los exámenes DHE, con el fin de garantizar la independencia e imparcialidad de los exámenes técnicos.</w:t>
      </w:r>
    </w:p>
    <w:p w:rsidR="008035EB" w:rsidRPr="00354EB1" w:rsidRDefault="008035EB" w:rsidP="008035EB">
      <w:pPr>
        <w:autoSpaceDE w:val="0"/>
        <w:autoSpaceDN w:val="0"/>
        <w:adjustRightInd w:val="0"/>
        <w:contextualSpacing/>
        <w:rPr>
          <w:rFonts w:cs="Arial"/>
          <w:lang w:val="es-419"/>
        </w:rPr>
      </w:pPr>
    </w:p>
    <w:p w:rsidR="008035EB" w:rsidRPr="00354EB1" w:rsidRDefault="008035EB" w:rsidP="008035EB">
      <w:pPr>
        <w:autoSpaceDE w:val="0"/>
        <w:autoSpaceDN w:val="0"/>
        <w:adjustRightInd w:val="0"/>
        <w:contextualSpacing/>
        <w:rPr>
          <w:rFonts w:cs="Arial"/>
          <w:lang w:val="es-419"/>
        </w:rPr>
      </w:pPr>
    </w:p>
    <w:p w:rsidR="008035EB" w:rsidRPr="00354EB1" w:rsidRDefault="008035EB" w:rsidP="008035EB">
      <w:pPr>
        <w:contextualSpacing/>
        <w:rPr>
          <w:rFonts w:cs="Arial"/>
          <w:u w:val="single"/>
          <w:lang w:val="es-419"/>
        </w:rPr>
      </w:pPr>
      <w:r w:rsidRPr="00354EB1">
        <w:rPr>
          <w:rFonts w:cs="Arial"/>
          <w:lang w:val="es-419"/>
        </w:rPr>
        <w:t>5)</w:t>
      </w:r>
      <w:r w:rsidRPr="00354EB1">
        <w:rPr>
          <w:rFonts w:cs="Arial"/>
          <w:lang w:val="es-419"/>
        </w:rPr>
        <w:tab/>
      </w:r>
      <w:r w:rsidRPr="00354EB1">
        <w:rPr>
          <w:u w:val="single"/>
          <w:lang w:val="es-419"/>
        </w:rPr>
        <w:t>Actividades para la promoción de la protección de las variedades vegetales</w:t>
      </w:r>
      <w:r w:rsidRPr="00354EB1">
        <w:rPr>
          <w:rFonts w:cs="Arial"/>
          <w:u w:val="single"/>
          <w:lang w:val="es-419"/>
        </w:rPr>
        <w:t xml:space="preserve"> </w:t>
      </w:r>
    </w:p>
    <w:p w:rsidR="008035EB" w:rsidRPr="00354EB1" w:rsidRDefault="008035EB" w:rsidP="008035EB">
      <w:pPr>
        <w:pStyle w:val="NormalWeb"/>
        <w:spacing w:before="0" w:beforeAutospacing="0" w:after="0" w:afterAutospacing="0"/>
        <w:contextualSpacing/>
        <w:jc w:val="both"/>
        <w:rPr>
          <w:rFonts w:ascii="Arial" w:hAnsi="Arial" w:cs="Arial"/>
          <w:sz w:val="20"/>
          <w:szCs w:val="20"/>
          <w:u w:val="single"/>
          <w:lang w:val="es-419"/>
        </w:rPr>
      </w:pPr>
    </w:p>
    <w:p w:rsidR="008035EB" w:rsidRPr="00354EB1" w:rsidRDefault="008035EB" w:rsidP="008035EB">
      <w:pPr>
        <w:pStyle w:val="NormalWeb"/>
        <w:spacing w:before="0" w:beforeAutospacing="0" w:after="0" w:afterAutospacing="0"/>
        <w:contextualSpacing/>
        <w:jc w:val="both"/>
        <w:rPr>
          <w:rFonts w:ascii="Arial" w:hAnsi="Arial"/>
          <w:sz w:val="20"/>
          <w:szCs w:val="20"/>
          <w:u w:val="single"/>
          <w:lang w:val="es-419"/>
        </w:rPr>
      </w:pPr>
      <w:r w:rsidRPr="00354EB1">
        <w:rPr>
          <w:rFonts w:ascii="Arial" w:hAnsi="Arial"/>
          <w:sz w:val="20"/>
          <w:szCs w:val="20"/>
          <w:u w:val="single"/>
          <w:lang w:val="es-419"/>
        </w:rPr>
        <w:t>5.1 Cooperación internacional</w:t>
      </w: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r w:rsidRPr="00354EB1">
        <w:rPr>
          <w:rFonts w:ascii="Arial" w:hAnsi="Arial" w:cs="Arial"/>
          <w:sz w:val="20"/>
          <w:szCs w:val="20"/>
          <w:lang w:val="es-419"/>
        </w:rPr>
        <w:t xml:space="preserve">El 4 de octubre de 2017, la OCVV aprobó su estrategia de cooperación internacional en consonancia con la política comercial de la Unión Europea en el ámbito de los derechos de propiedad intelectual, a fin de respaldar </w:t>
      </w:r>
      <w:r w:rsidRPr="00354EB1">
        <w:rPr>
          <w:rFonts w:ascii="Arial" w:hAnsi="Arial" w:cs="Arial"/>
          <w:sz w:val="20"/>
          <w:szCs w:val="20"/>
          <w:lang w:val="es-419"/>
        </w:rPr>
        <w:lastRenderedPageBreak/>
        <w:t>la dimensión externa de las políticas de la Unión Europea. En el marco de esta estrategia, la OCVV adquirió la condición de parte interesada en los proyectos IP Key de cooperación internacional.</w:t>
      </w: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r w:rsidRPr="00354EB1">
        <w:rPr>
          <w:rFonts w:ascii="Arial" w:hAnsi="Arial" w:cs="Arial"/>
          <w:sz w:val="20"/>
          <w:szCs w:val="20"/>
          <w:lang w:val="es-419"/>
        </w:rPr>
        <w:t xml:space="preserve">Los proyectos IP Key de cooperación internacional se llevan a cabo bajo la dirección de la Comisión Europea y en colaboración con la Oficina de Propiedad Intelectual de la Unión Europea (EUIPO), y su objetivo es fortalecer la protección de la propiedad intelectual en China, América Latina y los países de la ASEAN. Además de los proyectos IP Key, la Comisión Europea ha iniciado la ejecución del proyecto </w:t>
      </w:r>
      <w:proofErr w:type="spellStart"/>
      <w:r w:rsidRPr="00354EB1">
        <w:rPr>
          <w:rFonts w:ascii="Arial" w:hAnsi="Arial" w:cs="Arial"/>
          <w:sz w:val="20"/>
          <w:szCs w:val="20"/>
          <w:lang w:val="es-419"/>
        </w:rPr>
        <w:t>CarIPI</w:t>
      </w:r>
      <w:proofErr w:type="spellEnd"/>
      <w:r w:rsidRPr="00354EB1">
        <w:rPr>
          <w:rFonts w:ascii="Arial" w:hAnsi="Arial" w:cs="Arial"/>
          <w:sz w:val="20"/>
          <w:szCs w:val="20"/>
          <w:lang w:val="es-419"/>
        </w:rPr>
        <w:t xml:space="preserve">, en la región del Caribe, y de </w:t>
      </w:r>
      <w:proofErr w:type="spellStart"/>
      <w:r w:rsidRPr="00354EB1">
        <w:rPr>
          <w:rFonts w:ascii="Arial" w:hAnsi="Arial" w:cs="Arial"/>
          <w:sz w:val="20"/>
          <w:szCs w:val="20"/>
          <w:lang w:val="es-419"/>
        </w:rPr>
        <w:t>AfrIPI</w:t>
      </w:r>
      <w:proofErr w:type="spellEnd"/>
      <w:r w:rsidRPr="00354EB1">
        <w:rPr>
          <w:rFonts w:ascii="Arial" w:hAnsi="Arial" w:cs="Arial"/>
          <w:sz w:val="20"/>
          <w:szCs w:val="20"/>
          <w:lang w:val="es-419"/>
        </w:rPr>
        <w:t>, en África. En el marco de estos proyectos se organizan seminarios y talleres de capacitación recíproca y se facilitan estudios y apoyo jurídico a los países beneficiarios, entre otras actividades.</w:t>
      </w: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r w:rsidRPr="00354EB1">
        <w:rPr>
          <w:rFonts w:ascii="Arial" w:hAnsi="Arial" w:cs="Arial"/>
          <w:sz w:val="20"/>
          <w:szCs w:val="20"/>
          <w:lang w:val="es-419"/>
        </w:rPr>
        <w:t xml:space="preserve">Debido al estallido de la pandemia de COVID-19, todos los proyectos de cooperación internacional se vieron afectados en lo que se refiere a la realización de actividades presenciales. La mayoría de las actividades se convirtieron en eventos en línea. </w:t>
      </w: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r w:rsidRPr="00354EB1">
        <w:rPr>
          <w:rFonts w:ascii="Arial" w:hAnsi="Arial" w:cs="Arial"/>
          <w:sz w:val="20"/>
          <w:szCs w:val="20"/>
          <w:lang w:val="es-419"/>
        </w:rPr>
        <w:t xml:space="preserve">En el marco de </w:t>
      </w:r>
      <w:r w:rsidRPr="00354EB1">
        <w:rPr>
          <w:rFonts w:ascii="Arial" w:hAnsi="Arial" w:cs="Arial"/>
          <w:b/>
          <w:sz w:val="20"/>
          <w:szCs w:val="20"/>
          <w:lang w:val="es-419"/>
        </w:rPr>
        <w:t>IP Key China</w:t>
      </w:r>
      <w:r w:rsidRPr="00354EB1">
        <w:rPr>
          <w:rFonts w:ascii="Arial" w:hAnsi="Arial" w:cs="Arial"/>
          <w:sz w:val="20"/>
          <w:szCs w:val="20"/>
          <w:lang w:val="es-419"/>
        </w:rPr>
        <w:t>, especialistas chinos tuvieron la oportunidad de asistir a lo largo de los últimos años a una sesión de formación de dos semanas sobre el examen DHE, celebradas de forma presencial en las instalaciones de diversas oficinas de examen de la Unión Europea. En octubre de 2020, gracias al esfuerzo combinado de seis Oficinas de Examen de Estados miembros de la Unión Europea (República Checa, Francia, Alemania, Hungría, Países Bajos y España) y la OCVV, el evento se transformó en un seminario en línea en el que participaron más de 60 especialistas del Ministerio de Agricultura y Asuntos Rurales y de la Administración Estatal de Silvicultura y Pastizales. En noviembre de 2020, más de 150 participantes y ponentes de la Unión Europea y China participaron en un seminario web sobre la observancia de los derechos de obtentor. La actividad permitió a ambas partes compartir experiencias, gracias a la participación de todos los implicados en las actividades de ejecución, y debatir los últimos avances en materia de legislación sobre protección de las obtenciones vegetales.</w:t>
      </w: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r w:rsidRPr="00354EB1">
        <w:rPr>
          <w:rFonts w:ascii="Arial" w:hAnsi="Arial" w:cs="Arial"/>
          <w:sz w:val="20"/>
          <w:szCs w:val="20"/>
          <w:lang w:val="es-419"/>
        </w:rPr>
        <w:t xml:space="preserve">En el marco de </w:t>
      </w:r>
      <w:r w:rsidRPr="00354EB1">
        <w:rPr>
          <w:rFonts w:ascii="Arial" w:hAnsi="Arial" w:cs="Arial"/>
          <w:b/>
          <w:sz w:val="20"/>
          <w:szCs w:val="20"/>
          <w:lang w:val="es-419"/>
        </w:rPr>
        <w:t>IP Key Sudeste Asiático</w:t>
      </w:r>
      <w:r w:rsidRPr="00354EB1">
        <w:rPr>
          <w:rFonts w:ascii="Arial" w:hAnsi="Arial" w:cs="Arial"/>
          <w:sz w:val="20"/>
          <w:szCs w:val="20"/>
          <w:lang w:val="es-419"/>
        </w:rPr>
        <w:t>, la OCVV contribuyó a la realización de varios seminarios web de carácter técnico y cursos de formación para funcionarios de las oficinas de PI, r</w:t>
      </w:r>
      <w:r w:rsidR="00557648">
        <w:rPr>
          <w:rFonts w:ascii="Arial" w:hAnsi="Arial" w:cs="Arial"/>
          <w:sz w:val="20"/>
          <w:szCs w:val="20"/>
          <w:lang w:val="es-419"/>
        </w:rPr>
        <w:t>elativos principalmente al Acta </w:t>
      </w:r>
      <w:r w:rsidRPr="00354EB1">
        <w:rPr>
          <w:rFonts w:ascii="Arial" w:hAnsi="Arial" w:cs="Arial"/>
          <w:sz w:val="20"/>
          <w:szCs w:val="20"/>
          <w:lang w:val="es-419"/>
        </w:rPr>
        <w:t>de 1991 del Convenio de la UPOV y a las ventajas del sistema de la UPOV. Dos series de seminarios web, una celebrada en noviembre de 2020 y otra en junio de 2021, se centraron en las ventajas de los sistemas de derechos de obtentor para la agricultura sostenible y la seguridad alimentaria mundial. Ambas fueron una ocasión para compartir de forma productiva puntos de vista sobre las ventajas que supone la adhesión al Acta de 1991 del Convenio de la UPOV para los agricultores y los obtentores, así como sobre cuestiones más apremiantes relativas a la protección de las obtenciones vegetales en el sudeste asiático. La segunda actividad que se llevó a cabo en 2021 consistió en una formación jurídica para funcionarios tailandeses, organizada conjuntamente con la UPOV y centrada en diversos aspectos del Convenio de la UPOV.</w:t>
      </w: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r w:rsidRPr="00354EB1">
        <w:rPr>
          <w:rFonts w:ascii="Arial" w:hAnsi="Arial" w:cs="Arial"/>
          <w:sz w:val="20"/>
          <w:szCs w:val="20"/>
          <w:lang w:val="es-419"/>
        </w:rPr>
        <w:t xml:space="preserve">En el marco de </w:t>
      </w:r>
      <w:r w:rsidRPr="00354EB1">
        <w:rPr>
          <w:rFonts w:ascii="Arial" w:hAnsi="Arial" w:cs="Arial"/>
          <w:b/>
          <w:sz w:val="20"/>
          <w:szCs w:val="20"/>
          <w:lang w:val="es-419"/>
        </w:rPr>
        <w:t>IP Key América Latina</w:t>
      </w:r>
      <w:r w:rsidRPr="00354EB1">
        <w:rPr>
          <w:rFonts w:ascii="Arial" w:hAnsi="Arial" w:cs="Arial"/>
          <w:sz w:val="20"/>
          <w:szCs w:val="20"/>
          <w:lang w:val="es-419"/>
        </w:rPr>
        <w:t>, en noviembre de 2020 se celebró un taller regional sobre la cooperación en el examen de solicitudes de protección de obtenciones vegetales que giró en torno a la independencia en la realización del examen DHE y a la detección y evitación de conflictos de intereses, y en el que participaron la OCVV, la UPOV y la Oficina Española de Variedades Vegetales (OEVV). El taller regional fue una valiosa ocasión para que los beneficiarios pusieran en común sus experiencias y las compartieran con la UE y los socios internacionales. Durante el evento, varios países expresaron su interés en seguir debatiendo planes de calidad en la gestión de los exámenes DHE.</w:t>
      </w: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r w:rsidRPr="00354EB1">
        <w:rPr>
          <w:rFonts w:ascii="Arial" w:hAnsi="Arial" w:cs="Arial"/>
          <w:sz w:val="20"/>
          <w:szCs w:val="20"/>
          <w:lang w:val="es-419"/>
        </w:rPr>
        <w:t xml:space="preserve">Por lo que se refiere al proyecto </w:t>
      </w:r>
      <w:proofErr w:type="spellStart"/>
      <w:r w:rsidRPr="00354EB1">
        <w:rPr>
          <w:rFonts w:ascii="Arial" w:hAnsi="Arial" w:cs="Arial"/>
          <w:b/>
          <w:sz w:val="20"/>
          <w:szCs w:val="20"/>
          <w:lang w:val="es-419"/>
        </w:rPr>
        <w:t>CarIPI</w:t>
      </w:r>
      <w:proofErr w:type="spellEnd"/>
      <w:r w:rsidRPr="00354EB1">
        <w:rPr>
          <w:rFonts w:ascii="Arial" w:hAnsi="Arial" w:cs="Arial"/>
          <w:sz w:val="20"/>
          <w:szCs w:val="20"/>
          <w:lang w:val="es-419"/>
        </w:rPr>
        <w:t>, la OCVV contribuyó a la organización de dos actividades en abril de 2021. El primer seminario web se centró en la independencia en la realización del examen DHE y la gestión de los conflictos de intereses en las oficinas de examen. Los principales destinatarios fueron las oficinas de PI y de protección de las obtenciones vegetales y los órganos técnicos que participan en las actividades de I+D y en el examen DHE en la República Dominicana, San Vicente y las Gra</w:t>
      </w:r>
      <w:r w:rsidR="00557648">
        <w:rPr>
          <w:rFonts w:ascii="Arial" w:hAnsi="Arial" w:cs="Arial"/>
          <w:sz w:val="20"/>
          <w:szCs w:val="20"/>
          <w:lang w:val="es-419"/>
        </w:rPr>
        <w:t xml:space="preserve">nadinas y Trinidad y </w:t>
      </w:r>
      <w:proofErr w:type="spellStart"/>
      <w:r w:rsidR="00557648">
        <w:rPr>
          <w:rFonts w:ascii="Arial" w:hAnsi="Arial" w:cs="Arial"/>
          <w:sz w:val="20"/>
          <w:szCs w:val="20"/>
          <w:lang w:val="es-419"/>
        </w:rPr>
        <w:t>Tabago</w:t>
      </w:r>
      <w:proofErr w:type="spellEnd"/>
      <w:r w:rsidR="00557648">
        <w:rPr>
          <w:rFonts w:ascii="Arial" w:hAnsi="Arial" w:cs="Arial"/>
          <w:sz w:val="20"/>
          <w:szCs w:val="20"/>
          <w:lang w:val="es-419"/>
        </w:rPr>
        <w:t>. No </w:t>
      </w:r>
      <w:r w:rsidRPr="00354EB1">
        <w:rPr>
          <w:rFonts w:ascii="Arial" w:hAnsi="Arial" w:cs="Arial"/>
          <w:sz w:val="20"/>
          <w:szCs w:val="20"/>
          <w:lang w:val="es-419"/>
        </w:rPr>
        <w:t>obstante, la actividad estuvo abierta al resto de los países del CARIFORUM. La segunda actividad se centró en la puesta en común de la experiencia de la República Dominicana en la implantación de un sistema de protección de las obtenciones vegetales, dando seguimiento a la actividad que se llevó a cabo en mayo de 2020 sobre la revisión de la legislación en materia de protección de las obtenciones vegetales. El seminario web estaba dirigido a todos los Estados del CARIFORUM y resultaba de especial interés para los países que acababan de adherirse al sistema de la UPOV, como San Vicente y las Granadinas.</w:t>
      </w: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r w:rsidRPr="00354EB1">
        <w:rPr>
          <w:rFonts w:ascii="Arial" w:hAnsi="Arial" w:cs="Arial"/>
          <w:sz w:val="20"/>
          <w:szCs w:val="20"/>
          <w:lang w:val="es-419"/>
        </w:rPr>
        <w:t>Tras depositar su instrumento de adhesión a la UPOV el 22 de febrero de 2021, San Vicente y las Granadinas se convirtió el 22 de marzo de 2021 en el septuagésimo séptimo miembro de la UPOV. En junio de 2021 se puso en marcha una actividad de apoyo al país de cara a la adaptación de la legislación y a la asistencia en la aplicación de las disposiciones administrativas pertinentes.</w:t>
      </w: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r w:rsidRPr="00354EB1">
        <w:rPr>
          <w:rFonts w:ascii="Arial" w:hAnsi="Arial" w:cs="Arial"/>
          <w:sz w:val="20"/>
          <w:szCs w:val="20"/>
          <w:lang w:val="es-419"/>
        </w:rPr>
        <w:lastRenderedPageBreak/>
        <w:t xml:space="preserve">El 1 de febrero de 2020 se puso en marcha el proyecto </w:t>
      </w:r>
      <w:proofErr w:type="spellStart"/>
      <w:r w:rsidRPr="00354EB1">
        <w:rPr>
          <w:rFonts w:ascii="Arial" w:hAnsi="Arial" w:cs="Arial"/>
          <w:b/>
          <w:sz w:val="20"/>
          <w:szCs w:val="20"/>
          <w:lang w:val="es-419"/>
        </w:rPr>
        <w:t>AfrIPI</w:t>
      </w:r>
      <w:proofErr w:type="spellEnd"/>
      <w:r w:rsidRPr="00354EB1">
        <w:rPr>
          <w:rFonts w:ascii="Arial" w:hAnsi="Arial" w:cs="Arial"/>
          <w:sz w:val="20"/>
          <w:szCs w:val="20"/>
          <w:lang w:val="es-419"/>
        </w:rPr>
        <w:t xml:space="preserve"> (</w:t>
      </w:r>
      <w:proofErr w:type="spellStart"/>
      <w:r w:rsidRPr="00354EB1">
        <w:rPr>
          <w:rFonts w:ascii="Arial" w:hAnsi="Arial" w:cs="Arial"/>
          <w:i/>
          <w:sz w:val="20"/>
          <w:szCs w:val="20"/>
          <w:lang w:val="es-419"/>
        </w:rPr>
        <w:t>Intellectual</w:t>
      </w:r>
      <w:proofErr w:type="spellEnd"/>
      <w:r w:rsidRPr="00354EB1">
        <w:rPr>
          <w:rFonts w:ascii="Arial" w:hAnsi="Arial" w:cs="Arial"/>
          <w:i/>
          <w:sz w:val="20"/>
          <w:szCs w:val="20"/>
          <w:lang w:val="es-419"/>
        </w:rPr>
        <w:t xml:space="preserve"> </w:t>
      </w:r>
      <w:proofErr w:type="spellStart"/>
      <w:r w:rsidRPr="00354EB1">
        <w:rPr>
          <w:rFonts w:ascii="Arial" w:hAnsi="Arial" w:cs="Arial"/>
          <w:i/>
          <w:sz w:val="20"/>
          <w:szCs w:val="20"/>
          <w:lang w:val="es-419"/>
        </w:rPr>
        <w:t>Property</w:t>
      </w:r>
      <w:proofErr w:type="spellEnd"/>
      <w:r w:rsidRPr="00354EB1">
        <w:rPr>
          <w:rFonts w:ascii="Arial" w:hAnsi="Arial" w:cs="Arial"/>
          <w:i/>
          <w:sz w:val="20"/>
          <w:szCs w:val="20"/>
          <w:lang w:val="es-419"/>
        </w:rPr>
        <w:t xml:space="preserve"> </w:t>
      </w:r>
      <w:proofErr w:type="spellStart"/>
      <w:r w:rsidRPr="00354EB1">
        <w:rPr>
          <w:rFonts w:ascii="Arial" w:hAnsi="Arial" w:cs="Arial"/>
          <w:i/>
          <w:sz w:val="20"/>
          <w:szCs w:val="20"/>
          <w:lang w:val="es-419"/>
        </w:rPr>
        <w:t>Rights</w:t>
      </w:r>
      <w:proofErr w:type="spellEnd"/>
      <w:r w:rsidRPr="00354EB1">
        <w:rPr>
          <w:rFonts w:ascii="Arial" w:hAnsi="Arial" w:cs="Arial"/>
          <w:i/>
          <w:sz w:val="20"/>
          <w:szCs w:val="20"/>
          <w:lang w:val="es-419"/>
        </w:rPr>
        <w:t xml:space="preserve"> </w:t>
      </w:r>
      <w:proofErr w:type="spellStart"/>
      <w:r w:rsidRPr="00354EB1">
        <w:rPr>
          <w:rFonts w:ascii="Arial" w:hAnsi="Arial" w:cs="Arial"/>
          <w:i/>
          <w:sz w:val="20"/>
          <w:szCs w:val="20"/>
          <w:lang w:val="es-419"/>
        </w:rPr>
        <w:t>Action</w:t>
      </w:r>
      <w:proofErr w:type="spellEnd"/>
      <w:r w:rsidRPr="00354EB1">
        <w:rPr>
          <w:rFonts w:ascii="Arial" w:hAnsi="Arial" w:cs="Arial"/>
          <w:i/>
          <w:sz w:val="20"/>
          <w:szCs w:val="20"/>
          <w:lang w:val="es-419"/>
        </w:rPr>
        <w:t xml:space="preserve"> </w:t>
      </w:r>
      <w:proofErr w:type="spellStart"/>
      <w:r w:rsidRPr="00354EB1">
        <w:rPr>
          <w:rFonts w:ascii="Arial" w:hAnsi="Arial" w:cs="Arial"/>
          <w:i/>
          <w:sz w:val="20"/>
          <w:szCs w:val="20"/>
          <w:lang w:val="es-419"/>
        </w:rPr>
        <w:t>for</w:t>
      </w:r>
      <w:proofErr w:type="spellEnd"/>
      <w:r w:rsidRPr="00354EB1">
        <w:rPr>
          <w:rFonts w:ascii="Arial" w:hAnsi="Arial" w:cs="Arial"/>
          <w:i/>
          <w:sz w:val="20"/>
          <w:szCs w:val="20"/>
          <w:lang w:val="es-419"/>
        </w:rPr>
        <w:t xml:space="preserve"> </w:t>
      </w:r>
      <w:proofErr w:type="spellStart"/>
      <w:r w:rsidRPr="00354EB1">
        <w:rPr>
          <w:rFonts w:ascii="Arial" w:hAnsi="Arial" w:cs="Arial"/>
          <w:i/>
          <w:sz w:val="20"/>
          <w:szCs w:val="20"/>
          <w:lang w:val="es-419"/>
        </w:rPr>
        <w:t>Africa</w:t>
      </w:r>
      <w:proofErr w:type="spellEnd"/>
      <w:r w:rsidRPr="00354EB1">
        <w:rPr>
          <w:rFonts w:ascii="Arial" w:hAnsi="Arial" w:cs="Arial"/>
          <w:sz w:val="20"/>
          <w:szCs w:val="20"/>
          <w:lang w:val="es-419"/>
        </w:rPr>
        <w:t xml:space="preserve">), que comenzó con una fase inicial de 7 meses y tendrá una duración de cuatro años. El proyecto se financia en el marco del programa panafricano y su ejecución es responsabilidad de la EUIPO. La fase inicial del proyecto se vio seriamente condicionada por la pandemia de COVID-19, que hizo muy difícil la recopilación de información de los países beneficiarios. En el primer plan de trabajo anual del proyecto se preveía la participación de la OCVV en la realización de una actividad de promoción del Protocolo de </w:t>
      </w:r>
      <w:proofErr w:type="spellStart"/>
      <w:r w:rsidRPr="00354EB1">
        <w:rPr>
          <w:rFonts w:ascii="Arial" w:hAnsi="Arial" w:cs="Arial"/>
          <w:sz w:val="20"/>
          <w:szCs w:val="20"/>
          <w:lang w:val="es-419"/>
        </w:rPr>
        <w:t>Arusha</w:t>
      </w:r>
      <w:proofErr w:type="spellEnd"/>
      <w:r w:rsidRPr="00354EB1">
        <w:rPr>
          <w:rFonts w:ascii="Arial" w:hAnsi="Arial" w:cs="Arial"/>
          <w:sz w:val="20"/>
          <w:szCs w:val="20"/>
          <w:lang w:val="es-419"/>
        </w:rPr>
        <w:t xml:space="preserve">. El taller estaba inicialmente previsto para octubre de 2020, pero se ha pospuesto hasta el tercer trimestre de 2021. En julio de 2021, la OCVV, en colaboración con la UPOV, propuso la inclusión de tres actividades en el segundo plan de trabajo anual del proyecto </w:t>
      </w:r>
      <w:proofErr w:type="spellStart"/>
      <w:r w:rsidRPr="00354EB1">
        <w:rPr>
          <w:rFonts w:ascii="Arial" w:hAnsi="Arial" w:cs="Arial"/>
          <w:sz w:val="20"/>
          <w:szCs w:val="20"/>
          <w:lang w:val="es-419"/>
        </w:rPr>
        <w:t>AfrIPI</w:t>
      </w:r>
      <w:proofErr w:type="spellEnd"/>
      <w:r w:rsidRPr="00354EB1">
        <w:rPr>
          <w:rFonts w:ascii="Arial" w:hAnsi="Arial" w:cs="Arial"/>
          <w:sz w:val="20"/>
          <w:szCs w:val="20"/>
          <w:lang w:val="es-419"/>
        </w:rPr>
        <w:t>.</w:t>
      </w: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r w:rsidRPr="00354EB1">
        <w:rPr>
          <w:rFonts w:ascii="Arial" w:hAnsi="Arial" w:cs="Arial"/>
          <w:sz w:val="20"/>
          <w:szCs w:val="20"/>
          <w:lang w:val="es-419"/>
        </w:rPr>
        <w:t>Además de los proyectos IP Key, el 22 de julio de 2021 la OCVV fue invitada a participar como ponente en el Simposio Internacional sobre la Conservación de las Obtenciones Vegetales, organizado por la academia china de silvicultura (NFGA). El seminario giró en torno a diversos conceptos clave del Acta de 1991 del Convenio de la UPOV, como las variedades esencialmente derivadas, la novedad y las variedades notoriamente conocidas, así como la protección del producto de la cosecha. El acto contó también con la participación de representantes de China, que explicaron los derechos de los agricultores en el marco del sistema chino de protección de las obtenciones vegetales y los diferentes escenarios de uso de las técnicas moleculares en el marco de dicho sistema.</w:t>
      </w:r>
    </w:p>
    <w:p w:rsidR="008035EB" w:rsidRPr="00354EB1" w:rsidRDefault="008035EB" w:rsidP="008035EB">
      <w:pPr>
        <w:autoSpaceDE w:val="0"/>
        <w:autoSpaceDN w:val="0"/>
        <w:adjustRightInd w:val="0"/>
        <w:contextualSpacing/>
        <w:rPr>
          <w:rFonts w:cs="Arial"/>
          <w:lang w:val="es-419"/>
        </w:rPr>
      </w:pPr>
    </w:p>
    <w:p w:rsidR="008035EB" w:rsidRPr="00354EB1" w:rsidRDefault="008035EB" w:rsidP="008035EB">
      <w:pPr>
        <w:autoSpaceDE w:val="0"/>
        <w:autoSpaceDN w:val="0"/>
        <w:adjustRightInd w:val="0"/>
        <w:contextualSpacing/>
        <w:rPr>
          <w:rFonts w:cs="Arial"/>
          <w:u w:val="single"/>
          <w:lang w:val="es-419"/>
        </w:rPr>
      </w:pPr>
      <w:r w:rsidRPr="00354EB1">
        <w:rPr>
          <w:rFonts w:cs="Arial"/>
          <w:u w:val="single"/>
          <w:lang w:val="es-419"/>
        </w:rPr>
        <w:t>Reuniones de la UPOV</w:t>
      </w: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r w:rsidRPr="00354EB1">
        <w:rPr>
          <w:rFonts w:ascii="Arial" w:hAnsi="Arial" w:cs="Arial"/>
          <w:sz w:val="20"/>
          <w:szCs w:val="20"/>
          <w:lang w:val="es-419"/>
        </w:rPr>
        <w:t>Los representantes de la Comisión Europea y de la OCVV asistieron al Consejo de la UPOV, al Comité Consultivo, al Comité Administrativo y Jurídico, así como a los grupos de trabajo sobre cooperación internacional, el formulario electrónico de solicitud y las denominaciones de variedades, así como a las reuniones de los grupos de trabajo técnico.</w:t>
      </w:r>
    </w:p>
    <w:p w:rsidR="008035EB" w:rsidRPr="00354EB1" w:rsidRDefault="008035EB" w:rsidP="008035EB">
      <w:pPr>
        <w:autoSpaceDE w:val="0"/>
        <w:autoSpaceDN w:val="0"/>
        <w:adjustRightInd w:val="0"/>
        <w:contextualSpacing/>
        <w:rPr>
          <w:rFonts w:cs="Arial"/>
          <w:lang w:val="es-419"/>
        </w:rPr>
      </w:pPr>
    </w:p>
    <w:p w:rsidR="008035EB" w:rsidRPr="00354EB1" w:rsidRDefault="008035EB" w:rsidP="008035EB">
      <w:pPr>
        <w:keepNext/>
        <w:autoSpaceDE w:val="0"/>
        <w:autoSpaceDN w:val="0"/>
        <w:adjustRightInd w:val="0"/>
        <w:contextualSpacing/>
        <w:rPr>
          <w:rFonts w:cs="Arial"/>
          <w:u w:val="single"/>
          <w:lang w:val="es-419"/>
        </w:rPr>
      </w:pPr>
      <w:r w:rsidRPr="00354EB1">
        <w:rPr>
          <w:u w:val="single"/>
          <w:lang w:val="es-419"/>
        </w:rPr>
        <w:t>Foro EAPVP</w:t>
      </w:r>
    </w:p>
    <w:p w:rsidR="008035EB" w:rsidRPr="00354EB1" w:rsidRDefault="008035EB" w:rsidP="008035EB">
      <w:pPr>
        <w:keepNext/>
        <w:autoSpaceDE w:val="0"/>
        <w:autoSpaceDN w:val="0"/>
        <w:adjustRightInd w:val="0"/>
        <w:contextualSpacing/>
        <w:rPr>
          <w:rFonts w:cs="Arial"/>
          <w:lang w:val="es-419"/>
        </w:rPr>
      </w:pPr>
    </w:p>
    <w:p w:rsidR="008035EB" w:rsidRPr="00354EB1" w:rsidRDefault="008035EB" w:rsidP="008035EB">
      <w:pPr>
        <w:autoSpaceDE w:val="0"/>
        <w:autoSpaceDN w:val="0"/>
        <w:adjustRightInd w:val="0"/>
        <w:contextualSpacing/>
        <w:rPr>
          <w:rFonts w:cs="Arial"/>
          <w:lang w:val="es-419"/>
        </w:rPr>
      </w:pPr>
      <w:r w:rsidRPr="00354EB1">
        <w:rPr>
          <w:rFonts w:cs="Arial"/>
          <w:lang w:val="es-419"/>
        </w:rPr>
        <w:t>Debido a la pandemia de COVID-19 se pospuso el decimotercer Foro de Asia Oriental para la Protección de las Variedades Vegetales (Foro EAPVP), que se celebró en noviembre de 2020. Está previsto que el decimocuarto foro anual tenga lugar entre agosto y septiembre de 2021 y que el país anfitrión sea el Japón. La reunión anual del Foro EAPVP tiene por objeto informar sobre las actividades del año anterior y planificar futuras iniciativas de cooperación, incluida la actualización del proyecto piloto del Foro EAPVP sobre el establecimiento de una plataforma de e-PVP.</w:t>
      </w:r>
    </w:p>
    <w:p w:rsidR="008035EB" w:rsidRPr="00354EB1" w:rsidRDefault="008035EB" w:rsidP="008035EB">
      <w:pPr>
        <w:autoSpaceDE w:val="0"/>
        <w:autoSpaceDN w:val="0"/>
        <w:adjustRightInd w:val="0"/>
        <w:contextualSpacing/>
        <w:rPr>
          <w:rFonts w:cs="Arial"/>
          <w:lang w:val="es-419"/>
        </w:rPr>
      </w:pPr>
    </w:p>
    <w:p w:rsidR="008035EB" w:rsidRPr="00354EB1" w:rsidRDefault="008035EB" w:rsidP="008035EB">
      <w:pPr>
        <w:autoSpaceDE w:val="0"/>
        <w:autoSpaceDN w:val="0"/>
        <w:adjustRightInd w:val="0"/>
        <w:contextualSpacing/>
        <w:rPr>
          <w:rFonts w:cs="Arial"/>
          <w:u w:val="single"/>
          <w:lang w:val="es-419"/>
        </w:rPr>
      </w:pPr>
      <w:r w:rsidRPr="00354EB1">
        <w:rPr>
          <w:u w:val="single"/>
          <w:lang w:val="es-419"/>
        </w:rPr>
        <w:t>La OCVV y la Oficina Europea de Patentes</w:t>
      </w:r>
    </w:p>
    <w:p w:rsidR="008035EB" w:rsidRPr="00354EB1" w:rsidRDefault="008035EB" w:rsidP="008035EB">
      <w:pPr>
        <w:autoSpaceDE w:val="0"/>
        <w:autoSpaceDN w:val="0"/>
        <w:adjustRightInd w:val="0"/>
        <w:contextualSpacing/>
        <w:rPr>
          <w:rFonts w:cs="Arial"/>
          <w:lang w:val="es-419"/>
        </w:rPr>
      </w:pPr>
    </w:p>
    <w:p w:rsidR="008035EB" w:rsidRPr="00354EB1" w:rsidRDefault="008035EB" w:rsidP="008035EB">
      <w:pPr>
        <w:autoSpaceDE w:val="0"/>
        <w:autoSpaceDN w:val="0"/>
        <w:adjustRightInd w:val="0"/>
        <w:contextualSpacing/>
        <w:rPr>
          <w:rFonts w:cs="Arial"/>
          <w:lang w:val="es-419"/>
        </w:rPr>
      </w:pPr>
      <w:r w:rsidRPr="00354EB1">
        <w:rPr>
          <w:rFonts w:cs="Arial"/>
          <w:lang w:val="es-419"/>
        </w:rPr>
        <w:t xml:space="preserve">La OCVV y la Oficina Europea de Patentes (OEP) mantienen una cooperación permanente bajo el paraguas de dos acuerdos, el acuerdo administrativo N.º 2016/0009, firmado el 11 de febrero de 2016, de cooperación bilateral para compartir información y prácticas óptimas en el ámbito de las patentes de plantas y los derechos de obtentor, y el acuerdo 2018/0264, sobre aspectos prácticos de la aplicación del acuerdo anterior. Ambos acuerdos expiran en febrero de 2022 y se están celebrando conversaciones con vistas a su renovación. </w:t>
      </w:r>
    </w:p>
    <w:p w:rsidR="008035EB" w:rsidRPr="00354EB1" w:rsidRDefault="008035EB" w:rsidP="008035EB">
      <w:pPr>
        <w:autoSpaceDE w:val="0"/>
        <w:autoSpaceDN w:val="0"/>
        <w:adjustRightInd w:val="0"/>
        <w:contextualSpacing/>
        <w:rPr>
          <w:rFonts w:cs="Arial"/>
          <w:lang w:val="es-419"/>
        </w:rPr>
      </w:pPr>
    </w:p>
    <w:p w:rsidR="008035EB" w:rsidRPr="00354EB1" w:rsidRDefault="008035EB" w:rsidP="008035EB">
      <w:pPr>
        <w:autoSpaceDE w:val="0"/>
        <w:autoSpaceDN w:val="0"/>
        <w:adjustRightInd w:val="0"/>
        <w:contextualSpacing/>
        <w:rPr>
          <w:rFonts w:cs="Arial"/>
          <w:lang w:val="es-419"/>
        </w:rPr>
      </w:pPr>
      <w:r w:rsidRPr="00354EB1">
        <w:rPr>
          <w:rFonts w:cs="Arial"/>
          <w:lang w:val="es-419"/>
        </w:rPr>
        <w:t xml:space="preserve">En cumplimiento del acuerdo, en enero de 2021 las dos organizaciones celebraron un taller conjunto sobre los resultados del dictamen G3/19 de la Alta Cámara de Recursos de la OEP. La principal cuestión a tratar se refería a la </w:t>
      </w:r>
      <w:proofErr w:type="spellStart"/>
      <w:r w:rsidRPr="00354EB1">
        <w:rPr>
          <w:rFonts w:cs="Arial"/>
          <w:lang w:val="es-419"/>
        </w:rPr>
        <w:t>patentabilidad</w:t>
      </w:r>
      <w:proofErr w:type="spellEnd"/>
      <w:r w:rsidRPr="00354EB1">
        <w:rPr>
          <w:rFonts w:cs="Arial"/>
          <w:lang w:val="es-419"/>
        </w:rPr>
        <w:t xml:space="preserve"> de los procesos de </w:t>
      </w:r>
      <w:proofErr w:type="spellStart"/>
      <w:r w:rsidRPr="00354EB1">
        <w:rPr>
          <w:rFonts w:cs="Arial"/>
          <w:lang w:val="es-419"/>
        </w:rPr>
        <w:t>mutagénesis</w:t>
      </w:r>
      <w:proofErr w:type="spellEnd"/>
      <w:r w:rsidRPr="00354EB1">
        <w:rPr>
          <w:rFonts w:cs="Arial"/>
          <w:lang w:val="es-419"/>
        </w:rPr>
        <w:t xml:space="preserve"> y los productos obtenidos a partir de ellos. La reunión ofreció también una ocasión para seguir explorando la configuración jurídica de las audiencias celebradas por videoconferencia, para hacer frente a situaciones inéditas como la pandemia de COVID-19 y aprovechar las posibilidades que ofrecen las nuevas tecnologías.</w:t>
      </w:r>
    </w:p>
    <w:p w:rsidR="008035EB" w:rsidRPr="00354EB1" w:rsidRDefault="008035EB" w:rsidP="008035EB">
      <w:pPr>
        <w:autoSpaceDE w:val="0"/>
        <w:autoSpaceDN w:val="0"/>
        <w:adjustRightInd w:val="0"/>
        <w:contextualSpacing/>
        <w:rPr>
          <w:rFonts w:cs="Arial"/>
          <w:lang w:val="es-419"/>
        </w:rPr>
      </w:pPr>
    </w:p>
    <w:p w:rsidR="008035EB" w:rsidRPr="00354EB1" w:rsidRDefault="008035EB" w:rsidP="008035EB">
      <w:pPr>
        <w:autoSpaceDE w:val="0"/>
        <w:autoSpaceDN w:val="0"/>
        <w:adjustRightInd w:val="0"/>
        <w:contextualSpacing/>
        <w:rPr>
          <w:rFonts w:cs="Arial"/>
          <w:u w:val="single"/>
          <w:lang w:val="es-419"/>
        </w:rPr>
      </w:pPr>
      <w:r w:rsidRPr="00354EB1">
        <w:rPr>
          <w:rFonts w:cs="Arial"/>
          <w:u w:val="single"/>
          <w:lang w:val="es-419"/>
        </w:rPr>
        <w:t>OAPI</w:t>
      </w: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p>
    <w:p w:rsidR="008035EB" w:rsidRPr="00354EB1" w:rsidRDefault="008035EB" w:rsidP="008035EB">
      <w:pPr>
        <w:pStyle w:val="NormalWeb"/>
        <w:spacing w:before="0" w:beforeAutospacing="0" w:after="0" w:afterAutospacing="0"/>
        <w:contextualSpacing/>
        <w:jc w:val="both"/>
        <w:rPr>
          <w:lang w:val="es-419"/>
        </w:rPr>
      </w:pPr>
      <w:r w:rsidRPr="00354EB1">
        <w:rPr>
          <w:rFonts w:ascii="Arial" w:hAnsi="Arial" w:cs="Arial"/>
          <w:sz w:val="20"/>
          <w:szCs w:val="20"/>
          <w:lang w:val="es-419"/>
        </w:rPr>
        <w:t xml:space="preserve">A comienzos de julio de 2019, la Comisión Europea firmó en Ginebra un contrato con la Organización Africana de la Propiedad Intelectual (OAPI) a fin de aportar fondos a la denominada “hoja de ruta” para la promoción de la propiedad intelectual, con objeto de fomentar la creación de nuevas variedades adaptadas al mercado africano e incentivar la puesta a disposición en el territorio de la OAPI de variedades mejoradas de otros países. La gestión del proyecto corresponde a la OAPI; la OCVV participa como asociado, junto con la UPOV, el GEVES, el GNIS y el </w:t>
      </w:r>
      <w:proofErr w:type="spellStart"/>
      <w:r w:rsidRPr="00354EB1">
        <w:rPr>
          <w:rFonts w:ascii="Arial" w:hAnsi="Arial" w:cs="Arial"/>
          <w:i/>
          <w:sz w:val="20"/>
          <w:szCs w:val="20"/>
          <w:lang w:val="es-419"/>
        </w:rPr>
        <w:t>Naktuinbouw</w:t>
      </w:r>
      <w:proofErr w:type="spellEnd"/>
      <w:r w:rsidRPr="00354EB1">
        <w:rPr>
          <w:rFonts w:ascii="Arial" w:hAnsi="Arial" w:cs="Arial"/>
          <w:sz w:val="20"/>
          <w:szCs w:val="20"/>
          <w:lang w:val="es-419"/>
        </w:rPr>
        <w:t>.</w:t>
      </w: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p>
    <w:p w:rsidR="008035EB" w:rsidRPr="00354EB1" w:rsidRDefault="008035EB" w:rsidP="008035EB">
      <w:pPr>
        <w:pStyle w:val="NormalWeb"/>
        <w:spacing w:before="0" w:beforeAutospacing="0" w:after="0" w:afterAutospacing="0"/>
        <w:contextualSpacing/>
        <w:jc w:val="both"/>
        <w:rPr>
          <w:rFonts w:ascii="Arial" w:hAnsi="Arial" w:cs="Arial"/>
          <w:sz w:val="20"/>
          <w:szCs w:val="20"/>
          <w:lang w:val="es-419"/>
        </w:rPr>
      </w:pPr>
      <w:r w:rsidRPr="00354EB1">
        <w:rPr>
          <w:rFonts w:ascii="Arial" w:hAnsi="Arial" w:cs="Arial"/>
          <w:sz w:val="20"/>
          <w:szCs w:val="20"/>
          <w:lang w:val="es-419"/>
        </w:rPr>
        <w:t>Debido a las restricciones sanitarias relacionadas con la pandemia de COVID-19, hubo que posponer las actividades previstas para enero y febrero de 2021 que requerían la presencia física de los expertos de la OCVV (evaluación de las instalaciones donde se realizan los ensayos). La ejecución del proyecto continuará hasta el segundo trimestre de 2022. No obstante, la OAPI organizó seminarios destinados a los obtentores y productores de semillas en Brazzaville, en mayo, y en Libreville, en junio de 2021; la OCVV participó en ellos por medios electrónicos.</w:t>
      </w:r>
    </w:p>
    <w:p w:rsidR="008035EB" w:rsidRPr="00354EB1" w:rsidRDefault="008035EB" w:rsidP="00557648">
      <w:pPr>
        <w:keepNext/>
        <w:autoSpaceDE w:val="0"/>
        <w:autoSpaceDN w:val="0"/>
        <w:adjustRightInd w:val="0"/>
        <w:contextualSpacing/>
        <w:rPr>
          <w:rFonts w:cs="Arial"/>
          <w:u w:val="single"/>
          <w:lang w:val="es-419"/>
        </w:rPr>
      </w:pPr>
      <w:r w:rsidRPr="00354EB1">
        <w:rPr>
          <w:rFonts w:cs="Arial"/>
          <w:u w:val="single"/>
          <w:lang w:val="es-419"/>
        </w:rPr>
        <w:lastRenderedPageBreak/>
        <w:t xml:space="preserve">5.2 </w:t>
      </w:r>
      <w:r w:rsidRPr="00354EB1">
        <w:rPr>
          <w:u w:val="single"/>
          <w:lang w:val="es-419"/>
        </w:rPr>
        <w:t>Formación</w:t>
      </w:r>
    </w:p>
    <w:p w:rsidR="008035EB" w:rsidRPr="00354EB1" w:rsidRDefault="008035EB" w:rsidP="00557648">
      <w:pPr>
        <w:keepNext/>
        <w:autoSpaceDE w:val="0"/>
        <w:autoSpaceDN w:val="0"/>
        <w:adjustRightInd w:val="0"/>
        <w:contextualSpacing/>
        <w:rPr>
          <w:rFonts w:cs="Arial"/>
          <w:lang w:val="es-419"/>
        </w:rPr>
      </w:pPr>
    </w:p>
    <w:p w:rsidR="008035EB" w:rsidRPr="00354EB1" w:rsidRDefault="008035EB" w:rsidP="008035EB">
      <w:pPr>
        <w:autoSpaceDE w:val="0"/>
        <w:autoSpaceDN w:val="0"/>
        <w:adjustRightInd w:val="0"/>
        <w:contextualSpacing/>
        <w:rPr>
          <w:rFonts w:cs="Arial"/>
          <w:lang w:val="es-419"/>
        </w:rPr>
      </w:pPr>
      <w:r w:rsidRPr="00354EB1">
        <w:rPr>
          <w:lang w:val="es-419"/>
        </w:rPr>
        <w:t>Durante el período </w:t>
      </w:r>
      <w:r w:rsidRPr="00354EB1">
        <w:rPr>
          <w:rFonts w:cs="Arial"/>
          <w:lang w:val="es-419"/>
        </w:rPr>
        <w:t>2020-2021</w:t>
      </w:r>
      <w:r w:rsidRPr="00354EB1">
        <w:rPr>
          <w:lang w:val="es-419"/>
        </w:rPr>
        <w:t>, la OCVV participó en la preparación de varias actividades de formación que se llevaron a cabo principalmente en línea a causa de la pandemia de COVID-19, entre ellas</w:t>
      </w:r>
      <w:r w:rsidRPr="00354EB1">
        <w:rPr>
          <w:rFonts w:cs="Arial"/>
          <w:lang w:val="es-419"/>
        </w:rPr>
        <w:t xml:space="preserve">: </w:t>
      </w:r>
    </w:p>
    <w:p w:rsidR="008035EB" w:rsidRPr="00354EB1" w:rsidRDefault="008035EB" w:rsidP="008035EB">
      <w:pPr>
        <w:autoSpaceDE w:val="0"/>
        <w:autoSpaceDN w:val="0"/>
        <w:adjustRightInd w:val="0"/>
        <w:contextualSpacing/>
        <w:rPr>
          <w:rFonts w:cs="Arial"/>
          <w:lang w:val="es-419"/>
        </w:rPr>
      </w:pPr>
    </w:p>
    <w:p w:rsidR="008035EB" w:rsidRPr="00354EB1" w:rsidRDefault="008035EB" w:rsidP="008035EB">
      <w:pPr>
        <w:numPr>
          <w:ilvl w:val="0"/>
          <w:numId w:val="21"/>
        </w:numPr>
        <w:autoSpaceDE w:val="0"/>
        <w:autoSpaceDN w:val="0"/>
        <w:adjustRightInd w:val="0"/>
        <w:contextualSpacing/>
        <w:rPr>
          <w:rFonts w:cs="Arial"/>
          <w:lang w:val="es-419"/>
        </w:rPr>
      </w:pPr>
      <w:r w:rsidRPr="00354EB1">
        <w:rPr>
          <w:rFonts w:cs="Arial"/>
          <w:lang w:val="es-419"/>
        </w:rPr>
        <w:t xml:space="preserve">Presentación de la OCVV ante los estudiantes de máster en </w:t>
      </w:r>
      <w:proofErr w:type="spellStart"/>
      <w:r w:rsidRPr="00354EB1">
        <w:rPr>
          <w:rFonts w:cs="Arial"/>
          <w:lang w:val="es-419"/>
        </w:rPr>
        <w:t>fitomejoramiento</w:t>
      </w:r>
      <w:proofErr w:type="spellEnd"/>
      <w:r w:rsidRPr="00354EB1">
        <w:rPr>
          <w:rFonts w:cs="Arial"/>
          <w:lang w:val="es-419"/>
        </w:rPr>
        <w:t xml:space="preserve"> del Instituto Politécnico </w:t>
      </w:r>
      <w:proofErr w:type="spellStart"/>
      <w:r w:rsidRPr="00354EB1">
        <w:rPr>
          <w:rFonts w:cs="Arial"/>
          <w:lang w:val="es-419"/>
        </w:rPr>
        <w:t>UniLaSalle</w:t>
      </w:r>
      <w:proofErr w:type="spellEnd"/>
      <w:r w:rsidRPr="00354EB1">
        <w:rPr>
          <w:rFonts w:cs="Arial"/>
          <w:lang w:val="es-419"/>
        </w:rPr>
        <w:t xml:space="preserve"> de </w:t>
      </w:r>
      <w:proofErr w:type="spellStart"/>
      <w:r w:rsidRPr="00354EB1">
        <w:rPr>
          <w:rFonts w:cs="Arial"/>
          <w:lang w:val="es-419"/>
        </w:rPr>
        <w:t>Beauvais</w:t>
      </w:r>
      <w:proofErr w:type="spellEnd"/>
      <w:r w:rsidRPr="00354EB1">
        <w:rPr>
          <w:rFonts w:cs="Arial"/>
          <w:lang w:val="es-419"/>
        </w:rPr>
        <w:t>, el 28 de septiembre de 2020</w:t>
      </w:r>
    </w:p>
    <w:p w:rsidR="008035EB" w:rsidRPr="00354EB1" w:rsidRDefault="008035EB" w:rsidP="008035EB">
      <w:pPr>
        <w:numPr>
          <w:ilvl w:val="0"/>
          <w:numId w:val="21"/>
        </w:numPr>
        <w:autoSpaceDE w:val="0"/>
        <w:autoSpaceDN w:val="0"/>
        <w:adjustRightInd w:val="0"/>
        <w:contextualSpacing/>
        <w:rPr>
          <w:rFonts w:cs="Arial"/>
          <w:lang w:val="es-419"/>
        </w:rPr>
      </w:pPr>
      <w:r w:rsidRPr="00354EB1">
        <w:rPr>
          <w:rFonts w:cs="Arial"/>
          <w:lang w:val="es-419"/>
        </w:rPr>
        <w:t xml:space="preserve">Seminario web sobre las variedades esencialmente derivadas en colaboración con </w:t>
      </w:r>
      <w:proofErr w:type="spellStart"/>
      <w:r w:rsidRPr="00354EB1">
        <w:rPr>
          <w:rFonts w:cs="Arial"/>
          <w:lang w:val="es-419"/>
        </w:rPr>
        <w:t>Vegepolys</w:t>
      </w:r>
      <w:proofErr w:type="spellEnd"/>
      <w:r w:rsidRPr="00354EB1">
        <w:rPr>
          <w:rFonts w:cs="Arial"/>
          <w:lang w:val="es-419"/>
        </w:rPr>
        <w:t>, el 9 de octubre de 2020</w:t>
      </w:r>
    </w:p>
    <w:p w:rsidR="008035EB" w:rsidRPr="00354EB1" w:rsidRDefault="008035EB" w:rsidP="008035EB">
      <w:pPr>
        <w:numPr>
          <w:ilvl w:val="0"/>
          <w:numId w:val="21"/>
        </w:numPr>
        <w:autoSpaceDE w:val="0"/>
        <w:autoSpaceDN w:val="0"/>
        <w:adjustRightInd w:val="0"/>
        <w:contextualSpacing/>
        <w:rPr>
          <w:rFonts w:cs="Arial"/>
          <w:lang w:val="es-419"/>
        </w:rPr>
      </w:pPr>
      <w:r w:rsidRPr="00354EB1">
        <w:rPr>
          <w:rFonts w:cs="Arial"/>
          <w:lang w:val="es-419"/>
        </w:rPr>
        <w:t>Presentación de la OCVV ante los estudiantes de la ESA, el 5 de noviembre de 2020</w:t>
      </w:r>
    </w:p>
    <w:p w:rsidR="008035EB" w:rsidRPr="00354EB1" w:rsidRDefault="008035EB" w:rsidP="008035EB">
      <w:pPr>
        <w:numPr>
          <w:ilvl w:val="0"/>
          <w:numId w:val="21"/>
        </w:numPr>
        <w:autoSpaceDE w:val="0"/>
        <w:autoSpaceDN w:val="0"/>
        <w:adjustRightInd w:val="0"/>
        <w:contextualSpacing/>
        <w:rPr>
          <w:rFonts w:cs="Arial"/>
          <w:lang w:val="es-419"/>
        </w:rPr>
      </w:pPr>
      <w:r w:rsidRPr="00354EB1">
        <w:rPr>
          <w:rFonts w:cs="Arial"/>
          <w:lang w:val="es-419"/>
        </w:rPr>
        <w:t>Presentación del sistema de protección comunitaria de obtención vegetal en el máster en Derecho de Propiedad Intelectual de la Universidad de Maastricht, el 12 de enero de 2021</w:t>
      </w:r>
    </w:p>
    <w:p w:rsidR="008035EB" w:rsidRPr="00354EB1" w:rsidRDefault="008035EB" w:rsidP="008035EB">
      <w:pPr>
        <w:numPr>
          <w:ilvl w:val="0"/>
          <w:numId w:val="21"/>
        </w:numPr>
        <w:autoSpaceDE w:val="0"/>
        <w:autoSpaceDN w:val="0"/>
        <w:adjustRightInd w:val="0"/>
        <w:contextualSpacing/>
        <w:rPr>
          <w:rFonts w:cs="Arial"/>
          <w:lang w:val="es-419"/>
        </w:rPr>
      </w:pPr>
      <w:r w:rsidRPr="00354EB1">
        <w:rPr>
          <w:rFonts w:cs="Arial"/>
          <w:lang w:val="es-419"/>
        </w:rPr>
        <w:t>Seminario para el CEIPI y el Colegio de Abogados de París sobre el dictamen G3/19 del Consejo de Administración de la OEP</w:t>
      </w:r>
    </w:p>
    <w:p w:rsidR="008035EB" w:rsidRPr="00354EB1" w:rsidRDefault="008035EB" w:rsidP="008035EB">
      <w:pPr>
        <w:numPr>
          <w:ilvl w:val="0"/>
          <w:numId w:val="21"/>
        </w:numPr>
        <w:autoSpaceDE w:val="0"/>
        <w:autoSpaceDN w:val="0"/>
        <w:adjustRightInd w:val="0"/>
        <w:contextualSpacing/>
        <w:rPr>
          <w:rFonts w:cs="Arial"/>
          <w:lang w:val="es-419"/>
        </w:rPr>
      </w:pPr>
      <w:r w:rsidRPr="00354EB1">
        <w:rPr>
          <w:rFonts w:cs="Arial"/>
          <w:lang w:val="es-419"/>
        </w:rPr>
        <w:t>Seminario para el CEIPI sobre armonización de las prácticas de PI en la UE , el 13 de abril de 2021</w:t>
      </w:r>
    </w:p>
    <w:p w:rsidR="008035EB" w:rsidRPr="00354EB1" w:rsidRDefault="008035EB" w:rsidP="008035EB">
      <w:pPr>
        <w:numPr>
          <w:ilvl w:val="0"/>
          <w:numId w:val="21"/>
        </w:numPr>
        <w:autoSpaceDE w:val="0"/>
        <w:autoSpaceDN w:val="0"/>
        <w:adjustRightInd w:val="0"/>
        <w:contextualSpacing/>
        <w:rPr>
          <w:rFonts w:cs="Arial"/>
          <w:lang w:val="es-419"/>
        </w:rPr>
      </w:pPr>
      <w:r w:rsidRPr="00354EB1">
        <w:rPr>
          <w:rFonts w:cs="Arial"/>
          <w:lang w:val="es-419"/>
        </w:rPr>
        <w:t xml:space="preserve">Formación para los examinadores de la EUIPO sobre la </w:t>
      </w:r>
      <w:proofErr w:type="spellStart"/>
      <w:r w:rsidRPr="00354EB1">
        <w:rPr>
          <w:rFonts w:cs="Arial"/>
          <w:lang w:val="es-419"/>
        </w:rPr>
        <w:t>Variety</w:t>
      </w:r>
      <w:proofErr w:type="spellEnd"/>
      <w:r w:rsidRPr="00354EB1">
        <w:rPr>
          <w:rFonts w:cs="Arial"/>
          <w:lang w:val="es-419"/>
        </w:rPr>
        <w:t xml:space="preserve"> </w:t>
      </w:r>
      <w:proofErr w:type="spellStart"/>
      <w:r w:rsidRPr="00354EB1">
        <w:rPr>
          <w:rFonts w:cs="Arial"/>
          <w:lang w:val="es-419"/>
        </w:rPr>
        <w:t>Finder</w:t>
      </w:r>
      <w:proofErr w:type="spellEnd"/>
      <w:r w:rsidRPr="00354EB1">
        <w:rPr>
          <w:rFonts w:cs="Arial"/>
          <w:lang w:val="es-419"/>
        </w:rPr>
        <w:t>, el 19 de abril de 2021</w:t>
      </w:r>
    </w:p>
    <w:p w:rsidR="008035EB" w:rsidRPr="00354EB1" w:rsidRDefault="008035EB" w:rsidP="008035EB">
      <w:pPr>
        <w:numPr>
          <w:ilvl w:val="0"/>
          <w:numId w:val="21"/>
        </w:numPr>
        <w:autoSpaceDE w:val="0"/>
        <w:autoSpaceDN w:val="0"/>
        <w:adjustRightInd w:val="0"/>
        <w:contextualSpacing/>
        <w:rPr>
          <w:rFonts w:cs="Arial"/>
          <w:lang w:val="es-419"/>
        </w:rPr>
      </w:pPr>
      <w:r w:rsidRPr="00354EB1">
        <w:rPr>
          <w:rFonts w:cs="Arial"/>
          <w:lang w:val="es-419"/>
        </w:rPr>
        <w:t xml:space="preserve">Presentación del sistema de protección comunitaria de obtención vegetal en el máster en Propiedad Intelectual del Trinity </w:t>
      </w:r>
      <w:proofErr w:type="spellStart"/>
      <w:r w:rsidRPr="00354EB1">
        <w:rPr>
          <w:rFonts w:cs="Arial"/>
          <w:lang w:val="es-419"/>
        </w:rPr>
        <w:t>College</w:t>
      </w:r>
      <w:proofErr w:type="spellEnd"/>
      <w:r w:rsidRPr="00354EB1">
        <w:rPr>
          <w:rFonts w:cs="Arial"/>
          <w:lang w:val="es-419"/>
        </w:rPr>
        <w:t xml:space="preserve"> (Dublín), el 23 de abril de 2021</w:t>
      </w:r>
    </w:p>
    <w:p w:rsidR="008035EB" w:rsidRPr="00354EB1" w:rsidRDefault="008035EB" w:rsidP="008035EB">
      <w:pPr>
        <w:numPr>
          <w:ilvl w:val="0"/>
          <w:numId w:val="21"/>
        </w:numPr>
        <w:autoSpaceDE w:val="0"/>
        <w:autoSpaceDN w:val="0"/>
        <w:adjustRightInd w:val="0"/>
        <w:contextualSpacing/>
        <w:rPr>
          <w:rFonts w:cs="Arial"/>
          <w:lang w:val="es-419"/>
        </w:rPr>
      </w:pPr>
      <w:r w:rsidRPr="00354EB1">
        <w:rPr>
          <w:rFonts w:cs="Arial"/>
          <w:lang w:val="es-419"/>
        </w:rPr>
        <w:t>Presentación sobre los derechos de obtentor con ocasión del Día Mundial de la Propiedad Intelectual (Oficina de Propiedad Intelectual de Luxemburgo), el 26 de abril de 2021</w:t>
      </w:r>
    </w:p>
    <w:p w:rsidR="008035EB" w:rsidRPr="00354EB1" w:rsidRDefault="008035EB" w:rsidP="008035EB">
      <w:pPr>
        <w:numPr>
          <w:ilvl w:val="0"/>
          <w:numId w:val="21"/>
        </w:numPr>
        <w:autoSpaceDE w:val="0"/>
        <w:autoSpaceDN w:val="0"/>
        <w:adjustRightInd w:val="0"/>
        <w:contextualSpacing/>
        <w:rPr>
          <w:rFonts w:cs="Arial"/>
          <w:lang w:val="es-419"/>
        </w:rPr>
      </w:pPr>
      <w:r w:rsidRPr="00354EB1">
        <w:rPr>
          <w:rFonts w:cs="Arial"/>
          <w:lang w:val="es-419"/>
        </w:rPr>
        <w:t>Seminario en la Universidad Claude Bernard Lyon 1, el 6 de mayo de 2021</w:t>
      </w:r>
    </w:p>
    <w:p w:rsidR="008035EB" w:rsidRPr="00354EB1" w:rsidRDefault="008035EB" w:rsidP="008035EB">
      <w:pPr>
        <w:numPr>
          <w:ilvl w:val="0"/>
          <w:numId w:val="21"/>
        </w:numPr>
        <w:autoSpaceDE w:val="0"/>
        <w:autoSpaceDN w:val="0"/>
        <w:adjustRightInd w:val="0"/>
        <w:contextualSpacing/>
        <w:rPr>
          <w:rFonts w:cs="Arial"/>
          <w:lang w:val="es-419"/>
        </w:rPr>
      </w:pPr>
      <w:r w:rsidRPr="00354EB1">
        <w:rPr>
          <w:rFonts w:cs="Arial"/>
          <w:lang w:val="es-419"/>
        </w:rPr>
        <w:t xml:space="preserve">Presentación del sistema de protección comunitaria de obtención vegetal en el </w:t>
      </w:r>
      <w:r w:rsidRPr="00354EB1">
        <w:rPr>
          <w:rFonts w:cs="Arial"/>
          <w:i/>
          <w:lang w:val="es-419"/>
        </w:rPr>
        <w:t xml:space="preserve">Magister </w:t>
      </w:r>
      <w:proofErr w:type="spellStart"/>
      <w:r w:rsidRPr="00354EB1">
        <w:rPr>
          <w:rFonts w:cs="Arial"/>
          <w:i/>
          <w:lang w:val="es-419"/>
        </w:rPr>
        <w:t>Lvcentinvs</w:t>
      </w:r>
      <w:proofErr w:type="spellEnd"/>
      <w:r w:rsidRPr="00354EB1">
        <w:rPr>
          <w:rFonts w:cs="Arial"/>
          <w:lang w:val="es-419"/>
        </w:rPr>
        <w:t xml:space="preserve"> (máster en PI) de la Universidad de Alicante, el 10 de mayo de 2021</w:t>
      </w:r>
    </w:p>
    <w:p w:rsidR="008035EB" w:rsidRPr="00354EB1" w:rsidRDefault="008035EB" w:rsidP="008035EB">
      <w:pPr>
        <w:numPr>
          <w:ilvl w:val="0"/>
          <w:numId w:val="21"/>
        </w:numPr>
        <w:autoSpaceDE w:val="0"/>
        <w:autoSpaceDN w:val="0"/>
        <w:adjustRightInd w:val="0"/>
        <w:contextualSpacing/>
        <w:rPr>
          <w:rFonts w:cs="Arial"/>
          <w:lang w:val="es-419"/>
        </w:rPr>
      </w:pPr>
      <w:r w:rsidRPr="00354EB1">
        <w:rPr>
          <w:rFonts w:cs="Arial"/>
          <w:lang w:val="es-419"/>
        </w:rPr>
        <w:t xml:space="preserve">3 seminarios web grabados para el curso de la Universidad de </w:t>
      </w:r>
      <w:proofErr w:type="spellStart"/>
      <w:r w:rsidRPr="00354EB1">
        <w:rPr>
          <w:rFonts w:cs="Arial"/>
          <w:lang w:val="es-419"/>
        </w:rPr>
        <w:t>Wageningen</w:t>
      </w:r>
      <w:proofErr w:type="spellEnd"/>
      <w:r w:rsidRPr="00354EB1">
        <w:rPr>
          <w:rFonts w:cs="Arial"/>
          <w:lang w:val="es-419"/>
        </w:rPr>
        <w:t xml:space="preserve"> sobre derechos de obtentor</w:t>
      </w:r>
    </w:p>
    <w:p w:rsidR="008035EB" w:rsidRPr="00354EB1" w:rsidRDefault="008035EB" w:rsidP="008035EB">
      <w:pPr>
        <w:numPr>
          <w:ilvl w:val="0"/>
          <w:numId w:val="21"/>
        </w:numPr>
        <w:autoSpaceDE w:val="0"/>
        <w:autoSpaceDN w:val="0"/>
        <w:adjustRightInd w:val="0"/>
        <w:contextualSpacing/>
        <w:rPr>
          <w:rFonts w:cs="Arial"/>
          <w:lang w:val="es-419"/>
        </w:rPr>
      </w:pPr>
      <w:r w:rsidRPr="00354EB1">
        <w:rPr>
          <w:rFonts w:cs="Arial"/>
          <w:lang w:val="es-419"/>
        </w:rPr>
        <w:t>Participación en el seminario web titulado “</w:t>
      </w:r>
      <w:proofErr w:type="spellStart"/>
      <w:r w:rsidRPr="00354EB1">
        <w:rPr>
          <w:rFonts w:cs="Arial"/>
          <w:i/>
          <w:lang w:val="es-419"/>
        </w:rPr>
        <w:t>How</w:t>
      </w:r>
      <w:proofErr w:type="spellEnd"/>
      <w:r w:rsidRPr="00354EB1">
        <w:rPr>
          <w:rFonts w:cs="Arial"/>
          <w:i/>
          <w:lang w:val="es-419"/>
        </w:rPr>
        <w:t xml:space="preserve"> </w:t>
      </w:r>
      <w:proofErr w:type="spellStart"/>
      <w:r w:rsidRPr="00354EB1">
        <w:rPr>
          <w:rFonts w:cs="Arial"/>
          <w:i/>
          <w:lang w:val="es-419"/>
        </w:rPr>
        <w:t>innovation</w:t>
      </w:r>
      <w:proofErr w:type="spellEnd"/>
      <w:r w:rsidRPr="00354EB1">
        <w:rPr>
          <w:rFonts w:cs="Arial"/>
          <w:i/>
          <w:lang w:val="es-419"/>
        </w:rPr>
        <w:t xml:space="preserve"> in </w:t>
      </w:r>
      <w:proofErr w:type="spellStart"/>
      <w:r w:rsidRPr="00354EB1">
        <w:rPr>
          <w:rFonts w:cs="Arial"/>
          <w:i/>
          <w:lang w:val="es-419"/>
        </w:rPr>
        <w:t>plant</w:t>
      </w:r>
      <w:proofErr w:type="spellEnd"/>
      <w:r w:rsidRPr="00354EB1">
        <w:rPr>
          <w:rFonts w:cs="Arial"/>
          <w:i/>
          <w:lang w:val="es-419"/>
        </w:rPr>
        <w:t xml:space="preserve"> </w:t>
      </w:r>
      <w:proofErr w:type="spellStart"/>
      <w:r w:rsidRPr="00354EB1">
        <w:rPr>
          <w:rFonts w:cs="Arial"/>
          <w:i/>
          <w:lang w:val="es-419"/>
        </w:rPr>
        <w:t>breeding</w:t>
      </w:r>
      <w:proofErr w:type="spellEnd"/>
      <w:r w:rsidRPr="00354EB1">
        <w:rPr>
          <w:rFonts w:cs="Arial"/>
          <w:i/>
          <w:lang w:val="es-419"/>
        </w:rPr>
        <w:t xml:space="preserve"> </w:t>
      </w:r>
      <w:proofErr w:type="spellStart"/>
      <w:r w:rsidRPr="00354EB1">
        <w:rPr>
          <w:rFonts w:cs="Arial"/>
          <w:i/>
          <w:lang w:val="es-419"/>
        </w:rPr>
        <w:t>boosts</w:t>
      </w:r>
      <w:proofErr w:type="spellEnd"/>
      <w:r w:rsidRPr="00354EB1">
        <w:rPr>
          <w:rFonts w:cs="Arial"/>
          <w:i/>
          <w:lang w:val="es-419"/>
        </w:rPr>
        <w:t xml:space="preserve"> </w:t>
      </w:r>
      <w:proofErr w:type="spellStart"/>
      <w:r w:rsidRPr="00354EB1">
        <w:rPr>
          <w:rFonts w:cs="Arial"/>
          <w:i/>
          <w:lang w:val="es-419"/>
        </w:rPr>
        <w:t>sustainable</w:t>
      </w:r>
      <w:proofErr w:type="spellEnd"/>
      <w:r w:rsidRPr="00354EB1">
        <w:rPr>
          <w:rFonts w:cs="Arial"/>
          <w:i/>
          <w:lang w:val="es-419"/>
        </w:rPr>
        <w:t xml:space="preserve"> </w:t>
      </w:r>
      <w:proofErr w:type="spellStart"/>
      <w:r w:rsidRPr="00354EB1">
        <w:rPr>
          <w:rFonts w:cs="Arial"/>
          <w:i/>
          <w:lang w:val="es-419"/>
        </w:rPr>
        <w:t>farming</w:t>
      </w:r>
      <w:proofErr w:type="spellEnd"/>
      <w:r w:rsidRPr="00354EB1">
        <w:rPr>
          <w:rFonts w:cs="Arial"/>
          <w:i/>
          <w:lang w:val="es-419"/>
        </w:rPr>
        <w:t xml:space="preserve"> in </w:t>
      </w:r>
      <w:proofErr w:type="spellStart"/>
      <w:r w:rsidRPr="00354EB1">
        <w:rPr>
          <w:rFonts w:cs="Arial"/>
          <w:i/>
          <w:lang w:val="es-419"/>
        </w:rPr>
        <w:t>the</w:t>
      </w:r>
      <w:proofErr w:type="spellEnd"/>
      <w:r w:rsidRPr="00354EB1">
        <w:rPr>
          <w:rFonts w:cs="Arial"/>
          <w:i/>
          <w:lang w:val="es-419"/>
        </w:rPr>
        <w:t xml:space="preserve"> EU</w:t>
      </w:r>
      <w:r w:rsidRPr="00354EB1">
        <w:rPr>
          <w:rFonts w:cs="Arial"/>
          <w:lang w:val="es-419"/>
        </w:rPr>
        <w:t>” (</w:t>
      </w:r>
      <w:proofErr w:type="spellStart"/>
      <w:r w:rsidRPr="00354EB1">
        <w:rPr>
          <w:rFonts w:cs="Arial"/>
          <w:lang w:val="es-419"/>
        </w:rPr>
        <w:t>Euroseeds</w:t>
      </w:r>
      <w:proofErr w:type="spellEnd"/>
      <w:r w:rsidRPr="00354EB1">
        <w:rPr>
          <w:rFonts w:cs="Arial"/>
          <w:lang w:val="es-419"/>
        </w:rPr>
        <w:t>/HFFA), el 17 de mayo de 2021</w:t>
      </w:r>
    </w:p>
    <w:p w:rsidR="008035EB" w:rsidRPr="00354EB1" w:rsidRDefault="008035EB" w:rsidP="008035EB">
      <w:pPr>
        <w:numPr>
          <w:ilvl w:val="0"/>
          <w:numId w:val="21"/>
        </w:numPr>
        <w:autoSpaceDE w:val="0"/>
        <w:autoSpaceDN w:val="0"/>
        <w:adjustRightInd w:val="0"/>
        <w:contextualSpacing/>
        <w:rPr>
          <w:rFonts w:cs="Arial"/>
          <w:lang w:val="es-419"/>
        </w:rPr>
      </w:pPr>
      <w:r w:rsidRPr="00354EB1">
        <w:rPr>
          <w:rFonts w:cs="Arial"/>
          <w:lang w:val="es-419"/>
        </w:rPr>
        <w:t>Seminarios web del HELPDESK sobre PI:</w:t>
      </w:r>
    </w:p>
    <w:p w:rsidR="008035EB" w:rsidRPr="00354EB1" w:rsidRDefault="008035EB" w:rsidP="008035EB">
      <w:pPr>
        <w:numPr>
          <w:ilvl w:val="1"/>
          <w:numId w:val="17"/>
        </w:numPr>
        <w:autoSpaceDE w:val="0"/>
        <w:autoSpaceDN w:val="0"/>
        <w:adjustRightInd w:val="0"/>
        <w:contextualSpacing/>
        <w:rPr>
          <w:rFonts w:cs="Arial"/>
          <w:lang w:val="es-419"/>
        </w:rPr>
      </w:pPr>
      <w:r w:rsidRPr="00354EB1">
        <w:rPr>
          <w:rFonts w:cs="Arial"/>
          <w:lang w:val="es-419"/>
        </w:rPr>
        <w:t>Introducción a la protección de las obtenciones vegetales en la UE, 9 de marzo de 2021</w:t>
      </w:r>
    </w:p>
    <w:p w:rsidR="008035EB" w:rsidRPr="00354EB1" w:rsidRDefault="008035EB" w:rsidP="008035EB">
      <w:pPr>
        <w:numPr>
          <w:ilvl w:val="1"/>
          <w:numId w:val="17"/>
        </w:numPr>
        <w:autoSpaceDE w:val="0"/>
        <w:autoSpaceDN w:val="0"/>
        <w:adjustRightInd w:val="0"/>
        <w:contextualSpacing/>
        <w:rPr>
          <w:rFonts w:cs="Arial"/>
          <w:lang w:val="es-419"/>
        </w:rPr>
      </w:pPr>
      <w:r w:rsidRPr="00354EB1">
        <w:rPr>
          <w:rFonts w:cs="Arial"/>
          <w:lang w:val="es-419"/>
        </w:rPr>
        <w:t>La PI en el sector agroalimentario, 29 de abril de 2021</w:t>
      </w:r>
    </w:p>
    <w:p w:rsidR="008035EB" w:rsidRPr="00354EB1" w:rsidRDefault="008035EB" w:rsidP="008035EB">
      <w:pPr>
        <w:numPr>
          <w:ilvl w:val="1"/>
          <w:numId w:val="17"/>
        </w:numPr>
        <w:autoSpaceDE w:val="0"/>
        <w:autoSpaceDN w:val="0"/>
        <w:adjustRightInd w:val="0"/>
        <w:contextualSpacing/>
        <w:rPr>
          <w:rFonts w:cs="Arial"/>
          <w:lang w:val="es-419"/>
        </w:rPr>
      </w:pPr>
      <w:r w:rsidRPr="00354EB1">
        <w:rPr>
          <w:rFonts w:cs="Arial"/>
          <w:lang w:val="es-419"/>
        </w:rPr>
        <w:t xml:space="preserve">Nuevas técnicas de </w:t>
      </w:r>
      <w:proofErr w:type="spellStart"/>
      <w:r w:rsidRPr="00354EB1">
        <w:rPr>
          <w:rFonts w:cs="Arial"/>
          <w:lang w:val="es-419"/>
        </w:rPr>
        <w:t>fitomejoramiento</w:t>
      </w:r>
      <w:proofErr w:type="spellEnd"/>
      <w:r w:rsidRPr="00354EB1">
        <w:rPr>
          <w:rFonts w:cs="Arial"/>
          <w:lang w:val="es-419"/>
        </w:rPr>
        <w:t>, 8 de junio de 2021</w:t>
      </w:r>
    </w:p>
    <w:p w:rsidR="008035EB" w:rsidRPr="00354EB1" w:rsidRDefault="008035EB" w:rsidP="008035EB">
      <w:pPr>
        <w:keepNext/>
        <w:numPr>
          <w:ilvl w:val="0"/>
          <w:numId w:val="22"/>
        </w:numPr>
        <w:autoSpaceDE w:val="0"/>
        <w:autoSpaceDN w:val="0"/>
        <w:adjustRightInd w:val="0"/>
        <w:contextualSpacing/>
        <w:rPr>
          <w:rFonts w:cs="Arial"/>
          <w:lang w:val="es-419"/>
        </w:rPr>
      </w:pPr>
      <w:r w:rsidRPr="00354EB1">
        <w:rPr>
          <w:rFonts w:cs="Arial"/>
          <w:lang w:val="es-419"/>
        </w:rPr>
        <w:t>Seminario web sobre la observancia de los derechos de obtentor (Virtual Training Center), el 25 de mayo de 2021</w:t>
      </w:r>
    </w:p>
    <w:p w:rsidR="008035EB" w:rsidRPr="00354EB1" w:rsidRDefault="008035EB" w:rsidP="008035EB">
      <w:pPr>
        <w:numPr>
          <w:ilvl w:val="0"/>
          <w:numId w:val="22"/>
        </w:numPr>
        <w:autoSpaceDE w:val="0"/>
        <w:autoSpaceDN w:val="0"/>
        <w:adjustRightInd w:val="0"/>
        <w:contextualSpacing/>
        <w:rPr>
          <w:rFonts w:cs="Arial"/>
          <w:lang w:val="es-419"/>
        </w:rPr>
      </w:pPr>
      <w:r w:rsidRPr="00354EB1">
        <w:rPr>
          <w:rFonts w:cs="Arial"/>
          <w:lang w:val="es-419"/>
        </w:rPr>
        <w:t xml:space="preserve">Taller sobre el servicio de cooperación en el examen de denominaciones y la </w:t>
      </w:r>
      <w:proofErr w:type="spellStart"/>
      <w:r w:rsidRPr="00354EB1">
        <w:rPr>
          <w:rFonts w:cs="Arial"/>
          <w:lang w:val="es-419"/>
        </w:rPr>
        <w:t>Variety</w:t>
      </w:r>
      <w:proofErr w:type="spellEnd"/>
      <w:r w:rsidRPr="00354EB1">
        <w:rPr>
          <w:rFonts w:cs="Arial"/>
          <w:lang w:val="es-419"/>
        </w:rPr>
        <w:t xml:space="preserve"> </w:t>
      </w:r>
      <w:proofErr w:type="spellStart"/>
      <w:r w:rsidRPr="00354EB1">
        <w:rPr>
          <w:rFonts w:cs="Arial"/>
          <w:lang w:val="es-419"/>
        </w:rPr>
        <w:t>Finder</w:t>
      </w:r>
      <w:proofErr w:type="spellEnd"/>
      <w:r w:rsidRPr="00354EB1">
        <w:rPr>
          <w:rFonts w:cs="Arial"/>
          <w:lang w:val="es-419"/>
        </w:rPr>
        <w:t>, el 3 de junio de 2021 (Grupo de Trabajo Permanente sobre Denominaciones de Variedades)</w:t>
      </w:r>
    </w:p>
    <w:p w:rsidR="008035EB" w:rsidRPr="00354EB1" w:rsidRDefault="008035EB" w:rsidP="008035EB">
      <w:pPr>
        <w:autoSpaceDE w:val="0"/>
        <w:autoSpaceDN w:val="0"/>
        <w:adjustRightInd w:val="0"/>
        <w:contextualSpacing/>
        <w:rPr>
          <w:rFonts w:cs="Arial"/>
          <w:lang w:val="es-419"/>
        </w:rPr>
      </w:pPr>
    </w:p>
    <w:p w:rsidR="008035EB" w:rsidRPr="00354EB1" w:rsidRDefault="008035EB" w:rsidP="008035EB">
      <w:pPr>
        <w:keepNext/>
        <w:autoSpaceDE w:val="0"/>
        <w:autoSpaceDN w:val="0"/>
        <w:adjustRightInd w:val="0"/>
        <w:contextualSpacing/>
        <w:rPr>
          <w:rFonts w:cs="Arial"/>
          <w:u w:val="single"/>
          <w:lang w:val="es-419"/>
        </w:rPr>
      </w:pPr>
      <w:r w:rsidRPr="00354EB1">
        <w:rPr>
          <w:rFonts w:cs="Arial"/>
          <w:u w:val="single"/>
          <w:lang w:val="es-419"/>
        </w:rPr>
        <w:t>5.3 Reuniones con organizaciones de partes interesadas</w:t>
      </w:r>
    </w:p>
    <w:p w:rsidR="008035EB" w:rsidRPr="00354EB1" w:rsidRDefault="008035EB" w:rsidP="008035EB">
      <w:pPr>
        <w:keepNext/>
        <w:autoSpaceDE w:val="0"/>
        <w:autoSpaceDN w:val="0"/>
        <w:adjustRightInd w:val="0"/>
        <w:contextualSpacing/>
        <w:rPr>
          <w:rFonts w:cs="Arial"/>
          <w:lang w:val="es-419"/>
        </w:rPr>
      </w:pPr>
    </w:p>
    <w:p w:rsidR="008035EB" w:rsidRPr="00354EB1" w:rsidRDefault="008035EB" w:rsidP="008035EB">
      <w:pPr>
        <w:autoSpaceDE w:val="0"/>
        <w:autoSpaceDN w:val="0"/>
        <w:adjustRightInd w:val="0"/>
        <w:contextualSpacing/>
        <w:rPr>
          <w:rFonts w:cs="Arial"/>
          <w:lang w:val="es-419"/>
        </w:rPr>
      </w:pPr>
      <w:r w:rsidRPr="00354EB1">
        <w:rPr>
          <w:rFonts w:cs="Arial"/>
          <w:lang w:val="es-419"/>
        </w:rPr>
        <w:t xml:space="preserve">La Comisión Europea y la OCVV asistieron de forma virtual a la reunión anual de </w:t>
      </w:r>
      <w:proofErr w:type="spellStart"/>
      <w:r w:rsidRPr="00354EB1">
        <w:rPr>
          <w:rFonts w:cs="Arial"/>
          <w:lang w:val="es-419"/>
        </w:rPr>
        <w:t>Euroseeds</w:t>
      </w:r>
      <w:proofErr w:type="spellEnd"/>
      <w:r w:rsidRPr="00354EB1">
        <w:rPr>
          <w:rFonts w:cs="Arial"/>
          <w:lang w:val="es-419"/>
        </w:rPr>
        <w:t xml:space="preserve">, que tuvo lugar del 11 al 13 de octubre de 2020, y a la reunión anual de CIOPORA Alemania, celebrada </w:t>
      </w:r>
      <w:r w:rsidR="00557648">
        <w:rPr>
          <w:rFonts w:cs="Arial"/>
          <w:lang w:val="es-419"/>
        </w:rPr>
        <w:t>el 24 de febrero de </w:t>
      </w:r>
      <w:r w:rsidRPr="00354EB1">
        <w:rPr>
          <w:rFonts w:cs="Arial"/>
          <w:lang w:val="es-419"/>
        </w:rPr>
        <w:t xml:space="preserve">2021. La Comisión Europea y la OCVV también mantuvieron reuniones bilaterales con organizaciones de obtentores, entre ellas CIOPORA (17/03/2021) y </w:t>
      </w:r>
      <w:proofErr w:type="spellStart"/>
      <w:r w:rsidRPr="00354EB1">
        <w:rPr>
          <w:rFonts w:cs="Arial"/>
          <w:lang w:val="es-419"/>
        </w:rPr>
        <w:t>Euroseeds</w:t>
      </w:r>
      <w:proofErr w:type="spellEnd"/>
      <w:r w:rsidRPr="00354EB1">
        <w:rPr>
          <w:rFonts w:cs="Arial"/>
          <w:lang w:val="es-419"/>
        </w:rPr>
        <w:t xml:space="preserve"> &amp; </w:t>
      </w:r>
      <w:proofErr w:type="spellStart"/>
      <w:r w:rsidRPr="00354EB1">
        <w:rPr>
          <w:rFonts w:cs="Arial"/>
          <w:lang w:val="es-419"/>
        </w:rPr>
        <w:t>Plantum</w:t>
      </w:r>
      <w:proofErr w:type="spellEnd"/>
      <w:r w:rsidRPr="00354EB1">
        <w:rPr>
          <w:rFonts w:cs="Arial"/>
          <w:lang w:val="es-419"/>
        </w:rPr>
        <w:t xml:space="preserve"> (03/03/2021). Asimismo, la OCVV organizó reuniones bilaterales anuales de carácter oficial con la AIPH.</w:t>
      </w:r>
    </w:p>
    <w:p w:rsidR="008035EB" w:rsidRPr="00354EB1" w:rsidRDefault="008035EB" w:rsidP="008035EB">
      <w:pPr>
        <w:autoSpaceDE w:val="0"/>
        <w:autoSpaceDN w:val="0"/>
        <w:adjustRightInd w:val="0"/>
        <w:contextualSpacing/>
        <w:rPr>
          <w:rFonts w:cs="Arial"/>
          <w:lang w:val="es-419"/>
        </w:rPr>
      </w:pPr>
    </w:p>
    <w:p w:rsidR="008035EB" w:rsidRPr="00354EB1" w:rsidRDefault="008035EB" w:rsidP="008035EB">
      <w:pPr>
        <w:ind w:left="720" w:hanging="720"/>
        <w:contextualSpacing/>
        <w:rPr>
          <w:rFonts w:cs="Arial"/>
          <w:u w:val="single"/>
          <w:lang w:val="es-419"/>
        </w:rPr>
      </w:pPr>
      <w:r w:rsidRPr="00354EB1">
        <w:rPr>
          <w:rFonts w:cs="Arial"/>
          <w:u w:val="single"/>
          <w:lang w:val="es-419"/>
        </w:rPr>
        <w:t>5.4 Participación en ferias internacionales y jornadas de puertas abiertas</w:t>
      </w:r>
    </w:p>
    <w:p w:rsidR="008035EB" w:rsidRPr="00354EB1" w:rsidRDefault="008035EB" w:rsidP="008035EB">
      <w:pPr>
        <w:rPr>
          <w:lang w:val="es-419"/>
        </w:rPr>
      </w:pPr>
    </w:p>
    <w:p w:rsidR="008035EB" w:rsidRPr="00354EB1" w:rsidRDefault="008035EB" w:rsidP="008035EB">
      <w:pPr>
        <w:rPr>
          <w:lang w:val="es-419"/>
        </w:rPr>
      </w:pPr>
      <w:r w:rsidRPr="00354EB1">
        <w:rPr>
          <w:lang w:val="es-419"/>
        </w:rPr>
        <w:t xml:space="preserve">La OCVV entiende que su participación en las ferias internacionales y en las jornadas de puertas abiertas que celebran las oficinas de examen es útil para impulsar el sistema comunitario de protección de las obtenciones vegetales, conocer directamente a los solicitantes e informar a los agricultores. Sin embargo, las restricciones sanitarias relacionadas con la pandemia de COVID-19 obligaron a cancelar las ferias a las que la Oficina suele asistir ("IPM" en </w:t>
      </w:r>
      <w:proofErr w:type="spellStart"/>
      <w:r w:rsidRPr="00354EB1">
        <w:rPr>
          <w:lang w:val="es-419"/>
        </w:rPr>
        <w:t>Essen</w:t>
      </w:r>
      <w:proofErr w:type="spellEnd"/>
      <w:r w:rsidRPr="00354EB1">
        <w:rPr>
          <w:lang w:val="es-419"/>
        </w:rPr>
        <w:t xml:space="preserve"> y "</w:t>
      </w:r>
      <w:proofErr w:type="spellStart"/>
      <w:r w:rsidRPr="00354EB1">
        <w:rPr>
          <w:lang w:val="es-419"/>
        </w:rPr>
        <w:t>Salon</w:t>
      </w:r>
      <w:proofErr w:type="spellEnd"/>
      <w:r w:rsidRPr="00354EB1">
        <w:rPr>
          <w:lang w:val="es-419"/>
        </w:rPr>
        <w:t xml:space="preserve"> </w:t>
      </w:r>
      <w:proofErr w:type="spellStart"/>
      <w:r w:rsidRPr="00354EB1">
        <w:rPr>
          <w:lang w:val="es-419"/>
        </w:rPr>
        <w:t>Sival</w:t>
      </w:r>
      <w:proofErr w:type="spellEnd"/>
      <w:r w:rsidRPr="00354EB1">
        <w:rPr>
          <w:lang w:val="es-419"/>
        </w:rPr>
        <w:t>" en Angers) junto con sus socios de las oficinas de examen.</w:t>
      </w:r>
    </w:p>
    <w:p w:rsidR="008035EB" w:rsidRPr="00354EB1" w:rsidRDefault="008035EB" w:rsidP="008035EB">
      <w:pPr>
        <w:rPr>
          <w:lang w:val="es-419"/>
        </w:rPr>
      </w:pPr>
    </w:p>
    <w:p w:rsidR="008035EB" w:rsidRPr="00354EB1" w:rsidRDefault="008035EB" w:rsidP="008035EB">
      <w:pPr>
        <w:contextualSpacing/>
        <w:rPr>
          <w:rFonts w:cs="Arial"/>
          <w:u w:val="single"/>
          <w:lang w:val="es-419"/>
        </w:rPr>
      </w:pPr>
      <w:r w:rsidRPr="00354EB1">
        <w:rPr>
          <w:rFonts w:cs="Arial"/>
          <w:u w:val="single"/>
          <w:lang w:val="es-419"/>
        </w:rPr>
        <w:t xml:space="preserve">5.5 </w:t>
      </w:r>
      <w:r w:rsidRPr="00354EB1">
        <w:rPr>
          <w:u w:val="single"/>
          <w:lang w:val="es-419"/>
        </w:rPr>
        <w:t>Novedades en materia de tecnologías de la información</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rFonts w:cs="Arial"/>
          <w:lang w:val="es-419"/>
        </w:rPr>
        <w:t xml:space="preserve">La herramienta de solicitudes en línea de la OCVV está concebida para que la utilicen los Estados miembros de la Unión Europea a fin de recibir solicitudes nacionales y ha estado plenamente operativa para la lista nacional y las solicitudes de derechos de obtentor de los Países Bajos desde finales de 2019. La integración de otros Estados miembros de la UE es posible y se hará más fácil a medida que avance la labor de armonización de los cuestionarios técnicos dentro de la Unión Europea. </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rFonts w:cs="Arial"/>
          <w:lang w:val="es-419"/>
        </w:rPr>
        <w:t>Tras varios años de permitir que las solicitudes de PRISMA se transfieran electrónicamente al sistema de solicitudes en línea de la OCVV, la Oficina sigue colaborando con UPOV PRISMA y ambas han decidido poner en marcha cuatro proyectos que tienen por objeto subsanar varias deficiencias del proyecto inicial:</w:t>
      </w:r>
    </w:p>
    <w:p w:rsidR="008035EB" w:rsidRPr="00354EB1" w:rsidRDefault="008035EB" w:rsidP="008035EB">
      <w:pPr>
        <w:contextualSpacing/>
        <w:rPr>
          <w:rFonts w:cs="Arial"/>
          <w:lang w:val="es-419"/>
        </w:rPr>
      </w:pPr>
    </w:p>
    <w:p w:rsidR="008035EB" w:rsidRPr="00354EB1" w:rsidRDefault="008035EB" w:rsidP="00557648">
      <w:pPr>
        <w:keepNext/>
        <w:numPr>
          <w:ilvl w:val="0"/>
          <w:numId w:val="23"/>
        </w:numPr>
        <w:contextualSpacing/>
        <w:rPr>
          <w:rFonts w:cs="Arial"/>
          <w:lang w:val="es-419"/>
        </w:rPr>
      </w:pPr>
      <w:r w:rsidRPr="00354EB1">
        <w:rPr>
          <w:rFonts w:cs="Arial"/>
          <w:lang w:val="es-419"/>
        </w:rPr>
        <w:lastRenderedPageBreak/>
        <w:t>llevar a cabo una auditoría de la situación actual del proyecto;</w:t>
      </w:r>
    </w:p>
    <w:p w:rsidR="008035EB" w:rsidRPr="00354EB1" w:rsidRDefault="008035EB" w:rsidP="008035EB">
      <w:pPr>
        <w:numPr>
          <w:ilvl w:val="0"/>
          <w:numId w:val="23"/>
        </w:numPr>
        <w:contextualSpacing/>
        <w:rPr>
          <w:rFonts w:cs="Arial"/>
          <w:lang w:val="es-419"/>
        </w:rPr>
      </w:pPr>
      <w:r w:rsidRPr="00354EB1">
        <w:rPr>
          <w:rFonts w:cs="Arial"/>
          <w:lang w:val="es-419"/>
        </w:rPr>
        <w:t>estudiar y aplicar procedimientos dirigidos a organizar y automatizar mejor la aplicación de los cambios en los formularios en ambos sistemas;</w:t>
      </w:r>
    </w:p>
    <w:p w:rsidR="008035EB" w:rsidRPr="00354EB1" w:rsidRDefault="008035EB" w:rsidP="008035EB">
      <w:pPr>
        <w:numPr>
          <w:ilvl w:val="0"/>
          <w:numId w:val="23"/>
        </w:numPr>
        <w:contextualSpacing/>
        <w:rPr>
          <w:rFonts w:cs="Arial"/>
          <w:lang w:val="es-419"/>
        </w:rPr>
      </w:pPr>
      <w:r w:rsidRPr="00354EB1">
        <w:rPr>
          <w:rFonts w:cs="Arial"/>
          <w:lang w:val="es-419"/>
        </w:rPr>
        <w:t>apoyar la llamada "carga masiva" de solicitudes de PRISMA a la OCVV (para una lista limitada de especies y clientes);</w:t>
      </w:r>
    </w:p>
    <w:p w:rsidR="008035EB" w:rsidRPr="00354EB1" w:rsidRDefault="008035EB" w:rsidP="008035EB">
      <w:pPr>
        <w:numPr>
          <w:ilvl w:val="0"/>
          <w:numId w:val="23"/>
        </w:numPr>
        <w:contextualSpacing/>
        <w:rPr>
          <w:rFonts w:cs="Arial"/>
          <w:lang w:val="es-419"/>
        </w:rPr>
      </w:pPr>
      <w:r w:rsidRPr="00354EB1">
        <w:rPr>
          <w:rFonts w:cs="Arial"/>
          <w:lang w:val="es-419"/>
        </w:rPr>
        <w:t>apoyar la transferencia bidireccional de datos de las solicitudes (es decir, apoyar también el envío de datos de las solicitudes desde el sistema de solicitudes en línea de la OCVV a la herramienta Prisma de la UPOV).</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rFonts w:cs="Arial"/>
          <w:lang w:val="es-419"/>
        </w:rPr>
        <w:t>El tercer proyecto se llevará a cabo dando prioridad al maíz como especie piloto.</w:t>
      </w:r>
    </w:p>
    <w:p w:rsidR="008035EB" w:rsidRPr="00354EB1" w:rsidRDefault="008035EB" w:rsidP="008035EB">
      <w:pPr>
        <w:contextualSpacing/>
        <w:rPr>
          <w:rFonts w:cs="Arial"/>
          <w:lang w:val="es-419"/>
        </w:rPr>
      </w:pPr>
    </w:p>
    <w:p w:rsidR="008035EB" w:rsidRPr="00354EB1" w:rsidRDefault="008035EB" w:rsidP="008035EB">
      <w:pPr>
        <w:rPr>
          <w:lang w:val="es-419"/>
        </w:rPr>
      </w:pPr>
      <w:r w:rsidRPr="00354EB1">
        <w:rPr>
          <w:lang w:val="es-419"/>
        </w:rPr>
        <w:t>6.</w:t>
      </w:r>
      <w:r w:rsidRPr="00354EB1">
        <w:rPr>
          <w:lang w:val="es-419"/>
        </w:rPr>
        <w:tab/>
      </w:r>
      <w:r w:rsidRPr="00354EB1">
        <w:rPr>
          <w:u w:val="single"/>
          <w:lang w:val="es-419"/>
        </w:rPr>
        <w:t>I+D</w:t>
      </w:r>
      <w:r w:rsidRPr="00354EB1">
        <w:rPr>
          <w:lang w:val="es-419"/>
        </w:rPr>
        <w:t xml:space="preserve"> </w:t>
      </w:r>
    </w:p>
    <w:p w:rsidR="008035EB" w:rsidRPr="00354EB1" w:rsidRDefault="008035EB" w:rsidP="008035EB">
      <w:pPr>
        <w:pStyle w:val="ListBullet"/>
        <w:numPr>
          <w:ilvl w:val="0"/>
          <w:numId w:val="0"/>
        </w:numPr>
        <w:tabs>
          <w:tab w:val="left" w:pos="720"/>
        </w:tabs>
        <w:spacing w:after="0"/>
        <w:ind w:left="283" w:hanging="283"/>
        <w:contextualSpacing/>
        <w:rPr>
          <w:rFonts w:cs="Arial"/>
          <w:u w:val="single"/>
          <w:lang w:val="es-419"/>
        </w:rPr>
      </w:pPr>
    </w:p>
    <w:p w:rsidR="008035EB" w:rsidRPr="00354EB1" w:rsidRDefault="008035EB" w:rsidP="008035EB">
      <w:pPr>
        <w:pStyle w:val="ListBullet"/>
        <w:numPr>
          <w:ilvl w:val="0"/>
          <w:numId w:val="0"/>
        </w:numPr>
        <w:tabs>
          <w:tab w:val="left" w:pos="720"/>
        </w:tabs>
        <w:spacing w:after="0"/>
        <w:ind w:left="283" w:hanging="283"/>
        <w:contextualSpacing/>
        <w:rPr>
          <w:rFonts w:cs="Arial"/>
          <w:u w:val="single"/>
          <w:lang w:val="es-419"/>
        </w:rPr>
      </w:pPr>
      <w:r w:rsidRPr="00354EB1">
        <w:rPr>
          <w:rFonts w:cs="Arial"/>
          <w:u w:val="single"/>
          <w:lang w:val="es-419"/>
        </w:rPr>
        <w:t xml:space="preserve">6.1 </w:t>
      </w:r>
      <w:r w:rsidRPr="00354EB1">
        <w:rPr>
          <w:u w:val="single"/>
          <w:lang w:val="es-419"/>
        </w:rPr>
        <w:t xml:space="preserve">Grupo </w:t>
      </w:r>
      <w:r w:rsidRPr="00354EB1">
        <w:rPr>
          <w:i/>
          <w:u w:val="single"/>
          <w:lang w:val="es-419"/>
        </w:rPr>
        <w:t>ad hoc</w:t>
      </w:r>
      <w:r w:rsidRPr="00354EB1">
        <w:rPr>
          <w:u w:val="single"/>
          <w:lang w:val="es-419"/>
        </w:rPr>
        <w:t xml:space="preserve"> de trabajo IMODDUS</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lang w:val="es-419"/>
        </w:rPr>
        <w:t xml:space="preserve">Como uno de los tres objetivos de la estrategia de I+D revisada de la OCVV, aprobada por el Consejo de Administración en marzo de 2015, el Consejo ha votado a favor de la creación de un grupo de trabajo </w:t>
      </w:r>
      <w:r w:rsidRPr="00354EB1">
        <w:rPr>
          <w:i/>
          <w:lang w:val="es-419"/>
        </w:rPr>
        <w:t>ad hoc</w:t>
      </w:r>
      <w:r w:rsidRPr="00354EB1">
        <w:rPr>
          <w:lang w:val="es-419"/>
        </w:rPr>
        <w:t xml:space="preserve"> de esta oficina sobre técnicas biomoleculares. Este grupo de trabajo se denomina IMMODUS, abreviatura en inglés de “integración de los datos moleculares en el examen DHE”. El objetivo del grupo es trabajar en proyectos de diferentes sectores agrícolas que permitan aplicar las técnicas biomoleculares a los exámenes DHE, donde sea posible que estas técnicas contribuyan a la eficiencia y la calidad.</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lang w:val="es-419"/>
        </w:rPr>
        <w:t>El grupo está integrado por expertos en técnicas biomoleculares (BMT) de las oficinas de examen interesadas y por organizaciones de obtentores. El presidente del grupo también puede invitar a expertos de los laboratorios, las universidades, el sector, etc.</w:t>
      </w:r>
      <w:r w:rsidRPr="00354EB1">
        <w:rPr>
          <w:rFonts w:cs="Arial"/>
          <w:lang w:val="es-419"/>
        </w:rPr>
        <w:t xml:space="preserve"> </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rFonts w:cs="Arial"/>
          <w:lang w:val="es-419"/>
        </w:rPr>
        <w:t>En febrero de 2021 se organizó una videoconferencia. El orden del día incluía presentaciones y debates sobre los siguientes temas:</w:t>
      </w:r>
    </w:p>
    <w:p w:rsidR="008035EB" w:rsidRPr="00354EB1" w:rsidRDefault="008035EB" w:rsidP="008035EB">
      <w:pPr>
        <w:contextualSpacing/>
        <w:rPr>
          <w:rFonts w:cs="Arial"/>
          <w:lang w:val="es-419"/>
        </w:rPr>
      </w:pPr>
    </w:p>
    <w:p w:rsidR="008035EB" w:rsidRPr="00354EB1" w:rsidRDefault="008035EB" w:rsidP="008035EB">
      <w:pPr>
        <w:ind w:left="567" w:hanging="283"/>
        <w:contextualSpacing/>
        <w:rPr>
          <w:rFonts w:cs="Arial"/>
          <w:lang w:val="es-419"/>
        </w:rPr>
      </w:pPr>
      <w:r w:rsidRPr="00354EB1">
        <w:rPr>
          <w:rFonts w:cs="Arial"/>
          <w:lang w:val="es-419"/>
        </w:rPr>
        <w:t>-</w:t>
      </w:r>
      <w:r w:rsidRPr="00354EB1">
        <w:rPr>
          <w:rFonts w:cs="Arial"/>
          <w:lang w:val="es-419"/>
        </w:rPr>
        <w:tab/>
        <w:t>el proyecto de estrategia de I+D de la OCVV para 2021-2025;</w:t>
      </w:r>
    </w:p>
    <w:p w:rsidR="008035EB" w:rsidRPr="00354EB1" w:rsidRDefault="008035EB" w:rsidP="008035EB">
      <w:pPr>
        <w:ind w:left="567" w:hanging="283"/>
        <w:contextualSpacing/>
        <w:rPr>
          <w:rFonts w:cs="Arial"/>
          <w:lang w:val="es-419"/>
        </w:rPr>
      </w:pPr>
      <w:r w:rsidRPr="00354EB1">
        <w:rPr>
          <w:rFonts w:cs="Arial"/>
          <w:lang w:val="es-419"/>
        </w:rPr>
        <w:t>-</w:t>
      </w:r>
      <w:r w:rsidRPr="00354EB1">
        <w:rPr>
          <w:rFonts w:cs="Arial"/>
          <w:lang w:val="es-419"/>
        </w:rPr>
        <w:tab/>
        <w:t xml:space="preserve">la I+D en el contexto del Pacto Verde: integración de los ODS en los programas de </w:t>
      </w:r>
      <w:proofErr w:type="spellStart"/>
      <w:r w:rsidRPr="00354EB1">
        <w:rPr>
          <w:rFonts w:cs="Arial"/>
          <w:lang w:val="es-419"/>
        </w:rPr>
        <w:t>fitomejoramiento</w:t>
      </w:r>
      <w:proofErr w:type="spellEnd"/>
      <w:r w:rsidRPr="00354EB1">
        <w:rPr>
          <w:rFonts w:cs="Arial"/>
          <w:lang w:val="es-419"/>
        </w:rPr>
        <w:t xml:space="preserve"> y su posible uso como criterio de evaluación de los proyectos de I+D apoyados por la OCVV;</w:t>
      </w:r>
    </w:p>
    <w:p w:rsidR="008035EB" w:rsidRPr="00354EB1" w:rsidRDefault="008035EB" w:rsidP="008035EB">
      <w:pPr>
        <w:ind w:left="567" w:hanging="283"/>
        <w:contextualSpacing/>
        <w:rPr>
          <w:rFonts w:cs="Arial"/>
          <w:lang w:val="es-419"/>
        </w:rPr>
      </w:pPr>
      <w:r w:rsidRPr="00354EB1">
        <w:rPr>
          <w:rFonts w:cs="Arial"/>
          <w:lang w:val="es-419"/>
        </w:rPr>
        <w:t>-</w:t>
      </w:r>
      <w:r w:rsidRPr="00354EB1">
        <w:rPr>
          <w:rFonts w:cs="Arial"/>
          <w:lang w:val="es-419"/>
        </w:rPr>
        <w:tab/>
        <w:t>los últimos avances de la UPOV en técnicas moleculares;</w:t>
      </w:r>
    </w:p>
    <w:p w:rsidR="008035EB" w:rsidRPr="00354EB1" w:rsidRDefault="008035EB" w:rsidP="008035EB">
      <w:pPr>
        <w:ind w:left="567" w:hanging="283"/>
        <w:contextualSpacing/>
        <w:rPr>
          <w:rFonts w:cs="Arial"/>
          <w:lang w:val="es-419"/>
        </w:rPr>
      </w:pPr>
      <w:r w:rsidRPr="00354EB1">
        <w:rPr>
          <w:rFonts w:cs="Arial"/>
          <w:lang w:val="es-419"/>
        </w:rPr>
        <w:t>-</w:t>
      </w:r>
      <w:r w:rsidRPr="00354EB1">
        <w:rPr>
          <w:rFonts w:cs="Arial"/>
          <w:lang w:val="es-419"/>
        </w:rPr>
        <w:tab/>
        <w:t>información actualizada sobre el sistema de protección de las obtenciones vegetales de los Estados Unidos y el uso de técnicas moleculares en los procedimientos de toma de decisiones;</w:t>
      </w:r>
    </w:p>
    <w:p w:rsidR="008035EB" w:rsidRPr="00354EB1" w:rsidRDefault="008035EB" w:rsidP="008035EB">
      <w:pPr>
        <w:ind w:left="567" w:hanging="283"/>
        <w:contextualSpacing/>
        <w:rPr>
          <w:rFonts w:cs="Arial"/>
          <w:lang w:val="es-419"/>
        </w:rPr>
      </w:pPr>
      <w:r w:rsidRPr="00354EB1">
        <w:rPr>
          <w:rFonts w:cs="Arial"/>
          <w:lang w:val="es-419"/>
        </w:rPr>
        <w:t>-</w:t>
      </w:r>
      <w:r w:rsidRPr="00354EB1">
        <w:rPr>
          <w:rFonts w:cs="Arial"/>
          <w:lang w:val="es-419"/>
        </w:rPr>
        <w:tab/>
        <w:t>los proyectos de I+D en curso del IMODDUS;</w:t>
      </w:r>
    </w:p>
    <w:p w:rsidR="008035EB" w:rsidRPr="00354EB1" w:rsidRDefault="008035EB" w:rsidP="008035EB">
      <w:pPr>
        <w:ind w:left="567" w:hanging="283"/>
        <w:contextualSpacing/>
        <w:rPr>
          <w:rFonts w:cs="Arial"/>
          <w:lang w:val="es-419"/>
        </w:rPr>
      </w:pPr>
      <w:r w:rsidRPr="00354EB1">
        <w:rPr>
          <w:rFonts w:cs="Arial"/>
          <w:lang w:val="es-419"/>
        </w:rPr>
        <w:t>-</w:t>
      </w:r>
      <w:r w:rsidRPr="00354EB1">
        <w:rPr>
          <w:rFonts w:cs="Arial"/>
          <w:lang w:val="es-419"/>
        </w:rPr>
        <w:tab/>
        <w:t>las actividades moleculares del proyecto INVITE de la Unión Europea;</w:t>
      </w:r>
    </w:p>
    <w:p w:rsidR="008035EB" w:rsidRPr="00354EB1" w:rsidRDefault="008035EB" w:rsidP="008035EB">
      <w:pPr>
        <w:ind w:left="567" w:hanging="283"/>
        <w:contextualSpacing/>
        <w:rPr>
          <w:rFonts w:cs="Arial"/>
          <w:lang w:val="es-419"/>
        </w:rPr>
      </w:pPr>
      <w:r w:rsidRPr="00354EB1">
        <w:rPr>
          <w:rFonts w:cs="Arial"/>
          <w:lang w:val="es-419"/>
        </w:rPr>
        <w:t>-</w:t>
      </w:r>
      <w:r w:rsidRPr="00354EB1">
        <w:rPr>
          <w:rFonts w:cs="Arial"/>
          <w:lang w:val="es-419"/>
        </w:rPr>
        <w:tab/>
        <w:t xml:space="preserve">los marcadores moleculares como forma de apoyar la evaluación de la distinción en especies </w:t>
      </w:r>
      <w:proofErr w:type="spellStart"/>
      <w:r w:rsidRPr="00354EB1">
        <w:rPr>
          <w:rFonts w:cs="Arial"/>
          <w:lang w:val="es-419"/>
        </w:rPr>
        <w:t>alógamas</w:t>
      </w:r>
      <w:proofErr w:type="spellEnd"/>
      <w:r w:rsidRPr="00354EB1">
        <w:rPr>
          <w:rFonts w:cs="Arial"/>
          <w:lang w:val="es-419"/>
        </w:rPr>
        <w:t xml:space="preserve">: frecuencias alélicas y concepto de </w:t>
      </w:r>
      <w:proofErr w:type="spellStart"/>
      <w:r w:rsidRPr="00354EB1">
        <w:rPr>
          <w:rFonts w:cs="Arial"/>
          <w:lang w:val="es-419"/>
        </w:rPr>
        <w:t>vmD</w:t>
      </w:r>
      <w:proofErr w:type="spellEnd"/>
      <w:r w:rsidRPr="00354EB1">
        <w:rPr>
          <w:rFonts w:cs="Arial"/>
          <w:lang w:val="es-419"/>
        </w:rPr>
        <w:t xml:space="preserve"> (</w:t>
      </w:r>
      <w:proofErr w:type="spellStart"/>
      <w:r w:rsidRPr="00354EB1">
        <w:rPr>
          <w:rFonts w:cs="Arial"/>
          <w:i/>
          <w:lang w:val="es-419"/>
        </w:rPr>
        <w:t>value</w:t>
      </w:r>
      <w:proofErr w:type="spellEnd"/>
      <w:r w:rsidRPr="00354EB1">
        <w:rPr>
          <w:rFonts w:cs="Arial"/>
          <w:i/>
          <w:lang w:val="es-419"/>
        </w:rPr>
        <w:t xml:space="preserve"> molecular </w:t>
      </w:r>
      <w:proofErr w:type="spellStart"/>
      <w:r w:rsidRPr="00354EB1">
        <w:rPr>
          <w:rFonts w:cs="Arial"/>
          <w:i/>
          <w:lang w:val="es-419"/>
        </w:rPr>
        <w:t>Distinctness</w:t>
      </w:r>
      <w:proofErr w:type="spellEnd"/>
      <w:r w:rsidRPr="00354EB1">
        <w:rPr>
          <w:rFonts w:cs="Arial"/>
          <w:lang w:val="es-419"/>
        </w:rPr>
        <w:t>);</w:t>
      </w:r>
    </w:p>
    <w:p w:rsidR="008035EB" w:rsidRPr="00354EB1" w:rsidRDefault="008035EB" w:rsidP="008035EB">
      <w:pPr>
        <w:ind w:left="567" w:hanging="283"/>
        <w:contextualSpacing/>
        <w:rPr>
          <w:rFonts w:cs="Arial"/>
          <w:lang w:val="es-419"/>
        </w:rPr>
      </w:pPr>
      <w:r w:rsidRPr="00354EB1">
        <w:rPr>
          <w:rFonts w:cs="Arial"/>
          <w:lang w:val="es-419"/>
        </w:rPr>
        <w:t>-</w:t>
      </w:r>
      <w:r w:rsidRPr="00354EB1">
        <w:rPr>
          <w:rFonts w:cs="Arial"/>
          <w:lang w:val="es-419"/>
        </w:rPr>
        <w:tab/>
        <w:t>el acceso a las bases de datos, la confidencialidad y la distribución de los costos: por ejemplo, el acuerdo modelo INVITE, el acuerdo de asociación de la base de datos de la patata de la OCVV.</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rFonts w:cs="Arial"/>
          <w:lang w:val="es-419"/>
        </w:rPr>
        <w:t>En 2021 el IMODDUS colaboró en la evaluación de dos nuevas propuestas de proyectos de I+D cuyo procedimiento de evaluación debería concluir antes de finales de año. Asimismo, en 2021 se puso en marcha un proyecto sobre el trigo duro (</w:t>
      </w:r>
      <w:proofErr w:type="spellStart"/>
      <w:r w:rsidRPr="00354EB1">
        <w:rPr>
          <w:rFonts w:cs="Arial"/>
          <w:lang w:val="es-419"/>
        </w:rPr>
        <w:t>DurdusTools</w:t>
      </w:r>
      <w:proofErr w:type="spellEnd"/>
      <w:r w:rsidRPr="00354EB1">
        <w:rPr>
          <w:rFonts w:cs="Arial"/>
          <w:lang w:val="es-419"/>
        </w:rPr>
        <w:t xml:space="preserve">) que el IMODDUS había valorado positivamente en 2020: "Integración de datos moleculares en el examen DHE del trigo duro: desarrollo de una base de datos molecular común en Internet y de una herramienta de cálculo de la distancia genética". Se trata de una continuación del proyecto </w:t>
      </w:r>
      <w:proofErr w:type="spellStart"/>
      <w:r w:rsidRPr="00354EB1">
        <w:rPr>
          <w:rFonts w:cs="Arial"/>
          <w:lang w:val="es-419"/>
        </w:rPr>
        <w:t>Durdus</w:t>
      </w:r>
      <w:proofErr w:type="spellEnd"/>
      <w:r w:rsidRPr="00354EB1">
        <w:rPr>
          <w:rFonts w:cs="Arial"/>
          <w:lang w:val="es-419"/>
        </w:rPr>
        <w:t xml:space="preserve">, que permitió desarrollar un protocolo de </w:t>
      </w:r>
      <w:proofErr w:type="spellStart"/>
      <w:r w:rsidRPr="00354EB1">
        <w:rPr>
          <w:rFonts w:cs="Arial"/>
          <w:lang w:val="es-419"/>
        </w:rPr>
        <w:t>genotipado</w:t>
      </w:r>
      <w:proofErr w:type="spellEnd"/>
      <w:r w:rsidRPr="00354EB1">
        <w:rPr>
          <w:rFonts w:cs="Arial"/>
          <w:lang w:val="es-419"/>
        </w:rPr>
        <w:t xml:space="preserve"> utilizando un chip comercial y definir un umbral genético preliminar para la gestión de la colección de referencia.</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rFonts w:cs="Arial"/>
          <w:lang w:val="es-419"/>
        </w:rPr>
        <w:t>De forma paralela, se siguió avanzando en otros cuatro proyectos previamente validados por el IMODDUS:</w:t>
      </w:r>
    </w:p>
    <w:p w:rsidR="008035EB" w:rsidRPr="00354EB1" w:rsidRDefault="008035EB" w:rsidP="008035EB">
      <w:pPr>
        <w:contextualSpacing/>
        <w:rPr>
          <w:rFonts w:cs="Arial"/>
          <w:i/>
          <w:lang w:val="es-419"/>
        </w:rPr>
      </w:pPr>
    </w:p>
    <w:p w:rsidR="008035EB" w:rsidRPr="00354EB1" w:rsidRDefault="008035EB" w:rsidP="008035EB">
      <w:pPr>
        <w:contextualSpacing/>
        <w:rPr>
          <w:rFonts w:cs="Arial"/>
          <w:i/>
          <w:lang w:val="es-419"/>
        </w:rPr>
      </w:pPr>
      <w:r w:rsidRPr="00354EB1">
        <w:rPr>
          <w:i/>
          <w:lang w:val="es-419"/>
        </w:rPr>
        <w:t>Cáñamo</w:t>
      </w:r>
    </w:p>
    <w:p w:rsidR="008035EB" w:rsidRPr="00354EB1" w:rsidRDefault="008035EB" w:rsidP="008035EB">
      <w:pPr>
        <w:contextualSpacing/>
        <w:rPr>
          <w:rFonts w:cs="Arial"/>
          <w:lang w:val="es-419"/>
        </w:rPr>
      </w:pPr>
      <w:r w:rsidRPr="00354EB1">
        <w:rPr>
          <w:rFonts w:cs="Arial"/>
          <w:lang w:val="es-419"/>
        </w:rPr>
        <w:t>“</w:t>
      </w:r>
      <w:r w:rsidRPr="00354EB1">
        <w:rPr>
          <w:lang w:val="es-419"/>
        </w:rPr>
        <w:t xml:space="preserve">Desarrollo de un conjunto de marcadores del tipo de polimorfismo de nucleótido único (SNP) en </w:t>
      </w:r>
      <w:r w:rsidRPr="00354EB1">
        <w:rPr>
          <w:i/>
          <w:lang w:val="es-419"/>
        </w:rPr>
        <w:t>Cannabis</w:t>
      </w:r>
      <w:r w:rsidRPr="00354EB1">
        <w:rPr>
          <w:lang w:val="es-419"/>
        </w:rPr>
        <w:t xml:space="preserve"> para respaldar el examen DHE.</w:t>
      </w:r>
      <w:r w:rsidRPr="00354EB1">
        <w:rPr>
          <w:rFonts w:cs="Arial"/>
          <w:lang w:val="es-419"/>
        </w:rPr>
        <w:t>”</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rFonts w:cs="Arial"/>
          <w:lang w:val="es-419"/>
        </w:rPr>
        <w:t>Los demás proyectos de I+D que el IMODDUS había evaluado previamente de forma positiva y que se habían acogido a un régimen de cofinanciación avanzaron a buen ritmo durante el periodo:</w:t>
      </w:r>
    </w:p>
    <w:p w:rsidR="008035EB" w:rsidRPr="00354EB1" w:rsidRDefault="008035EB" w:rsidP="008035EB">
      <w:pPr>
        <w:contextualSpacing/>
        <w:rPr>
          <w:rFonts w:cs="Arial"/>
          <w:i/>
          <w:lang w:val="es-419"/>
        </w:rPr>
      </w:pPr>
    </w:p>
    <w:p w:rsidR="008035EB" w:rsidRPr="00354EB1" w:rsidRDefault="008035EB" w:rsidP="008035EB">
      <w:pPr>
        <w:rPr>
          <w:rFonts w:cs="Arial"/>
          <w:i/>
          <w:lang w:val="es-419"/>
        </w:rPr>
      </w:pPr>
      <w:r w:rsidRPr="00354EB1">
        <w:rPr>
          <w:i/>
          <w:lang w:val="es-419"/>
        </w:rPr>
        <w:t>Tomate</w:t>
      </w:r>
    </w:p>
    <w:p w:rsidR="008035EB" w:rsidRPr="00354EB1" w:rsidRDefault="008035EB" w:rsidP="008035EB">
      <w:pPr>
        <w:contextualSpacing/>
        <w:rPr>
          <w:rFonts w:cs="Arial"/>
          <w:lang w:val="es-419"/>
        </w:rPr>
      </w:pPr>
      <w:r w:rsidRPr="00354EB1">
        <w:rPr>
          <w:rFonts w:cs="Arial"/>
          <w:lang w:val="es-419"/>
        </w:rPr>
        <w:t>“</w:t>
      </w:r>
      <w:r w:rsidRPr="00354EB1">
        <w:rPr>
          <w:lang w:val="es-419"/>
        </w:rPr>
        <w:t>Validación internacional de un conjunto de marcadores SNP que permitan determinar las distancias genéticas para gestionar la colección de referencia del tomate.</w:t>
      </w:r>
      <w:r w:rsidRPr="00354EB1">
        <w:rPr>
          <w:rFonts w:cs="Arial"/>
          <w:lang w:val="es-419"/>
        </w:rPr>
        <w:t>”</w:t>
      </w:r>
    </w:p>
    <w:p w:rsidR="008035EB" w:rsidRPr="00354EB1" w:rsidRDefault="008035EB" w:rsidP="008035EB">
      <w:pPr>
        <w:contextualSpacing/>
        <w:rPr>
          <w:rFonts w:cs="Arial"/>
          <w:lang w:val="es-419"/>
        </w:rPr>
      </w:pPr>
    </w:p>
    <w:p w:rsidR="008035EB" w:rsidRPr="00354EB1" w:rsidRDefault="008035EB" w:rsidP="00557648">
      <w:pPr>
        <w:keepNext/>
        <w:contextualSpacing/>
        <w:rPr>
          <w:rFonts w:cs="Arial"/>
          <w:i/>
          <w:lang w:val="es-419"/>
        </w:rPr>
      </w:pPr>
      <w:r w:rsidRPr="00354EB1">
        <w:rPr>
          <w:i/>
          <w:lang w:val="es-419"/>
        </w:rPr>
        <w:lastRenderedPageBreak/>
        <w:t>Colza</w:t>
      </w:r>
      <w:r w:rsidRPr="00354EB1">
        <w:rPr>
          <w:rFonts w:cs="Arial"/>
          <w:bCs/>
          <w:i/>
          <w:lang w:val="es-419"/>
        </w:rPr>
        <w:t xml:space="preserve"> </w:t>
      </w:r>
    </w:p>
    <w:p w:rsidR="008035EB" w:rsidRPr="00354EB1" w:rsidRDefault="008035EB" w:rsidP="008035EB">
      <w:pPr>
        <w:contextualSpacing/>
        <w:rPr>
          <w:rFonts w:cs="Arial"/>
          <w:lang w:val="es-419"/>
        </w:rPr>
      </w:pPr>
      <w:r w:rsidRPr="00354EB1">
        <w:rPr>
          <w:rFonts w:cs="Arial"/>
          <w:lang w:val="es-419"/>
        </w:rPr>
        <w:t>“</w:t>
      </w:r>
      <w:r w:rsidRPr="00354EB1">
        <w:rPr>
          <w:lang w:val="es-419"/>
        </w:rPr>
        <w:t>Desarrollo de una estrategia para aplicar marcadores moleculares SNP en el marco del examen DHE de la colza de invierno</w:t>
      </w:r>
      <w:r w:rsidRPr="00354EB1">
        <w:rPr>
          <w:rFonts w:cs="Arial"/>
          <w:lang w:val="es-419"/>
        </w:rPr>
        <w:t xml:space="preserve">.” </w:t>
      </w:r>
    </w:p>
    <w:p w:rsidR="008035EB" w:rsidRPr="00354EB1" w:rsidRDefault="008035EB" w:rsidP="008035EB">
      <w:pPr>
        <w:contextualSpacing/>
        <w:rPr>
          <w:rFonts w:cs="Arial"/>
          <w:lang w:val="es-419"/>
        </w:rPr>
      </w:pPr>
    </w:p>
    <w:p w:rsidR="008035EB" w:rsidRPr="00354EB1" w:rsidRDefault="008035EB" w:rsidP="008035EB">
      <w:pPr>
        <w:contextualSpacing/>
        <w:rPr>
          <w:rFonts w:cs="Arial"/>
          <w:i/>
          <w:lang w:val="es-419"/>
        </w:rPr>
      </w:pPr>
      <w:r w:rsidRPr="00354EB1">
        <w:rPr>
          <w:i/>
          <w:lang w:val="es-419"/>
        </w:rPr>
        <w:t>Manzano</w:t>
      </w:r>
    </w:p>
    <w:p w:rsidR="008035EB" w:rsidRPr="00354EB1" w:rsidRDefault="008035EB" w:rsidP="008035EB">
      <w:pPr>
        <w:contextualSpacing/>
        <w:rPr>
          <w:rFonts w:cs="Arial"/>
          <w:lang w:val="es-419"/>
        </w:rPr>
      </w:pPr>
      <w:r w:rsidRPr="00354EB1">
        <w:rPr>
          <w:rFonts w:cs="Arial"/>
          <w:lang w:val="es-419"/>
        </w:rPr>
        <w:t>“</w:t>
      </w:r>
      <w:r w:rsidRPr="00354EB1">
        <w:rPr>
          <w:lang w:val="es-419"/>
        </w:rPr>
        <w:t xml:space="preserve">Desarrollo de marcadores moleculares que permitan distinguir mutantes (espontáneos) del manzano” (por asociación de datos de secuenciación, </w:t>
      </w:r>
      <w:proofErr w:type="spellStart"/>
      <w:r w:rsidRPr="00354EB1">
        <w:rPr>
          <w:lang w:val="es-419"/>
        </w:rPr>
        <w:t>transcriptómicos</w:t>
      </w:r>
      <w:proofErr w:type="spellEnd"/>
      <w:r w:rsidRPr="00354EB1">
        <w:rPr>
          <w:lang w:val="es-419"/>
        </w:rPr>
        <w:t xml:space="preserve"> y </w:t>
      </w:r>
      <w:proofErr w:type="spellStart"/>
      <w:r w:rsidRPr="00354EB1">
        <w:rPr>
          <w:lang w:val="es-419"/>
        </w:rPr>
        <w:t>epigenéticos</w:t>
      </w:r>
      <w:proofErr w:type="spellEnd"/>
      <w:r w:rsidRPr="00354EB1">
        <w:rPr>
          <w:lang w:val="es-419"/>
        </w:rPr>
        <w:t>)</w:t>
      </w:r>
      <w:r w:rsidRPr="00354EB1">
        <w:rPr>
          <w:rFonts w:cs="Arial"/>
          <w:lang w:val="es-419"/>
        </w:rPr>
        <w:t>.</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rFonts w:cs="Arial"/>
          <w:u w:val="single"/>
          <w:lang w:val="es-419"/>
        </w:rPr>
        <w:t xml:space="preserve">6.2 </w:t>
      </w:r>
      <w:r w:rsidRPr="00354EB1">
        <w:rPr>
          <w:u w:val="single"/>
          <w:lang w:val="es-419"/>
        </w:rPr>
        <w:t>Proyecto INVITE</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lang w:val="es-419"/>
        </w:rPr>
        <w:t>INVITE (</w:t>
      </w:r>
      <w:proofErr w:type="spellStart"/>
      <w:r w:rsidRPr="00354EB1">
        <w:rPr>
          <w:rFonts w:cs="Arial"/>
          <w:i/>
          <w:lang w:val="es-419"/>
        </w:rPr>
        <w:t>INnovations</w:t>
      </w:r>
      <w:proofErr w:type="spellEnd"/>
      <w:r w:rsidRPr="00354EB1">
        <w:rPr>
          <w:rFonts w:cs="Arial"/>
          <w:i/>
          <w:lang w:val="es-419"/>
        </w:rPr>
        <w:t xml:space="preserve"> in </w:t>
      </w:r>
      <w:proofErr w:type="spellStart"/>
      <w:r w:rsidRPr="00354EB1">
        <w:rPr>
          <w:rFonts w:cs="Arial"/>
          <w:i/>
          <w:lang w:val="es-419"/>
        </w:rPr>
        <w:t>plant</w:t>
      </w:r>
      <w:proofErr w:type="spellEnd"/>
      <w:r w:rsidRPr="00354EB1">
        <w:rPr>
          <w:rFonts w:cs="Arial"/>
          <w:i/>
          <w:lang w:val="es-419"/>
        </w:rPr>
        <w:t xml:space="preserve"> </w:t>
      </w:r>
      <w:proofErr w:type="spellStart"/>
      <w:r w:rsidRPr="00354EB1">
        <w:rPr>
          <w:rFonts w:cs="Arial"/>
          <w:i/>
          <w:lang w:val="es-419"/>
        </w:rPr>
        <w:t>VarIety</w:t>
      </w:r>
      <w:proofErr w:type="spellEnd"/>
      <w:r w:rsidRPr="00354EB1">
        <w:rPr>
          <w:rFonts w:cs="Arial"/>
          <w:i/>
          <w:lang w:val="es-419"/>
        </w:rPr>
        <w:t xml:space="preserve"> </w:t>
      </w:r>
      <w:proofErr w:type="spellStart"/>
      <w:r w:rsidRPr="00354EB1">
        <w:rPr>
          <w:rFonts w:cs="Arial"/>
          <w:i/>
          <w:lang w:val="es-419"/>
        </w:rPr>
        <w:t>Testing</w:t>
      </w:r>
      <w:proofErr w:type="spellEnd"/>
      <w:r w:rsidRPr="00354EB1">
        <w:rPr>
          <w:rFonts w:cs="Arial"/>
          <w:i/>
          <w:lang w:val="es-419"/>
        </w:rPr>
        <w:t xml:space="preserve"> in </w:t>
      </w:r>
      <w:proofErr w:type="spellStart"/>
      <w:r w:rsidRPr="00354EB1">
        <w:rPr>
          <w:rFonts w:cs="Arial"/>
          <w:i/>
          <w:lang w:val="es-419"/>
        </w:rPr>
        <w:t>Europe</w:t>
      </w:r>
      <w:proofErr w:type="spellEnd"/>
      <w:r w:rsidRPr="00354EB1">
        <w:rPr>
          <w:rFonts w:cs="Arial"/>
          <w:lang w:val="es-419"/>
        </w:rPr>
        <w:t xml:space="preserve">) </w:t>
      </w:r>
      <w:r w:rsidRPr="00354EB1">
        <w:rPr>
          <w:lang w:val="es-419"/>
        </w:rPr>
        <w:t xml:space="preserve">se refiere a “innovaciones en el examen de variedades vegetales en Europa, con objeto de promover la introducción de nuevas variedades mejor adaptadas a condiciones bióticas y abióticas variables y a prácticas más sostenibles de gestión de los cultivos”. El proyecto tiene por objeto mejorar la eficiencia del examen de variedades y la disponibilidad para los interesados de información relativa al rendimiento en diversas condiciones de producción y bajo estrés biótico y abiótico en relación con diez cultivos. Los exámenes DHE y los ensayos de rendimiento se abordan de manera equilibrada, con la intención de lograr la máxima sinergia entre ellos por medio de actividades conexas centradas en el </w:t>
      </w:r>
      <w:proofErr w:type="spellStart"/>
      <w:r w:rsidRPr="00354EB1">
        <w:rPr>
          <w:lang w:val="es-419"/>
        </w:rPr>
        <w:t>fenotipado</w:t>
      </w:r>
      <w:proofErr w:type="spellEnd"/>
      <w:r w:rsidRPr="00354EB1">
        <w:rPr>
          <w:lang w:val="es-419"/>
        </w:rPr>
        <w:t xml:space="preserve">, el </w:t>
      </w:r>
      <w:proofErr w:type="spellStart"/>
      <w:r w:rsidRPr="00354EB1">
        <w:rPr>
          <w:lang w:val="es-419"/>
        </w:rPr>
        <w:t>genotipado</w:t>
      </w:r>
      <w:proofErr w:type="spellEnd"/>
      <w:r w:rsidRPr="00354EB1">
        <w:rPr>
          <w:lang w:val="es-419"/>
        </w:rPr>
        <w:t>, la modelización y la gestión de bases de datos.</w:t>
      </w:r>
      <w:r w:rsidRPr="00354EB1">
        <w:rPr>
          <w:rFonts w:cs="Arial"/>
          <w:lang w:val="es-419"/>
        </w:rPr>
        <w:t xml:space="preserve"> </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lang w:val="es-419"/>
        </w:rPr>
        <w:t xml:space="preserve">Además de participar en las tareas propias del proyecto, la OCVV se encarga de todos los aspectos relativos al acceso a los datos históricos y materiales de referencia que poseen las oficinas de examen. En colaboración con </w:t>
      </w:r>
      <w:proofErr w:type="spellStart"/>
      <w:r w:rsidRPr="00354EB1">
        <w:rPr>
          <w:lang w:val="es-419"/>
        </w:rPr>
        <w:t>Euroseeds</w:t>
      </w:r>
      <w:proofErr w:type="spellEnd"/>
      <w:r w:rsidRPr="00354EB1">
        <w:rPr>
          <w:lang w:val="es-419"/>
        </w:rPr>
        <w:t>, los jefes de los módulos de trabajo y las oficinas de examen participantes, la OCVV elaboró un acuerdo para organizar el acceso de los socios del consorcio INVITE a estos datos y materiales</w:t>
      </w:r>
      <w:r w:rsidRPr="00354EB1">
        <w:rPr>
          <w:rFonts w:cs="Arial"/>
          <w:lang w:val="es-419"/>
        </w:rPr>
        <w:t>. En 2021, sobre la base de los consentimientos individuales recabados de los obtentores por las oficinas de examen participantes, la OCVV apoyó la definición de las claves de codificación para las variedades autorizadas (~6800) y la coordinación de la extracción de datos.</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rFonts w:cs="Arial"/>
          <w:lang w:val="es-419"/>
        </w:rPr>
        <w:t>La primera revisión del proyecto por parte de expertos externos enviados por la Comisión tuvo lugar en junio de 2021. Los progresos descritos en el informe técnico periódico (que abarca los primeros 18 meses del proyecto, desde el 01/07/2019 (M1) hasta el 31/12/2020 (M18)) fueron valorados muy positivamente por los revisores. A pesar del retraso causado por la pandemia de COVID-19 y las negociaciones con los obtentores en relación con el acceso a los datos históricos y al material de referencia, I</w:t>
      </w:r>
      <w:r w:rsidR="00557648">
        <w:rPr>
          <w:rFonts w:cs="Arial"/>
          <w:lang w:val="es-419"/>
        </w:rPr>
        <w:t>NVITE ha producido 17 de los 19 </w:t>
      </w:r>
      <w:r w:rsidRPr="00354EB1">
        <w:rPr>
          <w:rFonts w:cs="Arial"/>
          <w:lang w:val="es-419"/>
        </w:rPr>
        <w:t>resultados previstos para este periodo, y ha logrado 23 de los 32 hitos previstos. El coordinador propone una prórroga del proyecto de 6 meses para completar todas las tareas previstas. La colaboración con INNOVAR (el segundo consorcio galardonado de la convocatoria SFS-29-2018, que se centra en el desarrollo de un proyecto de aprendizaje automático para optimizar el examen de variedades en el trigo) ha continuado con un enfoque centrado en el establecimiento de ensayos comunes para el trigo.</w:t>
      </w:r>
    </w:p>
    <w:p w:rsidR="008035EB" w:rsidRPr="00354EB1" w:rsidRDefault="008035EB" w:rsidP="008035EB">
      <w:pPr>
        <w:contextualSpacing/>
        <w:rPr>
          <w:rFonts w:cs="Arial"/>
          <w:lang w:val="es-419"/>
        </w:rPr>
      </w:pPr>
    </w:p>
    <w:p w:rsidR="008035EB" w:rsidRPr="00354EB1" w:rsidRDefault="008035EB" w:rsidP="008035EB">
      <w:pPr>
        <w:pStyle w:val="ListBullet"/>
        <w:keepNext/>
        <w:numPr>
          <w:ilvl w:val="0"/>
          <w:numId w:val="0"/>
        </w:numPr>
        <w:tabs>
          <w:tab w:val="left" w:pos="720"/>
        </w:tabs>
        <w:spacing w:after="0"/>
        <w:ind w:left="283" w:hanging="283"/>
        <w:contextualSpacing/>
        <w:rPr>
          <w:rFonts w:cs="Arial"/>
          <w:u w:val="single"/>
          <w:lang w:val="es-419"/>
        </w:rPr>
      </w:pPr>
      <w:r w:rsidRPr="00354EB1">
        <w:rPr>
          <w:rFonts w:cs="Arial"/>
          <w:u w:val="single"/>
          <w:lang w:val="es-419"/>
        </w:rPr>
        <w:t xml:space="preserve">6.3 </w:t>
      </w:r>
      <w:r w:rsidRPr="00354EB1">
        <w:rPr>
          <w:u w:val="single"/>
          <w:lang w:val="es-419"/>
        </w:rPr>
        <w:t>Otros proyectos de I+D</w:t>
      </w:r>
      <w:r w:rsidRPr="00354EB1">
        <w:rPr>
          <w:rFonts w:cs="Arial"/>
          <w:u w:val="single"/>
          <w:lang w:val="es-419"/>
        </w:rPr>
        <w:t xml:space="preserve"> </w:t>
      </w:r>
    </w:p>
    <w:p w:rsidR="008035EB" w:rsidRPr="00354EB1" w:rsidRDefault="008035EB" w:rsidP="008035EB">
      <w:pPr>
        <w:keepNext/>
        <w:contextualSpacing/>
        <w:rPr>
          <w:rFonts w:cs="Arial"/>
          <w:i/>
          <w:lang w:val="es-419"/>
        </w:rPr>
      </w:pPr>
    </w:p>
    <w:p w:rsidR="008035EB" w:rsidRPr="00354EB1" w:rsidRDefault="008035EB" w:rsidP="008035EB">
      <w:pPr>
        <w:keepNext/>
        <w:contextualSpacing/>
        <w:rPr>
          <w:rFonts w:cs="Arial"/>
          <w:i/>
          <w:lang w:val="es-419"/>
        </w:rPr>
      </w:pPr>
      <w:proofErr w:type="spellStart"/>
      <w:r w:rsidRPr="00354EB1">
        <w:rPr>
          <w:rFonts w:cs="Arial"/>
          <w:i/>
          <w:lang w:val="es-419"/>
        </w:rPr>
        <w:t>Harmorescoll</w:t>
      </w:r>
      <w:proofErr w:type="spellEnd"/>
    </w:p>
    <w:p w:rsidR="008035EB" w:rsidRPr="00354EB1" w:rsidRDefault="008035EB" w:rsidP="008035EB">
      <w:pPr>
        <w:keepLines/>
        <w:contextualSpacing/>
        <w:rPr>
          <w:rFonts w:cs="Arial"/>
          <w:lang w:val="es-419"/>
        </w:rPr>
      </w:pPr>
      <w:r w:rsidRPr="00354EB1">
        <w:rPr>
          <w:rFonts w:cs="Arial"/>
          <w:lang w:val="es-419"/>
        </w:rPr>
        <w:t xml:space="preserve">El objetivo de HARMORESCOLL es establecer, en el ámbito europeo, un sistema coordinado que permita dar acceso al material de referencia que se utiliza en los ensayos de enfermedades realizados para el examen DHE, según los protocolos de la OCVV y las directrices de la UPOV. Cuenta con la participación de las oficinas de examen y las empresas de semillas adheridas a </w:t>
      </w:r>
      <w:proofErr w:type="spellStart"/>
      <w:r w:rsidRPr="00354EB1">
        <w:rPr>
          <w:rFonts w:cs="Arial"/>
          <w:lang w:val="es-419"/>
        </w:rPr>
        <w:t>Euroseeds</w:t>
      </w:r>
      <w:proofErr w:type="spellEnd"/>
      <w:r w:rsidRPr="00354EB1">
        <w:rPr>
          <w:rFonts w:cs="Arial"/>
          <w:lang w:val="es-419"/>
        </w:rPr>
        <w:t xml:space="preserve">. Los coordinadores del proyecto son el GEVES y </w:t>
      </w:r>
      <w:proofErr w:type="spellStart"/>
      <w:r w:rsidRPr="00354EB1">
        <w:rPr>
          <w:rFonts w:cs="Arial"/>
          <w:i/>
          <w:lang w:val="es-419"/>
        </w:rPr>
        <w:t>Naktuinbouw</w:t>
      </w:r>
      <w:proofErr w:type="spellEnd"/>
      <w:r w:rsidRPr="00354EB1">
        <w:rPr>
          <w:rFonts w:cs="Arial"/>
          <w:lang w:val="es-419"/>
        </w:rPr>
        <w:t>. Se inició en 2020 y su duración prevista es de tres años.</w:t>
      </w:r>
    </w:p>
    <w:p w:rsidR="008035EB" w:rsidRPr="00354EB1" w:rsidRDefault="008035EB" w:rsidP="008035EB">
      <w:pPr>
        <w:rPr>
          <w:rFonts w:cs="Arial"/>
          <w:lang w:val="es-419"/>
        </w:rPr>
      </w:pPr>
    </w:p>
    <w:p w:rsidR="008035EB" w:rsidRPr="00354EB1" w:rsidRDefault="008035EB" w:rsidP="008035EB">
      <w:pPr>
        <w:rPr>
          <w:rFonts w:cs="Arial"/>
          <w:i/>
          <w:lang w:val="es-419"/>
        </w:rPr>
      </w:pPr>
      <w:r w:rsidRPr="00354EB1">
        <w:rPr>
          <w:i/>
          <w:lang w:val="es-419"/>
        </w:rPr>
        <w:t>Melón</w:t>
      </w:r>
      <w:r w:rsidRPr="00354EB1">
        <w:rPr>
          <w:rFonts w:cs="Arial"/>
          <w:i/>
          <w:lang w:val="es-419"/>
        </w:rPr>
        <w:t xml:space="preserve"> </w:t>
      </w:r>
    </w:p>
    <w:p w:rsidR="008035EB" w:rsidRPr="00354EB1" w:rsidRDefault="008035EB" w:rsidP="008035EB">
      <w:pPr>
        <w:contextualSpacing/>
        <w:rPr>
          <w:rFonts w:cs="Arial"/>
          <w:lang w:val="es-419"/>
        </w:rPr>
      </w:pPr>
      <w:r w:rsidRPr="00354EB1">
        <w:rPr>
          <w:lang w:val="es-419"/>
        </w:rPr>
        <w:t xml:space="preserve">El objetivo es establecer una base de datos común que contenga descripciones de variedades y fotos almacenadas en todas las oficinas de examen autorizadas por la OCVV para el melón. Como los datos de las diferentes oficinas de examen no estarán armonizados, la base de datos no se utilizará directamente para elegir las variedades de referencia que se han de comparar con las variedades candidatas, pero facilitará la identificación del material de referencia disponible y de sus conservadores. </w:t>
      </w:r>
      <w:r w:rsidRPr="00354EB1">
        <w:rPr>
          <w:rFonts w:cs="Arial"/>
          <w:lang w:val="es-419"/>
        </w:rPr>
        <w:t xml:space="preserve">La base de datos ya es operativa y este año ha sido utilizada por </w:t>
      </w:r>
      <w:proofErr w:type="spellStart"/>
      <w:r w:rsidRPr="00354EB1">
        <w:rPr>
          <w:rFonts w:cs="Arial"/>
          <w:i/>
          <w:lang w:val="es-419"/>
        </w:rPr>
        <w:t>Naktuinbouw</w:t>
      </w:r>
      <w:proofErr w:type="spellEnd"/>
      <w:r w:rsidRPr="00354EB1">
        <w:rPr>
          <w:rFonts w:cs="Arial"/>
          <w:lang w:val="es-419"/>
        </w:rPr>
        <w:t xml:space="preserve"> (Países Bajos), GEVES (Francia), INIA/OEVV (España), UKSUP (Eslovaquia) y DGAV (Portugal). </w:t>
      </w:r>
    </w:p>
    <w:p w:rsidR="008035EB" w:rsidRPr="00354EB1" w:rsidRDefault="008035EB" w:rsidP="008035EB">
      <w:pPr>
        <w:contextualSpacing/>
        <w:rPr>
          <w:rFonts w:cs="Arial"/>
          <w:lang w:val="es-419"/>
        </w:rPr>
      </w:pPr>
    </w:p>
    <w:p w:rsidR="008035EB" w:rsidRPr="00354EB1" w:rsidRDefault="008035EB" w:rsidP="008035EB">
      <w:pPr>
        <w:contextualSpacing/>
        <w:rPr>
          <w:rFonts w:cs="Arial"/>
          <w:lang w:val="es-419"/>
        </w:rPr>
      </w:pPr>
      <w:r w:rsidRPr="00354EB1">
        <w:rPr>
          <w:rFonts w:cs="Arial"/>
          <w:lang w:val="es-419"/>
        </w:rPr>
        <w:t>Los dos proyectos siguientes se iniciarán en 2022, con sujeción a la aprobación el presupuesto de la OCVV en octubre de 2021:</w:t>
      </w:r>
    </w:p>
    <w:p w:rsidR="008035EB" w:rsidRPr="00354EB1" w:rsidRDefault="008035EB" w:rsidP="008035EB">
      <w:pPr>
        <w:contextualSpacing/>
        <w:rPr>
          <w:rFonts w:cs="Arial"/>
          <w:i/>
          <w:lang w:val="es-419"/>
        </w:rPr>
      </w:pPr>
    </w:p>
    <w:p w:rsidR="008035EB" w:rsidRPr="00354EB1" w:rsidRDefault="008035EB" w:rsidP="008035EB">
      <w:pPr>
        <w:contextualSpacing/>
        <w:rPr>
          <w:rFonts w:cs="Arial"/>
          <w:i/>
          <w:lang w:val="es-419"/>
        </w:rPr>
      </w:pPr>
      <w:r w:rsidRPr="00354EB1">
        <w:rPr>
          <w:rFonts w:cs="Arial"/>
          <w:i/>
          <w:lang w:val="es-419"/>
        </w:rPr>
        <w:t>Hortensia</w:t>
      </w:r>
    </w:p>
    <w:p w:rsidR="008035EB" w:rsidRPr="00354EB1" w:rsidRDefault="008035EB" w:rsidP="008035EB">
      <w:pPr>
        <w:contextualSpacing/>
        <w:rPr>
          <w:rFonts w:cs="Arial"/>
          <w:lang w:val="es-419"/>
        </w:rPr>
      </w:pPr>
      <w:r w:rsidRPr="00354EB1">
        <w:rPr>
          <w:rFonts w:cs="Arial"/>
          <w:lang w:val="es-419"/>
        </w:rPr>
        <w:t xml:space="preserve">Utilización de datos moleculares para respaldar el examen DHE en plantas ornamentales: un estudio de caso sobre la hortensia. </w:t>
      </w:r>
    </w:p>
    <w:p w:rsidR="008035EB" w:rsidRPr="00354EB1" w:rsidRDefault="008035EB" w:rsidP="008035EB">
      <w:pPr>
        <w:contextualSpacing/>
        <w:rPr>
          <w:rFonts w:cs="Arial"/>
          <w:i/>
          <w:lang w:val="es-419"/>
        </w:rPr>
      </w:pPr>
    </w:p>
    <w:p w:rsidR="00557648" w:rsidRDefault="00557648">
      <w:pPr>
        <w:jc w:val="left"/>
        <w:rPr>
          <w:rFonts w:cs="Arial"/>
          <w:i/>
          <w:lang w:val="es-419"/>
        </w:rPr>
      </w:pPr>
      <w:r>
        <w:rPr>
          <w:rFonts w:cs="Arial"/>
          <w:i/>
          <w:lang w:val="es-419"/>
        </w:rPr>
        <w:br w:type="page"/>
      </w:r>
    </w:p>
    <w:p w:rsidR="008035EB" w:rsidRPr="00354EB1" w:rsidRDefault="008035EB" w:rsidP="008035EB">
      <w:pPr>
        <w:contextualSpacing/>
        <w:rPr>
          <w:rFonts w:cs="Arial"/>
          <w:i/>
          <w:lang w:val="es-419"/>
        </w:rPr>
      </w:pPr>
      <w:r w:rsidRPr="00354EB1">
        <w:rPr>
          <w:rFonts w:cs="Arial"/>
          <w:i/>
          <w:lang w:val="es-419"/>
        </w:rPr>
        <w:lastRenderedPageBreak/>
        <w:t>Tomate – Pimiento – Melón</w:t>
      </w:r>
    </w:p>
    <w:p w:rsidR="008035EB" w:rsidRPr="00354EB1" w:rsidRDefault="008035EB" w:rsidP="008035EB">
      <w:pPr>
        <w:contextualSpacing/>
        <w:rPr>
          <w:rFonts w:cs="Arial"/>
          <w:lang w:val="es-419"/>
        </w:rPr>
      </w:pPr>
      <w:r w:rsidRPr="00354EB1">
        <w:rPr>
          <w:rFonts w:cs="Arial"/>
          <w:lang w:val="es-419"/>
        </w:rPr>
        <w:t>Actualización de los ensayos DHE de los caracteres de resistencia en función de la evolución de las plagas:</w:t>
      </w:r>
    </w:p>
    <w:p w:rsidR="008035EB" w:rsidRPr="00354EB1" w:rsidRDefault="008035EB" w:rsidP="008035EB">
      <w:pPr>
        <w:contextualSpacing/>
        <w:rPr>
          <w:rFonts w:cs="Arial"/>
          <w:lang w:val="es-419"/>
        </w:rPr>
      </w:pPr>
      <w:r w:rsidRPr="00354EB1">
        <w:rPr>
          <w:rFonts w:cs="Arial"/>
          <w:lang w:val="es-419"/>
        </w:rPr>
        <w:t xml:space="preserve">- establecimiento de pruebas de resistencia al </w:t>
      </w:r>
      <w:proofErr w:type="spellStart"/>
      <w:r w:rsidRPr="00354EB1">
        <w:rPr>
          <w:rFonts w:cs="Arial"/>
          <w:lang w:val="es-419"/>
        </w:rPr>
        <w:t>ToBRFV</w:t>
      </w:r>
      <w:proofErr w:type="spellEnd"/>
      <w:r w:rsidRPr="00354EB1">
        <w:rPr>
          <w:rFonts w:cs="Arial"/>
          <w:lang w:val="es-419"/>
        </w:rPr>
        <w:t xml:space="preserve"> para el tomate y el pimiento;</w:t>
      </w:r>
    </w:p>
    <w:p w:rsidR="008035EB" w:rsidRPr="00354EB1" w:rsidRDefault="008035EB" w:rsidP="008035EB">
      <w:pPr>
        <w:contextualSpacing/>
        <w:rPr>
          <w:rFonts w:cs="Arial"/>
          <w:lang w:val="es-419"/>
        </w:rPr>
      </w:pPr>
      <w:r w:rsidRPr="00354EB1">
        <w:rPr>
          <w:rFonts w:cs="Arial"/>
          <w:lang w:val="es-419"/>
        </w:rPr>
        <w:t xml:space="preserve">- mejora de la prueba de resistencia al </w:t>
      </w:r>
      <w:proofErr w:type="spellStart"/>
      <w:r w:rsidRPr="00354EB1">
        <w:rPr>
          <w:rFonts w:cs="Arial"/>
          <w:i/>
          <w:lang w:val="es-419"/>
        </w:rPr>
        <w:t>Aphis</w:t>
      </w:r>
      <w:proofErr w:type="spellEnd"/>
      <w:r w:rsidRPr="00354EB1">
        <w:rPr>
          <w:rFonts w:cs="Arial"/>
          <w:i/>
          <w:lang w:val="es-419"/>
        </w:rPr>
        <w:t xml:space="preserve"> </w:t>
      </w:r>
      <w:proofErr w:type="spellStart"/>
      <w:r w:rsidRPr="00354EB1">
        <w:rPr>
          <w:rFonts w:cs="Arial"/>
          <w:i/>
          <w:lang w:val="es-419"/>
        </w:rPr>
        <w:t>gossypii</w:t>
      </w:r>
      <w:proofErr w:type="spellEnd"/>
      <w:r w:rsidRPr="00354EB1">
        <w:rPr>
          <w:rFonts w:cs="Arial"/>
          <w:lang w:val="es-419"/>
        </w:rPr>
        <w:t xml:space="preserve"> para el melón.</w:t>
      </w:r>
    </w:p>
    <w:p w:rsidR="008035EB" w:rsidRPr="00354EB1" w:rsidRDefault="008035EB" w:rsidP="008035EB">
      <w:pPr>
        <w:contextualSpacing/>
        <w:rPr>
          <w:rFonts w:cs="Arial"/>
          <w:lang w:val="es-419"/>
        </w:rPr>
      </w:pPr>
    </w:p>
    <w:p w:rsidR="008035EB" w:rsidRPr="00354EB1" w:rsidRDefault="008035EB" w:rsidP="008035EB">
      <w:pPr>
        <w:contextualSpacing/>
        <w:jc w:val="left"/>
        <w:rPr>
          <w:rFonts w:cs="Arial"/>
          <w:lang w:val="es-419"/>
        </w:rPr>
      </w:pPr>
    </w:p>
    <w:p w:rsidR="00DB5B37" w:rsidRDefault="00DB5B37" w:rsidP="0078167F">
      <w:pPr>
        <w:jc w:val="left"/>
      </w:pPr>
    </w:p>
    <w:p w:rsidR="0078167F" w:rsidRDefault="0078167F" w:rsidP="0078167F">
      <w:pPr>
        <w:jc w:val="right"/>
      </w:pPr>
      <w:r>
        <w:t>[</w:t>
      </w:r>
      <w:r w:rsidR="00E80B45">
        <w:t>Fin del</w:t>
      </w:r>
      <w:r>
        <w:t xml:space="preserve"> </w:t>
      </w:r>
      <w:r w:rsidR="00E80B45">
        <w:t>Anexo</w:t>
      </w:r>
      <w:r w:rsidR="003F3E27">
        <w:t xml:space="preserve"> XVI</w:t>
      </w:r>
      <w:r>
        <w:t xml:space="preserve"> </w:t>
      </w:r>
      <w:r w:rsidR="00E80B45">
        <w:t xml:space="preserve">y del </w:t>
      </w:r>
      <w:r>
        <w:t>document</w:t>
      </w:r>
      <w:r w:rsidR="00E80B45">
        <w:t>o</w:t>
      </w:r>
      <w:r>
        <w:t>]</w:t>
      </w:r>
    </w:p>
    <w:p w:rsidR="0078167F" w:rsidRDefault="0078167F" w:rsidP="0078167F"/>
    <w:p w:rsidR="00557648" w:rsidRDefault="00557648" w:rsidP="0078167F">
      <w:bookmarkStart w:id="1" w:name="_GoBack"/>
      <w:bookmarkEnd w:id="1"/>
    </w:p>
    <w:p w:rsidR="00050E16" w:rsidRPr="00C5280D" w:rsidRDefault="00050E16" w:rsidP="009B440E">
      <w:pPr>
        <w:jc w:val="left"/>
      </w:pPr>
    </w:p>
    <w:sectPr w:rsidR="00050E16" w:rsidRPr="00C5280D" w:rsidSect="006E402E">
      <w:headerReference w:type="default" r:id="rId54"/>
      <w:pgSz w:w="11907" w:h="16840" w:code="9"/>
      <w:pgMar w:top="510" w:right="1134" w:bottom="567"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696" w:rsidRDefault="002D1696" w:rsidP="00B07688">
      <w:r>
        <w:separator/>
      </w:r>
    </w:p>
  </w:endnote>
  <w:endnote w:type="continuationSeparator" w:id="0">
    <w:p w:rsidR="002D1696" w:rsidRDefault="002D1696" w:rsidP="006655D3">
      <w:r>
        <w:separator/>
      </w:r>
    </w:p>
    <w:p w:rsidR="002D1696" w:rsidRPr="00294751" w:rsidRDefault="002D1696">
      <w:pPr>
        <w:pStyle w:val="Footer"/>
        <w:spacing w:after="60"/>
        <w:rPr>
          <w:sz w:val="18"/>
          <w:lang w:val="fr-FR"/>
        </w:rPr>
      </w:pPr>
      <w:r w:rsidRPr="00294751">
        <w:rPr>
          <w:sz w:val="18"/>
          <w:lang w:val="fr-FR"/>
        </w:rPr>
        <w:t>[Suite de la note de la page précédente]</w:t>
      </w:r>
    </w:p>
    <w:p w:rsidR="002D1696" w:rsidRPr="00294751" w:rsidRDefault="002D1696" w:rsidP="006655D3">
      <w:pPr>
        <w:rPr>
          <w:lang w:val="fr-FR"/>
        </w:rPr>
      </w:pPr>
    </w:p>
    <w:p w:rsidR="002D1696" w:rsidRPr="00294751" w:rsidRDefault="002D1696" w:rsidP="006655D3">
      <w:pPr>
        <w:rPr>
          <w:lang w:val="fr-FR"/>
        </w:rPr>
      </w:pPr>
    </w:p>
  </w:endnote>
  <w:endnote w:type="continuationNotice" w:id="1">
    <w:p w:rsidR="002D1696" w:rsidRPr="00294751" w:rsidRDefault="002D1696" w:rsidP="006655D3">
      <w:pPr>
        <w:rPr>
          <w:lang w:val="fr-FR"/>
        </w:rPr>
      </w:pPr>
      <w:r w:rsidRPr="00294751">
        <w:rPr>
          <w:lang w:val="fr-FR"/>
        </w:rPr>
        <w:t>[Suite de la note page suivante]</w:t>
      </w:r>
    </w:p>
    <w:p w:rsidR="002D1696" w:rsidRPr="00294751" w:rsidRDefault="002D1696" w:rsidP="006655D3">
      <w:pPr>
        <w:rPr>
          <w:lang w:val="fr-FR"/>
        </w:rPr>
      </w:pPr>
    </w:p>
    <w:p w:rsidR="002D1696" w:rsidRPr="00294751" w:rsidRDefault="002D1696" w:rsidP="006655D3">
      <w:pPr>
        <w:rPr>
          <w:lang w:val="fr-FR"/>
        </w:rPr>
      </w:pPr>
    </w:p>
  </w:endnote>
  <w:endnote w:id="2">
    <w:p w:rsidR="00094AE7" w:rsidRPr="00F36004" w:rsidRDefault="00094AE7" w:rsidP="00094AE7">
      <w:pPr>
        <w:pStyle w:val="EndnoteText"/>
        <w:tabs>
          <w:tab w:val="left" w:pos="284"/>
        </w:tabs>
        <w:spacing w:before="60"/>
        <w:rPr>
          <w:sz w:val="16"/>
        </w:rPr>
      </w:pPr>
      <w:r w:rsidRPr="00F36004">
        <w:rPr>
          <w:rStyle w:val="EndnoteReference"/>
          <w:sz w:val="16"/>
        </w:rPr>
        <w:endnoteRef/>
      </w:r>
      <w:r w:rsidRPr="00F36004">
        <w:rPr>
          <w:sz w:val="16"/>
        </w:rPr>
        <w:tab/>
        <w:t>En este informe se utiliza la terminología de las Naciones Unidas.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ourier New"/>
    <w:charset w:val="00"/>
    <w:family w:val="auto"/>
    <w:pitch w:val="variable"/>
    <w:sig w:usb0="00000001" w:usb1="00000003" w:usb2="00000000" w:usb3="00000000" w:csb0="00000197" w:csb1="00000000"/>
  </w:font>
  <w:font w:name="CIDFont+F2">
    <w:altName w:val="MS Mincho"/>
    <w:panose1 w:val="00000000000000000000"/>
    <w:charset w:val="80"/>
    <w:family w:val="auto"/>
    <w:notTrueType/>
    <w:pitch w:val="default"/>
    <w:sig w:usb0="00000000" w:usb1="08070000" w:usb2="00000010" w:usb3="00000000" w:csb0="00020000" w:csb1="00000000"/>
  </w:font>
  <w:font w:name="함초롬바탕">
    <w:altName w:val="Arial Unicode MS"/>
    <w:charset w:val="81"/>
    <w:family w:val="roman"/>
    <w:pitch w:val="variable"/>
    <w:sig w:usb0="00000000" w:usb1="19DFFFFF" w:usb2="001BFDD7" w:usb3="00000000" w:csb0="001F007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yriadPro-Light">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696" w:rsidRDefault="002D1696" w:rsidP="006655D3">
      <w:r>
        <w:separator/>
      </w:r>
    </w:p>
  </w:footnote>
  <w:footnote w:type="continuationSeparator" w:id="0">
    <w:p w:rsidR="002D1696" w:rsidRDefault="002D1696" w:rsidP="006655D3">
      <w:r>
        <w:separator/>
      </w:r>
    </w:p>
  </w:footnote>
  <w:footnote w:type="continuationNotice" w:id="1">
    <w:p w:rsidR="002D1696" w:rsidRPr="00AB530F" w:rsidRDefault="002D169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C5280D" w:rsidRDefault="00C55E19" w:rsidP="00EB048E">
    <w:pPr>
      <w:pStyle w:val="Header"/>
      <w:rPr>
        <w:rStyle w:val="PageNumber"/>
        <w:lang w:val="en-US"/>
      </w:rPr>
    </w:pPr>
    <w:r>
      <w:rPr>
        <w:rStyle w:val="PageNumber"/>
        <w:lang w:val="en-US"/>
      </w:rPr>
      <w:t>C/55/INF/4</w:t>
    </w:r>
  </w:p>
  <w:p w:rsidR="002D1696" w:rsidRPr="00C5280D" w:rsidRDefault="002D1696" w:rsidP="00EB048E">
    <w:pPr>
      <w:pStyle w:val="Header"/>
      <w:rPr>
        <w:lang w:val="en-US"/>
      </w:rPr>
    </w:pP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2D1696" w:rsidRPr="00C5280D" w:rsidRDefault="002D1696"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C55E19" w:rsidP="00EB048E">
    <w:pPr>
      <w:pStyle w:val="Header"/>
      <w:rPr>
        <w:rStyle w:val="PageNumber"/>
        <w:lang w:val="pt-PT"/>
      </w:rPr>
    </w:pPr>
    <w:r>
      <w:rPr>
        <w:rStyle w:val="PageNumber"/>
        <w:lang w:val="pt-PT"/>
      </w:rPr>
      <w:t>C/55/INF/4</w:t>
    </w:r>
  </w:p>
  <w:p w:rsidR="002D1696" w:rsidRPr="00932993" w:rsidRDefault="002D1696" w:rsidP="00EB048E">
    <w:pPr>
      <w:pStyle w:val="Header"/>
      <w:rPr>
        <w:lang w:val="pt-PT"/>
      </w:rPr>
    </w:pPr>
    <w:r w:rsidRPr="00932993">
      <w:rPr>
        <w:lang w:val="pt-PT"/>
      </w:rPr>
      <w:t xml:space="preserve">Anexo IX, página </w:t>
    </w:r>
    <w:r w:rsidRPr="00666208">
      <w:rPr>
        <w:rStyle w:val="PageNumber"/>
      </w:rPr>
      <w:fldChar w:fldCharType="begin"/>
    </w:r>
    <w:r w:rsidRPr="00932993">
      <w:rPr>
        <w:rStyle w:val="PageNumber"/>
        <w:lang w:val="pt-PT"/>
      </w:rPr>
      <w:instrText xml:space="preserve"> PAGE </w:instrText>
    </w:r>
    <w:r w:rsidRPr="00666208">
      <w:rPr>
        <w:rStyle w:val="PageNumber"/>
      </w:rPr>
      <w:fldChar w:fldCharType="separate"/>
    </w:r>
    <w:r w:rsidR="003F3E27">
      <w:rPr>
        <w:rStyle w:val="PageNumber"/>
        <w:noProof/>
        <w:lang w:val="pt-PT"/>
      </w:rPr>
      <w:t>2</w:t>
    </w:r>
    <w:r w:rsidRPr="00666208">
      <w:rPr>
        <w:rStyle w:val="PageNumber"/>
      </w:rPr>
      <w:fldChar w:fldCharType="end"/>
    </w:r>
  </w:p>
  <w:p w:rsidR="002D1696" w:rsidRPr="00932993" w:rsidRDefault="002D1696" w:rsidP="006655D3">
    <w:pPr>
      <w:rPr>
        <w:lang w:val="pt-PT"/>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C55E19" w:rsidP="00EB048E">
    <w:pPr>
      <w:pStyle w:val="Header"/>
      <w:rPr>
        <w:rStyle w:val="PageNumber"/>
        <w:lang w:val="pt-PT"/>
      </w:rPr>
    </w:pPr>
    <w:r>
      <w:rPr>
        <w:rStyle w:val="PageNumber"/>
        <w:lang w:val="pt-PT"/>
      </w:rPr>
      <w:t>C/55/INF/4</w:t>
    </w:r>
  </w:p>
  <w:p w:rsidR="002D1696" w:rsidRPr="00932993" w:rsidRDefault="002D1696" w:rsidP="00EB048E">
    <w:pPr>
      <w:pStyle w:val="Header"/>
      <w:rPr>
        <w:lang w:val="pt-PT"/>
      </w:rPr>
    </w:pPr>
    <w:r w:rsidRPr="00932993">
      <w:rPr>
        <w:lang w:val="pt-PT"/>
      </w:rPr>
      <w:t xml:space="preserve">Anexo X, página </w:t>
    </w:r>
    <w:r w:rsidRPr="00666208">
      <w:rPr>
        <w:rStyle w:val="PageNumber"/>
      </w:rPr>
      <w:fldChar w:fldCharType="begin"/>
    </w:r>
    <w:r w:rsidRPr="00932993">
      <w:rPr>
        <w:rStyle w:val="PageNumber"/>
        <w:lang w:val="pt-PT"/>
      </w:rPr>
      <w:instrText xml:space="preserve"> PAGE </w:instrText>
    </w:r>
    <w:r w:rsidRPr="00666208">
      <w:rPr>
        <w:rStyle w:val="PageNumber"/>
      </w:rPr>
      <w:fldChar w:fldCharType="separate"/>
    </w:r>
    <w:r w:rsidR="006E402E">
      <w:rPr>
        <w:rStyle w:val="PageNumber"/>
        <w:noProof/>
        <w:lang w:val="pt-PT"/>
      </w:rPr>
      <w:t>2</w:t>
    </w:r>
    <w:r w:rsidRPr="00666208">
      <w:rPr>
        <w:rStyle w:val="PageNumber"/>
      </w:rPr>
      <w:fldChar w:fldCharType="end"/>
    </w:r>
  </w:p>
  <w:p w:rsidR="002D1696" w:rsidRPr="00932993" w:rsidRDefault="002D1696" w:rsidP="006655D3">
    <w:pPr>
      <w:rPr>
        <w:lang w:val="pt-PT"/>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C55E19" w:rsidP="00EB048E">
    <w:pPr>
      <w:pStyle w:val="Header"/>
      <w:rPr>
        <w:rStyle w:val="PageNumber"/>
        <w:lang w:val="pt-PT"/>
      </w:rPr>
    </w:pPr>
    <w:r>
      <w:rPr>
        <w:rStyle w:val="PageNumber"/>
        <w:lang w:val="pt-PT"/>
      </w:rPr>
      <w:t>C/55/INF/4</w:t>
    </w:r>
  </w:p>
  <w:p w:rsidR="002D1696" w:rsidRPr="00932993" w:rsidRDefault="002D1696" w:rsidP="00EB048E">
    <w:pPr>
      <w:pStyle w:val="Header"/>
      <w:rPr>
        <w:lang w:val="pt-PT"/>
      </w:rPr>
    </w:pPr>
    <w:r w:rsidRPr="00932993">
      <w:rPr>
        <w:lang w:val="pt-PT"/>
      </w:rPr>
      <w:t xml:space="preserve">Anexo XI, página </w:t>
    </w:r>
    <w:r w:rsidRPr="00666208">
      <w:rPr>
        <w:rStyle w:val="PageNumber"/>
      </w:rPr>
      <w:fldChar w:fldCharType="begin"/>
    </w:r>
    <w:r w:rsidRPr="00932993">
      <w:rPr>
        <w:rStyle w:val="PageNumber"/>
        <w:lang w:val="pt-PT"/>
      </w:rPr>
      <w:instrText xml:space="preserve"> PAGE </w:instrText>
    </w:r>
    <w:r w:rsidRPr="00666208">
      <w:rPr>
        <w:rStyle w:val="PageNumber"/>
      </w:rPr>
      <w:fldChar w:fldCharType="separate"/>
    </w:r>
    <w:r w:rsidR="003F3E27">
      <w:rPr>
        <w:rStyle w:val="PageNumber"/>
        <w:noProof/>
        <w:lang w:val="pt-PT"/>
      </w:rPr>
      <w:t>4</w:t>
    </w:r>
    <w:r w:rsidRPr="00666208">
      <w:rPr>
        <w:rStyle w:val="PageNumber"/>
      </w:rPr>
      <w:fldChar w:fldCharType="end"/>
    </w:r>
  </w:p>
  <w:p w:rsidR="002D1696" w:rsidRPr="00932993" w:rsidRDefault="002D1696" w:rsidP="006655D3">
    <w:pPr>
      <w:rPr>
        <w:lang w:val="pt-PT"/>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C55E19" w:rsidP="00EB048E">
    <w:pPr>
      <w:pStyle w:val="Header"/>
      <w:rPr>
        <w:rStyle w:val="PageNumber"/>
        <w:lang w:val="pt-PT"/>
      </w:rPr>
    </w:pPr>
    <w:r>
      <w:rPr>
        <w:rStyle w:val="PageNumber"/>
        <w:lang w:val="pt-PT"/>
      </w:rPr>
      <w:t>C/55/INF/4</w:t>
    </w:r>
  </w:p>
  <w:p w:rsidR="002D1696" w:rsidRPr="00932993" w:rsidRDefault="002D1696" w:rsidP="00EB048E">
    <w:pPr>
      <w:pStyle w:val="Header"/>
      <w:rPr>
        <w:lang w:val="pt-PT"/>
      </w:rPr>
    </w:pPr>
    <w:r w:rsidRPr="00932993">
      <w:rPr>
        <w:lang w:val="pt-PT"/>
      </w:rPr>
      <w:t xml:space="preserve">Anexo XII, página </w:t>
    </w:r>
    <w:r w:rsidRPr="00666208">
      <w:rPr>
        <w:rStyle w:val="PageNumber"/>
      </w:rPr>
      <w:fldChar w:fldCharType="begin"/>
    </w:r>
    <w:r w:rsidRPr="00932993">
      <w:rPr>
        <w:rStyle w:val="PageNumber"/>
        <w:lang w:val="pt-PT"/>
      </w:rPr>
      <w:instrText xml:space="preserve"> PAGE </w:instrText>
    </w:r>
    <w:r w:rsidRPr="00666208">
      <w:rPr>
        <w:rStyle w:val="PageNumber"/>
      </w:rPr>
      <w:fldChar w:fldCharType="separate"/>
    </w:r>
    <w:r w:rsidR="003F3E27">
      <w:rPr>
        <w:rStyle w:val="PageNumber"/>
        <w:noProof/>
        <w:lang w:val="pt-PT"/>
      </w:rPr>
      <w:t>2</w:t>
    </w:r>
    <w:r w:rsidRPr="00666208">
      <w:rPr>
        <w:rStyle w:val="PageNumber"/>
      </w:rPr>
      <w:fldChar w:fldCharType="end"/>
    </w:r>
  </w:p>
  <w:p w:rsidR="002D1696" w:rsidRPr="00932993" w:rsidRDefault="002D1696" w:rsidP="006655D3">
    <w:pPr>
      <w:rPr>
        <w:lang w:val="pt-PT"/>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C55E19" w:rsidP="00EB048E">
    <w:pPr>
      <w:pStyle w:val="Header"/>
      <w:rPr>
        <w:rStyle w:val="PageNumber"/>
        <w:lang w:val="pt-PT"/>
      </w:rPr>
    </w:pPr>
    <w:r>
      <w:rPr>
        <w:rStyle w:val="PageNumber"/>
        <w:lang w:val="pt-PT"/>
      </w:rPr>
      <w:t>C/55/INF/4</w:t>
    </w:r>
  </w:p>
  <w:p w:rsidR="002D1696" w:rsidRPr="00932993" w:rsidRDefault="002D1696" w:rsidP="00EB048E">
    <w:pPr>
      <w:pStyle w:val="Header"/>
      <w:rPr>
        <w:lang w:val="pt-PT"/>
      </w:rPr>
    </w:pPr>
    <w:r w:rsidRPr="00932993">
      <w:rPr>
        <w:lang w:val="pt-PT"/>
      </w:rPr>
      <w:t xml:space="preserve">Anexo XIII, página </w:t>
    </w:r>
    <w:r w:rsidRPr="00C5280D">
      <w:rPr>
        <w:rStyle w:val="PageNumber"/>
        <w:lang w:val="en-US"/>
      </w:rPr>
      <w:fldChar w:fldCharType="begin"/>
    </w:r>
    <w:r w:rsidRPr="00932993">
      <w:rPr>
        <w:rStyle w:val="PageNumber"/>
        <w:lang w:val="pt-PT"/>
      </w:rPr>
      <w:instrText xml:space="preserve"> PAGE </w:instrText>
    </w:r>
    <w:r w:rsidRPr="00C5280D">
      <w:rPr>
        <w:rStyle w:val="PageNumber"/>
        <w:lang w:val="en-US"/>
      </w:rPr>
      <w:fldChar w:fldCharType="separate"/>
    </w:r>
    <w:r w:rsidR="00602633">
      <w:rPr>
        <w:rStyle w:val="PageNumber"/>
        <w:noProof/>
        <w:lang w:val="pt-PT"/>
      </w:rPr>
      <w:t>2</w:t>
    </w:r>
    <w:r w:rsidRPr="00C5280D">
      <w:rPr>
        <w:rStyle w:val="PageNumber"/>
        <w:lang w:val="en-US"/>
      </w:rPr>
      <w:fldChar w:fldCharType="end"/>
    </w:r>
  </w:p>
  <w:p w:rsidR="002D1696" w:rsidRPr="00932993" w:rsidRDefault="002D1696" w:rsidP="006655D3">
    <w:pPr>
      <w:rPr>
        <w:lang w:val="pt-PT"/>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C55E19" w:rsidP="00EB048E">
    <w:pPr>
      <w:pStyle w:val="Header"/>
      <w:rPr>
        <w:rStyle w:val="PageNumber"/>
        <w:lang w:val="pt-PT"/>
      </w:rPr>
    </w:pPr>
    <w:r>
      <w:rPr>
        <w:rStyle w:val="PageNumber"/>
        <w:lang w:val="pt-PT"/>
      </w:rPr>
      <w:t>C/55/INF/4</w:t>
    </w:r>
  </w:p>
  <w:p w:rsidR="002D1696" w:rsidRPr="00932993" w:rsidRDefault="002D1696" w:rsidP="00EB048E">
    <w:pPr>
      <w:pStyle w:val="Header"/>
      <w:rPr>
        <w:lang w:val="pt-PT"/>
      </w:rPr>
    </w:pPr>
    <w:r w:rsidRPr="00932993">
      <w:rPr>
        <w:lang w:val="pt-PT"/>
      </w:rPr>
      <w:t xml:space="preserve">Anexo XIV, página </w:t>
    </w:r>
    <w:r w:rsidRPr="00666208">
      <w:rPr>
        <w:rStyle w:val="PageNumber"/>
      </w:rPr>
      <w:fldChar w:fldCharType="begin"/>
    </w:r>
    <w:r w:rsidRPr="00932993">
      <w:rPr>
        <w:rStyle w:val="PageNumber"/>
        <w:lang w:val="pt-PT"/>
      </w:rPr>
      <w:instrText xml:space="preserve"> PAGE </w:instrText>
    </w:r>
    <w:r w:rsidRPr="00666208">
      <w:rPr>
        <w:rStyle w:val="PageNumber"/>
      </w:rPr>
      <w:fldChar w:fldCharType="separate"/>
    </w:r>
    <w:r w:rsidR="00666208" w:rsidRPr="00932993">
      <w:rPr>
        <w:rStyle w:val="PageNumber"/>
        <w:noProof/>
        <w:lang w:val="pt-PT"/>
      </w:rPr>
      <w:t>2</w:t>
    </w:r>
    <w:r w:rsidRPr="00666208">
      <w:rPr>
        <w:rStyle w:val="PageNumber"/>
      </w:rPr>
      <w:fldChar w:fldCharType="end"/>
    </w:r>
  </w:p>
  <w:p w:rsidR="002D1696" w:rsidRPr="00932993" w:rsidRDefault="002D1696" w:rsidP="006655D3">
    <w:pPr>
      <w:rPr>
        <w:lang w:val="pt-PT"/>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C55E19" w:rsidP="00EB048E">
    <w:pPr>
      <w:pStyle w:val="Header"/>
      <w:rPr>
        <w:rStyle w:val="PageNumber"/>
        <w:lang w:val="pt-PT"/>
      </w:rPr>
    </w:pPr>
    <w:r>
      <w:rPr>
        <w:rStyle w:val="PageNumber"/>
        <w:lang w:val="pt-PT"/>
      </w:rPr>
      <w:t>C/55/INF/4</w:t>
    </w:r>
  </w:p>
  <w:p w:rsidR="002D1696" w:rsidRPr="00932993" w:rsidRDefault="002D1696" w:rsidP="00EB048E">
    <w:pPr>
      <w:pStyle w:val="Header"/>
      <w:rPr>
        <w:lang w:val="pt-PT"/>
      </w:rPr>
    </w:pPr>
    <w:r w:rsidRPr="00932993">
      <w:rPr>
        <w:lang w:val="pt-PT"/>
      </w:rPr>
      <w:t xml:space="preserve">Anexo XVI, página </w:t>
    </w:r>
    <w:r w:rsidRPr="00666208">
      <w:rPr>
        <w:rStyle w:val="PageNumber"/>
      </w:rPr>
      <w:fldChar w:fldCharType="begin"/>
    </w:r>
    <w:r w:rsidRPr="00932993">
      <w:rPr>
        <w:rStyle w:val="PageNumber"/>
        <w:lang w:val="pt-PT"/>
      </w:rPr>
      <w:instrText xml:space="preserve"> PAGE </w:instrText>
    </w:r>
    <w:r w:rsidRPr="00666208">
      <w:rPr>
        <w:rStyle w:val="PageNumber"/>
      </w:rPr>
      <w:fldChar w:fldCharType="separate"/>
    </w:r>
    <w:r w:rsidR="009E5061">
      <w:rPr>
        <w:rStyle w:val="PageNumber"/>
        <w:noProof/>
        <w:lang w:val="pt-PT"/>
      </w:rPr>
      <w:t>2</w:t>
    </w:r>
    <w:r w:rsidRPr="00666208">
      <w:rPr>
        <w:rStyle w:val="PageNumber"/>
      </w:rPr>
      <w:fldChar w:fldCharType="end"/>
    </w:r>
  </w:p>
  <w:p w:rsidR="002D1696" w:rsidRPr="00932993" w:rsidRDefault="002D1696" w:rsidP="006655D3">
    <w:pPr>
      <w:rPr>
        <w:lang w:val="pt-PT"/>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27" w:rsidRPr="00932993" w:rsidRDefault="003F3E27" w:rsidP="00EB048E">
    <w:pPr>
      <w:pStyle w:val="Header"/>
      <w:rPr>
        <w:rStyle w:val="PageNumber"/>
        <w:lang w:val="pt-PT"/>
      </w:rPr>
    </w:pPr>
    <w:r>
      <w:rPr>
        <w:rStyle w:val="PageNumber"/>
        <w:lang w:val="pt-PT"/>
      </w:rPr>
      <w:t>C/55/INF/4</w:t>
    </w:r>
  </w:p>
  <w:p w:rsidR="003F3E27" w:rsidRPr="00932993" w:rsidRDefault="003F3E27" w:rsidP="00EB048E">
    <w:pPr>
      <w:pStyle w:val="Header"/>
      <w:rPr>
        <w:lang w:val="pt-PT"/>
      </w:rPr>
    </w:pPr>
    <w:r w:rsidRPr="00932993">
      <w:rPr>
        <w:lang w:val="pt-PT"/>
      </w:rPr>
      <w:t xml:space="preserve">Anexo XV, página </w:t>
    </w:r>
    <w:r w:rsidRPr="00666208">
      <w:rPr>
        <w:rStyle w:val="PageNumber"/>
      </w:rPr>
      <w:fldChar w:fldCharType="begin"/>
    </w:r>
    <w:r w:rsidRPr="00932993">
      <w:rPr>
        <w:rStyle w:val="PageNumber"/>
        <w:lang w:val="pt-PT"/>
      </w:rPr>
      <w:instrText xml:space="preserve"> PAGE </w:instrText>
    </w:r>
    <w:r w:rsidRPr="00666208">
      <w:rPr>
        <w:rStyle w:val="PageNumber"/>
      </w:rPr>
      <w:fldChar w:fldCharType="separate"/>
    </w:r>
    <w:r w:rsidR="00557648">
      <w:rPr>
        <w:rStyle w:val="PageNumber"/>
        <w:noProof/>
        <w:lang w:val="pt-PT"/>
      </w:rPr>
      <w:t>3</w:t>
    </w:r>
    <w:r w:rsidRPr="00666208">
      <w:rPr>
        <w:rStyle w:val="PageNumber"/>
      </w:rPr>
      <w:fldChar w:fldCharType="end"/>
    </w:r>
  </w:p>
  <w:p w:rsidR="003F3E27" w:rsidRPr="00932993" w:rsidRDefault="003F3E27" w:rsidP="006655D3">
    <w:pPr>
      <w:rPr>
        <w:lang w:val="pt-PT"/>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C55E19" w:rsidP="000A23DC">
    <w:pPr>
      <w:pStyle w:val="Header"/>
      <w:rPr>
        <w:rStyle w:val="PageNumber"/>
        <w:lang w:val="pt-PT"/>
      </w:rPr>
    </w:pPr>
    <w:r>
      <w:rPr>
        <w:rStyle w:val="PageNumber"/>
        <w:lang w:val="pt-PT"/>
      </w:rPr>
      <w:t>C/55/INF/4</w:t>
    </w:r>
  </w:p>
  <w:p w:rsidR="002D1696" w:rsidRPr="00932993" w:rsidRDefault="002D1696" w:rsidP="008B3D8D">
    <w:pPr>
      <w:pStyle w:val="Header"/>
      <w:rPr>
        <w:lang w:val="pt-PT"/>
      </w:rPr>
    </w:pPr>
    <w:r w:rsidRPr="00932993">
      <w:rPr>
        <w:lang w:val="pt-PT"/>
      </w:rPr>
      <w:t xml:space="preserve">Anexo XVI, página </w:t>
    </w:r>
    <w:r w:rsidRPr="00202E38">
      <w:rPr>
        <w:rStyle w:val="PageNumber"/>
        <w:lang w:val="de-DE"/>
      </w:rPr>
      <w:fldChar w:fldCharType="begin"/>
    </w:r>
    <w:r w:rsidRPr="00932993">
      <w:rPr>
        <w:rStyle w:val="PageNumber"/>
        <w:lang w:val="pt-PT"/>
      </w:rPr>
      <w:instrText xml:space="preserve"> PAGE </w:instrText>
    </w:r>
    <w:r w:rsidRPr="00202E38">
      <w:rPr>
        <w:rStyle w:val="PageNumber"/>
        <w:lang w:val="de-DE"/>
      </w:rPr>
      <w:fldChar w:fldCharType="separate"/>
    </w:r>
    <w:r w:rsidR="00557648">
      <w:rPr>
        <w:rStyle w:val="PageNumber"/>
        <w:noProof/>
        <w:lang w:val="pt-PT"/>
      </w:rPr>
      <w:t>9</w:t>
    </w:r>
    <w:r w:rsidRPr="00202E38">
      <w:rPr>
        <w:rStyle w:val="PageNumber"/>
        <w:lang w:val="de-DE"/>
      </w:rPr>
      <w:fldChar w:fldCharType="end"/>
    </w:r>
  </w:p>
  <w:p w:rsidR="002D1696" w:rsidRPr="00932993" w:rsidRDefault="002D1696" w:rsidP="006655D3">
    <w:pPr>
      <w:rPr>
        <w:lang w:val="pt-P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C55E19" w:rsidP="00EB048E">
    <w:pPr>
      <w:pStyle w:val="Header"/>
      <w:rPr>
        <w:rStyle w:val="PageNumber"/>
        <w:lang w:val="pt-PT"/>
      </w:rPr>
    </w:pPr>
    <w:r>
      <w:rPr>
        <w:rStyle w:val="PageNumber"/>
        <w:lang w:val="pt-PT"/>
      </w:rPr>
      <w:t>C/55/INF/4</w:t>
    </w:r>
  </w:p>
  <w:p w:rsidR="002D1696" w:rsidRPr="00932993" w:rsidRDefault="002D1696" w:rsidP="00EB048E">
    <w:pPr>
      <w:pStyle w:val="Header"/>
      <w:rPr>
        <w:lang w:val="pt-PT"/>
      </w:rPr>
    </w:pPr>
    <w:r w:rsidRPr="00932993">
      <w:rPr>
        <w:lang w:val="pt-PT"/>
      </w:rPr>
      <w:t xml:space="preserve">Anexo I, página </w:t>
    </w:r>
    <w:r w:rsidRPr="00C5280D">
      <w:rPr>
        <w:rStyle w:val="PageNumber"/>
        <w:lang w:val="en-US"/>
      </w:rPr>
      <w:fldChar w:fldCharType="begin"/>
    </w:r>
    <w:r w:rsidRPr="00932993">
      <w:rPr>
        <w:rStyle w:val="PageNumber"/>
        <w:lang w:val="pt-PT"/>
      </w:rPr>
      <w:instrText xml:space="preserve"> PAGE </w:instrText>
    </w:r>
    <w:r w:rsidRPr="00C5280D">
      <w:rPr>
        <w:rStyle w:val="PageNumber"/>
        <w:lang w:val="en-US"/>
      </w:rPr>
      <w:fldChar w:fldCharType="separate"/>
    </w:r>
    <w:r w:rsidR="00B409BE">
      <w:rPr>
        <w:rStyle w:val="PageNumber"/>
        <w:noProof/>
        <w:lang w:val="pt-PT"/>
      </w:rPr>
      <w:t>2</w:t>
    </w:r>
    <w:r w:rsidRPr="00C5280D">
      <w:rPr>
        <w:rStyle w:val="PageNumber"/>
        <w:lang w:val="en-US"/>
      </w:rPr>
      <w:fldChar w:fldCharType="end"/>
    </w:r>
  </w:p>
  <w:p w:rsidR="002D1696" w:rsidRPr="00932993" w:rsidRDefault="002D1696" w:rsidP="006655D3">
    <w:pP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C55E19" w:rsidP="00EB048E">
    <w:pPr>
      <w:pStyle w:val="Header"/>
      <w:rPr>
        <w:rStyle w:val="PageNumber"/>
        <w:lang w:val="pt-PT"/>
      </w:rPr>
    </w:pPr>
    <w:r>
      <w:rPr>
        <w:rStyle w:val="PageNumber"/>
        <w:lang w:val="pt-PT"/>
      </w:rPr>
      <w:t>C/55/INF/4</w:t>
    </w:r>
  </w:p>
  <w:p w:rsidR="002D1696" w:rsidRPr="00932993" w:rsidRDefault="002D1696" w:rsidP="00EB048E">
    <w:pPr>
      <w:pStyle w:val="Header"/>
      <w:rPr>
        <w:lang w:val="pt-PT"/>
      </w:rPr>
    </w:pPr>
    <w:r w:rsidRPr="00932993">
      <w:rPr>
        <w:lang w:val="pt-PT"/>
      </w:rPr>
      <w:t xml:space="preserve">Anexo II, página </w:t>
    </w:r>
    <w:r w:rsidRPr="00666208">
      <w:rPr>
        <w:rStyle w:val="PageNumber"/>
      </w:rPr>
      <w:fldChar w:fldCharType="begin"/>
    </w:r>
    <w:r w:rsidRPr="00932993">
      <w:rPr>
        <w:rStyle w:val="PageNumber"/>
        <w:lang w:val="pt-PT"/>
      </w:rPr>
      <w:instrText xml:space="preserve"> PAGE </w:instrText>
    </w:r>
    <w:r w:rsidRPr="00666208">
      <w:rPr>
        <w:rStyle w:val="PageNumber"/>
      </w:rPr>
      <w:fldChar w:fldCharType="separate"/>
    </w:r>
    <w:r w:rsidR="008035EB">
      <w:rPr>
        <w:rStyle w:val="PageNumber"/>
        <w:noProof/>
        <w:lang w:val="pt-PT"/>
      </w:rPr>
      <w:t>2</w:t>
    </w:r>
    <w:r w:rsidRPr="00666208">
      <w:rPr>
        <w:rStyle w:val="PageNumber"/>
      </w:rPr>
      <w:fldChar w:fldCharType="end"/>
    </w:r>
  </w:p>
  <w:p w:rsidR="002D1696" w:rsidRPr="00932993" w:rsidRDefault="002D1696" w:rsidP="006655D3">
    <w:pPr>
      <w:rPr>
        <w:lang w:val="pt-P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C55E19" w:rsidP="00EB048E">
    <w:pPr>
      <w:pStyle w:val="Header"/>
      <w:rPr>
        <w:rStyle w:val="PageNumber"/>
        <w:lang w:val="pt-PT"/>
      </w:rPr>
    </w:pPr>
    <w:r>
      <w:rPr>
        <w:rStyle w:val="PageNumber"/>
        <w:lang w:val="pt-PT"/>
      </w:rPr>
      <w:t>C/55/INF/4</w:t>
    </w:r>
  </w:p>
  <w:p w:rsidR="002D1696" w:rsidRPr="00932993" w:rsidRDefault="002D1696" w:rsidP="00EB048E">
    <w:pPr>
      <w:pStyle w:val="Header"/>
      <w:rPr>
        <w:lang w:val="pt-PT"/>
      </w:rPr>
    </w:pPr>
    <w:r w:rsidRPr="00932993">
      <w:rPr>
        <w:lang w:val="pt-PT"/>
      </w:rPr>
      <w:t xml:space="preserve">Anexo III, página </w:t>
    </w:r>
    <w:r w:rsidRPr="00666208">
      <w:rPr>
        <w:rStyle w:val="PageNumber"/>
      </w:rPr>
      <w:fldChar w:fldCharType="begin"/>
    </w:r>
    <w:r w:rsidRPr="00932993">
      <w:rPr>
        <w:rStyle w:val="PageNumber"/>
        <w:lang w:val="pt-PT"/>
      </w:rPr>
      <w:instrText xml:space="preserve"> PAGE </w:instrText>
    </w:r>
    <w:r w:rsidRPr="00666208">
      <w:rPr>
        <w:rStyle w:val="PageNumber"/>
      </w:rPr>
      <w:fldChar w:fldCharType="separate"/>
    </w:r>
    <w:r w:rsidR="003518A1">
      <w:rPr>
        <w:rStyle w:val="PageNumber"/>
        <w:noProof/>
        <w:lang w:val="pt-PT"/>
      </w:rPr>
      <w:t>3</w:t>
    </w:r>
    <w:r w:rsidRPr="00666208">
      <w:rPr>
        <w:rStyle w:val="PageNumber"/>
      </w:rPr>
      <w:fldChar w:fldCharType="end"/>
    </w:r>
  </w:p>
  <w:p w:rsidR="002D1696" w:rsidRPr="00932993" w:rsidRDefault="002D1696" w:rsidP="006655D3">
    <w:pPr>
      <w:rPr>
        <w:lang w:val="pt-P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C55E19" w:rsidP="00EB048E">
    <w:pPr>
      <w:pStyle w:val="Header"/>
      <w:rPr>
        <w:rStyle w:val="PageNumber"/>
        <w:lang w:val="pt-PT"/>
      </w:rPr>
    </w:pPr>
    <w:r>
      <w:rPr>
        <w:rStyle w:val="PageNumber"/>
        <w:lang w:val="pt-PT"/>
      </w:rPr>
      <w:t>C/55/INF/4</w:t>
    </w:r>
  </w:p>
  <w:p w:rsidR="002D1696" w:rsidRPr="00932993" w:rsidRDefault="002D1696" w:rsidP="00EB048E">
    <w:pPr>
      <w:pStyle w:val="Header"/>
      <w:rPr>
        <w:lang w:val="pt-PT"/>
      </w:rPr>
    </w:pPr>
    <w:r w:rsidRPr="00932993">
      <w:rPr>
        <w:lang w:val="pt-PT"/>
      </w:rPr>
      <w:t xml:space="preserve">Anexo IV, página </w:t>
    </w:r>
    <w:r w:rsidRPr="00C5280D">
      <w:rPr>
        <w:rStyle w:val="PageNumber"/>
        <w:lang w:val="en-US"/>
      </w:rPr>
      <w:fldChar w:fldCharType="begin"/>
    </w:r>
    <w:r w:rsidRPr="00932993">
      <w:rPr>
        <w:rStyle w:val="PageNumber"/>
        <w:lang w:val="pt-PT"/>
      </w:rPr>
      <w:instrText xml:space="preserve"> PAGE </w:instrText>
    </w:r>
    <w:r w:rsidRPr="00C5280D">
      <w:rPr>
        <w:rStyle w:val="PageNumber"/>
        <w:lang w:val="en-US"/>
      </w:rPr>
      <w:fldChar w:fldCharType="separate"/>
    </w:r>
    <w:r w:rsidRPr="00932993">
      <w:rPr>
        <w:rStyle w:val="PageNumber"/>
        <w:noProof/>
        <w:lang w:val="pt-PT"/>
      </w:rPr>
      <w:t>2</w:t>
    </w:r>
    <w:r w:rsidRPr="00C5280D">
      <w:rPr>
        <w:rStyle w:val="PageNumber"/>
        <w:lang w:val="en-US"/>
      </w:rPr>
      <w:fldChar w:fldCharType="end"/>
    </w:r>
  </w:p>
  <w:p w:rsidR="002D1696" w:rsidRPr="00932993" w:rsidRDefault="002D1696" w:rsidP="006655D3">
    <w:pPr>
      <w:rPr>
        <w:lang w:val="pt-PT"/>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C55E19" w:rsidP="00EB048E">
    <w:pPr>
      <w:pStyle w:val="Header"/>
      <w:rPr>
        <w:rStyle w:val="PageNumber"/>
        <w:lang w:val="pt-PT"/>
      </w:rPr>
    </w:pPr>
    <w:r>
      <w:rPr>
        <w:rStyle w:val="PageNumber"/>
        <w:lang w:val="pt-PT"/>
      </w:rPr>
      <w:t>C/55/INF/4</w:t>
    </w:r>
  </w:p>
  <w:p w:rsidR="002D1696" w:rsidRPr="00932993" w:rsidRDefault="002D1696" w:rsidP="00EB048E">
    <w:pPr>
      <w:pStyle w:val="Header"/>
      <w:rPr>
        <w:lang w:val="pt-PT"/>
      </w:rPr>
    </w:pPr>
    <w:r w:rsidRPr="00932993">
      <w:rPr>
        <w:lang w:val="pt-PT"/>
      </w:rPr>
      <w:t xml:space="preserve">Anexo V, página </w:t>
    </w:r>
    <w:r w:rsidRPr="00C5280D">
      <w:rPr>
        <w:rStyle w:val="PageNumber"/>
        <w:lang w:val="en-US"/>
      </w:rPr>
      <w:fldChar w:fldCharType="begin"/>
    </w:r>
    <w:r w:rsidRPr="00932993">
      <w:rPr>
        <w:rStyle w:val="PageNumber"/>
        <w:lang w:val="pt-PT"/>
      </w:rPr>
      <w:instrText xml:space="preserve"> PAGE </w:instrText>
    </w:r>
    <w:r w:rsidRPr="00C5280D">
      <w:rPr>
        <w:rStyle w:val="PageNumber"/>
        <w:lang w:val="en-US"/>
      </w:rPr>
      <w:fldChar w:fldCharType="separate"/>
    </w:r>
    <w:r w:rsidR="008035EB">
      <w:rPr>
        <w:rStyle w:val="PageNumber"/>
        <w:noProof/>
        <w:lang w:val="pt-PT"/>
      </w:rPr>
      <w:t>2</w:t>
    </w:r>
    <w:r w:rsidRPr="00C5280D">
      <w:rPr>
        <w:rStyle w:val="PageNumber"/>
        <w:lang w:val="en-US"/>
      </w:rPr>
      <w:fldChar w:fldCharType="end"/>
    </w:r>
  </w:p>
  <w:p w:rsidR="002D1696" w:rsidRPr="00932993" w:rsidRDefault="002D1696" w:rsidP="006655D3">
    <w:pPr>
      <w:rPr>
        <w:lang w:val="pt-PT"/>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C55E19" w:rsidP="00EB048E">
    <w:pPr>
      <w:pStyle w:val="Header"/>
      <w:rPr>
        <w:rStyle w:val="PageNumber"/>
        <w:lang w:val="pt-PT"/>
      </w:rPr>
    </w:pPr>
    <w:r>
      <w:rPr>
        <w:rStyle w:val="PageNumber"/>
        <w:lang w:val="pt-PT"/>
      </w:rPr>
      <w:t>C/55/INF/4</w:t>
    </w:r>
  </w:p>
  <w:p w:rsidR="002D1696" w:rsidRPr="00932993" w:rsidRDefault="002D1696" w:rsidP="00EB048E">
    <w:pPr>
      <w:pStyle w:val="Header"/>
      <w:rPr>
        <w:lang w:val="pt-PT"/>
      </w:rPr>
    </w:pPr>
    <w:r w:rsidRPr="00932993">
      <w:rPr>
        <w:lang w:val="pt-PT"/>
      </w:rPr>
      <w:t xml:space="preserve">Anexo VI, página </w:t>
    </w:r>
    <w:r w:rsidRPr="00C5280D">
      <w:rPr>
        <w:rStyle w:val="PageNumber"/>
        <w:lang w:val="en-US"/>
      </w:rPr>
      <w:fldChar w:fldCharType="begin"/>
    </w:r>
    <w:r w:rsidRPr="00932993">
      <w:rPr>
        <w:rStyle w:val="PageNumber"/>
        <w:lang w:val="pt-PT"/>
      </w:rPr>
      <w:instrText xml:space="preserve"> PAGE </w:instrText>
    </w:r>
    <w:r w:rsidRPr="00C5280D">
      <w:rPr>
        <w:rStyle w:val="PageNumber"/>
        <w:lang w:val="en-US"/>
      </w:rPr>
      <w:fldChar w:fldCharType="separate"/>
    </w:r>
    <w:r w:rsidRPr="00932993">
      <w:rPr>
        <w:rStyle w:val="PageNumber"/>
        <w:noProof/>
        <w:lang w:val="pt-PT"/>
      </w:rPr>
      <w:t>2</w:t>
    </w:r>
    <w:r w:rsidRPr="00C5280D">
      <w:rPr>
        <w:rStyle w:val="PageNumber"/>
        <w:lang w:val="en-US"/>
      </w:rPr>
      <w:fldChar w:fldCharType="end"/>
    </w:r>
  </w:p>
  <w:p w:rsidR="002D1696" w:rsidRPr="00932993" w:rsidRDefault="002D1696" w:rsidP="006655D3">
    <w:pPr>
      <w:rPr>
        <w:lang w:val="pt-PT"/>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C55E19" w:rsidP="00EB048E">
    <w:pPr>
      <w:pStyle w:val="Header"/>
      <w:rPr>
        <w:rStyle w:val="PageNumber"/>
        <w:lang w:val="pt-PT"/>
      </w:rPr>
    </w:pPr>
    <w:r>
      <w:rPr>
        <w:rStyle w:val="PageNumber"/>
        <w:lang w:val="pt-PT"/>
      </w:rPr>
      <w:t>C/55/INF/4</w:t>
    </w:r>
  </w:p>
  <w:p w:rsidR="002D1696" w:rsidRPr="00932993" w:rsidRDefault="002D1696" w:rsidP="00EB048E">
    <w:pPr>
      <w:pStyle w:val="Header"/>
      <w:rPr>
        <w:lang w:val="pt-PT"/>
      </w:rPr>
    </w:pPr>
    <w:r w:rsidRPr="00932993">
      <w:rPr>
        <w:lang w:val="pt-PT"/>
      </w:rPr>
      <w:t xml:space="preserve">Anexo VII, página </w:t>
    </w:r>
    <w:r w:rsidRPr="00C5280D">
      <w:rPr>
        <w:rStyle w:val="PageNumber"/>
        <w:lang w:val="en-US"/>
      </w:rPr>
      <w:fldChar w:fldCharType="begin"/>
    </w:r>
    <w:r w:rsidRPr="00932993">
      <w:rPr>
        <w:rStyle w:val="PageNumber"/>
        <w:lang w:val="pt-PT"/>
      </w:rPr>
      <w:instrText xml:space="preserve"> PAGE </w:instrText>
    </w:r>
    <w:r w:rsidRPr="00C5280D">
      <w:rPr>
        <w:rStyle w:val="PageNumber"/>
        <w:lang w:val="en-US"/>
      </w:rPr>
      <w:fldChar w:fldCharType="separate"/>
    </w:r>
    <w:r w:rsidR="008035EB">
      <w:rPr>
        <w:rStyle w:val="PageNumber"/>
        <w:noProof/>
        <w:lang w:val="pt-PT"/>
      </w:rPr>
      <w:t>2</w:t>
    </w:r>
    <w:r w:rsidRPr="00C5280D">
      <w:rPr>
        <w:rStyle w:val="PageNumber"/>
        <w:lang w:val="en-US"/>
      </w:rPr>
      <w:fldChar w:fldCharType="end"/>
    </w:r>
  </w:p>
  <w:p w:rsidR="002D1696" w:rsidRPr="00932993" w:rsidRDefault="002D1696" w:rsidP="006655D3">
    <w:pPr>
      <w:rPr>
        <w:lang w:val="pt-PT"/>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696" w:rsidRPr="00932993" w:rsidRDefault="00C55E19" w:rsidP="00EB048E">
    <w:pPr>
      <w:pStyle w:val="Header"/>
      <w:rPr>
        <w:rStyle w:val="PageNumber"/>
        <w:lang w:val="pt-PT"/>
      </w:rPr>
    </w:pPr>
    <w:r>
      <w:rPr>
        <w:rStyle w:val="PageNumber"/>
        <w:lang w:val="pt-PT"/>
      </w:rPr>
      <w:t>C/55/INF/4</w:t>
    </w:r>
  </w:p>
  <w:p w:rsidR="002D1696" w:rsidRPr="00932993" w:rsidRDefault="002D1696" w:rsidP="00EB048E">
    <w:pPr>
      <w:pStyle w:val="Header"/>
      <w:rPr>
        <w:lang w:val="pt-PT"/>
      </w:rPr>
    </w:pPr>
    <w:r w:rsidRPr="00932993">
      <w:rPr>
        <w:lang w:val="pt-PT"/>
      </w:rPr>
      <w:t xml:space="preserve">Anexo VIII, página </w:t>
    </w:r>
    <w:r w:rsidRPr="00666208">
      <w:rPr>
        <w:rStyle w:val="PageNumber"/>
      </w:rPr>
      <w:fldChar w:fldCharType="begin"/>
    </w:r>
    <w:r w:rsidRPr="00932993">
      <w:rPr>
        <w:rStyle w:val="PageNumber"/>
        <w:lang w:val="pt-PT"/>
      </w:rPr>
      <w:instrText xml:space="preserve"> PAGE </w:instrText>
    </w:r>
    <w:r w:rsidRPr="00666208">
      <w:rPr>
        <w:rStyle w:val="PageNumber"/>
      </w:rPr>
      <w:fldChar w:fldCharType="separate"/>
    </w:r>
    <w:r w:rsidR="00557648">
      <w:rPr>
        <w:rStyle w:val="PageNumber"/>
        <w:noProof/>
        <w:lang w:val="pt-PT"/>
      </w:rPr>
      <w:t>4</w:t>
    </w:r>
    <w:r w:rsidRPr="00666208">
      <w:rPr>
        <w:rStyle w:val="PageNumber"/>
      </w:rPr>
      <w:fldChar w:fldCharType="end"/>
    </w:r>
  </w:p>
  <w:p w:rsidR="002D1696" w:rsidRPr="00932993" w:rsidRDefault="002D1696" w:rsidP="006655D3">
    <w:pP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9F0"/>
    <w:multiLevelType w:val="hybridMultilevel"/>
    <w:tmpl w:val="BD8C28DC"/>
    <w:lvl w:ilvl="0" w:tplc="080C0001">
      <w:start w:val="1"/>
      <w:numFmt w:val="bullet"/>
      <w:lvlText w:val=""/>
      <w:lvlJc w:val="left"/>
      <w:pPr>
        <w:ind w:left="720" w:hanging="360"/>
      </w:pPr>
      <w:rPr>
        <w:rFonts w:ascii="Symbol" w:hAnsi="Symbol" w:hint="default"/>
        <w:color w:val="auto"/>
        <w:u w:color="00B050"/>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15:restartNumberingAfterBreak="0">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16283DE3"/>
    <w:multiLevelType w:val="hybridMultilevel"/>
    <w:tmpl w:val="CB061A6E"/>
    <w:lvl w:ilvl="0" w:tplc="4CEEB070">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95B7CE1"/>
    <w:multiLevelType w:val="hybridMultilevel"/>
    <w:tmpl w:val="26D046E0"/>
    <w:lvl w:ilvl="0" w:tplc="040C0001">
      <w:start w:val="1"/>
      <w:numFmt w:val="bullet"/>
      <w:lvlText w:val=""/>
      <w:lvlJc w:val="left"/>
      <w:pPr>
        <w:ind w:left="1502" w:hanging="360"/>
      </w:pPr>
      <w:rPr>
        <w:rFonts w:ascii="Symbol" w:hAnsi="Symbol" w:hint="default"/>
      </w:rPr>
    </w:lvl>
    <w:lvl w:ilvl="1" w:tplc="040C0003" w:tentative="1">
      <w:start w:val="1"/>
      <w:numFmt w:val="bullet"/>
      <w:lvlText w:val="o"/>
      <w:lvlJc w:val="left"/>
      <w:pPr>
        <w:ind w:left="2222" w:hanging="360"/>
      </w:pPr>
      <w:rPr>
        <w:rFonts w:ascii="Courier New" w:hAnsi="Courier New" w:cs="Courier New" w:hint="default"/>
      </w:rPr>
    </w:lvl>
    <w:lvl w:ilvl="2" w:tplc="040C0005" w:tentative="1">
      <w:start w:val="1"/>
      <w:numFmt w:val="bullet"/>
      <w:lvlText w:val=""/>
      <w:lvlJc w:val="left"/>
      <w:pPr>
        <w:ind w:left="2942" w:hanging="360"/>
      </w:pPr>
      <w:rPr>
        <w:rFonts w:ascii="Wingdings" w:hAnsi="Wingdings" w:hint="default"/>
      </w:rPr>
    </w:lvl>
    <w:lvl w:ilvl="3" w:tplc="040C0001" w:tentative="1">
      <w:start w:val="1"/>
      <w:numFmt w:val="bullet"/>
      <w:lvlText w:val=""/>
      <w:lvlJc w:val="left"/>
      <w:pPr>
        <w:ind w:left="3662" w:hanging="360"/>
      </w:pPr>
      <w:rPr>
        <w:rFonts w:ascii="Symbol" w:hAnsi="Symbol" w:hint="default"/>
      </w:rPr>
    </w:lvl>
    <w:lvl w:ilvl="4" w:tplc="040C0003" w:tentative="1">
      <w:start w:val="1"/>
      <w:numFmt w:val="bullet"/>
      <w:lvlText w:val="o"/>
      <w:lvlJc w:val="left"/>
      <w:pPr>
        <w:ind w:left="4382" w:hanging="360"/>
      </w:pPr>
      <w:rPr>
        <w:rFonts w:ascii="Courier New" w:hAnsi="Courier New" w:cs="Courier New" w:hint="default"/>
      </w:rPr>
    </w:lvl>
    <w:lvl w:ilvl="5" w:tplc="040C0005" w:tentative="1">
      <w:start w:val="1"/>
      <w:numFmt w:val="bullet"/>
      <w:lvlText w:val=""/>
      <w:lvlJc w:val="left"/>
      <w:pPr>
        <w:ind w:left="5102" w:hanging="360"/>
      </w:pPr>
      <w:rPr>
        <w:rFonts w:ascii="Wingdings" w:hAnsi="Wingdings" w:hint="default"/>
      </w:rPr>
    </w:lvl>
    <w:lvl w:ilvl="6" w:tplc="040C0001" w:tentative="1">
      <w:start w:val="1"/>
      <w:numFmt w:val="bullet"/>
      <w:lvlText w:val=""/>
      <w:lvlJc w:val="left"/>
      <w:pPr>
        <w:ind w:left="5822" w:hanging="360"/>
      </w:pPr>
      <w:rPr>
        <w:rFonts w:ascii="Symbol" w:hAnsi="Symbol" w:hint="default"/>
      </w:rPr>
    </w:lvl>
    <w:lvl w:ilvl="7" w:tplc="040C0003" w:tentative="1">
      <w:start w:val="1"/>
      <w:numFmt w:val="bullet"/>
      <w:lvlText w:val="o"/>
      <w:lvlJc w:val="left"/>
      <w:pPr>
        <w:ind w:left="6542" w:hanging="360"/>
      </w:pPr>
      <w:rPr>
        <w:rFonts w:ascii="Courier New" w:hAnsi="Courier New" w:cs="Courier New" w:hint="default"/>
      </w:rPr>
    </w:lvl>
    <w:lvl w:ilvl="8" w:tplc="040C0005" w:tentative="1">
      <w:start w:val="1"/>
      <w:numFmt w:val="bullet"/>
      <w:lvlText w:val=""/>
      <w:lvlJc w:val="left"/>
      <w:pPr>
        <w:ind w:left="7262" w:hanging="360"/>
      </w:pPr>
      <w:rPr>
        <w:rFonts w:ascii="Wingdings" w:hAnsi="Wingdings" w:hint="default"/>
      </w:rPr>
    </w:lvl>
  </w:abstractNum>
  <w:abstractNum w:abstractNumId="4" w15:restartNumberingAfterBreak="0">
    <w:nsid w:val="1C94106C"/>
    <w:multiLevelType w:val="hybridMultilevel"/>
    <w:tmpl w:val="484866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2177028B"/>
    <w:multiLevelType w:val="hybridMultilevel"/>
    <w:tmpl w:val="5CE08DA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64DB4"/>
    <w:multiLevelType w:val="hybridMultilevel"/>
    <w:tmpl w:val="92EE3C3A"/>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9342E"/>
    <w:multiLevelType w:val="hybridMultilevel"/>
    <w:tmpl w:val="ECB209C6"/>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67894"/>
    <w:multiLevelType w:val="hybridMultilevel"/>
    <w:tmpl w:val="21762B5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050D1"/>
    <w:multiLevelType w:val="hybridMultilevel"/>
    <w:tmpl w:val="3A9C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ED111E"/>
    <w:multiLevelType w:val="hybridMultilevel"/>
    <w:tmpl w:val="A0708602"/>
    <w:lvl w:ilvl="0" w:tplc="04090001">
      <w:start w:val="1"/>
      <w:numFmt w:val="bullet"/>
      <w:lvlText w:val=""/>
      <w:lvlJc w:val="left"/>
      <w:pPr>
        <w:ind w:left="720" w:hanging="360"/>
      </w:pPr>
      <w:rPr>
        <w:rFonts w:ascii="Symbol" w:hAnsi="Symbol" w:hint="default"/>
      </w:rPr>
    </w:lvl>
    <w:lvl w:ilvl="1" w:tplc="5BB0F578">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75642"/>
    <w:multiLevelType w:val="hybridMultilevel"/>
    <w:tmpl w:val="DC86C0DC"/>
    <w:lvl w:ilvl="0" w:tplc="59CC7F5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919056D"/>
    <w:multiLevelType w:val="hybridMultilevel"/>
    <w:tmpl w:val="AA32BDA8"/>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7A6453"/>
    <w:multiLevelType w:val="hybridMultilevel"/>
    <w:tmpl w:val="19FE8C86"/>
    <w:lvl w:ilvl="0" w:tplc="4CEEB0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579C4C56"/>
    <w:multiLevelType w:val="hybridMultilevel"/>
    <w:tmpl w:val="A1A00D10"/>
    <w:lvl w:ilvl="0" w:tplc="59CC7F5E">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8BC7465"/>
    <w:multiLevelType w:val="hybridMultilevel"/>
    <w:tmpl w:val="4FEC8E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FBA3444"/>
    <w:multiLevelType w:val="hybridMultilevel"/>
    <w:tmpl w:val="925C5114"/>
    <w:lvl w:ilvl="0" w:tplc="4CEEB070">
      <w:start w:val="1"/>
      <w:numFmt w:val="bullet"/>
      <w:lvlText w:val=""/>
      <w:lvlJc w:val="left"/>
      <w:pPr>
        <w:ind w:left="720" w:hanging="360"/>
      </w:pPr>
      <w:rPr>
        <w:rFonts w:ascii="Symbol" w:hAnsi="Symbol" w:hint="default"/>
      </w:rPr>
    </w:lvl>
    <w:lvl w:ilvl="1" w:tplc="DE7A83E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45C64"/>
    <w:multiLevelType w:val="hybridMultilevel"/>
    <w:tmpl w:val="7C6CB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EF3EAA"/>
    <w:multiLevelType w:val="hybridMultilevel"/>
    <w:tmpl w:val="5EA4416C"/>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B40DC8"/>
    <w:multiLevelType w:val="hybridMultilevel"/>
    <w:tmpl w:val="C1D6E7A2"/>
    <w:lvl w:ilvl="0" w:tplc="6C823796">
      <w:start w:val="1"/>
      <w:numFmt w:val="bullet"/>
      <w:lvlText w:val=""/>
      <w:lvlJc w:val="left"/>
      <w:pPr>
        <w:ind w:left="783" w:hanging="360"/>
      </w:pPr>
      <w:rPr>
        <w:rFonts w:ascii="Symbol" w:hAnsi="Symbol"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10"/>
  </w:num>
  <w:num w:numId="2">
    <w:abstractNumId w:val="14"/>
  </w:num>
  <w:num w:numId="3">
    <w:abstractNumId w:val="21"/>
  </w:num>
  <w:num w:numId="4">
    <w:abstractNumId w:val="9"/>
  </w:num>
  <w:num w:numId="5">
    <w:abstractNumId w:val="7"/>
  </w:num>
  <w:num w:numId="6">
    <w:abstractNumId w:val="6"/>
  </w:num>
  <w:num w:numId="7">
    <w:abstractNumId w:val="12"/>
  </w:num>
  <w:num w:numId="8">
    <w:abstractNumId w:val="8"/>
  </w:num>
  <w:num w:numId="9">
    <w:abstractNumId w:val="2"/>
  </w:num>
  <w:num w:numId="10">
    <w:abstractNumId w:val="15"/>
  </w:num>
  <w:num w:numId="11">
    <w:abstractNumId w:val="19"/>
  </w:num>
  <w:num w:numId="12">
    <w:abstractNumId w:val="16"/>
  </w:num>
  <w:num w:numId="13">
    <w:abstractNumId w:val="11"/>
  </w:num>
  <w:num w:numId="14">
    <w:abstractNumId w:val="5"/>
  </w:num>
  <w:num w:numId="15">
    <w:abstractNumId w:val="1"/>
  </w:num>
  <w:num w:numId="16">
    <w:abstractNumId w:val="3"/>
  </w:num>
  <w:num w:numId="17">
    <w:abstractNumId w:val="22"/>
  </w:num>
  <w:num w:numId="18">
    <w:abstractNumId w:val="20"/>
  </w:num>
  <w:num w:numId="19">
    <w:abstractNumId w:val="0"/>
  </w:num>
  <w:num w:numId="20">
    <w:abstractNumId w:val="18"/>
  </w:num>
  <w:num w:numId="21">
    <w:abstractNumId w:val="13"/>
  </w:num>
  <w:num w:numId="22">
    <w:abstractNumId w:val="17"/>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EF"/>
    <w:rsid w:val="00010CF3"/>
    <w:rsid w:val="00011E27"/>
    <w:rsid w:val="000148BC"/>
    <w:rsid w:val="00024AB8"/>
    <w:rsid w:val="00030854"/>
    <w:rsid w:val="00036028"/>
    <w:rsid w:val="00044642"/>
    <w:rsid w:val="000446B9"/>
    <w:rsid w:val="00047E21"/>
    <w:rsid w:val="00050E16"/>
    <w:rsid w:val="000532C1"/>
    <w:rsid w:val="000540A6"/>
    <w:rsid w:val="000638A9"/>
    <w:rsid w:val="00085505"/>
    <w:rsid w:val="00094AE7"/>
    <w:rsid w:val="000A014B"/>
    <w:rsid w:val="000A23DC"/>
    <w:rsid w:val="000A7839"/>
    <w:rsid w:val="000C1305"/>
    <w:rsid w:val="000C4E25"/>
    <w:rsid w:val="000C7021"/>
    <w:rsid w:val="000D6BBC"/>
    <w:rsid w:val="000D7780"/>
    <w:rsid w:val="000E636A"/>
    <w:rsid w:val="000F2F11"/>
    <w:rsid w:val="00105929"/>
    <w:rsid w:val="00110C36"/>
    <w:rsid w:val="001131D5"/>
    <w:rsid w:val="00117ABA"/>
    <w:rsid w:val="00141DB8"/>
    <w:rsid w:val="001677A8"/>
    <w:rsid w:val="00172084"/>
    <w:rsid w:val="0017474A"/>
    <w:rsid w:val="001758C6"/>
    <w:rsid w:val="00182B99"/>
    <w:rsid w:val="001A18EE"/>
    <w:rsid w:val="001F64BF"/>
    <w:rsid w:val="00201F48"/>
    <w:rsid w:val="00202E38"/>
    <w:rsid w:val="0021332C"/>
    <w:rsid w:val="00213982"/>
    <w:rsid w:val="0024416D"/>
    <w:rsid w:val="002464A3"/>
    <w:rsid w:val="00271911"/>
    <w:rsid w:val="002800A0"/>
    <w:rsid w:val="002801B3"/>
    <w:rsid w:val="00281060"/>
    <w:rsid w:val="002940E8"/>
    <w:rsid w:val="00294751"/>
    <w:rsid w:val="002A6E50"/>
    <w:rsid w:val="002B1181"/>
    <w:rsid w:val="002B4298"/>
    <w:rsid w:val="002C256A"/>
    <w:rsid w:val="002D1696"/>
    <w:rsid w:val="002E5944"/>
    <w:rsid w:val="00305A7F"/>
    <w:rsid w:val="003152FE"/>
    <w:rsid w:val="00327436"/>
    <w:rsid w:val="0033783E"/>
    <w:rsid w:val="00344BD6"/>
    <w:rsid w:val="003518A1"/>
    <w:rsid w:val="0035528D"/>
    <w:rsid w:val="00361821"/>
    <w:rsid w:val="00361E9E"/>
    <w:rsid w:val="003B031A"/>
    <w:rsid w:val="003C7FBE"/>
    <w:rsid w:val="003D227C"/>
    <w:rsid w:val="003D2B4D"/>
    <w:rsid w:val="003D5DCC"/>
    <w:rsid w:val="003E201B"/>
    <w:rsid w:val="003F3E27"/>
    <w:rsid w:val="00401DDB"/>
    <w:rsid w:val="0040557F"/>
    <w:rsid w:val="00405DF2"/>
    <w:rsid w:val="00444A88"/>
    <w:rsid w:val="00462911"/>
    <w:rsid w:val="00474DA4"/>
    <w:rsid w:val="00476B4D"/>
    <w:rsid w:val="004805FA"/>
    <w:rsid w:val="004935D2"/>
    <w:rsid w:val="004939B6"/>
    <w:rsid w:val="004B1215"/>
    <w:rsid w:val="004D047D"/>
    <w:rsid w:val="004E2DEF"/>
    <w:rsid w:val="004F1E9E"/>
    <w:rsid w:val="004F305A"/>
    <w:rsid w:val="00506A2E"/>
    <w:rsid w:val="00512164"/>
    <w:rsid w:val="00520297"/>
    <w:rsid w:val="005338F9"/>
    <w:rsid w:val="0054281C"/>
    <w:rsid w:val="00544581"/>
    <w:rsid w:val="00545E42"/>
    <w:rsid w:val="0055268D"/>
    <w:rsid w:val="00557648"/>
    <w:rsid w:val="00576BE4"/>
    <w:rsid w:val="005A400A"/>
    <w:rsid w:val="005F7B92"/>
    <w:rsid w:val="00602633"/>
    <w:rsid w:val="00612379"/>
    <w:rsid w:val="006153B6"/>
    <w:rsid w:val="0061555F"/>
    <w:rsid w:val="00636CA6"/>
    <w:rsid w:val="00637EDD"/>
    <w:rsid w:val="00641200"/>
    <w:rsid w:val="00645CA8"/>
    <w:rsid w:val="006655D3"/>
    <w:rsid w:val="00666208"/>
    <w:rsid w:val="00667404"/>
    <w:rsid w:val="00687EB4"/>
    <w:rsid w:val="00695C56"/>
    <w:rsid w:val="006A32E5"/>
    <w:rsid w:val="006A5CDE"/>
    <w:rsid w:val="006A644A"/>
    <w:rsid w:val="006B17D2"/>
    <w:rsid w:val="006C224E"/>
    <w:rsid w:val="006D780A"/>
    <w:rsid w:val="006E402E"/>
    <w:rsid w:val="006E7976"/>
    <w:rsid w:val="006F2E7F"/>
    <w:rsid w:val="0071271E"/>
    <w:rsid w:val="00732DEC"/>
    <w:rsid w:val="00735BD5"/>
    <w:rsid w:val="00751613"/>
    <w:rsid w:val="007556F6"/>
    <w:rsid w:val="00760EEF"/>
    <w:rsid w:val="00777EE5"/>
    <w:rsid w:val="007805FB"/>
    <w:rsid w:val="0078167F"/>
    <w:rsid w:val="00783722"/>
    <w:rsid w:val="00784836"/>
    <w:rsid w:val="00785B6C"/>
    <w:rsid w:val="0079023E"/>
    <w:rsid w:val="007A2854"/>
    <w:rsid w:val="007C1D92"/>
    <w:rsid w:val="007C4CB9"/>
    <w:rsid w:val="007D0B9D"/>
    <w:rsid w:val="007D19B0"/>
    <w:rsid w:val="007F498F"/>
    <w:rsid w:val="008035EB"/>
    <w:rsid w:val="0080679D"/>
    <w:rsid w:val="0080701B"/>
    <w:rsid w:val="008108B0"/>
    <w:rsid w:val="00811B20"/>
    <w:rsid w:val="008211B5"/>
    <w:rsid w:val="0082296E"/>
    <w:rsid w:val="00823501"/>
    <w:rsid w:val="00824099"/>
    <w:rsid w:val="00846D7C"/>
    <w:rsid w:val="008574A4"/>
    <w:rsid w:val="008627A5"/>
    <w:rsid w:val="00864C55"/>
    <w:rsid w:val="00867AC1"/>
    <w:rsid w:val="00867DFB"/>
    <w:rsid w:val="00890DF8"/>
    <w:rsid w:val="008A743F"/>
    <w:rsid w:val="008B3D8D"/>
    <w:rsid w:val="008C0970"/>
    <w:rsid w:val="008D0369"/>
    <w:rsid w:val="008D0BC5"/>
    <w:rsid w:val="008D2CF7"/>
    <w:rsid w:val="00900C26"/>
    <w:rsid w:val="0090197F"/>
    <w:rsid w:val="00906DDC"/>
    <w:rsid w:val="00932993"/>
    <w:rsid w:val="00934E09"/>
    <w:rsid w:val="00936253"/>
    <w:rsid w:val="00940D46"/>
    <w:rsid w:val="00952DD4"/>
    <w:rsid w:val="0096175D"/>
    <w:rsid w:val="00965AE7"/>
    <w:rsid w:val="00970FED"/>
    <w:rsid w:val="00992D82"/>
    <w:rsid w:val="00997029"/>
    <w:rsid w:val="009A51BC"/>
    <w:rsid w:val="009A7339"/>
    <w:rsid w:val="009B440E"/>
    <w:rsid w:val="009D690D"/>
    <w:rsid w:val="009E2D41"/>
    <w:rsid w:val="009E5061"/>
    <w:rsid w:val="009E65B6"/>
    <w:rsid w:val="00A20FB2"/>
    <w:rsid w:val="00A24C10"/>
    <w:rsid w:val="00A42AC3"/>
    <w:rsid w:val="00A430CF"/>
    <w:rsid w:val="00A54309"/>
    <w:rsid w:val="00A706D3"/>
    <w:rsid w:val="00AB2B93"/>
    <w:rsid w:val="00AB530F"/>
    <w:rsid w:val="00AB7E5B"/>
    <w:rsid w:val="00AC2883"/>
    <w:rsid w:val="00AE0EF1"/>
    <w:rsid w:val="00AE2937"/>
    <w:rsid w:val="00AE480F"/>
    <w:rsid w:val="00B07301"/>
    <w:rsid w:val="00B07688"/>
    <w:rsid w:val="00B11F3E"/>
    <w:rsid w:val="00B224DE"/>
    <w:rsid w:val="00B26739"/>
    <w:rsid w:val="00B324D4"/>
    <w:rsid w:val="00B409BE"/>
    <w:rsid w:val="00B46575"/>
    <w:rsid w:val="00B4719E"/>
    <w:rsid w:val="00B61777"/>
    <w:rsid w:val="00B84BBD"/>
    <w:rsid w:val="00BA43FB"/>
    <w:rsid w:val="00BC0BD4"/>
    <w:rsid w:val="00BC127D"/>
    <w:rsid w:val="00BC1FE6"/>
    <w:rsid w:val="00C061B6"/>
    <w:rsid w:val="00C2446C"/>
    <w:rsid w:val="00C36AE5"/>
    <w:rsid w:val="00C36D01"/>
    <w:rsid w:val="00C41F17"/>
    <w:rsid w:val="00C527FA"/>
    <w:rsid w:val="00C5280D"/>
    <w:rsid w:val="00C53EB3"/>
    <w:rsid w:val="00C55E19"/>
    <w:rsid w:val="00C5791C"/>
    <w:rsid w:val="00C66290"/>
    <w:rsid w:val="00C72B7A"/>
    <w:rsid w:val="00C973F2"/>
    <w:rsid w:val="00CA304C"/>
    <w:rsid w:val="00CA774A"/>
    <w:rsid w:val="00CC11B0"/>
    <w:rsid w:val="00CC2841"/>
    <w:rsid w:val="00CF1330"/>
    <w:rsid w:val="00CF7E36"/>
    <w:rsid w:val="00D23C11"/>
    <w:rsid w:val="00D33C7B"/>
    <w:rsid w:val="00D3708D"/>
    <w:rsid w:val="00D40426"/>
    <w:rsid w:val="00D57C96"/>
    <w:rsid w:val="00D57D18"/>
    <w:rsid w:val="00D91203"/>
    <w:rsid w:val="00D95174"/>
    <w:rsid w:val="00DA4973"/>
    <w:rsid w:val="00DA6F36"/>
    <w:rsid w:val="00DB596E"/>
    <w:rsid w:val="00DB5B37"/>
    <w:rsid w:val="00DB7773"/>
    <w:rsid w:val="00DC00EA"/>
    <w:rsid w:val="00DC3802"/>
    <w:rsid w:val="00DE1821"/>
    <w:rsid w:val="00E07AE7"/>
    <w:rsid w:val="00E07D87"/>
    <w:rsid w:val="00E32F7E"/>
    <w:rsid w:val="00E5267B"/>
    <w:rsid w:val="00E63C0E"/>
    <w:rsid w:val="00E72D49"/>
    <w:rsid w:val="00E7593C"/>
    <w:rsid w:val="00E7678A"/>
    <w:rsid w:val="00E80B45"/>
    <w:rsid w:val="00E935F1"/>
    <w:rsid w:val="00E94A81"/>
    <w:rsid w:val="00EA1CBD"/>
    <w:rsid w:val="00EA1FFB"/>
    <w:rsid w:val="00EA65D2"/>
    <w:rsid w:val="00EB048E"/>
    <w:rsid w:val="00EB4E9C"/>
    <w:rsid w:val="00EB7224"/>
    <w:rsid w:val="00EC2265"/>
    <w:rsid w:val="00EC2B3C"/>
    <w:rsid w:val="00EE34DF"/>
    <w:rsid w:val="00EF2F89"/>
    <w:rsid w:val="00F03E98"/>
    <w:rsid w:val="00F1237A"/>
    <w:rsid w:val="00F22CBD"/>
    <w:rsid w:val="00F272F1"/>
    <w:rsid w:val="00F36004"/>
    <w:rsid w:val="00F45372"/>
    <w:rsid w:val="00F560F7"/>
    <w:rsid w:val="00F6334D"/>
    <w:rsid w:val="00FA49AB"/>
    <w:rsid w:val="00FD3F87"/>
    <w:rsid w:val="00FE0BB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531E4F"/>
  <w15:docId w15:val="{B7FB8758-2007-412E-B7F5-BE767B25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8">
    <w:name w:val="heading 8"/>
    <w:basedOn w:val="Normal"/>
    <w:next w:val="Normal"/>
    <w:link w:val="Heading8Char"/>
    <w:qFormat/>
    <w:rsid w:val="002D1696"/>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1"/>
    <w:qFormat/>
    <w:rsid w:val="00117ABA"/>
    <w:pPr>
      <w:ind w:left="1134" w:hanging="567"/>
      <w:jc w:val="left"/>
    </w:pPr>
    <w:rPr>
      <w:szCs w:val="22"/>
      <w:lang w:val="en-US"/>
    </w:rPr>
  </w:style>
  <w:style w:type="table" w:styleId="TableGrid">
    <w:name w:val="Table Grid"/>
    <w:basedOn w:val="TableNormal"/>
    <w:rsid w:val="00117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2D1696"/>
    <w:rPr>
      <w:rFonts w:ascii="Arial" w:hAnsi="Arial"/>
      <w:u w:val="single"/>
      <w:lang w:val="en-GB" w:eastAsia="pl-PL"/>
    </w:rPr>
  </w:style>
  <w:style w:type="paragraph" w:styleId="BodyText2">
    <w:name w:val="Body Text 2"/>
    <w:basedOn w:val="Normal"/>
    <w:link w:val="BodyText2Char"/>
    <w:rsid w:val="002D1696"/>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2D1696"/>
    <w:rPr>
      <w:sz w:val="28"/>
      <w:lang w:val="pl-PL" w:eastAsia="pl-PL"/>
    </w:rPr>
  </w:style>
  <w:style w:type="character" w:customStyle="1" w:styleId="FooterChar">
    <w:name w:val="Footer Char"/>
    <w:aliases w:val="doc_path_name Char"/>
    <w:basedOn w:val="DefaultParagraphFont"/>
    <w:link w:val="Footer"/>
    <w:rsid w:val="002D1696"/>
    <w:rPr>
      <w:rFonts w:ascii="Arial" w:hAnsi="Arial"/>
      <w:sz w:val="14"/>
    </w:rPr>
  </w:style>
  <w:style w:type="paragraph" w:customStyle="1" w:styleId="TableParagraph">
    <w:name w:val="Table Paragraph"/>
    <w:basedOn w:val="Normal"/>
    <w:uiPriority w:val="1"/>
    <w:qFormat/>
    <w:rsid w:val="00B409BE"/>
    <w:pPr>
      <w:widowControl w:val="0"/>
      <w:autoSpaceDE w:val="0"/>
      <w:autoSpaceDN w:val="0"/>
      <w:ind w:left="56"/>
      <w:jc w:val="left"/>
    </w:pPr>
    <w:rPr>
      <w:rFonts w:eastAsia="Arial" w:cs="Arial"/>
      <w:sz w:val="22"/>
      <w:szCs w:val="22"/>
      <w:lang w:val="de-DE" w:eastAsia="de-DE" w:bidi="de-DE"/>
    </w:rPr>
  </w:style>
  <w:style w:type="character" w:styleId="Emphasis">
    <w:name w:val="Emphasis"/>
    <w:uiPriority w:val="20"/>
    <w:qFormat/>
    <w:rsid w:val="000C1305"/>
    <w:rPr>
      <w:rFonts w:cs="Times New Roman"/>
      <w:i/>
      <w:iCs/>
    </w:rPr>
  </w:style>
  <w:style w:type="paragraph" w:styleId="ListBullet">
    <w:name w:val="List Bullet"/>
    <w:basedOn w:val="Normal"/>
    <w:rsid w:val="008035EB"/>
    <w:pPr>
      <w:numPr>
        <w:numId w:val="12"/>
      </w:numPr>
      <w:spacing w:after="240"/>
    </w:pPr>
    <w:rPr>
      <w:lang w:val="en-GB"/>
    </w:rPr>
  </w:style>
  <w:style w:type="paragraph" w:customStyle="1" w:styleId="Default">
    <w:name w:val="Default"/>
    <w:rsid w:val="008035E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035EB"/>
    <w:pPr>
      <w:spacing w:before="100" w:beforeAutospacing="1" w:after="100" w:afterAutospacing="1"/>
      <w:jc w:val="left"/>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youtu.be/S9J5atZWZYo" TargetMode="External"/><Relationship Id="rId18" Type="http://schemas.openxmlformats.org/officeDocument/2006/relationships/hyperlink" Target="https://youtu.be/GRMlPeLhLSo" TargetMode="External"/><Relationship Id="rId26" Type="http://schemas.openxmlformats.org/officeDocument/2006/relationships/header" Target="header7.xml"/><Relationship Id="rId39" Type="http://schemas.openxmlformats.org/officeDocument/2006/relationships/header" Target="header13.xml"/><Relationship Id="rId21" Type="http://schemas.openxmlformats.org/officeDocument/2006/relationships/header" Target="header3.xml"/><Relationship Id="rId34" Type="http://schemas.openxmlformats.org/officeDocument/2006/relationships/header" Target="header9.xml"/><Relationship Id="rId42" Type="http://schemas.openxmlformats.org/officeDocument/2006/relationships/header" Target="header15.xml"/><Relationship Id="rId47" Type="http://schemas.openxmlformats.org/officeDocument/2006/relationships/hyperlink" Target="https://conference.ukragroexpert.com.ua" TargetMode="External"/><Relationship Id="rId50" Type="http://schemas.openxmlformats.org/officeDocument/2006/relationships/header" Target="header17.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ATgTtFiLAiA" TargetMode="External"/><Relationship Id="rId29" Type="http://schemas.openxmlformats.org/officeDocument/2006/relationships/hyperlink" Target="http://www.coboru.pl/Polska/Podstawy_prawne/D20040567.pdf" TargetMode="External"/><Relationship Id="rId11" Type="http://schemas.openxmlformats.org/officeDocument/2006/relationships/hyperlink" Target="https://www.upov.int/genie/details.xhtml?cropId=3285" TargetMode="External"/><Relationship Id="rId24" Type="http://schemas.openxmlformats.org/officeDocument/2006/relationships/header" Target="header6.xml"/><Relationship Id="rId32" Type="http://schemas.openxmlformats.org/officeDocument/2006/relationships/hyperlink" Target="http://www.coboru.gov.pl" TargetMode="External"/><Relationship Id="rId37" Type="http://schemas.openxmlformats.org/officeDocument/2006/relationships/header" Target="header11.xml"/><Relationship Id="rId40" Type="http://schemas.openxmlformats.org/officeDocument/2006/relationships/hyperlink" Target="https://www.uzb.minpolj.gov.rs/index.php?option=com_content&amp;view=article&amp;id=61&amp;Itemid=14&amp;lang=en" TargetMode="External"/><Relationship Id="rId45" Type="http://schemas.openxmlformats.org/officeDocument/2006/relationships/hyperlink" Target="https://sops.gov.ua/uploads/page/buleten/B_3_2020.pdf" TargetMode="External"/><Relationship Id="rId53"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s://youtu.be/GRMlPeLhLSo" TargetMode="External"/><Relationship Id="rId31" Type="http://schemas.openxmlformats.org/officeDocument/2006/relationships/image" Target="media/image2.emf"/><Relationship Id="rId44" Type="http://schemas.openxmlformats.org/officeDocument/2006/relationships/hyperlink" Target="http://journal.sops.gov.ua/" TargetMode="External"/><Relationship Id="rId52"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youtu.be/S9J5atZWZYo" TargetMode="External"/><Relationship Id="rId22" Type="http://schemas.openxmlformats.org/officeDocument/2006/relationships/header" Target="header4.xml"/><Relationship Id="rId27" Type="http://schemas.openxmlformats.org/officeDocument/2006/relationships/hyperlink" Target="https://www.mbie.govt.nz/business-and-employment/business/intellectual-property/plant-variety-rights/plant-variety-rights-act-review/" TargetMode="External"/><Relationship Id="rId30" Type="http://schemas.openxmlformats.org/officeDocument/2006/relationships/hyperlink" Target="http://www.coboru.pl/Polska/Podstawy_prawne/DU20152166.pdf" TargetMode="External"/><Relationship Id="rId35" Type="http://schemas.openxmlformats.org/officeDocument/2006/relationships/header" Target="header10.xml"/><Relationship Id="rId43" Type="http://schemas.openxmlformats.org/officeDocument/2006/relationships/header" Target="header16.xml"/><Relationship Id="rId48" Type="http://schemas.openxmlformats.org/officeDocument/2006/relationships/hyperlink" Target="https://conference-ua.ukragroexpert.com.ua/wp-content/uploads/2020/09/%D0%97%D0%B1%D1%96%D1%80%D0%BD%D0%B8%D0%BA.pdf"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upov.mail@upov.int" TargetMode="External"/><Relationship Id="rId3" Type="http://schemas.openxmlformats.org/officeDocument/2006/relationships/styles" Target="styles.xml"/><Relationship Id="rId12" Type="http://schemas.openxmlformats.org/officeDocument/2006/relationships/hyperlink" Target="https://youtu.be/S9J5atZWZYo" TargetMode="External"/><Relationship Id="rId17" Type="http://schemas.openxmlformats.org/officeDocument/2006/relationships/hyperlink" Target="https://youtu.be/ATgTtFiLAiA" TargetMode="External"/><Relationship Id="rId25" Type="http://schemas.openxmlformats.org/officeDocument/2006/relationships/hyperlink" Target="https://www.gob.mx/cms/uploads/attachment/file/606574/Cuotas-Derechos-2021.pdf" TargetMode="External"/><Relationship Id="rId33" Type="http://schemas.openxmlformats.org/officeDocument/2006/relationships/hyperlink" Target="http://www.coboru.gov.pl" TargetMode="External"/><Relationship Id="rId38" Type="http://schemas.openxmlformats.org/officeDocument/2006/relationships/header" Target="header12.xml"/><Relationship Id="rId46" Type="http://schemas.openxmlformats.org/officeDocument/2006/relationships/hyperlink" Target="https://sops.gov.ua/uploads/page/5cc15bea99d43.pdf" TargetMode="External"/><Relationship Id="rId20" Type="http://schemas.openxmlformats.org/officeDocument/2006/relationships/hyperlink" Target="https://youtu.be/GRMlPeLhLSo" TargetMode="External"/><Relationship Id="rId41" Type="http://schemas.openxmlformats.org/officeDocument/2006/relationships/header" Target="header14.xml"/><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outu.be/ATgTtFiLAiA" TargetMode="Externa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yperlink" Target="http://www.agepi.gov.md" TargetMode="External"/><Relationship Id="rId49" Type="http://schemas.openxmlformats.org/officeDocument/2006/relationships/hyperlink" Target="https://sops.gov.ua/uploads/page/5f634fd4031c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5AC2A-7CAC-49AD-A2E5-A5BF6131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c_54_ES.dotx</Template>
  <TotalTime>56</TotalTime>
  <Pages>36</Pages>
  <Words>15121</Words>
  <Characters>83220</Characters>
  <Application>Microsoft Office Word</Application>
  <DocSecurity>0</DocSecurity>
  <Lines>693</Lines>
  <Paragraphs>196</Paragraphs>
  <ScaleCrop>false</ScaleCrop>
  <HeadingPairs>
    <vt:vector size="2" baseType="variant">
      <vt:variant>
        <vt:lpstr>Title</vt:lpstr>
      </vt:variant>
      <vt:variant>
        <vt:i4>1</vt:i4>
      </vt:variant>
    </vt:vector>
  </HeadingPairs>
  <TitlesOfParts>
    <vt:vector size="1" baseType="lpstr">
      <vt:lpstr>C/54/INF/4</vt:lpstr>
    </vt:vector>
  </TitlesOfParts>
  <Company>UPOV</Company>
  <LinksUpToDate>false</LinksUpToDate>
  <CharactersWithSpaces>98145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C/55/INF/4</dc:title>
  <dc:creator>SANCHEZ VIZCAINO GOMEZ Rosa Maria</dc:creator>
  <cp:lastModifiedBy>SANCHEZ VIZCAINO GOMEZ Rosa Maria</cp:lastModifiedBy>
  <cp:revision>24</cp:revision>
  <cp:lastPrinted>2016-11-22T15:41:00Z</cp:lastPrinted>
  <dcterms:created xsi:type="dcterms:W3CDTF">2021-10-04T17:11:00Z</dcterms:created>
  <dcterms:modified xsi:type="dcterms:W3CDTF">2021-10-04T18:14:00Z</dcterms:modified>
</cp:coreProperties>
</file>