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953D3" w:rsidRPr="006E4BE1" w14:paraId="7C328C53" w14:textId="77777777" w:rsidTr="006D0E2E">
        <w:tc>
          <w:tcPr>
            <w:tcW w:w="6522" w:type="dxa"/>
          </w:tcPr>
          <w:p w14:paraId="2034106F" w14:textId="77777777" w:rsidR="006953D3" w:rsidRPr="006E4BE1" w:rsidRDefault="006953D3" w:rsidP="00AE50C9">
            <w:pPr>
              <w:rPr>
                <w:lang w:val="es-ES_tradnl"/>
              </w:rPr>
            </w:pPr>
            <w:bookmarkStart w:id="0" w:name="_GoBack"/>
            <w:bookmarkEnd w:id="0"/>
            <w:r w:rsidRPr="006E4BE1">
              <w:rPr>
                <w:noProof/>
              </w:rPr>
              <w:drawing>
                <wp:inline distT="0" distB="0" distL="0" distR="0" wp14:anchorId="4C0DF380" wp14:editId="4E4347D8">
                  <wp:extent cx="952031" cy="244054"/>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6740ED" w14:textId="5C0B1173" w:rsidR="006953D3" w:rsidRPr="006E4BE1" w:rsidRDefault="00A9493C" w:rsidP="00AE50C9">
            <w:pPr>
              <w:pStyle w:val="Lettrine"/>
              <w:rPr>
                <w:lang w:val="es-ES_tradnl"/>
              </w:rPr>
            </w:pPr>
            <w:r w:rsidRPr="006E4BE1">
              <w:rPr>
                <w:lang w:val="es-ES_tradnl"/>
              </w:rPr>
              <w:t>S</w:t>
            </w:r>
          </w:p>
        </w:tc>
      </w:tr>
      <w:tr w:rsidR="006953D3" w:rsidRPr="001D7D80" w14:paraId="34531182" w14:textId="77777777" w:rsidTr="006D0E2E">
        <w:trPr>
          <w:trHeight w:val="219"/>
        </w:trPr>
        <w:tc>
          <w:tcPr>
            <w:tcW w:w="6522" w:type="dxa"/>
          </w:tcPr>
          <w:p w14:paraId="3A3E5040" w14:textId="57B45F4B" w:rsidR="006953D3" w:rsidRPr="006E4BE1" w:rsidRDefault="00A9493C" w:rsidP="00AE50C9">
            <w:pPr>
              <w:pStyle w:val="upove"/>
              <w:rPr>
                <w:lang w:val="es-ES_tradnl"/>
              </w:rPr>
            </w:pPr>
            <w:r w:rsidRPr="006E4BE1">
              <w:rPr>
                <w:lang w:val="es-ES_tradnl"/>
              </w:rPr>
              <w:t>Unión Internacional para la Protección de las Obtenciones Vegetales</w:t>
            </w:r>
          </w:p>
        </w:tc>
        <w:tc>
          <w:tcPr>
            <w:tcW w:w="3117" w:type="dxa"/>
          </w:tcPr>
          <w:p w14:paraId="03998A16" w14:textId="77777777" w:rsidR="006953D3" w:rsidRPr="006E4BE1" w:rsidRDefault="006953D3" w:rsidP="00AE50C9">
            <w:pPr>
              <w:rPr>
                <w:lang w:val="es-ES_tradnl"/>
              </w:rPr>
            </w:pPr>
          </w:p>
        </w:tc>
      </w:tr>
    </w:tbl>
    <w:p w14:paraId="4E9E8449" w14:textId="77777777" w:rsidR="001240C5" w:rsidRPr="006E4BE1" w:rsidRDefault="001240C5" w:rsidP="00AE50C9">
      <w:pPr>
        <w:rPr>
          <w:lang w:val="es-ES_tradnl"/>
        </w:rPr>
      </w:pPr>
    </w:p>
    <w:p w14:paraId="5AC15161" w14:textId="77777777" w:rsidR="006953D3" w:rsidRPr="006E4BE1" w:rsidRDefault="006953D3" w:rsidP="00AE50C9">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4F08" w:rsidRPr="001D7D80" w14:paraId="436728EE" w14:textId="77777777" w:rsidTr="00427512">
        <w:tc>
          <w:tcPr>
            <w:tcW w:w="6512" w:type="dxa"/>
            <w:tcBorders>
              <w:bottom w:val="single" w:sz="4" w:space="0" w:color="auto"/>
            </w:tcBorders>
          </w:tcPr>
          <w:p w14:paraId="3B95BF36" w14:textId="77777777" w:rsidR="001240C5" w:rsidRPr="006E4BE1" w:rsidRDefault="001D4F08" w:rsidP="00065343">
            <w:pPr>
              <w:pStyle w:val="Sessiontc"/>
              <w:spacing w:line="240" w:lineRule="auto"/>
              <w:rPr>
                <w:b w:val="0"/>
                <w:bCs w:val="0"/>
                <w:lang w:val="es-ES_tradnl"/>
              </w:rPr>
            </w:pPr>
            <w:r w:rsidRPr="006E4BE1">
              <w:rPr>
                <w:lang w:val="es-ES_tradnl"/>
              </w:rPr>
              <w:t>Consejo</w:t>
            </w:r>
          </w:p>
          <w:p w14:paraId="691AA2A0" w14:textId="3245D1FE" w:rsidR="001D4F08" w:rsidRPr="006E4BE1" w:rsidRDefault="001D4F08" w:rsidP="001D4F08">
            <w:pPr>
              <w:spacing w:before="240"/>
              <w:contextualSpacing/>
              <w:jc w:val="left"/>
              <w:rPr>
                <w:b/>
                <w:bCs/>
                <w:kern w:val="28"/>
                <w:sz w:val="22"/>
                <w:lang w:val="es-ES_tradnl"/>
              </w:rPr>
            </w:pPr>
            <w:r w:rsidRPr="006E4BE1">
              <w:rPr>
                <w:b/>
                <w:bCs/>
                <w:kern w:val="28"/>
                <w:lang w:val="es-ES_tradnl"/>
              </w:rPr>
              <w:t xml:space="preserve">Quincuagésima quinta sesión ordinaria </w:t>
            </w:r>
            <w:r w:rsidRPr="006E4BE1">
              <w:rPr>
                <w:b/>
                <w:bCs/>
                <w:kern w:val="28"/>
                <w:lang w:val="es-ES_tradnl"/>
              </w:rPr>
              <w:br/>
              <w:t>Ginebra, 29 de octubre de 2021</w:t>
            </w:r>
          </w:p>
        </w:tc>
        <w:tc>
          <w:tcPr>
            <w:tcW w:w="3127" w:type="dxa"/>
            <w:tcBorders>
              <w:bottom w:val="single" w:sz="4" w:space="0" w:color="auto"/>
            </w:tcBorders>
          </w:tcPr>
          <w:p w14:paraId="642FE885" w14:textId="33F0EF03" w:rsidR="001240C5" w:rsidRPr="006E4BE1" w:rsidRDefault="00AD3089" w:rsidP="00065343">
            <w:pPr>
              <w:pStyle w:val="Doccode"/>
              <w:rPr>
                <w:bCs w:val="0"/>
                <w:lang w:val="es-ES_tradnl"/>
              </w:rPr>
            </w:pPr>
            <w:r>
              <w:rPr>
                <w:bCs w:val="0"/>
                <w:lang w:val="es-ES_tradnl"/>
              </w:rPr>
              <w:t>C/55/4 Rev.</w:t>
            </w:r>
          </w:p>
          <w:p w14:paraId="76EEF967" w14:textId="77777777" w:rsidR="001240C5" w:rsidRPr="006E4BE1" w:rsidRDefault="001D4F08" w:rsidP="001D4F08">
            <w:pPr>
              <w:spacing w:before="240" w:line="240" w:lineRule="exact"/>
              <w:contextualSpacing/>
              <w:jc w:val="left"/>
              <w:rPr>
                <w:b/>
                <w:bCs/>
                <w:spacing w:val="10"/>
                <w:sz w:val="18"/>
                <w:lang w:val="es-ES_tradnl"/>
              </w:rPr>
            </w:pPr>
            <w:r w:rsidRPr="006E4BE1">
              <w:rPr>
                <w:b/>
                <w:bCs/>
                <w:spacing w:val="10"/>
                <w:sz w:val="18"/>
                <w:lang w:val="es-ES_tradnl"/>
              </w:rPr>
              <w:t xml:space="preserve">Original: </w:t>
            </w:r>
            <w:r w:rsidRPr="002E6377">
              <w:rPr>
                <w:bCs/>
                <w:sz w:val="18"/>
                <w:lang w:val="es-ES_tradnl"/>
              </w:rPr>
              <w:t>Inglés</w:t>
            </w:r>
          </w:p>
          <w:p w14:paraId="14275150" w14:textId="06F9975B" w:rsidR="001D4F08" w:rsidRPr="006E4BE1" w:rsidRDefault="001D4F08" w:rsidP="00AD3089">
            <w:pPr>
              <w:spacing w:before="240" w:line="240" w:lineRule="exact"/>
              <w:contextualSpacing/>
              <w:jc w:val="left"/>
              <w:rPr>
                <w:b/>
                <w:bCs/>
                <w:spacing w:val="10"/>
                <w:sz w:val="18"/>
                <w:lang w:val="es-ES_tradnl"/>
              </w:rPr>
            </w:pPr>
            <w:r w:rsidRPr="006E4BE1">
              <w:rPr>
                <w:b/>
                <w:bCs/>
                <w:spacing w:val="10"/>
                <w:sz w:val="18"/>
                <w:lang w:val="es-ES_tradnl"/>
              </w:rPr>
              <w:t xml:space="preserve">Fecha: </w:t>
            </w:r>
            <w:r w:rsidR="00AD3089">
              <w:rPr>
                <w:bCs/>
                <w:sz w:val="18"/>
                <w:lang w:val="es-ES_tradnl"/>
              </w:rPr>
              <w:t>21</w:t>
            </w:r>
            <w:r w:rsidR="0059148A">
              <w:rPr>
                <w:bCs/>
                <w:sz w:val="18"/>
                <w:lang w:val="es-ES_tradnl"/>
              </w:rPr>
              <w:t xml:space="preserve"> </w:t>
            </w:r>
            <w:r w:rsidR="002E6377">
              <w:rPr>
                <w:bCs/>
                <w:sz w:val="18"/>
                <w:lang w:val="es-ES_tradnl"/>
              </w:rPr>
              <w:t xml:space="preserve">de </w:t>
            </w:r>
            <w:r w:rsidR="00AD3089">
              <w:rPr>
                <w:bCs/>
                <w:sz w:val="18"/>
                <w:lang w:val="es-ES_tradnl"/>
              </w:rPr>
              <w:t xml:space="preserve">septiembre </w:t>
            </w:r>
            <w:r w:rsidR="002E6377">
              <w:rPr>
                <w:bCs/>
                <w:sz w:val="18"/>
                <w:lang w:val="es-ES_tradnl"/>
              </w:rPr>
              <w:t>de 2021</w:t>
            </w:r>
          </w:p>
        </w:tc>
      </w:tr>
    </w:tbl>
    <w:p w14:paraId="420AC949" w14:textId="1A8D2074" w:rsidR="001240C5" w:rsidRPr="006E4BE1" w:rsidRDefault="001D4F08" w:rsidP="001D4F08">
      <w:pPr>
        <w:spacing w:before="600" w:after="240"/>
        <w:jc w:val="left"/>
        <w:rPr>
          <w:b/>
          <w:caps/>
          <w:lang w:val="es-ES_tradnl"/>
        </w:rPr>
      </w:pPr>
      <w:r w:rsidRPr="006E4BE1">
        <w:rPr>
          <w:b/>
          <w:caps/>
          <w:lang w:val="es-ES_tradnl"/>
        </w:rPr>
        <w:t>programa y presupuesto para el bienio 2022-2023</w:t>
      </w:r>
    </w:p>
    <w:p w14:paraId="442D1BDC" w14:textId="76B6AE42" w:rsidR="001240C5" w:rsidRDefault="00AD3089" w:rsidP="001D4F08">
      <w:pPr>
        <w:spacing w:after="240"/>
        <w:jc w:val="left"/>
        <w:rPr>
          <w:i/>
          <w:iCs/>
          <w:lang w:val="es-ES_tradnl"/>
        </w:rPr>
      </w:pPr>
      <w:r>
        <w:rPr>
          <w:i/>
          <w:iCs/>
          <w:lang w:val="es-ES_tradnl"/>
        </w:rPr>
        <w:t>aprobado por el Consejo por correspondencia</w:t>
      </w:r>
    </w:p>
    <w:p w14:paraId="594806D9" w14:textId="77777777" w:rsidR="00AD3089" w:rsidRPr="006E4BE1" w:rsidRDefault="00AD3089" w:rsidP="001D4F08">
      <w:pPr>
        <w:spacing w:after="240"/>
        <w:jc w:val="left"/>
        <w:rPr>
          <w:i/>
          <w:iCs/>
          <w:lang w:val="es-ES_tradnl"/>
        </w:rPr>
      </w:pPr>
    </w:p>
    <w:p w14:paraId="192D03BE" w14:textId="36FAC172" w:rsidR="001240C5" w:rsidRDefault="001D4F08" w:rsidP="00AD3089">
      <w:pPr>
        <w:rPr>
          <w:lang w:val="es-ES_tradnl"/>
        </w:rPr>
      </w:pPr>
      <w:r w:rsidRPr="006E4BE1">
        <w:rPr>
          <w:lang w:val="es-ES_tradnl"/>
        </w:rPr>
        <w:fldChar w:fldCharType="begin"/>
      </w:r>
      <w:r w:rsidRPr="006E4BE1">
        <w:rPr>
          <w:lang w:val="es-ES_tradnl"/>
        </w:rPr>
        <w:instrText xml:space="preserve"> AUTONUM  </w:instrText>
      </w:r>
      <w:r w:rsidRPr="006E4BE1">
        <w:rPr>
          <w:lang w:val="es-ES_tradnl"/>
        </w:rPr>
        <w:fldChar w:fldCharType="end"/>
      </w:r>
      <w:r w:rsidRPr="006E4BE1">
        <w:rPr>
          <w:lang w:val="es-ES_tradnl"/>
        </w:rPr>
        <w:tab/>
      </w:r>
      <w:r w:rsidR="00AD3089">
        <w:rPr>
          <w:lang w:val="es-ES_tradnl"/>
        </w:rPr>
        <w:t xml:space="preserve">El 21 de septiembre de 2021, </w:t>
      </w:r>
      <w:r w:rsidR="00AD3089" w:rsidRPr="00AD3089">
        <w:rPr>
          <w:lang w:val="es-ES_tradnl"/>
        </w:rPr>
        <w:t>de conformidad con el procedimiento aprobado por el Consejo en 2021</w:t>
      </w:r>
      <w:r w:rsidR="00AD3089">
        <w:rPr>
          <w:lang w:val="es-ES_tradnl"/>
        </w:rPr>
        <w:t xml:space="preserve">, el Consejo aprobó por correspondencia las </w:t>
      </w:r>
      <w:r w:rsidR="00AD3089" w:rsidRPr="00AD3089">
        <w:rPr>
          <w:lang w:val="es-ES_tradnl"/>
        </w:rPr>
        <w:t>propuestas contenidas en el proyecto de Programa y Presupuesto para el</w:t>
      </w:r>
      <w:r w:rsidR="00AD3089">
        <w:rPr>
          <w:lang w:val="es-ES_tradnl"/>
        </w:rPr>
        <w:t xml:space="preserve"> bienio 2022</w:t>
      </w:r>
      <w:r w:rsidR="00AD3089" w:rsidRPr="00AD3089">
        <w:rPr>
          <w:lang w:val="es-ES_tradnl"/>
        </w:rPr>
        <w:t>-202</w:t>
      </w:r>
      <w:r w:rsidR="00AD3089">
        <w:rPr>
          <w:lang w:val="es-ES_tradnl"/>
        </w:rPr>
        <w:t>3</w:t>
      </w:r>
      <w:r w:rsidR="00AD3089" w:rsidRPr="00AD3089">
        <w:rPr>
          <w:lang w:val="es-ES_tradnl"/>
        </w:rPr>
        <w:t xml:space="preserve"> que figuran en el </w:t>
      </w:r>
      <w:r w:rsidR="00AD3089">
        <w:rPr>
          <w:lang w:val="es-ES_tradnl"/>
        </w:rPr>
        <w:t xml:space="preserve">Anexo del </w:t>
      </w:r>
      <w:r w:rsidR="00AD3089" w:rsidRPr="00AD3089">
        <w:rPr>
          <w:lang w:val="es-ES_tradnl"/>
        </w:rPr>
        <w:t>documento C/5</w:t>
      </w:r>
      <w:r w:rsidR="00AD3089">
        <w:rPr>
          <w:lang w:val="es-ES_tradnl"/>
        </w:rPr>
        <w:t>5</w:t>
      </w:r>
      <w:r w:rsidR="00AD3089" w:rsidRPr="00AD3089">
        <w:rPr>
          <w:lang w:val="es-ES_tradnl"/>
        </w:rPr>
        <w:t>/4</w:t>
      </w:r>
      <w:r w:rsidR="00AD3089">
        <w:rPr>
          <w:lang w:val="es-ES_tradnl"/>
        </w:rPr>
        <w:t xml:space="preserve">, incluido </w:t>
      </w:r>
      <w:r w:rsidRPr="00AD3089">
        <w:rPr>
          <w:lang w:val="es-ES_tradnl"/>
        </w:rPr>
        <w:t xml:space="preserve">el importe de las contribuciones de los miembros de la </w:t>
      </w:r>
      <w:r w:rsidR="00AD3089">
        <w:rPr>
          <w:lang w:val="es-ES_tradnl"/>
        </w:rPr>
        <w:t xml:space="preserve">Unión, </w:t>
      </w:r>
      <w:r w:rsidR="003334D2" w:rsidRPr="00AD3089">
        <w:rPr>
          <w:lang w:val="es-ES_tradnl"/>
        </w:rPr>
        <w:t>el límite máximo propuesto de gastos del presupuest</w:t>
      </w:r>
      <w:r w:rsidR="002E6377" w:rsidRPr="00AD3089">
        <w:rPr>
          <w:lang w:val="es-ES_tradnl"/>
        </w:rPr>
        <w:t xml:space="preserve">o ordinario, </w:t>
      </w:r>
      <w:r w:rsidR="003334D2" w:rsidRPr="00AD3089">
        <w:rPr>
          <w:lang w:val="es-ES_tradnl"/>
        </w:rPr>
        <w:t>y</w:t>
      </w:r>
      <w:r w:rsidR="00AD3089">
        <w:rPr>
          <w:lang w:val="es-ES_tradnl"/>
        </w:rPr>
        <w:t xml:space="preserve"> el número total de puestos (véanse los párrafos 11 y 29 del documento C/55/12 “R</w:t>
      </w:r>
      <w:r w:rsidR="00AD3089" w:rsidRPr="00AD3089">
        <w:rPr>
          <w:lang w:val="es-ES_tradnl"/>
        </w:rPr>
        <w:t>esultado del examen de los documentos por correspondencia</w:t>
      </w:r>
      <w:r w:rsidR="00AD3089">
        <w:rPr>
          <w:lang w:val="es-ES_tradnl"/>
        </w:rPr>
        <w:t>”).</w:t>
      </w:r>
    </w:p>
    <w:p w14:paraId="4CDBF267" w14:textId="2CEF435E" w:rsidR="00AD3089" w:rsidRDefault="00AD3089" w:rsidP="00AD3089">
      <w:pPr>
        <w:rPr>
          <w:lang w:val="es-ES_tradnl"/>
        </w:rPr>
      </w:pPr>
    </w:p>
    <w:p w14:paraId="71F840D7" w14:textId="7C942DC3" w:rsidR="00AD3089" w:rsidRPr="00AD3089" w:rsidRDefault="00AD3089" w:rsidP="00AD3089">
      <w:pPr>
        <w:rPr>
          <w:lang w:val="es-ES_tradnl"/>
        </w:rPr>
      </w:pPr>
      <w:r w:rsidRPr="006E4BE1">
        <w:rPr>
          <w:lang w:val="es-ES_tradnl"/>
        </w:rPr>
        <w:fldChar w:fldCharType="begin"/>
      </w:r>
      <w:r w:rsidRPr="006E4BE1">
        <w:rPr>
          <w:lang w:val="es-ES_tradnl"/>
        </w:rPr>
        <w:instrText xml:space="preserve"> AUTONUM  </w:instrText>
      </w:r>
      <w:r w:rsidRPr="006E4BE1">
        <w:rPr>
          <w:lang w:val="es-ES_tradnl"/>
        </w:rPr>
        <w:fldChar w:fldCharType="end"/>
      </w:r>
      <w:r w:rsidRPr="006E4BE1">
        <w:rPr>
          <w:lang w:val="es-ES_tradnl"/>
        </w:rPr>
        <w:tab/>
      </w:r>
      <w:r w:rsidRPr="00AD3089">
        <w:rPr>
          <w:lang w:val="es-ES_tradnl"/>
        </w:rPr>
        <w:t>El Anexo del presente documento contiene el Programa y Presupuesto para el bienio 202</w:t>
      </w:r>
      <w:r>
        <w:rPr>
          <w:lang w:val="es-ES_tradnl"/>
        </w:rPr>
        <w:t>2</w:t>
      </w:r>
      <w:r w:rsidRPr="00AD3089">
        <w:rPr>
          <w:lang w:val="es-ES_tradnl"/>
        </w:rPr>
        <w:t>-202</w:t>
      </w:r>
      <w:r>
        <w:rPr>
          <w:lang w:val="es-ES_tradnl"/>
        </w:rPr>
        <w:t>3</w:t>
      </w:r>
      <w:r w:rsidRPr="00AD3089">
        <w:rPr>
          <w:lang w:val="es-ES_tradnl"/>
        </w:rPr>
        <w:t>,</w:t>
      </w:r>
      <w:r>
        <w:rPr>
          <w:lang w:val="es-ES_tradnl"/>
        </w:rPr>
        <w:t xml:space="preserve"> </w:t>
      </w:r>
      <w:r w:rsidRPr="00AD3089">
        <w:rPr>
          <w:lang w:val="es-ES_tradnl"/>
        </w:rPr>
        <w:t>tal como fue aprobado por el Consejo</w:t>
      </w:r>
      <w:r>
        <w:rPr>
          <w:lang w:val="es-ES_tradnl"/>
        </w:rPr>
        <w:t>.</w:t>
      </w:r>
    </w:p>
    <w:p w14:paraId="5B8DC465" w14:textId="77777777" w:rsidR="002E6377" w:rsidRDefault="002E6377">
      <w:pPr>
        <w:jc w:val="left"/>
        <w:rPr>
          <w:rFonts w:cs="Arial"/>
          <w:szCs w:val="19"/>
          <w:lang w:val="es-ES_tradnl"/>
        </w:rPr>
      </w:pPr>
    </w:p>
    <w:p w14:paraId="56A4201A" w14:textId="115D63BA" w:rsidR="002E6377" w:rsidRDefault="002E6377">
      <w:pPr>
        <w:jc w:val="left"/>
        <w:rPr>
          <w:rFonts w:cs="Arial"/>
          <w:szCs w:val="19"/>
          <w:lang w:val="es-ES_tradnl"/>
        </w:rPr>
      </w:pPr>
    </w:p>
    <w:p w14:paraId="46C78121" w14:textId="77777777" w:rsidR="00AD3089" w:rsidRDefault="00AD3089">
      <w:pPr>
        <w:jc w:val="left"/>
        <w:rPr>
          <w:rFonts w:cs="Arial"/>
          <w:szCs w:val="19"/>
          <w:lang w:val="es-ES_tradnl"/>
        </w:rPr>
      </w:pPr>
    </w:p>
    <w:p w14:paraId="5BAEB64E" w14:textId="4709E12D" w:rsidR="002E6377" w:rsidRDefault="002E6377" w:rsidP="002E6377">
      <w:pPr>
        <w:jc w:val="right"/>
        <w:rPr>
          <w:rFonts w:cs="Arial"/>
          <w:szCs w:val="19"/>
          <w:lang w:val="es-ES_tradnl"/>
        </w:rPr>
      </w:pPr>
      <w:r>
        <w:rPr>
          <w:rFonts w:cs="Arial"/>
          <w:szCs w:val="19"/>
          <w:lang w:val="es-ES_tradnl"/>
        </w:rPr>
        <w:t>[Sigue el Anexo]</w:t>
      </w:r>
    </w:p>
    <w:p w14:paraId="34D197D4" w14:textId="77777777" w:rsidR="00CA64DC" w:rsidRDefault="00CA64DC">
      <w:pPr>
        <w:jc w:val="left"/>
        <w:rPr>
          <w:rFonts w:cs="Arial"/>
          <w:szCs w:val="19"/>
          <w:lang w:val="es-ES_tradnl"/>
        </w:rPr>
        <w:sectPr w:rsidR="00CA64DC" w:rsidSect="00042420">
          <w:headerReference w:type="even" r:id="rId9"/>
          <w:headerReference w:type="default" r:id="rId10"/>
          <w:pgSz w:w="11907" w:h="16840" w:code="9"/>
          <w:pgMar w:top="510" w:right="1134" w:bottom="709" w:left="1134" w:header="510" w:footer="680" w:gutter="0"/>
          <w:cols w:space="720"/>
          <w:titlePg/>
          <w:docGrid w:linePitch="272"/>
        </w:sectPr>
      </w:pPr>
    </w:p>
    <w:p w14:paraId="2E4D337B" w14:textId="09081ADE" w:rsidR="001240C5" w:rsidRPr="006E4BE1" w:rsidRDefault="00AD3089" w:rsidP="00CA64DC">
      <w:pPr>
        <w:pStyle w:val="Titleofdoc0"/>
        <w:spacing w:before="0" w:after="0"/>
        <w:ind w:left="1560" w:hanging="1560"/>
        <w:jc w:val="center"/>
        <w:rPr>
          <w:caps w:val="0"/>
          <w:color w:val="194C33" w:themeColor="accent1" w:themeShade="80"/>
          <w:sz w:val="30"/>
          <w:szCs w:val="30"/>
          <w:lang w:val="es-ES_tradnl"/>
        </w:rPr>
      </w:pPr>
      <w:r>
        <w:rPr>
          <w:caps w:val="0"/>
          <w:color w:val="194C33" w:themeColor="accent1" w:themeShade="80"/>
          <w:sz w:val="30"/>
          <w:szCs w:val="30"/>
          <w:lang w:val="es-ES_tradnl"/>
        </w:rPr>
        <w:lastRenderedPageBreak/>
        <w:t>P</w:t>
      </w:r>
      <w:r w:rsidR="0020546F" w:rsidRPr="006E4BE1">
        <w:rPr>
          <w:caps w:val="0"/>
          <w:color w:val="194C33" w:themeColor="accent1" w:themeShade="80"/>
          <w:sz w:val="30"/>
          <w:szCs w:val="30"/>
          <w:lang w:val="es-ES_tradnl"/>
        </w:rPr>
        <w:t>rograma y presupuesto para el bienio 2022-2023</w:t>
      </w:r>
    </w:p>
    <w:p w14:paraId="62BCB60C" w14:textId="77777777" w:rsidR="001240C5" w:rsidRPr="006E4BE1" w:rsidRDefault="001240C5" w:rsidP="00AE50C9">
      <w:pPr>
        <w:jc w:val="left"/>
        <w:rPr>
          <w:lang w:val="es-ES_tradnl"/>
        </w:rPr>
      </w:pPr>
    </w:p>
    <w:sdt>
      <w:sdtPr>
        <w:rPr>
          <w:rFonts w:asciiTheme="minorHAnsi" w:hAnsiTheme="minorHAnsi" w:cstheme="minorHAnsi"/>
          <w:b/>
          <w:bCs/>
          <w:lang w:val="es-ES_tradnl"/>
        </w:rPr>
        <w:id w:val="-1719118402"/>
        <w:docPartObj>
          <w:docPartGallery w:val="Table of Contents"/>
          <w:docPartUnique/>
        </w:docPartObj>
      </w:sdtPr>
      <w:sdtEndPr>
        <w:rPr>
          <w:b w:val="0"/>
          <w:bCs w:val="0"/>
        </w:rPr>
      </w:sdtEndPr>
      <w:sdtContent>
        <w:p w14:paraId="3EBEC842" w14:textId="77777777" w:rsidR="001240C5" w:rsidRPr="006E4BE1" w:rsidRDefault="009E7ED5" w:rsidP="00AE50C9">
          <w:pPr>
            <w:rPr>
              <w:b/>
              <w:color w:val="26724C" w:themeColor="accent1" w:themeShade="BF"/>
              <w:lang w:val="es-ES_tradnl"/>
            </w:rPr>
          </w:pPr>
          <w:r w:rsidRPr="006E4BE1">
            <w:rPr>
              <w:b/>
              <w:color w:val="26724C" w:themeColor="accent1" w:themeShade="BF"/>
              <w:lang w:val="es-ES_tradnl"/>
            </w:rPr>
            <w:t>Índice</w:t>
          </w:r>
        </w:p>
        <w:p w14:paraId="0B1039EB" w14:textId="21151DF6" w:rsidR="00D967B8" w:rsidRPr="006E4BE1" w:rsidRDefault="003F5113" w:rsidP="00D967B8">
          <w:pPr>
            <w:pStyle w:val="TOC1"/>
            <w:rPr>
              <w:rFonts w:asciiTheme="minorHAnsi" w:eastAsiaTheme="minorEastAsia" w:hAnsiTheme="minorHAnsi" w:cstheme="minorBidi"/>
              <w:sz w:val="22"/>
              <w:szCs w:val="22"/>
              <w:lang w:val="es-ES_tradnl" w:eastAsia="zh-CN"/>
            </w:rPr>
          </w:pPr>
          <w:r w:rsidRPr="006E4BE1">
            <w:rPr>
              <w:noProof w:val="0"/>
              <w:lang w:val="es-ES_tradnl"/>
            </w:rPr>
            <w:fldChar w:fldCharType="begin"/>
          </w:r>
          <w:r w:rsidRPr="006E4BE1">
            <w:rPr>
              <w:noProof w:val="0"/>
              <w:lang w:val="es-ES_tradnl"/>
            </w:rPr>
            <w:instrText xml:space="preserve"> TOC \o "1-3" \u \t "Heading 9,4" </w:instrText>
          </w:r>
          <w:r w:rsidRPr="006E4BE1">
            <w:rPr>
              <w:noProof w:val="0"/>
              <w:lang w:val="es-ES_tradnl"/>
            </w:rPr>
            <w:fldChar w:fldCharType="separate"/>
          </w:r>
          <w:r w:rsidR="00D967B8" w:rsidRPr="006E4BE1">
            <w:rPr>
              <w:lang w:val="es-ES_tradnl"/>
            </w:rPr>
            <w:t>I.</w:t>
          </w:r>
          <w:r w:rsidR="00D967B8" w:rsidRPr="006E4BE1">
            <w:rPr>
              <w:rFonts w:asciiTheme="minorHAnsi" w:eastAsiaTheme="minorEastAsia" w:hAnsiTheme="minorHAnsi" w:cstheme="minorBidi"/>
              <w:sz w:val="22"/>
              <w:szCs w:val="22"/>
              <w:lang w:val="es-ES_tradnl" w:eastAsia="zh-CN"/>
            </w:rPr>
            <w:tab/>
          </w:r>
          <w:r w:rsidR="00D967B8" w:rsidRPr="006E4BE1">
            <w:rPr>
              <w:lang w:val="es-ES_tradnl"/>
            </w:rPr>
            <w:t>INTRODUCCIÓN</w:t>
          </w:r>
          <w:r w:rsidR="00D967B8" w:rsidRPr="006E4BE1">
            <w:rPr>
              <w:lang w:val="es-ES_tradnl"/>
            </w:rPr>
            <w:tab/>
          </w:r>
          <w:r w:rsidR="00D967B8" w:rsidRPr="006E4BE1">
            <w:rPr>
              <w:lang w:val="es-ES_tradnl"/>
            </w:rPr>
            <w:fldChar w:fldCharType="begin"/>
          </w:r>
          <w:r w:rsidR="00D967B8" w:rsidRPr="006E4BE1">
            <w:rPr>
              <w:lang w:val="es-ES_tradnl"/>
            </w:rPr>
            <w:instrText xml:space="preserve"> PAGEREF _Toc78476703 \h </w:instrText>
          </w:r>
          <w:r w:rsidR="00D967B8" w:rsidRPr="006E4BE1">
            <w:rPr>
              <w:lang w:val="es-ES_tradnl"/>
            </w:rPr>
          </w:r>
          <w:r w:rsidR="00D967B8" w:rsidRPr="006E4BE1">
            <w:rPr>
              <w:lang w:val="es-ES_tradnl"/>
            </w:rPr>
            <w:fldChar w:fldCharType="separate"/>
          </w:r>
          <w:r w:rsidR="006161F4">
            <w:rPr>
              <w:lang w:val="es-ES_tradnl"/>
            </w:rPr>
            <w:t>2</w:t>
          </w:r>
          <w:r w:rsidR="00D967B8" w:rsidRPr="006E4BE1">
            <w:rPr>
              <w:lang w:val="es-ES_tradnl"/>
            </w:rPr>
            <w:fldChar w:fldCharType="end"/>
          </w:r>
        </w:p>
        <w:p w14:paraId="088AA1E0" w14:textId="0B8839C3"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Contexto general</w:t>
          </w:r>
          <w:r w:rsidRPr="006E4BE1">
            <w:rPr>
              <w:lang w:val="es-ES_tradnl"/>
            </w:rPr>
            <w:tab/>
          </w:r>
          <w:r w:rsidRPr="006E4BE1">
            <w:rPr>
              <w:lang w:val="es-ES_tradnl"/>
            </w:rPr>
            <w:fldChar w:fldCharType="begin"/>
          </w:r>
          <w:r w:rsidRPr="006E4BE1">
            <w:rPr>
              <w:lang w:val="es-ES_tradnl"/>
            </w:rPr>
            <w:instrText xml:space="preserve"> PAGEREF _Toc78476704 \h </w:instrText>
          </w:r>
          <w:r w:rsidRPr="006E4BE1">
            <w:rPr>
              <w:lang w:val="es-ES_tradnl"/>
            </w:rPr>
          </w:r>
          <w:r w:rsidRPr="006E4BE1">
            <w:rPr>
              <w:lang w:val="es-ES_tradnl"/>
            </w:rPr>
            <w:fldChar w:fldCharType="separate"/>
          </w:r>
          <w:r w:rsidR="006161F4">
            <w:rPr>
              <w:lang w:val="es-ES_tradnl"/>
            </w:rPr>
            <w:t>2</w:t>
          </w:r>
          <w:r w:rsidRPr="006E4BE1">
            <w:rPr>
              <w:lang w:val="es-ES_tradnl"/>
            </w:rPr>
            <w:fldChar w:fldCharType="end"/>
          </w:r>
        </w:p>
        <w:p w14:paraId="4970B603" w14:textId="5C790EA9"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Evolución de la UPOV</w:t>
          </w:r>
          <w:r w:rsidRPr="006E4BE1">
            <w:rPr>
              <w:lang w:val="es-ES_tradnl"/>
            </w:rPr>
            <w:tab/>
          </w:r>
          <w:r w:rsidRPr="006E4BE1">
            <w:rPr>
              <w:lang w:val="es-ES_tradnl"/>
            </w:rPr>
            <w:fldChar w:fldCharType="begin"/>
          </w:r>
          <w:r w:rsidRPr="006E4BE1">
            <w:rPr>
              <w:lang w:val="es-ES_tradnl"/>
            </w:rPr>
            <w:instrText xml:space="preserve"> PAGEREF _Toc78476705 \h </w:instrText>
          </w:r>
          <w:r w:rsidRPr="006E4BE1">
            <w:rPr>
              <w:lang w:val="es-ES_tradnl"/>
            </w:rPr>
          </w:r>
          <w:r w:rsidRPr="006E4BE1">
            <w:rPr>
              <w:lang w:val="es-ES_tradnl"/>
            </w:rPr>
            <w:fldChar w:fldCharType="separate"/>
          </w:r>
          <w:r w:rsidR="006161F4">
            <w:rPr>
              <w:lang w:val="es-ES_tradnl"/>
            </w:rPr>
            <w:t>3</w:t>
          </w:r>
          <w:r w:rsidRPr="006E4BE1">
            <w:rPr>
              <w:lang w:val="es-ES_tradnl"/>
            </w:rPr>
            <w:fldChar w:fldCharType="end"/>
          </w:r>
        </w:p>
        <w:p w14:paraId="04036E4E" w14:textId="123481BE"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Dirección para el bienio 2022-2023</w:t>
          </w:r>
          <w:r w:rsidRPr="006E4BE1">
            <w:rPr>
              <w:lang w:val="es-ES_tradnl"/>
            </w:rPr>
            <w:tab/>
          </w:r>
          <w:r w:rsidRPr="006E4BE1">
            <w:rPr>
              <w:lang w:val="es-ES_tradnl"/>
            </w:rPr>
            <w:fldChar w:fldCharType="begin"/>
          </w:r>
          <w:r w:rsidRPr="006E4BE1">
            <w:rPr>
              <w:lang w:val="es-ES_tradnl"/>
            </w:rPr>
            <w:instrText xml:space="preserve"> PAGEREF _Toc78476706 \h </w:instrText>
          </w:r>
          <w:r w:rsidRPr="006E4BE1">
            <w:rPr>
              <w:lang w:val="es-ES_tradnl"/>
            </w:rPr>
          </w:r>
          <w:r w:rsidRPr="006E4BE1">
            <w:rPr>
              <w:lang w:val="es-ES_tradnl"/>
            </w:rPr>
            <w:fldChar w:fldCharType="separate"/>
          </w:r>
          <w:r w:rsidR="006161F4">
            <w:rPr>
              <w:lang w:val="es-ES_tradnl"/>
            </w:rPr>
            <w:t>7</w:t>
          </w:r>
          <w:r w:rsidRPr="006E4BE1">
            <w:rPr>
              <w:lang w:val="es-ES_tradnl"/>
            </w:rPr>
            <w:fldChar w:fldCharType="end"/>
          </w:r>
        </w:p>
        <w:p w14:paraId="12AB5851" w14:textId="65D6655B"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Introducción</w:t>
          </w:r>
          <w:r w:rsidRPr="006E4BE1">
            <w:rPr>
              <w:lang w:val="es-ES_tradnl"/>
            </w:rPr>
            <w:tab/>
          </w:r>
          <w:r w:rsidRPr="006E4BE1">
            <w:rPr>
              <w:lang w:val="es-ES_tradnl"/>
            </w:rPr>
            <w:fldChar w:fldCharType="begin"/>
          </w:r>
          <w:r w:rsidRPr="006E4BE1">
            <w:rPr>
              <w:lang w:val="es-ES_tradnl"/>
            </w:rPr>
            <w:instrText xml:space="preserve"> PAGEREF _Toc78476707 \h </w:instrText>
          </w:r>
          <w:r w:rsidRPr="006E4BE1">
            <w:rPr>
              <w:lang w:val="es-ES_tradnl"/>
            </w:rPr>
          </w:r>
          <w:r w:rsidRPr="006E4BE1">
            <w:rPr>
              <w:lang w:val="es-ES_tradnl"/>
            </w:rPr>
            <w:fldChar w:fldCharType="separate"/>
          </w:r>
          <w:r w:rsidR="006161F4">
            <w:rPr>
              <w:lang w:val="es-ES_tradnl"/>
            </w:rPr>
            <w:t>7</w:t>
          </w:r>
          <w:r w:rsidRPr="006E4BE1">
            <w:rPr>
              <w:lang w:val="es-ES_tradnl"/>
            </w:rPr>
            <w:fldChar w:fldCharType="end"/>
          </w:r>
        </w:p>
        <w:p w14:paraId="5267D4D2" w14:textId="7E587CFA"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Un sistema eficaz de protección de las obtenciones vegetales</w:t>
          </w:r>
          <w:r w:rsidRPr="006E4BE1">
            <w:rPr>
              <w:lang w:val="es-ES_tradnl"/>
            </w:rPr>
            <w:tab/>
          </w:r>
          <w:r w:rsidRPr="006E4BE1">
            <w:rPr>
              <w:lang w:val="es-ES_tradnl"/>
            </w:rPr>
            <w:fldChar w:fldCharType="begin"/>
          </w:r>
          <w:r w:rsidRPr="006E4BE1">
            <w:rPr>
              <w:lang w:val="es-ES_tradnl"/>
            </w:rPr>
            <w:instrText xml:space="preserve"> PAGEREF _Toc78476708 \h </w:instrText>
          </w:r>
          <w:r w:rsidRPr="006E4BE1">
            <w:rPr>
              <w:lang w:val="es-ES_tradnl"/>
            </w:rPr>
          </w:r>
          <w:r w:rsidRPr="006E4BE1">
            <w:rPr>
              <w:lang w:val="es-ES_tradnl"/>
            </w:rPr>
            <w:fldChar w:fldCharType="separate"/>
          </w:r>
          <w:r w:rsidR="006161F4">
            <w:rPr>
              <w:lang w:val="es-ES_tradnl"/>
            </w:rPr>
            <w:t>7</w:t>
          </w:r>
          <w:r w:rsidRPr="006E4BE1">
            <w:rPr>
              <w:lang w:val="es-ES_tradnl"/>
            </w:rPr>
            <w:fldChar w:fldCharType="end"/>
          </w:r>
        </w:p>
        <w:p w14:paraId="745C5B5F" w14:textId="0562CB4F"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Promoción de un sistema eficaz de protección de las obtenciones vegetales</w:t>
          </w:r>
          <w:r w:rsidRPr="006E4BE1">
            <w:rPr>
              <w:lang w:val="es-ES_tradnl"/>
            </w:rPr>
            <w:tab/>
          </w:r>
          <w:r w:rsidRPr="006E4BE1">
            <w:rPr>
              <w:lang w:val="es-ES_tradnl"/>
            </w:rPr>
            <w:fldChar w:fldCharType="begin"/>
          </w:r>
          <w:r w:rsidRPr="006E4BE1">
            <w:rPr>
              <w:lang w:val="es-ES_tradnl"/>
            </w:rPr>
            <w:instrText xml:space="preserve"> PAGEREF _Toc78476709 \h </w:instrText>
          </w:r>
          <w:r w:rsidRPr="006E4BE1">
            <w:rPr>
              <w:lang w:val="es-ES_tradnl"/>
            </w:rPr>
          </w:r>
          <w:r w:rsidRPr="006E4BE1">
            <w:rPr>
              <w:lang w:val="es-ES_tradnl"/>
            </w:rPr>
            <w:fldChar w:fldCharType="separate"/>
          </w:r>
          <w:r w:rsidR="006161F4">
            <w:rPr>
              <w:lang w:val="es-ES_tradnl"/>
            </w:rPr>
            <w:t>11</w:t>
          </w:r>
          <w:r w:rsidRPr="006E4BE1">
            <w:rPr>
              <w:lang w:val="es-ES_tradnl"/>
            </w:rPr>
            <w:fldChar w:fldCharType="end"/>
          </w:r>
        </w:p>
        <w:p w14:paraId="162A389C" w14:textId="37D8AA49" w:rsidR="00D967B8" w:rsidRPr="006E4BE1" w:rsidRDefault="00D967B8" w:rsidP="00D967B8">
          <w:pPr>
            <w:pStyle w:val="TOC1"/>
            <w:rPr>
              <w:rFonts w:asciiTheme="minorHAnsi" w:eastAsiaTheme="minorEastAsia" w:hAnsiTheme="minorHAnsi" w:cstheme="minorBidi"/>
              <w:sz w:val="22"/>
              <w:szCs w:val="22"/>
              <w:lang w:val="es-ES_tradnl" w:eastAsia="zh-CN"/>
            </w:rPr>
          </w:pPr>
          <w:r w:rsidRPr="006E4BE1">
            <w:rPr>
              <w:lang w:val="es-ES_tradnl"/>
            </w:rPr>
            <w:t>II.</w:t>
          </w:r>
          <w:r w:rsidRPr="006E4BE1">
            <w:rPr>
              <w:rFonts w:asciiTheme="minorHAnsi" w:eastAsiaTheme="minorEastAsia" w:hAnsiTheme="minorHAnsi" w:cstheme="minorBidi"/>
              <w:sz w:val="22"/>
              <w:szCs w:val="22"/>
              <w:lang w:val="es-ES_tradnl" w:eastAsia="zh-CN"/>
            </w:rPr>
            <w:tab/>
          </w:r>
          <w:r w:rsidRPr="006E4BE1">
            <w:rPr>
              <w:lang w:val="es-ES_tradnl"/>
            </w:rPr>
            <w:t>OBJETIVOS Y RESULTADOS PREVISTOS POR SUBPROGRAMA</w:t>
          </w:r>
          <w:r w:rsidRPr="006E4BE1">
            <w:rPr>
              <w:lang w:val="es-ES_tradnl"/>
            </w:rPr>
            <w:tab/>
          </w:r>
          <w:r w:rsidRPr="006E4BE1">
            <w:rPr>
              <w:lang w:val="es-ES_tradnl"/>
            </w:rPr>
            <w:fldChar w:fldCharType="begin"/>
          </w:r>
          <w:r w:rsidRPr="006E4BE1">
            <w:rPr>
              <w:lang w:val="es-ES_tradnl"/>
            </w:rPr>
            <w:instrText xml:space="preserve"> PAGEREF _Toc78476710 \h </w:instrText>
          </w:r>
          <w:r w:rsidRPr="006E4BE1">
            <w:rPr>
              <w:lang w:val="es-ES_tradnl"/>
            </w:rPr>
          </w:r>
          <w:r w:rsidRPr="006E4BE1">
            <w:rPr>
              <w:lang w:val="es-ES_tradnl"/>
            </w:rPr>
            <w:fldChar w:fldCharType="separate"/>
          </w:r>
          <w:r w:rsidR="006161F4">
            <w:rPr>
              <w:lang w:val="es-ES_tradnl"/>
            </w:rPr>
            <w:t>12</w:t>
          </w:r>
          <w:r w:rsidRPr="006E4BE1">
            <w:rPr>
              <w:lang w:val="es-ES_tradnl"/>
            </w:rPr>
            <w:fldChar w:fldCharType="end"/>
          </w:r>
        </w:p>
        <w:p w14:paraId="6CCA7E21" w14:textId="1FC4D250"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spacing w:val="-2"/>
              <w:lang w:val="es-ES_tradnl"/>
            </w:rPr>
            <w:t>Subprograma UV.1:</w:t>
          </w:r>
          <w:r w:rsidR="00D95B0C" w:rsidRPr="006E4BE1">
            <w:rPr>
              <w:spacing w:val="-2"/>
              <w:lang w:val="es-ES_tradnl"/>
            </w:rPr>
            <w:t xml:space="preserve"> </w:t>
          </w:r>
          <w:r w:rsidRPr="006E4BE1">
            <w:rPr>
              <w:lang w:val="es-ES_tradnl"/>
            </w:rPr>
            <w:t>Política general sobre protección de las variedades vegetales</w:t>
          </w:r>
          <w:r w:rsidRPr="006E4BE1">
            <w:rPr>
              <w:lang w:val="es-ES_tradnl"/>
            </w:rPr>
            <w:tab/>
          </w:r>
          <w:r w:rsidRPr="006E4BE1">
            <w:rPr>
              <w:lang w:val="es-ES_tradnl"/>
            </w:rPr>
            <w:fldChar w:fldCharType="begin"/>
          </w:r>
          <w:r w:rsidRPr="006E4BE1">
            <w:rPr>
              <w:lang w:val="es-ES_tradnl"/>
            </w:rPr>
            <w:instrText xml:space="preserve"> PAGEREF _Toc78476711 \h </w:instrText>
          </w:r>
          <w:r w:rsidRPr="006E4BE1">
            <w:rPr>
              <w:lang w:val="es-ES_tradnl"/>
            </w:rPr>
          </w:r>
          <w:r w:rsidRPr="006E4BE1">
            <w:rPr>
              <w:lang w:val="es-ES_tradnl"/>
            </w:rPr>
            <w:fldChar w:fldCharType="separate"/>
          </w:r>
          <w:r w:rsidR="006161F4">
            <w:rPr>
              <w:lang w:val="es-ES_tradnl"/>
            </w:rPr>
            <w:t>12</w:t>
          </w:r>
          <w:r w:rsidRPr="006E4BE1">
            <w:rPr>
              <w:lang w:val="es-ES_tradnl"/>
            </w:rPr>
            <w:fldChar w:fldCharType="end"/>
          </w:r>
        </w:p>
        <w:p w14:paraId="2F55A071" w14:textId="0BE070E7"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Objetivos</w:t>
          </w:r>
          <w:r w:rsidRPr="006E4BE1">
            <w:rPr>
              <w:lang w:val="es-ES_tradnl"/>
            </w:rPr>
            <w:tab/>
          </w:r>
          <w:r w:rsidRPr="006E4BE1">
            <w:rPr>
              <w:lang w:val="es-ES_tradnl"/>
            </w:rPr>
            <w:fldChar w:fldCharType="begin"/>
          </w:r>
          <w:r w:rsidRPr="006E4BE1">
            <w:rPr>
              <w:lang w:val="es-ES_tradnl"/>
            </w:rPr>
            <w:instrText xml:space="preserve"> PAGEREF _Toc78476712 \h </w:instrText>
          </w:r>
          <w:r w:rsidRPr="006E4BE1">
            <w:rPr>
              <w:lang w:val="es-ES_tradnl"/>
            </w:rPr>
          </w:r>
          <w:r w:rsidRPr="006E4BE1">
            <w:rPr>
              <w:lang w:val="es-ES_tradnl"/>
            </w:rPr>
            <w:fldChar w:fldCharType="separate"/>
          </w:r>
          <w:r w:rsidR="006161F4">
            <w:rPr>
              <w:lang w:val="es-ES_tradnl"/>
            </w:rPr>
            <w:t>12</w:t>
          </w:r>
          <w:r w:rsidRPr="006E4BE1">
            <w:rPr>
              <w:lang w:val="es-ES_tradnl"/>
            </w:rPr>
            <w:fldChar w:fldCharType="end"/>
          </w:r>
        </w:p>
        <w:p w14:paraId="02F8CA9F" w14:textId="189621B8"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Descripción</w:t>
          </w:r>
          <w:r w:rsidRPr="006E4BE1">
            <w:rPr>
              <w:lang w:val="es-ES_tradnl"/>
            </w:rPr>
            <w:tab/>
          </w:r>
          <w:r w:rsidRPr="006E4BE1">
            <w:rPr>
              <w:lang w:val="es-ES_tradnl"/>
            </w:rPr>
            <w:fldChar w:fldCharType="begin"/>
          </w:r>
          <w:r w:rsidRPr="006E4BE1">
            <w:rPr>
              <w:lang w:val="es-ES_tradnl"/>
            </w:rPr>
            <w:instrText xml:space="preserve"> PAGEREF _Toc78476713 \h </w:instrText>
          </w:r>
          <w:r w:rsidRPr="006E4BE1">
            <w:rPr>
              <w:lang w:val="es-ES_tradnl"/>
            </w:rPr>
          </w:r>
          <w:r w:rsidRPr="006E4BE1">
            <w:rPr>
              <w:lang w:val="es-ES_tradnl"/>
            </w:rPr>
            <w:fldChar w:fldCharType="separate"/>
          </w:r>
          <w:r w:rsidR="006161F4">
            <w:rPr>
              <w:lang w:val="es-ES_tradnl"/>
            </w:rPr>
            <w:t>12</w:t>
          </w:r>
          <w:r w:rsidRPr="006E4BE1">
            <w:rPr>
              <w:lang w:val="es-ES_tradnl"/>
            </w:rPr>
            <w:fldChar w:fldCharType="end"/>
          </w:r>
        </w:p>
        <w:p w14:paraId="1D81F8C0" w14:textId="364D131C"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Actividades</w:t>
          </w:r>
          <w:r w:rsidRPr="006E4BE1">
            <w:rPr>
              <w:lang w:val="es-ES_tradnl"/>
            </w:rPr>
            <w:tab/>
          </w:r>
          <w:r w:rsidRPr="006E4BE1">
            <w:rPr>
              <w:lang w:val="es-ES_tradnl"/>
            </w:rPr>
            <w:fldChar w:fldCharType="begin"/>
          </w:r>
          <w:r w:rsidRPr="006E4BE1">
            <w:rPr>
              <w:lang w:val="es-ES_tradnl"/>
            </w:rPr>
            <w:instrText xml:space="preserve"> PAGEREF _Toc78476714 \h </w:instrText>
          </w:r>
          <w:r w:rsidRPr="006E4BE1">
            <w:rPr>
              <w:lang w:val="es-ES_tradnl"/>
            </w:rPr>
          </w:r>
          <w:r w:rsidRPr="006E4BE1">
            <w:rPr>
              <w:lang w:val="es-ES_tradnl"/>
            </w:rPr>
            <w:fldChar w:fldCharType="separate"/>
          </w:r>
          <w:r w:rsidR="006161F4">
            <w:rPr>
              <w:lang w:val="es-ES_tradnl"/>
            </w:rPr>
            <w:t>13</w:t>
          </w:r>
          <w:r w:rsidRPr="006E4BE1">
            <w:rPr>
              <w:lang w:val="es-ES_tradnl"/>
            </w:rPr>
            <w:fldChar w:fldCharType="end"/>
          </w:r>
        </w:p>
        <w:p w14:paraId="1E30A011" w14:textId="2BD70B30"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Resultados previstos e indicadores de rendimiento</w:t>
          </w:r>
          <w:r w:rsidRPr="006E4BE1">
            <w:rPr>
              <w:lang w:val="es-ES_tradnl"/>
            </w:rPr>
            <w:tab/>
          </w:r>
          <w:r w:rsidRPr="006E4BE1">
            <w:rPr>
              <w:lang w:val="es-ES_tradnl"/>
            </w:rPr>
            <w:fldChar w:fldCharType="begin"/>
          </w:r>
          <w:r w:rsidRPr="006E4BE1">
            <w:rPr>
              <w:lang w:val="es-ES_tradnl"/>
            </w:rPr>
            <w:instrText xml:space="preserve"> PAGEREF _Toc78476715 \h </w:instrText>
          </w:r>
          <w:r w:rsidRPr="006E4BE1">
            <w:rPr>
              <w:lang w:val="es-ES_tradnl"/>
            </w:rPr>
          </w:r>
          <w:r w:rsidRPr="006E4BE1">
            <w:rPr>
              <w:lang w:val="es-ES_tradnl"/>
            </w:rPr>
            <w:fldChar w:fldCharType="separate"/>
          </w:r>
          <w:r w:rsidR="006161F4">
            <w:rPr>
              <w:lang w:val="es-ES_tradnl"/>
            </w:rPr>
            <w:t>13</w:t>
          </w:r>
          <w:r w:rsidRPr="006E4BE1">
            <w:rPr>
              <w:lang w:val="es-ES_tradnl"/>
            </w:rPr>
            <w:fldChar w:fldCharType="end"/>
          </w:r>
        </w:p>
        <w:p w14:paraId="4A796D23" w14:textId="4F7F3163"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Subprograma UV.2: Servicios prestados a la Unión para mejorar la eficacia del sistema de la UPOV</w:t>
          </w:r>
          <w:r w:rsidRPr="006E4BE1">
            <w:rPr>
              <w:lang w:val="es-ES_tradnl"/>
            </w:rPr>
            <w:tab/>
          </w:r>
          <w:r w:rsidRPr="006E4BE1">
            <w:rPr>
              <w:lang w:val="es-ES_tradnl"/>
            </w:rPr>
            <w:fldChar w:fldCharType="begin"/>
          </w:r>
          <w:r w:rsidRPr="006E4BE1">
            <w:rPr>
              <w:lang w:val="es-ES_tradnl"/>
            </w:rPr>
            <w:instrText xml:space="preserve"> PAGEREF _Toc78476716 \h </w:instrText>
          </w:r>
          <w:r w:rsidRPr="006E4BE1">
            <w:rPr>
              <w:lang w:val="es-ES_tradnl"/>
            </w:rPr>
          </w:r>
          <w:r w:rsidRPr="006E4BE1">
            <w:rPr>
              <w:lang w:val="es-ES_tradnl"/>
            </w:rPr>
            <w:fldChar w:fldCharType="separate"/>
          </w:r>
          <w:r w:rsidR="006161F4">
            <w:rPr>
              <w:lang w:val="es-ES_tradnl"/>
            </w:rPr>
            <w:t>14</w:t>
          </w:r>
          <w:r w:rsidRPr="006E4BE1">
            <w:rPr>
              <w:lang w:val="es-ES_tradnl"/>
            </w:rPr>
            <w:fldChar w:fldCharType="end"/>
          </w:r>
        </w:p>
        <w:p w14:paraId="2F5CC410" w14:textId="70E88063"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Objetivos</w:t>
          </w:r>
          <w:r w:rsidRPr="006E4BE1">
            <w:rPr>
              <w:lang w:val="es-ES_tradnl"/>
            </w:rPr>
            <w:tab/>
          </w:r>
          <w:r w:rsidRPr="006E4BE1">
            <w:rPr>
              <w:lang w:val="es-ES_tradnl"/>
            </w:rPr>
            <w:fldChar w:fldCharType="begin"/>
          </w:r>
          <w:r w:rsidRPr="006E4BE1">
            <w:rPr>
              <w:lang w:val="es-ES_tradnl"/>
            </w:rPr>
            <w:instrText xml:space="preserve"> PAGEREF _Toc78476717 \h </w:instrText>
          </w:r>
          <w:r w:rsidRPr="006E4BE1">
            <w:rPr>
              <w:lang w:val="es-ES_tradnl"/>
            </w:rPr>
          </w:r>
          <w:r w:rsidRPr="006E4BE1">
            <w:rPr>
              <w:lang w:val="es-ES_tradnl"/>
            </w:rPr>
            <w:fldChar w:fldCharType="separate"/>
          </w:r>
          <w:r w:rsidR="006161F4">
            <w:rPr>
              <w:lang w:val="es-ES_tradnl"/>
            </w:rPr>
            <w:t>14</w:t>
          </w:r>
          <w:r w:rsidRPr="006E4BE1">
            <w:rPr>
              <w:lang w:val="es-ES_tradnl"/>
            </w:rPr>
            <w:fldChar w:fldCharType="end"/>
          </w:r>
        </w:p>
        <w:p w14:paraId="14DA6651" w14:textId="5E77359D"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Descripción</w:t>
          </w:r>
          <w:r w:rsidRPr="006E4BE1">
            <w:rPr>
              <w:lang w:val="es-ES_tradnl"/>
            </w:rPr>
            <w:tab/>
          </w:r>
          <w:r w:rsidRPr="006E4BE1">
            <w:rPr>
              <w:lang w:val="es-ES_tradnl"/>
            </w:rPr>
            <w:fldChar w:fldCharType="begin"/>
          </w:r>
          <w:r w:rsidRPr="006E4BE1">
            <w:rPr>
              <w:lang w:val="es-ES_tradnl"/>
            </w:rPr>
            <w:instrText xml:space="preserve"> PAGEREF _Toc78476718 \h </w:instrText>
          </w:r>
          <w:r w:rsidRPr="006E4BE1">
            <w:rPr>
              <w:lang w:val="es-ES_tradnl"/>
            </w:rPr>
          </w:r>
          <w:r w:rsidRPr="006E4BE1">
            <w:rPr>
              <w:lang w:val="es-ES_tradnl"/>
            </w:rPr>
            <w:fldChar w:fldCharType="separate"/>
          </w:r>
          <w:r w:rsidR="006161F4">
            <w:rPr>
              <w:lang w:val="es-ES_tradnl"/>
            </w:rPr>
            <w:t>14</w:t>
          </w:r>
          <w:r w:rsidRPr="006E4BE1">
            <w:rPr>
              <w:lang w:val="es-ES_tradnl"/>
            </w:rPr>
            <w:fldChar w:fldCharType="end"/>
          </w:r>
        </w:p>
        <w:p w14:paraId="1993F65D" w14:textId="19A35A6A"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Actividades</w:t>
          </w:r>
          <w:r w:rsidRPr="006E4BE1">
            <w:rPr>
              <w:lang w:val="es-ES_tradnl"/>
            </w:rPr>
            <w:tab/>
          </w:r>
          <w:r w:rsidRPr="006E4BE1">
            <w:rPr>
              <w:lang w:val="es-ES_tradnl"/>
            </w:rPr>
            <w:fldChar w:fldCharType="begin"/>
          </w:r>
          <w:r w:rsidRPr="006E4BE1">
            <w:rPr>
              <w:lang w:val="es-ES_tradnl"/>
            </w:rPr>
            <w:instrText xml:space="preserve"> PAGEREF _Toc78476719 \h </w:instrText>
          </w:r>
          <w:r w:rsidRPr="006E4BE1">
            <w:rPr>
              <w:lang w:val="es-ES_tradnl"/>
            </w:rPr>
          </w:r>
          <w:r w:rsidRPr="006E4BE1">
            <w:rPr>
              <w:lang w:val="es-ES_tradnl"/>
            </w:rPr>
            <w:fldChar w:fldCharType="separate"/>
          </w:r>
          <w:r w:rsidR="006161F4">
            <w:rPr>
              <w:lang w:val="es-ES_tradnl"/>
            </w:rPr>
            <w:t>16</w:t>
          </w:r>
          <w:r w:rsidRPr="006E4BE1">
            <w:rPr>
              <w:lang w:val="es-ES_tradnl"/>
            </w:rPr>
            <w:fldChar w:fldCharType="end"/>
          </w:r>
        </w:p>
        <w:p w14:paraId="5C5F0575" w14:textId="17968FFC"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Resultados previstos e indicadores de rendimiento</w:t>
          </w:r>
          <w:r w:rsidRPr="006E4BE1">
            <w:rPr>
              <w:lang w:val="es-ES_tradnl"/>
            </w:rPr>
            <w:tab/>
          </w:r>
          <w:r w:rsidRPr="006E4BE1">
            <w:rPr>
              <w:lang w:val="es-ES_tradnl"/>
            </w:rPr>
            <w:fldChar w:fldCharType="begin"/>
          </w:r>
          <w:r w:rsidRPr="006E4BE1">
            <w:rPr>
              <w:lang w:val="es-ES_tradnl"/>
            </w:rPr>
            <w:instrText xml:space="preserve"> PAGEREF _Toc78476720 \h </w:instrText>
          </w:r>
          <w:r w:rsidRPr="006E4BE1">
            <w:rPr>
              <w:lang w:val="es-ES_tradnl"/>
            </w:rPr>
          </w:r>
          <w:r w:rsidRPr="006E4BE1">
            <w:rPr>
              <w:lang w:val="es-ES_tradnl"/>
            </w:rPr>
            <w:fldChar w:fldCharType="separate"/>
          </w:r>
          <w:r w:rsidR="006161F4">
            <w:rPr>
              <w:lang w:val="es-ES_tradnl"/>
            </w:rPr>
            <w:t>17</w:t>
          </w:r>
          <w:r w:rsidRPr="006E4BE1">
            <w:rPr>
              <w:lang w:val="es-ES_tradnl"/>
            </w:rPr>
            <w:fldChar w:fldCharType="end"/>
          </w:r>
        </w:p>
        <w:p w14:paraId="446131C5" w14:textId="57605F27"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Subprograma UV.3:</w:t>
          </w:r>
          <w:r w:rsidR="00D95B0C" w:rsidRPr="006E4BE1">
            <w:rPr>
              <w:lang w:val="es-ES_tradnl"/>
            </w:rPr>
            <w:t xml:space="preserve"> </w:t>
          </w:r>
          <w:r w:rsidRPr="006E4BE1">
            <w:rPr>
              <w:lang w:val="es-ES_tradnl"/>
            </w:rPr>
            <w:t>Sensibilización y prestación de asistencia para la introducción y aplicación del sistema de la UPOV</w:t>
          </w:r>
          <w:r w:rsidRPr="006E4BE1">
            <w:rPr>
              <w:lang w:val="es-ES_tradnl"/>
            </w:rPr>
            <w:tab/>
          </w:r>
          <w:r w:rsidRPr="006E4BE1">
            <w:rPr>
              <w:lang w:val="es-ES_tradnl"/>
            </w:rPr>
            <w:fldChar w:fldCharType="begin"/>
          </w:r>
          <w:r w:rsidRPr="006E4BE1">
            <w:rPr>
              <w:lang w:val="es-ES_tradnl"/>
            </w:rPr>
            <w:instrText xml:space="preserve"> PAGEREF _Toc78476721 \h </w:instrText>
          </w:r>
          <w:r w:rsidRPr="006E4BE1">
            <w:rPr>
              <w:lang w:val="es-ES_tradnl"/>
            </w:rPr>
          </w:r>
          <w:r w:rsidRPr="006E4BE1">
            <w:rPr>
              <w:lang w:val="es-ES_tradnl"/>
            </w:rPr>
            <w:fldChar w:fldCharType="separate"/>
          </w:r>
          <w:r w:rsidR="006161F4">
            <w:rPr>
              <w:lang w:val="es-ES_tradnl"/>
            </w:rPr>
            <w:t>18</w:t>
          </w:r>
          <w:r w:rsidRPr="006E4BE1">
            <w:rPr>
              <w:lang w:val="es-ES_tradnl"/>
            </w:rPr>
            <w:fldChar w:fldCharType="end"/>
          </w:r>
        </w:p>
        <w:p w14:paraId="5FBF2B5B" w14:textId="5B532567"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Objetivos</w:t>
          </w:r>
          <w:r w:rsidRPr="006E4BE1">
            <w:rPr>
              <w:lang w:val="es-ES_tradnl"/>
            </w:rPr>
            <w:tab/>
          </w:r>
          <w:r w:rsidRPr="006E4BE1">
            <w:rPr>
              <w:lang w:val="es-ES_tradnl"/>
            </w:rPr>
            <w:fldChar w:fldCharType="begin"/>
          </w:r>
          <w:r w:rsidRPr="006E4BE1">
            <w:rPr>
              <w:lang w:val="es-ES_tradnl"/>
            </w:rPr>
            <w:instrText xml:space="preserve"> PAGEREF _Toc78476722 \h </w:instrText>
          </w:r>
          <w:r w:rsidRPr="006E4BE1">
            <w:rPr>
              <w:lang w:val="es-ES_tradnl"/>
            </w:rPr>
          </w:r>
          <w:r w:rsidRPr="006E4BE1">
            <w:rPr>
              <w:lang w:val="es-ES_tradnl"/>
            </w:rPr>
            <w:fldChar w:fldCharType="separate"/>
          </w:r>
          <w:r w:rsidR="006161F4">
            <w:rPr>
              <w:lang w:val="es-ES_tradnl"/>
            </w:rPr>
            <w:t>18</w:t>
          </w:r>
          <w:r w:rsidRPr="006E4BE1">
            <w:rPr>
              <w:lang w:val="es-ES_tradnl"/>
            </w:rPr>
            <w:fldChar w:fldCharType="end"/>
          </w:r>
        </w:p>
        <w:p w14:paraId="43EF2544" w14:textId="5B13CD65"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Descripción</w:t>
          </w:r>
          <w:r w:rsidRPr="006E4BE1">
            <w:rPr>
              <w:lang w:val="es-ES_tradnl"/>
            </w:rPr>
            <w:tab/>
          </w:r>
          <w:r w:rsidRPr="006E4BE1">
            <w:rPr>
              <w:lang w:val="es-ES_tradnl"/>
            </w:rPr>
            <w:fldChar w:fldCharType="begin"/>
          </w:r>
          <w:r w:rsidRPr="006E4BE1">
            <w:rPr>
              <w:lang w:val="es-ES_tradnl"/>
            </w:rPr>
            <w:instrText xml:space="preserve"> PAGEREF _Toc78476723 \h </w:instrText>
          </w:r>
          <w:r w:rsidRPr="006E4BE1">
            <w:rPr>
              <w:lang w:val="es-ES_tradnl"/>
            </w:rPr>
          </w:r>
          <w:r w:rsidRPr="006E4BE1">
            <w:rPr>
              <w:lang w:val="es-ES_tradnl"/>
            </w:rPr>
            <w:fldChar w:fldCharType="separate"/>
          </w:r>
          <w:r w:rsidR="006161F4">
            <w:rPr>
              <w:lang w:val="es-ES_tradnl"/>
            </w:rPr>
            <w:t>18</w:t>
          </w:r>
          <w:r w:rsidRPr="006E4BE1">
            <w:rPr>
              <w:lang w:val="es-ES_tradnl"/>
            </w:rPr>
            <w:fldChar w:fldCharType="end"/>
          </w:r>
        </w:p>
        <w:p w14:paraId="48756810" w14:textId="30A4080D"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Actividades</w:t>
          </w:r>
          <w:r w:rsidRPr="006E4BE1">
            <w:rPr>
              <w:lang w:val="es-ES_tradnl"/>
            </w:rPr>
            <w:tab/>
          </w:r>
          <w:r w:rsidRPr="006E4BE1">
            <w:rPr>
              <w:lang w:val="es-ES_tradnl"/>
            </w:rPr>
            <w:fldChar w:fldCharType="begin"/>
          </w:r>
          <w:r w:rsidRPr="006E4BE1">
            <w:rPr>
              <w:lang w:val="es-ES_tradnl"/>
            </w:rPr>
            <w:instrText xml:space="preserve"> PAGEREF _Toc78476724 \h </w:instrText>
          </w:r>
          <w:r w:rsidRPr="006E4BE1">
            <w:rPr>
              <w:lang w:val="es-ES_tradnl"/>
            </w:rPr>
          </w:r>
          <w:r w:rsidRPr="006E4BE1">
            <w:rPr>
              <w:lang w:val="es-ES_tradnl"/>
            </w:rPr>
            <w:fldChar w:fldCharType="separate"/>
          </w:r>
          <w:r w:rsidR="006161F4">
            <w:rPr>
              <w:lang w:val="es-ES_tradnl"/>
            </w:rPr>
            <w:t>21</w:t>
          </w:r>
          <w:r w:rsidRPr="006E4BE1">
            <w:rPr>
              <w:lang w:val="es-ES_tradnl"/>
            </w:rPr>
            <w:fldChar w:fldCharType="end"/>
          </w:r>
        </w:p>
        <w:p w14:paraId="5B25F6CB" w14:textId="6479EA1D"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Resultados previstos e indicadores de rendimiento</w:t>
          </w:r>
          <w:r w:rsidRPr="006E4BE1">
            <w:rPr>
              <w:lang w:val="es-ES_tradnl"/>
            </w:rPr>
            <w:tab/>
          </w:r>
          <w:r w:rsidRPr="006E4BE1">
            <w:rPr>
              <w:lang w:val="es-ES_tradnl"/>
            </w:rPr>
            <w:fldChar w:fldCharType="begin"/>
          </w:r>
          <w:r w:rsidRPr="006E4BE1">
            <w:rPr>
              <w:lang w:val="es-ES_tradnl"/>
            </w:rPr>
            <w:instrText xml:space="preserve"> PAGEREF _Toc78476725 \h </w:instrText>
          </w:r>
          <w:r w:rsidRPr="006E4BE1">
            <w:rPr>
              <w:lang w:val="es-ES_tradnl"/>
            </w:rPr>
          </w:r>
          <w:r w:rsidRPr="006E4BE1">
            <w:rPr>
              <w:lang w:val="es-ES_tradnl"/>
            </w:rPr>
            <w:fldChar w:fldCharType="separate"/>
          </w:r>
          <w:r w:rsidR="006161F4">
            <w:rPr>
              <w:lang w:val="es-ES_tradnl"/>
            </w:rPr>
            <w:t>21</w:t>
          </w:r>
          <w:r w:rsidRPr="006E4BE1">
            <w:rPr>
              <w:lang w:val="es-ES_tradnl"/>
            </w:rPr>
            <w:fldChar w:fldCharType="end"/>
          </w:r>
        </w:p>
        <w:p w14:paraId="5A79A070" w14:textId="79CDF235"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Subprograma UV.4:</w:t>
          </w:r>
          <w:r w:rsidR="00D95B0C" w:rsidRPr="006E4BE1">
            <w:rPr>
              <w:lang w:val="es-ES_tradnl"/>
            </w:rPr>
            <w:t xml:space="preserve"> </w:t>
          </w:r>
          <w:r w:rsidRPr="006E4BE1">
            <w:rPr>
              <w:lang w:val="es-ES_tradnl"/>
            </w:rPr>
            <w:t>Relaciones exteriores</w:t>
          </w:r>
          <w:r w:rsidRPr="006E4BE1">
            <w:rPr>
              <w:lang w:val="es-ES_tradnl"/>
            </w:rPr>
            <w:tab/>
          </w:r>
          <w:r w:rsidRPr="006E4BE1">
            <w:rPr>
              <w:lang w:val="es-ES_tradnl"/>
            </w:rPr>
            <w:fldChar w:fldCharType="begin"/>
          </w:r>
          <w:r w:rsidRPr="006E4BE1">
            <w:rPr>
              <w:lang w:val="es-ES_tradnl"/>
            </w:rPr>
            <w:instrText xml:space="preserve"> PAGEREF _Toc78476726 \h </w:instrText>
          </w:r>
          <w:r w:rsidRPr="006E4BE1">
            <w:rPr>
              <w:lang w:val="es-ES_tradnl"/>
            </w:rPr>
          </w:r>
          <w:r w:rsidRPr="006E4BE1">
            <w:rPr>
              <w:lang w:val="es-ES_tradnl"/>
            </w:rPr>
            <w:fldChar w:fldCharType="separate"/>
          </w:r>
          <w:r w:rsidR="006161F4">
            <w:rPr>
              <w:lang w:val="es-ES_tradnl"/>
            </w:rPr>
            <w:t>22</w:t>
          </w:r>
          <w:r w:rsidRPr="006E4BE1">
            <w:rPr>
              <w:lang w:val="es-ES_tradnl"/>
            </w:rPr>
            <w:fldChar w:fldCharType="end"/>
          </w:r>
        </w:p>
        <w:p w14:paraId="070CC899" w14:textId="48479B8F"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Objetivos</w:t>
          </w:r>
          <w:r w:rsidRPr="006E4BE1">
            <w:rPr>
              <w:lang w:val="es-ES_tradnl"/>
            </w:rPr>
            <w:tab/>
          </w:r>
          <w:r w:rsidRPr="006E4BE1">
            <w:rPr>
              <w:lang w:val="es-ES_tradnl"/>
            </w:rPr>
            <w:fldChar w:fldCharType="begin"/>
          </w:r>
          <w:r w:rsidRPr="006E4BE1">
            <w:rPr>
              <w:lang w:val="es-ES_tradnl"/>
            </w:rPr>
            <w:instrText xml:space="preserve"> PAGEREF _Toc78476727 \h </w:instrText>
          </w:r>
          <w:r w:rsidRPr="006E4BE1">
            <w:rPr>
              <w:lang w:val="es-ES_tradnl"/>
            </w:rPr>
          </w:r>
          <w:r w:rsidRPr="006E4BE1">
            <w:rPr>
              <w:lang w:val="es-ES_tradnl"/>
            </w:rPr>
            <w:fldChar w:fldCharType="separate"/>
          </w:r>
          <w:r w:rsidR="006161F4">
            <w:rPr>
              <w:lang w:val="es-ES_tradnl"/>
            </w:rPr>
            <w:t>22</w:t>
          </w:r>
          <w:r w:rsidRPr="006E4BE1">
            <w:rPr>
              <w:lang w:val="es-ES_tradnl"/>
            </w:rPr>
            <w:fldChar w:fldCharType="end"/>
          </w:r>
        </w:p>
        <w:p w14:paraId="10785C3E" w14:textId="52B073F2"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Descripción</w:t>
          </w:r>
          <w:r w:rsidRPr="006E4BE1">
            <w:rPr>
              <w:lang w:val="es-ES_tradnl"/>
            </w:rPr>
            <w:tab/>
          </w:r>
          <w:r w:rsidRPr="006E4BE1">
            <w:rPr>
              <w:lang w:val="es-ES_tradnl"/>
            </w:rPr>
            <w:fldChar w:fldCharType="begin"/>
          </w:r>
          <w:r w:rsidRPr="006E4BE1">
            <w:rPr>
              <w:lang w:val="es-ES_tradnl"/>
            </w:rPr>
            <w:instrText xml:space="preserve"> PAGEREF _Toc78476728 \h </w:instrText>
          </w:r>
          <w:r w:rsidRPr="006E4BE1">
            <w:rPr>
              <w:lang w:val="es-ES_tradnl"/>
            </w:rPr>
          </w:r>
          <w:r w:rsidRPr="006E4BE1">
            <w:rPr>
              <w:lang w:val="es-ES_tradnl"/>
            </w:rPr>
            <w:fldChar w:fldCharType="separate"/>
          </w:r>
          <w:r w:rsidR="006161F4">
            <w:rPr>
              <w:lang w:val="es-ES_tradnl"/>
            </w:rPr>
            <w:t>22</w:t>
          </w:r>
          <w:r w:rsidRPr="006E4BE1">
            <w:rPr>
              <w:lang w:val="es-ES_tradnl"/>
            </w:rPr>
            <w:fldChar w:fldCharType="end"/>
          </w:r>
        </w:p>
        <w:p w14:paraId="74777503" w14:textId="4794F132"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Actividades</w:t>
          </w:r>
          <w:r w:rsidRPr="006E4BE1">
            <w:rPr>
              <w:lang w:val="es-ES_tradnl"/>
            </w:rPr>
            <w:tab/>
          </w:r>
          <w:r w:rsidRPr="006E4BE1">
            <w:rPr>
              <w:lang w:val="es-ES_tradnl"/>
            </w:rPr>
            <w:fldChar w:fldCharType="begin"/>
          </w:r>
          <w:r w:rsidRPr="006E4BE1">
            <w:rPr>
              <w:lang w:val="es-ES_tradnl"/>
            </w:rPr>
            <w:instrText xml:space="preserve"> PAGEREF _Toc78476729 \h </w:instrText>
          </w:r>
          <w:r w:rsidRPr="006E4BE1">
            <w:rPr>
              <w:lang w:val="es-ES_tradnl"/>
            </w:rPr>
          </w:r>
          <w:r w:rsidRPr="006E4BE1">
            <w:rPr>
              <w:lang w:val="es-ES_tradnl"/>
            </w:rPr>
            <w:fldChar w:fldCharType="separate"/>
          </w:r>
          <w:r w:rsidR="006161F4">
            <w:rPr>
              <w:lang w:val="es-ES_tradnl"/>
            </w:rPr>
            <w:t>23</w:t>
          </w:r>
          <w:r w:rsidRPr="006E4BE1">
            <w:rPr>
              <w:lang w:val="es-ES_tradnl"/>
            </w:rPr>
            <w:fldChar w:fldCharType="end"/>
          </w:r>
        </w:p>
        <w:p w14:paraId="25D0E0AA" w14:textId="6EE66E77"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Resultados previstos e indicadores de rendimiento</w:t>
          </w:r>
          <w:r w:rsidRPr="006E4BE1">
            <w:rPr>
              <w:lang w:val="es-ES_tradnl"/>
            </w:rPr>
            <w:tab/>
          </w:r>
          <w:r w:rsidRPr="006E4BE1">
            <w:rPr>
              <w:lang w:val="es-ES_tradnl"/>
            </w:rPr>
            <w:fldChar w:fldCharType="begin"/>
          </w:r>
          <w:r w:rsidRPr="006E4BE1">
            <w:rPr>
              <w:lang w:val="es-ES_tradnl"/>
            </w:rPr>
            <w:instrText xml:space="preserve"> PAGEREF _Toc78476730 \h </w:instrText>
          </w:r>
          <w:r w:rsidRPr="006E4BE1">
            <w:rPr>
              <w:lang w:val="es-ES_tradnl"/>
            </w:rPr>
          </w:r>
          <w:r w:rsidRPr="006E4BE1">
            <w:rPr>
              <w:lang w:val="es-ES_tradnl"/>
            </w:rPr>
            <w:fldChar w:fldCharType="separate"/>
          </w:r>
          <w:r w:rsidR="006161F4">
            <w:rPr>
              <w:lang w:val="es-ES_tradnl"/>
            </w:rPr>
            <w:t>23</w:t>
          </w:r>
          <w:r w:rsidRPr="006E4BE1">
            <w:rPr>
              <w:lang w:val="es-ES_tradnl"/>
            </w:rPr>
            <w:fldChar w:fldCharType="end"/>
          </w:r>
        </w:p>
        <w:p w14:paraId="594794E0" w14:textId="4A31542E" w:rsidR="00D967B8" w:rsidRPr="006E4BE1" w:rsidRDefault="00D967B8" w:rsidP="00D967B8">
          <w:pPr>
            <w:pStyle w:val="TOC1"/>
            <w:rPr>
              <w:rFonts w:asciiTheme="minorHAnsi" w:eastAsiaTheme="minorEastAsia" w:hAnsiTheme="minorHAnsi" w:cstheme="minorBidi"/>
              <w:sz w:val="22"/>
              <w:szCs w:val="22"/>
              <w:lang w:val="es-ES_tradnl" w:eastAsia="zh-CN"/>
            </w:rPr>
          </w:pPr>
          <w:r w:rsidRPr="006E4BE1">
            <w:rPr>
              <w:lang w:val="es-ES_tradnl"/>
            </w:rPr>
            <w:t>III.</w:t>
          </w:r>
          <w:r w:rsidRPr="006E4BE1">
            <w:rPr>
              <w:rFonts w:asciiTheme="minorHAnsi" w:eastAsiaTheme="minorEastAsia" w:hAnsiTheme="minorHAnsi" w:cstheme="minorBidi"/>
              <w:sz w:val="22"/>
              <w:szCs w:val="22"/>
              <w:lang w:val="es-ES_tradnl" w:eastAsia="zh-CN"/>
            </w:rPr>
            <w:tab/>
          </w:r>
          <w:r w:rsidRPr="006E4BE1">
            <w:rPr>
              <w:lang w:val="es-ES_tradnl"/>
            </w:rPr>
            <w:t>PROPUESTA DE PRESUPUESTO</w:t>
          </w:r>
          <w:r w:rsidRPr="006E4BE1">
            <w:rPr>
              <w:lang w:val="es-ES_tradnl"/>
            </w:rPr>
            <w:tab/>
          </w:r>
          <w:r w:rsidRPr="006E4BE1">
            <w:rPr>
              <w:lang w:val="es-ES_tradnl"/>
            </w:rPr>
            <w:fldChar w:fldCharType="begin"/>
          </w:r>
          <w:r w:rsidRPr="006E4BE1">
            <w:rPr>
              <w:lang w:val="es-ES_tradnl"/>
            </w:rPr>
            <w:instrText xml:space="preserve"> PAGEREF _Toc78476731 \h </w:instrText>
          </w:r>
          <w:r w:rsidRPr="006E4BE1">
            <w:rPr>
              <w:lang w:val="es-ES_tradnl"/>
            </w:rPr>
          </w:r>
          <w:r w:rsidRPr="006E4BE1">
            <w:rPr>
              <w:lang w:val="es-ES_tradnl"/>
            </w:rPr>
            <w:fldChar w:fldCharType="separate"/>
          </w:r>
          <w:r w:rsidR="006161F4">
            <w:rPr>
              <w:lang w:val="es-ES_tradnl"/>
            </w:rPr>
            <w:t>24</w:t>
          </w:r>
          <w:r w:rsidRPr="006E4BE1">
            <w:rPr>
              <w:lang w:val="es-ES_tradnl"/>
            </w:rPr>
            <w:fldChar w:fldCharType="end"/>
          </w:r>
        </w:p>
        <w:p w14:paraId="2A273B47" w14:textId="355B22C0"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Contexto financiero</w:t>
          </w:r>
          <w:r w:rsidRPr="006E4BE1">
            <w:rPr>
              <w:lang w:val="es-ES_tradnl"/>
            </w:rPr>
            <w:tab/>
          </w:r>
          <w:r w:rsidRPr="006E4BE1">
            <w:rPr>
              <w:lang w:val="es-ES_tradnl"/>
            </w:rPr>
            <w:fldChar w:fldCharType="begin"/>
          </w:r>
          <w:r w:rsidRPr="006E4BE1">
            <w:rPr>
              <w:lang w:val="es-ES_tradnl"/>
            </w:rPr>
            <w:instrText xml:space="preserve"> PAGEREF _Toc78476732 \h </w:instrText>
          </w:r>
          <w:r w:rsidRPr="006E4BE1">
            <w:rPr>
              <w:lang w:val="es-ES_tradnl"/>
            </w:rPr>
          </w:r>
          <w:r w:rsidRPr="006E4BE1">
            <w:rPr>
              <w:lang w:val="es-ES_tradnl"/>
            </w:rPr>
            <w:fldChar w:fldCharType="separate"/>
          </w:r>
          <w:r w:rsidR="006161F4">
            <w:rPr>
              <w:lang w:val="es-ES_tradnl"/>
            </w:rPr>
            <w:t>24</w:t>
          </w:r>
          <w:r w:rsidRPr="006E4BE1">
            <w:rPr>
              <w:lang w:val="es-ES_tradnl"/>
            </w:rPr>
            <w:fldChar w:fldCharType="end"/>
          </w:r>
        </w:p>
        <w:p w14:paraId="3E19EDD5" w14:textId="3255BE16"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Propuesta de presupuesto para el bienio 2022-2023</w:t>
          </w:r>
          <w:r w:rsidRPr="006E4BE1">
            <w:rPr>
              <w:lang w:val="es-ES_tradnl"/>
            </w:rPr>
            <w:tab/>
          </w:r>
          <w:r w:rsidRPr="006E4BE1">
            <w:rPr>
              <w:lang w:val="es-ES_tradnl"/>
            </w:rPr>
            <w:fldChar w:fldCharType="begin"/>
          </w:r>
          <w:r w:rsidRPr="006E4BE1">
            <w:rPr>
              <w:lang w:val="es-ES_tradnl"/>
            </w:rPr>
            <w:instrText xml:space="preserve"> PAGEREF _Toc78476733 \h </w:instrText>
          </w:r>
          <w:r w:rsidRPr="006E4BE1">
            <w:rPr>
              <w:lang w:val="es-ES_tradnl"/>
            </w:rPr>
          </w:r>
          <w:r w:rsidRPr="006E4BE1">
            <w:rPr>
              <w:lang w:val="es-ES_tradnl"/>
            </w:rPr>
            <w:fldChar w:fldCharType="separate"/>
          </w:r>
          <w:r w:rsidR="006161F4">
            <w:rPr>
              <w:lang w:val="es-ES_tradnl"/>
            </w:rPr>
            <w:t>25</w:t>
          </w:r>
          <w:r w:rsidRPr="006E4BE1">
            <w:rPr>
              <w:lang w:val="es-ES_tradnl"/>
            </w:rPr>
            <w:fldChar w:fldCharType="end"/>
          </w:r>
        </w:p>
        <w:p w14:paraId="03C5D275" w14:textId="6AF7F259"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Ingresos</w:t>
          </w:r>
          <w:r w:rsidRPr="006E4BE1">
            <w:rPr>
              <w:lang w:val="es-ES_tradnl"/>
            </w:rPr>
            <w:tab/>
          </w:r>
          <w:r w:rsidRPr="006E4BE1">
            <w:rPr>
              <w:lang w:val="es-ES_tradnl"/>
            </w:rPr>
            <w:fldChar w:fldCharType="begin"/>
          </w:r>
          <w:r w:rsidRPr="006E4BE1">
            <w:rPr>
              <w:lang w:val="es-ES_tradnl"/>
            </w:rPr>
            <w:instrText xml:space="preserve"> PAGEREF _Toc78476734 \h </w:instrText>
          </w:r>
          <w:r w:rsidRPr="006E4BE1">
            <w:rPr>
              <w:lang w:val="es-ES_tradnl"/>
            </w:rPr>
          </w:r>
          <w:r w:rsidRPr="006E4BE1">
            <w:rPr>
              <w:lang w:val="es-ES_tradnl"/>
            </w:rPr>
            <w:fldChar w:fldCharType="separate"/>
          </w:r>
          <w:r w:rsidR="006161F4">
            <w:rPr>
              <w:lang w:val="es-ES_tradnl"/>
            </w:rPr>
            <w:t>26</w:t>
          </w:r>
          <w:r w:rsidRPr="006E4BE1">
            <w:rPr>
              <w:lang w:val="es-ES_tradnl"/>
            </w:rPr>
            <w:fldChar w:fldCharType="end"/>
          </w:r>
        </w:p>
        <w:p w14:paraId="57279052" w14:textId="7468FDF7"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Plan de dotación de recursos</w:t>
          </w:r>
          <w:r w:rsidRPr="006E4BE1">
            <w:rPr>
              <w:lang w:val="es-ES_tradnl"/>
            </w:rPr>
            <w:tab/>
          </w:r>
          <w:r w:rsidRPr="006E4BE1">
            <w:rPr>
              <w:lang w:val="es-ES_tradnl"/>
            </w:rPr>
            <w:fldChar w:fldCharType="begin"/>
          </w:r>
          <w:r w:rsidRPr="006E4BE1">
            <w:rPr>
              <w:lang w:val="es-ES_tradnl"/>
            </w:rPr>
            <w:instrText xml:space="preserve"> PAGEREF _Toc78476735 \h </w:instrText>
          </w:r>
          <w:r w:rsidRPr="006E4BE1">
            <w:rPr>
              <w:lang w:val="es-ES_tradnl"/>
            </w:rPr>
          </w:r>
          <w:r w:rsidRPr="006E4BE1">
            <w:rPr>
              <w:lang w:val="es-ES_tradnl"/>
            </w:rPr>
            <w:fldChar w:fldCharType="separate"/>
          </w:r>
          <w:r w:rsidR="006161F4">
            <w:rPr>
              <w:lang w:val="es-ES_tradnl"/>
            </w:rPr>
            <w:t>27</w:t>
          </w:r>
          <w:r w:rsidRPr="006E4BE1">
            <w:rPr>
              <w:lang w:val="es-ES_tradnl"/>
            </w:rPr>
            <w:fldChar w:fldCharType="end"/>
          </w:r>
        </w:p>
        <w:p w14:paraId="23D86E03" w14:textId="13928F55" w:rsidR="00D967B8" w:rsidRPr="006E4BE1" w:rsidRDefault="00D967B8">
          <w:pPr>
            <w:pStyle w:val="TOC3"/>
            <w:rPr>
              <w:rFonts w:asciiTheme="minorHAnsi" w:eastAsiaTheme="minorEastAsia" w:hAnsiTheme="minorHAnsi" w:cstheme="minorBidi"/>
              <w:i w:val="0"/>
              <w:sz w:val="22"/>
              <w:szCs w:val="22"/>
              <w:lang w:val="es-ES_tradnl" w:eastAsia="zh-CN"/>
            </w:rPr>
          </w:pPr>
          <w:r w:rsidRPr="006E4BE1">
            <w:rPr>
              <w:lang w:val="es-ES_tradnl"/>
            </w:rPr>
            <w:t>Gastos</w:t>
          </w:r>
          <w:r w:rsidRPr="006E4BE1">
            <w:rPr>
              <w:lang w:val="es-ES_tradnl"/>
            </w:rPr>
            <w:tab/>
          </w:r>
          <w:r w:rsidRPr="006E4BE1">
            <w:rPr>
              <w:lang w:val="es-ES_tradnl"/>
            </w:rPr>
            <w:fldChar w:fldCharType="begin"/>
          </w:r>
          <w:r w:rsidRPr="006E4BE1">
            <w:rPr>
              <w:lang w:val="es-ES_tradnl"/>
            </w:rPr>
            <w:instrText xml:space="preserve"> PAGEREF _Toc78476736 \h </w:instrText>
          </w:r>
          <w:r w:rsidRPr="006E4BE1">
            <w:rPr>
              <w:lang w:val="es-ES_tradnl"/>
            </w:rPr>
          </w:r>
          <w:r w:rsidRPr="006E4BE1">
            <w:rPr>
              <w:lang w:val="es-ES_tradnl"/>
            </w:rPr>
            <w:fldChar w:fldCharType="separate"/>
          </w:r>
          <w:r w:rsidR="006161F4">
            <w:rPr>
              <w:lang w:val="es-ES_tradnl"/>
            </w:rPr>
            <w:t>28</w:t>
          </w:r>
          <w:r w:rsidRPr="006E4BE1">
            <w:rPr>
              <w:lang w:val="es-ES_tradnl"/>
            </w:rPr>
            <w:fldChar w:fldCharType="end"/>
          </w:r>
        </w:p>
        <w:p w14:paraId="410122DC" w14:textId="7DD3DDC3"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Dotación de personal</w:t>
          </w:r>
          <w:r w:rsidRPr="006E4BE1">
            <w:rPr>
              <w:lang w:val="es-ES_tradnl"/>
            </w:rPr>
            <w:tab/>
          </w:r>
          <w:r w:rsidRPr="006E4BE1">
            <w:rPr>
              <w:lang w:val="es-ES_tradnl"/>
            </w:rPr>
            <w:fldChar w:fldCharType="begin"/>
          </w:r>
          <w:r w:rsidRPr="006E4BE1">
            <w:rPr>
              <w:lang w:val="es-ES_tradnl"/>
            </w:rPr>
            <w:instrText xml:space="preserve"> PAGEREF _Toc78476737 \h </w:instrText>
          </w:r>
          <w:r w:rsidRPr="006E4BE1">
            <w:rPr>
              <w:lang w:val="es-ES_tradnl"/>
            </w:rPr>
          </w:r>
          <w:r w:rsidRPr="006E4BE1">
            <w:rPr>
              <w:lang w:val="es-ES_tradnl"/>
            </w:rPr>
            <w:fldChar w:fldCharType="separate"/>
          </w:r>
          <w:r w:rsidR="006161F4">
            <w:rPr>
              <w:lang w:val="es-ES_tradnl"/>
            </w:rPr>
            <w:t>29</w:t>
          </w:r>
          <w:r w:rsidRPr="006E4BE1">
            <w:rPr>
              <w:lang w:val="es-ES_tradnl"/>
            </w:rPr>
            <w:fldChar w:fldCharType="end"/>
          </w:r>
        </w:p>
        <w:p w14:paraId="63A32D7B" w14:textId="52DBDA17" w:rsidR="00D967B8" w:rsidRPr="006E4BE1" w:rsidRDefault="00D967B8" w:rsidP="00D967B8">
          <w:pPr>
            <w:pStyle w:val="TOC2"/>
            <w:rPr>
              <w:rFonts w:asciiTheme="minorHAnsi" w:eastAsiaTheme="minorEastAsia" w:hAnsiTheme="minorHAnsi" w:cstheme="minorBidi"/>
              <w:sz w:val="22"/>
              <w:szCs w:val="22"/>
              <w:lang w:val="es-ES_tradnl" w:eastAsia="zh-CN"/>
            </w:rPr>
          </w:pPr>
          <w:r w:rsidRPr="006E4BE1">
            <w:rPr>
              <w:lang w:val="es-ES_tradnl"/>
            </w:rPr>
            <w:t>Asignación de gastos por subprograma</w:t>
          </w:r>
          <w:r w:rsidRPr="006E4BE1">
            <w:rPr>
              <w:lang w:val="es-ES_tradnl"/>
            </w:rPr>
            <w:tab/>
          </w:r>
          <w:r w:rsidRPr="006E4BE1">
            <w:rPr>
              <w:lang w:val="es-ES_tradnl"/>
            </w:rPr>
            <w:fldChar w:fldCharType="begin"/>
          </w:r>
          <w:r w:rsidRPr="006E4BE1">
            <w:rPr>
              <w:lang w:val="es-ES_tradnl"/>
            </w:rPr>
            <w:instrText xml:space="preserve"> PAGEREF _Toc78476738 \h </w:instrText>
          </w:r>
          <w:r w:rsidRPr="006E4BE1">
            <w:rPr>
              <w:lang w:val="es-ES_tradnl"/>
            </w:rPr>
          </w:r>
          <w:r w:rsidRPr="006E4BE1">
            <w:rPr>
              <w:lang w:val="es-ES_tradnl"/>
            </w:rPr>
            <w:fldChar w:fldCharType="separate"/>
          </w:r>
          <w:r w:rsidR="006161F4">
            <w:rPr>
              <w:lang w:val="es-ES_tradnl"/>
            </w:rPr>
            <w:t>30</w:t>
          </w:r>
          <w:r w:rsidRPr="006E4BE1">
            <w:rPr>
              <w:lang w:val="es-ES_tradnl"/>
            </w:rPr>
            <w:fldChar w:fldCharType="end"/>
          </w:r>
        </w:p>
        <w:p w14:paraId="0614C68B" w14:textId="63C90871" w:rsidR="00D967B8" w:rsidRPr="006E4BE1" w:rsidRDefault="00D967B8" w:rsidP="00D967B8">
          <w:pPr>
            <w:pStyle w:val="TOC1"/>
            <w:rPr>
              <w:rFonts w:asciiTheme="minorHAnsi" w:eastAsiaTheme="minorEastAsia" w:hAnsiTheme="minorHAnsi" w:cstheme="minorBidi"/>
              <w:sz w:val="22"/>
              <w:szCs w:val="22"/>
              <w:lang w:val="es-ES_tradnl" w:eastAsia="zh-CN"/>
            </w:rPr>
          </w:pPr>
          <w:r w:rsidRPr="006E4BE1">
            <w:rPr>
              <w:lang w:val="es-ES_tradnl"/>
            </w:rPr>
            <w:t>IV.</w:t>
          </w:r>
          <w:r w:rsidRPr="006E4BE1">
            <w:rPr>
              <w:rFonts w:asciiTheme="minorHAnsi" w:eastAsiaTheme="minorEastAsia" w:hAnsiTheme="minorHAnsi" w:cstheme="minorBidi"/>
              <w:sz w:val="22"/>
              <w:szCs w:val="22"/>
              <w:lang w:val="es-ES_tradnl" w:eastAsia="zh-CN"/>
            </w:rPr>
            <w:tab/>
          </w:r>
          <w:r w:rsidRPr="006E4BE1">
            <w:rPr>
              <w:lang w:val="es-ES_tradnl"/>
            </w:rPr>
            <w:t>INDICADORES FINANCIEROS CORRESPONDIENTES AL PERÍODO 2016-2025</w:t>
          </w:r>
          <w:r w:rsidRPr="006E4BE1">
            <w:rPr>
              <w:lang w:val="es-ES_tradnl"/>
            </w:rPr>
            <w:tab/>
          </w:r>
          <w:r w:rsidRPr="006E4BE1">
            <w:rPr>
              <w:lang w:val="es-ES_tradnl"/>
            </w:rPr>
            <w:fldChar w:fldCharType="begin"/>
          </w:r>
          <w:r w:rsidRPr="006E4BE1">
            <w:rPr>
              <w:lang w:val="es-ES_tradnl"/>
            </w:rPr>
            <w:instrText xml:space="preserve"> PAGEREF _Toc78476739 \h </w:instrText>
          </w:r>
          <w:r w:rsidRPr="006E4BE1">
            <w:rPr>
              <w:lang w:val="es-ES_tradnl"/>
            </w:rPr>
          </w:r>
          <w:r w:rsidRPr="006E4BE1">
            <w:rPr>
              <w:lang w:val="es-ES_tradnl"/>
            </w:rPr>
            <w:fldChar w:fldCharType="separate"/>
          </w:r>
          <w:r w:rsidR="006161F4">
            <w:rPr>
              <w:lang w:val="es-ES_tradnl"/>
            </w:rPr>
            <w:t>33</w:t>
          </w:r>
          <w:r w:rsidRPr="006E4BE1">
            <w:rPr>
              <w:lang w:val="es-ES_tradnl"/>
            </w:rPr>
            <w:fldChar w:fldCharType="end"/>
          </w:r>
        </w:p>
        <w:p w14:paraId="66116376" w14:textId="1E10B9C0" w:rsidR="00D967B8" w:rsidRPr="006E4BE1" w:rsidRDefault="00D967B8" w:rsidP="00D967B8">
          <w:pPr>
            <w:pStyle w:val="TOC1"/>
            <w:rPr>
              <w:rFonts w:asciiTheme="minorHAnsi" w:eastAsiaTheme="minorEastAsia" w:hAnsiTheme="minorHAnsi" w:cstheme="minorBidi"/>
              <w:sz w:val="22"/>
              <w:szCs w:val="22"/>
              <w:lang w:val="es-ES_tradnl" w:eastAsia="zh-CN"/>
            </w:rPr>
          </w:pPr>
          <w:r w:rsidRPr="006E4BE1">
            <w:rPr>
              <w:lang w:val="es-ES_tradnl"/>
            </w:rPr>
            <w:t>V.</w:t>
          </w:r>
          <w:r w:rsidRPr="006E4BE1">
            <w:rPr>
              <w:rFonts w:asciiTheme="minorHAnsi" w:eastAsiaTheme="minorEastAsia" w:hAnsiTheme="minorHAnsi" w:cstheme="minorBidi"/>
              <w:sz w:val="22"/>
              <w:szCs w:val="22"/>
              <w:lang w:val="es-ES_tradnl" w:eastAsia="zh-CN"/>
            </w:rPr>
            <w:tab/>
          </w:r>
          <w:r w:rsidRPr="006E4BE1">
            <w:rPr>
              <w:lang w:val="es-ES_tradnl"/>
            </w:rPr>
            <w:t>APÉNDICES</w:t>
          </w:r>
          <w:r w:rsidRPr="006E4BE1">
            <w:rPr>
              <w:lang w:val="es-ES_tradnl"/>
            </w:rPr>
            <w:tab/>
          </w:r>
          <w:r w:rsidRPr="006E4BE1">
            <w:rPr>
              <w:lang w:val="es-ES_tradnl"/>
            </w:rPr>
            <w:fldChar w:fldCharType="begin"/>
          </w:r>
          <w:r w:rsidRPr="006E4BE1">
            <w:rPr>
              <w:lang w:val="es-ES_tradnl"/>
            </w:rPr>
            <w:instrText xml:space="preserve"> PAGEREF _Toc78476740 \h </w:instrText>
          </w:r>
          <w:r w:rsidRPr="006E4BE1">
            <w:rPr>
              <w:lang w:val="es-ES_tradnl"/>
            </w:rPr>
          </w:r>
          <w:r w:rsidRPr="006E4BE1">
            <w:rPr>
              <w:lang w:val="es-ES_tradnl"/>
            </w:rPr>
            <w:fldChar w:fldCharType="separate"/>
          </w:r>
          <w:r w:rsidR="006161F4">
            <w:rPr>
              <w:lang w:val="es-ES_tradnl"/>
            </w:rPr>
            <w:t>34</w:t>
          </w:r>
          <w:r w:rsidRPr="006E4BE1">
            <w:rPr>
              <w:lang w:val="es-ES_tradnl"/>
            </w:rPr>
            <w:fldChar w:fldCharType="end"/>
          </w:r>
        </w:p>
        <w:p w14:paraId="4421A313" w14:textId="1E313D75" w:rsidR="00D967B8" w:rsidRPr="006E4BE1" w:rsidRDefault="00D967B8">
          <w:pPr>
            <w:pStyle w:val="TOC4"/>
            <w:rPr>
              <w:rFonts w:eastAsiaTheme="minorEastAsia" w:cstheme="minorBidi"/>
              <w:noProof/>
              <w:sz w:val="22"/>
              <w:szCs w:val="22"/>
              <w:lang w:val="es-ES_tradnl" w:eastAsia="zh-CN"/>
            </w:rPr>
          </w:pPr>
          <w:r w:rsidRPr="006E4BE1">
            <w:rPr>
              <w:noProof/>
              <w:lang w:val="es-ES_tradnl"/>
            </w:rPr>
            <w:t>APÉNDICE I</w:t>
          </w:r>
          <w:r w:rsidRPr="006E4BE1">
            <w:rPr>
              <w:rFonts w:eastAsiaTheme="minorEastAsia" w:cstheme="minorBidi"/>
              <w:noProof/>
              <w:sz w:val="22"/>
              <w:szCs w:val="22"/>
              <w:lang w:val="es-ES_tradnl" w:eastAsia="zh-CN"/>
            </w:rPr>
            <w:tab/>
          </w:r>
          <w:r w:rsidRPr="006E4BE1">
            <w:rPr>
              <w:noProof/>
              <w:lang w:val="es-ES_tradnl"/>
            </w:rPr>
            <w:t>Situación respecto de la Unión Internacional para la Protección de las Obtenciones Vegetales (UPOV) al 31 de marzo de 2021</w:t>
          </w:r>
          <w:r w:rsidRPr="006E4BE1">
            <w:rPr>
              <w:noProof/>
              <w:lang w:val="es-ES_tradnl"/>
            </w:rPr>
            <w:tab/>
          </w:r>
          <w:r w:rsidRPr="006E4BE1">
            <w:rPr>
              <w:noProof/>
              <w:lang w:val="es-ES_tradnl"/>
            </w:rPr>
            <w:fldChar w:fldCharType="begin"/>
          </w:r>
          <w:r w:rsidRPr="006E4BE1">
            <w:rPr>
              <w:noProof/>
              <w:lang w:val="es-ES_tradnl"/>
            </w:rPr>
            <w:instrText xml:space="preserve"> PAGEREF _Toc78476741 \h </w:instrText>
          </w:r>
          <w:r w:rsidRPr="006E4BE1">
            <w:rPr>
              <w:noProof/>
              <w:lang w:val="es-ES_tradnl"/>
            </w:rPr>
          </w:r>
          <w:r w:rsidRPr="006E4BE1">
            <w:rPr>
              <w:noProof/>
              <w:lang w:val="es-ES_tradnl"/>
            </w:rPr>
            <w:fldChar w:fldCharType="separate"/>
          </w:r>
          <w:r w:rsidR="006161F4">
            <w:rPr>
              <w:noProof/>
              <w:lang w:val="es-ES_tradnl"/>
            </w:rPr>
            <w:t>34</w:t>
          </w:r>
          <w:r w:rsidRPr="006E4BE1">
            <w:rPr>
              <w:noProof/>
              <w:lang w:val="es-ES_tradnl"/>
            </w:rPr>
            <w:fldChar w:fldCharType="end"/>
          </w:r>
        </w:p>
        <w:p w14:paraId="5979D762" w14:textId="057C2486" w:rsidR="00D967B8" w:rsidRPr="006E4BE1" w:rsidRDefault="00D967B8">
          <w:pPr>
            <w:pStyle w:val="TOC4"/>
            <w:rPr>
              <w:rFonts w:eastAsiaTheme="minorEastAsia" w:cstheme="minorBidi"/>
              <w:noProof/>
              <w:sz w:val="22"/>
              <w:szCs w:val="22"/>
              <w:lang w:val="es-ES_tradnl" w:eastAsia="zh-CN"/>
            </w:rPr>
          </w:pPr>
          <w:r w:rsidRPr="006E4BE1">
            <w:rPr>
              <w:noProof/>
              <w:lang w:val="es-ES_tradnl"/>
            </w:rPr>
            <w:t>APÉNDICE II</w:t>
          </w:r>
          <w:r w:rsidRPr="006E4BE1">
            <w:rPr>
              <w:rFonts w:eastAsiaTheme="minorEastAsia" w:cstheme="minorBidi"/>
              <w:noProof/>
              <w:sz w:val="22"/>
              <w:szCs w:val="22"/>
              <w:lang w:val="es-ES_tradnl" w:eastAsia="zh-CN"/>
            </w:rPr>
            <w:tab/>
          </w:r>
          <w:r w:rsidRPr="006E4BE1">
            <w:rPr>
              <w:noProof/>
              <w:lang w:val="es-ES_tradnl"/>
            </w:rPr>
            <w:t>Contribuciones de los miembros al 31 de marzo de 2021</w:t>
          </w:r>
          <w:r w:rsidRPr="006E4BE1">
            <w:rPr>
              <w:noProof/>
              <w:lang w:val="es-ES_tradnl"/>
            </w:rPr>
            <w:tab/>
          </w:r>
          <w:r w:rsidRPr="006E4BE1">
            <w:rPr>
              <w:noProof/>
              <w:lang w:val="es-ES_tradnl"/>
            </w:rPr>
            <w:fldChar w:fldCharType="begin"/>
          </w:r>
          <w:r w:rsidRPr="006E4BE1">
            <w:rPr>
              <w:noProof/>
              <w:lang w:val="es-ES_tradnl"/>
            </w:rPr>
            <w:instrText xml:space="preserve"> PAGEREF _Toc78476742 \h </w:instrText>
          </w:r>
          <w:r w:rsidRPr="006E4BE1">
            <w:rPr>
              <w:noProof/>
              <w:lang w:val="es-ES_tradnl"/>
            </w:rPr>
          </w:r>
          <w:r w:rsidRPr="006E4BE1">
            <w:rPr>
              <w:noProof/>
              <w:lang w:val="es-ES_tradnl"/>
            </w:rPr>
            <w:fldChar w:fldCharType="separate"/>
          </w:r>
          <w:r w:rsidR="006161F4">
            <w:rPr>
              <w:noProof/>
              <w:lang w:val="es-ES_tradnl"/>
            </w:rPr>
            <w:t>35</w:t>
          </w:r>
          <w:r w:rsidRPr="006E4BE1">
            <w:rPr>
              <w:noProof/>
              <w:lang w:val="es-ES_tradnl"/>
            </w:rPr>
            <w:fldChar w:fldCharType="end"/>
          </w:r>
        </w:p>
        <w:p w14:paraId="3248AF62" w14:textId="24DFFA65" w:rsidR="00D967B8" w:rsidRPr="006E4BE1" w:rsidRDefault="00D967B8">
          <w:pPr>
            <w:pStyle w:val="TOC4"/>
            <w:rPr>
              <w:rFonts w:eastAsiaTheme="minorEastAsia" w:cstheme="minorBidi"/>
              <w:noProof/>
              <w:sz w:val="22"/>
              <w:szCs w:val="22"/>
              <w:lang w:val="es-ES_tradnl" w:eastAsia="zh-CN"/>
            </w:rPr>
          </w:pPr>
          <w:r w:rsidRPr="006E4BE1">
            <w:rPr>
              <w:noProof/>
              <w:lang w:val="es-ES_tradnl"/>
            </w:rPr>
            <w:t>APÉNDICE III</w:t>
          </w:r>
          <w:r w:rsidRPr="006E4BE1">
            <w:rPr>
              <w:rFonts w:eastAsiaTheme="minorEastAsia" w:cstheme="minorBidi"/>
              <w:noProof/>
              <w:sz w:val="22"/>
              <w:szCs w:val="22"/>
              <w:lang w:val="es-ES_tradnl" w:eastAsia="zh-CN"/>
            </w:rPr>
            <w:tab/>
          </w:r>
          <w:r w:rsidRPr="006E4BE1">
            <w:rPr>
              <w:noProof/>
              <w:lang w:val="es-ES_tradnl"/>
            </w:rPr>
            <w:t>Definición de las fuentes de ingresos y categorías de gasto</w:t>
          </w:r>
          <w:r w:rsidRPr="006E4BE1">
            <w:rPr>
              <w:noProof/>
              <w:lang w:val="es-ES_tradnl"/>
            </w:rPr>
            <w:tab/>
          </w:r>
          <w:r w:rsidRPr="006E4BE1">
            <w:rPr>
              <w:noProof/>
              <w:lang w:val="es-ES_tradnl"/>
            </w:rPr>
            <w:fldChar w:fldCharType="begin"/>
          </w:r>
          <w:r w:rsidRPr="006E4BE1">
            <w:rPr>
              <w:noProof/>
              <w:lang w:val="es-ES_tradnl"/>
            </w:rPr>
            <w:instrText xml:space="preserve"> PAGEREF _Toc78476743 \h </w:instrText>
          </w:r>
          <w:r w:rsidRPr="006E4BE1">
            <w:rPr>
              <w:noProof/>
              <w:lang w:val="es-ES_tradnl"/>
            </w:rPr>
          </w:r>
          <w:r w:rsidRPr="006E4BE1">
            <w:rPr>
              <w:noProof/>
              <w:lang w:val="es-ES_tradnl"/>
            </w:rPr>
            <w:fldChar w:fldCharType="separate"/>
          </w:r>
          <w:r w:rsidR="006161F4">
            <w:rPr>
              <w:noProof/>
              <w:lang w:val="es-ES_tradnl"/>
            </w:rPr>
            <w:t>37</w:t>
          </w:r>
          <w:r w:rsidRPr="006E4BE1">
            <w:rPr>
              <w:noProof/>
              <w:lang w:val="es-ES_tradnl"/>
            </w:rPr>
            <w:fldChar w:fldCharType="end"/>
          </w:r>
        </w:p>
        <w:p w14:paraId="4B094407" w14:textId="65265824" w:rsidR="001240C5" w:rsidRPr="006E4BE1" w:rsidRDefault="003F5113" w:rsidP="003474B0">
          <w:pPr>
            <w:pStyle w:val="TOC4"/>
            <w:rPr>
              <w:lang w:val="es-ES_tradnl"/>
            </w:rPr>
          </w:pPr>
          <w:r w:rsidRPr="006E4BE1">
            <w:rPr>
              <w:bCs/>
              <w:lang w:val="es-ES_tradnl"/>
            </w:rPr>
            <w:fldChar w:fldCharType="end"/>
          </w:r>
        </w:p>
      </w:sdtContent>
    </w:sdt>
    <w:p w14:paraId="7DA6A92F" w14:textId="3383B4CB" w:rsidR="001240C5" w:rsidRPr="00CA64DC" w:rsidRDefault="001240C5" w:rsidP="00CA64DC">
      <w:bookmarkStart w:id="1" w:name="_Toc63091087"/>
      <w:bookmarkStart w:id="2" w:name="_Toc63091284"/>
      <w:bookmarkStart w:id="3" w:name="_Toc63091814"/>
      <w:bookmarkStart w:id="4" w:name="_Toc63177676"/>
      <w:bookmarkStart w:id="5" w:name="_Toc63177802"/>
      <w:bookmarkStart w:id="6" w:name="_Toc63178431"/>
      <w:bookmarkStart w:id="7" w:name="_Toc63182523"/>
      <w:bookmarkStart w:id="8" w:name="_Toc63091088"/>
      <w:bookmarkStart w:id="9" w:name="_Toc63091285"/>
      <w:bookmarkStart w:id="10" w:name="_Toc63091815"/>
      <w:bookmarkStart w:id="11" w:name="_Toc63177677"/>
      <w:bookmarkStart w:id="12" w:name="_Toc63177803"/>
      <w:bookmarkStart w:id="13" w:name="_Toc63178432"/>
      <w:bookmarkStart w:id="14" w:name="_Toc63182524"/>
      <w:bookmarkStart w:id="15" w:name="_Toc63177678"/>
      <w:bookmarkStart w:id="16" w:name="_Toc63177804"/>
      <w:bookmarkStart w:id="17" w:name="_Toc63178433"/>
      <w:bookmarkStart w:id="18" w:name="_Toc63182525"/>
      <w:bookmarkStart w:id="19" w:name="_Toc63177679"/>
      <w:bookmarkStart w:id="20" w:name="_Toc63177805"/>
      <w:bookmarkStart w:id="21" w:name="_Toc63178434"/>
      <w:bookmarkStart w:id="22" w:name="_Toc63182526"/>
      <w:bookmarkStart w:id="23" w:name="_Toc63177680"/>
      <w:bookmarkStart w:id="24" w:name="_Toc63177806"/>
      <w:bookmarkStart w:id="25" w:name="_Toc63178435"/>
      <w:bookmarkStart w:id="26" w:name="_Toc63182527"/>
      <w:bookmarkStart w:id="27" w:name="_Toc63177681"/>
      <w:bookmarkStart w:id="28" w:name="_Toc63177807"/>
      <w:bookmarkStart w:id="29" w:name="_Toc63178436"/>
      <w:bookmarkStart w:id="30" w:name="_Toc63182528"/>
      <w:bookmarkStart w:id="31" w:name="_Toc63177682"/>
      <w:bookmarkStart w:id="32" w:name="_Toc63177808"/>
      <w:bookmarkStart w:id="33" w:name="_Toc63178437"/>
      <w:bookmarkStart w:id="34" w:name="_Toc63182529"/>
      <w:bookmarkStart w:id="35" w:name="_Toc63177683"/>
      <w:bookmarkStart w:id="36" w:name="_Toc63177809"/>
      <w:bookmarkStart w:id="37" w:name="_Toc63178438"/>
      <w:bookmarkStart w:id="38" w:name="_Toc63182530"/>
      <w:bookmarkStart w:id="39" w:name="_Toc63177684"/>
      <w:bookmarkStart w:id="40" w:name="_Toc63177810"/>
      <w:bookmarkStart w:id="41" w:name="_Toc63178439"/>
      <w:bookmarkStart w:id="42" w:name="_Toc63182531"/>
      <w:bookmarkStart w:id="43" w:name="_Toc63177685"/>
      <w:bookmarkStart w:id="44" w:name="_Toc63177811"/>
      <w:bookmarkStart w:id="45" w:name="_Toc63178440"/>
      <w:bookmarkStart w:id="46" w:name="_Toc63182532"/>
      <w:bookmarkStart w:id="47" w:name="_Toc63177686"/>
      <w:bookmarkStart w:id="48" w:name="_Toc63177812"/>
      <w:bookmarkStart w:id="49" w:name="_Toc63178441"/>
      <w:bookmarkStart w:id="50" w:name="_Toc63182533"/>
      <w:bookmarkStart w:id="51" w:name="_Toc63177687"/>
      <w:bookmarkStart w:id="52" w:name="_Toc63177813"/>
      <w:bookmarkStart w:id="53" w:name="_Toc63178442"/>
      <w:bookmarkStart w:id="54" w:name="_Toc63182534"/>
      <w:bookmarkStart w:id="55" w:name="_Toc63177688"/>
      <w:bookmarkStart w:id="56" w:name="_Toc63177814"/>
      <w:bookmarkStart w:id="57" w:name="_Toc63178443"/>
      <w:bookmarkStart w:id="58" w:name="_Toc63182535"/>
      <w:bookmarkStart w:id="59" w:name="_Toc63177689"/>
      <w:bookmarkStart w:id="60" w:name="_Toc63177815"/>
      <w:bookmarkStart w:id="61" w:name="_Toc63178444"/>
      <w:bookmarkStart w:id="62" w:name="_Toc63182536"/>
      <w:bookmarkStart w:id="63" w:name="_Toc63177690"/>
      <w:bookmarkStart w:id="64" w:name="_Toc63177816"/>
      <w:bookmarkStart w:id="65" w:name="_Toc63178445"/>
      <w:bookmarkStart w:id="66" w:name="_Toc63182537"/>
      <w:bookmarkStart w:id="67" w:name="_Toc63177691"/>
      <w:bookmarkStart w:id="68" w:name="_Toc63177817"/>
      <w:bookmarkStart w:id="69" w:name="_Toc63178446"/>
      <w:bookmarkStart w:id="70" w:name="_Toc63182538"/>
      <w:bookmarkStart w:id="71" w:name="_Toc63177692"/>
      <w:bookmarkStart w:id="72" w:name="_Toc63177818"/>
      <w:bookmarkStart w:id="73" w:name="_Toc63178447"/>
      <w:bookmarkStart w:id="74" w:name="_Toc63182539"/>
      <w:bookmarkStart w:id="75" w:name="_Toc63177693"/>
      <w:bookmarkStart w:id="76" w:name="_Toc63177819"/>
      <w:bookmarkStart w:id="77" w:name="_Toc63178448"/>
      <w:bookmarkStart w:id="78" w:name="_Toc63182540"/>
      <w:bookmarkStart w:id="79" w:name="_Toc63177694"/>
      <w:bookmarkStart w:id="80" w:name="_Toc63177820"/>
      <w:bookmarkStart w:id="81" w:name="_Toc63178449"/>
      <w:bookmarkStart w:id="82" w:name="_Toc63182541"/>
      <w:bookmarkStart w:id="83" w:name="_Toc63177695"/>
      <w:bookmarkStart w:id="84" w:name="_Toc63177821"/>
      <w:bookmarkStart w:id="85" w:name="_Toc63178450"/>
      <w:bookmarkStart w:id="86" w:name="_Toc63182542"/>
      <w:bookmarkStart w:id="87" w:name="_Toc63177696"/>
      <w:bookmarkStart w:id="88" w:name="_Toc63177822"/>
      <w:bookmarkStart w:id="89" w:name="_Toc63178451"/>
      <w:bookmarkStart w:id="90" w:name="_Toc63182543"/>
      <w:bookmarkStart w:id="91" w:name="_Toc63177697"/>
      <w:bookmarkStart w:id="92" w:name="_Toc63177823"/>
      <w:bookmarkStart w:id="93" w:name="_Toc63178452"/>
      <w:bookmarkStart w:id="94" w:name="_Toc63182544"/>
      <w:bookmarkStart w:id="95" w:name="_Toc63177698"/>
      <w:bookmarkStart w:id="96" w:name="_Toc63177824"/>
      <w:bookmarkStart w:id="97" w:name="_Toc63178453"/>
      <w:bookmarkStart w:id="98" w:name="_Toc63182545"/>
      <w:bookmarkStart w:id="99" w:name="_Toc63177699"/>
      <w:bookmarkStart w:id="100" w:name="_Toc63177825"/>
      <w:bookmarkStart w:id="101" w:name="_Toc63178454"/>
      <w:bookmarkStart w:id="102" w:name="_Toc63182546"/>
      <w:bookmarkStart w:id="103" w:name="_Toc63177700"/>
      <w:bookmarkStart w:id="104" w:name="_Toc63177826"/>
      <w:bookmarkStart w:id="105" w:name="_Toc63178455"/>
      <w:bookmarkStart w:id="106" w:name="_Toc63182547"/>
      <w:bookmarkStart w:id="107" w:name="_Toc63177701"/>
      <w:bookmarkStart w:id="108" w:name="_Toc63177827"/>
      <w:bookmarkStart w:id="109" w:name="_Toc63178456"/>
      <w:bookmarkStart w:id="110" w:name="_Toc63182548"/>
      <w:bookmarkStart w:id="111" w:name="_Toc63177702"/>
      <w:bookmarkStart w:id="112" w:name="_Toc63177828"/>
      <w:bookmarkStart w:id="113" w:name="_Toc63178457"/>
      <w:bookmarkStart w:id="114" w:name="_Toc63182549"/>
      <w:bookmarkStart w:id="115" w:name="_Toc63177703"/>
      <w:bookmarkStart w:id="116" w:name="_Toc63177829"/>
      <w:bookmarkStart w:id="117" w:name="_Toc63178458"/>
      <w:bookmarkStart w:id="118" w:name="_Toc63182550"/>
      <w:bookmarkStart w:id="119" w:name="_Toc63177704"/>
      <w:bookmarkStart w:id="120" w:name="_Toc63177830"/>
      <w:bookmarkStart w:id="121" w:name="_Toc63178459"/>
      <w:bookmarkStart w:id="122" w:name="_Toc63182551"/>
      <w:bookmarkStart w:id="123" w:name="_Toc63177705"/>
      <w:bookmarkStart w:id="124" w:name="_Toc63177831"/>
      <w:bookmarkStart w:id="125" w:name="_Toc63178460"/>
      <w:bookmarkStart w:id="126" w:name="_Toc63182552"/>
      <w:bookmarkStart w:id="127" w:name="_Toc63177706"/>
      <w:bookmarkStart w:id="128" w:name="_Toc63177832"/>
      <w:bookmarkStart w:id="129" w:name="_Toc63178461"/>
      <w:bookmarkStart w:id="130" w:name="_Toc63182553"/>
      <w:bookmarkStart w:id="131" w:name="_Toc63177707"/>
      <w:bookmarkStart w:id="132" w:name="_Toc63177833"/>
      <w:bookmarkStart w:id="133" w:name="_Toc63178462"/>
      <w:bookmarkStart w:id="134" w:name="_Toc63182554"/>
      <w:bookmarkStart w:id="135" w:name="_Toc63177708"/>
      <w:bookmarkStart w:id="136" w:name="_Toc63177834"/>
      <w:bookmarkStart w:id="137" w:name="_Toc63178463"/>
      <w:bookmarkStart w:id="138" w:name="_Toc63182555"/>
      <w:bookmarkStart w:id="139" w:name="_Toc63177709"/>
      <w:bookmarkStart w:id="140" w:name="_Toc63177835"/>
      <w:bookmarkStart w:id="141" w:name="_Toc63178464"/>
      <w:bookmarkStart w:id="142" w:name="_Toc63182556"/>
      <w:bookmarkStart w:id="143" w:name="_Toc63177710"/>
      <w:bookmarkStart w:id="144" w:name="_Toc63177836"/>
      <w:bookmarkStart w:id="145" w:name="_Toc63178465"/>
      <w:bookmarkStart w:id="146" w:name="_Toc63182557"/>
      <w:bookmarkStart w:id="147" w:name="_Toc63177711"/>
      <w:bookmarkStart w:id="148" w:name="_Toc63177837"/>
      <w:bookmarkStart w:id="149" w:name="_Toc63178466"/>
      <w:bookmarkStart w:id="150" w:name="_Toc63182558"/>
      <w:bookmarkStart w:id="151" w:name="_Toc63177712"/>
      <w:bookmarkStart w:id="152" w:name="_Toc63177838"/>
      <w:bookmarkStart w:id="153" w:name="_Toc63178467"/>
      <w:bookmarkStart w:id="154" w:name="_Toc63182559"/>
      <w:bookmarkStart w:id="155" w:name="_Toc63177713"/>
      <w:bookmarkStart w:id="156" w:name="_Toc63177839"/>
      <w:bookmarkStart w:id="157" w:name="_Toc63178468"/>
      <w:bookmarkStart w:id="158" w:name="_Toc63182560"/>
      <w:bookmarkStart w:id="159" w:name="_Toc63177714"/>
      <w:bookmarkStart w:id="160" w:name="_Toc63177840"/>
      <w:bookmarkStart w:id="161" w:name="_Toc63178469"/>
      <w:bookmarkStart w:id="162" w:name="_Toc63182561"/>
      <w:bookmarkStart w:id="163" w:name="_Toc63177715"/>
      <w:bookmarkStart w:id="164" w:name="_Toc63177841"/>
      <w:bookmarkStart w:id="165" w:name="_Toc63178470"/>
      <w:bookmarkStart w:id="166" w:name="_Toc63182562"/>
      <w:bookmarkStart w:id="167" w:name="_Toc63177716"/>
      <w:bookmarkStart w:id="168" w:name="_Toc63177842"/>
      <w:bookmarkStart w:id="169" w:name="_Toc63178471"/>
      <w:bookmarkStart w:id="170" w:name="_Toc63182563"/>
      <w:bookmarkStart w:id="171" w:name="_Toc63177717"/>
      <w:bookmarkStart w:id="172" w:name="_Toc63177843"/>
      <w:bookmarkStart w:id="173" w:name="_Toc63178472"/>
      <w:bookmarkStart w:id="174" w:name="_Toc63182564"/>
      <w:bookmarkStart w:id="175" w:name="_Toc63177718"/>
      <w:bookmarkStart w:id="176" w:name="_Toc63177844"/>
      <w:bookmarkStart w:id="177" w:name="_Toc63178473"/>
      <w:bookmarkStart w:id="178" w:name="_Toc63182565"/>
      <w:bookmarkStart w:id="179" w:name="_Toc63177719"/>
      <w:bookmarkStart w:id="180" w:name="_Toc63177845"/>
      <w:bookmarkStart w:id="181" w:name="_Toc63178474"/>
      <w:bookmarkStart w:id="182" w:name="_Toc63182566"/>
      <w:bookmarkStart w:id="183" w:name="_Toc63177720"/>
      <w:bookmarkStart w:id="184" w:name="_Toc63177846"/>
      <w:bookmarkStart w:id="185" w:name="_Toc63178475"/>
      <w:bookmarkStart w:id="186" w:name="_Toc63182567"/>
      <w:bookmarkStart w:id="187" w:name="_Toc63177721"/>
      <w:bookmarkStart w:id="188" w:name="_Toc63177847"/>
      <w:bookmarkStart w:id="189" w:name="_Toc63178476"/>
      <w:bookmarkStart w:id="190" w:name="_Toc63182568"/>
      <w:bookmarkStart w:id="191" w:name="_Toc63177722"/>
      <w:bookmarkStart w:id="192" w:name="_Toc63177848"/>
      <w:bookmarkStart w:id="193" w:name="_Toc63178477"/>
      <w:bookmarkStart w:id="194" w:name="_Toc63182569"/>
      <w:bookmarkStart w:id="195" w:name="_Toc63177723"/>
      <w:bookmarkStart w:id="196" w:name="_Toc63177849"/>
      <w:bookmarkStart w:id="197" w:name="_Toc63178478"/>
      <w:bookmarkStart w:id="198" w:name="_Toc63182570"/>
      <w:bookmarkStart w:id="199" w:name="_Toc63177724"/>
      <w:bookmarkStart w:id="200" w:name="_Toc63177850"/>
      <w:bookmarkStart w:id="201" w:name="_Toc63178479"/>
      <w:bookmarkStart w:id="202" w:name="_Toc63182571"/>
      <w:bookmarkStart w:id="203" w:name="_Toc63177725"/>
      <w:bookmarkStart w:id="204" w:name="_Toc63177851"/>
      <w:bookmarkStart w:id="205" w:name="_Toc63178480"/>
      <w:bookmarkStart w:id="206" w:name="_Toc63182572"/>
      <w:bookmarkStart w:id="207" w:name="_Toc63177726"/>
      <w:bookmarkStart w:id="208" w:name="_Toc63177852"/>
      <w:bookmarkStart w:id="209" w:name="_Toc63178481"/>
      <w:bookmarkStart w:id="210" w:name="_Toc63182573"/>
      <w:bookmarkStart w:id="211" w:name="_Toc63177727"/>
      <w:bookmarkStart w:id="212" w:name="_Toc63177853"/>
      <w:bookmarkStart w:id="213" w:name="_Toc63178482"/>
      <w:bookmarkStart w:id="214" w:name="_Toc63182574"/>
      <w:bookmarkStart w:id="215" w:name="_Toc63177728"/>
      <w:bookmarkStart w:id="216" w:name="_Toc63177854"/>
      <w:bookmarkStart w:id="217" w:name="_Toc63178483"/>
      <w:bookmarkStart w:id="218" w:name="_Toc63182575"/>
      <w:bookmarkStart w:id="219" w:name="_Toc63177729"/>
      <w:bookmarkStart w:id="220" w:name="_Toc63177855"/>
      <w:bookmarkStart w:id="221" w:name="_Toc63178484"/>
      <w:bookmarkStart w:id="222" w:name="_Toc63182576"/>
      <w:bookmarkStart w:id="223" w:name="_Toc63177730"/>
      <w:bookmarkStart w:id="224" w:name="_Toc63177856"/>
      <w:bookmarkStart w:id="225" w:name="_Toc63178485"/>
      <w:bookmarkStart w:id="226" w:name="_Toc63182577"/>
      <w:bookmarkStart w:id="227" w:name="_Toc63177731"/>
      <w:bookmarkStart w:id="228" w:name="_Toc63177857"/>
      <w:bookmarkStart w:id="229" w:name="_Toc63178486"/>
      <w:bookmarkStart w:id="230" w:name="_Toc63182578"/>
      <w:bookmarkStart w:id="231" w:name="_Toc63177732"/>
      <w:bookmarkStart w:id="232" w:name="_Toc63177858"/>
      <w:bookmarkStart w:id="233" w:name="_Toc63178487"/>
      <w:bookmarkStart w:id="234" w:name="_Toc63182579"/>
      <w:bookmarkStart w:id="235" w:name="_Toc63177733"/>
      <w:bookmarkStart w:id="236" w:name="_Toc63177859"/>
      <w:bookmarkStart w:id="237" w:name="_Toc63178488"/>
      <w:bookmarkStart w:id="238" w:name="_Toc63182580"/>
      <w:bookmarkStart w:id="239" w:name="_Toc63177734"/>
      <w:bookmarkStart w:id="240" w:name="_Toc63177860"/>
      <w:bookmarkStart w:id="241" w:name="_Toc63178489"/>
      <w:bookmarkStart w:id="242" w:name="_Toc63182581"/>
      <w:bookmarkStart w:id="243" w:name="_Toc63177735"/>
      <w:bookmarkStart w:id="244" w:name="_Toc63177861"/>
      <w:bookmarkStart w:id="245" w:name="_Toc63178490"/>
      <w:bookmarkStart w:id="246" w:name="_Toc63182582"/>
      <w:bookmarkStart w:id="247" w:name="_Toc63177736"/>
      <w:bookmarkStart w:id="248" w:name="_Toc63177862"/>
      <w:bookmarkStart w:id="249" w:name="_Toc63178491"/>
      <w:bookmarkStart w:id="250" w:name="_Toc63182583"/>
      <w:bookmarkStart w:id="251" w:name="_Toc63177737"/>
      <w:bookmarkStart w:id="252" w:name="_Toc63177863"/>
      <w:bookmarkStart w:id="253" w:name="_Toc63178492"/>
      <w:bookmarkStart w:id="254" w:name="_Toc63182584"/>
      <w:bookmarkStart w:id="255" w:name="_Toc63177738"/>
      <w:bookmarkStart w:id="256" w:name="_Toc63177864"/>
      <w:bookmarkStart w:id="257" w:name="_Toc63178493"/>
      <w:bookmarkStart w:id="258" w:name="_Toc63182585"/>
      <w:bookmarkStart w:id="259" w:name="_Toc63177739"/>
      <w:bookmarkStart w:id="260" w:name="_Toc63177865"/>
      <w:bookmarkStart w:id="261" w:name="_Toc63178494"/>
      <w:bookmarkStart w:id="262" w:name="_Toc63182586"/>
      <w:bookmarkStart w:id="263" w:name="_Toc63177740"/>
      <w:bookmarkStart w:id="264" w:name="_Toc63177866"/>
      <w:bookmarkStart w:id="265" w:name="_Toc63178495"/>
      <w:bookmarkStart w:id="266" w:name="_Toc63182587"/>
      <w:bookmarkStart w:id="267" w:name="_Toc63177741"/>
      <w:bookmarkStart w:id="268" w:name="_Toc63177867"/>
      <w:bookmarkStart w:id="269" w:name="_Toc63178496"/>
      <w:bookmarkStart w:id="270" w:name="_Toc63182588"/>
      <w:bookmarkStart w:id="271" w:name="_Toc63177742"/>
      <w:bookmarkStart w:id="272" w:name="_Toc63177868"/>
      <w:bookmarkStart w:id="273" w:name="_Toc63178497"/>
      <w:bookmarkStart w:id="274" w:name="_Toc63182589"/>
      <w:bookmarkStart w:id="275" w:name="_Toc63177743"/>
      <w:bookmarkStart w:id="276" w:name="_Toc63177869"/>
      <w:bookmarkStart w:id="277" w:name="_Toc63178498"/>
      <w:bookmarkStart w:id="278" w:name="_Toc63182590"/>
      <w:bookmarkStart w:id="279" w:name="_Toc63177744"/>
      <w:bookmarkStart w:id="280" w:name="_Toc63177870"/>
      <w:bookmarkStart w:id="281" w:name="_Toc63178499"/>
      <w:bookmarkStart w:id="282" w:name="_Toc63182591"/>
      <w:bookmarkStart w:id="283" w:name="_Toc63177745"/>
      <w:bookmarkStart w:id="284" w:name="_Toc63177871"/>
      <w:bookmarkStart w:id="285" w:name="_Toc63178500"/>
      <w:bookmarkStart w:id="286" w:name="_Toc63182592"/>
      <w:bookmarkStart w:id="287" w:name="_Toc63177746"/>
      <w:bookmarkStart w:id="288" w:name="_Toc63177872"/>
      <w:bookmarkStart w:id="289" w:name="_Toc63178501"/>
      <w:bookmarkStart w:id="290" w:name="_Toc63182593"/>
      <w:bookmarkStart w:id="291" w:name="_Toc63177747"/>
      <w:bookmarkStart w:id="292" w:name="_Toc63177873"/>
      <w:bookmarkStart w:id="293" w:name="_Toc63178502"/>
      <w:bookmarkStart w:id="294" w:name="_Toc63182594"/>
      <w:bookmarkStart w:id="295" w:name="_Toc63177748"/>
      <w:bookmarkStart w:id="296" w:name="_Toc63177874"/>
      <w:bookmarkStart w:id="297" w:name="_Toc63178503"/>
      <w:bookmarkStart w:id="298" w:name="_Toc63182595"/>
      <w:bookmarkStart w:id="299" w:name="_Toc63177749"/>
      <w:bookmarkStart w:id="300" w:name="_Toc63177875"/>
      <w:bookmarkStart w:id="301" w:name="_Toc63178504"/>
      <w:bookmarkStart w:id="302" w:name="_Toc63182596"/>
      <w:bookmarkStart w:id="303" w:name="_Toc63177750"/>
      <w:bookmarkStart w:id="304" w:name="_Toc63177876"/>
      <w:bookmarkStart w:id="305" w:name="_Toc63178505"/>
      <w:bookmarkStart w:id="306" w:name="_Toc63182597"/>
      <w:bookmarkStart w:id="307" w:name="_Toc63177751"/>
      <w:bookmarkStart w:id="308" w:name="_Toc63177877"/>
      <w:bookmarkStart w:id="309" w:name="_Toc63178506"/>
      <w:bookmarkStart w:id="310" w:name="_Toc63182598"/>
      <w:bookmarkStart w:id="311" w:name="_Toc63177752"/>
      <w:bookmarkStart w:id="312" w:name="_Toc63177878"/>
      <w:bookmarkStart w:id="313" w:name="_Toc63178507"/>
      <w:bookmarkStart w:id="314" w:name="_Toc63182599"/>
      <w:bookmarkStart w:id="315" w:name="_Toc63177753"/>
      <w:bookmarkStart w:id="316" w:name="_Toc63177879"/>
      <w:bookmarkStart w:id="317" w:name="_Toc63178508"/>
      <w:bookmarkStart w:id="318" w:name="_Toc63182600"/>
      <w:bookmarkStart w:id="319" w:name="_Toc63177754"/>
      <w:bookmarkStart w:id="320" w:name="_Toc63177880"/>
      <w:bookmarkStart w:id="321" w:name="_Toc63178509"/>
      <w:bookmarkStart w:id="322" w:name="_Toc63182601"/>
      <w:bookmarkStart w:id="323" w:name="_Toc63177755"/>
      <w:bookmarkStart w:id="324" w:name="_Toc63177881"/>
      <w:bookmarkStart w:id="325" w:name="_Toc63178510"/>
      <w:bookmarkStart w:id="326" w:name="_Toc63182602"/>
      <w:bookmarkStart w:id="327" w:name="_Toc63177756"/>
      <w:bookmarkStart w:id="328" w:name="_Toc63177882"/>
      <w:bookmarkStart w:id="329" w:name="_Toc63178511"/>
      <w:bookmarkStart w:id="330" w:name="_Toc63182603"/>
      <w:bookmarkStart w:id="331" w:name="_Toc63177757"/>
      <w:bookmarkStart w:id="332" w:name="_Toc63177883"/>
      <w:bookmarkStart w:id="333" w:name="_Toc63178512"/>
      <w:bookmarkStart w:id="334" w:name="_Toc63182604"/>
      <w:bookmarkStart w:id="335" w:name="_Toc63177758"/>
      <w:bookmarkStart w:id="336" w:name="_Toc63177884"/>
      <w:bookmarkStart w:id="337" w:name="_Toc63178513"/>
      <w:bookmarkStart w:id="338" w:name="_Toc63182605"/>
      <w:bookmarkStart w:id="339" w:name="_Toc63177759"/>
      <w:bookmarkStart w:id="340" w:name="_Toc63177885"/>
      <w:bookmarkStart w:id="341" w:name="_Toc63178514"/>
      <w:bookmarkStart w:id="342" w:name="_Toc63182606"/>
      <w:bookmarkStart w:id="343" w:name="_Toc63177760"/>
      <w:bookmarkStart w:id="344" w:name="_Toc63177886"/>
      <w:bookmarkStart w:id="345" w:name="_Toc63178515"/>
      <w:bookmarkStart w:id="346" w:name="_Toc63182607"/>
      <w:bookmarkStart w:id="347" w:name="_Toc63177761"/>
      <w:bookmarkStart w:id="348" w:name="_Toc63177887"/>
      <w:bookmarkStart w:id="349" w:name="_Toc63178516"/>
      <w:bookmarkStart w:id="350" w:name="_Toc63182608"/>
      <w:bookmarkStart w:id="351" w:name="_Toc63177762"/>
      <w:bookmarkStart w:id="352" w:name="_Toc63177888"/>
      <w:bookmarkStart w:id="353" w:name="_Toc63178517"/>
      <w:bookmarkStart w:id="354" w:name="_Toc63182609"/>
      <w:bookmarkStart w:id="355" w:name="_Toc63177763"/>
      <w:bookmarkStart w:id="356" w:name="_Toc63177889"/>
      <w:bookmarkStart w:id="357" w:name="_Toc63178518"/>
      <w:bookmarkStart w:id="358" w:name="_Toc63182610"/>
      <w:bookmarkStart w:id="359" w:name="_Toc63177764"/>
      <w:bookmarkStart w:id="360" w:name="_Toc63177890"/>
      <w:bookmarkStart w:id="361" w:name="_Toc63178519"/>
      <w:bookmarkStart w:id="362" w:name="_Toc63182611"/>
      <w:bookmarkStart w:id="363" w:name="_Toc63177765"/>
      <w:bookmarkStart w:id="364" w:name="_Toc63177891"/>
      <w:bookmarkStart w:id="365" w:name="_Toc63178520"/>
      <w:bookmarkStart w:id="366" w:name="_Toc63182612"/>
      <w:bookmarkStart w:id="367" w:name="_Toc63177766"/>
      <w:bookmarkStart w:id="368" w:name="_Toc63177892"/>
      <w:bookmarkStart w:id="369" w:name="_Toc63178521"/>
      <w:bookmarkStart w:id="370" w:name="_Toc63182613"/>
      <w:bookmarkStart w:id="371" w:name="_Toc63177767"/>
      <w:bookmarkStart w:id="372" w:name="_Toc63177893"/>
      <w:bookmarkStart w:id="373" w:name="_Toc63178522"/>
      <w:bookmarkStart w:id="374" w:name="_Toc63182614"/>
      <w:bookmarkStart w:id="375" w:name="_Toc63177768"/>
      <w:bookmarkStart w:id="376" w:name="_Toc63177894"/>
      <w:bookmarkStart w:id="377" w:name="_Toc63178523"/>
      <w:bookmarkStart w:id="378" w:name="_Toc63182615"/>
      <w:bookmarkStart w:id="379" w:name="_Toc63177769"/>
      <w:bookmarkStart w:id="380" w:name="_Toc63177895"/>
      <w:bookmarkStart w:id="381" w:name="_Toc63178524"/>
      <w:bookmarkStart w:id="382" w:name="_Toc63182616"/>
      <w:bookmarkStart w:id="383" w:name="_Toc63177770"/>
      <w:bookmarkStart w:id="384" w:name="_Toc63177896"/>
      <w:bookmarkStart w:id="385" w:name="_Toc63178525"/>
      <w:bookmarkStart w:id="386" w:name="_Toc63182617"/>
      <w:bookmarkStart w:id="387" w:name="_Toc63177771"/>
      <w:bookmarkStart w:id="388" w:name="_Toc63177897"/>
      <w:bookmarkStart w:id="389" w:name="_Toc63178526"/>
      <w:bookmarkStart w:id="390" w:name="_Toc63182618"/>
      <w:bookmarkStart w:id="391" w:name="_Toc63177772"/>
      <w:bookmarkStart w:id="392" w:name="_Toc63177898"/>
      <w:bookmarkStart w:id="393" w:name="_Toc63178527"/>
      <w:bookmarkStart w:id="394" w:name="_Toc63182619"/>
      <w:bookmarkStart w:id="395" w:name="_Toc63177773"/>
      <w:bookmarkStart w:id="396" w:name="_Toc63177899"/>
      <w:bookmarkStart w:id="397" w:name="_Toc63178528"/>
      <w:bookmarkStart w:id="398" w:name="_Toc63182620"/>
      <w:bookmarkStart w:id="399" w:name="_Toc63177774"/>
      <w:bookmarkStart w:id="400" w:name="_Toc63177900"/>
      <w:bookmarkStart w:id="401" w:name="_Toc63178529"/>
      <w:bookmarkStart w:id="402" w:name="_Toc63182621"/>
      <w:bookmarkStart w:id="403" w:name="_Toc63177775"/>
      <w:bookmarkStart w:id="404" w:name="_Toc63177901"/>
      <w:bookmarkStart w:id="405" w:name="_Toc63178530"/>
      <w:bookmarkStart w:id="406" w:name="_Toc63182622"/>
      <w:bookmarkStart w:id="407" w:name="_Toc63177776"/>
      <w:bookmarkStart w:id="408" w:name="_Toc63177902"/>
      <w:bookmarkStart w:id="409" w:name="_Toc63178531"/>
      <w:bookmarkStart w:id="410" w:name="_Toc63182623"/>
      <w:bookmarkStart w:id="411" w:name="_Toc63177777"/>
      <w:bookmarkStart w:id="412" w:name="_Toc63177903"/>
      <w:bookmarkStart w:id="413" w:name="_Toc63178532"/>
      <w:bookmarkStart w:id="414" w:name="_Toc63182624"/>
      <w:bookmarkStart w:id="415" w:name="_Toc63177778"/>
      <w:bookmarkStart w:id="416" w:name="_Toc63177904"/>
      <w:bookmarkStart w:id="417" w:name="_Toc63178533"/>
      <w:bookmarkStart w:id="418" w:name="_Toc6318262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32623F68" w14:textId="77777777" w:rsidR="001240C5" w:rsidRPr="006E4BE1" w:rsidRDefault="00C6506E" w:rsidP="00AE50C9">
      <w:pPr>
        <w:pStyle w:val="Heading1"/>
        <w:keepNext w:val="0"/>
        <w:rPr>
          <w:lang w:val="es-ES_tradnl"/>
        </w:rPr>
      </w:pPr>
      <w:bookmarkStart w:id="419" w:name="_Toc78476703"/>
      <w:r w:rsidRPr="006E4BE1">
        <w:rPr>
          <w:lang w:val="es-ES_tradnl"/>
        </w:rPr>
        <w:t>INTRODUCCIÓN</w:t>
      </w:r>
      <w:bookmarkEnd w:id="419"/>
    </w:p>
    <w:p w14:paraId="7E27456E" w14:textId="77777777" w:rsidR="001240C5" w:rsidRPr="006E4BE1" w:rsidRDefault="001240C5" w:rsidP="00AE50C9">
      <w:pPr>
        <w:rPr>
          <w:b/>
          <w:color w:val="26724C" w:themeColor="accent1" w:themeShade="BF"/>
          <w:lang w:val="es-ES_tradnl"/>
        </w:rPr>
      </w:pPr>
    </w:p>
    <w:p w14:paraId="59EC021B" w14:textId="77777777" w:rsidR="001240C5" w:rsidRPr="006E4BE1" w:rsidRDefault="00C6506E" w:rsidP="00AE50C9">
      <w:pPr>
        <w:pStyle w:val="Heading2"/>
        <w:keepNext w:val="0"/>
        <w:rPr>
          <w:lang w:val="es-ES_tradnl"/>
        </w:rPr>
      </w:pPr>
      <w:bookmarkStart w:id="420" w:name="_Toc78476704"/>
      <w:r w:rsidRPr="006E4BE1">
        <w:rPr>
          <w:lang w:val="es-ES_tradnl"/>
        </w:rPr>
        <w:t>Contexto general</w:t>
      </w:r>
      <w:bookmarkEnd w:id="420"/>
    </w:p>
    <w:p w14:paraId="4E19ACC2" w14:textId="77777777" w:rsidR="001240C5" w:rsidRPr="006E4BE1" w:rsidRDefault="001240C5" w:rsidP="00AE50C9">
      <w:pPr>
        <w:rPr>
          <w:lang w:val="es-ES_tradnl"/>
        </w:rPr>
      </w:pPr>
    </w:p>
    <w:p w14:paraId="4FCCD713" w14:textId="77777777" w:rsidR="001240C5" w:rsidRPr="006E4BE1" w:rsidRDefault="00C6506E" w:rsidP="00AE50C9">
      <w:pPr>
        <w:rPr>
          <w:lang w:val="es-ES_tradnl"/>
        </w:rPr>
      </w:pPr>
      <w:r w:rsidRPr="006E4BE1">
        <w:rPr>
          <w:lang w:val="es-ES_tradnl"/>
        </w:rPr>
        <w:t>La misión de la UPOV consiste en proporcionar y fomentar un sistema eficaz de protección de las obtenciones vegetales, con miras al desarrollo de nuevas variedades vegetales en beneficio de la sociedad</w:t>
      </w:r>
      <w:r w:rsidR="00FE64A1" w:rsidRPr="006E4BE1">
        <w:rPr>
          <w:lang w:val="es-ES_tradnl"/>
        </w:rPr>
        <w:t xml:space="preserve">.  </w:t>
      </w:r>
      <w:r w:rsidR="00273C97" w:rsidRPr="006E4BE1">
        <w:rPr>
          <w:lang w:val="es-ES_tradnl"/>
        </w:rPr>
        <w:t>Cada vez hay mayor conciencia de la relevancia de la misión de la UPOV y del beneficio que aporta a la sociedad en el contexto mundial</w:t>
      </w:r>
      <w:r w:rsidR="00FE64A1" w:rsidRPr="006E4BE1">
        <w:rPr>
          <w:lang w:val="es-ES_tradnl"/>
        </w:rPr>
        <w:t xml:space="preserve">.  </w:t>
      </w:r>
      <w:r w:rsidR="00273C97" w:rsidRPr="006E4BE1">
        <w:rPr>
          <w:lang w:val="es-ES_tradnl"/>
        </w:rPr>
        <w:t xml:space="preserve">Una de las preguntas frecuentes que figuran en el sitio web de la UPOV (en particular, </w:t>
      </w:r>
      <w:r w:rsidR="00775351" w:rsidRPr="006E4BE1">
        <w:rPr>
          <w:lang w:val="es-ES_tradnl"/>
        </w:rPr>
        <w:t>“</w:t>
      </w:r>
      <w:r w:rsidR="00273C97" w:rsidRPr="006E4BE1">
        <w:rPr>
          <w:lang w:val="es-ES_tradnl"/>
        </w:rPr>
        <w:t>¿Qué beneficios aportan las obtenciones vegetales a la sociedad?</w:t>
      </w:r>
      <w:r w:rsidR="00775351" w:rsidRPr="006E4BE1">
        <w:rPr>
          <w:lang w:val="es-ES_tradnl"/>
        </w:rPr>
        <w:t>”</w:t>
      </w:r>
      <w:r w:rsidR="00273C97" w:rsidRPr="006E4BE1">
        <w:rPr>
          <w:lang w:val="es-ES_tradnl"/>
        </w:rPr>
        <w:t>)</w:t>
      </w:r>
      <w:r w:rsidR="00273C97" w:rsidRPr="006E4BE1">
        <w:rPr>
          <w:rStyle w:val="FootnoteReference"/>
          <w:lang w:val="es-ES_tradnl"/>
        </w:rPr>
        <w:footnoteReference w:id="2"/>
      </w:r>
      <w:r w:rsidR="004402AE" w:rsidRPr="006E4BE1">
        <w:rPr>
          <w:lang w:val="es-ES_tradnl"/>
        </w:rPr>
        <w:t xml:space="preserve"> </w:t>
      </w:r>
      <w:r w:rsidR="00273C97" w:rsidRPr="006E4BE1">
        <w:rPr>
          <w:lang w:val="es-ES_tradnl"/>
        </w:rPr>
        <w:t>proporciona un resumen a ese respecto:</w:t>
      </w:r>
    </w:p>
    <w:p w14:paraId="0063DD55" w14:textId="77777777" w:rsidR="001240C5" w:rsidRPr="006E4BE1" w:rsidRDefault="001240C5" w:rsidP="00AE50C9">
      <w:pPr>
        <w:rPr>
          <w:lang w:val="es-ES_tradnl"/>
        </w:rPr>
      </w:pPr>
    </w:p>
    <w:p w14:paraId="230E6651" w14:textId="77777777" w:rsidR="001240C5" w:rsidRPr="006E4BE1" w:rsidRDefault="002E6F8D" w:rsidP="00AE50C9">
      <w:pPr>
        <w:ind w:left="567"/>
        <w:rPr>
          <w:i/>
          <w:sz w:val="18"/>
          <w:szCs w:val="18"/>
          <w:lang w:val="es-ES_tradnl"/>
        </w:rPr>
      </w:pPr>
      <w:r w:rsidRPr="006E4BE1">
        <w:rPr>
          <w:i/>
          <w:sz w:val="18"/>
          <w:szCs w:val="18"/>
          <w:lang w:val="es-ES_tradnl"/>
        </w:rPr>
        <w:t>Alimentar al mundo</w:t>
      </w:r>
    </w:p>
    <w:p w14:paraId="7A77E8DA" w14:textId="77777777" w:rsidR="001240C5" w:rsidRPr="006E4BE1" w:rsidRDefault="001240C5" w:rsidP="00AE50C9">
      <w:pPr>
        <w:ind w:left="567"/>
        <w:rPr>
          <w:sz w:val="18"/>
          <w:szCs w:val="18"/>
          <w:lang w:val="es-ES_tradnl"/>
        </w:rPr>
      </w:pPr>
    </w:p>
    <w:p w14:paraId="0651DAF3" w14:textId="77777777" w:rsidR="001240C5" w:rsidRPr="006E4BE1" w:rsidRDefault="002E6F8D" w:rsidP="00AE50C9">
      <w:pPr>
        <w:ind w:left="567"/>
        <w:rPr>
          <w:sz w:val="18"/>
          <w:szCs w:val="18"/>
          <w:lang w:val="es-ES_tradnl"/>
        </w:rPr>
      </w:pPr>
      <w:r w:rsidRPr="006E4BE1">
        <w:rPr>
          <w:sz w:val="18"/>
          <w:szCs w:val="18"/>
          <w:lang w:val="es-ES_tradnl"/>
        </w:rPr>
        <w:t>Las obtenciones vegetales mejoradas son un medio importante y sostenible para conseguir la seguridad alimentaria en el contexto del aumento de población y el cambio climático</w:t>
      </w:r>
      <w:r w:rsidR="00FE64A1" w:rsidRPr="006E4BE1">
        <w:rPr>
          <w:sz w:val="18"/>
          <w:szCs w:val="18"/>
          <w:lang w:val="es-ES_tradnl"/>
        </w:rPr>
        <w:t xml:space="preserve">.  </w:t>
      </w:r>
      <w:r w:rsidRPr="006E4BE1">
        <w:rPr>
          <w:sz w:val="18"/>
          <w:szCs w:val="18"/>
          <w:lang w:val="es-ES_tradnl"/>
        </w:rPr>
        <w:t>Las obtenciones vegetales adaptadas al entorno en que se cultivan implican un aumento de las opciones de alimentos saludables, sabrosos y nutritivos, al tiempo que proporcionan ingresos adecuados a los agricultores.</w:t>
      </w:r>
    </w:p>
    <w:p w14:paraId="0D494D49" w14:textId="77777777" w:rsidR="001240C5" w:rsidRPr="006E4BE1" w:rsidRDefault="001240C5" w:rsidP="00AE50C9">
      <w:pPr>
        <w:ind w:left="567"/>
        <w:rPr>
          <w:sz w:val="18"/>
          <w:szCs w:val="18"/>
          <w:lang w:val="es-ES_tradnl"/>
        </w:rPr>
      </w:pPr>
    </w:p>
    <w:p w14:paraId="73310204" w14:textId="77777777" w:rsidR="001240C5" w:rsidRPr="006E4BE1" w:rsidRDefault="002E6F8D" w:rsidP="00AE50C9">
      <w:pPr>
        <w:ind w:left="567"/>
        <w:rPr>
          <w:i/>
          <w:sz w:val="18"/>
          <w:szCs w:val="18"/>
          <w:lang w:val="es-ES_tradnl"/>
        </w:rPr>
      </w:pPr>
      <w:r w:rsidRPr="006E4BE1">
        <w:rPr>
          <w:i/>
          <w:sz w:val="18"/>
          <w:szCs w:val="18"/>
          <w:lang w:val="es-ES_tradnl"/>
        </w:rPr>
        <w:t>Mejorar la vida en las zonas rurales y urbanas y contribuir al desarrollo económico</w:t>
      </w:r>
    </w:p>
    <w:p w14:paraId="3A273BAE" w14:textId="77777777" w:rsidR="001240C5" w:rsidRPr="006E4BE1" w:rsidRDefault="001240C5" w:rsidP="00AE50C9">
      <w:pPr>
        <w:ind w:left="567"/>
        <w:rPr>
          <w:sz w:val="18"/>
          <w:szCs w:val="18"/>
          <w:lang w:val="es-ES_tradnl"/>
        </w:rPr>
      </w:pPr>
    </w:p>
    <w:p w14:paraId="61CEC6A3" w14:textId="77777777" w:rsidR="001240C5" w:rsidRPr="006E4BE1" w:rsidRDefault="002E6F8D" w:rsidP="00AE50C9">
      <w:pPr>
        <w:ind w:left="567"/>
        <w:rPr>
          <w:sz w:val="18"/>
          <w:szCs w:val="18"/>
          <w:lang w:val="es-ES_tradnl"/>
        </w:rPr>
      </w:pPr>
      <w:r w:rsidRPr="006E4BE1">
        <w:rPr>
          <w:sz w:val="18"/>
          <w:szCs w:val="18"/>
          <w:lang w:val="es-ES_tradnl"/>
        </w:rPr>
        <w:t>La innovación en agricultura y horticultura es importante para el desarrollo económico</w:t>
      </w:r>
      <w:r w:rsidR="00FE64A1" w:rsidRPr="006E4BE1">
        <w:rPr>
          <w:sz w:val="18"/>
          <w:szCs w:val="18"/>
          <w:lang w:val="es-ES_tradnl"/>
        </w:rPr>
        <w:t xml:space="preserve">.  </w:t>
      </w:r>
      <w:r w:rsidRPr="006E4BE1">
        <w:rPr>
          <w:sz w:val="18"/>
          <w:szCs w:val="18"/>
          <w:lang w:val="es-ES_tradnl"/>
        </w:rPr>
        <w:t>La producción de variedades frutales, hortícolas y ornamentales diversas y de gran calidad proporciona mayores ingresos a los agricultores y empleo a millones de personas de todo el mundo</w:t>
      </w:r>
      <w:r w:rsidR="00FE64A1" w:rsidRPr="006E4BE1">
        <w:rPr>
          <w:sz w:val="18"/>
          <w:szCs w:val="18"/>
          <w:lang w:val="es-ES_tradnl"/>
        </w:rPr>
        <w:t xml:space="preserve">.  </w:t>
      </w:r>
      <w:r w:rsidRPr="006E4BE1">
        <w:rPr>
          <w:sz w:val="18"/>
          <w:szCs w:val="18"/>
          <w:lang w:val="es-ES_tradnl"/>
        </w:rPr>
        <w:t>Las obtenciones vegetales pueden ser cruciales en el acceso de los países en desarrollo a los mercados y el comercio internacionales</w:t>
      </w:r>
      <w:r w:rsidR="00FE64A1" w:rsidRPr="006E4BE1">
        <w:rPr>
          <w:sz w:val="18"/>
          <w:szCs w:val="18"/>
          <w:lang w:val="es-ES_tradnl"/>
        </w:rPr>
        <w:t xml:space="preserve">.  </w:t>
      </w:r>
      <w:r w:rsidRPr="006E4BE1">
        <w:rPr>
          <w:sz w:val="18"/>
          <w:szCs w:val="18"/>
          <w:lang w:val="es-ES_tradnl"/>
        </w:rPr>
        <w:t>A su vez, las obtenciones vegetales pueden ayudar a desarrollar la agricultura urbana y el cultivo de plantas, arbustos y árboles ornamentales que contribuyen a mejorar la vida de las personas en un entorno urbano en expansión.</w:t>
      </w:r>
    </w:p>
    <w:p w14:paraId="54A746E3" w14:textId="77777777" w:rsidR="001240C5" w:rsidRPr="006E4BE1" w:rsidRDefault="001240C5" w:rsidP="00AE50C9">
      <w:pPr>
        <w:ind w:left="567"/>
        <w:rPr>
          <w:sz w:val="18"/>
          <w:szCs w:val="18"/>
          <w:lang w:val="es-ES_tradnl"/>
        </w:rPr>
      </w:pPr>
    </w:p>
    <w:p w14:paraId="2030FCD9" w14:textId="77777777" w:rsidR="001240C5" w:rsidRPr="006E4BE1" w:rsidRDefault="002E6F8D" w:rsidP="00AE50C9">
      <w:pPr>
        <w:ind w:left="567"/>
        <w:rPr>
          <w:i/>
          <w:sz w:val="18"/>
          <w:szCs w:val="18"/>
          <w:lang w:val="es-ES_tradnl"/>
        </w:rPr>
      </w:pPr>
      <w:r w:rsidRPr="006E4BE1">
        <w:rPr>
          <w:i/>
          <w:sz w:val="18"/>
          <w:szCs w:val="18"/>
          <w:lang w:val="es-ES_tradnl"/>
        </w:rPr>
        <w:t>Respetar el entorno natural</w:t>
      </w:r>
    </w:p>
    <w:p w14:paraId="1260C523" w14:textId="77777777" w:rsidR="001240C5" w:rsidRPr="006E4BE1" w:rsidRDefault="001240C5" w:rsidP="00AE50C9">
      <w:pPr>
        <w:ind w:left="567"/>
        <w:rPr>
          <w:sz w:val="18"/>
          <w:szCs w:val="18"/>
          <w:lang w:val="es-ES_tradnl"/>
        </w:rPr>
      </w:pPr>
    </w:p>
    <w:p w14:paraId="73B48EB2" w14:textId="77777777" w:rsidR="001240C5" w:rsidRPr="006E4BE1" w:rsidRDefault="002E6F8D" w:rsidP="00AE50C9">
      <w:pPr>
        <w:ind w:left="567"/>
        <w:rPr>
          <w:sz w:val="18"/>
          <w:szCs w:val="18"/>
          <w:lang w:val="es-ES_tradnl"/>
        </w:rPr>
      </w:pPr>
      <w:r w:rsidRPr="006E4BE1">
        <w:rPr>
          <w:sz w:val="18"/>
          <w:szCs w:val="18"/>
          <w:lang w:val="es-ES_tradnl"/>
        </w:rPr>
        <w:t>El aumento de la productividad sin perjudicar el entorno natural es un imperativo en el contexto del crecimiento de la población y el cambio climático</w:t>
      </w:r>
      <w:r w:rsidR="00FE64A1" w:rsidRPr="006E4BE1">
        <w:rPr>
          <w:sz w:val="18"/>
          <w:szCs w:val="18"/>
          <w:lang w:val="es-ES_tradnl"/>
        </w:rPr>
        <w:t xml:space="preserve">.  </w:t>
      </w:r>
      <w:r w:rsidRPr="006E4BE1">
        <w:rPr>
          <w:sz w:val="18"/>
          <w:szCs w:val="18"/>
          <w:lang w:val="es-ES_tradnl"/>
        </w:rPr>
        <w:t>La obtención de variedades vegetales caracterizadas por un mayor rendimiento, un uso más eficiente de los nutrientes, resistencia a las plagas y enfermedades, tolerancia a la sal y las sequías o una mayor adaptación al estrés climático permite incrementar de manera sostenible la productividad y la calidad de los productos agrícolas, hortícolas y forestales, a la vez que minimizar la incidencia en el entorno natural.</w:t>
      </w:r>
    </w:p>
    <w:p w14:paraId="70D33B5F" w14:textId="77777777" w:rsidR="001240C5" w:rsidRPr="006E4BE1" w:rsidRDefault="001240C5" w:rsidP="00AE50C9">
      <w:pPr>
        <w:rPr>
          <w:lang w:val="es-ES_tradnl"/>
        </w:rPr>
      </w:pPr>
    </w:p>
    <w:p w14:paraId="0A357610" w14:textId="77777777" w:rsidR="001240C5" w:rsidRPr="006E4BE1" w:rsidRDefault="002E6F8D" w:rsidP="00AE50C9">
      <w:pPr>
        <w:rPr>
          <w:lang w:val="es-ES_tradnl"/>
        </w:rPr>
      </w:pPr>
      <w:r w:rsidRPr="006E4BE1">
        <w:rPr>
          <w:lang w:val="es-ES_tradnl"/>
        </w:rPr>
        <w:t>El sistema de la UPOV de protección de las obtenciones vegetales supone un apoyo a la inversión a largo plazo en fitomejoramiento y proporciona un marco para la inversión en el suministro de semillas y demás material de reproducción o multiplicación de variedades adaptadas a las necesidades de los agricultores</w:t>
      </w:r>
      <w:r w:rsidR="00FE64A1" w:rsidRPr="006E4BE1">
        <w:rPr>
          <w:lang w:val="es-ES_tradnl"/>
        </w:rPr>
        <w:t xml:space="preserve">.  </w:t>
      </w:r>
      <w:r w:rsidR="00FD3292" w:rsidRPr="006E4BE1">
        <w:rPr>
          <w:lang w:val="es-ES_tradnl"/>
        </w:rPr>
        <w:t>La UPOV se creó en 1961 para contribuir al desarrollo de la agricultura y, desde entonces, ha demostrado su eficacia como sistema de apoyo a distintos tipos de obtentores: los obtentores por cuenta propia, los agricultores, las pequeñas y medianas empresas y los institutos y empresas de mayor tamaño dedicados al fitomejoramiento, tanto en el sector privado como en el público</w:t>
      </w:r>
      <w:r w:rsidR="00FE64A1" w:rsidRPr="006E4BE1">
        <w:rPr>
          <w:lang w:val="es-ES_tradnl"/>
        </w:rPr>
        <w:t xml:space="preserve">.  </w:t>
      </w:r>
      <w:r w:rsidR="00B4680B" w:rsidRPr="006E4BE1">
        <w:rPr>
          <w:lang w:val="es-ES_tradnl"/>
        </w:rPr>
        <w:t>Desde sus comienzos, el sistema de la UPOV ha tenido por finalidad lograr el máximo progreso en el ámbito del fitomejoramiento a fin de garantizar los avances en la agricultura en beneficio de los agricultores y de la sociedad en su conjunto</w:t>
      </w:r>
      <w:r w:rsidR="00FE64A1" w:rsidRPr="006E4BE1">
        <w:rPr>
          <w:lang w:val="es-ES_tradnl"/>
        </w:rPr>
        <w:t xml:space="preserve">.  </w:t>
      </w:r>
      <w:r w:rsidR="007B4723" w:rsidRPr="006E4BE1">
        <w:rPr>
          <w:lang w:val="es-ES_tradnl"/>
        </w:rPr>
        <w:t>Este principio se ampara en la “exención del obtentor”, una característica fundamental del sistema de la UPOV desde su creación</w:t>
      </w:r>
      <w:r w:rsidR="00FE64A1" w:rsidRPr="006E4BE1">
        <w:rPr>
          <w:lang w:val="es-ES_tradnl"/>
        </w:rPr>
        <w:t xml:space="preserve">.  </w:t>
      </w:r>
      <w:r w:rsidR="007B4723" w:rsidRPr="006E4BE1">
        <w:rPr>
          <w:lang w:val="es-ES_tradnl"/>
        </w:rPr>
        <w:t xml:space="preserve">Esta exención permite que los obtentores de todo tipo tengan acceso a las variedades vegetales protegidas con el fin de crear nuevas variedades, en reconocimiento de que el acceso a los recursos genéticos es un requisito indispensable para todo tipo de fitomejoramiento (véase la pregunta </w:t>
      </w:r>
      <w:r w:rsidR="00775351" w:rsidRPr="006E4BE1">
        <w:rPr>
          <w:lang w:val="es-ES_tradnl"/>
        </w:rPr>
        <w:t>“</w:t>
      </w:r>
      <w:r w:rsidR="007B4723" w:rsidRPr="006E4BE1">
        <w:rPr>
          <w:lang w:val="es-ES_tradnl"/>
        </w:rPr>
        <w:t>¿Cómo contribuye el sistema de la UPOV al desarrollo sostenible?</w:t>
      </w:r>
      <w:r w:rsidR="00775351" w:rsidRPr="006E4BE1">
        <w:rPr>
          <w:lang w:val="es-ES_tradnl"/>
        </w:rPr>
        <w:t>” en el apartado de preguntas frecuentes)</w:t>
      </w:r>
      <w:r w:rsidR="007B4723" w:rsidRPr="006E4BE1">
        <w:rPr>
          <w:rStyle w:val="FootnoteReference"/>
          <w:lang w:val="es-ES_tradnl"/>
        </w:rPr>
        <w:footnoteReference w:id="3"/>
      </w:r>
      <w:r w:rsidR="007B4723" w:rsidRPr="006E4BE1">
        <w:rPr>
          <w:lang w:val="es-ES_tradnl"/>
        </w:rPr>
        <w:t>.</w:t>
      </w:r>
    </w:p>
    <w:p w14:paraId="3FFEEF7F" w14:textId="77777777" w:rsidR="001240C5" w:rsidRPr="006E4BE1" w:rsidRDefault="001240C5" w:rsidP="00AE50C9">
      <w:pPr>
        <w:rPr>
          <w:lang w:val="es-ES_tradnl"/>
        </w:rPr>
      </w:pPr>
    </w:p>
    <w:p w14:paraId="77315358" w14:textId="77777777" w:rsidR="001240C5" w:rsidRPr="006E4BE1" w:rsidRDefault="00F72573" w:rsidP="00AE50C9">
      <w:pPr>
        <w:rPr>
          <w:lang w:val="es-ES_tradnl"/>
        </w:rPr>
      </w:pPr>
      <w:r w:rsidRPr="006E4BE1">
        <w:rPr>
          <w:lang w:val="es-ES_tradnl"/>
        </w:rPr>
        <w:t xml:space="preserve">La decisión del Consejo de organizar un seminario en 2021 para intercambiar información y experiencias sobre estrategias relativas al fitomejoramiento y la protección de las obtenciones vegetales en el contexto de las cuestiones de política general es </w:t>
      </w:r>
      <w:r w:rsidR="00775351" w:rsidRPr="006E4BE1">
        <w:rPr>
          <w:lang w:val="es-ES_tradnl"/>
        </w:rPr>
        <w:t xml:space="preserve">un </w:t>
      </w:r>
      <w:r w:rsidRPr="006E4BE1">
        <w:rPr>
          <w:lang w:val="es-ES_tradnl"/>
        </w:rPr>
        <w:t>ejemplo de la mayor sensibilización acerca de la función de la UPOV.</w:t>
      </w:r>
    </w:p>
    <w:p w14:paraId="3A574AF5" w14:textId="77777777" w:rsidR="001240C5" w:rsidRPr="006E4BE1" w:rsidRDefault="001240C5" w:rsidP="00AE50C9">
      <w:pPr>
        <w:rPr>
          <w:lang w:val="es-ES_tradnl"/>
        </w:rPr>
      </w:pPr>
    </w:p>
    <w:p w14:paraId="4EC20E3E" w14:textId="77777777" w:rsidR="001240C5" w:rsidRPr="006E4BE1" w:rsidRDefault="00907396" w:rsidP="00AE50C9">
      <w:pPr>
        <w:jc w:val="left"/>
        <w:rPr>
          <w:lang w:val="es-ES_tradnl"/>
        </w:rPr>
      </w:pPr>
      <w:bookmarkStart w:id="421" w:name="_Toc61532294"/>
      <w:bookmarkStart w:id="422" w:name="_Toc61533689"/>
      <w:r w:rsidRPr="006E4BE1">
        <w:rPr>
          <w:lang w:val="es-ES_tradnl"/>
        </w:rPr>
        <w:br w:type="page"/>
      </w:r>
    </w:p>
    <w:p w14:paraId="48CC0C79" w14:textId="77777777" w:rsidR="001240C5" w:rsidRPr="006E4BE1" w:rsidRDefault="003D50F0" w:rsidP="00AE50C9">
      <w:pPr>
        <w:pStyle w:val="Heading2"/>
        <w:keepNext w:val="0"/>
        <w:rPr>
          <w:lang w:val="es-ES_tradnl"/>
        </w:rPr>
      </w:pPr>
      <w:bookmarkStart w:id="423" w:name="_Toc78476705"/>
      <w:bookmarkEnd w:id="421"/>
      <w:bookmarkEnd w:id="422"/>
      <w:r w:rsidRPr="006E4BE1">
        <w:rPr>
          <w:lang w:val="es-ES_tradnl"/>
        </w:rPr>
        <w:lastRenderedPageBreak/>
        <w:t>Evolución de la UPOV</w:t>
      </w:r>
      <w:bookmarkEnd w:id="423"/>
    </w:p>
    <w:p w14:paraId="57075EFD" w14:textId="77777777" w:rsidR="001240C5" w:rsidRPr="006E4BE1" w:rsidRDefault="001240C5" w:rsidP="00AE50C9">
      <w:pPr>
        <w:rPr>
          <w:lang w:val="es-ES_tradnl"/>
        </w:rPr>
      </w:pPr>
    </w:p>
    <w:p w14:paraId="6E05CD8C" w14:textId="77777777" w:rsidR="001240C5" w:rsidRPr="006E4BE1" w:rsidRDefault="003D50F0" w:rsidP="00AE50C9">
      <w:pPr>
        <w:rPr>
          <w:lang w:val="es-ES_tradnl"/>
        </w:rPr>
      </w:pPr>
      <w:r w:rsidRPr="006E4BE1">
        <w:rPr>
          <w:lang w:val="es-ES_tradnl"/>
        </w:rPr>
        <w:t>Al final de 2020, la UPOV estaba formada por 76 miembros y abarcaba 95 Estados (véase el gráfico 1 “Miembros de la UPOV al 31 de diciembre de 2020”).</w:t>
      </w:r>
    </w:p>
    <w:p w14:paraId="4E51504B" w14:textId="50D3F25D" w:rsidR="008C5BB5" w:rsidRPr="006E4BE1" w:rsidRDefault="008C5BB5" w:rsidP="00AE50C9">
      <w:pPr>
        <w:rPr>
          <w:lang w:val="es-ES_tradnl"/>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tblGrid>
      <w:tr w:rsidR="008C5BB5" w:rsidRPr="001D7D80" w14:paraId="3C9B033C" w14:textId="77777777" w:rsidTr="00E511A6">
        <w:trPr>
          <w:cantSplit/>
        </w:trPr>
        <w:tc>
          <w:tcPr>
            <w:tcW w:w="9923" w:type="dxa"/>
          </w:tcPr>
          <w:p w14:paraId="1D76D3AC" w14:textId="77777777" w:rsidR="001240C5" w:rsidRPr="006E4BE1" w:rsidRDefault="003D50F0" w:rsidP="00AE50C9">
            <w:pPr>
              <w:jc w:val="center"/>
              <w:rPr>
                <w:i/>
                <w:color w:val="26724C" w:themeColor="accent1" w:themeShade="BF"/>
                <w:sz w:val="18"/>
                <w:lang w:val="es-ES_tradnl"/>
              </w:rPr>
            </w:pPr>
            <w:r w:rsidRPr="006E4BE1">
              <w:rPr>
                <w:i/>
                <w:color w:val="26724C" w:themeColor="accent1" w:themeShade="BF"/>
                <w:sz w:val="18"/>
                <w:lang w:val="es-ES_tradnl"/>
              </w:rPr>
              <w:t>Gráfico 1. Miembros de la UPOV al 31 de diciembre de 2020 [en verde figuran los territorios de los miembros de la UPOV]</w:t>
            </w:r>
          </w:p>
          <w:p w14:paraId="20822A3C" w14:textId="6FAB660C" w:rsidR="009B5431" w:rsidRPr="006E4BE1" w:rsidRDefault="009B5431" w:rsidP="00AE50C9">
            <w:pPr>
              <w:jc w:val="center"/>
              <w:rPr>
                <w:i/>
                <w:color w:val="26724C" w:themeColor="accent1" w:themeShade="BF"/>
                <w:lang w:val="es-ES_tradnl"/>
              </w:rPr>
            </w:pPr>
          </w:p>
        </w:tc>
      </w:tr>
      <w:tr w:rsidR="008C5BB5" w:rsidRPr="006E4BE1" w14:paraId="70E8578B" w14:textId="77777777" w:rsidTr="00E511A6">
        <w:trPr>
          <w:cantSplit/>
        </w:trPr>
        <w:tc>
          <w:tcPr>
            <w:tcW w:w="9923" w:type="dxa"/>
          </w:tcPr>
          <w:p w14:paraId="21D7DA8F" w14:textId="77777777" w:rsidR="008C5BB5" w:rsidRPr="006E4BE1" w:rsidRDefault="003A5C03" w:rsidP="00AE50C9">
            <w:pPr>
              <w:jc w:val="center"/>
              <w:rPr>
                <w:sz w:val="14"/>
                <w:szCs w:val="14"/>
                <w:lang w:val="es-ES_tradnl"/>
              </w:rPr>
            </w:pPr>
            <w:r w:rsidRPr="006E4BE1">
              <w:rPr>
                <w:noProof/>
                <w:sz w:val="14"/>
                <w:szCs w:val="14"/>
              </w:rPr>
              <w:drawing>
                <wp:inline distT="0" distB="0" distL="0" distR="0" wp14:anchorId="077CD402" wp14:editId="5ADDF870">
                  <wp:extent cx="6090987" cy="3086100"/>
                  <wp:effectExtent l="0" t="0" r="5080" b="0"/>
                  <wp:docPr id="20" name="Picture 20" descr="N:\OrgUPOV\Shared\Present-speeches\_Model Presentations &amp;Speeches\maps\_UPOV STATUS\_2019_12_01_one_colour_members_only(EG NEW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19_12_01_one_colour_members_only(EG NEW MEMB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6257" cy="3093837"/>
                          </a:xfrm>
                          <a:prstGeom prst="rect">
                            <a:avLst/>
                          </a:prstGeom>
                          <a:noFill/>
                          <a:ln>
                            <a:noFill/>
                          </a:ln>
                        </pic:spPr>
                      </pic:pic>
                    </a:graphicData>
                  </a:graphic>
                </wp:inline>
              </w:drawing>
            </w:r>
          </w:p>
        </w:tc>
      </w:tr>
      <w:tr w:rsidR="008C5BB5" w:rsidRPr="001D7D80" w14:paraId="12494685" w14:textId="77777777" w:rsidTr="00E511A6">
        <w:trPr>
          <w:cantSplit/>
        </w:trPr>
        <w:tc>
          <w:tcPr>
            <w:tcW w:w="9923" w:type="dxa"/>
          </w:tcPr>
          <w:p w14:paraId="1C736729" w14:textId="11118046" w:rsidR="008C5BB5" w:rsidRPr="006E4BE1" w:rsidRDefault="003D50F0" w:rsidP="00AE50C9">
            <w:pPr>
              <w:rPr>
                <w:sz w:val="14"/>
                <w:szCs w:val="14"/>
                <w:lang w:val="es-ES_tradnl"/>
              </w:rPr>
            </w:pPr>
            <w:r w:rsidRPr="006E4BE1">
              <w:rPr>
                <w:sz w:val="14"/>
                <w:szCs w:val="14"/>
                <w:lang w:val="es-ES_tradnl"/>
              </w:rPr>
              <w:t>Las fronteras que figuran en este mapa no implican la expresión de opinión alguna por parte de la UPOV sobre la condición jurídica de ningún país o territorio.</w:t>
            </w:r>
          </w:p>
        </w:tc>
      </w:tr>
    </w:tbl>
    <w:p w14:paraId="77A749DD" w14:textId="77777777" w:rsidR="001240C5" w:rsidRPr="006E4BE1" w:rsidRDefault="003D50F0" w:rsidP="00AE50C9">
      <w:pPr>
        <w:spacing w:before="480" w:after="120"/>
        <w:rPr>
          <w:lang w:val="es-ES_tradnl"/>
        </w:rPr>
      </w:pPr>
      <w:r w:rsidRPr="006E4BE1">
        <w:rPr>
          <w:lang w:val="es-ES_tradnl"/>
        </w:rPr>
        <w:t>El gráfico 2 muestra la evolución del número de miembros de la UPOV.</w:t>
      </w:r>
    </w:p>
    <w:p w14:paraId="3BD15855" w14:textId="77777777" w:rsidR="001240C5" w:rsidRPr="006E4BE1" w:rsidRDefault="00AE50C9" w:rsidP="00AE50C9">
      <w:pPr>
        <w:jc w:val="center"/>
        <w:rPr>
          <w:i/>
          <w:color w:val="26724C" w:themeColor="accent1" w:themeShade="BF"/>
          <w:sz w:val="18"/>
          <w:lang w:val="es-ES_tradnl"/>
        </w:rPr>
      </w:pPr>
      <w:r w:rsidRPr="006E4BE1">
        <w:rPr>
          <w:rFonts w:eastAsia="MS Mincho"/>
          <w:noProof/>
        </w:rPr>
        <w:drawing>
          <wp:anchor distT="0" distB="0" distL="114300" distR="114300" simplePos="0" relativeHeight="251660288" behindDoc="0" locked="0" layoutInCell="1" allowOverlap="1" wp14:anchorId="7C0F5E53" wp14:editId="4779331B">
            <wp:simplePos x="0" y="0"/>
            <wp:positionH relativeFrom="column">
              <wp:posOffset>73660</wp:posOffset>
            </wp:positionH>
            <wp:positionV relativeFrom="paragraph">
              <wp:posOffset>205740</wp:posOffset>
            </wp:positionV>
            <wp:extent cx="5986145" cy="38296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6145" cy="3829685"/>
                    </a:xfrm>
                    <a:prstGeom prst="rect">
                      <a:avLst/>
                    </a:prstGeom>
                    <a:noFill/>
                    <a:ln>
                      <a:noFill/>
                    </a:ln>
                  </pic:spPr>
                </pic:pic>
              </a:graphicData>
            </a:graphic>
          </wp:anchor>
        </w:drawing>
      </w:r>
      <w:r w:rsidR="003D50F0" w:rsidRPr="006E4BE1">
        <w:rPr>
          <w:i/>
          <w:color w:val="26724C" w:themeColor="accent1" w:themeShade="BF"/>
          <w:sz w:val="18"/>
          <w:lang w:val="es-ES_tradnl"/>
        </w:rPr>
        <w:t>Gráfico 2. Evolución del número de miembros de la UPOV</w:t>
      </w:r>
    </w:p>
    <w:p w14:paraId="6CA39F4C" w14:textId="77777777" w:rsidR="001240C5" w:rsidRPr="006E4BE1" w:rsidRDefault="00C42DD8" w:rsidP="00AE50C9">
      <w:pPr>
        <w:tabs>
          <w:tab w:val="left" w:pos="851"/>
        </w:tabs>
        <w:spacing w:before="480" w:after="240"/>
        <w:rPr>
          <w:lang w:val="es-ES_tradnl"/>
        </w:rPr>
      </w:pPr>
      <w:r w:rsidRPr="006E4BE1">
        <w:rPr>
          <w:lang w:val="es-ES_tradnl"/>
        </w:rPr>
        <w:lastRenderedPageBreak/>
        <w:t>El siguiente mapa (gráfico 3) ilustra gráficamente la evolución de la situación en relación con la UPOV durante el período 2018-2020.</w:t>
      </w:r>
    </w:p>
    <w:p w14:paraId="4B5E2DB1" w14:textId="77777777" w:rsidR="001240C5" w:rsidRPr="006E4BE1" w:rsidRDefault="00C42DD8" w:rsidP="00AE50C9">
      <w:pPr>
        <w:jc w:val="center"/>
        <w:rPr>
          <w:i/>
          <w:color w:val="26724C" w:themeColor="accent1" w:themeShade="BF"/>
          <w:sz w:val="18"/>
          <w:lang w:val="es-ES_tradnl"/>
        </w:rPr>
      </w:pPr>
      <w:r w:rsidRPr="006E4BE1">
        <w:rPr>
          <w:i/>
          <w:color w:val="26724C" w:themeColor="accent1" w:themeShade="BF"/>
          <w:sz w:val="18"/>
          <w:lang w:val="es-ES_tradnl"/>
        </w:rPr>
        <w:t>Gráfico 3. Cambios en la situación respecto de la UPOV durante el período 2018</w:t>
      </w:r>
      <w:r w:rsidRPr="006E4BE1">
        <w:rPr>
          <w:color w:val="26724C" w:themeColor="accent1" w:themeShade="BF"/>
          <w:sz w:val="18"/>
          <w:lang w:val="es-ES_tradnl"/>
        </w:rPr>
        <w:t>-</w:t>
      </w:r>
      <w:r w:rsidRPr="006E4BE1">
        <w:rPr>
          <w:i/>
          <w:color w:val="26724C" w:themeColor="accent1" w:themeShade="BF"/>
          <w:sz w:val="18"/>
          <w:lang w:val="es-ES_tradnl"/>
        </w:rPr>
        <w:t>2020</w:t>
      </w:r>
    </w:p>
    <w:p w14:paraId="7D8083EB" w14:textId="5C232563" w:rsidR="009B5431" w:rsidRPr="006E4BE1" w:rsidRDefault="009B5431" w:rsidP="00AE50C9">
      <w:pPr>
        <w:jc w:val="center"/>
        <w:rPr>
          <w:i/>
          <w:color w:val="26724C" w:themeColor="accent1" w:themeShade="BF"/>
          <w:sz w:val="18"/>
          <w:lang w:val="es-ES_tradnl"/>
        </w:rPr>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5E71E2" w:rsidRPr="006E4BE1" w14:paraId="0D3C0990" w14:textId="77777777" w:rsidTr="00C069CE">
        <w:trPr>
          <w:cantSplit/>
        </w:trPr>
        <w:tc>
          <w:tcPr>
            <w:tcW w:w="9660" w:type="dxa"/>
          </w:tcPr>
          <w:p w14:paraId="74C03848" w14:textId="77777777" w:rsidR="005E71E2" w:rsidRPr="006E4BE1" w:rsidRDefault="00E2374F" w:rsidP="00AE50C9">
            <w:pPr>
              <w:rPr>
                <w:sz w:val="14"/>
                <w:szCs w:val="14"/>
                <w:lang w:val="es-ES_tradnl"/>
              </w:rPr>
            </w:pPr>
            <w:r w:rsidRPr="006E4BE1">
              <w:rPr>
                <w:noProof/>
              </w:rPr>
              <w:drawing>
                <wp:inline distT="0" distB="0" distL="0" distR="0" wp14:anchorId="70DAC0C7" wp14:editId="13229439">
                  <wp:extent cx="6115050" cy="3098292"/>
                  <wp:effectExtent l="0" t="0" r="0" b="6985"/>
                  <wp:docPr id="1" name="Picture 1" descr="\\Wipogvafs01\DAT1\OrgUPOV\Shared\Performance_indicators\Laws_related_graphics\MAP_Jan_26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gvafs01\DAT1\OrgUPOV\Shared\Performance_indicators\Laws_related_graphics\MAP_Jan_26_20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601" cy="3110224"/>
                          </a:xfrm>
                          <a:prstGeom prst="rect">
                            <a:avLst/>
                          </a:prstGeom>
                          <a:noFill/>
                          <a:ln>
                            <a:noFill/>
                          </a:ln>
                        </pic:spPr>
                      </pic:pic>
                    </a:graphicData>
                  </a:graphic>
                </wp:inline>
              </w:drawing>
            </w:r>
          </w:p>
        </w:tc>
      </w:tr>
      <w:tr w:rsidR="005E71E2" w:rsidRPr="001D7D80" w14:paraId="7902894C" w14:textId="77777777" w:rsidTr="00C069CE">
        <w:trPr>
          <w:cantSplit/>
        </w:trPr>
        <w:tc>
          <w:tcPr>
            <w:tcW w:w="9660" w:type="dxa"/>
          </w:tcPr>
          <w:p w14:paraId="53477FE6" w14:textId="13B19017" w:rsidR="005E71E2" w:rsidRPr="006E4BE1" w:rsidRDefault="00C42DD8" w:rsidP="00AE50C9">
            <w:pPr>
              <w:rPr>
                <w:i/>
                <w:sz w:val="14"/>
                <w:lang w:val="es-ES_tradnl"/>
              </w:rPr>
            </w:pPr>
            <w:r w:rsidRPr="006E4BE1">
              <w:rPr>
                <w:i/>
                <w:sz w:val="14"/>
                <w:lang w:val="es-ES_tradnl"/>
              </w:rPr>
              <w:t>Las fronteras que figuran en este mapa no implican la expresión de opinión alguna por parte de la UPOV sobre la condición jurídica de ningún país o territorio.</w:t>
            </w:r>
          </w:p>
        </w:tc>
      </w:tr>
    </w:tbl>
    <w:p w14:paraId="715A1447" w14:textId="77777777" w:rsidR="005E71E2" w:rsidRPr="006E4BE1" w:rsidRDefault="005E71E2" w:rsidP="00AE50C9">
      <w:pPr>
        <w:jc w:val="left"/>
        <w:rPr>
          <w:lang w:val="es-ES_tradnl"/>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5E71E2" w:rsidRPr="001D7D80" w14:paraId="46DDF9DE" w14:textId="77777777" w:rsidTr="00C069CE">
        <w:tc>
          <w:tcPr>
            <w:tcW w:w="426" w:type="dxa"/>
          </w:tcPr>
          <w:p w14:paraId="27C8E8BF" w14:textId="77777777" w:rsidR="005E71E2" w:rsidRPr="006E4BE1" w:rsidRDefault="005E71E2" w:rsidP="00AE50C9">
            <w:pPr>
              <w:spacing w:after="60"/>
              <w:jc w:val="left"/>
              <w:rPr>
                <w:sz w:val="16"/>
                <w:szCs w:val="16"/>
                <w:lang w:val="es-ES_tradnl"/>
              </w:rPr>
            </w:pPr>
            <w:r w:rsidRPr="006E4BE1">
              <w:rPr>
                <w:noProof/>
                <w:sz w:val="16"/>
                <w:szCs w:val="16"/>
              </w:rPr>
              <w:drawing>
                <wp:inline distT="0" distB="0" distL="0" distR="0" wp14:anchorId="309D00FC" wp14:editId="123B98D2">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6195B217" w14:textId="1C4FC746" w:rsidR="005E71E2" w:rsidRPr="006E4BE1" w:rsidRDefault="00AB246A" w:rsidP="00AE50C9">
            <w:pPr>
              <w:spacing w:before="60" w:after="60"/>
              <w:jc w:val="left"/>
              <w:rPr>
                <w:sz w:val="16"/>
                <w:szCs w:val="16"/>
                <w:lang w:val="es-ES_tradnl"/>
              </w:rPr>
            </w:pPr>
            <w:r w:rsidRPr="006E4BE1">
              <w:rPr>
                <w:sz w:val="16"/>
                <w:szCs w:val="16"/>
                <w:lang w:val="es-ES_tradnl"/>
              </w:rPr>
              <w:t>Estados y organizaciones que pasaron a ser miembros de la Unión durante</w:t>
            </w:r>
            <w:r w:rsidR="00ED3702" w:rsidRPr="006E4BE1">
              <w:rPr>
                <w:sz w:val="16"/>
                <w:szCs w:val="16"/>
                <w:lang w:val="es-ES_tradnl"/>
              </w:rPr>
              <w:t xml:space="preserve"> el período </w:t>
            </w:r>
            <w:r w:rsidR="00EA4F22" w:rsidRPr="006E4BE1">
              <w:rPr>
                <w:sz w:val="16"/>
                <w:szCs w:val="16"/>
                <w:lang w:val="es-ES_tradnl"/>
              </w:rPr>
              <w:t>2018-2020</w:t>
            </w:r>
            <w:r w:rsidR="00CD3B95" w:rsidRPr="006E4BE1">
              <w:rPr>
                <w:sz w:val="16"/>
                <w:szCs w:val="16"/>
                <w:lang w:val="es-ES_tradnl"/>
              </w:rPr>
              <w:br/>
            </w:r>
            <w:r w:rsidR="00ED3702" w:rsidRPr="006E4BE1">
              <w:rPr>
                <w:sz w:val="16"/>
                <w:szCs w:val="16"/>
                <w:lang w:val="es-ES_tradnl"/>
              </w:rPr>
              <w:t>(Egipto)</w:t>
            </w:r>
          </w:p>
        </w:tc>
      </w:tr>
      <w:tr w:rsidR="005E71E2" w:rsidRPr="001D7D80" w14:paraId="05AB7484" w14:textId="77777777" w:rsidTr="00C069CE">
        <w:tc>
          <w:tcPr>
            <w:tcW w:w="426" w:type="dxa"/>
          </w:tcPr>
          <w:p w14:paraId="4CC78780" w14:textId="77777777" w:rsidR="005E71E2" w:rsidRPr="006E4BE1" w:rsidRDefault="005E71E2" w:rsidP="00AE50C9">
            <w:pPr>
              <w:spacing w:after="60"/>
              <w:jc w:val="left"/>
              <w:rPr>
                <w:sz w:val="16"/>
                <w:szCs w:val="16"/>
                <w:lang w:val="es-ES_tradnl"/>
              </w:rPr>
            </w:pPr>
            <w:r w:rsidRPr="006E4BE1">
              <w:rPr>
                <w:rFonts w:cs="Arial"/>
                <w:noProof/>
                <w:sz w:val="16"/>
                <w:szCs w:val="16"/>
              </w:rPr>
              <w:drawing>
                <wp:inline distT="0" distB="0" distL="0" distR="0" wp14:anchorId="13625887" wp14:editId="3EEAFB46">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1DA608C7" w14:textId="7E4FD92E" w:rsidR="005E71E2" w:rsidRPr="006E4BE1" w:rsidRDefault="00AB246A" w:rsidP="00AE50C9">
            <w:pPr>
              <w:spacing w:before="60" w:after="60"/>
              <w:jc w:val="left"/>
              <w:rPr>
                <w:sz w:val="16"/>
                <w:szCs w:val="16"/>
                <w:lang w:val="es-ES_tradnl"/>
              </w:rPr>
            </w:pPr>
            <w:r w:rsidRPr="006E4BE1">
              <w:rPr>
                <w:sz w:val="16"/>
                <w:szCs w:val="16"/>
                <w:lang w:val="es-ES_tradnl"/>
              </w:rPr>
              <w:t xml:space="preserve">Estados y organizaciones que se adhirieron al Acta de 1991 del Convenio de la UPOV o que ratificaron dicha Acta durante </w:t>
            </w:r>
            <w:r w:rsidR="00ED3702" w:rsidRPr="006E4BE1">
              <w:rPr>
                <w:sz w:val="16"/>
                <w:szCs w:val="16"/>
                <w:lang w:val="es-ES_tradnl"/>
              </w:rPr>
              <w:t xml:space="preserve">el período 2018-2020 </w:t>
            </w:r>
            <w:r w:rsidR="00CD3B95" w:rsidRPr="006E4BE1">
              <w:rPr>
                <w:sz w:val="16"/>
                <w:szCs w:val="16"/>
                <w:lang w:val="es-ES_tradnl"/>
              </w:rPr>
              <w:br/>
            </w:r>
            <w:r w:rsidR="00ED3702" w:rsidRPr="006E4BE1">
              <w:rPr>
                <w:sz w:val="16"/>
                <w:szCs w:val="16"/>
                <w:lang w:val="es-ES_tradnl"/>
              </w:rPr>
              <w:t>(Bélgica)</w:t>
            </w:r>
          </w:p>
        </w:tc>
      </w:tr>
      <w:tr w:rsidR="005E71E2" w:rsidRPr="001D7D80" w14:paraId="3E7B7AB2" w14:textId="77777777" w:rsidTr="00C069CE">
        <w:tc>
          <w:tcPr>
            <w:tcW w:w="426" w:type="dxa"/>
          </w:tcPr>
          <w:p w14:paraId="1DA1A49A" w14:textId="77777777" w:rsidR="005E71E2" w:rsidRPr="006E4BE1" w:rsidRDefault="005E71E2" w:rsidP="00AE50C9">
            <w:pPr>
              <w:spacing w:after="60"/>
              <w:jc w:val="left"/>
              <w:rPr>
                <w:sz w:val="16"/>
                <w:szCs w:val="16"/>
                <w:lang w:val="es-ES_tradnl"/>
              </w:rPr>
            </w:pPr>
            <w:r w:rsidRPr="006E4BE1">
              <w:rPr>
                <w:noProof/>
              </w:rPr>
              <w:drawing>
                <wp:inline distT="0" distB="0" distL="0" distR="0" wp14:anchorId="57B68A2A" wp14:editId="10DF5004">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14:paraId="5D3467B5" w14:textId="077C903D" w:rsidR="005E71E2" w:rsidRPr="006E4BE1" w:rsidRDefault="00AB246A" w:rsidP="00AE50C9">
            <w:pPr>
              <w:spacing w:before="60" w:after="60"/>
              <w:jc w:val="left"/>
              <w:rPr>
                <w:sz w:val="16"/>
                <w:szCs w:val="16"/>
                <w:lang w:val="es-ES_tradnl"/>
              </w:rPr>
            </w:pPr>
            <w:r w:rsidRPr="006E4BE1">
              <w:rPr>
                <w:sz w:val="16"/>
                <w:szCs w:val="16"/>
                <w:lang w:val="es-ES_tradnl"/>
              </w:rPr>
              <w:t>Miembros que se pusieron en contacto con la Oficina de la Unión para recibir asistencia en la elaboración de legislación de conformidad con el Acta de 1991 del Convenio de la UPOV durante el período 2018-2020</w:t>
            </w:r>
            <w:r w:rsidRPr="006E4BE1">
              <w:rPr>
                <w:sz w:val="16"/>
                <w:szCs w:val="16"/>
                <w:lang w:val="es-ES_tradnl"/>
              </w:rPr>
              <w:br/>
              <w:t>(Colombia, Ecuador, México, Nueva Zelandia, Paraguay, Trinidad y Tabago)</w:t>
            </w:r>
          </w:p>
        </w:tc>
      </w:tr>
      <w:tr w:rsidR="005E71E2" w:rsidRPr="001D7D80" w14:paraId="4B655E62" w14:textId="77777777" w:rsidTr="00C069CE">
        <w:tc>
          <w:tcPr>
            <w:tcW w:w="426" w:type="dxa"/>
          </w:tcPr>
          <w:p w14:paraId="221EE6BE" w14:textId="77777777" w:rsidR="005E71E2" w:rsidRPr="006E4BE1" w:rsidRDefault="005E71E2" w:rsidP="00AE50C9">
            <w:pPr>
              <w:spacing w:after="60"/>
              <w:jc w:val="left"/>
              <w:rPr>
                <w:sz w:val="16"/>
                <w:szCs w:val="16"/>
                <w:lang w:val="es-ES_tradnl"/>
              </w:rPr>
            </w:pPr>
            <w:r w:rsidRPr="006E4BE1">
              <w:rPr>
                <w:rFonts w:cs="Arial"/>
                <w:noProof/>
                <w:sz w:val="16"/>
                <w:szCs w:val="16"/>
              </w:rPr>
              <w:drawing>
                <wp:inline distT="0" distB="0" distL="0" distR="0" wp14:anchorId="620D6C5D" wp14:editId="38030D7E">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14:paraId="1686C5F7" w14:textId="1CB1A52B" w:rsidR="005E71E2" w:rsidRPr="006E4BE1" w:rsidRDefault="00AB246A" w:rsidP="00CD3B95">
            <w:pPr>
              <w:spacing w:before="60" w:after="60"/>
              <w:jc w:val="left"/>
              <w:rPr>
                <w:sz w:val="16"/>
                <w:szCs w:val="16"/>
                <w:lang w:val="es-ES_tradnl"/>
              </w:rPr>
            </w:pPr>
            <w:r w:rsidRPr="006E4BE1">
              <w:rPr>
                <w:sz w:val="16"/>
                <w:szCs w:val="16"/>
                <w:lang w:val="es-ES_tradnl"/>
              </w:rPr>
              <w:t>Estados y organizaciones que iniciaron el procedimiento de adhesión a la Unión ante el Consejo de la UP</w:t>
            </w:r>
            <w:r w:rsidR="00CD3B95" w:rsidRPr="006E4BE1">
              <w:rPr>
                <w:sz w:val="16"/>
                <w:szCs w:val="16"/>
                <w:lang w:val="es-ES_tradnl"/>
              </w:rPr>
              <w:t>OV durante el período </w:t>
            </w:r>
            <w:r w:rsidR="00EA4F22" w:rsidRPr="006E4BE1">
              <w:rPr>
                <w:sz w:val="16"/>
                <w:szCs w:val="16"/>
                <w:lang w:val="es-ES_tradnl"/>
              </w:rPr>
              <w:t>2018-2020</w:t>
            </w:r>
            <w:r w:rsidR="00CD3B95" w:rsidRPr="006E4BE1">
              <w:rPr>
                <w:sz w:val="16"/>
                <w:szCs w:val="16"/>
                <w:lang w:val="es-ES_tradnl"/>
              </w:rPr>
              <w:br/>
            </w:r>
            <w:r w:rsidRPr="006E4BE1">
              <w:rPr>
                <w:sz w:val="16"/>
                <w:szCs w:val="16"/>
                <w:lang w:val="es-ES_tradnl"/>
              </w:rPr>
              <w:t xml:space="preserve">(Afganistán, Egipto, </w:t>
            </w:r>
            <w:r w:rsidR="00CD3B95" w:rsidRPr="006E4BE1">
              <w:rPr>
                <w:sz w:val="16"/>
                <w:szCs w:val="16"/>
                <w:lang w:val="es-ES_tradnl"/>
              </w:rPr>
              <w:t xml:space="preserve">Emiratos Árabes Unidos, </w:t>
            </w:r>
            <w:r w:rsidRPr="006E4BE1">
              <w:rPr>
                <w:sz w:val="16"/>
                <w:szCs w:val="16"/>
                <w:lang w:val="es-ES_tradnl"/>
              </w:rPr>
              <w:t>Mongolia, Myanmar, Nigeri</w:t>
            </w:r>
            <w:r w:rsidR="00CD3B95" w:rsidRPr="006E4BE1">
              <w:rPr>
                <w:sz w:val="16"/>
                <w:szCs w:val="16"/>
                <w:lang w:val="es-ES_tradnl"/>
              </w:rPr>
              <w:t>a, San Vicente y las Granadinas</w:t>
            </w:r>
            <w:r w:rsidRPr="006E4BE1">
              <w:rPr>
                <w:sz w:val="16"/>
                <w:szCs w:val="16"/>
                <w:lang w:val="es-ES_tradnl"/>
              </w:rPr>
              <w:t xml:space="preserve"> y Zimbabwe)</w:t>
            </w:r>
          </w:p>
        </w:tc>
      </w:tr>
      <w:tr w:rsidR="005E71E2" w:rsidRPr="001D7D80" w14:paraId="3F7CC8A8" w14:textId="77777777" w:rsidTr="00C069CE">
        <w:tc>
          <w:tcPr>
            <w:tcW w:w="426" w:type="dxa"/>
          </w:tcPr>
          <w:p w14:paraId="0AE2C4A6" w14:textId="77777777" w:rsidR="005E71E2" w:rsidRPr="006E4BE1" w:rsidRDefault="005E71E2" w:rsidP="00AE50C9">
            <w:pPr>
              <w:spacing w:after="60"/>
              <w:jc w:val="left"/>
              <w:rPr>
                <w:sz w:val="16"/>
                <w:szCs w:val="16"/>
                <w:lang w:val="es-ES_tradnl"/>
              </w:rPr>
            </w:pPr>
            <w:r w:rsidRPr="006E4BE1">
              <w:rPr>
                <w:noProof/>
              </w:rPr>
              <w:drawing>
                <wp:inline distT="0" distB="0" distL="0" distR="0" wp14:anchorId="68296F37" wp14:editId="189C8605">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14:paraId="389ECF20" w14:textId="0A24DBFA" w:rsidR="005E71E2" w:rsidRPr="006E4BE1" w:rsidRDefault="00ED3702" w:rsidP="00CD3B95">
            <w:pPr>
              <w:spacing w:before="60" w:after="60"/>
              <w:jc w:val="left"/>
              <w:rPr>
                <w:sz w:val="16"/>
                <w:szCs w:val="16"/>
                <w:lang w:val="es-ES_tradnl"/>
              </w:rPr>
            </w:pPr>
            <w:r w:rsidRPr="006E4BE1">
              <w:rPr>
                <w:sz w:val="16"/>
                <w:szCs w:val="16"/>
                <w:lang w:val="es-ES_tradnl"/>
              </w:rPr>
              <w:t xml:space="preserve">Estados y organizaciones que se pusieron en contacto con la Oficina de la Unión para recibir asistencia en la elaboración de legislación de conformidad con el Acta de 1991 del Convenio de la UPOV durante el período 2018-2020 </w:t>
            </w:r>
            <w:r w:rsidR="00CD3B95" w:rsidRPr="006E4BE1">
              <w:rPr>
                <w:sz w:val="16"/>
                <w:szCs w:val="16"/>
                <w:lang w:val="es-ES_tradnl"/>
              </w:rPr>
              <w:br/>
            </w:r>
            <w:r w:rsidRPr="006E4BE1">
              <w:rPr>
                <w:sz w:val="16"/>
                <w:szCs w:val="16"/>
                <w:lang w:val="es-ES_tradnl"/>
              </w:rPr>
              <w:t xml:space="preserve">(Afganistán, Antigua y Barbuda, </w:t>
            </w:r>
            <w:r w:rsidR="00CD3B95" w:rsidRPr="006E4BE1">
              <w:rPr>
                <w:sz w:val="16"/>
                <w:szCs w:val="16"/>
                <w:lang w:val="es-ES_tradnl"/>
              </w:rPr>
              <w:t xml:space="preserve">Arabia Saudí, </w:t>
            </w:r>
            <w:r w:rsidRPr="006E4BE1">
              <w:rPr>
                <w:sz w:val="16"/>
                <w:szCs w:val="16"/>
                <w:lang w:val="es-ES_tradnl"/>
              </w:rPr>
              <w:t xml:space="preserve">Argelia, Camboya, Egipto, Emiratos Árabes Unidos, Indonesia, Irán (República Islámica del), </w:t>
            </w:r>
            <w:r w:rsidR="00CD3B95" w:rsidRPr="006E4BE1">
              <w:rPr>
                <w:sz w:val="16"/>
                <w:szCs w:val="16"/>
                <w:lang w:val="es-ES_tradnl"/>
              </w:rPr>
              <w:t xml:space="preserve">Iraq, </w:t>
            </w:r>
            <w:r w:rsidRPr="006E4BE1">
              <w:rPr>
                <w:sz w:val="16"/>
                <w:szCs w:val="16"/>
                <w:lang w:val="es-ES_tradnl"/>
              </w:rPr>
              <w:t>Jamaica, Kazajstán, Liechtenstein, Malasia, Malawi, Mauricio, Mongolia, Myanmar, Nigeria, República Democrática Popular Lao, San Vicente y las Granadinas, Tailandia, Zambia y Zimbabwe)</w:t>
            </w:r>
          </w:p>
        </w:tc>
      </w:tr>
    </w:tbl>
    <w:p w14:paraId="17F589D0" w14:textId="77777777" w:rsidR="001240C5" w:rsidRPr="006E4BE1" w:rsidRDefault="00110A2F" w:rsidP="00AE50C9">
      <w:pPr>
        <w:jc w:val="left"/>
        <w:rPr>
          <w:lang w:val="es-ES_tradnl"/>
        </w:rPr>
      </w:pPr>
      <w:r w:rsidRPr="006E4BE1">
        <w:rPr>
          <w:lang w:val="es-ES_tradnl"/>
        </w:rPr>
        <w:br w:type="page"/>
      </w:r>
    </w:p>
    <w:p w14:paraId="484C728C" w14:textId="770BBA43" w:rsidR="0019254D" w:rsidRPr="006E4BE1" w:rsidRDefault="00B36A5D" w:rsidP="00AE50C9">
      <w:pPr>
        <w:autoSpaceDE w:val="0"/>
        <w:autoSpaceDN w:val="0"/>
        <w:adjustRightInd w:val="0"/>
        <w:spacing w:before="480" w:after="240"/>
        <w:rPr>
          <w:rFonts w:cs="Arial"/>
          <w:szCs w:val="19"/>
          <w:lang w:val="es-ES_tradnl"/>
        </w:rPr>
      </w:pPr>
      <w:r w:rsidRPr="006E4BE1">
        <w:rPr>
          <w:rFonts w:cs="Arial"/>
          <w:szCs w:val="19"/>
          <w:lang w:val="es-ES_tradnl"/>
        </w:rPr>
        <w:lastRenderedPageBreak/>
        <w:t>El siguiente gráfico ilustra el creciente interés por ser miembro de la UPOV en los últimos años; la reducción en 2020 refleja posiblemente las dificultades para progresar durante la pandemia de COVID-19.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85DC3" w:rsidRPr="001D7D80" w14:paraId="1B97A312" w14:textId="77777777" w:rsidTr="00AE50C9">
        <w:tc>
          <w:tcPr>
            <w:tcW w:w="9639" w:type="dxa"/>
          </w:tcPr>
          <w:p w14:paraId="4C338C37" w14:textId="77777777" w:rsidR="001240C5" w:rsidRPr="006E4BE1" w:rsidRDefault="00185DC3" w:rsidP="00AE50C9">
            <w:pPr>
              <w:jc w:val="center"/>
              <w:rPr>
                <w:i/>
                <w:color w:val="26724C" w:themeColor="accent1" w:themeShade="BF"/>
                <w:sz w:val="18"/>
                <w:lang w:val="es-ES_tradnl"/>
              </w:rPr>
            </w:pPr>
            <w:r w:rsidRPr="006E4BE1">
              <w:rPr>
                <w:i/>
                <w:color w:val="26724C" w:themeColor="accent1" w:themeShade="BF"/>
                <w:sz w:val="18"/>
                <w:lang w:val="es-ES_tradnl"/>
              </w:rPr>
              <w:t>Gráfico 4. Estados y organizaciones que han recibido comentarios en materia de legislación</w:t>
            </w:r>
          </w:p>
          <w:p w14:paraId="6677C399" w14:textId="41B4B293" w:rsidR="00185DC3" w:rsidRPr="006E4BE1" w:rsidRDefault="00185DC3" w:rsidP="00AE50C9">
            <w:pPr>
              <w:jc w:val="center"/>
              <w:rPr>
                <w:i/>
                <w:color w:val="26724C" w:themeColor="accent1" w:themeShade="BF"/>
                <w:sz w:val="18"/>
                <w:lang w:val="es-ES_tradnl"/>
              </w:rPr>
            </w:pPr>
          </w:p>
        </w:tc>
      </w:tr>
      <w:tr w:rsidR="00D77302" w:rsidRPr="006E4BE1" w14:paraId="028F218C" w14:textId="77777777" w:rsidTr="00AE50C9">
        <w:tc>
          <w:tcPr>
            <w:tcW w:w="9639" w:type="dxa"/>
          </w:tcPr>
          <w:p w14:paraId="269D7B47" w14:textId="795259DF" w:rsidR="00D77302" w:rsidRPr="006E4BE1" w:rsidRDefault="00EA4F22" w:rsidP="00AE50C9">
            <w:pPr>
              <w:jc w:val="center"/>
              <w:rPr>
                <w:i/>
                <w:color w:val="26724C" w:themeColor="accent1" w:themeShade="BF"/>
                <w:sz w:val="18"/>
                <w:lang w:val="es-ES_tradnl"/>
              </w:rPr>
            </w:pPr>
            <w:r w:rsidRPr="006E4BE1">
              <w:rPr>
                <w:i/>
                <w:noProof/>
                <w:color w:val="26724C" w:themeColor="accent1" w:themeShade="BF"/>
                <w:sz w:val="18"/>
              </w:rPr>
              <w:drawing>
                <wp:inline distT="0" distB="0" distL="0" distR="0" wp14:anchorId="12B11D81" wp14:editId="787FB10A">
                  <wp:extent cx="5523070" cy="338158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53457" cy="3400194"/>
                          </a:xfrm>
                          <a:prstGeom prst="rect">
                            <a:avLst/>
                          </a:prstGeom>
                          <a:noFill/>
                          <a:ln>
                            <a:noFill/>
                          </a:ln>
                        </pic:spPr>
                      </pic:pic>
                    </a:graphicData>
                  </a:graphic>
                </wp:inline>
              </w:drawing>
            </w:r>
          </w:p>
        </w:tc>
      </w:tr>
    </w:tbl>
    <w:p w14:paraId="6AEF0721" w14:textId="77777777" w:rsidR="001240C5" w:rsidRPr="006E4BE1" w:rsidRDefault="00213EC3" w:rsidP="00AE50C9">
      <w:pPr>
        <w:spacing w:before="360" w:after="120"/>
        <w:jc w:val="left"/>
        <w:rPr>
          <w:rFonts w:cs="Arial"/>
          <w:szCs w:val="19"/>
          <w:lang w:val="es-ES_tradnl"/>
        </w:rPr>
      </w:pPr>
      <w:r w:rsidRPr="006E4BE1">
        <w:rPr>
          <w:rFonts w:cs="Arial"/>
          <w:szCs w:val="19"/>
          <w:lang w:val="es-ES_tradnl"/>
        </w:rPr>
        <w:t>Novedades acaecidas en la UPOV en relación con los siguientes aspectos (véanse los gráficos 5 a 7):</w:t>
      </w:r>
    </w:p>
    <w:p w14:paraId="405F9DEE" w14:textId="77777777" w:rsidR="001240C5" w:rsidRPr="006E4BE1" w:rsidRDefault="008507E2" w:rsidP="00AE50C9">
      <w:pPr>
        <w:pStyle w:val="ListParagraph"/>
        <w:numPr>
          <w:ilvl w:val="0"/>
          <w:numId w:val="40"/>
        </w:numPr>
        <w:contextualSpacing w:val="0"/>
        <w:rPr>
          <w:color w:val="000000" w:themeColor="text1"/>
          <w:lang w:val="es-ES_tradnl"/>
        </w:rPr>
      </w:pPr>
      <w:r w:rsidRPr="006E4BE1">
        <w:rPr>
          <w:color w:val="000000" w:themeColor="text1"/>
          <w:lang w:val="es-ES_tradnl"/>
        </w:rPr>
        <w:t>Aumento del número de solicitudes, títulos concedidos y títulos en vigor (véase el gráfico 5);</w:t>
      </w:r>
    </w:p>
    <w:p w14:paraId="7223AD79" w14:textId="77777777" w:rsidR="001240C5" w:rsidRPr="006E4BE1" w:rsidRDefault="008507E2" w:rsidP="00AE50C9">
      <w:pPr>
        <w:pStyle w:val="ListParagraph"/>
        <w:numPr>
          <w:ilvl w:val="0"/>
          <w:numId w:val="40"/>
        </w:numPr>
        <w:contextualSpacing w:val="0"/>
        <w:rPr>
          <w:color w:val="000000" w:themeColor="text1"/>
          <w:lang w:val="es-ES_tradnl"/>
        </w:rPr>
      </w:pPr>
      <w:r w:rsidRPr="006E4BE1">
        <w:rPr>
          <w:color w:val="000000" w:themeColor="text1"/>
          <w:lang w:val="es-ES_tradnl"/>
        </w:rPr>
        <w:t>Evolución de la protección de géneros y especies vegetales (véase el gráfico 6); y</w:t>
      </w:r>
    </w:p>
    <w:p w14:paraId="4FB4F1C6" w14:textId="2F3A7EEA" w:rsidR="0019254D" w:rsidRPr="006E4BE1" w:rsidRDefault="008507E2" w:rsidP="00AE50C9">
      <w:pPr>
        <w:pStyle w:val="ListParagraph"/>
        <w:numPr>
          <w:ilvl w:val="0"/>
          <w:numId w:val="40"/>
        </w:numPr>
        <w:spacing w:after="360"/>
        <w:ind w:left="777" w:hanging="357"/>
        <w:contextualSpacing w:val="0"/>
        <w:rPr>
          <w:color w:val="000000" w:themeColor="text1"/>
          <w:lang w:val="es-ES_tradnl"/>
        </w:rPr>
      </w:pPr>
      <w:r w:rsidRPr="006E4BE1">
        <w:rPr>
          <w:color w:val="000000" w:themeColor="text1"/>
          <w:lang w:val="es-ES_tradnl"/>
        </w:rPr>
        <w:t>Aumento del número de géneros y especies vegetales para los que se ha solicitado protección entre los miembros de la Unión (véase el gráfico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85DC3" w:rsidRPr="001D7D80" w14:paraId="28B4F05E" w14:textId="77777777" w:rsidTr="00AE50C9">
        <w:tc>
          <w:tcPr>
            <w:tcW w:w="9639" w:type="dxa"/>
          </w:tcPr>
          <w:p w14:paraId="19F0FF40" w14:textId="77777777" w:rsidR="001240C5" w:rsidRPr="006E4BE1" w:rsidRDefault="00185DC3" w:rsidP="00185DC3">
            <w:pPr>
              <w:keepNext/>
              <w:keepLines/>
              <w:ind w:left="420"/>
              <w:jc w:val="center"/>
              <w:rPr>
                <w:i/>
                <w:color w:val="26724C" w:themeColor="accent1" w:themeShade="BF"/>
                <w:sz w:val="18"/>
                <w:lang w:val="es-ES_tradnl"/>
              </w:rPr>
            </w:pPr>
            <w:r w:rsidRPr="006E4BE1">
              <w:rPr>
                <w:i/>
                <w:color w:val="26724C" w:themeColor="accent1" w:themeShade="BF"/>
                <w:sz w:val="18"/>
                <w:lang w:val="es-ES_tradnl"/>
              </w:rPr>
              <w:t>Gráfico 5. Número de solicitudes, títulos concedidos y títulos vigentes en los miembros de la Unión</w:t>
            </w:r>
          </w:p>
          <w:p w14:paraId="4E54DD27" w14:textId="5DC2EC52" w:rsidR="00185DC3" w:rsidRPr="006E4BE1" w:rsidRDefault="00185DC3" w:rsidP="00185DC3">
            <w:pPr>
              <w:keepNext/>
              <w:keepLines/>
              <w:ind w:left="420"/>
              <w:jc w:val="center"/>
              <w:rPr>
                <w:i/>
                <w:color w:val="26724C" w:themeColor="accent1" w:themeShade="BF"/>
                <w:sz w:val="18"/>
                <w:lang w:val="es-ES_tradnl"/>
              </w:rPr>
            </w:pPr>
          </w:p>
        </w:tc>
      </w:tr>
      <w:tr w:rsidR="00514B54" w:rsidRPr="006E4BE1" w14:paraId="790749C3" w14:textId="77777777" w:rsidTr="00AE50C9">
        <w:tc>
          <w:tcPr>
            <w:tcW w:w="9639" w:type="dxa"/>
          </w:tcPr>
          <w:p w14:paraId="45CD88D6" w14:textId="7403A45D" w:rsidR="00755D48" w:rsidRPr="006E4BE1" w:rsidRDefault="00AE50C9" w:rsidP="00AE50C9">
            <w:pPr>
              <w:jc w:val="center"/>
              <w:rPr>
                <w:i/>
                <w:color w:val="26724C" w:themeColor="accent1" w:themeShade="BF"/>
                <w:sz w:val="18"/>
                <w:lang w:val="es-ES_tradnl"/>
              </w:rPr>
            </w:pPr>
            <w:r w:rsidRPr="006E4BE1">
              <w:rPr>
                <w:i/>
                <w:noProof/>
                <w:color w:val="26724C" w:themeColor="accent1" w:themeShade="BF"/>
                <w:sz w:val="18"/>
              </w:rPr>
              <w:drawing>
                <wp:inline distT="0" distB="0" distL="0" distR="0" wp14:anchorId="1B9AE737" wp14:editId="0A56C5F1">
                  <wp:extent cx="5390861" cy="3344912"/>
                  <wp:effectExtent l="0" t="0" r="63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4460" cy="3347145"/>
                          </a:xfrm>
                          <a:prstGeom prst="rect">
                            <a:avLst/>
                          </a:prstGeom>
                          <a:noFill/>
                          <a:ln>
                            <a:noFill/>
                          </a:ln>
                        </pic:spPr>
                      </pic:pic>
                    </a:graphicData>
                  </a:graphic>
                </wp:inline>
              </w:drawing>
            </w:r>
          </w:p>
        </w:tc>
      </w:tr>
    </w:tbl>
    <w:p w14:paraId="4D7CFE96" w14:textId="77777777" w:rsidR="001240C5" w:rsidRPr="006E4BE1" w:rsidRDefault="001240C5">
      <w:pPr>
        <w:rPr>
          <w:lang w:val="es-ES_tradnl"/>
        </w:rPr>
      </w:pPr>
    </w:p>
    <w:p w14:paraId="19A11228" w14:textId="77777777" w:rsidR="00042420" w:rsidRPr="006E4BE1" w:rsidRDefault="00042420">
      <w:pPr>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85DC3" w:rsidRPr="001D7D80" w14:paraId="6CC09EF9" w14:textId="77777777" w:rsidTr="00514B54">
        <w:tc>
          <w:tcPr>
            <w:tcW w:w="9639" w:type="dxa"/>
          </w:tcPr>
          <w:p w14:paraId="54169750" w14:textId="77777777" w:rsidR="001240C5" w:rsidRPr="006E4BE1" w:rsidRDefault="00185DC3" w:rsidP="00185DC3">
            <w:pPr>
              <w:jc w:val="center"/>
              <w:rPr>
                <w:i/>
                <w:color w:val="26724C" w:themeColor="accent1" w:themeShade="BF"/>
                <w:sz w:val="18"/>
                <w:lang w:val="es-ES_tradnl"/>
              </w:rPr>
            </w:pPr>
            <w:r w:rsidRPr="006E4BE1">
              <w:rPr>
                <w:i/>
                <w:color w:val="26724C" w:themeColor="accent1" w:themeShade="BF"/>
                <w:sz w:val="18"/>
                <w:lang w:val="es-ES_tradnl"/>
              </w:rPr>
              <w:lastRenderedPageBreak/>
              <w:t>Gráfico 6. Evolución de la protección de géneros y especies vegetales</w:t>
            </w:r>
          </w:p>
          <w:p w14:paraId="0D17FFE5" w14:textId="4F3F8D25" w:rsidR="00185DC3" w:rsidRPr="006E4BE1" w:rsidRDefault="00185DC3" w:rsidP="003847A9">
            <w:pPr>
              <w:jc w:val="center"/>
              <w:rPr>
                <w:i/>
                <w:color w:val="26724C" w:themeColor="accent1" w:themeShade="BF"/>
                <w:sz w:val="18"/>
                <w:lang w:val="es-ES_tradnl"/>
              </w:rPr>
            </w:pPr>
          </w:p>
        </w:tc>
      </w:tr>
      <w:tr w:rsidR="008C5BB5" w:rsidRPr="006E4BE1" w14:paraId="65C3D567" w14:textId="77777777" w:rsidTr="00514B54">
        <w:tc>
          <w:tcPr>
            <w:tcW w:w="9639" w:type="dxa"/>
          </w:tcPr>
          <w:p w14:paraId="2108B2E6" w14:textId="4BF064DD" w:rsidR="00755D48" w:rsidRPr="006E4BE1" w:rsidRDefault="00EA4F22" w:rsidP="00AE50C9">
            <w:pPr>
              <w:jc w:val="center"/>
              <w:rPr>
                <w:i/>
                <w:color w:val="26724C" w:themeColor="accent1" w:themeShade="BF"/>
                <w:sz w:val="18"/>
                <w:lang w:val="es-ES_tradnl"/>
              </w:rPr>
            </w:pPr>
            <w:r w:rsidRPr="006E4BE1">
              <w:rPr>
                <w:i/>
                <w:noProof/>
                <w:color w:val="26724C" w:themeColor="accent1" w:themeShade="BF"/>
                <w:sz w:val="18"/>
              </w:rPr>
              <w:drawing>
                <wp:inline distT="0" distB="0" distL="0" distR="0" wp14:anchorId="7C62A84B" wp14:editId="4CF41C59">
                  <wp:extent cx="6115050" cy="401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tc>
      </w:tr>
    </w:tbl>
    <w:p w14:paraId="01B7ADDC" w14:textId="77777777" w:rsidR="001240C5" w:rsidRPr="006E4BE1" w:rsidRDefault="001240C5" w:rsidP="00AE50C9">
      <w:pPr>
        <w:rPr>
          <w:color w:val="000000" w:themeColor="text1"/>
          <w:lang w:val="es-ES_tradnl"/>
        </w:rPr>
      </w:pPr>
    </w:p>
    <w:p w14:paraId="31283D87" w14:textId="77777777" w:rsidR="00185DC3" w:rsidRPr="006E4BE1" w:rsidRDefault="00185DC3" w:rsidP="00AE50C9">
      <w:pPr>
        <w:rPr>
          <w:color w:val="000000" w:themeColor="text1"/>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85DC3" w:rsidRPr="001D7D80" w14:paraId="169AA7C4" w14:textId="77777777" w:rsidTr="00514B54">
        <w:tc>
          <w:tcPr>
            <w:tcW w:w="9639" w:type="dxa"/>
          </w:tcPr>
          <w:p w14:paraId="5AFC2816" w14:textId="74D9F0DA" w:rsidR="00185DC3" w:rsidRPr="006E4BE1" w:rsidRDefault="00185DC3" w:rsidP="00501C77">
            <w:pPr>
              <w:jc w:val="center"/>
              <w:rPr>
                <w:i/>
                <w:color w:val="26724C" w:themeColor="accent1" w:themeShade="BF"/>
                <w:sz w:val="18"/>
                <w:lang w:val="es-ES_tradnl"/>
              </w:rPr>
            </w:pPr>
            <w:r w:rsidRPr="006E4BE1">
              <w:rPr>
                <w:i/>
                <w:color w:val="26724C" w:themeColor="accent1" w:themeShade="BF"/>
                <w:sz w:val="18"/>
                <w:lang w:val="es-ES_tradnl"/>
              </w:rPr>
              <w:t>Gráfico 7. Derechos de obtentor inscritos en la base de datos sobre variedades vegetales (PLUTO)</w:t>
            </w:r>
          </w:p>
        </w:tc>
      </w:tr>
      <w:tr w:rsidR="008C5BB5" w:rsidRPr="006E4BE1" w14:paraId="2D9916CD" w14:textId="77777777" w:rsidTr="00514B54">
        <w:tc>
          <w:tcPr>
            <w:tcW w:w="9639" w:type="dxa"/>
          </w:tcPr>
          <w:p w14:paraId="21895BF2" w14:textId="0DAFF97F" w:rsidR="00755D48" w:rsidRPr="006E4BE1" w:rsidRDefault="00501C77" w:rsidP="00AE50C9">
            <w:pPr>
              <w:jc w:val="center"/>
              <w:rPr>
                <w:i/>
                <w:color w:val="26724C" w:themeColor="accent1" w:themeShade="BF"/>
                <w:sz w:val="18"/>
                <w:lang w:val="es-ES_tradnl"/>
              </w:rPr>
            </w:pPr>
            <w:r w:rsidRPr="006E4BE1">
              <w:rPr>
                <w:i/>
                <w:noProof/>
                <w:color w:val="26724C" w:themeColor="accent1" w:themeShade="BF"/>
                <w:sz w:val="18"/>
              </w:rPr>
              <w:drawing>
                <wp:inline distT="0" distB="0" distL="0" distR="0" wp14:anchorId="52529DE9" wp14:editId="63A650E2">
                  <wp:extent cx="5723681" cy="358056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9657" cy="3584305"/>
                          </a:xfrm>
                          <a:prstGeom prst="rect">
                            <a:avLst/>
                          </a:prstGeom>
                          <a:noFill/>
                        </pic:spPr>
                      </pic:pic>
                    </a:graphicData>
                  </a:graphic>
                </wp:inline>
              </w:drawing>
            </w:r>
          </w:p>
        </w:tc>
      </w:tr>
    </w:tbl>
    <w:p w14:paraId="48E57027" w14:textId="77777777" w:rsidR="001240C5" w:rsidRPr="006E4BE1" w:rsidRDefault="000410EB" w:rsidP="00AE50C9">
      <w:pPr>
        <w:jc w:val="left"/>
        <w:rPr>
          <w:color w:val="26724C" w:themeColor="accent1" w:themeShade="BF"/>
          <w:sz w:val="28"/>
          <w:lang w:val="es-ES_tradnl"/>
        </w:rPr>
      </w:pPr>
      <w:bookmarkStart w:id="424" w:name="_Toc61532295"/>
      <w:bookmarkStart w:id="425" w:name="_Toc61533690"/>
      <w:r w:rsidRPr="006E4BE1">
        <w:rPr>
          <w:lang w:val="es-ES_tradnl"/>
        </w:rPr>
        <w:br w:type="page"/>
      </w:r>
    </w:p>
    <w:p w14:paraId="65C587A8" w14:textId="77777777" w:rsidR="001240C5" w:rsidRPr="006E4BE1" w:rsidRDefault="00167B47" w:rsidP="00AE50C9">
      <w:pPr>
        <w:pStyle w:val="Heading2"/>
        <w:keepNext w:val="0"/>
        <w:rPr>
          <w:lang w:val="es-ES_tradnl"/>
        </w:rPr>
      </w:pPr>
      <w:bookmarkStart w:id="426" w:name="_Toc78476706"/>
      <w:bookmarkEnd w:id="424"/>
      <w:bookmarkEnd w:id="425"/>
      <w:r w:rsidRPr="006E4BE1">
        <w:rPr>
          <w:lang w:val="es-ES_tradnl"/>
        </w:rPr>
        <w:lastRenderedPageBreak/>
        <w:t>Dirección</w:t>
      </w:r>
      <w:r w:rsidR="00AD23EE" w:rsidRPr="006E4BE1">
        <w:rPr>
          <w:lang w:val="es-ES_tradnl"/>
        </w:rPr>
        <w:t xml:space="preserve"> para el bienio 2022-2023</w:t>
      </w:r>
      <w:bookmarkEnd w:id="426"/>
    </w:p>
    <w:p w14:paraId="65F22B58" w14:textId="77777777" w:rsidR="001240C5" w:rsidRPr="006E4BE1" w:rsidRDefault="001240C5" w:rsidP="00AE50C9">
      <w:pPr>
        <w:rPr>
          <w:lang w:val="es-ES_tradnl"/>
        </w:rPr>
      </w:pPr>
    </w:p>
    <w:p w14:paraId="3DFBDACA" w14:textId="77777777" w:rsidR="001240C5" w:rsidRPr="006E4BE1" w:rsidRDefault="00AD23EE" w:rsidP="00B60E92">
      <w:pPr>
        <w:pStyle w:val="Heading3"/>
      </w:pPr>
      <w:bookmarkStart w:id="427" w:name="_Toc78476707"/>
      <w:r w:rsidRPr="006E4BE1">
        <w:t>Introducción</w:t>
      </w:r>
      <w:bookmarkEnd w:id="427"/>
    </w:p>
    <w:p w14:paraId="020551E6" w14:textId="77777777" w:rsidR="001240C5" w:rsidRPr="006E4BE1" w:rsidRDefault="001240C5" w:rsidP="00AE50C9">
      <w:pPr>
        <w:tabs>
          <w:tab w:val="left" w:pos="851"/>
        </w:tabs>
        <w:rPr>
          <w:rFonts w:cs="Arial"/>
          <w:szCs w:val="19"/>
          <w:lang w:val="es-ES_tradnl"/>
        </w:rPr>
      </w:pPr>
    </w:p>
    <w:p w14:paraId="6FF920A5" w14:textId="2E3B17DF" w:rsidR="001240C5" w:rsidRPr="006E4BE1" w:rsidRDefault="00543479" w:rsidP="00543479">
      <w:pPr>
        <w:tabs>
          <w:tab w:val="left" w:pos="851"/>
        </w:tabs>
        <w:rPr>
          <w:rFonts w:cs="Arial"/>
          <w:szCs w:val="19"/>
          <w:lang w:val="es-ES_tradnl"/>
        </w:rPr>
      </w:pPr>
      <w:r w:rsidRPr="006E4BE1">
        <w:rPr>
          <w:rFonts w:cs="Arial"/>
          <w:szCs w:val="19"/>
          <w:lang w:val="es-ES_tradnl"/>
        </w:rPr>
        <w:t xml:space="preserve">El presente </w:t>
      </w:r>
      <w:r w:rsidR="00AD3089">
        <w:rPr>
          <w:rFonts w:cs="Arial"/>
          <w:szCs w:val="19"/>
          <w:lang w:val="es-ES_tradnl"/>
        </w:rPr>
        <w:t>p</w:t>
      </w:r>
      <w:r w:rsidRPr="006E4BE1">
        <w:rPr>
          <w:rFonts w:cs="Arial"/>
          <w:szCs w:val="19"/>
          <w:lang w:val="es-ES_tradnl"/>
        </w:rPr>
        <w:t>rograma y presupuesto para el bienio 2022-2023 se ha preparado en el contexto del Plan Operativo Estratégico para 2021-2025 aprobado por el Comité Consultivo por correspondencia, de conformidad con el procedimiento adoptado por el Consejo en 2020.</w:t>
      </w:r>
      <w:r w:rsidRPr="006E4BE1">
        <w:rPr>
          <w:rStyle w:val="FootnoteReference"/>
          <w:rFonts w:cs="Arial"/>
          <w:szCs w:val="19"/>
          <w:lang w:val="es-ES_tradnl"/>
        </w:rPr>
        <w:footnoteReference w:id="4"/>
      </w:r>
    </w:p>
    <w:p w14:paraId="4366428B" w14:textId="77777777" w:rsidR="001240C5" w:rsidRPr="006E4BE1" w:rsidRDefault="001240C5">
      <w:pPr>
        <w:tabs>
          <w:tab w:val="left" w:pos="851"/>
        </w:tabs>
        <w:rPr>
          <w:rFonts w:cs="Arial"/>
          <w:szCs w:val="19"/>
          <w:lang w:val="es-ES_tradnl"/>
        </w:rPr>
      </w:pPr>
    </w:p>
    <w:p w14:paraId="1BB5595E" w14:textId="77777777" w:rsidR="001240C5" w:rsidRPr="006E4BE1" w:rsidRDefault="00167B47" w:rsidP="00AE50C9">
      <w:pPr>
        <w:tabs>
          <w:tab w:val="left" w:pos="851"/>
        </w:tabs>
        <w:rPr>
          <w:lang w:val="es-ES_tradnl"/>
        </w:rPr>
      </w:pPr>
      <w:r w:rsidRPr="006E4BE1">
        <w:rPr>
          <w:lang w:val="es-ES_tradnl"/>
        </w:rPr>
        <w:t>En el plan operativo estratégico de la UPOV para 2021-2025 se señala lo siguiente en relación con la dirección, filosofía y finalidad de la UPOV:</w:t>
      </w:r>
    </w:p>
    <w:p w14:paraId="17323674" w14:textId="77777777" w:rsidR="001240C5" w:rsidRPr="006E4BE1" w:rsidRDefault="001240C5" w:rsidP="00AE50C9">
      <w:pPr>
        <w:rPr>
          <w:lang w:val="es-ES_tradnl"/>
        </w:rPr>
      </w:pPr>
    </w:p>
    <w:p w14:paraId="01A241BC" w14:textId="77777777" w:rsidR="001240C5" w:rsidRPr="006E4BE1" w:rsidRDefault="00C178AA" w:rsidP="00AE50C9">
      <w:pPr>
        <w:ind w:left="1134" w:hanging="567"/>
        <w:rPr>
          <w:sz w:val="18"/>
          <w:szCs w:val="18"/>
          <w:lang w:val="es-ES_tradnl"/>
        </w:rPr>
      </w:pPr>
      <w:r w:rsidRPr="006E4BE1">
        <w:rPr>
          <w:sz w:val="18"/>
          <w:szCs w:val="18"/>
          <w:lang w:val="es-ES_tradnl"/>
        </w:rPr>
        <w:t>“</w:t>
      </w:r>
      <w:r w:rsidR="00167B47" w:rsidRPr="006E4BE1">
        <w:rPr>
          <w:sz w:val="18"/>
          <w:szCs w:val="18"/>
          <w:lang w:val="es-ES_tradnl"/>
        </w:rPr>
        <w:t>7.</w:t>
      </w:r>
      <w:r w:rsidR="00167B47" w:rsidRPr="006E4BE1">
        <w:rPr>
          <w:sz w:val="18"/>
          <w:szCs w:val="18"/>
          <w:lang w:val="es-ES_tradnl"/>
        </w:rPr>
        <w:tab/>
        <w:t>En lo relativo a proporcionar un sistema eficaz de protección de las variedades vegetales, la UPOV siempre ha puesto de relieve que su prioridad es el servicio a los miembros de la Unión</w:t>
      </w:r>
      <w:r w:rsidR="00FE64A1" w:rsidRPr="006E4BE1">
        <w:rPr>
          <w:sz w:val="18"/>
          <w:szCs w:val="18"/>
          <w:lang w:val="es-ES_tradnl"/>
        </w:rPr>
        <w:t xml:space="preserve">.  </w:t>
      </w:r>
      <w:r w:rsidR="00167B47" w:rsidRPr="006E4BE1">
        <w:rPr>
          <w:sz w:val="18"/>
          <w:szCs w:val="18"/>
          <w:lang w:val="es-ES_tradnl"/>
        </w:rPr>
        <w:t>La asistencia a los Estados y organizaciones que no son miembros de la Unión se centra en la elaboración de legislación con arreglo al Acta de 1991 del Convenio de la UPOV con objeto de facilitar su adhesión a la Unión</w:t>
      </w:r>
      <w:r w:rsidR="00FE64A1" w:rsidRPr="006E4BE1">
        <w:rPr>
          <w:sz w:val="18"/>
          <w:szCs w:val="18"/>
          <w:lang w:val="es-ES_tradnl"/>
        </w:rPr>
        <w:t xml:space="preserve">.  </w:t>
      </w:r>
      <w:r w:rsidR="00A83F4E" w:rsidRPr="006E4BE1">
        <w:rPr>
          <w:sz w:val="18"/>
          <w:szCs w:val="18"/>
          <w:lang w:val="es-ES_tradnl"/>
        </w:rPr>
        <w:t>Las partes interesadas respaldaron este enfoque en la “Evaluación de la Unión Internacional para la Protección de las Obtenciones Vegetales (UPOV)” por la División de Supervisión Interna (DSI</w:t>
      </w:r>
      <w:r w:rsidR="00765DE0" w:rsidRPr="006E4BE1">
        <w:rPr>
          <w:sz w:val="18"/>
          <w:szCs w:val="18"/>
          <w:lang w:val="es-ES_tradnl"/>
        </w:rPr>
        <w:t>) de la OMPI (“Evaluación de la </w:t>
      </w:r>
      <w:r w:rsidR="00A83F4E" w:rsidRPr="006E4BE1">
        <w:rPr>
          <w:sz w:val="18"/>
          <w:szCs w:val="18"/>
          <w:lang w:val="es-ES_tradnl"/>
        </w:rPr>
        <w:t>UPOV por la DSI”), realizada en 2016.</w:t>
      </w:r>
    </w:p>
    <w:p w14:paraId="48C07548" w14:textId="77777777" w:rsidR="001240C5" w:rsidRPr="006E4BE1" w:rsidRDefault="001240C5" w:rsidP="00AE50C9">
      <w:pPr>
        <w:ind w:left="1134" w:hanging="567"/>
        <w:rPr>
          <w:sz w:val="18"/>
          <w:szCs w:val="18"/>
          <w:lang w:val="es-ES_tradnl"/>
        </w:rPr>
      </w:pPr>
    </w:p>
    <w:p w14:paraId="734D60BB" w14:textId="77777777" w:rsidR="001240C5" w:rsidRPr="006E4BE1" w:rsidRDefault="00A83F4E" w:rsidP="00AE50C9">
      <w:pPr>
        <w:ind w:left="1134" w:hanging="567"/>
        <w:rPr>
          <w:sz w:val="18"/>
          <w:szCs w:val="18"/>
          <w:lang w:val="es-ES_tradnl"/>
        </w:rPr>
      </w:pPr>
      <w:r w:rsidRPr="006E4BE1">
        <w:rPr>
          <w:sz w:val="18"/>
          <w:szCs w:val="18"/>
          <w:lang w:val="es-ES_tradnl"/>
        </w:rPr>
        <w:t>8.</w:t>
      </w:r>
      <w:r w:rsidRPr="006E4BE1">
        <w:rPr>
          <w:sz w:val="18"/>
          <w:szCs w:val="18"/>
          <w:lang w:val="es-ES_tradnl"/>
        </w:rPr>
        <w:tab/>
        <w:t>La importancia de la promoción del sistema de la UPOV se destaca en el Informe de la UPOV sobre el impacto de la protección de las obtenciones vegetales, en el que se pone de manifiesto que la ampliación de la UPOV beneficia tanto a sus miembros recientes como a los antiguos (véase “Ampliación de la UPOV: beneficios para los miembros recientes y antiguos”).</w:t>
      </w:r>
    </w:p>
    <w:p w14:paraId="7A84D367" w14:textId="77777777" w:rsidR="001240C5" w:rsidRPr="006E4BE1" w:rsidRDefault="001240C5" w:rsidP="00AE50C9">
      <w:pPr>
        <w:ind w:left="1134" w:hanging="567"/>
        <w:rPr>
          <w:sz w:val="18"/>
          <w:szCs w:val="18"/>
          <w:lang w:val="es-ES_tradnl"/>
        </w:rPr>
      </w:pPr>
    </w:p>
    <w:p w14:paraId="58718CA2" w14:textId="77777777" w:rsidR="001240C5" w:rsidRPr="006E4BE1" w:rsidRDefault="00A83F4E" w:rsidP="00AE50C9">
      <w:pPr>
        <w:ind w:left="1134" w:hanging="567"/>
        <w:rPr>
          <w:lang w:val="es-ES_tradnl"/>
        </w:rPr>
      </w:pPr>
      <w:r w:rsidRPr="006E4BE1">
        <w:rPr>
          <w:sz w:val="18"/>
          <w:szCs w:val="18"/>
          <w:lang w:val="es-ES_tradnl"/>
        </w:rPr>
        <w:t>9.</w:t>
      </w:r>
      <w:r w:rsidRPr="006E4BE1">
        <w:rPr>
          <w:sz w:val="18"/>
          <w:szCs w:val="18"/>
          <w:lang w:val="es-ES_tradnl"/>
        </w:rPr>
        <w:tab/>
        <w:t>El aumento de la información sobre las ventajas de la protección de las variedades vegetales y la pertenencia a la UPOV en los últimos años ha suscitado un interés cada vez mayor por la adhesión a la UPOV</w:t>
      </w:r>
      <w:r w:rsidR="00FE64A1" w:rsidRPr="006E4BE1">
        <w:rPr>
          <w:sz w:val="18"/>
          <w:szCs w:val="18"/>
          <w:lang w:val="es-ES_tradnl"/>
        </w:rPr>
        <w:t xml:space="preserve">.  </w:t>
      </w:r>
      <w:r w:rsidRPr="006E4BE1">
        <w:rPr>
          <w:sz w:val="18"/>
          <w:szCs w:val="18"/>
          <w:lang w:val="es-ES_tradnl"/>
        </w:rPr>
        <w:t>Al mismo tiempo, cada vez hay más conciencia de la importancia fundamental del fitomejoramiento para que la agricultura pueda proporcionar seguridad alimentaria a una población mundial en crecimiento, conservando al mismo tiempo los recursos del planeta y adaptándose al cambio climático</w:t>
      </w:r>
      <w:r w:rsidR="00FE64A1" w:rsidRPr="006E4BE1">
        <w:rPr>
          <w:sz w:val="18"/>
          <w:szCs w:val="18"/>
          <w:lang w:val="es-ES_tradnl"/>
        </w:rPr>
        <w:t xml:space="preserve">.  </w:t>
      </w:r>
      <w:r w:rsidRPr="006E4BE1">
        <w:rPr>
          <w:sz w:val="18"/>
          <w:szCs w:val="18"/>
          <w:lang w:val="es-ES_tradnl"/>
        </w:rPr>
        <w:t>Se prevé que las mejoras sustanciales en la eficacia del sistema de la UPOV sigan fomentando el interés por adherirse a la UPOV</w:t>
      </w:r>
      <w:r w:rsidR="00FE64A1" w:rsidRPr="006E4BE1">
        <w:rPr>
          <w:sz w:val="18"/>
          <w:szCs w:val="18"/>
          <w:lang w:val="es-ES_tradnl"/>
        </w:rPr>
        <w:t xml:space="preserve">.  </w:t>
      </w:r>
      <w:r w:rsidRPr="006E4BE1">
        <w:rPr>
          <w:sz w:val="18"/>
          <w:szCs w:val="18"/>
          <w:lang w:val="es-ES_tradnl"/>
        </w:rPr>
        <w:t>A fin de introducir estas mejoras y prestar apoyo a un número cada vez mayor de miembros de la UPOV, esta última debe revisar continuamente su programa de actividades y los recursos necesarios.</w:t>
      </w:r>
      <w:r w:rsidR="00C178AA" w:rsidRPr="006E4BE1">
        <w:rPr>
          <w:sz w:val="18"/>
          <w:szCs w:val="18"/>
          <w:lang w:val="es-ES_tradnl"/>
        </w:rPr>
        <w:t>”</w:t>
      </w:r>
    </w:p>
    <w:p w14:paraId="172D095B" w14:textId="77777777" w:rsidR="001240C5" w:rsidRPr="006E4BE1" w:rsidRDefault="001240C5" w:rsidP="00AE50C9">
      <w:pPr>
        <w:rPr>
          <w:lang w:val="es-ES_tradnl"/>
        </w:rPr>
      </w:pPr>
    </w:p>
    <w:p w14:paraId="0840885F" w14:textId="77777777" w:rsidR="001240C5" w:rsidRPr="006E4BE1" w:rsidRDefault="005B08A6" w:rsidP="00AE50C9">
      <w:pPr>
        <w:tabs>
          <w:tab w:val="left" w:pos="851"/>
        </w:tabs>
        <w:rPr>
          <w:lang w:val="es-ES_tradnl"/>
        </w:rPr>
      </w:pPr>
      <w:r w:rsidRPr="006E4BE1">
        <w:rPr>
          <w:lang w:val="es-ES_tradnl"/>
        </w:rPr>
        <w:t>Además de mantener las formas de apoyo de probada eficacia, el progra</w:t>
      </w:r>
      <w:r w:rsidR="00AE50C9" w:rsidRPr="006E4BE1">
        <w:rPr>
          <w:lang w:val="es-ES_tradnl"/>
        </w:rPr>
        <w:t>ma y presupuesto para el bienio </w:t>
      </w:r>
      <w:r w:rsidRPr="006E4BE1">
        <w:rPr>
          <w:lang w:val="es-ES_tradnl"/>
        </w:rPr>
        <w:t>2022-2023 ofrecerá un nuevo nivel de apoyo a los miembros de la Unión y un mayor alcance</w:t>
      </w:r>
      <w:r w:rsidR="00FE64A1" w:rsidRPr="006E4BE1">
        <w:rPr>
          <w:lang w:val="es-ES_tradnl"/>
        </w:rPr>
        <w:t xml:space="preserve">.  </w:t>
      </w:r>
      <w:r w:rsidR="003E067D" w:rsidRPr="006E4BE1">
        <w:rPr>
          <w:lang w:val="es-ES_tradnl"/>
        </w:rPr>
        <w:t>En particular, los avances en la</w:t>
      </w:r>
      <w:r w:rsidR="004E7CB7" w:rsidRPr="006E4BE1">
        <w:rPr>
          <w:lang w:val="es-ES_tradnl"/>
        </w:rPr>
        <w:t>s</w:t>
      </w:r>
      <w:r w:rsidR="003E067D" w:rsidRPr="006E4BE1">
        <w:rPr>
          <w:lang w:val="es-ES_tradnl"/>
        </w:rPr>
        <w:t xml:space="preserve"> tecnología</w:t>
      </w:r>
      <w:r w:rsidR="004E7CB7" w:rsidRPr="006E4BE1">
        <w:rPr>
          <w:lang w:val="es-ES_tradnl"/>
        </w:rPr>
        <w:t>s</w:t>
      </w:r>
      <w:r w:rsidR="003E067D" w:rsidRPr="006E4BE1">
        <w:rPr>
          <w:lang w:val="es-ES_tradnl"/>
        </w:rPr>
        <w:t xml:space="preserve"> de la información (TI), junto con la creación del puesto de oficial de TI de la UPOV en el bienio 2020-2021, presentan nuevas oportunidades para mejorar la asistencia prestada a los miembros de la Unión en la aplicación del sistema de protección de </w:t>
      </w:r>
      <w:r w:rsidR="00765DE0" w:rsidRPr="006E4BE1">
        <w:rPr>
          <w:lang w:val="es-ES_tradnl"/>
        </w:rPr>
        <w:t>las obtenciones vegetales de la </w:t>
      </w:r>
      <w:r w:rsidR="003E067D" w:rsidRPr="006E4BE1">
        <w:rPr>
          <w:lang w:val="es-ES_tradnl"/>
        </w:rPr>
        <w:t>UPOV y aumentar la divulgación en un mayor número de idiomas, como se indica a continuación.</w:t>
      </w:r>
    </w:p>
    <w:p w14:paraId="2EBC6553" w14:textId="77777777" w:rsidR="001240C5" w:rsidRPr="006E4BE1" w:rsidRDefault="001240C5" w:rsidP="00AE50C9">
      <w:pPr>
        <w:rPr>
          <w:lang w:val="es-ES_tradnl"/>
        </w:rPr>
      </w:pPr>
    </w:p>
    <w:p w14:paraId="0C87FF91" w14:textId="77777777" w:rsidR="001240C5" w:rsidRPr="006E4BE1" w:rsidRDefault="001240C5" w:rsidP="00AE50C9">
      <w:pPr>
        <w:rPr>
          <w:lang w:val="es-ES_tradnl"/>
        </w:rPr>
      </w:pPr>
    </w:p>
    <w:p w14:paraId="112F5FA3" w14:textId="77777777" w:rsidR="001240C5" w:rsidRPr="006E4BE1" w:rsidRDefault="008D2563" w:rsidP="00B60E92">
      <w:pPr>
        <w:pStyle w:val="Heading3"/>
      </w:pPr>
      <w:bookmarkStart w:id="428" w:name="_Toc78476708"/>
      <w:r w:rsidRPr="006E4BE1">
        <w:t xml:space="preserve">Un </w:t>
      </w:r>
      <w:r w:rsidR="003E067D" w:rsidRPr="006E4BE1">
        <w:t>sistema eficaz de protección de las obtenciones vegetales</w:t>
      </w:r>
      <w:bookmarkEnd w:id="428"/>
    </w:p>
    <w:p w14:paraId="6174AEEE" w14:textId="77777777" w:rsidR="001240C5" w:rsidRPr="006E4BE1" w:rsidRDefault="001240C5" w:rsidP="00AE50C9">
      <w:pPr>
        <w:pStyle w:val="ListParagraph"/>
        <w:tabs>
          <w:tab w:val="left" w:pos="851"/>
        </w:tabs>
        <w:ind w:left="0"/>
        <w:contextualSpacing w:val="0"/>
        <w:rPr>
          <w:color w:val="000000" w:themeColor="text1"/>
          <w:lang w:val="es-ES_tradnl"/>
        </w:rPr>
      </w:pPr>
    </w:p>
    <w:p w14:paraId="2A93CB73" w14:textId="77777777" w:rsidR="001240C5" w:rsidRPr="006E4BE1" w:rsidRDefault="00D76873" w:rsidP="00AE50C9">
      <w:pPr>
        <w:pStyle w:val="ListParagraph"/>
        <w:tabs>
          <w:tab w:val="left" w:pos="851"/>
        </w:tabs>
        <w:ind w:left="0"/>
        <w:contextualSpacing w:val="0"/>
        <w:rPr>
          <w:color w:val="000000" w:themeColor="text1"/>
          <w:lang w:val="es-ES_tradnl"/>
        </w:rPr>
      </w:pPr>
      <w:r w:rsidRPr="006E4BE1">
        <w:rPr>
          <w:color w:val="000000" w:themeColor="text1"/>
          <w:lang w:val="es-ES_tradnl"/>
        </w:rPr>
        <w:t>La Oficina de la Unión seguirá prestando asistencia con arreglo al siguiente orden de prioridad:</w:t>
      </w:r>
    </w:p>
    <w:p w14:paraId="02F0B47A" w14:textId="77777777" w:rsidR="001240C5" w:rsidRPr="006E4BE1" w:rsidRDefault="001240C5" w:rsidP="00AE50C9">
      <w:pPr>
        <w:rPr>
          <w:color w:val="000000" w:themeColor="text1"/>
          <w:lang w:val="es-ES_tradnl"/>
        </w:rPr>
      </w:pPr>
    </w:p>
    <w:p w14:paraId="5DC6AFD6" w14:textId="77777777" w:rsidR="001240C5" w:rsidRPr="006E4BE1" w:rsidRDefault="00D76873" w:rsidP="00AE50C9">
      <w:pPr>
        <w:spacing w:after="120"/>
        <w:ind w:left="1134" w:hanging="567"/>
        <w:rPr>
          <w:color w:val="000000" w:themeColor="text1"/>
          <w:lang w:val="es-ES_tradnl"/>
        </w:rPr>
      </w:pPr>
      <w:r w:rsidRPr="006E4BE1">
        <w:rPr>
          <w:color w:val="000000" w:themeColor="text1"/>
          <w:lang w:val="es-ES_tradnl"/>
        </w:rPr>
        <w:t>i)</w:t>
      </w:r>
      <w:r w:rsidRPr="006E4BE1">
        <w:rPr>
          <w:color w:val="000000" w:themeColor="text1"/>
          <w:lang w:val="es-ES_tradnl"/>
        </w:rPr>
        <w:tab/>
        <w:t>Asistencia a los actuales miembros de la Unión;</w:t>
      </w:r>
    </w:p>
    <w:p w14:paraId="072704B1" w14:textId="77777777" w:rsidR="001240C5" w:rsidRPr="006E4BE1" w:rsidRDefault="00D76873" w:rsidP="00AE50C9">
      <w:pPr>
        <w:spacing w:after="120"/>
        <w:ind w:left="1134" w:hanging="567"/>
        <w:rPr>
          <w:color w:val="000000" w:themeColor="text1"/>
          <w:lang w:val="es-ES_tradnl"/>
        </w:rPr>
      </w:pPr>
      <w:r w:rsidRPr="006E4BE1">
        <w:rPr>
          <w:color w:val="000000" w:themeColor="text1"/>
          <w:lang w:val="es-ES_tradnl"/>
        </w:rPr>
        <w:t>ii)</w:t>
      </w:r>
      <w:r w:rsidRPr="006E4BE1">
        <w:rPr>
          <w:color w:val="000000" w:themeColor="text1"/>
          <w:lang w:val="es-ES_tradnl"/>
        </w:rPr>
        <w:tab/>
        <w:t>Asistencia a los Estados y a determinadas organizaciones que no son miembros de la Unión, concretamente a los gobiernos de los países en desarrollo y los países en transición a una economía de mercado, en la elaboración de legislación con arreglo al Acta de 1991 del Convenio de la UPOV y en su adhesión al Convenio de la UPOV; y</w:t>
      </w:r>
    </w:p>
    <w:p w14:paraId="32EC57AA" w14:textId="77777777" w:rsidR="001240C5" w:rsidRPr="006E4BE1" w:rsidRDefault="00D76873" w:rsidP="00AE50C9">
      <w:pPr>
        <w:tabs>
          <w:tab w:val="left" w:pos="567"/>
        </w:tabs>
        <w:ind w:left="1134" w:hanging="567"/>
        <w:rPr>
          <w:color w:val="000000" w:themeColor="text1"/>
          <w:lang w:val="es-ES_tradnl"/>
        </w:rPr>
      </w:pPr>
      <w:r w:rsidRPr="006E4BE1">
        <w:rPr>
          <w:color w:val="000000" w:themeColor="text1"/>
          <w:lang w:val="es-ES_tradnl"/>
        </w:rPr>
        <w:t>iii)</w:t>
      </w:r>
      <w:r w:rsidRPr="006E4BE1">
        <w:rPr>
          <w:color w:val="000000" w:themeColor="text1"/>
          <w:lang w:val="es-ES_tradnl"/>
        </w:rPr>
        <w:tab/>
        <w:t>Asistencia a los Estados y a determinadas organizaciones que no son miembros de la Unión en la aplicación de la legislación que haya suscitado una decisión positiva del Consejo en relación con su adhesión al Convenio de la UPOV.</w:t>
      </w:r>
    </w:p>
    <w:p w14:paraId="2FEBDEB7" w14:textId="77777777" w:rsidR="001240C5" w:rsidRPr="006E4BE1" w:rsidRDefault="001240C5" w:rsidP="00AE50C9">
      <w:pPr>
        <w:rPr>
          <w:lang w:val="es-ES_tradnl"/>
        </w:rPr>
      </w:pPr>
    </w:p>
    <w:p w14:paraId="5411272E" w14:textId="77777777" w:rsidR="001240C5" w:rsidRPr="006E4BE1" w:rsidRDefault="00D76873" w:rsidP="009867DC">
      <w:pPr>
        <w:pStyle w:val="ListParagraph"/>
        <w:keepLines/>
        <w:tabs>
          <w:tab w:val="left" w:pos="851"/>
        </w:tabs>
        <w:spacing w:after="240"/>
        <w:ind w:left="0"/>
        <w:contextualSpacing w:val="0"/>
        <w:rPr>
          <w:lang w:val="es-ES_tradnl"/>
        </w:rPr>
      </w:pPr>
      <w:r w:rsidRPr="006E4BE1">
        <w:rPr>
          <w:lang w:val="es-ES_tradnl"/>
        </w:rPr>
        <w:t>Los principales objetivos de la UPOV en relación con el establecimiento de un sistema eficaz de protección de las obtenciones vegetales son:</w:t>
      </w:r>
      <w:r w:rsidRPr="006E4BE1">
        <w:rPr>
          <w:rStyle w:val="FootnoteReference"/>
          <w:lang w:val="es-ES_tradnl"/>
        </w:rPr>
        <w:footnoteReference w:id="5"/>
      </w:r>
    </w:p>
    <w:p w14:paraId="275F4E62" w14:textId="77777777" w:rsidR="001240C5" w:rsidRPr="006E4BE1" w:rsidRDefault="00C84A8C" w:rsidP="00C04E4A">
      <w:pPr>
        <w:pStyle w:val="ListParagraph"/>
        <w:keepNext/>
        <w:keepLines/>
        <w:numPr>
          <w:ilvl w:val="1"/>
          <w:numId w:val="31"/>
        </w:numPr>
        <w:ind w:left="1170" w:hanging="270"/>
        <w:contextualSpacing w:val="0"/>
        <w:rPr>
          <w:lang w:val="es-ES_tradnl"/>
        </w:rPr>
      </w:pPr>
      <w:r w:rsidRPr="006E4BE1">
        <w:rPr>
          <w:lang w:val="es-ES_tradnl"/>
        </w:rPr>
        <w:lastRenderedPageBreak/>
        <w:t>Proporcionar y desarrollar las bases jurídicas, administrativas y técnicas para la cooperación internacional en materia de protección de las obtenciones vegetales; y</w:t>
      </w:r>
    </w:p>
    <w:p w14:paraId="00078472" w14:textId="77777777" w:rsidR="001240C5" w:rsidRPr="006E4BE1" w:rsidRDefault="00C84A8C" w:rsidP="00AE50C9">
      <w:pPr>
        <w:pStyle w:val="ListParagraph"/>
        <w:numPr>
          <w:ilvl w:val="1"/>
          <w:numId w:val="31"/>
        </w:numPr>
        <w:ind w:left="1170" w:hanging="270"/>
        <w:contextualSpacing w:val="0"/>
        <w:rPr>
          <w:lang w:val="es-ES_tradnl"/>
        </w:rPr>
      </w:pPr>
      <w:r w:rsidRPr="006E4BE1">
        <w:rPr>
          <w:lang w:val="es-ES_tradnl"/>
        </w:rPr>
        <w:t>Prestar asistencia a los Estados y las organizaciones en la elaboración de legislación y en la aplicación de un sistema eficaz de protección de las obtenciones vegetales.</w:t>
      </w:r>
    </w:p>
    <w:p w14:paraId="3B70C342" w14:textId="77777777" w:rsidR="001240C5" w:rsidRPr="006E4BE1" w:rsidRDefault="001240C5" w:rsidP="00AE50C9">
      <w:pPr>
        <w:pStyle w:val="ListParagraph"/>
        <w:tabs>
          <w:tab w:val="left" w:pos="851"/>
        </w:tabs>
        <w:ind w:left="0"/>
        <w:contextualSpacing w:val="0"/>
        <w:rPr>
          <w:lang w:val="es-ES_tradnl"/>
        </w:rPr>
      </w:pPr>
    </w:p>
    <w:p w14:paraId="3C4A663C" w14:textId="77777777" w:rsidR="001240C5" w:rsidRPr="006E4BE1" w:rsidRDefault="004E1445" w:rsidP="00AE50C9">
      <w:pPr>
        <w:pStyle w:val="ListParagraph"/>
        <w:tabs>
          <w:tab w:val="left" w:pos="851"/>
        </w:tabs>
        <w:ind w:left="0"/>
        <w:contextualSpacing w:val="0"/>
        <w:rPr>
          <w:lang w:val="es-ES_tradnl"/>
        </w:rPr>
      </w:pPr>
      <w:r w:rsidRPr="006E4BE1">
        <w:rPr>
          <w:lang w:val="es-ES_tradnl"/>
        </w:rPr>
        <w:t>Los medios por los que la UPOV ha tratado de establecer un sistema eficaz de protección de las obtenciones vegetales se resumen de la manera siguiente (véase el gráfico 8):</w:t>
      </w:r>
    </w:p>
    <w:p w14:paraId="0D40D5C1" w14:textId="77777777" w:rsidR="001240C5" w:rsidRPr="006E4BE1" w:rsidRDefault="001240C5" w:rsidP="00AE50C9">
      <w:pPr>
        <w:pStyle w:val="ListParagraph"/>
        <w:ind w:left="0"/>
        <w:contextualSpacing w:val="0"/>
        <w:rPr>
          <w:lang w:val="es-ES_tradnl"/>
        </w:rPr>
      </w:pPr>
    </w:p>
    <w:p w14:paraId="589F8008" w14:textId="77777777" w:rsidR="001240C5" w:rsidRPr="006E4BE1" w:rsidRDefault="004E1445" w:rsidP="00AE50C9">
      <w:pPr>
        <w:pStyle w:val="ListParagraph"/>
        <w:numPr>
          <w:ilvl w:val="0"/>
          <w:numId w:val="41"/>
        </w:numPr>
        <w:contextualSpacing w:val="0"/>
        <w:rPr>
          <w:lang w:val="es-ES_tradnl"/>
        </w:rPr>
      </w:pPr>
      <w:r w:rsidRPr="006E4BE1">
        <w:rPr>
          <w:lang w:val="es-ES_tradnl"/>
        </w:rPr>
        <w:t>Orientación e información para armonizar la aplicación del sistema de la UPOV de protección de las variedades vegetales;</w:t>
      </w:r>
    </w:p>
    <w:p w14:paraId="5F62038B" w14:textId="77777777" w:rsidR="001240C5" w:rsidRPr="006E4BE1" w:rsidRDefault="004E1445" w:rsidP="00AE50C9">
      <w:pPr>
        <w:pStyle w:val="ListParagraph"/>
        <w:numPr>
          <w:ilvl w:val="0"/>
          <w:numId w:val="41"/>
        </w:numPr>
        <w:contextualSpacing w:val="0"/>
        <w:rPr>
          <w:lang w:val="es-ES_tradnl"/>
        </w:rPr>
      </w:pPr>
      <w:r w:rsidRPr="006E4BE1">
        <w:rPr>
          <w:lang w:val="es-ES_tradnl"/>
        </w:rPr>
        <w:t xml:space="preserve">Recursos para la aplicación del sistema de la UPOV (bases de datos UPOV Lex, PLUTO y GENIE, plantilla de los documentos TG y, recientemente, </w:t>
      </w:r>
      <w:r w:rsidR="00FE64A1" w:rsidRPr="006E4BE1">
        <w:rPr>
          <w:lang w:val="es-ES_tradnl"/>
        </w:rPr>
        <w:t>UPOV PRISMA</w:t>
      </w:r>
      <w:r w:rsidRPr="006E4BE1">
        <w:rPr>
          <w:lang w:val="es-ES_tradnl"/>
        </w:rPr>
        <w:t>); y</w:t>
      </w:r>
    </w:p>
    <w:p w14:paraId="7640A449" w14:textId="77777777" w:rsidR="001240C5" w:rsidRPr="006E4BE1" w:rsidRDefault="003A3722" w:rsidP="00AE50C9">
      <w:pPr>
        <w:pStyle w:val="ListParagraph"/>
        <w:numPr>
          <w:ilvl w:val="0"/>
          <w:numId w:val="41"/>
        </w:numPr>
        <w:contextualSpacing w:val="0"/>
        <w:rPr>
          <w:lang w:val="es-ES_tradnl"/>
        </w:rPr>
      </w:pPr>
      <w:r w:rsidRPr="006E4BE1">
        <w:rPr>
          <w:lang w:val="es-ES_tradnl"/>
        </w:rPr>
        <w:t>Formación y asistencia en forma de cursos de enseñanza a distancia, eventos y actividades y misiones del personal de la UPOV, junto con programas apoyados por los miembros de la Unión mediante fondos extrapresupuestarios.</w:t>
      </w:r>
    </w:p>
    <w:p w14:paraId="71639DF6" w14:textId="4E2ED8D1" w:rsidR="00D13D51" w:rsidRPr="006E4BE1" w:rsidRDefault="00D13D51" w:rsidP="00AE50C9">
      <w:pPr>
        <w:pStyle w:val="ListParagraph"/>
        <w:ind w:left="0"/>
        <w:contextualSpacing w:val="0"/>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75F00" w:rsidRPr="001D7D80" w14:paraId="16D17083" w14:textId="77777777" w:rsidTr="009B556C">
        <w:tc>
          <w:tcPr>
            <w:tcW w:w="9629" w:type="dxa"/>
          </w:tcPr>
          <w:p w14:paraId="15AFDD82" w14:textId="5BD45BB7" w:rsidR="00755D48" w:rsidRPr="006E4BE1" w:rsidRDefault="003A3722" w:rsidP="00AE50C9">
            <w:pPr>
              <w:jc w:val="center"/>
              <w:rPr>
                <w:i/>
                <w:color w:val="26724C" w:themeColor="accent1" w:themeShade="BF"/>
                <w:sz w:val="18"/>
                <w:lang w:val="es-ES_tradnl"/>
              </w:rPr>
            </w:pPr>
            <w:r w:rsidRPr="006E4BE1">
              <w:rPr>
                <w:i/>
                <w:color w:val="26724C" w:themeColor="accent1" w:themeShade="BF"/>
                <w:sz w:val="18"/>
                <w:lang w:val="es-ES_tradnl"/>
              </w:rPr>
              <w:t>Gráfico 8: Armonización, recursos, formación y asistencia</w:t>
            </w:r>
            <w:r w:rsidR="00500F56" w:rsidRPr="006E4BE1">
              <w:rPr>
                <w:i/>
                <w:color w:val="26724C" w:themeColor="accent1" w:themeShade="BF"/>
                <w:sz w:val="18"/>
                <w:lang w:val="es-ES_tradnl"/>
              </w:rPr>
              <w:t xml:space="preserve"> </w:t>
            </w:r>
          </w:p>
        </w:tc>
      </w:tr>
      <w:tr w:rsidR="00D75F00" w:rsidRPr="006E4BE1" w14:paraId="5E8FB7B2" w14:textId="77777777" w:rsidTr="009B556C">
        <w:tc>
          <w:tcPr>
            <w:tcW w:w="9629" w:type="dxa"/>
          </w:tcPr>
          <w:p w14:paraId="7BD61279" w14:textId="674553A9" w:rsidR="00D8518C" w:rsidRPr="006E4BE1" w:rsidRDefault="00900BEF" w:rsidP="00AE50C9">
            <w:pPr>
              <w:pStyle w:val="ListParagraph"/>
              <w:ind w:left="0"/>
              <w:contextualSpacing w:val="0"/>
              <w:jc w:val="center"/>
              <w:rPr>
                <w:lang w:val="es-ES_tradnl"/>
              </w:rPr>
            </w:pPr>
            <w:r w:rsidRPr="006E4BE1">
              <w:rPr>
                <w:noProof/>
              </w:rPr>
              <w:drawing>
                <wp:inline distT="0" distB="0" distL="0" distR="0" wp14:anchorId="432C84B8" wp14:editId="2FEEECF6">
                  <wp:extent cx="5439843" cy="3611301"/>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49917" cy="3617989"/>
                          </a:xfrm>
                          <a:prstGeom prst="rect">
                            <a:avLst/>
                          </a:prstGeom>
                          <a:noFill/>
                          <a:ln>
                            <a:noFill/>
                          </a:ln>
                        </pic:spPr>
                      </pic:pic>
                    </a:graphicData>
                  </a:graphic>
                </wp:inline>
              </w:drawing>
            </w:r>
          </w:p>
        </w:tc>
      </w:tr>
    </w:tbl>
    <w:p w14:paraId="28EB86F9" w14:textId="77777777" w:rsidR="001240C5" w:rsidRPr="006E4BE1" w:rsidRDefault="001240C5" w:rsidP="00AE50C9">
      <w:pPr>
        <w:pStyle w:val="ListParagraph"/>
        <w:ind w:left="0"/>
        <w:contextualSpacing w:val="0"/>
        <w:rPr>
          <w:lang w:val="es-ES_tradnl"/>
        </w:rPr>
      </w:pPr>
    </w:p>
    <w:p w14:paraId="67069FB7" w14:textId="77777777" w:rsidR="001240C5" w:rsidRPr="006E4BE1" w:rsidRDefault="003935FE" w:rsidP="00AE50C9">
      <w:pPr>
        <w:pStyle w:val="ListParagraph"/>
        <w:tabs>
          <w:tab w:val="left" w:pos="851"/>
        </w:tabs>
        <w:ind w:left="0"/>
        <w:contextualSpacing w:val="0"/>
        <w:rPr>
          <w:lang w:val="es-ES_tradnl"/>
        </w:rPr>
      </w:pPr>
      <w:r w:rsidRPr="006E4BE1">
        <w:rPr>
          <w:lang w:val="es-ES_tradnl"/>
        </w:rPr>
        <w:t>El enfoque anterior ha sido eficaz para prestar asistencia a los Estados y a determinadas organizaciones que no son miembros de la Unión en la elaboración de legislación de conformidad con el Acta de 1991 del Convenio de la UPOV y su adhesión al Convenio de la UPOV.</w:t>
      </w:r>
    </w:p>
    <w:p w14:paraId="042A2B31" w14:textId="77777777" w:rsidR="001240C5" w:rsidRPr="006E4BE1" w:rsidRDefault="001240C5" w:rsidP="00AE50C9">
      <w:pPr>
        <w:pStyle w:val="ListParagraph"/>
        <w:ind w:left="0"/>
        <w:contextualSpacing w:val="0"/>
        <w:rPr>
          <w:lang w:val="es-ES_tradnl"/>
        </w:rPr>
      </w:pPr>
    </w:p>
    <w:p w14:paraId="66385ED6" w14:textId="77777777" w:rsidR="001240C5" w:rsidRPr="006E4BE1" w:rsidRDefault="0014253D" w:rsidP="00AE50C9">
      <w:pPr>
        <w:tabs>
          <w:tab w:val="left" w:pos="851"/>
        </w:tabs>
        <w:rPr>
          <w:lang w:val="es-ES_tradnl"/>
        </w:rPr>
      </w:pPr>
      <w:r w:rsidRPr="006E4BE1">
        <w:rPr>
          <w:lang w:val="es-ES_tradnl"/>
        </w:rPr>
        <w:t>En relación con la prestación de asistencia a los miembros de la Unión en la aplicación del sistema de la UPOV, habida cuenta de la limitación de recursos, se ha optado por apoyar de manera centralizada a todos los miembros de la Unión, en particular mediante material de orientación e información, bases de datos y cursos de enseñanza a distancia</w:t>
      </w:r>
      <w:r w:rsidR="00FE64A1" w:rsidRPr="006E4BE1">
        <w:rPr>
          <w:lang w:val="es-ES_tradnl"/>
        </w:rPr>
        <w:t xml:space="preserve">.  </w:t>
      </w:r>
      <w:r w:rsidRPr="006E4BE1">
        <w:rPr>
          <w:lang w:val="es-ES_tradnl"/>
        </w:rPr>
        <w:t xml:space="preserve">La asistencia a determinados miembros de la Unión se centró en eventos y actividades que recibieron el apoyo de las misiones del personal de la UPOV, lo que fue posible en gran medida gracias a los fondos extrapresupuestarios destinados a los costos no relacionados con el personal de la </w:t>
      </w:r>
      <w:r w:rsidR="00175BA3" w:rsidRPr="006E4BE1">
        <w:rPr>
          <w:lang w:val="es-ES_tradnl"/>
        </w:rPr>
        <w:t>Unión</w:t>
      </w:r>
      <w:r w:rsidR="00FE64A1" w:rsidRPr="006E4BE1">
        <w:rPr>
          <w:lang w:val="es-ES_tradnl"/>
        </w:rPr>
        <w:t xml:space="preserve">.  </w:t>
      </w:r>
      <w:r w:rsidRPr="006E4BE1">
        <w:rPr>
          <w:lang w:val="es-ES_tradnl"/>
        </w:rPr>
        <w:t xml:space="preserve">Esa estrategia fue eficaz en las primeras etapas del desarrollo de la UPOV, cuando los miembros de la Unión ya solían tener sistemas establecidos, incluso en el momento de adherirse a la </w:t>
      </w:r>
      <w:r w:rsidR="00175BA3" w:rsidRPr="006E4BE1">
        <w:rPr>
          <w:lang w:val="es-ES_tradnl"/>
        </w:rPr>
        <w:t>Unión</w:t>
      </w:r>
      <w:r w:rsidR="00FE64A1" w:rsidRPr="006E4BE1">
        <w:rPr>
          <w:lang w:val="es-ES_tradnl"/>
        </w:rPr>
        <w:t xml:space="preserve">.  </w:t>
      </w:r>
      <w:r w:rsidRPr="006E4BE1">
        <w:rPr>
          <w:lang w:val="es-ES_tradnl"/>
        </w:rPr>
        <w:t>Sin embargo, muchos de los nuevos miembros de la Unión se beneficiarían de recursos prácticos para aplicar el sistema de la UPOV</w:t>
      </w:r>
      <w:r w:rsidR="00FE64A1" w:rsidRPr="006E4BE1">
        <w:rPr>
          <w:lang w:val="es-ES_tradnl"/>
        </w:rPr>
        <w:t xml:space="preserve">.  </w:t>
      </w:r>
      <w:r w:rsidRPr="006E4BE1">
        <w:rPr>
          <w:lang w:val="es-ES_tradnl"/>
        </w:rPr>
        <w:t xml:space="preserve">En la sección siguiente se señalan las oportunidades que tiene la </w:t>
      </w:r>
      <w:r w:rsidR="00175BA3" w:rsidRPr="006E4BE1">
        <w:rPr>
          <w:lang w:val="es-ES_tradnl"/>
        </w:rPr>
        <w:t>Unión</w:t>
      </w:r>
      <w:r w:rsidRPr="006E4BE1">
        <w:rPr>
          <w:lang w:val="es-ES_tradnl"/>
        </w:rPr>
        <w:t xml:space="preserve"> para proporcionar esos recursos prácticos en el bienio 2022-2023.</w:t>
      </w:r>
    </w:p>
    <w:p w14:paraId="1B9B15DB" w14:textId="77777777" w:rsidR="001240C5" w:rsidRPr="006E4BE1" w:rsidRDefault="001240C5" w:rsidP="00AE50C9">
      <w:pPr>
        <w:rPr>
          <w:lang w:val="es-ES_tradnl"/>
        </w:rPr>
      </w:pPr>
    </w:p>
    <w:p w14:paraId="1368EFA2" w14:textId="77777777" w:rsidR="001240C5" w:rsidRPr="006E4BE1" w:rsidRDefault="002D4833" w:rsidP="00AE50C9">
      <w:pPr>
        <w:tabs>
          <w:tab w:val="left" w:pos="851"/>
        </w:tabs>
        <w:rPr>
          <w:lang w:val="es-ES_tradnl"/>
        </w:rPr>
      </w:pPr>
      <w:r w:rsidRPr="006E4BE1">
        <w:rPr>
          <w:lang w:val="es-ES_tradnl"/>
        </w:rPr>
        <w:t xml:space="preserve">La introducción de </w:t>
      </w:r>
      <w:r w:rsidR="00FE64A1" w:rsidRPr="006E4BE1">
        <w:rPr>
          <w:lang w:val="es-ES_tradnl"/>
        </w:rPr>
        <w:t>UPOV PRISMA</w:t>
      </w:r>
      <w:r w:rsidRPr="006E4BE1">
        <w:rPr>
          <w:lang w:val="es-ES_tradnl"/>
        </w:rPr>
        <w:t xml:space="preserve"> fue un paso importante para ofrecer asistencia práctica a determinados miembros de la Unión mediante un sistema electrónico de presentación de solicitudes.</w:t>
      </w:r>
    </w:p>
    <w:p w14:paraId="3BBDD712" w14:textId="77777777" w:rsidR="001240C5" w:rsidRPr="006E4BE1" w:rsidRDefault="001240C5" w:rsidP="00AE50C9">
      <w:pPr>
        <w:rPr>
          <w:lang w:val="es-ES_tradnl"/>
        </w:rPr>
      </w:pPr>
    </w:p>
    <w:p w14:paraId="33DF8D9D" w14:textId="77777777" w:rsidR="001240C5" w:rsidRPr="006E4BE1" w:rsidRDefault="002D4833" w:rsidP="00AE50C9">
      <w:pPr>
        <w:pStyle w:val="ListParagraph"/>
        <w:tabs>
          <w:tab w:val="left" w:pos="851"/>
        </w:tabs>
        <w:ind w:left="0"/>
        <w:contextualSpacing w:val="0"/>
        <w:rPr>
          <w:lang w:val="es-ES_tradnl"/>
        </w:rPr>
      </w:pPr>
      <w:r w:rsidRPr="006E4BE1">
        <w:rPr>
          <w:lang w:val="es-ES_tradnl"/>
        </w:rPr>
        <w:t xml:space="preserve">La evolución de las tecnologías de la información, junto con la creación del puesto de oficial de TI, ofrece nuevas oportunidades para prestar asistencia a determinados miembros de la Unión en la aplicación del </w:t>
      </w:r>
      <w:r w:rsidRPr="006E4BE1">
        <w:rPr>
          <w:lang w:val="es-ES_tradnl"/>
        </w:rPr>
        <w:lastRenderedPageBreak/>
        <w:t>sistema de protección de las obtenciones vegetales de la UPOV, lo que permitirá que la Unión pase a otro nivel de asistencia, en función de la disponibilidad de recursos humanos y financieros.</w:t>
      </w:r>
    </w:p>
    <w:p w14:paraId="224898AD" w14:textId="77777777" w:rsidR="001240C5" w:rsidRPr="006E4BE1" w:rsidRDefault="001240C5" w:rsidP="00AE50C9">
      <w:pPr>
        <w:pStyle w:val="ListParagraph"/>
        <w:ind w:left="0"/>
        <w:contextualSpacing w:val="0"/>
        <w:rPr>
          <w:lang w:val="es-ES_tradnl"/>
        </w:rPr>
      </w:pPr>
    </w:p>
    <w:p w14:paraId="24291F80" w14:textId="77777777" w:rsidR="001240C5" w:rsidRPr="006E4BE1" w:rsidRDefault="002D4833" w:rsidP="00467654">
      <w:pPr>
        <w:rPr>
          <w:lang w:val="es-ES_tradnl"/>
        </w:rPr>
      </w:pPr>
      <w:r w:rsidRPr="006E4BE1">
        <w:rPr>
          <w:lang w:val="es-ES_tradnl"/>
        </w:rPr>
        <w:t>La restricción de la movilidad como consecuencia de la pandemia de COVID-19 ha permitido reducir los costos de viaje y aumentar el acceso y la asistencia a los miembros de la Unión y a las partes interesadas</w:t>
      </w:r>
      <w:r w:rsidR="00FE64A1" w:rsidRPr="006E4BE1">
        <w:rPr>
          <w:lang w:val="es-ES_tradnl"/>
        </w:rPr>
        <w:t xml:space="preserve">.  </w:t>
      </w:r>
      <w:r w:rsidRPr="006E4BE1">
        <w:rPr>
          <w:lang w:val="es-ES_tradnl"/>
        </w:rPr>
        <w:t>Uno de los objetivos del bienio 2022-2023 será desviar recursos financieros de los costos de viaje para invertir</w:t>
      </w:r>
      <w:r w:rsidR="00A3090B" w:rsidRPr="006E4BE1">
        <w:rPr>
          <w:lang w:val="es-ES_tradnl"/>
        </w:rPr>
        <w:t>los</w:t>
      </w:r>
      <w:r w:rsidRPr="006E4BE1">
        <w:rPr>
          <w:lang w:val="es-ES_tradnl"/>
        </w:rPr>
        <w:t xml:space="preserve"> en nuevas formas de asistencia.</w:t>
      </w:r>
    </w:p>
    <w:p w14:paraId="58AA39BB" w14:textId="77777777" w:rsidR="001240C5" w:rsidRPr="006E4BE1" w:rsidRDefault="001240C5" w:rsidP="00467654">
      <w:pPr>
        <w:rPr>
          <w:lang w:val="es-ES_tradnl"/>
        </w:rPr>
      </w:pPr>
    </w:p>
    <w:p w14:paraId="5B6EBAE0" w14:textId="77777777" w:rsidR="001240C5" w:rsidRPr="006E4BE1" w:rsidRDefault="002D4833" w:rsidP="005C2AAD">
      <w:pPr>
        <w:pStyle w:val="Heading5"/>
        <w:rPr>
          <w:lang w:val="es-ES_tradnl"/>
        </w:rPr>
      </w:pPr>
      <w:r w:rsidRPr="006E4BE1">
        <w:rPr>
          <w:lang w:val="es-ES_tradnl"/>
        </w:rPr>
        <w:t xml:space="preserve">Herramientas informáticas para la aplicación del sistema </w:t>
      </w:r>
      <w:r w:rsidR="00175BA3" w:rsidRPr="006E4BE1">
        <w:rPr>
          <w:lang w:val="es-ES_tradnl"/>
        </w:rPr>
        <w:t xml:space="preserve">de la </w:t>
      </w:r>
      <w:r w:rsidRPr="006E4BE1">
        <w:rPr>
          <w:lang w:val="es-ES_tradnl"/>
        </w:rPr>
        <w:t>UPOV</w:t>
      </w:r>
    </w:p>
    <w:p w14:paraId="42040CA6" w14:textId="77777777" w:rsidR="001240C5" w:rsidRPr="006E4BE1" w:rsidRDefault="001240C5" w:rsidP="00AE50C9">
      <w:pPr>
        <w:pStyle w:val="ListParagraph"/>
        <w:tabs>
          <w:tab w:val="left" w:pos="851"/>
        </w:tabs>
        <w:ind w:left="0"/>
        <w:contextualSpacing w:val="0"/>
        <w:rPr>
          <w:lang w:val="es-ES_tradnl"/>
        </w:rPr>
      </w:pPr>
    </w:p>
    <w:p w14:paraId="589A2D88" w14:textId="77777777" w:rsidR="001240C5" w:rsidRPr="006E4BE1" w:rsidRDefault="002C0A4F" w:rsidP="00AE50C9">
      <w:pPr>
        <w:pStyle w:val="ListParagraph"/>
        <w:tabs>
          <w:tab w:val="left" w:pos="851"/>
        </w:tabs>
        <w:ind w:left="0"/>
        <w:contextualSpacing w:val="0"/>
        <w:rPr>
          <w:lang w:val="es-ES_tradnl"/>
        </w:rPr>
      </w:pPr>
      <w:r w:rsidRPr="006E4BE1">
        <w:rPr>
          <w:lang w:val="es-ES_tradnl"/>
        </w:rPr>
        <w:t>De conformidad con el plan operativo estratégico para 2021-2025 (véase el Anexo II del documento CC/97/3), se prevé desarrollar el siguiente conjunto de herramientas compatibles en el bienio 2022-2023</w:t>
      </w:r>
      <w:r w:rsidR="00FE64A1" w:rsidRPr="006E4BE1">
        <w:rPr>
          <w:lang w:val="es-ES_tradnl"/>
        </w:rPr>
        <w:t xml:space="preserve">.  </w:t>
      </w:r>
      <w:r w:rsidRPr="006E4BE1">
        <w:rPr>
          <w:lang w:val="es-ES_tradnl"/>
        </w:rPr>
        <w:t>Esas herramientas permitirán prestar una asistencia coherente y completa en la aplicación del sistema de protección de las obtenciones vegetales de la UPOV, a la vez que los miembros de la Unión podrán utilizar algunas o todas ellas, según se considere oportuno:</w:t>
      </w:r>
    </w:p>
    <w:p w14:paraId="2DD1AF72" w14:textId="77777777" w:rsidR="001240C5" w:rsidRPr="006E4BE1" w:rsidRDefault="001240C5" w:rsidP="00AE50C9">
      <w:pPr>
        <w:rPr>
          <w:lang w:val="es-ES_tradnl"/>
        </w:rPr>
      </w:pPr>
    </w:p>
    <w:p w14:paraId="3DAD9BA6" w14:textId="77777777" w:rsidR="001240C5" w:rsidRPr="006E4BE1" w:rsidRDefault="001361DC" w:rsidP="00AE50C9">
      <w:pPr>
        <w:pStyle w:val="ListParagraph"/>
        <w:numPr>
          <w:ilvl w:val="0"/>
          <w:numId w:val="32"/>
        </w:numPr>
        <w:spacing w:after="120"/>
        <w:ind w:hanging="357"/>
        <w:contextualSpacing w:val="0"/>
        <w:rPr>
          <w:lang w:val="es-ES_tradnl"/>
        </w:rPr>
      </w:pPr>
      <w:r w:rsidRPr="006E4BE1">
        <w:rPr>
          <w:lang w:val="es-ES_tradnl"/>
        </w:rPr>
        <w:t>Solicit</w:t>
      </w:r>
      <w:r w:rsidR="00175BA3" w:rsidRPr="006E4BE1">
        <w:rPr>
          <w:lang w:val="es-ES_tradnl"/>
        </w:rPr>
        <w:t>ud</w:t>
      </w:r>
      <w:r w:rsidRPr="006E4BE1">
        <w:rPr>
          <w:lang w:val="es-ES_tradnl"/>
        </w:rPr>
        <w:t xml:space="preserve"> </w:t>
      </w:r>
      <w:r w:rsidR="00175BA3" w:rsidRPr="006E4BE1">
        <w:rPr>
          <w:lang w:val="es-ES_tradnl"/>
        </w:rPr>
        <w:t xml:space="preserve">de </w:t>
      </w:r>
      <w:r w:rsidRPr="006E4BE1">
        <w:rPr>
          <w:lang w:val="es-ES_tradnl"/>
        </w:rPr>
        <w:t>derechos de obtentor</w:t>
      </w:r>
    </w:p>
    <w:p w14:paraId="50851213" w14:textId="77777777" w:rsidR="001240C5" w:rsidRPr="006E4BE1" w:rsidRDefault="001361DC" w:rsidP="00AE50C9">
      <w:pPr>
        <w:pStyle w:val="ListParagraph"/>
        <w:numPr>
          <w:ilvl w:val="1"/>
          <w:numId w:val="32"/>
        </w:numPr>
        <w:spacing w:after="40"/>
        <w:ind w:hanging="357"/>
        <w:contextualSpacing w:val="0"/>
        <w:rPr>
          <w:lang w:val="es-ES_tradnl"/>
        </w:rPr>
      </w:pPr>
      <w:r w:rsidRPr="006E4BE1">
        <w:rPr>
          <w:lang w:val="es-ES_tradnl"/>
        </w:rPr>
        <w:t>Amplia</w:t>
      </w:r>
      <w:r w:rsidR="00184EF8" w:rsidRPr="006E4BE1">
        <w:rPr>
          <w:lang w:val="es-ES_tradnl"/>
        </w:rPr>
        <w:t>ción de</w:t>
      </w:r>
      <w:r w:rsidRPr="006E4BE1">
        <w:rPr>
          <w:lang w:val="es-ES_tradnl"/>
        </w:rPr>
        <w:t xml:space="preserve"> la cobertura de </w:t>
      </w:r>
      <w:r w:rsidR="00FE64A1" w:rsidRPr="006E4BE1">
        <w:rPr>
          <w:lang w:val="es-ES_tradnl"/>
        </w:rPr>
        <w:t>UPOV PRISMA</w:t>
      </w:r>
      <w:r w:rsidRPr="006E4BE1">
        <w:rPr>
          <w:lang w:val="es-ES_tradnl"/>
        </w:rPr>
        <w:t xml:space="preserve"> a más miembros de la Unión y más cultivos o especies</w:t>
      </w:r>
    </w:p>
    <w:p w14:paraId="2CE52A78" w14:textId="77777777" w:rsidR="001240C5" w:rsidRPr="006E4BE1" w:rsidRDefault="001361DC" w:rsidP="00AE50C9">
      <w:pPr>
        <w:pStyle w:val="ListParagraph"/>
        <w:numPr>
          <w:ilvl w:val="1"/>
          <w:numId w:val="32"/>
        </w:numPr>
        <w:spacing w:after="40"/>
        <w:ind w:hanging="357"/>
        <w:contextualSpacing w:val="0"/>
        <w:rPr>
          <w:lang w:val="es-ES_tradnl"/>
        </w:rPr>
      </w:pPr>
      <w:r w:rsidRPr="006E4BE1">
        <w:rPr>
          <w:lang w:val="es-ES_tradnl"/>
        </w:rPr>
        <w:t>Plataformas de cooperación entre los miembros de la UPOV (por ejemplo, regionales) para colaborar en la administración y el examen de solicitudes</w:t>
      </w:r>
    </w:p>
    <w:p w14:paraId="4A8F00A8" w14:textId="77777777" w:rsidR="001240C5" w:rsidRPr="006E4BE1" w:rsidRDefault="001361DC" w:rsidP="00AE50C9">
      <w:pPr>
        <w:pStyle w:val="ListParagraph"/>
        <w:numPr>
          <w:ilvl w:val="0"/>
          <w:numId w:val="32"/>
        </w:numPr>
        <w:spacing w:before="120" w:after="120"/>
        <w:ind w:left="930" w:hanging="357"/>
        <w:contextualSpacing w:val="0"/>
        <w:rPr>
          <w:lang w:val="es-ES_tradnl"/>
        </w:rPr>
      </w:pPr>
      <w:r w:rsidRPr="006E4BE1">
        <w:rPr>
          <w:lang w:val="es-ES_tradnl"/>
        </w:rPr>
        <w:t>Administración de las solicitudes de derechos de obtentor</w:t>
      </w:r>
    </w:p>
    <w:p w14:paraId="3B8DDAA6" w14:textId="77777777" w:rsidR="001240C5" w:rsidRPr="006E4BE1" w:rsidRDefault="00694A62" w:rsidP="00AE50C9">
      <w:pPr>
        <w:pStyle w:val="ListParagraph"/>
        <w:numPr>
          <w:ilvl w:val="1"/>
          <w:numId w:val="32"/>
        </w:numPr>
        <w:spacing w:after="40"/>
        <w:ind w:hanging="357"/>
        <w:contextualSpacing w:val="0"/>
        <w:rPr>
          <w:lang w:val="es-ES_tradnl"/>
        </w:rPr>
      </w:pPr>
      <w:r w:rsidRPr="006E4BE1">
        <w:rPr>
          <w:lang w:val="es-ES_tradnl"/>
        </w:rPr>
        <w:t>Módulo de administración electrónica de los derechos de obtentor para que los miembros de la Unión puedan gestionar y publicar las solicitudes de protección de las obtenciones vegetales</w:t>
      </w:r>
    </w:p>
    <w:p w14:paraId="31D22ED7" w14:textId="77777777" w:rsidR="001240C5" w:rsidRPr="006E4BE1" w:rsidRDefault="00694A62" w:rsidP="00AE50C9">
      <w:pPr>
        <w:pStyle w:val="ListParagraph"/>
        <w:numPr>
          <w:ilvl w:val="1"/>
          <w:numId w:val="32"/>
        </w:numPr>
        <w:spacing w:after="40"/>
        <w:ind w:hanging="357"/>
        <w:contextualSpacing w:val="0"/>
        <w:rPr>
          <w:lang w:val="es-ES_tradnl"/>
        </w:rPr>
      </w:pPr>
      <w:r w:rsidRPr="006E4BE1">
        <w:rPr>
          <w:lang w:val="es-ES_tradnl"/>
        </w:rPr>
        <w:t>Herramienta de la UPOV para la búsqueda de similitud a los fines de la denominación de variedades basada en el algoritmo acordado por la UPOV con arreglo a la base de datos PLUTO</w:t>
      </w:r>
    </w:p>
    <w:p w14:paraId="47461E42" w14:textId="77777777" w:rsidR="001240C5" w:rsidRPr="006E4BE1" w:rsidRDefault="009145A4" w:rsidP="00AE50C9">
      <w:pPr>
        <w:pStyle w:val="ListParagraph"/>
        <w:numPr>
          <w:ilvl w:val="1"/>
          <w:numId w:val="32"/>
        </w:numPr>
        <w:spacing w:after="40"/>
        <w:ind w:hanging="357"/>
        <w:contextualSpacing w:val="0"/>
        <w:rPr>
          <w:lang w:val="es-ES_tradnl"/>
        </w:rPr>
      </w:pPr>
      <w:r w:rsidRPr="006E4BE1">
        <w:rPr>
          <w:lang w:val="es-ES_tradnl"/>
        </w:rPr>
        <w:t>Aumento de la cantidad y la calidad de los datos de la base de datos PLUTO</w:t>
      </w:r>
    </w:p>
    <w:p w14:paraId="6F00D6F9" w14:textId="77777777" w:rsidR="001240C5" w:rsidRPr="006E4BE1" w:rsidRDefault="009145A4" w:rsidP="00AE50C9">
      <w:pPr>
        <w:pStyle w:val="ListParagraph"/>
        <w:numPr>
          <w:ilvl w:val="0"/>
          <w:numId w:val="32"/>
        </w:numPr>
        <w:spacing w:before="120" w:after="120"/>
        <w:ind w:left="930" w:hanging="357"/>
        <w:contextualSpacing w:val="0"/>
        <w:rPr>
          <w:lang w:val="es-ES_tradnl"/>
        </w:rPr>
      </w:pPr>
      <w:r w:rsidRPr="006E4BE1">
        <w:rPr>
          <w:lang w:val="es-ES_tradnl"/>
        </w:rPr>
        <w:t>Facilitación de la cooperación en el examen DHE</w:t>
      </w:r>
    </w:p>
    <w:p w14:paraId="63D67C6F" w14:textId="77777777" w:rsidR="001240C5" w:rsidRPr="006E4BE1" w:rsidRDefault="009145A4" w:rsidP="00AE50C9">
      <w:pPr>
        <w:pStyle w:val="ListParagraph"/>
        <w:numPr>
          <w:ilvl w:val="1"/>
          <w:numId w:val="32"/>
        </w:numPr>
        <w:spacing w:after="40"/>
        <w:ind w:hanging="357"/>
        <w:contextualSpacing w:val="0"/>
        <w:rPr>
          <w:color w:val="000000" w:themeColor="text1"/>
          <w:lang w:val="es-ES_tradnl"/>
        </w:rPr>
      </w:pPr>
      <w:r w:rsidRPr="006E4BE1">
        <w:rPr>
          <w:color w:val="000000" w:themeColor="text1"/>
          <w:lang w:val="es-ES_tradnl"/>
        </w:rPr>
        <w:t>Plataforma para intercambiar informes DHE existentes</w:t>
      </w:r>
    </w:p>
    <w:p w14:paraId="178BD4C4" w14:textId="77777777" w:rsidR="001240C5" w:rsidRPr="006E4BE1" w:rsidRDefault="009145A4" w:rsidP="00AE50C9">
      <w:pPr>
        <w:pStyle w:val="ListParagraph"/>
        <w:numPr>
          <w:ilvl w:val="1"/>
          <w:numId w:val="32"/>
        </w:numPr>
        <w:spacing w:after="40"/>
        <w:ind w:hanging="357"/>
        <w:contextualSpacing w:val="0"/>
        <w:rPr>
          <w:color w:val="000000" w:themeColor="text1"/>
          <w:lang w:val="es-ES_tradnl"/>
        </w:rPr>
      </w:pPr>
      <w:r w:rsidRPr="006E4BE1">
        <w:rPr>
          <w:color w:val="000000" w:themeColor="text1"/>
          <w:lang w:val="es-ES_tradnl"/>
        </w:rPr>
        <w:t>Herramienta para proporcionar fácilmente información a los solicitantes de derechos de obtentor sobre la cooperación en el examen DHE entre los miembros de la Unión.</w:t>
      </w:r>
    </w:p>
    <w:p w14:paraId="1FA1DDC5" w14:textId="77777777" w:rsidR="001240C5" w:rsidRPr="006E4BE1" w:rsidRDefault="00B41854" w:rsidP="00AE50C9">
      <w:pPr>
        <w:pStyle w:val="ListParagraph"/>
        <w:numPr>
          <w:ilvl w:val="1"/>
          <w:numId w:val="32"/>
        </w:numPr>
        <w:spacing w:after="40"/>
        <w:ind w:hanging="357"/>
        <w:contextualSpacing w:val="0"/>
        <w:rPr>
          <w:color w:val="000000" w:themeColor="text1"/>
          <w:lang w:val="es-ES_tradnl"/>
        </w:rPr>
      </w:pPr>
      <w:r w:rsidRPr="006E4BE1">
        <w:rPr>
          <w:color w:val="000000" w:themeColor="text1"/>
          <w:lang w:val="es-ES_tradnl"/>
        </w:rPr>
        <w:t>Plataforma para que los miembros de la UPOV pongan a disposición de otros miembros de la Unión sus procedimientos de examen DHE documentados y la información sobre sus sistemas de gestión de calidad</w:t>
      </w:r>
    </w:p>
    <w:p w14:paraId="78038730" w14:textId="77777777" w:rsidR="001240C5" w:rsidRPr="006E4BE1" w:rsidRDefault="00B41854" w:rsidP="00AE50C9">
      <w:pPr>
        <w:pStyle w:val="ListParagraph"/>
        <w:numPr>
          <w:ilvl w:val="1"/>
          <w:numId w:val="32"/>
        </w:numPr>
        <w:spacing w:after="40"/>
        <w:ind w:hanging="357"/>
        <w:contextualSpacing w:val="0"/>
        <w:rPr>
          <w:lang w:val="es-ES_tradnl"/>
        </w:rPr>
      </w:pPr>
      <w:r w:rsidRPr="006E4BE1">
        <w:rPr>
          <w:lang w:val="es-ES_tradnl"/>
        </w:rPr>
        <w:t>Módulo para que los miembros de la UPOV utilicen la plantilla web de documentos TG y la base de datos de caracteres para elaborar las directrices de examen propias de cada autoridad en su idioma</w:t>
      </w:r>
    </w:p>
    <w:p w14:paraId="00D7BE65" w14:textId="77777777" w:rsidR="001240C5" w:rsidRPr="006E4BE1" w:rsidRDefault="00F16D30" w:rsidP="00AE50C9">
      <w:pPr>
        <w:pStyle w:val="ListParagraph"/>
        <w:numPr>
          <w:ilvl w:val="1"/>
          <w:numId w:val="32"/>
        </w:numPr>
        <w:spacing w:after="40"/>
        <w:ind w:hanging="357"/>
        <w:contextualSpacing w:val="0"/>
        <w:rPr>
          <w:lang w:val="es-ES_tradnl"/>
        </w:rPr>
      </w:pPr>
      <w:r w:rsidRPr="006E4BE1">
        <w:rPr>
          <w:lang w:val="es-ES_tradnl"/>
        </w:rPr>
        <w:t>Plataforma o portal para las bases de datos de los miembros de la UPOV que contengan información descriptiva sobre las variedades</w:t>
      </w:r>
    </w:p>
    <w:p w14:paraId="6FAFCB4E" w14:textId="77777777" w:rsidR="001240C5" w:rsidRPr="006E4BE1" w:rsidRDefault="001240C5" w:rsidP="00AE50C9">
      <w:pPr>
        <w:rPr>
          <w:lang w:val="es-ES_tradnl"/>
        </w:rPr>
      </w:pPr>
    </w:p>
    <w:p w14:paraId="0BA623DB" w14:textId="77777777" w:rsidR="001240C5" w:rsidRPr="006E4BE1" w:rsidRDefault="0088107F" w:rsidP="00AE50C9">
      <w:pPr>
        <w:tabs>
          <w:tab w:val="left" w:pos="851"/>
        </w:tabs>
        <w:rPr>
          <w:lang w:val="es-ES_tradnl"/>
        </w:rPr>
      </w:pPr>
      <w:r w:rsidRPr="006E4BE1">
        <w:rPr>
          <w:lang w:val="es-ES_tradnl"/>
        </w:rPr>
        <w:t xml:space="preserve">El gráfico 9 muestra el modo en que las herramientas podrían integrarse en relación con las </w:t>
      </w:r>
      <w:r w:rsidR="00C178AA" w:rsidRPr="006E4BE1">
        <w:rPr>
          <w:lang w:val="es-ES_tradnl"/>
        </w:rPr>
        <w:t>“</w:t>
      </w:r>
      <w:r w:rsidRPr="006E4BE1">
        <w:rPr>
          <w:lang w:val="es-ES_tradnl"/>
        </w:rPr>
        <w:t xml:space="preserve">Funciones y estructura de una oficina de derechos de </w:t>
      </w:r>
      <w:r w:rsidR="00184EF8" w:rsidRPr="006E4BE1">
        <w:rPr>
          <w:lang w:val="es-ES_tradnl"/>
        </w:rPr>
        <w:t>obtentor</w:t>
      </w:r>
      <w:r w:rsidR="00C178AA" w:rsidRPr="006E4BE1">
        <w:rPr>
          <w:lang w:val="es-ES_tradnl"/>
        </w:rPr>
        <w:t>”</w:t>
      </w:r>
      <w:r w:rsidRPr="006E4BE1">
        <w:rPr>
          <w:lang w:val="es-ES_tradnl"/>
        </w:rPr>
        <w:t>, tal como se indica en el documento UPOV/INF/15</w:t>
      </w:r>
      <w:r w:rsidR="00D3016C" w:rsidRPr="006E4BE1">
        <w:rPr>
          <w:lang w:val="es-ES_tradnl"/>
        </w:rPr>
        <w:t xml:space="preserve"> “</w:t>
      </w:r>
      <w:r w:rsidRPr="006E4BE1">
        <w:rPr>
          <w:lang w:val="es-ES_tradnl"/>
        </w:rPr>
        <w:t>Orientación para los miembros de la UPOV</w:t>
      </w:r>
      <w:r w:rsidR="00C178AA" w:rsidRPr="006E4BE1">
        <w:rPr>
          <w:lang w:val="es-ES_tradnl"/>
        </w:rPr>
        <w:t>”</w:t>
      </w:r>
      <w:r w:rsidRPr="006E4BE1">
        <w:rPr>
          <w:lang w:val="es-ES_tradnl"/>
        </w:rPr>
        <w:t>.</w:t>
      </w:r>
      <w:r w:rsidRPr="006E4BE1">
        <w:rPr>
          <w:rStyle w:val="FootnoteReference"/>
          <w:lang w:val="es-ES_tradnl"/>
        </w:rPr>
        <w:footnoteReference w:id="6"/>
      </w:r>
    </w:p>
    <w:p w14:paraId="7D6158F1" w14:textId="46176C64" w:rsidR="009A5334" w:rsidRPr="006E4BE1" w:rsidRDefault="009A5334" w:rsidP="00AE50C9">
      <w:pPr>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5334" w:rsidRPr="001D7D80" w14:paraId="6A8B6B00" w14:textId="77777777" w:rsidTr="009B556C">
        <w:tc>
          <w:tcPr>
            <w:tcW w:w="9629" w:type="dxa"/>
          </w:tcPr>
          <w:p w14:paraId="3B5C99F7" w14:textId="43A599B6" w:rsidR="00E50B4D" w:rsidRPr="006E4BE1" w:rsidRDefault="0088107F" w:rsidP="002D6C40">
            <w:pPr>
              <w:keepNext/>
              <w:spacing w:after="120"/>
              <w:jc w:val="center"/>
              <w:rPr>
                <w:i/>
                <w:color w:val="26724C" w:themeColor="accent1" w:themeShade="BF"/>
                <w:sz w:val="18"/>
                <w:lang w:val="es-ES_tradnl"/>
              </w:rPr>
            </w:pPr>
            <w:r w:rsidRPr="006E4BE1">
              <w:rPr>
                <w:i/>
                <w:color w:val="26724C" w:themeColor="accent1" w:themeShade="BF"/>
                <w:sz w:val="18"/>
                <w:lang w:val="es-ES_tradnl"/>
              </w:rPr>
              <w:lastRenderedPageBreak/>
              <w:t>Gráfico 9. Recursos previstos por la UPOV</w:t>
            </w:r>
            <w:r w:rsidR="00500F56" w:rsidRPr="006E4BE1">
              <w:rPr>
                <w:i/>
                <w:color w:val="26724C" w:themeColor="accent1" w:themeShade="BF"/>
                <w:sz w:val="18"/>
                <w:lang w:val="es-ES_tradnl"/>
              </w:rPr>
              <w:t xml:space="preserve"> </w:t>
            </w:r>
          </w:p>
        </w:tc>
      </w:tr>
      <w:tr w:rsidR="009A5334" w:rsidRPr="006E4BE1" w14:paraId="440D848D" w14:textId="77777777" w:rsidTr="009B556C">
        <w:tc>
          <w:tcPr>
            <w:tcW w:w="9629" w:type="dxa"/>
          </w:tcPr>
          <w:p w14:paraId="24A12DD6" w14:textId="77777777" w:rsidR="001240C5" w:rsidRPr="006E4BE1" w:rsidRDefault="009B207B" w:rsidP="00AE50C9">
            <w:pPr>
              <w:jc w:val="center"/>
              <w:rPr>
                <w:lang w:val="es-ES_tradnl"/>
              </w:rPr>
            </w:pPr>
            <w:r w:rsidRPr="006E4BE1">
              <w:rPr>
                <w:noProof/>
              </w:rPr>
              <w:drawing>
                <wp:inline distT="0" distB="0" distL="0" distR="0" wp14:anchorId="0F7E495E" wp14:editId="19F6EC0F">
                  <wp:extent cx="5615264" cy="3559215"/>
                  <wp:effectExtent l="0" t="0" r="508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7160" b="8171"/>
                          <a:stretch/>
                        </pic:blipFill>
                        <pic:spPr bwMode="auto">
                          <a:xfrm>
                            <a:off x="0" y="0"/>
                            <a:ext cx="5619726" cy="3562043"/>
                          </a:xfrm>
                          <a:prstGeom prst="rect">
                            <a:avLst/>
                          </a:prstGeom>
                          <a:noFill/>
                          <a:ln>
                            <a:noFill/>
                          </a:ln>
                          <a:extLst>
                            <a:ext uri="{53640926-AAD7-44D8-BBD7-CCE9431645EC}">
                              <a14:shadowObscured xmlns:a14="http://schemas.microsoft.com/office/drawing/2010/main"/>
                            </a:ext>
                          </a:extLst>
                        </pic:spPr>
                      </pic:pic>
                    </a:graphicData>
                  </a:graphic>
                </wp:inline>
              </w:drawing>
            </w:r>
          </w:p>
          <w:p w14:paraId="56681E5E" w14:textId="77777777" w:rsidR="001240C5" w:rsidRPr="006E4BE1" w:rsidRDefault="001240C5" w:rsidP="00AE50C9">
            <w:pPr>
              <w:jc w:val="center"/>
              <w:rPr>
                <w:lang w:val="es-ES_tradnl"/>
              </w:rPr>
            </w:pPr>
          </w:p>
          <w:p w14:paraId="0194C9C7" w14:textId="2BD13D44" w:rsidR="001A0293" w:rsidRPr="006E4BE1" w:rsidRDefault="001A0293" w:rsidP="00AE50C9">
            <w:pPr>
              <w:jc w:val="center"/>
              <w:rPr>
                <w:lang w:val="es-ES_tradnl"/>
              </w:rPr>
            </w:pPr>
          </w:p>
        </w:tc>
      </w:tr>
    </w:tbl>
    <w:p w14:paraId="0C3872A1" w14:textId="77777777" w:rsidR="001240C5" w:rsidRPr="006E4BE1" w:rsidRDefault="002F4684" w:rsidP="005C2AAD">
      <w:pPr>
        <w:pStyle w:val="Heading5"/>
        <w:rPr>
          <w:lang w:val="es-ES_tradnl"/>
        </w:rPr>
      </w:pPr>
      <w:r w:rsidRPr="006E4BE1">
        <w:rPr>
          <w:lang w:val="es-ES_tradnl"/>
        </w:rPr>
        <w:t>Programas de formación y asistencia</w:t>
      </w:r>
    </w:p>
    <w:p w14:paraId="6C92332C" w14:textId="77777777" w:rsidR="001240C5" w:rsidRPr="006E4BE1" w:rsidRDefault="001240C5" w:rsidP="00AE50C9">
      <w:pPr>
        <w:pStyle w:val="ListParagraph"/>
        <w:tabs>
          <w:tab w:val="left" w:pos="851"/>
        </w:tabs>
        <w:ind w:left="0"/>
        <w:contextualSpacing w:val="0"/>
        <w:rPr>
          <w:lang w:val="es-ES_tradnl"/>
        </w:rPr>
      </w:pPr>
    </w:p>
    <w:p w14:paraId="1313FEB4" w14:textId="77777777" w:rsidR="001240C5" w:rsidRPr="006E4BE1" w:rsidRDefault="002F4684" w:rsidP="00AE50C9">
      <w:pPr>
        <w:pStyle w:val="ListParagraph"/>
        <w:tabs>
          <w:tab w:val="left" w:pos="851"/>
        </w:tabs>
        <w:ind w:left="0"/>
        <w:contextualSpacing w:val="0"/>
        <w:rPr>
          <w:lang w:val="es-ES_tradnl"/>
        </w:rPr>
      </w:pPr>
      <w:r w:rsidRPr="006E4BE1">
        <w:rPr>
          <w:lang w:val="es-ES_tradnl"/>
        </w:rPr>
        <w:t>A fin de satisfacer la demanda de formación y asistencia para introducir y aplicar el sistema de la UPOV en el marco del programa y presupuesto ordinario, se hace hincapié en el uso de los cursos de enseñanza a distancia</w:t>
      </w:r>
      <w:r w:rsidR="00FE64A1" w:rsidRPr="006E4BE1">
        <w:rPr>
          <w:lang w:val="es-ES_tradnl"/>
        </w:rPr>
        <w:t xml:space="preserve">.  </w:t>
      </w:r>
      <w:r w:rsidRPr="006E4BE1">
        <w:rPr>
          <w:lang w:val="es-ES_tradnl"/>
        </w:rPr>
        <w:t>La formación y la asistencia adaptadas a determinados miembros de la Unión se basan en el establecimiento de prioridades de asistencia por parte de la Oficina de la Unión, el apoyo de los miembros de la Unión y la colaboración con otros proveedores de asistencia</w:t>
      </w:r>
      <w:r w:rsidR="00FE64A1" w:rsidRPr="006E4BE1">
        <w:rPr>
          <w:lang w:val="es-ES_tradnl"/>
        </w:rPr>
        <w:t xml:space="preserve">.  </w:t>
      </w:r>
      <w:r w:rsidR="00D86866" w:rsidRPr="006E4BE1">
        <w:rPr>
          <w:lang w:val="es-ES_tradnl"/>
        </w:rPr>
        <w:t>A fin de utilizar los recursos disponibles de la manera más eficaz posible, la Oficina de la Unión seguirá aplicando criterios de prioridad a sus actividades y procurando encontrar sinergias con los miembros de la Unión y otros colaboradores.</w:t>
      </w:r>
    </w:p>
    <w:p w14:paraId="011F0BF9" w14:textId="77777777" w:rsidR="001240C5" w:rsidRPr="006E4BE1" w:rsidRDefault="001240C5" w:rsidP="00AE50C9">
      <w:pPr>
        <w:rPr>
          <w:lang w:val="es-ES_tradnl"/>
        </w:rPr>
      </w:pPr>
    </w:p>
    <w:p w14:paraId="6835B48D" w14:textId="77777777" w:rsidR="001240C5" w:rsidRPr="006E4BE1" w:rsidRDefault="0071734F" w:rsidP="00C04E4A">
      <w:pPr>
        <w:pStyle w:val="ListParagraph"/>
        <w:tabs>
          <w:tab w:val="left" w:pos="851"/>
        </w:tabs>
        <w:spacing w:after="240"/>
        <w:ind w:left="0"/>
        <w:contextualSpacing w:val="0"/>
        <w:rPr>
          <w:lang w:val="es-ES_tradnl"/>
        </w:rPr>
      </w:pPr>
      <w:r w:rsidRPr="006E4BE1">
        <w:rPr>
          <w:lang w:val="es-ES_tradnl"/>
        </w:rPr>
        <w:t xml:space="preserve">Con el fin de aumentar la repercusión de la formación y la asistencia a partir de los recursos disponibles, estos se canalizarán cada vez más hacia programas de formación virtual y materiales reutilizables, cursos adicionales de enseñanza a distancia, demostraciones en vídeo, seminarios web y guías prácticas virtuales, </w:t>
      </w:r>
      <w:r w:rsidR="00E50515" w:rsidRPr="006E4BE1">
        <w:rPr>
          <w:lang w:val="es-ES_tradnl"/>
        </w:rPr>
        <w:t xml:space="preserve">lo que permitirá </w:t>
      </w:r>
      <w:r w:rsidRPr="006E4BE1">
        <w:rPr>
          <w:lang w:val="es-ES_tradnl"/>
        </w:rPr>
        <w:t xml:space="preserve">reducir la necesidad de formación </w:t>
      </w:r>
      <w:r w:rsidR="00DC7BCC" w:rsidRPr="006E4BE1">
        <w:rPr>
          <w:lang w:val="es-ES_tradnl"/>
        </w:rPr>
        <w:t>presencial</w:t>
      </w:r>
      <w:r w:rsidRPr="006E4BE1">
        <w:rPr>
          <w:i/>
          <w:lang w:val="es-ES_tradnl"/>
        </w:rPr>
        <w:t xml:space="preserve"> </w:t>
      </w:r>
      <w:r w:rsidRPr="006E4BE1">
        <w:rPr>
          <w:lang w:val="es-ES_tradnl"/>
        </w:rPr>
        <w:t>y aumentar el alcance</w:t>
      </w:r>
      <w:r w:rsidR="00FE64A1" w:rsidRPr="006E4BE1">
        <w:rPr>
          <w:lang w:val="es-ES_tradnl"/>
        </w:rPr>
        <w:t xml:space="preserve">.  </w:t>
      </w:r>
      <w:r w:rsidRPr="006E4BE1">
        <w:rPr>
          <w:lang w:val="es-ES_tradnl"/>
        </w:rPr>
        <w:t>Además, en colaboración con los asociados pertinentes, se propone elaborar un plan de estudios internacional que de origen a títulos reconocidos por la UPOV.</w:t>
      </w:r>
    </w:p>
    <w:p w14:paraId="4742F8BD" w14:textId="77777777" w:rsidR="001240C5" w:rsidRPr="006E4BE1" w:rsidRDefault="0071734F" w:rsidP="005C2AAD">
      <w:pPr>
        <w:pStyle w:val="Heading5"/>
        <w:rPr>
          <w:lang w:val="es-ES_tradnl"/>
        </w:rPr>
      </w:pPr>
      <w:r w:rsidRPr="006E4BE1">
        <w:rPr>
          <w:lang w:val="es-ES_tradnl"/>
        </w:rPr>
        <w:t>Idiomas</w:t>
      </w:r>
    </w:p>
    <w:p w14:paraId="6F4D507C" w14:textId="77777777" w:rsidR="001240C5" w:rsidRPr="006E4BE1" w:rsidRDefault="001240C5" w:rsidP="00AE50C9">
      <w:pPr>
        <w:pStyle w:val="ListParagraph"/>
        <w:tabs>
          <w:tab w:val="left" w:pos="851"/>
        </w:tabs>
        <w:ind w:left="0"/>
        <w:contextualSpacing w:val="0"/>
        <w:rPr>
          <w:lang w:val="es-ES_tradnl"/>
        </w:rPr>
      </w:pPr>
    </w:p>
    <w:p w14:paraId="4C940408" w14:textId="77777777" w:rsidR="001240C5" w:rsidRPr="006E4BE1" w:rsidRDefault="0071734F" w:rsidP="00AE50C9">
      <w:pPr>
        <w:pStyle w:val="ListParagraph"/>
        <w:tabs>
          <w:tab w:val="left" w:pos="851"/>
        </w:tabs>
        <w:ind w:left="0"/>
        <w:contextualSpacing w:val="0"/>
        <w:rPr>
          <w:lang w:val="es-ES_tradnl"/>
        </w:rPr>
      </w:pPr>
      <w:r w:rsidRPr="006E4BE1">
        <w:rPr>
          <w:lang w:val="es-ES_tradnl"/>
        </w:rPr>
        <w:t>El material y los recursos de la Unión están disponibles en español, francés, inglés y alemán</w:t>
      </w:r>
      <w:r w:rsidR="00FE64A1" w:rsidRPr="006E4BE1">
        <w:rPr>
          <w:lang w:val="es-ES_tradnl"/>
        </w:rPr>
        <w:t xml:space="preserve">.  </w:t>
      </w:r>
      <w:r w:rsidR="00CA2E6E" w:rsidRPr="006E4BE1">
        <w:rPr>
          <w:lang w:val="es-ES_tradnl"/>
        </w:rPr>
        <w:t>Sin embargo, dado que la UPOV crece y aumenta el interés por la adhesión a la Unión, resulta beneficioso que el material y los recursos estén disponibles en un mayor número de idiomas</w:t>
      </w:r>
      <w:r w:rsidR="00FE64A1" w:rsidRPr="006E4BE1">
        <w:rPr>
          <w:lang w:val="es-ES_tradnl"/>
        </w:rPr>
        <w:t xml:space="preserve">.  </w:t>
      </w:r>
      <w:r w:rsidR="00CA2E6E" w:rsidRPr="006E4BE1">
        <w:rPr>
          <w:lang w:val="es-ES_tradnl"/>
        </w:rPr>
        <w:t xml:space="preserve">La traducción de materiales y </w:t>
      </w:r>
      <w:r w:rsidR="004A1109" w:rsidRPr="006E4BE1">
        <w:rPr>
          <w:lang w:val="es-ES_tradnl"/>
        </w:rPr>
        <w:t>su</w:t>
      </w:r>
      <w:r w:rsidR="00CA2E6E" w:rsidRPr="006E4BE1">
        <w:rPr>
          <w:lang w:val="es-ES_tradnl"/>
        </w:rPr>
        <w:t xml:space="preserve"> puesta a disposición en distintos idiomas tiene importantes implicaciones en materia de recursos, objetivo que requerirá una serie de medidas de cooperación con los miembros de la Unión interesados</w:t>
      </w:r>
      <w:r w:rsidR="00FE64A1" w:rsidRPr="006E4BE1">
        <w:rPr>
          <w:lang w:val="es-ES_tradnl"/>
        </w:rPr>
        <w:t xml:space="preserve">.  </w:t>
      </w:r>
      <w:r w:rsidR="0091142A" w:rsidRPr="006E4BE1">
        <w:rPr>
          <w:lang w:val="es-ES_tradnl"/>
        </w:rPr>
        <w:t>Sin embargo, el rápido avance de la traducción automática ofrece nuevas oportunidades, a las que se dará prioridad para reducir los costos de traducción de los documentos en los idiomas de la UPOV y para que los materiales estén disponibles en un mayor número de idiomas.</w:t>
      </w:r>
    </w:p>
    <w:p w14:paraId="656B7248" w14:textId="77777777" w:rsidR="001240C5" w:rsidRPr="006E4BE1" w:rsidRDefault="001240C5" w:rsidP="00AE50C9">
      <w:pPr>
        <w:rPr>
          <w:lang w:val="es-ES_tradnl"/>
        </w:rPr>
      </w:pPr>
    </w:p>
    <w:p w14:paraId="660C2A04" w14:textId="77777777" w:rsidR="001240C5" w:rsidRPr="006E4BE1" w:rsidRDefault="001240C5" w:rsidP="00AE50C9">
      <w:pPr>
        <w:rPr>
          <w:lang w:val="es-ES_tradnl"/>
        </w:rPr>
      </w:pPr>
    </w:p>
    <w:p w14:paraId="62C08032" w14:textId="77777777" w:rsidR="001240C5" w:rsidRPr="006E4BE1" w:rsidRDefault="001A0293">
      <w:pPr>
        <w:jc w:val="left"/>
        <w:rPr>
          <w:color w:val="26724C" w:themeColor="accent1" w:themeShade="BF"/>
          <w:sz w:val="22"/>
          <w:lang w:val="es-ES_tradnl"/>
        </w:rPr>
      </w:pPr>
      <w:r w:rsidRPr="006E4BE1">
        <w:rPr>
          <w:lang w:val="es-ES_tradnl"/>
        </w:rPr>
        <w:br w:type="page"/>
      </w:r>
    </w:p>
    <w:p w14:paraId="202AD8C2" w14:textId="77777777" w:rsidR="001240C5" w:rsidRPr="006E4BE1" w:rsidRDefault="00E216CA" w:rsidP="00B60E92">
      <w:pPr>
        <w:pStyle w:val="Heading3"/>
      </w:pPr>
      <w:bookmarkStart w:id="429" w:name="_Toc78476709"/>
      <w:r w:rsidRPr="006E4BE1">
        <w:lastRenderedPageBreak/>
        <w:t>Promoción de un sistema eficaz de protección de las obtenciones vegetales</w:t>
      </w:r>
      <w:bookmarkEnd w:id="429"/>
    </w:p>
    <w:p w14:paraId="26CA56FB" w14:textId="77777777" w:rsidR="001240C5" w:rsidRPr="006E4BE1" w:rsidRDefault="001240C5" w:rsidP="009867DC">
      <w:pPr>
        <w:keepNext/>
        <w:tabs>
          <w:tab w:val="left" w:pos="851"/>
        </w:tabs>
        <w:rPr>
          <w:lang w:val="es-ES_tradnl"/>
        </w:rPr>
      </w:pPr>
    </w:p>
    <w:p w14:paraId="77467CEE" w14:textId="77777777" w:rsidR="001240C5" w:rsidRPr="006E4BE1" w:rsidRDefault="00E216CA" w:rsidP="00AE50C9">
      <w:pPr>
        <w:tabs>
          <w:tab w:val="left" w:pos="851"/>
        </w:tabs>
        <w:rPr>
          <w:lang w:val="es-ES_tradnl"/>
        </w:rPr>
      </w:pPr>
      <w:r w:rsidRPr="006E4BE1">
        <w:rPr>
          <w:lang w:val="es-ES_tradnl"/>
        </w:rPr>
        <w:t>El objetivo de la estrategia de comunicación de la U</w:t>
      </w:r>
      <w:r w:rsidR="00C46703" w:rsidRPr="006E4BE1">
        <w:rPr>
          <w:lang w:val="es-ES_tradnl"/>
        </w:rPr>
        <w:t>nión</w:t>
      </w:r>
      <w:r w:rsidRPr="006E4BE1">
        <w:rPr>
          <w:lang w:val="es-ES_tradnl"/>
        </w:rPr>
        <w:t xml:space="preserve"> es sensibilizar sobre el sistema de la UPOV con el fin de contribuir a la protección de las obtenciones vegetales en beneficio de la sociedad.</w:t>
      </w:r>
    </w:p>
    <w:p w14:paraId="6633B516" w14:textId="77777777" w:rsidR="001240C5" w:rsidRPr="006E4BE1" w:rsidRDefault="001240C5" w:rsidP="00AE50C9">
      <w:pPr>
        <w:jc w:val="left"/>
        <w:rPr>
          <w:lang w:val="es-ES_tradnl"/>
        </w:rPr>
      </w:pPr>
    </w:p>
    <w:p w14:paraId="515F8A63" w14:textId="77777777" w:rsidR="001240C5" w:rsidRPr="006E4BE1" w:rsidRDefault="00B35C14" w:rsidP="00AE50C9">
      <w:pPr>
        <w:tabs>
          <w:tab w:val="left" w:pos="851"/>
        </w:tabs>
        <w:jc w:val="left"/>
        <w:rPr>
          <w:lang w:val="es-ES_tradnl"/>
        </w:rPr>
      </w:pPr>
      <w:r w:rsidRPr="006E4BE1">
        <w:rPr>
          <w:lang w:val="es-ES_tradnl"/>
        </w:rPr>
        <w:t>Para lograr ese objetivo, la estrategia de comunicación prevé:</w:t>
      </w:r>
    </w:p>
    <w:p w14:paraId="594CDC71" w14:textId="77777777" w:rsidR="001240C5" w:rsidRPr="006E4BE1" w:rsidRDefault="001240C5" w:rsidP="00AE50C9">
      <w:pPr>
        <w:jc w:val="left"/>
        <w:rPr>
          <w:lang w:val="es-ES_tradnl"/>
        </w:rPr>
      </w:pPr>
    </w:p>
    <w:p w14:paraId="63CB1A17" w14:textId="77777777" w:rsidR="001240C5" w:rsidRPr="006E4BE1" w:rsidRDefault="00B35C14" w:rsidP="00AE50C9">
      <w:pPr>
        <w:spacing w:after="40"/>
        <w:ind w:left="810" w:hanging="243"/>
        <w:jc w:val="left"/>
        <w:rPr>
          <w:lang w:val="es-ES_tradnl"/>
        </w:rPr>
      </w:pPr>
      <w:r w:rsidRPr="006E4BE1">
        <w:rPr>
          <w:lang w:val="es-ES_tradnl"/>
        </w:rPr>
        <w:t>a) dar a conocer la UPOV y las ventajas del sistema de protección de las obtenciones vegetales de la UPOV;</w:t>
      </w:r>
    </w:p>
    <w:p w14:paraId="0E6FD026" w14:textId="77777777" w:rsidR="001240C5" w:rsidRPr="006E4BE1" w:rsidRDefault="00B35C14" w:rsidP="00AE50C9">
      <w:pPr>
        <w:spacing w:after="40"/>
        <w:ind w:left="810" w:hanging="243"/>
        <w:jc w:val="left"/>
        <w:rPr>
          <w:lang w:val="es-ES_tradnl"/>
        </w:rPr>
      </w:pPr>
      <w:r w:rsidRPr="006E4BE1">
        <w:rPr>
          <w:lang w:val="es-ES_tradnl"/>
        </w:rPr>
        <w:t>b) facilitar una mejor información a los miembros de la Unión sobre el funcionamiento del sistema de la UPOV; y</w:t>
      </w:r>
    </w:p>
    <w:p w14:paraId="3F9FE280" w14:textId="77777777" w:rsidR="001240C5" w:rsidRPr="006E4BE1" w:rsidRDefault="00B35C14" w:rsidP="00AE50C9">
      <w:pPr>
        <w:spacing w:after="40"/>
        <w:ind w:left="810" w:hanging="243"/>
        <w:jc w:val="left"/>
        <w:rPr>
          <w:lang w:val="es-ES_tradnl"/>
        </w:rPr>
      </w:pPr>
      <w:r w:rsidRPr="006E4BE1">
        <w:rPr>
          <w:lang w:val="es-ES_tradnl"/>
        </w:rPr>
        <w:t>c) mejorar el conocimiento del sistema de la UPOV que tienen las partes interesadas.</w:t>
      </w:r>
    </w:p>
    <w:p w14:paraId="73C1301F" w14:textId="77777777" w:rsidR="001240C5" w:rsidRPr="006E4BE1" w:rsidRDefault="001240C5" w:rsidP="00AE50C9">
      <w:pPr>
        <w:jc w:val="left"/>
        <w:rPr>
          <w:lang w:val="es-ES_tradnl"/>
        </w:rPr>
      </w:pPr>
    </w:p>
    <w:p w14:paraId="6357DA36" w14:textId="77777777" w:rsidR="001240C5" w:rsidRPr="006E4BE1" w:rsidRDefault="00B35C14" w:rsidP="00AE50C9">
      <w:pPr>
        <w:tabs>
          <w:tab w:val="left" w:pos="851"/>
        </w:tabs>
        <w:rPr>
          <w:lang w:val="es-ES_tradnl"/>
        </w:rPr>
      </w:pPr>
      <w:r w:rsidRPr="006E4BE1">
        <w:rPr>
          <w:lang w:val="es-ES_tradnl"/>
        </w:rPr>
        <w:t>La ejecución de la estrategia de comunicación se basa en la elaboración y el uso de información adecuada, combinada con canales de comunicación eficaces.</w:t>
      </w:r>
    </w:p>
    <w:p w14:paraId="3C5B445A" w14:textId="77777777" w:rsidR="001240C5" w:rsidRPr="006E4BE1" w:rsidRDefault="001240C5" w:rsidP="00AE50C9">
      <w:pPr>
        <w:tabs>
          <w:tab w:val="left" w:pos="851"/>
        </w:tabs>
        <w:rPr>
          <w:lang w:val="es-ES_tradnl"/>
        </w:rPr>
      </w:pPr>
    </w:p>
    <w:p w14:paraId="5A9B5ABD" w14:textId="77777777" w:rsidR="001240C5" w:rsidRPr="006E4BE1" w:rsidRDefault="005B48F8" w:rsidP="00AE50C9">
      <w:pPr>
        <w:tabs>
          <w:tab w:val="left" w:pos="851"/>
        </w:tabs>
        <w:rPr>
          <w:lang w:val="es-ES_tradnl"/>
        </w:rPr>
      </w:pPr>
      <w:r w:rsidRPr="006E4BE1">
        <w:rPr>
          <w:lang w:val="es-ES_tradnl"/>
        </w:rPr>
        <w:t>En cuanto al contenido, la UPOV dispone de un volumen considerable de información sobre la incidencia de la protección de las obtenciones vegetales y la pertenencia a la Unión</w:t>
      </w:r>
      <w:r w:rsidR="00FE64A1" w:rsidRPr="006E4BE1">
        <w:rPr>
          <w:lang w:val="es-ES_tradnl"/>
        </w:rPr>
        <w:t xml:space="preserve">.  </w:t>
      </w:r>
      <w:r w:rsidRPr="006E4BE1">
        <w:rPr>
          <w:lang w:val="es-ES_tradnl"/>
        </w:rPr>
        <w:t xml:space="preserve">Si dicha información está disponible en forma de vídeo o documento publicado, puede consultarse en el sitio web de la UPOV, según proceda (véase </w:t>
      </w:r>
      <w:hyperlink r:id="rId25" w:history="1">
        <w:r w:rsidRPr="006E4BE1">
          <w:rPr>
            <w:rStyle w:val="Hyperlink"/>
            <w:rFonts w:cs="Arial"/>
            <w:lang w:val="es-ES_tradnl"/>
          </w:rPr>
          <w:t>https://www.upov.int/about/es/benefits_upov_system.html</w:t>
        </w:r>
      </w:hyperlink>
      <w:r w:rsidRPr="006E4BE1">
        <w:rPr>
          <w:lang w:val="es-ES_tradnl"/>
        </w:rPr>
        <w:t>)</w:t>
      </w:r>
      <w:r w:rsidR="00FE64A1" w:rsidRPr="006E4BE1">
        <w:rPr>
          <w:lang w:val="es-ES_tradnl"/>
        </w:rPr>
        <w:t xml:space="preserve">.  </w:t>
      </w:r>
      <w:r w:rsidRPr="006E4BE1">
        <w:rPr>
          <w:lang w:val="es-ES_tradnl"/>
        </w:rPr>
        <w:t>La información que figura en el sitio web de la UPOV y demás información pertinente que no ha sido plasmada en vídeos o publicaciones también se comunica a través de eventos y actividades, cursos de formación y las redes sociales.</w:t>
      </w:r>
    </w:p>
    <w:p w14:paraId="14F4DDE7" w14:textId="77777777" w:rsidR="001240C5" w:rsidRPr="006E4BE1" w:rsidRDefault="001240C5" w:rsidP="00AE50C9">
      <w:pPr>
        <w:tabs>
          <w:tab w:val="left" w:pos="851"/>
        </w:tabs>
        <w:rPr>
          <w:lang w:val="es-ES_tradnl"/>
        </w:rPr>
      </w:pPr>
    </w:p>
    <w:p w14:paraId="21A87040" w14:textId="77777777" w:rsidR="001240C5" w:rsidRPr="006E4BE1" w:rsidRDefault="00CA1D31" w:rsidP="00AE50C9">
      <w:pPr>
        <w:tabs>
          <w:tab w:val="left" w:pos="851"/>
        </w:tabs>
        <w:rPr>
          <w:lang w:val="es-ES_tradnl"/>
        </w:rPr>
      </w:pPr>
      <w:r w:rsidRPr="006E4BE1">
        <w:rPr>
          <w:lang w:val="es-ES_tradnl"/>
        </w:rPr>
        <w:t>En el bienio 2022-2023, la atención se centrará en el desarrollo de nueva información relativa a las ventajas que ofrece la protección de las variedades vegetales y la pertenencia a la UPOV, en estrecha colaboración con los miembros de la Unión</w:t>
      </w:r>
      <w:r w:rsidR="00FE64A1" w:rsidRPr="006E4BE1">
        <w:rPr>
          <w:lang w:val="es-ES_tradnl"/>
        </w:rPr>
        <w:t xml:space="preserve">.  </w:t>
      </w:r>
      <w:r w:rsidR="004A1109" w:rsidRPr="006E4BE1">
        <w:rPr>
          <w:lang w:val="es-ES_tradnl"/>
        </w:rPr>
        <w:t>A fin de obtener información de los miembros, la Oficina de la Unión tratará de aumentar la colaboración con ellos, por ejemplo, con motivo de los aniversarios y eventos organizados por los miembros, o solicitando información sobre temas específicos, en particular en el contexto del programa de redes sociales de la UPOV.</w:t>
      </w:r>
    </w:p>
    <w:p w14:paraId="55E7127A" w14:textId="77777777" w:rsidR="001240C5" w:rsidRPr="006E4BE1" w:rsidRDefault="001240C5" w:rsidP="00AE50C9">
      <w:pPr>
        <w:tabs>
          <w:tab w:val="left" w:pos="851"/>
        </w:tabs>
        <w:rPr>
          <w:lang w:val="es-ES_tradnl"/>
        </w:rPr>
      </w:pPr>
    </w:p>
    <w:p w14:paraId="0F41DA42" w14:textId="77777777" w:rsidR="001240C5" w:rsidRPr="006E4BE1" w:rsidRDefault="004A1109" w:rsidP="00AE50C9">
      <w:pPr>
        <w:tabs>
          <w:tab w:val="left" w:pos="851"/>
        </w:tabs>
        <w:rPr>
          <w:lang w:val="es-ES_tradnl"/>
        </w:rPr>
      </w:pPr>
      <w:r w:rsidRPr="006E4BE1">
        <w:rPr>
          <w:lang w:val="es-ES_tradnl"/>
        </w:rPr>
        <w:t>Además de trabajar con los miembros de la Unión, se pretende potenciar la colaboración con las organizaciones que representan a las partes interesadas, en particular a los obtentores y agricultores, y con otras organizaciones intergubernamentales a fin de mejorar la incidencia y el alcance de las comunicaciones.</w:t>
      </w:r>
    </w:p>
    <w:p w14:paraId="6C5EC182" w14:textId="77777777" w:rsidR="001240C5" w:rsidRPr="006E4BE1" w:rsidRDefault="001240C5" w:rsidP="00AE50C9">
      <w:pPr>
        <w:rPr>
          <w:lang w:val="es-ES_tradnl"/>
        </w:rPr>
      </w:pPr>
    </w:p>
    <w:p w14:paraId="4F5F848B" w14:textId="77777777" w:rsidR="001240C5" w:rsidRPr="006E4BE1" w:rsidRDefault="004E4CC5" w:rsidP="00AE50C9">
      <w:pPr>
        <w:jc w:val="left"/>
        <w:rPr>
          <w:b/>
          <w:lang w:val="es-ES_tradnl"/>
        </w:rPr>
      </w:pPr>
      <w:r w:rsidRPr="006E4BE1">
        <w:rPr>
          <w:b/>
          <w:lang w:val="es-ES_tradnl"/>
        </w:rPr>
        <w:br w:type="page"/>
      </w:r>
    </w:p>
    <w:p w14:paraId="46AB454A" w14:textId="77777777" w:rsidR="001240C5" w:rsidRPr="006E4BE1" w:rsidRDefault="00802B6E" w:rsidP="001A019F">
      <w:pPr>
        <w:pStyle w:val="Heading1"/>
        <w:keepNext w:val="0"/>
        <w:ind w:left="426" w:hanging="426"/>
        <w:rPr>
          <w:spacing w:val="-4"/>
          <w:sz w:val="31"/>
          <w:szCs w:val="31"/>
          <w:lang w:val="es-ES_tradnl"/>
        </w:rPr>
      </w:pPr>
      <w:bookmarkStart w:id="430" w:name="_Toc78476710"/>
      <w:r w:rsidRPr="006E4BE1">
        <w:rPr>
          <w:spacing w:val="-4"/>
          <w:sz w:val="31"/>
          <w:szCs w:val="31"/>
          <w:lang w:val="es-ES_tradnl"/>
        </w:rPr>
        <w:lastRenderedPageBreak/>
        <w:t>OBJETIVOS Y RESULTADOS PREVISTOS POR SUBPROGRAMA</w:t>
      </w:r>
      <w:bookmarkEnd w:id="430"/>
    </w:p>
    <w:p w14:paraId="338DF150" w14:textId="77777777" w:rsidR="001240C5" w:rsidRPr="006E4BE1" w:rsidRDefault="001240C5" w:rsidP="00AE50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lang w:val="es-ES_tradnl"/>
        </w:rPr>
      </w:pPr>
    </w:p>
    <w:p w14:paraId="3763E613" w14:textId="77777777" w:rsidR="001240C5" w:rsidRPr="006E4BE1" w:rsidRDefault="001A019F" w:rsidP="001A019F">
      <w:pPr>
        <w:pStyle w:val="Heading2"/>
        <w:keepNext w:val="0"/>
        <w:ind w:left="2552" w:hanging="2552"/>
        <w:rPr>
          <w:spacing w:val="-2"/>
          <w:lang w:val="es-ES_tradnl"/>
        </w:rPr>
      </w:pPr>
      <w:bookmarkStart w:id="431" w:name="_Toc78476711"/>
      <w:r w:rsidRPr="006E4BE1">
        <w:rPr>
          <w:spacing w:val="-2"/>
          <w:lang w:val="es-ES_tradnl"/>
        </w:rPr>
        <w:t>Subprograma UV.1:</w:t>
      </w:r>
      <w:r w:rsidRPr="006E4BE1">
        <w:rPr>
          <w:spacing w:val="-2"/>
          <w:lang w:val="es-ES_tradnl"/>
        </w:rPr>
        <w:tab/>
      </w:r>
      <w:r w:rsidR="00802B6E" w:rsidRPr="006E4BE1">
        <w:rPr>
          <w:spacing w:val="-8"/>
          <w:lang w:val="es-ES_tradnl"/>
        </w:rPr>
        <w:t>Política general sobre protección de las variedades vegetales</w:t>
      </w:r>
      <w:bookmarkEnd w:id="431"/>
    </w:p>
    <w:p w14:paraId="0E7E2FD0" w14:textId="77777777" w:rsidR="001240C5" w:rsidRPr="006E4BE1" w:rsidRDefault="001240C5" w:rsidP="00AE50C9">
      <w:pPr>
        <w:rPr>
          <w:lang w:val="es-ES_tradnl"/>
        </w:rPr>
      </w:pPr>
    </w:p>
    <w:p w14:paraId="19FCE7ED" w14:textId="77777777" w:rsidR="001240C5" w:rsidRPr="006E4BE1" w:rsidRDefault="001240C5" w:rsidP="00AE50C9">
      <w:pPr>
        <w:rPr>
          <w:lang w:val="es-ES_tradnl"/>
        </w:rPr>
      </w:pPr>
    </w:p>
    <w:p w14:paraId="1C74217D" w14:textId="77777777" w:rsidR="001240C5" w:rsidRPr="006E4BE1" w:rsidRDefault="00802B6E" w:rsidP="00B60E92">
      <w:pPr>
        <w:pStyle w:val="Heading3"/>
      </w:pPr>
      <w:bookmarkStart w:id="432" w:name="_Toc78476712"/>
      <w:r w:rsidRPr="006E4BE1">
        <w:t>Objetivos</w:t>
      </w:r>
      <w:bookmarkEnd w:id="432"/>
    </w:p>
    <w:p w14:paraId="2E357A6C" w14:textId="77777777" w:rsidR="001240C5" w:rsidRPr="006E4BE1" w:rsidRDefault="001240C5" w:rsidP="00AE50C9">
      <w:pPr>
        <w:rPr>
          <w:lang w:val="es-ES_tradnl"/>
        </w:rPr>
      </w:pPr>
    </w:p>
    <w:p w14:paraId="0D2617E5" w14:textId="77777777" w:rsidR="001240C5" w:rsidRPr="006E4BE1" w:rsidRDefault="00802B6E" w:rsidP="00062887">
      <w:pPr>
        <w:spacing w:after="40"/>
        <w:ind w:left="567"/>
        <w:rPr>
          <w:lang w:val="es-ES_tradnl"/>
        </w:rPr>
      </w:pPr>
      <w:r w:rsidRPr="006E4BE1">
        <w:rPr>
          <w:lang w:val="es-ES_tradnl"/>
        </w:rPr>
        <w:t>a)</w:t>
      </w:r>
      <w:r w:rsidRPr="006E4BE1">
        <w:rPr>
          <w:lang w:val="es-ES_tradnl"/>
        </w:rPr>
        <w:tab/>
        <w:t>Dirección de política y gestión ejecutiva</w:t>
      </w:r>
    </w:p>
    <w:p w14:paraId="141CED9C" w14:textId="77777777" w:rsidR="001240C5" w:rsidRPr="006E4BE1" w:rsidRDefault="00802B6E" w:rsidP="00062887">
      <w:pPr>
        <w:spacing w:after="40"/>
        <w:ind w:left="567"/>
        <w:rPr>
          <w:lang w:val="es-ES_tradnl"/>
        </w:rPr>
      </w:pPr>
      <w:r w:rsidRPr="006E4BE1">
        <w:rPr>
          <w:lang w:val="es-ES_tradnl"/>
        </w:rPr>
        <w:t>b)</w:t>
      </w:r>
      <w:r w:rsidRPr="006E4BE1">
        <w:rPr>
          <w:lang w:val="es-ES_tradnl"/>
        </w:rPr>
        <w:tab/>
        <w:t>Planificación, ejecución y evaluación del programa y presupuesto</w:t>
      </w:r>
    </w:p>
    <w:p w14:paraId="34D43E02" w14:textId="77777777" w:rsidR="001240C5" w:rsidRPr="006E4BE1" w:rsidRDefault="001240C5" w:rsidP="00AE50C9">
      <w:pPr>
        <w:rPr>
          <w:lang w:val="es-ES_tradnl"/>
        </w:rPr>
      </w:pPr>
    </w:p>
    <w:p w14:paraId="4D5B9F61" w14:textId="77777777" w:rsidR="001240C5" w:rsidRPr="006E4BE1" w:rsidRDefault="001240C5" w:rsidP="00AE50C9">
      <w:pPr>
        <w:rPr>
          <w:lang w:val="es-ES_tradnl"/>
        </w:rPr>
      </w:pPr>
    </w:p>
    <w:p w14:paraId="05FC4AF8" w14:textId="77777777" w:rsidR="001240C5" w:rsidRPr="006E4BE1" w:rsidRDefault="00802B6E" w:rsidP="00B60E92">
      <w:pPr>
        <w:pStyle w:val="Heading3"/>
      </w:pPr>
      <w:bookmarkStart w:id="433" w:name="_Toc78476713"/>
      <w:r w:rsidRPr="006E4BE1">
        <w:t>Descripción</w:t>
      </w:r>
      <w:bookmarkEnd w:id="433"/>
    </w:p>
    <w:p w14:paraId="3AD4BEBF" w14:textId="77777777" w:rsidR="001240C5" w:rsidRPr="006E4BE1" w:rsidRDefault="001240C5" w:rsidP="00AE50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ES_tradnl"/>
        </w:rPr>
      </w:pPr>
    </w:p>
    <w:p w14:paraId="233533B6" w14:textId="77777777" w:rsidR="001240C5" w:rsidRPr="006E4BE1" w:rsidRDefault="00802B6E" w:rsidP="00AE50C9">
      <w:pPr>
        <w:tabs>
          <w:tab w:val="left" w:pos="851"/>
        </w:tabs>
        <w:rPr>
          <w:spacing w:val="-2"/>
          <w:lang w:val="es-ES_tradnl"/>
        </w:rPr>
      </w:pPr>
      <w:r w:rsidRPr="006E4BE1">
        <w:rPr>
          <w:spacing w:val="-2"/>
          <w:lang w:val="es-ES_tradnl"/>
        </w:rPr>
        <w:t>Este subprograma comprende la elaboración de políticas, la gestión y la coordinación de las actividades del programa general de la UPOV, según lo establecido por el Consejo con la orientación del Comité Consultivo.</w:t>
      </w:r>
    </w:p>
    <w:p w14:paraId="4B0D9739" w14:textId="77777777" w:rsidR="001240C5" w:rsidRPr="006E4BE1" w:rsidRDefault="001240C5" w:rsidP="00AE50C9">
      <w:pPr>
        <w:tabs>
          <w:tab w:val="left" w:pos="567"/>
        </w:tabs>
        <w:rPr>
          <w:spacing w:val="-2"/>
          <w:lang w:val="es-ES_tradnl"/>
        </w:rPr>
      </w:pPr>
    </w:p>
    <w:p w14:paraId="3BD7A733" w14:textId="77777777" w:rsidR="001240C5" w:rsidRPr="006E4BE1" w:rsidRDefault="00802B6E" w:rsidP="00AE50C9">
      <w:pPr>
        <w:tabs>
          <w:tab w:val="left" w:pos="851"/>
        </w:tabs>
        <w:rPr>
          <w:spacing w:val="-2"/>
          <w:lang w:val="es-ES_tradnl"/>
        </w:rPr>
      </w:pPr>
      <w:r w:rsidRPr="006E4BE1">
        <w:rPr>
          <w:spacing w:val="-2"/>
          <w:lang w:val="es-ES_tradnl"/>
        </w:rPr>
        <w:t>El plan operativo estratégico proporciona un marco a los objetivos del presente subprograma</w:t>
      </w:r>
      <w:r w:rsidR="00FE64A1" w:rsidRPr="006E4BE1">
        <w:rPr>
          <w:spacing w:val="-2"/>
          <w:lang w:val="es-ES_tradnl"/>
        </w:rPr>
        <w:t xml:space="preserve">.  </w:t>
      </w:r>
      <w:r w:rsidRPr="006E4BE1">
        <w:rPr>
          <w:spacing w:val="-2"/>
          <w:lang w:val="es-ES_tradnl"/>
        </w:rPr>
        <w:t>En concreto, el plan operativo estratégico:</w:t>
      </w:r>
    </w:p>
    <w:p w14:paraId="5B361BCE" w14:textId="77777777" w:rsidR="001240C5" w:rsidRPr="006E4BE1" w:rsidRDefault="001240C5" w:rsidP="00AE50C9">
      <w:pPr>
        <w:tabs>
          <w:tab w:val="left" w:pos="851"/>
          <w:tab w:val="left" w:pos="1276"/>
        </w:tabs>
        <w:rPr>
          <w:spacing w:val="-2"/>
          <w:lang w:val="es-ES_tradnl"/>
        </w:rPr>
      </w:pPr>
    </w:p>
    <w:p w14:paraId="2B3E8F78" w14:textId="77777777" w:rsidR="001240C5" w:rsidRPr="006E4BE1" w:rsidRDefault="00802B6E" w:rsidP="00AE50C9">
      <w:pPr>
        <w:tabs>
          <w:tab w:val="left" w:pos="1134"/>
        </w:tabs>
        <w:spacing w:after="40"/>
        <w:ind w:left="1276" w:hanging="709"/>
        <w:rPr>
          <w:spacing w:val="-2"/>
          <w:lang w:val="es-ES_tradnl"/>
        </w:rPr>
      </w:pPr>
      <w:r w:rsidRPr="006E4BE1">
        <w:rPr>
          <w:spacing w:val="-2"/>
          <w:lang w:val="es-ES_tradnl"/>
        </w:rPr>
        <w:t>a)</w:t>
      </w:r>
      <w:r w:rsidRPr="006E4BE1">
        <w:rPr>
          <w:spacing w:val="-2"/>
          <w:lang w:val="es-ES_tradnl"/>
        </w:rPr>
        <w:tab/>
        <w:t>sirve de guía para ejecutar las metas estratégicas y los objetivos de la Unión;</w:t>
      </w:r>
    </w:p>
    <w:p w14:paraId="5D38A0A6" w14:textId="77777777" w:rsidR="001240C5" w:rsidRPr="006E4BE1" w:rsidRDefault="00802B6E" w:rsidP="00AE50C9">
      <w:pPr>
        <w:tabs>
          <w:tab w:val="left" w:pos="1134"/>
        </w:tabs>
        <w:spacing w:after="40"/>
        <w:ind w:left="1276" w:hanging="709"/>
        <w:rPr>
          <w:spacing w:val="-2"/>
          <w:lang w:val="es-ES_tradnl"/>
        </w:rPr>
      </w:pPr>
      <w:r w:rsidRPr="006E4BE1">
        <w:rPr>
          <w:spacing w:val="-2"/>
          <w:lang w:val="es-ES_tradnl"/>
        </w:rPr>
        <w:t>b)</w:t>
      </w:r>
      <w:r w:rsidRPr="006E4BE1">
        <w:rPr>
          <w:spacing w:val="-2"/>
          <w:lang w:val="es-ES_tradnl"/>
        </w:rPr>
        <w:tab/>
        <w:t>determina los recursos financieros necesarios para alcanzar las metas estratégicas y los objetivos de la Unión;</w:t>
      </w:r>
    </w:p>
    <w:p w14:paraId="75E39677" w14:textId="77777777" w:rsidR="001240C5" w:rsidRPr="006E4BE1" w:rsidRDefault="00802B6E" w:rsidP="00AE50C9">
      <w:pPr>
        <w:tabs>
          <w:tab w:val="left" w:pos="1134"/>
        </w:tabs>
        <w:spacing w:after="40"/>
        <w:ind w:left="1276" w:hanging="709"/>
        <w:rPr>
          <w:spacing w:val="-2"/>
          <w:lang w:val="es-ES_tradnl"/>
        </w:rPr>
      </w:pPr>
      <w:r w:rsidRPr="006E4BE1">
        <w:rPr>
          <w:spacing w:val="-2"/>
          <w:lang w:val="es-ES_tradnl"/>
        </w:rPr>
        <w:t>c)</w:t>
      </w:r>
      <w:r w:rsidRPr="006E4BE1">
        <w:rPr>
          <w:spacing w:val="-2"/>
          <w:lang w:val="es-ES_tradnl"/>
        </w:rPr>
        <w:tab/>
        <w:t>determina las necesidades en materia de recursos humanos conforme a las prioridades estratégicas de la Organización; y</w:t>
      </w:r>
    </w:p>
    <w:p w14:paraId="08019F37" w14:textId="77777777" w:rsidR="001240C5" w:rsidRPr="006E4BE1" w:rsidRDefault="00802B6E" w:rsidP="00AE50C9">
      <w:pPr>
        <w:tabs>
          <w:tab w:val="left" w:pos="1134"/>
        </w:tabs>
        <w:spacing w:after="40"/>
        <w:ind w:left="1276" w:hanging="709"/>
        <w:rPr>
          <w:spacing w:val="-2"/>
          <w:lang w:val="es-ES_tradnl"/>
        </w:rPr>
      </w:pPr>
      <w:r w:rsidRPr="006E4BE1">
        <w:rPr>
          <w:spacing w:val="-2"/>
          <w:lang w:val="es-ES_tradnl"/>
        </w:rPr>
        <w:t>d)</w:t>
      </w:r>
      <w:r w:rsidRPr="006E4BE1">
        <w:rPr>
          <w:spacing w:val="-2"/>
          <w:lang w:val="es-ES_tradnl"/>
        </w:rPr>
        <w:tab/>
        <w:t>define, a largo plazo, las etapas y los hitos clave de las actividades de divulgación, con miras a acrecentar la visibilidad de la Organización y potenciar la generación de ingresos.</w:t>
      </w:r>
    </w:p>
    <w:p w14:paraId="4145A565" w14:textId="77777777" w:rsidR="001240C5" w:rsidRPr="006E4BE1" w:rsidRDefault="001240C5" w:rsidP="00AE50C9">
      <w:pPr>
        <w:tabs>
          <w:tab w:val="left" w:pos="567"/>
        </w:tabs>
        <w:rPr>
          <w:spacing w:val="-2"/>
          <w:lang w:val="es-ES_tradnl"/>
        </w:rPr>
      </w:pPr>
    </w:p>
    <w:p w14:paraId="62CB79B6" w14:textId="77777777" w:rsidR="001240C5" w:rsidRPr="006E4BE1" w:rsidRDefault="00A67833" w:rsidP="00AE50C9">
      <w:pPr>
        <w:tabs>
          <w:tab w:val="left" w:pos="851"/>
        </w:tabs>
        <w:autoSpaceDE w:val="0"/>
        <w:autoSpaceDN w:val="0"/>
        <w:adjustRightInd w:val="0"/>
        <w:rPr>
          <w:spacing w:val="-2"/>
          <w:lang w:val="es-ES_tradnl"/>
        </w:rPr>
      </w:pPr>
      <w:r w:rsidRPr="006E4BE1">
        <w:rPr>
          <w:rFonts w:cs="Arial"/>
          <w:szCs w:val="19"/>
          <w:lang w:val="es-ES_tradnl"/>
        </w:rPr>
        <w:t>El Comité Consultivo aprobó el proyecto de plan operativo estratégico para 20</w:t>
      </w:r>
      <w:r w:rsidR="001A019F" w:rsidRPr="006E4BE1">
        <w:rPr>
          <w:rFonts w:cs="Arial"/>
          <w:szCs w:val="19"/>
          <w:lang w:val="es-ES_tradnl"/>
        </w:rPr>
        <w:t>21-2025, que figura en el Anexo </w:t>
      </w:r>
      <w:r w:rsidRPr="006E4BE1">
        <w:rPr>
          <w:rFonts w:cs="Arial"/>
          <w:szCs w:val="19"/>
          <w:lang w:val="es-ES_tradnl"/>
        </w:rPr>
        <w:t>II del documento CC/97/3</w:t>
      </w:r>
      <w:r w:rsidR="00FE64A1" w:rsidRPr="006E4BE1">
        <w:rPr>
          <w:rFonts w:cs="Arial"/>
          <w:szCs w:val="19"/>
          <w:lang w:val="es-ES_tradnl"/>
        </w:rPr>
        <w:t xml:space="preserve">.  </w:t>
      </w:r>
      <w:r w:rsidRPr="006E4BE1">
        <w:rPr>
          <w:rFonts w:cs="Arial"/>
          <w:szCs w:val="19"/>
          <w:lang w:val="es-ES_tradnl"/>
        </w:rPr>
        <w:t>Asimismo, solicitó que el plan se actualice cada dos años para establecer la orientación de los dos bienios siguientes, y que coincida con la preparación del proyecto de programa y presupuesto para el bienio siguiente</w:t>
      </w:r>
      <w:r w:rsidR="00FE64A1" w:rsidRPr="006E4BE1">
        <w:rPr>
          <w:rFonts w:cs="Arial"/>
          <w:szCs w:val="19"/>
          <w:lang w:val="es-ES_tradnl"/>
        </w:rPr>
        <w:t xml:space="preserve">.  </w:t>
      </w:r>
      <w:r w:rsidRPr="006E4BE1">
        <w:rPr>
          <w:rFonts w:cs="Arial"/>
          <w:szCs w:val="19"/>
          <w:lang w:val="es-ES_tradnl"/>
        </w:rPr>
        <w:t>La consideración del plan operativo estratégico para 2023-2027 será un objetivo fundamental en el bienio 2022-2023.</w:t>
      </w:r>
    </w:p>
    <w:p w14:paraId="33093121" w14:textId="77777777" w:rsidR="001240C5" w:rsidRPr="006E4BE1" w:rsidRDefault="001240C5" w:rsidP="00AE50C9">
      <w:pPr>
        <w:tabs>
          <w:tab w:val="left" w:pos="851"/>
        </w:tabs>
        <w:rPr>
          <w:spacing w:val="-2"/>
          <w:lang w:val="es-ES_tradnl"/>
        </w:rPr>
      </w:pPr>
    </w:p>
    <w:p w14:paraId="7FA5691F" w14:textId="77777777" w:rsidR="001240C5" w:rsidRPr="006E4BE1" w:rsidRDefault="00A67833" w:rsidP="00AE50C9">
      <w:pPr>
        <w:tabs>
          <w:tab w:val="left" w:pos="851"/>
        </w:tabs>
        <w:rPr>
          <w:lang w:val="es-ES_tradnl"/>
        </w:rPr>
      </w:pPr>
      <w:r w:rsidRPr="006E4BE1">
        <w:rPr>
          <w:lang w:val="es-ES_tradnl"/>
        </w:rPr>
        <w:t>En el bienio 2022-2023, la política en materia de estrategia de comunicación seguirá siendo un asunto primordial que tendrá por objeto ampliar y mejorar la comprensión del sistema de la UPOV por parte de los sectores interesados y trabajar con otras organizaciones intergubernamentales con la intención de promover la complementariedad.</w:t>
      </w:r>
    </w:p>
    <w:p w14:paraId="07BED8A2" w14:textId="77777777" w:rsidR="001240C5" w:rsidRPr="006E4BE1" w:rsidRDefault="001240C5" w:rsidP="00AE50C9">
      <w:pPr>
        <w:tabs>
          <w:tab w:val="left" w:pos="851"/>
        </w:tabs>
        <w:rPr>
          <w:lang w:val="es-ES_tradnl"/>
        </w:rPr>
      </w:pPr>
    </w:p>
    <w:p w14:paraId="1555E4D0" w14:textId="77777777" w:rsidR="001240C5" w:rsidRPr="006E4BE1" w:rsidRDefault="00A67833" w:rsidP="00AE50C9">
      <w:pPr>
        <w:tabs>
          <w:tab w:val="left" w:pos="851"/>
        </w:tabs>
        <w:rPr>
          <w:lang w:val="es-ES_tradnl"/>
        </w:rPr>
      </w:pPr>
      <w:r w:rsidRPr="006E4BE1">
        <w:rPr>
          <w:lang w:val="es-ES_tradnl"/>
        </w:rPr>
        <w:t>Será necesario supervisar y reconsiderar la estrategia de formación y asistencia en lo que atañe a los pedidos de asistencia que van haciendo los miembros de la Unión y los Estados y organizaciones que desean ser miembros de la Unión</w:t>
      </w:r>
      <w:r w:rsidR="00FE64A1" w:rsidRPr="006E4BE1">
        <w:rPr>
          <w:lang w:val="es-ES_tradnl"/>
        </w:rPr>
        <w:t xml:space="preserve">.  </w:t>
      </w:r>
      <w:r w:rsidRPr="006E4BE1">
        <w:rPr>
          <w:lang w:val="es-ES_tradnl"/>
        </w:rPr>
        <w:t xml:space="preserve">A fin de que tengan mayor incidencia la formación y la asistencia, será necesario tener en cuenta el uso de programas de formación virtual basados en recursos reutilizables, nuevos cursos de enseñanza a distancia, demostraciones en vídeo, seminarios web y guías prácticas, con el fin de reducir la necesidad de formación </w:t>
      </w:r>
      <w:r w:rsidR="00DC7BCC" w:rsidRPr="006E4BE1">
        <w:rPr>
          <w:lang w:val="es-ES_tradnl"/>
        </w:rPr>
        <w:t>presencial</w:t>
      </w:r>
      <w:r w:rsidR="00DC7BCC" w:rsidRPr="006E4BE1">
        <w:rPr>
          <w:i/>
          <w:lang w:val="es-ES_tradnl"/>
        </w:rPr>
        <w:t xml:space="preserve"> </w:t>
      </w:r>
      <w:r w:rsidRPr="006E4BE1">
        <w:rPr>
          <w:lang w:val="es-ES_tradnl"/>
        </w:rPr>
        <w:t xml:space="preserve">y </w:t>
      </w:r>
      <w:r w:rsidR="002E51A3" w:rsidRPr="006E4BE1">
        <w:rPr>
          <w:lang w:val="es-ES_tradnl"/>
        </w:rPr>
        <w:t>aumentar el alcance</w:t>
      </w:r>
      <w:r w:rsidR="00FE64A1" w:rsidRPr="006E4BE1">
        <w:rPr>
          <w:lang w:val="es-ES_tradnl"/>
        </w:rPr>
        <w:t xml:space="preserve">.  </w:t>
      </w:r>
      <w:r w:rsidR="00AE1C5B" w:rsidRPr="006E4BE1">
        <w:rPr>
          <w:lang w:val="es-ES_tradnl"/>
        </w:rPr>
        <w:t>Además, en colaboración con los asociados pertinentes, se propone elaborar un plan de estudios internacional que de origen a títulos reconocidos po</w:t>
      </w:r>
      <w:r w:rsidR="001A019F" w:rsidRPr="006E4BE1">
        <w:rPr>
          <w:lang w:val="es-ES_tradnl"/>
        </w:rPr>
        <w:t>r la </w:t>
      </w:r>
      <w:r w:rsidR="00AE1C5B" w:rsidRPr="006E4BE1">
        <w:rPr>
          <w:lang w:val="es-ES_tradnl"/>
        </w:rPr>
        <w:t>UPOV.</w:t>
      </w:r>
    </w:p>
    <w:p w14:paraId="1B37C493" w14:textId="77777777" w:rsidR="001240C5" w:rsidRPr="006E4BE1" w:rsidRDefault="001240C5" w:rsidP="00AE50C9">
      <w:pPr>
        <w:tabs>
          <w:tab w:val="left" w:pos="567"/>
        </w:tabs>
        <w:rPr>
          <w:lang w:val="es-ES_tradnl"/>
        </w:rPr>
      </w:pPr>
    </w:p>
    <w:p w14:paraId="66914C23" w14:textId="77777777" w:rsidR="001240C5" w:rsidRPr="006E4BE1" w:rsidRDefault="00AE1C5B" w:rsidP="00AE50C9">
      <w:pPr>
        <w:tabs>
          <w:tab w:val="left" w:pos="851"/>
        </w:tabs>
        <w:rPr>
          <w:lang w:val="es-ES_tradnl"/>
        </w:rPr>
      </w:pPr>
      <w:r w:rsidRPr="006E4BE1">
        <w:rPr>
          <w:lang w:val="es-ES_tradnl"/>
        </w:rPr>
        <w:t>En relación con las reuniones de los órganos de la UPOV, será necesario tener en cuenta la política de participación virtual con miras a aumentar la participación y la eficacia de las reuniones.</w:t>
      </w:r>
    </w:p>
    <w:p w14:paraId="6F22DA3E" w14:textId="77777777" w:rsidR="001240C5" w:rsidRPr="006E4BE1" w:rsidRDefault="001240C5" w:rsidP="00AE50C9">
      <w:pPr>
        <w:tabs>
          <w:tab w:val="left" w:pos="851"/>
        </w:tabs>
        <w:rPr>
          <w:lang w:val="es-ES_tradnl"/>
        </w:rPr>
      </w:pPr>
    </w:p>
    <w:p w14:paraId="5FAD3571" w14:textId="77777777" w:rsidR="001240C5" w:rsidRPr="006E4BE1" w:rsidRDefault="00AE1C5B" w:rsidP="00C04E4A">
      <w:pPr>
        <w:tabs>
          <w:tab w:val="left" w:pos="851"/>
        </w:tabs>
        <w:spacing w:after="240"/>
        <w:rPr>
          <w:lang w:val="es-ES_tradnl"/>
        </w:rPr>
      </w:pPr>
      <w:r w:rsidRPr="006E4BE1">
        <w:rPr>
          <w:lang w:val="es-ES_tradnl"/>
        </w:rPr>
        <w:t>Será necesario seguir examinando la cuestión de la traducción, en particular el uso de la traducción automática para reducir los costos de traducción y aumentar la cobertura lingüística.</w:t>
      </w:r>
    </w:p>
    <w:p w14:paraId="6F5C6D1F" w14:textId="77777777" w:rsidR="001240C5" w:rsidRPr="006E4BE1" w:rsidRDefault="001A019F">
      <w:pPr>
        <w:jc w:val="left"/>
        <w:rPr>
          <w:b/>
          <w:color w:val="26724C" w:themeColor="accent1" w:themeShade="BF"/>
          <w:sz w:val="22"/>
          <w:lang w:val="es-ES_tradnl"/>
        </w:rPr>
      </w:pPr>
      <w:r w:rsidRPr="006E4BE1">
        <w:rPr>
          <w:lang w:val="es-ES_tradnl"/>
        </w:rPr>
        <w:br w:type="page"/>
      </w:r>
    </w:p>
    <w:p w14:paraId="0B166F54" w14:textId="77777777" w:rsidR="001240C5" w:rsidRPr="006E4BE1" w:rsidRDefault="00AE1C5B" w:rsidP="00B60E92">
      <w:pPr>
        <w:pStyle w:val="Heading3"/>
      </w:pPr>
      <w:bookmarkStart w:id="434" w:name="_Toc78476714"/>
      <w:r w:rsidRPr="006E4BE1">
        <w:lastRenderedPageBreak/>
        <w:t>Actividades</w:t>
      </w:r>
      <w:bookmarkEnd w:id="434"/>
    </w:p>
    <w:p w14:paraId="76B99605" w14:textId="77777777" w:rsidR="001240C5" w:rsidRPr="006E4BE1" w:rsidRDefault="001240C5" w:rsidP="00AE50C9">
      <w:pPr>
        <w:spacing w:after="40"/>
        <w:ind w:left="1276" w:hanging="709"/>
        <w:rPr>
          <w:lang w:val="es-ES_tradnl"/>
        </w:rPr>
      </w:pPr>
    </w:p>
    <w:p w14:paraId="1E65DE8D" w14:textId="77777777" w:rsidR="001240C5" w:rsidRPr="006E4BE1" w:rsidRDefault="00AE1C5B" w:rsidP="00AE50C9">
      <w:pPr>
        <w:spacing w:after="40"/>
        <w:ind w:left="1276" w:hanging="709"/>
        <w:rPr>
          <w:lang w:val="es-ES_tradnl"/>
        </w:rPr>
      </w:pPr>
      <w:r w:rsidRPr="006E4BE1">
        <w:rPr>
          <w:lang w:val="es-ES_tradnl"/>
        </w:rPr>
        <w:t>i)</w:t>
      </w:r>
      <w:r w:rsidRPr="006E4BE1">
        <w:rPr>
          <w:lang w:val="es-ES_tradnl"/>
        </w:rPr>
        <w:tab/>
        <w:t>Dos sesiones del Consejo y dos sesiones del Comité Consultivo</w:t>
      </w:r>
    </w:p>
    <w:p w14:paraId="309FD8A4" w14:textId="77777777" w:rsidR="001240C5" w:rsidRPr="006E4BE1" w:rsidRDefault="00AE1C5B" w:rsidP="00AE50C9">
      <w:pPr>
        <w:spacing w:after="40"/>
        <w:ind w:left="1276" w:hanging="709"/>
        <w:rPr>
          <w:lang w:val="es-ES_tradnl"/>
        </w:rPr>
      </w:pPr>
      <w:r w:rsidRPr="006E4BE1">
        <w:rPr>
          <w:lang w:val="es-ES_tradnl"/>
        </w:rPr>
        <w:t>ii)</w:t>
      </w:r>
      <w:r w:rsidRPr="006E4BE1">
        <w:rPr>
          <w:lang w:val="es-ES_tradnl"/>
        </w:rPr>
        <w:tab/>
        <w:t>Coordinación, supervisión y evaluación del rendimiento del programa y presupuesto para el bienio 2022-2023</w:t>
      </w:r>
    </w:p>
    <w:p w14:paraId="5B8EC60E" w14:textId="77777777" w:rsidR="001240C5" w:rsidRPr="006E4BE1" w:rsidRDefault="00AE1C5B" w:rsidP="00AE50C9">
      <w:pPr>
        <w:spacing w:after="40"/>
        <w:ind w:left="1276" w:hanging="709"/>
        <w:rPr>
          <w:lang w:val="es-ES_tradnl"/>
        </w:rPr>
      </w:pPr>
      <w:r w:rsidRPr="006E4BE1">
        <w:rPr>
          <w:lang w:val="es-ES_tradnl"/>
        </w:rPr>
        <w:t>iii)</w:t>
      </w:r>
      <w:r w:rsidRPr="006E4BE1">
        <w:rPr>
          <w:lang w:val="es-ES_tradnl"/>
        </w:rPr>
        <w:tab/>
        <w:t>Examen del plan operativo estratégico, incluida la diversificación de la cartera de ingresos de la UPOV</w:t>
      </w:r>
    </w:p>
    <w:p w14:paraId="2CE2F4FF" w14:textId="77777777" w:rsidR="001240C5" w:rsidRPr="006E4BE1" w:rsidRDefault="00AE1C5B" w:rsidP="00AE50C9">
      <w:pPr>
        <w:spacing w:after="40"/>
        <w:ind w:left="1276" w:hanging="709"/>
        <w:rPr>
          <w:lang w:val="es-ES_tradnl"/>
        </w:rPr>
      </w:pPr>
      <w:r w:rsidRPr="006E4BE1">
        <w:rPr>
          <w:lang w:val="es-ES_tradnl"/>
        </w:rPr>
        <w:t>iv)</w:t>
      </w:r>
      <w:r w:rsidRPr="006E4BE1">
        <w:rPr>
          <w:lang w:val="es-ES_tradnl"/>
        </w:rPr>
        <w:tab/>
        <w:t>Preparación y aprobación del programa y presupuesto para el bienio 2024-2025</w:t>
      </w:r>
    </w:p>
    <w:p w14:paraId="659BA972" w14:textId="77777777" w:rsidR="001240C5" w:rsidRPr="006E4BE1" w:rsidRDefault="00AE1C5B" w:rsidP="00AE50C9">
      <w:pPr>
        <w:spacing w:after="40"/>
        <w:ind w:left="1276" w:hanging="709"/>
        <w:rPr>
          <w:lang w:val="es-ES_tradnl"/>
        </w:rPr>
      </w:pPr>
      <w:r w:rsidRPr="006E4BE1">
        <w:rPr>
          <w:lang w:val="es-ES_tradnl"/>
        </w:rPr>
        <w:t>v)</w:t>
      </w:r>
      <w:r w:rsidRPr="006E4BE1">
        <w:rPr>
          <w:lang w:val="es-ES_tradnl"/>
        </w:rPr>
        <w:tab/>
        <w:t>Análisis de la estrategia de comunicación</w:t>
      </w:r>
    </w:p>
    <w:p w14:paraId="30E5CDDB" w14:textId="77777777" w:rsidR="001240C5" w:rsidRPr="006E4BE1" w:rsidRDefault="00AE1C5B" w:rsidP="00AE50C9">
      <w:pPr>
        <w:spacing w:after="40"/>
        <w:ind w:left="1276" w:hanging="709"/>
        <w:rPr>
          <w:lang w:val="es-ES_tradnl"/>
        </w:rPr>
      </w:pPr>
      <w:r w:rsidRPr="006E4BE1">
        <w:rPr>
          <w:lang w:val="es-ES_tradnl"/>
        </w:rPr>
        <w:t>vi)</w:t>
      </w:r>
      <w:r w:rsidRPr="006E4BE1">
        <w:rPr>
          <w:lang w:val="es-ES_tradnl"/>
        </w:rPr>
        <w:tab/>
        <w:t>Análisis de la estrategia de formación y asistencia</w:t>
      </w:r>
    </w:p>
    <w:p w14:paraId="3ED9D163" w14:textId="77777777" w:rsidR="001240C5" w:rsidRPr="006E4BE1" w:rsidRDefault="00AE1C5B" w:rsidP="00AE50C9">
      <w:pPr>
        <w:spacing w:after="40"/>
        <w:ind w:left="1276" w:hanging="709"/>
        <w:rPr>
          <w:lang w:val="es-ES_tradnl"/>
        </w:rPr>
      </w:pPr>
      <w:r w:rsidRPr="006E4BE1">
        <w:rPr>
          <w:lang w:val="es-ES_tradnl"/>
        </w:rPr>
        <w:t>vii)</w:t>
      </w:r>
      <w:r w:rsidRPr="006E4BE1">
        <w:rPr>
          <w:lang w:val="es-ES_tradnl"/>
        </w:rPr>
        <w:tab/>
        <w:t>Política de participación virtual en las reuniones de la UPOV</w:t>
      </w:r>
    </w:p>
    <w:p w14:paraId="26446AFF" w14:textId="77777777" w:rsidR="001240C5" w:rsidRPr="006E4BE1" w:rsidRDefault="00AE1C5B" w:rsidP="00AE50C9">
      <w:pPr>
        <w:spacing w:after="40"/>
        <w:ind w:left="1276" w:hanging="709"/>
        <w:rPr>
          <w:lang w:val="es-ES_tradnl"/>
        </w:rPr>
      </w:pPr>
      <w:r w:rsidRPr="006E4BE1">
        <w:rPr>
          <w:lang w:val="es-ES_tradnl"/>
        </w:rPr>
        <w:t>viii)</w:t>
      </w:r>
      <w:r w:rsidRPr="006E4BE1">
        <w:rPr>
          <w:lang w:val="es-ES_tradnl"/>
        </w:rPr>
        <w:tab/>
        <w:t>Política de traducción y cobertura lingüística</w:t>
      </w:r>
    </w:p>
    <w:p w14:paraId="29C96CDD" w14:textId="77777777" w:rsidR="001240C5" w:rsidRPr="006E4BE1" w:rsidRDefault="001240C5" w:rsidP="00AE50C9">
      <w:pPr>
        <w:jc w:val="left"/>
        <w:rPr>
          <w:lang w:val="es-ES_tradnl"/>
        </w:rPr>
      </w:pPr>
    </w:p>
    <w:p w14:paraId="2F6224EA" w14:textId="77777777" w:rsidR="001240C5" w:rsidRPr="006E4BE1" w:rsidRDefault="001240C5" w:rsidP="00AE50C9">
      <w:pPr>
        <w:jc w:val="left"/>
        <w:rPr>
          <w:lang w:val="es-ES_tradnl"/>
        </w:rPr>
      </w:pPr>
    </w:p>
    <w:p w14:paraId="1C752232" w14:textId="77777777" w:rsidR="001240C5" w:rsidRPr="006E4BE1" w:rsidRDefault="00AE1C5B" w:rsidP="00B60E92">
      <w:pPr>
        <w:pStyle w:val="Heading3"/>
      </w:pPr>
      <w:bookmarkStart w:id="435" w:name="_Toc78476715"/>
      <w:r w:rsidRPr="006E4BE1">
        <w:t>Resultados previstos e indicadores de rendimiento</w:t>
      </w:r>
      <w:bookmarkEnd w:id="435"/>
    </w:p>
    <w:p w14:paraId="52D2C144" w14:textId="632EFB8C" w:rsidR="009867DC" w:rsidRPr="006E4BE1" w:rsidRDefault="009867DC" w:rsidP="009867DC">
      <w:pPr>
        <w:rPr>
          <w:lang w:val="es-ES_tradnl"/>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288"/>
        <w:gridCol w:w="5250"/>
      </w:tblGrid>
      <w:tr w:rsidR="008C5BB5" w:rsidRPr="006E4BE1" w14:paraId="49E352B9" w14:textId="77777777" w:rsidTr="00C04E4A">
        <w:trPr>
          <w:cantSplit/>
        </w:trPr>
        <w:tc>
          <w:tcPr>
            <w:tcW w:w="4351" w:type="dxa"/>
            <w:tcBorders>
              <w:bottom w:val="single" w:sz="4" w:space="0" w:color="A6A6A6" w:themeColor="background1" w:themeShade="A6"/>
            </w:tcBorders>
            <w:shd w:val="clear" w:color="auto" w:fill="C6CFD7" w:themeFill="accent3" w:themeFillTint="66"/>
          </w:tcPr>
          <w:p w14:paraId="1685B6D5" w14:textId="0E5DDDEF" w:rsidR="008C5BB5" w:rsidRPr="006E4BE1" w:rsidRDefault="00AE1C5B" w:rsidP="00AE50C9">
            <w:pPr>
              <w:ind w:left="397" w:hanging="397"/>
              <w:jc w:val="center"/>
              <w:rPr>
                <w:rFonts w:cs="Arial"/>
                <w:b/>
                <w:color w:val="000000"/>
                <w:lang w:val="es-ES_tradnl"/>
              </w:rPr>
            </w:pPr>
            <w:r w:rsidRPr="006E4BE1">
              <w:rPr>
                <w:rFonts w:cs="Arial"/>
                <w:b/>
                <w:color w:val="000000"/>
                <w:lang w:val="es-ES_tradnl"/>
              </w:rPr>
              <w:t>Resultados previstos</w:t>
            </w:r>
          </w:p>
        </w:tc>
        <w:tc>
          <w:tcPr>
            <w:tcW w:w="5538" w:type="dxa"/>
            <w:gridSpan w:val="2"/>
            <w:tcBorders>
              <w:bottom w:val="single" w:sz="4" w:space="0" w:color="A6A6A6" w:themeColor="background1" w:themeShade="A6"/>
            </w:tcBorders>
            <w:shd w:val="clear" w:color="auto" w:fill="C6CFD7" w:themeFill="accent3" w:themeFillTint="66"/>
          </w:tcPr>
          <w:p w14:paraId="22C3BAD5" w14:textId="7E5F1A07" w:rsidR="008C5BB5" w:rsidRPr="006E4BE1" w:rsidRDefault="00AE1C5B" w:rsidP="00AE50C9">
            <w:pPr>
              <w:ind w:left="397" w:hanging="397"/>
              <w:jc w:val="center"/>
              <w:rPr>
                <w:rFonts w:cs="Arial"/>
                <w:b/>
                <w:color w:val="000000"/>
                <w:lang w:val="es-ES_tradnl"/>
              </w:rPr>
            </w:pPr>
            <w:r w:rsidRPr="006E4BE1">
              <w:rPr>
                <w:rFonts w:cs="Arial"/>
                <w:b/>
                <w:color w:val="000000"/>
                <w:lang w:val="es-ES_tradnl"/>
              </w:rPr>
              <w:t>Indicadores de rendimiento</w:t>
            </w:r>
          </w:p>
        </w:tc>
      </w:tr>
      <w:tr w:rsidR="004E4CC5" w:rsidRPr="001D7D80" w14:paraId="4C45120C" w14:textId="77777777" w:rsidTr="00C04E4A">
        <w:trPr>
          <w:cantSplit/>
        </w:trPr>
        <w:tc>
          <w:tcPr>
            <w:tcW w:w="4639" w:type="dxa"/>
            <w:gridSpan w:val="2"/>
            <w:tcBorders>
              <w:top w:val="single" w:sz="4" w:space="0" w:color="A6A6A6" w:themeColor="background1" w:themeShade="A6"/>
            </w:tcBorders>
          </w:tcPr>
          <w:p w14:paraId="30E958C7" w14:textId="27F8B2FD" w:rsidR="004E4CC5" w:rsidRPr="006E4BE1" w:rsidRDefault="00AE1C5B" w:rsidP="00AE50C9">
            <w:pPr>
              <w:numPr>
                <w:ilvl w:val="0"/>
                <w:numId w:val="39"/>
              </w:numPr>
              <w:ind w:left="496" w:hanging="270"/>
              <w:jc w:val="left"/>
              <w:rPr>
                <w:rFonts w:cs="Arial"/>
                <w:color w:val="000000"/>
                <w:lang w:val="es-ES_tradnl"/>
              </w:rPr>
            </w:pPr>
            <w:r w:rsidRPr="006E4BE1">
              <w:rPr>
                <w:rFonts w:cs="Arial"/>
                <w:color w:val="000000"/>
                <w:lang w:val="es-ES_tradnl"/>
              </w:rPr>
              <w:t>Gobernanza por el Consejo y el Comité Consultivo de la UPOV, incluida la supervisión de la labor de los comités de la UPOV</w:t>
            </w:r>
          </w:p>
        </w:tc>
        <w:tc>
          <w:tcPr>
            <w:tcW w:w="5250" w:type="dxa"/>
            <w:tcBorders>
              <w:top w:val="single" w:sz="4" w:space="0" w:color="A6A6A6" w:themeColor="background1" w:themeShade="A6"/>
            </w:tcBorders>
          </w:tcPr>
          <w:p w14:paraId="24EEF4EB" w14:textId="77777777" w:rsidR="001240C5" w:rsidRPr="006E4BE1" w:rsidRDefault="00AE1C5B" w:rsidP="00AE50C9">
            <w:pPr>
              <w:ind w:left="397" w:hanging="397"/>
              <w:jc w:val="left"/>
              <w:rPr>
                <w:rFonts w:cs="Arial"/>
                <w:color w:val="000000"/>
                <w:lang w:val="es-ES_tradnl"/>
              </w:rPr>
            </w:pPr>
            <w:r w:rsidRPr="006E4BE1">
              <w:rPr>
                <w:rFonts w:cs="Arial"/>
                <w:color w:val="000000"/>
                <w:lang w:val="es-ES_tradnl"/>
              </w:rPr>
              <w:t>a)</w:t>
            </w:r>
            <w:r w:rsidRPr="006E4BE1">
              <w:rPr>
                <w:rFonts w:cs="Arial"/>
                <w:color w:val="000000"/>
                <w:lang w:val="es-ES_tradnl"/>
              </w:rPr>
              <w:tab/>
              <w:t>Aprobación y supervisión de los programas de trabajo del CAJ, el TC, los TWP y los grupos de trabajo especiales;</w:t>
            </w:r>
          </w:p>
          <w:p w14:paraId="11EFC005" w14:textId="77777777" w:rsidR="001240C5" w:rsidRPr="006E4BE1" w:rsidRDefault="00AE1C5B" w:rsidP="00AE50C9">
            <w:pPr>
              <w:ind w:left="397" w:hanging="397"/>
              <w:jc w:val="left"/>
              <w:rPr>
                <w:rFonts w:cs="Arial"/>
                <w:color w:val="000000"/>
                <w:lang w:val="es-ES_tradnl"/>
              </w:rPr>
            </w:pPr>
            <w:r w:rsidRPr="006E4BE1">
              <w:rPr>
                <w:rFonts w:cs="Arial"/>
                <w:color w:val="000000"/>
                <w:lang w:val="es-ES_tradnl"/>
              </w:rPr>
              <w:t>b)</w:t>
            </w:r>
            <w:r w:rsidRPr="006E4BE1">
              <w:rPr>
                <w:rFonts w:cs="Arial"/>
                <w:color w:val="000000"/>
                <w:lang w:val="es-ES_tradnl"/>
              </w:rPr>
              <w:tab/>
              <w:t>Aprobación del programa y presupuesto;</w:t>
            </w:r>
          </w:p>
          <w:p w14:paraId="44441355" w14:textId="77777777" w:rsidR="001240C5" w:rsidRPr="006E4BE1" w:rsidRDefault="00AE1C5B" w:rsidP="00AE50C9">
            <w:pPr>
              <w:ind w:left="397" w:hanging="397"/>
              <w:jc w:val="left"/>
              <w:rPr>
                <w:rFonts w:cs="Arial"/>
                <w:color w:val="000000"/>
                <w:lang w:val="es-ES_tradnl"/>
              </w:rPr>
            </w:pPr>
            <w:r w:rsidRPr="006E4BE1">
              <w:rPr>
                <w:rFonts w:cs="Arial"/>
                <w:color w:val="000000"/>
                <w:lang w:val="es-ES_tradnl"/>
              </w:rPr>
              <w:t>c)</w:t>
            </w:r>
            <w:r w:rsidRPr="006E4BE1">
              <w:rPr>
                <w:rFonts w:cs="Arial"/>
                <w:color w:val="000000"/>
                <w:lang w:val="es-ES_tradnl"/>
              </w:rPr>
              <w:tab/>
              <w:t>Aprobación de los estados financieros;</w:t>
            </w:r>
          </w:p>
          <w:p w14:paraId="34917BBF" w14:textId="35A634CB" w:rsidR="00D4322A" w:rsidRPr="006E4BE1" w:rsidRDefault="00031400" w:rsidP="00AE50C9">
            <w:pPr>
              <w:ind w:left="397" w:hanging="397"/>
              <w:jc w:val="left"/>
              <w:rPr>
                <w:rFonts w:cs="Arial"/>
                <w:color w:val="000000"/>
                <w:lang w:val="es-ES_tradnl"/>
              </w:rPr>
            </w:pPr>
            <w:r w:rsidRPr="006E4BE1">
              <w:rPr>
                <w:rFonts w:cs="Arial"/>
                <w:color w:val="000000"/>
                <w:lang w:val="es-ES_tradnl"/>
              </w:rPr>
              <w:t>d)</w:t>
            </w:r>
            <w:r w:rsidRPr="006E4BE1">
              <w:rPr>
                <w:rFonts w:cs="Arial"/>
                <w:color w:val="000000"/>
                <w:lang w:val="es-ES_tradnl"/>
              </w:rPr>
              <w:tab/>
              <w:t>Aprobación del informe sobre el rendimiento de la UPOV.</w:t>
            </w:r>
          </w:p>
        </w:tc>
      </w:tr>
      <w:tr w:rsidR="004E4CC5" w:rsidRPr="006E4BE1" w14:paraId="224076D4" w14:textId="77777777" w:rsidTr="00C04E4A">
        <w:trPr>
          <w:cantSplit/>
        </w:trPr>
        <w:tc>
          <w:tcPr>
            <w:tcW w:w="4639" w:type="dxa"/>
            <w:gridSpan w:val="2"/>
          </w:tcPr>
          <w:p w14:paraId="10D23107" w14:textId="6B23ECF1" w:rsidR="004E4CC5" w:rsidRPr="006E4BE1" w:rsidRDefault="00031400" w:rsidP="00AE50C9">
            <w:pPr>
              <w:numPr>
                <w:ilvl w:val="0"/>
                <w:numId w:val="39"/>
              </w:numPr>
              <w:ind w:left="468" w:hanging="284"/>
              <w:jc w:val="left"/>
              <w:rPr>
                <w:rFonts w:cs="Arial"/>
                <w:color w:val="000000"/>
                <w:lang w:val="es-ES_tradnl"/>
              </w:rPr>
            </w:pPr>
            <w:r w:rsidRPr="006E4BE1">
              <w:rPr>
                <w:rFonts w:cs="Arial"/>
                <w:color w:val="000000"/>
                <w:lang w:val="es-ES_tradnl"/>
              </w:rPr>
              <w:t>Examen de la conformidad de leyes o proyectos de ley con el Acta de 1991 del Convenio de la UPOV</w:t>
            </w:r>
          </w:p>
        </w:tc>
        <w:tc>
          <w:tcPr>
            <w:tcW w:w="5250" w:type="dxa"/>
          </w:tcPr>
          <w:p w14:paraId="4746181F" w14:textId="77777777" w:rsidR="001240C5" w:rsidRPr="006E4BE1" w:rsidRDefault="00031400" w:rsidP="00AE50C9">
            <w:pPr>
              <w:ind w:left="397" w:hanging="397"/>
              <w:jc w:val="left"/>
              <w:rPr>
                <w:rFonts w:cs="Arial"/>
                <w:color w:val="000000"/>
                <w:lang w:val="es-ES_tradnl"/>
              </w:rPr>
            </w:pPr>
            <w:r w:rsidRPr="006E4BE1">
              <w:rPr>
                <w:rFonts w:cs="Arial"/>
                <w:color w:val="000000"/>
                <w:lang w:val="es-ES_tradnl"/>
              </w:rPr>
              <w:t>a)</w:t>
            </w:r>
            <w:r w:rsidRPr="006E4BE1">
              <w:rPr>
                <w:rFonts w:cs="Arial"/>
                <w:color w:val="000000"/>
                <w:lang w:val="es-ES_tradnl"/>
              </w:rPr>
              <w:tab/>
              <w:t>Recomendaciones formuladas por el Comité Consultivo;</w:t>
            </w:r>
          </w:p>
          <w:p w14:paraId="6A8598B6" w14:textId="02A67794" w:rsidR="004E4CC5" w:rsidRPr="006E4BE1" w:rsidRDefault="00031400" w:rsidP="00AE50C9">
            <w:pPr>
              <w:ind w:left="397" w:hanging="397"/>
              <w:jc w:val="left"/>
              <w:rPr>
                <w:rFonts w:cs="Arial"/>
                <w:color w:val="000000"/>
                <w:lang w:val="es-ES_tradnl"/>
              </w:rPr>
            </w:pPr>
            <w:r w:rsidRPr="006E4BE1">
              <w:rPr>
                <w:rFonts w:cs="Arial"/>
                <w:color w:val="000000"/>
                <w:lang w:val="es-ES_tradnl"/>
              </w:rPr>
              <w:t>b)</w:t>
            </w:r>
            <w:r w:rsidRPr="006E4BE1">
              <w:rPr>
                <w:rFonts w:cs="Arial"/>
                <w:color w:val="000000"/>
                <w:lang w:val="es-ES_tradnl"/>
              </w:rPr>
              <w:tab/>
              <w:t>Decisiones del Consejo.</w:t>
            </w:r>
          </w:p>
        </w:tc>
      </w:tr>
      <w:tr w:rsidR="004E4CC5" w:rsidRPr="001D7D80" w14:paraId="3767A236" w14:textId="77777777" w:rsidTr="00C04E4A">
        <w:trPr>
          <w:cantSplit/>
        </w:trPr>
        <w:tc>
          <w:tcPr>
            <w:tcW w:w="4639" w:type="dxa"/>
            <w:gridSpan w:val="2"/>
          </w:tcPr>
          <w:p w14:paraId="1E1B6E65" w14:textId="50C337BA" w:rsidR="004E4CC5" w:rsidRPr="006E4BE1" w:rsidRDefault="00031400" w:rsidP="00AE50C9">
            <w:pPr>
              <w:numPr>
                <w:ilvl w:val="0"/>
                <w:numId w:val="39"/>
              </w:numPr>
              <w:ind w:left="468" w:hanging="284"/>
              <w:jc w:val="left"/>
              <w:rPr>
                <w:rFonts w:cs="Arial"/>
                <w:color w:val="000000"/>
                <w:lang w:val="es-ES_tradnl"/>
              </w:rPr>
            </w:pPr>
            <w:r w:rsidRPr="006E4BE1">
              <w:rPr>
                <w:rFonts w:cs="Arial"/>
                <w:color w:val="000000"/>
                <w:lang w:val="es-ES_tradnl"/>
              </w:rPr>
              <w:t>Examen de la situación relativa a las solicitudes y la concesión de derechos de obtentor</w:t>
            </w:r>
            <w:r w:rsidR="004E4CC5" w:rsidRPr="006E4BE1">
              <w:rPr>
                <w:rFonts w:cs="Arial"/>
                <w:color w:val="000000"/>
                <w:lang w:val="es-ES_tradnl"/>
              </w:rPr>
              <w:t xml:space="preserve"> </w:t>
            </w:r>
          </w:p>
        </w:tc>
        <w:tc>
          <w:tcPr>
            <w:tcW w:w="5250" w:type="dxa"/>
          </w:tcPr>
          <w:p w14:paraId="25DBD692" w14:textId="77777777" w:rsidR="001240C5" w:rsidRPr="006E4BE1" w:rsidRDefault="00031400" w:rsidP="00AE50C9">
            <w:pPr>
              <w:ind w:left="397" w:hanging="397"/>
              <w:jc w:val="left"/>
              <w:rPr>
                <w:rFonts w:cs="Arial"/>
                <w:color w:val="000000"/>
                <w:lang w:val="es-ES_tradnl"/>
              </w:rPr>
            </w:pPr>
            <w:r w:rsidRPr="006E4BE1">
              <w:rPr>
                <w:rFonts w:cs="Arial"/>
                <w:color w:val="000000"/>
                <w:lang w:val="es-ES_tradnl"/>
              </w:rPr>
              <w:t>a)</w:t>
            </w:r>
            <w:r w:rsidRPr="006E4BE1">
              <w:rPr>
                <w:rFonts w:cs="Arial"/>
                <w:color w:val="000000"/>
                <w:lang w:val="es-ES_tradnl"/>
              </w:rPr>
              <w:tab/>
              <w:t>Número de solicitudes;</w:t>
            </w:r>
          </w:p>
          <w:p w14:paraId="4E910674" w14:textId="77777777" w:rsidR="001240C5" w:rsidRPr="006E4BE1" w:rsidRDefault="00031400" w:rsidP="00AE50C9">
            <w:pPr>
              <w:ind w:left="397" w:hanging="397"/>
              <w:jc w:val="left"/>
              <w:rPr>
                <w:rFonts w:cs="Arial"/>
                <w:color w:val="000000"/>
                <w:lang w:val="es-ES_tradnl"/>
              </w:rPr>
            </w:pPr>
            <w:r w:rsidRPr="006E4BE1">
              <w:rPr>
                <w:rFonts w:cs="Arial"/>
                <w:color w:val="000000"/>
                <w:lang w:val="es-ES_tradnl"/>
              </w:rPr>
              <w:t>b)</w:t>
            </w:r>
            <w:r w:rsidRPr="006E4BE1">
              <w:rPr>
                <w:rFonts w:cs="Arial"/>
                <w:color w:val="000000"/>
                <w:lang w:val="es-ES_tradnl"/>
              </w:rPr>
              <w:tab/>
              <w:t>Número de títulos concedidos;</w:t>
            </w:r>
          </w:p>
          <w:p w14:paraId="2E4407F5" w14:textId="77777777" w:rsidR="001240C5" w:rsidRPr="006E4BE1" w:rsidRDefault="00031400" w:rsidP="00AE50C9">
            <w:pPr>
              <w:ind w:left="397" w:hanging="397"/>
              <w:jc w:val="left"/>
              <w:rPr>
                <w:rFonts w:cs="Arial"/>
                <w:color w:val="000000"/>
                <w:lang w:val="es-ES_tradnl"/>
              </w:rPr>
            </w:pPr>
            <w:r w:rsidRPr="006E4BE1">
              <w:rPr>
                <w:rFonts w:cs="Arial"/>
                <w:color w:val="000000"/>
                <w:lang w:val="es-ES_tradnl"/>
              </w:rPr>
              <w:t>c)</w:t>
            </w:r>
            <w:r w:rsidRPr="006E4BE1">
              <w:rPr>
                <w:rFonts w:cs="Arial"/>
                <w:color w:val="000000"/>
                <w:lang w:val="es-ES_tradnl"/>
              </w:rPr>
              <w:tab/>
              <w:t>Número de títulos en vigor;</w:t>
            </w:r>
          </w:p>
          <w:p w14:paraId="1DBE3829" w14:textId="77777777" w:rsidR="001240C5" w:rsidRPr="006E4BE1" w:rsidRDefault="00031400" w:rsidP="00AE50C9">
            <w:pPr>
              <w:ind w:left="397" w:hanging="397"/>
              <w:jc w:val="left"/>
              <w:rPr>
                <w:rFonts w:cs="Arial"/>
                <w:color w:val="000000"/>
                <w:lang w:val="es-ES_tradnl"/>
              </w:rPr>
            </w:pPr>
            <w:r w:rsidRPr="006E4BE1">
              <w:rPr>
                <w:rFonts w:cs="Arial"/>
                <w:color w:val="000000"/>
                <w:lang w:val="es-ES_tradnl"/>
              </w:rPr>
              <w:t>d)</w:t>
            </w:r>
            <w:r w:rsidRPr="006E4BE1">
              <w:rPr>
                <w:rFonts w:cs="Arial"/>
                <w:color w:val="000000"/>
                <w:lang w:val="es-ES_tradnl"/>
              </w:rPr>
              <w:tab/>
              <w:t>Número de géneros/especies protegidos por los miembros de la Unión;</w:t>
            </w:r>
          </w:p>
          <w:p w14:paraId="4FC988C5" w14:textId="77777777" w:rsidR="001240C5" w:rsidRPr="006E4BE1" w:rsidRDefault="00031400" w:rsidP="00AE50C9">
            <w:pPr>
              <w:ind w:left="397" w:hanging="397"/>
              <w:jc w:val="left"/>
              <w:rPr>
                <w:rFonts w:cs="Arial"/>
                <w:color w:val="000000"/>
                <w:lang w:val="es-ES_tradnl"/>
              </w:rPr>
            </w:pPr>
            <w:r w:rsidRPr="006E4BE1">
              <w:rPr>
                <w:rFonts w:cs="Arial"/>
                <w:color w:val="000000"/>
                <w:lang w:val="es-ES_tradnl"/>
              </w:rPr>
              <w:t>e)</w:t>
            </w:r>
            <w:r w:rsidRPr="006E4BE1">
              <w:rPr>
                <w:rFonts w:cs="Arial"/>
                <w:color w:val="000000"/>
                <w:lang w:val="es-ES_tradnl"/>
              </w:rPr>
              <w:tab/>
              <w:t>Número de géneros/especies cuyas variedades se han protegido;</w:t>
            </w:r>
          </w:p>
          <w:p w14:paraId="09164BD3" w14:textId="257D3791" w:rsidR="004E4CC5" w:rsidRPr="006E4BE1" w:rsidRDefault="00031400" w:rsidP="00AE50C9">
            <w:pPr>
              <w:ind w:left="397" w:hanging="397"/>
              <w:jc w:val="left"/>
              <w:rPr>
                <w:rFonts w:cs="Arial"/>
                <w:color w:val="000000"/>
                <w:lang w:val="es-ES_tradnl"/>
              </w:rPr>
            </w:pPr>
            <w:r w:rsidRPr="006E4BE1">
              <w:rPr>
                <w:rFonts w:cs="Arial"/>
                <w:color w:val="000000"/>
                <w:lang w:val="es-ES_tradnl"/>
              </w:rPr>
              <w:t>f)</w:t>
            </w:r>
            <w:r w:rsidRPr="006E4BE1">
              <w:rPr>
                <w:rFonts w:cs="Arial"/>
                <w:color w:val="000000"/>
                <w:lang w:val="es-ES_tradnl"/>
              </w:rPr>
              <w:tab/>
              <w:t>Análisis por tipo de cultivo.</w:t>
            </w:r>
          </w:p>
        </w:tc>
      </w:tr>
      <w:tr w:rsidR="00D4322A" w:rsidRPr="001D7D80" w14:paraId="6EBF4779" w14:textId="77777777" w:rsidTr="00C04E4A">
        <w:trPr>
          <w:cantSplit/>
        </w:trPr>
        <w:tc>
          <w:tcPr>
            <w:tcW w:w="4639" w:type="dxa"/>
            <w:gridSpan w:val="2"/>
            <w:tcBorders>
              <w:bottom w:val="single" w:sz="4" w:space="0" w:color="BFBFBF" w:themeColor="background1" w:themeShade="BF"/>
            </w:tcBorders>
          </w:tcPr>
          <w:p w14:paraId="1DC6D32D" w14:textId="06C4660F" w:rsidR="00D4322A" w:rsidRPr="006E4BE1" w:rsidRDefault="00031400" w:rsidP="00AE50C9">
            <w:pPr>
              <w:numPr>
                <w:ilvl w:val="0"/>
                <w:numId w:val="39"/>
              </w:numPr>
              <w:ind w:left="496" w:hanging="270"/>
              <w:jc w:val="left"/>
              <w:rPr>
                <w:rFonts w:cs="Arial"/>
                <w:color w:val="000000"/>
                <w:lang w:val="es-ES_tradnl"/>
              </w:rPr>
            </w:pPr>
            <w:r w:rsidRPr="006E4BE1">
              <w:rPr>
                <w:rFonts w:cs="Arial"/>
                <w:color w:val="000000"/>
                <w:lang w:val="es-ES_tradnl"/>
              </w:rPr>
              <w:t>Políticas para diversificar las fuentes de ingresos de la UPOV</w:t>
            </w:r>
          </w:p>
        </w:tc>
        <w:tc>
          <w:tcPr>
            <w:tcW w:w="5250" w:type="dxa"/>
            <w:tcBorders>
              <w:bottom w:val="single" w:sz="4" w:space="0" w:color="BFBFBF" w:themeColor="background1" w:themeShade="BF"/>
            </w:tcBorders>
          </w:tcPr>
          <w:p w14:paraId="6FA02BDA" w14:textId="678329D9" w:rsidR="00D4322A" w:rsidRPr="006E4BE1" w:rsidRDefault="00031400" w:rsidP="00AE50C9">
            <w:pPr>
              <w:ind w:left="397" w:hanging="397"/>
              <w:jc w:val="left"/>
              <w:rPr>
                <w:rFonts w:cs="Arial"/>
                <w:color w:val="000000"/>
                <w:lang w:val="es-ES_tradnl"/>
              </w:rPr>
            </w:pPr>
            <w:r w:rsidRPr="006E4BE1">
              <w:rPr>
                <w:rFonts w:cs="Arial"/>
                <w:color w:val="000000"/>
                <w:lang w:val="es-ES_tradnl"/>
              </w:rPr>
              <w:t>a)</w:t>
            </w:r>
            <w:r w:rsidRPr="006E4BE1">
              <w:rPr>
                <w:rFonts w:cs="Arial"/>
                <w:color w:val="000000"/>
                <w:lang w:val="es-ES_tradnl"/>
              </w:rPr>
              <w:tab/>
              <w:t>Ingresos que no provengan de las contribuciones de los miembros de la UPOV.</w:t>
            </w:r>
          </w:p>
        </w:tc>
      </w:tr>
    </w:tbl>
    <w:p w14:paraId="0190D845" w14:textId="77777777" w:rsidR="001240C5" w:rsidRPr="006E4BE1" w:rsidRDefault="001240C5" w:rsidP="00AE50C9">
      <w:pPr>
        <w:jc w:val="left"/>
        <w:rPr>
          <w:lang w:val="es-ES_tradnl"/>
        </w:rPr>
      </w:pPr>
    </w:p>
    <w:p w14:paraId="2E33F6EF" w14:textId="77777777" w:rsidR="001240C5" w:rsidRPr="006E4BE1" w:rsidRDefault="009E08DA" w:rsidP="00AE50C9">
      <w:pPr>
        <w:jc w:val="left"/>
        <w:rPr>
          <w:b/>
          <w:lang w:val="es-ES_tradnl"/>
        </w:rPr>
      </w:pPr>
      <w:r w:rsidRPr="006E4BE1">
        <w:rPr>
          <w:b/>
          <w:lang w:val="es-ES_tradnl"/>
        </w:rPr>
        <w:br w:type="page"/>
      </w:r>
    </w:p>
    <w:p w14:paraId="5DD878C6" w14:textId="77777777" w:rsidR="001240C5" w:rsidRPr="006E4BE1" w:rsidRDefault="001A019F" w:rsidP="00AE50C9">
      <w:pPr>
        <w:pStyle w:val="Heading2"/>
        <w:keepNext w:val="0"/>
        <w:ind w:left="2520" w:hanging="2520"/>
        <w:rPr>
          <w:lang w:val="es-ES_tradnl"/>
        </w:rPr>
      </w:pPr>
      <w:bookmarkStart w:id="436" w:name="_Toc78476716"/>
      <w:r w:rsidRPr="006E4BE1">
        <w:rPr>
          <w:lang w:val="es-ES_tradnl"/>
        </w:rPr>
        <w:lastRenderedPageBreak/>
        <w:t>Subprograma UV.2:</w:t>
      </w:r>
      <w:r w:rsidRPr="006E4BE1">
        <w:rPr>
          <w:lang w:val="es-ES_tradnl"/>
        </w:rPr>
        <w:tab/>
      </w:r>
      <w:r w:rsidR="00031400" w:rsidRPr="006E4BE1">
        <w:rPr>
          <w:lang w:val="es-ES_tradnl"/>
        </w:rPr>
        <w:t>Servicios prestados a la Unión para mejorar la eficacia del sistema de la UPOV</w:t>
      </w:r>
      <w:bookmarkEnd w:id="436"/>
    </w:p>
    <w:p w14:paraId="549E3C73" w14:textId="77777777" w:rsidR="001240C5" w:rsidRPr="006E4BE1" w:rsidRDefault="001240C5" w:rsidP="00AE50C9">
      <w:pPr>
        <w:ind w:left="2520" w:hanging="2520"/>
        <w:rPr>
          <w:lang w:val="es-ES_tradnl"/>
        </w:rPr>
      </w:pPr>
    </w:p>
    <w:p w14:paraId="5581FB51" w14:textId="77777777" w:rsidR="001240C5" w:rsidRPr="006E4BE1" w:rsidRDefault="001240C5" w:rsidP="00AE50C9">
      <w:pPr>
        <w:rPr>
          <w:lang w:val="es-ES_tradnl"/>
        </w:rPr>
      </w:pPr>
    </w:p>
    <w:p w14:paraId="079A386E" w14:textId="77777777" w:rsidR="001240C5" w:rsidRPr="006E4BE1" w:rsidRDefault="00031400" w:rsidP="00B60E92">
      <w:pPr>
        <w:pStyle w:val="Heading3"/>
      </w:pPr>
      <w:bookmarkStart w:id="437" w:name="_Toc78476717"/>
      <w:r w:rsidRPr="006E4BE1">
        <w:t>Objetivos</w:t>
      </w:r>
      <w:bookmarkEnd w:id="437"/>
    </w:p>
    <w:p w14:paraId="4273893C" w14:textId="77777777" w:rsidR="001240C5" w:rsidRPr="006E4BE1" w:rsidRDefault="001240C5" w:rsidP="005C2AAD">
      <w:pPr>
        <w:rPr>
          <w:lang w:val="es-ES_tradnl"/>
        </w:rPr>
      </w:pPr>
    </w:p>
    <w:p w14:paraId="60B18130" w14:textId="77777777" w:rsidR="001240C5" w:rsidRPr="006E4BE1" w:rsidRDefault="00031400" w:rsidP="00AE50C9">
      <w:pPr>
        <w:pStyle w:val="ListParagraph"/>
        <w:numPr>
          <w:ilvl w:val="4"/>
          <w:numId w:val="32"/>
        </w:numPr>
        <w:ind w:left="1134" w:hanging="567"/>
        <w:contextualSpacing w:val="0"/>
        <w:rPr>
          <w:lang w:val="es-ES_tradnl"/>
        </w:rPr>
      </w:pPr>
      <w:r w:rsidRPr="006E4BE1">
        <w:rPr>
          <w:lang w:val="es-ES_tradnl"/>
        </w:rPr>
        <w:t>Mantener y mejorar la eficacia del sistema de la UPOV</w:t>
      </w:r>
    </w:p>
    <w:p w14:paraId="213821FE" w14:textId="77777777" w:rsidR="001240C5" w:rsidRPr="006E4BE1" w:rsidRDefault="00031400" w:rsidP="00C04E4A">
      <w:pPr>
        <w:pStyle w:val="ListParagraph"/>
        <w:numPr>
          <w:ilvl w:val="4"/>
          <w:numId w:val="32"/>
        </w:numPr>
        <w:spacing w:after="480"/>
        <w:ind w:left="1134" w:hanging="567"/>
        <w:contextualSpacing w:val="0"/>
        <w:rPr>
          <w:lang w:val="es-ES_tradnl"/>
        </w:rPr>
      </w:pPr>
      <w:r w:rsidRPr="006E4BE1">
        <w:rPr>
          <w:lang w:val="es-ES_tradnl"/>
        </w:rPr>
        <w:t>Proporcionar y desarrollar las bases jurídicas, administrativas y técnicas para la cooperación internacional en materia de protección de las variedades vegetales, de conformidad con el Convenio de la UPOV</w:t>
      </w:r>
    </w:p>
    <w:p w14:paraId="2E4845E4" w14:textId="77777777" w:rsidR="001240C5" w:rsidRPr="006E4BE1" w:rsidRDefault="00031400" w:rsidP="00B60E92">
      <w:pPr>
        <w:pStyle w:val="Heading3"/>
      </w:pPr>
      <w:bookmarkStart w:id="438" w:name="_Toc78476718"/>
      <w:r w:rsidRPr="006E4BE1">
        <w:t>Descripción</w:t>
      </w:r>
      <w:bookmarkEnd w:id="438"/>
    </w:p>
    <w:p w14:paraId="25AE0FC0" w14:textId="77777777" w:rsidR="001240C5" w:rsidRPr="006E4BE1" w:rsidRDefault="001240C5" w:rsidP="005C2AAD">
      <w:pPr>
        <w:tabs>
          <w:tab w:val="left" w:pos="851"/>
        </w:tabs>
        <w:rPr>
          <w:color w:val="000000" w:themeColor="text1"/>
          <w:lang w:val="es-ES_tradnl"/>
        </w:rPr>
      </w:pPr>
    </w:p>
    <w:p w14:paraId="6D165DEB" w14:textId="77777777" w:rsidR="001240C5" w:rsidRPr="006E4BE1" w:rsidRDefault="00031400" w:rsidP="005C2AAD">
      <w:pPr>
        <w:pStyle w:val="Heading5"/>
        <w:rPr>
          <w:lang w:val="es-ES_tradnl"/>
        </w:rPr>
      </w:pPr>
      <w:r w:rsidRPr="006E4BE1">
        <w:rPr>
          <w:lang w:val="es-ES_tradnl"/>
        </w:rPr>
        <w:t>Introducción</w:t>
      </w:r>
    </w:p>
    <w:p w14:paraId="0E1DFE24" w14:textId="77777777" w:rsidR="001240C5" w:rsidRPr="006E4BE1" w:rsidRDefault="001240C5" w:rsidP="005C2AAD">
      <w:pPr>
        <w:tabs>
          <w:tab w:val="left" w:pos="851"/>
        </w:tabs>
        <w:rPr>
          <w:color w:val="000000" w:themeColor="text1"/>
          <w:lang w:val="es-ES_tradnl"/>
        </w:rPr>
      </w:pPr>
    </w:p>
    <w:p w14:paraId="5E9065A6" w14:textId="77777777" w:rsidR="001240C5" w:rsidRPr="006E4BE1" w:rsidRDefault="00031400" w:rsidP="009867DC">
      <w:pPr>
        <w:tabs>
          <w:tab w:val="left" w:pos="851"/>
        </w:tabs>
        <w:rPr>
          <w:color w:val="000000" w:themeColor="text1"/>
          <w:lang w:val="es-ES_tradnl"/>
        </w:rPr>
      </w:pPr>
      <w:r w:rsidRPr="006E4BE1">
        <w:rPr>
          <w:color w:val="000000" w:themeColor="text1"/>
          <w:lang w:val="es-ES_tradnl"/>
        </w:rPr>
        <w:t>El presente subprograma abarca el suministro de orientación, información y recursos para el funcionamiento del sistema de la UPOV de protección de variedades vegetales, el apoyo a la cooperación entre los miembros de la Unión y la labor de los órganos pertinentes de la UPOV que participan en el desarrollo de la orientación y la cooperación.</w:t>
      </w:r>
    </w:p>
    <w:p w14:paraId="649886B7" w14:textId="77777777" w:rsidR="001240C5" w:rsidRPr="006E4BE1" w:rsidRDefault="001240C5" w:rsidP="009867DC">
      <w:pPr>
        <w:tabs>
          <w:tab w:val="left" w:pos="851"/>
        </w:tabs>
        <w:rPr>
          <w:color w:val="000000" w:themeColor="text1"/>
          <w:lang w:val="es-ES_tradnl"/>
        </w:rPr>
      </w:pPr>
    </w:p>
    <w:p w14:paraId="076E35B1" w14:textId="77777777" w:rsidR="001240C5" w:rsidRPr="006E4BE1" w:rsidRDefault="00031400" w:rsidP="005C2AAD">
      <w:pPr>
        <w:pStyle w:val="Heading5"/>
        <w:rPr>
          <w:lang w:val="es-ES_tradnl"/>
        </w:rPr>
      </w:pPr>
      <w:r w:rsidRPr="006E4BE1">
        <w:rPr>
          <w:lang w:val="es-ES_tradnl"/>
        </w:rPr>
        <w:t>Material de orientación e información</w:t>
      </w:r>
    </w:p>
    <w:p w14:paraId="2A0E85F1" w14:textId="77777777" w:rsidR="001240C5" w:rsidRPr="006E4BE1" w:rsidRDefault="001240C5" w:rsidP="005C2AAD">
      <w:pPr>
        <w:tabs>
          <w:tab w:val="left" w:pos="851"/>
        </w:tabs>
        <w:rPr>
          <w:color w:val="000000" w:themeColor="text1"/>
          <w:lang w:val="es-ES_tradnl"/>
        </w:rPr>
      </w:pPr>
    </w:p>
    <w:p w14:paraId="384C7FD4" w14:textId="77777777" w:rsidR="001240C5" w:rsidRPr="006E4BE1" w:rsidRDefault="00A13D1F" w:rsidP="00AE50C9">
      <w:pPr>
        <w:tabs>
          <w:tab w:val="left" w:pos="851"/>
        </w:tabs>
        <w:rPr>
          <w:color w:val="000000" w:themeColor="text1"/>
          <w:lang w:val="es-ES_tradnl"/>
        </w:rPr>
      </w:pPr>
      <w:r w:rsidRPr="006E4BE1">
        <w:rPr>
          <w:color w:val="000000" w:themeColor="text1"/>
          <w:lang w:val="es-ES_tradnl"/>
        </w:rPr>
        <w:t>El sistema de la UPOV va ganando eficacia gracias al suministro de material de orientación e información, por ejemplo, las notas explicativas (la serie “UPOV/EXN”), los documentos de información (la serie “UPOV/INF”), la “Introducción general al examen de la distinción, la homogeneidad y la estabilidad y a la elaboración de descripciones armonizadas de las obtenciones vegetales”, con sus documentos TGP conexos, y las directrices de examen</w:t>
      </w:r>
      <w:r w:rsidR="00FE64A1" w:rsidRPr="006E4BE1">
        <w:rPr>
          <w:color w:val="000000" w:themeColor="text1"/>
          <w:lang w:val="es-ES_tradnl"/>
        </w:rPr>
        <w:t xml:space="preserve">.  </w:t>
      </w:r>
      <w:r w:rsidRPr="006E4BE1">
        <w:rPr>
          <w:color w:val="000000" w:themeColor="text1"/>
          <w:lang w:val="es-ES_tradnl"/>
        </w:rPr>
        <w:t>Ese material sienta las bases de la armonización y de esa forma facilita la cooperación entre los miembros de la Unión</w:t>
      </w:r>
      <w:r w:rsidR="00FE64A1" w:rsidRPr="006E4BE1">
        <w:rPr>
          <w:color w:val="000000" w:themeColor="text1"/>
          <w:lang w:val="es-ES_tradnl"/>
        </w:rPr>
        <w:t xml:space="preserve">.  </w:t>
      </w:r>
      <w:r w:rsidRPr="006E4BE1">
        <w:rPr>
          <w:color w:val="000000" w:themeColor="text1"/>
          <w:lang w:val="es-ES_tradnl"/>
        </w:rPr>
        <w:t>Reconocer las cuestiones pertinentes a la orientación y elaboración de material adecuado es un objetivo clave de la labor del Comité Administrativo y Jurídico (CAJ), el Comité Técnico (TC) y los Grupos de Trabajo Técnico (TWP)</w:t>
      </w:r>
      <w:r w:rsidR="00FE64A1" w:rsidRPr="006E4BE1">
        <w:rPr>
          <w:color w:val="000000" w:themeColor="text1"/>
          <w:lang w:val="es-ES_tradnl"/>
        </w:rPr>
        <w:t xml:space="preserve">.  </w:t>
      </w:r>
      <w:r w:rsidRPr="006E4BE1">
        <w:rPr>
          <w:color w:val="000000" w:themeColor="text1"/>
          <w:lang w:val="es-ES_tradnl"/>
        </w:rPr>
        <w:t>A ese respecto, la participación de las organizaciones que representan a los sectores interesados es un medio importante de velar por que la orientación y la información brindadas resulten lo más eficaces posibles.</w:t>
      </w:r>
    </w:p>
    <w:p w14:paraId="69D0C7B2" w14:textId="77777777" w:rsidR="001240C5" w:rsidRPr="006E4BE1" w:rsidRDefault="001240C5" w:rsidP="00AE50C9">
      <w:pPr>
        <w:rPr>
          <w:color w:val="000000" w:themeColor="text1"/>
          <w:lang w:val="es-ES_tradnl"/>
        </w:rPr>
      </w:pPr>
    </w:p>
    <w:p w14:paraId="0CB4B44C" w14:textId="77777777" w:rsidR="001240C5" w:rsidRPr="006E4BE1" w:rsidRDefault="00A13D1F" w:rsidP="00AE50C9">
      <w:pPr>
        <w:tabs>
          <w:tab w:val="left" w:pos="851"/>
        </w:tabs>
        <w:rPr>
          <w:lang w:val="es-ES_tradnl"/>
        </w:rPr>
      </w:pPr>
      <w:r w:rsidRPr="006E4BE1">
        <w:rPr>
          <w:lang w:val="es-ES_tradnl"/>
        </w:rPr>
        <w:t>Se ha consolidado una amplia serie de documentos de orientación y material de información y en el bienio 2022-2023 la labor se centrará en la actualización del material existente y en la elaboración de nuevas orientaciones en ámbitos específicos.</w:t>
      </w:r>
    </w:p>
    <w:p w14:paraId="0B758CB2" w14:textId="77777777" w:rsidR="001240C5" w:rsidRPr="006E4BE1" w:rsidRDefault="001240C5" w:rsidP="00AE50C9">
      <w:pPr>
        <w:rPr>
          <w:lang w:val="es-ES_tradnl"/>
        </w:rPr>
      </w:pPr>
    </w:p>
    <w:p w14:paraId="0EFEA375" w14:textId="77777777" w:rsidR="001240C5" w:rsidRPr="006E4BE1" w:rsidRDefault="00A13D1F" w:rsidP="005C2AAD">
      <w:pPr>
        <w:pStyle w:val="Heading5"/>
        <w:rPr>
          <w:lang w:val="es-ES_tradnl"/>
        </w:rPr>
      </w:pPr>
      <w:r w:rsidRPr="006E4BE1">
        <w:rPr>
          <w:lang w:val="es-ES_tradnl"/>
        </w:rPr>
        <w:t>Cooperación entre los miembros de la Unión</w:t>
      </w:r>
    </w:p>
    <w:p w14:paraId="59D172AE" w14:textId="77777777" w:rsidR="001240C5" w:rsidRPr="006E4BE1" w:rsidRDefault="001240C5" w:rsidP="005C2AAD">
      <w:pPr>
        <w:tabs>
          <w:tab w:val="left" w:pos="851"/>
        </w:tabs>
        <w:rPr>
          <w:color w:val="000000" w:themeColor="text1"/>
          <w:lang w:val="es-ES_tradnl"/>
        </w:rPr>
      </w:pPr>
    </w:p>
    <w:p w14:paraId="74567B62" w14:textId="77777777" w:rsidR="001240C5" w:rsidRPr="006E4BE1" w:rsidRDefault="00A13D1F" w:rsidP="00AE50C9">
      <w:pPr>
        <w:tabs>
          <w:tab w:val="left" w:pos="851"/>
        </w:tabs>
        <w:rPr>
          <w:bCs/>
          <w:color w:val="000000" w:themeColor="text1"/>
          <w:szCs w:val="24"/>
          <w:lang w:val="es-ES_tradnl"/>
        </w:rPr>
      </w:pPr>
      <w:r w:rsidRPr="006E4BE1">
        <w:rPr>
          <w:bCs/>
          <w:color w:val="000000" w:themeColor="text1"/>
          <w:szCs w:val="24"/>
          <w:lang w:val="es-ES_tradnl"/>
        </w:rPr>
        <w:t>La cooperación entre los miembros de la Unión es una característica fundamental del sistema de la UPOV y constituye la base de un sistema eficiente</w:t>
      </w:r>
      <w:r w:rsidR="00FE64A1" w:rsidRPr="006E4BE1">
        <w:rPr>
          <w:bCs/>
          <w:color w:val="000000" w:themeColor="text1"/>
          <w:szCs w:val="24"/>
          <w:lang w:val="es-ES_tradnl"/>
        </w:rPr>
        <w:t xml:space="preserve">.  </w:t>
      </w:r>
      <w:r w:rsidRPr="006E4BE1">
        <w:rPr>
          <w:bCs/>
          <w:color w:val="000000" w:themeColor="text1"/>
          <w:szCs w:val="24"/>
          <w:lang w:val="es-ES_tradnl"/>
        </w:rPr>
        <w:t>Los órganos de la UPOV seguirán determinando las medidas e instrumentos que pueden facilitar la cooperación de forma voluntaria.</w:t>
      </w:r>
    </w:p>
    <w:p w14:paraId="34C851B1" w14:textId="77777777" w:rsidR="001240C5" w:rsidRPr="006E4BE1" w:rsidRDefault="001240C5" w:rsidP="00AE50C9">
      <w:pPr>
        <w:tabs>
          <w:tab w:val="left" w:pos="851"/>
        </w:tabs>
        <w:rPr>
          <w:bCs/>
          <w:color w:val="000000" w:themeColor="text1"/>
          <w:szCs w:val="24"/>
          <w:lang w:val="es-ES_tradnl"/>
        </w:rPr>
      </w:pPr>
    </w:p>
    <w:p w14:paraId="14B4AFC1" w14:textId="77777777" w:rsidR="001240C5" w:rsidRPr="006E4BE1" w:rsidRDefault="00A13D1F" w:rsidP="00AE50C9">
      <w:pPr>
        <w:tabs>
          <w:tab w:val="left" w:pos="851"/>
        </w:tabs>
        <w:rPr>
          <w:bCs/>
          <w:color w:val="000000" w:themeColor="text1"/>
          <w:szCs w:val="24"/>
          <w:lang w:val="es-ES_tradnl"/>
        </w:rPr>
      </w:pPr>
      <w:r w:rsidRPr="006E4BE1">
        <w:rPr>
          <w:bCs/>
          <w:color w:val="000000" w:themeColor="text1"/>
          <w:szCs w:val="24"/>
          <w:lang w:val="es-ES_tradnl"/>
        </w:rPr>
        <w:t xml:space="preserve">En la sección </w:t>
      </w:r>
      <w:r w:rsidR="00C178AA" w:rsidRPr="006E4BE1">
        <w:rPr>
          <w:bCs/>
          <w:color w:val="000000" w:themeColor="text1"/>
          <w:szCs w:val="24"/>
          <w:lang w:val="es-ES_tradnl"/>
        </w:rPr>
        <w:t>“</w:t>
      </w:r>
      <w:r w:rsidRPr="006E4BE1">
        <w:rPr>
          <w:bCs/>
          <w:color w:val="000000" w:themeColor="text1"/>
          <w:szCs w:val="24"/>
          <w:lang w:val="es-ES_tradnl"/>
        </w:rPr>
        <w:t>Herramientas para la aplicación del sistema de la UPOV</w:t>
      </w:r>
      <w:r w:rsidR="00C178AA" w:rsidRPr="006E4BE1">
        <w:rPr>
          <w:bCs/>
          <w:color w:val="000000" w:themeColor="text1"/>
          <w:szCs w:val="24"/>
          <w:lang w:val="es-ES_tradnl"/>
        </w:rPr>
        <w:t>”</w:t>
      </w:r>
      <w:r w:rsidRPr="006E4BE1">
        <w:rPr>
          <w:bCs/>
          <w:color w:val="000000" w:themeColor="text1"/>
          <w:szCs w:val="24"/>
          <w:lang w:val="es-ES_tradnl"/>
        </w:rPr>
        <w:t xml:space="preserve"> se explican los planes de elaboración de herramientas para facilitar la cooperación.</w:t>
      </w:r>
    </w:p>
    <w:p w14:paraId="72C73223" w14:textId="77777777" w:rsidR="001240C5" w:rsidRPr="006E4BE1" w:rsidRDefault="001240C5" w:rsidP="00AE50C9">
      <w:pPr>
        <w:tabs>
          <w:tab w:val="left" w:pos="567"/>
        </w:tabs>
        <w:rPr>
          <w:color w:val="000000" w:themeColor="text1"/>
          <w:u w:val="single"/>
          <w:lang w:val="es-ES_tradnl"/>
        </w:rPr>
      </w:pPr>
    </w:p>
    <w:p w14:paraId="20974517" w14:textId="77777777" w:rsidR="001240C5" w:rsidRPr="006E4BE1" w:rsidRDefault="00A13D1F" w:rsidP="005C2AAD">
      <w:pPr>
        <w:pStyle w:val="Heading5"/>
        <w:rPr>
          <w:lang w:val="es-ES_tradnl"/>
        </w:rPr>
      </w:pPr>
      <w:r w:rsidRPr="006E4BE1">
        <w:rPr>
          <w:lang w:val="es-ES_tradnl"/>
        </w:rPr>
        <w:t>Examen DHE</w:t>
      </w:r>
    </w:p>
    <w:p w14:paraId="66424F55" w14:textId="77777777" w:rsidR="001240C5" w:rsidRPr="006E4BE1" w:rsidRDefault="001240C5" w:rsidP="005C2AAD">
      <w:pPr>
        <w:tabs>
          <w:tab w:val="left" w:pos="851"/>
        </w:tabs>
        <w:rPr>
          <w:color w:val="000000" w:themeColor="text1"/>
          <w:lang w:val="es-ES_tradnl"/>
        </w:rPr>
      </w:pPr>
    </w:p>
    <w:p w14:paraId="70291D5B" w14:textId="77777777" w:rsidR="001240C5" w:rsidRPr="006E4BE1" w:rsidRDefault="00A13D1F" w:rsidP="009867DC">
      <w:pPr>
        <w:tabs>
          <w:tab w:val="left" w:pos="851"/>
        </w:tabs>
        <w:rPr>
          <w:bCs/>
          <w:color w:val="000000" w:themeColor="text1"/>
          <w:szCs w:val="24"/>
          <w:lang w:val="es-ES_tradnl"/>
        </w:rPr>
      </w:pPr>
      <w:r w:rsidRPr="006E4BE1">
        <w:rPr>
          <w:bCs/>
          <w:color w:val="000000" w:themeColor="text1"/>
          <w:szCs w:val="24"/>
          <w:lang w:val="es-ES_tradnl"/>
        </w:rPr>
        <w:t>La cooperación en el examen DHE en el seno de la UPOV se basa en la aportación que hacen sus miembros</w:t>
      </w:r>
      <w:r w:rsidR="00FE64A1" w:rsidRPr="006E4BE1">
        <w:rPr>
          <w:bCs/>
          <w:color w:val="000000" w:themeColor="text1"/>
          <w:szCs w:val="24"/>
          <w:lang w:val="es-ES_tradnl"/>
        </w:rPr>
        <w:t xml:space="preserve">.  </w:t>
      </w:r>
      <w:r w:rsidR="00773A73" w:rsidRPr="006E4BE1">
        <w:rPr>
          <w:bCs/>
          <w:color w:val="000000" w:themeColor="text1"/>
          <w:szCs w:val="24"/>
          <w:lang w:val="es-ES_tradnl"/>
        </w:rPr>
        <w:t>En particular, los expertos de los miembros de la Unión elaboran directrices de examen, en el marco de la labor de los TWP y el TC, y comparten su experiencia práctica en determinados géneros y especies vegetales, por ejemplo, mediante la base de datos GENIE</w:t>
      </w:r>
      <w:r w:rsidR="00FE64A1" w:rsidRPr="006E4BE1">
        <w:rPr>
          <w:bCs/>
          <w:color w:val="000000" w:themeColor="text1"/>
          <w:szCs w:val="24"/>
          <w:lang w:val="es-ES_tradnl"/>
        </w:rPr>
        <w:t xml:space="preserve">.  </w:t>
      </w:r>
      <w:r w:rsidR="00773A73" w:rsidRPr="006E4BE1">
        <w:rPr>
          <w:bCs/>
          <w:color w:val="000000" w:themeColor="text1"/>
          <w:szCs w:val="24"/>
          <w:lang w:val="es-ES_tradnl"/>
        </w:rPr>
        <w:t>Estas medidas facilitan la cooperación en el examen DHE y el uso de los informes DHE existentes, que constituye la base de un sistema eficaz que abarque todos los géneros y especies vegetales y que resulte accesible y asequible para todos los tipos de obtentores</w:t>
      </w:r>
      <w:r w:rsidR="00FE64A1" w:rsidRPr="006E4BE1">
        <w:rPr>
          <w:bCs/>
          <w:color w:val="000000" w:themeColor="text1"/>
          <w:szCs w:val="24"/>
          <w:lang w:val="es-ES_tradnl"/>
        </w:rPr>
        <w:t xml:space="preserve">.  </w:t>
      </w:r>
      <w:r w:rsidR="001A019F" w:rsidRPr="006E4BE1">
        <w:rPr>
          <w:bCs/>
          <w:color w:val="000000" w:themeColor="text1"/>
          <w:szCs w:val="24"/>
          <w:lang w:val="es-ES_tradnl"/>
        </w:rPr>
        <w:t>Los </w:t>
      </w:r>
      <w:r w:rsidR="00773A73" w:rsidRPr="006E4BE1">
        <w:rPr>
          <w:bCs/>
          <w:color w:val="000000" w:themeColor="text1"/>
          <w:szCs w:val="24"/>
          <w:lang w:val="es-ES_tradnl"/>
        </w:rPr>
        <w:t>acuerdos de cooperación entre los miembros de la Unión en el examen DHE figuran en la base de datos GENIE.</w:t>
      </w:r>
    </w:p>
    <w:p w14:paraId="74582810" w14:textId="77777777" w:rsidR="001240C5" w:rsidRPr="006E4BE1" w:rsidRDefault="001240C5" w:rsidP="009867DC">
      <w:pPr>
        <w:tabs>
          <w:tab w:val="left" w:pos="851"/>
        </w:tabs>
        <w:rPr>
          <w:bCs/>
          <w:color w:val="000000" w:themeColor="text1"/>
          <w:szCs w:val="24"/>
          <w:lang w:val="es-ES_tradnl"/>
        </w:rPr>
      </w:pPr>
    </w:p>
    <w:p w14:paraId="7D557A8B" w14:textId="77777777" w:rsidR="001240C5" w:rsidRPr="006E4BE1" w:rsidRDefault="00773A73" w:rsidP="005C2AAD">
      <w:pPr>
        <w:pStyle w:val="Heading5"/>
        <w:rPr>
          <w:lang w:val="es-ES_tradnl"/>
        </w:rPr>
      </w:pPr>
      <w:r w:rsidRPr="006E4BE1">
        <w:rPr>
          <w:lang w:val="es-ES_tradnl"/>
        </w:rPr>
        <w:t>Denominaciones de variedades y novedad</w:t>
      </w:r>
    </w:p>
    <w:p w14:paraId="534B2F64" w14:textId="77777777" w:rsidR="001240C5" w:rsidRPr="006E4BE1" w:rsidRDefault="001240C5" w:rsidP="005C2AAD">
      <w:pPr>
        <w:tabs>
          <w:tab w:val="left" w:pos="851"/>
        </w:tabs>
        <w:rPr>
          <w:color w:val="000000" w:themeColor="text1"/>
          <w:lang w:val="es-ES_tradnl"/>
        </w:rPr>
      </w:pPr>
    </w:p>
    <w:p w14:paraId="0DDFF19C" w14:textId="77777777" w:rsidR="001240C5" w:rsidRPr="006E4BE1" w:rsidRDefault="00773A73" w:rsidP="00AE50C9">
      <w:pPr>
        <w:tabs>
          <w:tab w:val="left" w:pos="851"/>
        </w:tabs>
        <w:rPr>
          <w:bCs/>
          <w:color w:val="000000" w:themeColor="text1"/>
          <w:szCs w:val="24"/>
          <w:lang w:val="es-ES_tradnl"/>
        </w:rPr>
      </w:pPr>
      <w:r w:rsidRPr="006E4BE1">
        <w:rPr>
          <w:bCs/>
          <w:color w:val="000000" w:themeColor="text1"/>
          <w:szCs w:val="24"/>
          <w:lang w:val="es-ES_tradnl"/>
        </w:rPr>
        <w:t xml:space="preserve">Los datos que los miembros de la Unión aportan a la base de datos PLUTO proporcionan un respaldo fundamental al examen de las denominaciones de variedades y brinda a dichos miembros la oportunidad de </w:t>
      </w:r>
      <w:r w:rsidRPr="006E4BE1">
        <w:rPr>
          <w:bCs/>
          <w:color w:val="000000" w:themeColor="text1"/>
          <w:szCs w:val="24"/>
          <w:lang w:val="es-ES_tradnl"/>
        </w:rPr>
        <w:lastRenderedPageBreak/>
        <w:t>compartir información sobre la novedad</w:t>
      </w:r>
      <w:r w:rsidR="00FE64A1" w:rsidRPr="006E4BE1">
        <w:rPr>
          <w:bCs/>
          <w:color w:val="000000" w:themeColor="text1"/>
          <w:szCs w:val="24"/>
          <w:lang w:val="es-ES_tradnl"/>
        </w:rPr>
        <w:t xml:space="preserve">.  </w:t>
      </w:r>
      <w:r w:rsidR="00AF0E44" w:rsidRPr="006E4BE1">
        <w:rPr>
          <w:bCs/>
          <w:color w:val="000000" w:themeColor="text1"/>
          <w:szCs w:val="24"/>
          <w:lang w:val="es-ES_tradnl"/>
        </w:rPr>
        <w:t>A ello se añaden los datos proporcionados por la Organización de Cooperación y de Desarrollo Económicos (OCDE) y mediante los acuerdos de cooperación entre la UPOV y la Oficina Comunitaria de Variedades Vegetales (OCVV) de la Unión Europea.</w:t>
      </w:r>
    </w:p>
    <w:p w14:paraId="63449682" w14:textId="77777777" w:rsidR="001240C5" w:rsidRPr="006E4BE1" w:rsidRDefault="001240C5" w:rsidP="00AE50C9">
      <w:pPr>
        <w:tabs>
          <w:tab w:val="left" w:pos="851"/>
        </w:tabs>
        <w:rPr>
          <w:bCs/>
          <w:color w:val="000000" w:themeColor="text1"/>
          <w:szCs w:val="24"/>
          <w:lang w:val="es-ES_tradnl"/>
        </w:rPr>
      </w:pPr>
    </w:p>
    <w:p w14:paraId="3FFB653C" w14:textId="77777777" w:rsidR="001240C5" w:rsidRPr="006E4BE1" w:rsidRDefault="00AF0E44" w:rsidP="009867DC">
      <w:pPr>
        <w:tabs>
          <w:tab w:val="left" w:pos="851"/>
        </w:tabs>
        <w:rPr>
          <w:snapToGrid w:val="0"/>
          <w:color w:val="000000" w:themeColor="text1"/>
          <w:lang w:val="es-ES_tradnl"/>
        </w:rPr>
      </w:pPr>
      <w:r w:rsidRPr="006E4BE1">
        <w:rPr>
          <w:snapToGrid w:val="0"/>
          <w:color w:val="000000" w:themeColor="text1"/>
          <w:lang w:val="es-ES_tradnl"/>
        </w:rPr>
        <w:t>Para facilitar y armonizar el examen de las denominaciones de variedades por los miembros de la Unión, proseguirán las actividades de formulación de propuestas relativas a un instrumento de la UPOV de búsqueda de denominaciones similares a los fines de la denominación de variedades, de conformidad con la orientación proporcionada en el documento UPOV/INF/12.</w:t>
      </w:r>
    </w:p>
    <w:p w14:paraId="2A67948D" w14:textId="77777777" w:rsidR="001240C5" w:rsidRPr="006E4BE1" w:rsidRDefault="001240C5" w:rsidP="009867DC">
      <w:pPr>
        <w:tabs>
          <w:tab w:val="left" w:pos="851"/>
        </w:tabs>
        <w:rPr>
          <w:snapToGrid w:val="0"/>
          <w:color w:val="000000" w:themeColor="text1"/>
          <w:lang w:val="es-ES_tradnl"/>
        </w:rPr>
      </w:pPr>
    </w:p>
    <w:p w14:paraId="2F57F079" w14:textId="77777777" w:rsidR="001240C5" w:rsidRPr="006E4BE1" w:rsidRDefault="00AF0E44" w:rsidP="005C2AAD">
      <w:pPr>
        <w:pStyle w:val="Heading5"/>
        <w:rPr>
          <w:snapToGrid w:val="0"/>
          <w:lang w:val="es-ES_tradnl"/>
        </w:rPr>
      </w:pPr>
      <w:r w:rsidRPr="006E4BE1">
        <w:rPr>
          <w:snapToGrid w:val="0"/>
          <w:lang w:val="es-ES_tradnl"/>
        </w:rPr>
        <w:t>Facilitación de la presentación de solicitudes de derechos de obtentor</w:t>
      </w:r>
    </w:p>
    <w:p w14:paraId="5BB10F06" w14:textId="77777777" w:rsidR="001240C5" w:rsidRPr="006E4BE1" w:rsidRDefault="001240C5" w:rsidP="005C2AAD">
      <w:pPr>
        <w:tabs>
          <w:tab w:val="left" w:pos="851"/>
        </w:tabs>
        <w:rPr>
          <w:color w:val="000000" w:themeColor="text1"/>
          <w:lang w:val="es-ES_tradnl"/>
        </w:rPr>
      </w:pPr>
    </w:p>
    <w:p w14:paraId="60DAB608" w14:textId="77777777" w:rsidR="001240C5" w:rsidRPr="006E4BE1" w:rsidRDefault="00AF0E44" w:rsidP="009867DC">
      <w:pPr>
        <w:tabs>
          <w:tab w:val="left" w:pos="851"/>
        </w:tabs>
        <w:rPr>
          <w:lang w:val="es-ES_tradnl"/>
        </w:rPr>
      </w:pPr>
      <w:r w:rsidRPr="006E4BE1">
        <w:rPr>
          <w:lang w:val="es-ES_tradnl"/>
        </w:rPr>
        <w:t xml:space="preserve">Continuará la labor de ampliación del alcance de </w:t>
      </w:r>
      <w:r w:rsidR="00FE64A1" w:rsidRPr="006E4BE1">
        <w:rPr>
          <w:lang w:val="es-ES_tradnl"/>
        </w:rPr>
        <w:t>UPOV PRISMA</w:t>
      </w:r>
      <w:r w:rsidRPr="006E4BE1">
        <w:rPr>
          <w:lang w:val="es-ES_tradnl"/>
        </w:rPr>
        <w:t xml:space="preserve"> en lo que se refiere a la participación de los miembros de la Unión y el número de cultivos o especies que abarca</w:t>
      </w:r>
      <w:r w:rsidR="00FE64A1" w:rsidRPr="006E4BE1">
        <w:rPr>
          <w:lang w:val="es-ES_tradnl"/>
        </w:rPr>
        <w:t xml:space="preserve">.  </w:t>
      </w:r>
      <w:r w:rsidRPr="006E4BE1">
        <w:rPr>
          <w:lang w:val="es-ES_tradnl"/>
        </w:rPr>
        <w:t>Es posible abarcar todos los cultivos o especies de todos los miembros de la Unión que utilizan el cuestionario técnico de las directrices de examen de la UPOV</w:t>
      </w:r>
      <w:r w:rsidR="00FE64A1" w:rsidRPr="006E4BE1">
        <w:rPr>
          <w:lang w:val="es-ES_tradnl"/>
        </w:rPr>
        <w:t xml:space="preserve">.  </w:t>
      </w:r>
      <w:r w:rsidRPr="006E4BE1">
        <w:rPr>
          <w:lang w:val="es-ES_tradnl"/>
        </w:rPr>
        <w:t xml:space="preserve">La labor de elaboración de directrices de examen realizada en el seno del TC y los TWP se aprovechará para respaldar </w:t>
      </w:r>
      <w:r w:rsidR="00FE64A1" w:rsidRPr="006E4BE1">
        <w:rPr>
          <w:lang w:val="es-ES_tradnl"/>
        </w:rPr>
        <w:t>UPOV PRISMA</w:t>
      </w:r>
      <w:r w:rsidRPr="006E4BE1">
        <w:rPr>
          <w:lang w:val="es-ES_tradnl"/>
        </w:rPr>
        <w:t>, por ejemplo, ampliando la aprobación de directrices de examen para los cuestionarios técnicos</w:t>
      </w:r>
      <w:r w:rsidR="00FE64A1" w:rsidRPr="006E4BE1">
        <w:rPr>
          <w:lang w:val="es-ES_tradnl"/>
        </w:rPr>
        <w:t xml:space="preserve">.  </w:t>
      </w:r>
      <w:r w:rsidRPr="006E4BE1">
        <w:rPr>
          <w:lang w:val="es-ES_tradnl"/>
        </w:rPr>
        <w:t>Además, cuando no existan directrices de examen de la UPOV, se adoptarán iniciativas para elaborar cuestionarios técnicos acordados entre los miembros de la Unión pertinentes.</w:t>
      </w:r>
    </w:p>
    <w:p w14:paraId="418628B9" w14:textId="77777777" w:rsidR="001240C5" w:rsidRPr="006E4BE1" w:rsidRDefault="001240C5" w:rsidP="009867DC">
      <w:pPr>
        <w:tabs>
          <w:tab w:val="left" w:pos="851"/>
        </w:tabs>
        <w:rPr>
          <w:lang w:val="es-ES_tradnl"/>
        </w:rPr>
      </w:pPr>
    </w:p>
    <w:p w14:paraId="53CEF4CA" w14:textId="77777777" w:rsidR="001240C5" w:rsidRPr="006E4BE1" w:rsidRDefault="00AF0E44" w:rsidP="005C2AAD">
      <w:pPr>
        <w:pStyle w:val="Heading5"/>
        <w:rPr>
          <w:lang w:val="es-ES_tradnl"/>
        </w:rPr>
      </w:pPr>
      <w:r w:rsidRPr="006E4BE1">
        <w:rPr>
          <w:lang w:val="es-ES_tradnl"/>
        </w:rPr>
        <w:t>Idiomas</w:t>
      </w:r>
    </w:p>
    <w:p w14:paraId="4591D3DB" w14:textId="77777777" w:rsidR="001240C5" w:rsidRPr="006E4BE1" w:rsidRDefault="001240C5" w:rsidP="005C2AAD">
      <w:pPr>
        <w:tabs>
          <w:tab w:val="left" w:pos="851"/>
        </w:tabs>
        <w:rPr>
          <w:color w:val="000000" w:themeColor="text1"/>
          <w:lang w:val="es-ES_tradnl"/>
        </w:rPr>
      </w:pPr>
    </w:p>
    <w:p w14:paraId="77FEBD5A" w14:textId="77777777" w:rsidR="001240C5" w:rsidRPr="006E4BE1" w:rsidRDefault="00AF0E44" w:rsidP="009867DC">
      <w:pPr>
        <w:tabs>
          <w:tab w:val="left" w:pos="851"/>
        </w:tabs>
        <w:rPr>
          <w:lang w:val="es-ES_tradnl"/>
        </w:rPr>
      </w:pPr>
      <w:r w:rsidRPr="006E4BE1">
        <w:rPr>
          <w:lang w:val="es-ES_tradnl"/>
        </w:rPr>
        <w:t>El material y los recursos de la Unión están disponibles en español, francés, inglés y alemán</w:t>
      </w:r>
      <w:r w:rsidR="00FE64A1" w:rsidRPr="006E4BE1">
        <w:rPr>
          <w:lang w:val="es-ES_tradnl"/>
        </w:rPr>
        <w:t xml:space="preserve">.  </w:t>
      </w:r>
      <w:r w:rsidRPr="006E4BE1">
        <w:rPr>
          <w:lang w:val="es-ES_tradnl"/>
        </w:rPr>
        <w:t>Sin embargo, dado que la UPOV crece y aumenta el interés por la adhesión a la Unión, resulta beneficioso que el material y los recursos estén disponibles en un mayor número de idiomas</w:t>
      </w:r>
      <w:r w:rsidR="00FE64A1" w:rsidRPr="006E4BE1">
        <w:rPr>
          <w:lang w:val="es-ES_tradnl"/>
        </w:rPr>
        <w:t xml:space="preserve">.  </w:t>
      </w:r>
      <w:r w:rsidR="005370D8" w:rsidRPr="006E4BE1">
        <w:rPr>
          <w:lang w:val="es-ES_tradnl"/>
        </w:rPr>
        <w:t>La traducción de materiales y su puesta a disposición en distintos idiomas tiene importantes implicaciones en materia de recursos, objetivo que requerirá una serie de medidas de cooperación con los miembros de la Unión interesados</w:t>
      </w:r>
      <w:r w:rsidR="00FE64A1" w:rsidRPr="006E4BE1">
        <w:rPr>
          <w:lang w:val="es-ES_tradnl"/>
        </w:rPr>
        <w:t xml:space="preserve">.  </w:t>
      </w:r>
      <w:r w:rsidR="005370D8" w:rsidRPr="006E4BE1">
        <w:rPr>
          <w:lang w:val="es-ES_tradnl"/>
        </w:rPr>
        <w:t>Sin embargo, el rápido avance de la traducción automática ofrece nuevas oportunidades, a las que se dará prioridad para reducir los costos de traducción de los documentos en los idiomas de la UPOV y para que los materiales estén disponibles en un mayor número de idiomas</w:t>
      </w:r>
      <w:r w:rsidR="00FE64A1" w:rsidRPr="006E4BE1">
        <w:rPr>
          <w:lang w:val="es-ES_tradnl"/>
        </w:rPr>
        <w:t xml:space="preserve">.  </w:t>
      </w:r>
      <w:r w:rsidR="00B33807" w:rsidRPr="006E4BE1">
        <w:rPr>
          <w:lang w:val="es-ES_tradnl"/>
        </w:rPr>
        <w:t xml:space="preserve">Entre las medidas que ya se han adoptado de manera satisfactoria se encuentran el programa para el uso del idioma ruso en la UPOV y el apoyo a los idiomas de navegación y de los formularios de salida en </w:t>
      </w:r>
      <w:r w:rsidR="00FE64A1" w:rsidRPr="006E4BE1">
        <w:rPr>
          <w:lang w:val="es-ES_tradnl"/>
        </w:rPr>
        <w:t>UPOV PRISMA</w:t>
      </w:r>
      <w:r w:rsidR="00B33807" w:rsidRPr="006E4BE1">
        <w:rPr>
          <w:lang w:val="es-ES_tradnl"/>
        </w:rPr>
        <w:t xml:space="preserve"> por parte de los miembros de la Unión, en particular por los recursos en forma de becas</w:t>
      </w:r>
      <w:r w:rsidR="00FE64A1" w:rsidRPr="006E4BE1">
        <w:rPr>
          <w:lang w:val="es-ES_tradnl"/>
        </w:rPr>
        <w:t xml:space="preserve">.  </w:t>
      </w:r>
      <w:r w:rsidR="00B33807" w:rsidRPr="006E4BE1">
        <w:rPr>
          <w:lang w:val="es-ES_tradnl"/>
        </w:rPr>
        <w:t>También se dispone del apoyo de fondos extrapresupuestarios, tales como los fondos fiduciarios del Japón para la traducción de materiales concretos a los idiomas asiáticos pertinentes.</w:t>
      </w:r>
    </w:p>
    <w:p w14:paraId="02B320BB" w14:textId="77777777" w:rsidR="001240C5" w:rsidRPr="006E4BE1" w:rsidRDefault="001240C5" w:rsidP="009867DC">
      <w:pPr>
        <w:tabs>
          <w:tab w:val="left" w:pos="851"/>
        </w:tabs>
        <w:rPr>
          <w:lang w:val="es-ES_tradnl"/>
        </w:rPr>
      </w:pPr>
    </w:p>
    <w:p w14:paraId="431D51BF" w14:textId="77777777" w:rsidR="001240C5" w:rsidRPr="006E4BE1" w:rsidRDefault="00B33807" w:rsidP="005C2AAD">
      <w:pPr>
        <w:pStyle w:val="Heading5"/>
        <w:rPr>
          <w:lang w:val="es-ES_tradnl"/>
        </w:rPr>
      </w:pPr>
      <w:r w:rsidRPr="006E4BE1">
        <w:rPr>
          <w:lang w:val="es-ES_tradnl"/>
        </w:rPr>
        <w:t>Herramientas para la aplicación del sistema de la UPOV</w:t>
      </w:r>
    </w:p>
    <w:p w14:paraId="56D5F5E2" w14:textId="77777777" w:rsidR="001240C5" w:rsidRPr="006E4BE1" w:rsidRDefault="001240C5" w:rsidP="005C2AAD">
      <w:pPr>
        <w:tabs>
          <w:tab w:val="left" w:pos="851"/>
        </w:tabs>
        <w:rPr>
          <w:color w:val="000000" w:themeColor="text1"/>
          <w:lang w:val="es-ES_tradnl"/>
        </w:rPr>
      </w:pPr>
    </w:p>
    <w:p w14:paraId="5D81958F" w14:textId="77777777" w:rsidR="001240C5" w:rsidRPr="006E4BE1" w:rsidRDefault="00D60B91" w:rsidP="00AE50C9">
      <w:pPr>
        <w:tabs>
          <w:tab w:val="left" w:pos="851"/>
        </w:tabs>
        <w:rPr>
          <w:lang w:val="es-ES_tradnl"/>
        </w:rPr>
      </w:pPr>
      <w:r w:rsidRPr="006E4BE1">
        <w:rPr>
          <w:lang w:val="es-ES_tradnl"/>
        </w:rPr>
        <w:t>El siguiente conjunto de herramientas compatibles se introducirá o se desarrollará en el bienio 2022-2023, como se indica a continuación:</w:t>
      </w:r>
    </w:p>
    <w:p w14:paraId="4F53851C" w14:textId="77777777" w:rsidR="001240C5" w:rsidRPr="006E4BE1" w:rsidRDefault="001240C5" w:rsidP="00AE50C9">
      <w:pPr>
        <w:rPr>
          <w:lang w:val="es-ES_tradnl"/>
        </w:rPr>
      </w:pPr>
    </w:p>
    <w:p w14:paraId="275D5026" w14:textId="77777777" w:rsidR="001240C5" w:rsidRPr="006E4BE1" w:rsidRDefault="00D60B91" w:rsidP="00AE50C9">
      <w:pPr>
        <w:pStyle w:val="ListParagraph"/>
        <w:numPr>
          <w:ilvl w:val="0"/>
          <w:numId w:val="35"/>
        </w:numPr>
        <w:spacing w:after="120"/>
        <w:ind w:left="924" w:hanging="357"/>
        <w:contextualSpacing w:val="0"/>
        <w:rPr>
          <w:lang w:val="es-ES_tradnl"/>
        </w:rPr>
      </w:pPr>
      <w:r w:rsidRPr="006E4BE1">
        <w:rPr>
          <w:lang w:val="es-ES_tradnl"/>
        </w:rPr>
        <w:t>Solicitudes de derechos de obtentor</w:t>
      </w:r>
    </w:p>
    <w:p w14:paraId="2A542318" w14:textId="77777777" w:rsidR="001240C5" w:rsidRPr="006E4BE1" w:rsidRDefault="00FE64A1" w:rsidP="00AE50C9">
      <w:pPr>
        <w:pStyle w:val="ListParagraph"/>
        <w:numPr>
          <w:ilvl w:val="1"/>
          <w:numId w:val="35"/>
        </w:numPr>
        <w:contextualSpacing w:val="0"/>
        <w:rPr>
          <w:lang w:val="es-ES_tradnl"/>
        </w:rPr>
      </w:pPr>
      <w:r w:rsidRPr="006E4BE1">
        <w:rPr>
          <w:lang w:val="es-ES_tradnl"/>
        </w:rPr>
        <w:t>UPOV PRISMA</w:t>
      </w:r>
      <w:r w:rsidR="00D60B91" w:rsidRPr="006E4BE1">
        <w:rPr>
          <w:lang w:val="es-ES_tradnl"/>
        </w:rPr>
        <w:t>:</w:t>
      </w:r>
    </w:p>
    <w:p w14:paraId="55B21E5B" w14:textId="77777777" w:rsidR="001240C5" w:rsidRPr="006E4BE1" w:rsidRDefault="00D60B91" w:rsidP="00AE50C9">
      <w:pPr>
        <w:pStyle w:val="ListParagraph"/>
        <w:numPr>
          <w:ilvl w:val="2"/>
          <w:numId w:val="35"/>
        </w:numPr>
        <w:contextualSpacing w:val="0"/>
        <w:rPr>
          <w:lang w:val="es-ES_tradnl"/>
        </w:rPr>
      </w:pPr>
      <w:r w:rsidRPr="006E4BE1">
        <w:rPr>
          <w:lang w:val="es-ES_tradnl"/>
        </w:rPr>
        <w:t>La cobertura se ampliará a más miembros de la Unión y a más cultivos o especies.</w:t>
      </w:r>
    </w:p>
    <w:p w14:paraId="0F524AEB" w14:textId="77777777" w:rsidR="001240C5" w:rsidRPr="006E4BE1" w:rsidRDefault="00D60B91" w:rsidP="00AE50C9">
      <w:pPr>
        <w:pStyle w:val="ListParagraph"/>
        <w:numPr>
          <w:ilvl w:val="2"/>
          <w:numId w:val="35"/>
        </w:numPr>
        <w:contextualSpacing w:val="0"/>
        <w:rPr>
          <w:color w:val="000000" w:themeColor="text1"/>
          <w:lang w:val="es-ES_tradnl"/>
        </w:rPr>
      </w:pPr>
      <w:r w:rsidRPr="006E4BE1">
        <w:rPr>
          <w:color w:val="000000" w:themeColor="text1"/>
          <w:lang w:val="es-ES_tradnl"/>
        </w:rPr>
        <w:t>La herramienta de recomendaciones sobre preparativos para el examen DHE (DART) proporciona información sobre la cooperación en el exam</w:t>
      </w:r>
      <w:r w:rsidR="001A019F" w:rsidRPr="006E4BE1">
        <w:rPr>
          <w:color w:val="000000" w:themeColor="text1"/>
          <w:lang w:val="es-ES_tradnl"/>
        </w:rPr>
        <w:t>en DHE entre los miembros de la </w:t>
      </w:r>
      <w:r w:rsidRPr="006E4BE1">
        <w:rPr>
          <w:color w:val="000000" w:themeColor="text1"/>
          <w:lang w:val="es-ES_tradnl"/>
        </w:rPr>
        <w:t>Unión.</w:t>
      </w:r>
    </w:p>
    <w:p w14:paraId="155EC037" w14:textId="77777777" w:rsidR="001240C5" w:rsidRPr="006E4BE1" w:rsidRDefault="00D60B91" w:rsidP="00AE50C9">
      <w:pPr>
        <w:pStyle w:val="ListParagraph"/>
        <w:numPr>
          <w:ilvl w:val="1"/>
          <w:numId w:val="35"/>
        </w:numPr>
        <w:contextualSpacing w:val="0"/>
        <w:rPr>
          <w:lang w:val="es-ES_tradnl"/>
        </w:rPr>
      </w:pPr>
      <w:r w:rsidRPr="006E4BE1">
        <w:rPr>
          <w:lang w:val="es-ES_tradnl"/>
        </w:rPr>
        <w:t>Plataformas de cooperación entre los miembros de la UPOV (por ejemplo, regionales) para colaborar en la administración y el examen de solicitudes</w:t>
      </w:r>
    </w:p>
    <w:p w14:paraId="6F00BFD7" w14:textId="77777777" w:rsidR="001240C5" w:rsidRPr="006E4BE1" w:rsidRDefault="001240C5" w:rsidP="00AE50C9">
      <w:pPr>
        <w:rPr>
          <w:lang w:val="es-ES_tradnl"/>
        </w:rPr>
      </w:pPr>
    </w:p>
    <w:p w14:paraId="647DADE4" w14:textId="77777777" w:rsidR="001240C5" w:rsidRPr="006E4BE1" w:rsidRDefault="00D60B91" w:rsidP="00AE50C9">
      <w:pPr>
        <w:pStyle w:val="ListParagraph"/>
        <w:numPr>
          <w:ilvl w:val="0"/>
          <w:numId w:val="35"/>
        </w:numPr>
        <w:spacing w:after="120"/>
        <w:ind w:left="924" w:hanging="357"/>
        <w:contextualSpacing w:val="0"/>
        <w:rPr>
          <w:lang w:val="es-ES_tradnl"/>
        </w:rPr>
      </w:pPr>
      <w:r w:rsidRPr="006E4BE1">
        <w:rPr>
          <w:lang w:val="es-ES_tradnl"/>
        </w:rPr>
        <w:t>Administración de las solicitudes de derechos de obtentor</w:t>
      </w:r>
    </w:p>
    <w:p w14:paraId="3D999CD9" w14:textId="77777777" w:rsidR="001240C5" w:rsidRPr="006E4BE1" w:rsidRDefault="00D60B91" w:rsidP="00AE50C9">
      <w:pPr>
        <w:pStyle w:val="ListParagraph"/>
        <w:numPr>
          <w:ilvl w:val="1"/>
          <w:numId w:val="35"/>
        </w:numPr>
        <w:contextualSpacing w:val="0"/>
        <w:rPr>
          <w:lang w:val="es-ES_tradnl"/>
        </w:rPr>
      </w:pPr>
      <w:r w:rsidRPr="006E4BE1">
        <w:rPr>
          <w:lang w:val="es-ES_tradnl"/>
        </w:rPr>
        <w:t>Módulo de administración electrónica de los derechos de obtentor (e-PVP) para que los miembros de la Unión puedan gestionar y publicar las solicitudes de protección de las obtenciones vegetales</w:t>
      </w:r>
    </w:p>
    <w:p w14:paraId="4922F8C3" w14:textId="77777777" w:rsidR="001240C5" w:rsidRPr="006E4BE1" w:rsidRDefault="001240C5" w:rsidP="00AE50C9">
      <w:pPr>
        <w:rPr>
          <w:lang w:val="es-ES_tradnl"/>
        </w:rPr>
      </w:pPr>
    </w:p>
    <w:p w14:paraId="7FD00E0C" w14:textId="77777777" w:rsidR="001240C5" w:rsidRPr="006E4BE1" w:rsidRDefault="00BC1E8F" w:rsidP="00AE50C9">
      <w:pPr>
        <w:pStyle w:val="ListParagraph"/>
        <w:numPr>
          <w:ilvl w:val="0"/>
          <w:numId w:val="35"/>
        </w:numPr>
        <w:spacing w:after="120"/>
        <w:ind w:left="924" w:hanging="357"/>
        <w:contextualSpacing w:val="0"/>
        <w:rPr>
          <w:lang w:val="es-ES_tradnl"/>
        </w:rPr>
      </w:pPr>
      <w:r w:rsidRPr="006E4BE1">
        <w:rPr>
          <w:lang w:val="es-ES_tradnl"/>
        </w:rPr>
        <w:t>Examen de las solicitudes de derechos de obtentor</w:t>
      </w:r>
    </w:p>
    <w:p w14:paraId="0A922802" w14:textId="77777777" w:rsidR="001240C5" w:rsidRPr="006E4BE1" w:rsidRDefault="00BC1E8F" w:rsidP="00AE50C9">
      <w:pPr>
        <w:pStyle w:val="ListParagraph"/>
        <w:numPr>
          <w:ilvl w:val="1"/>
          <w:numId w:val="35"/>
        </w:numPr>
        <w:contextualSpacing w:val="0"/>
        <w:rPr>
          <w:lang w:val="es-ES_tradnl"/>
        </w:rPr>
      </w:pPr>
      <w:r w:rsidRPr="006E4BE1">
        <w:rPr>
          <w:lang w:val="es-ES_tradnl"/>
        </w:rPr>
        <w:t>Aumento de la cantidad y la calidad de los datos de la base de datos PLUTO</w:t>
      </w:r>
    </w:p>
    <w:p w14:paraId="6A30B7E3" w14:textId="77777777" w:rsidR="001240C5" w:rsidRPr="006E4BE1" w:rsidRDefault="00BC1E8F" w:rsidP="00AE50C9">
      <w:pPr>
        <w:pStyle w:val="ListParagraph"/>
        <w:numPr>
          <w:ilvl w:val="1"/>
          <w:numId w:val="35"/>
        </w:numPr>
        <w:contextualSpacing w:val="0"/>
        <w:rPr>
          <w:lang w:val="es-ES_tradnl"/>
        </w:rPr>
      </w:pPr>
      <w:r w:rsidRPr="006E4BE1">
        <w:rPr>
          <w:lang w:val="es-ES_tradnl"/>
        </w:rPr>
        <w:t>Herramienta de la UPOV para la búsqueda de similitud a los fines de la denominación de variedades a partir de la base de datos PLUTO</w:t>
      </w:r>
    </w:p>
    <w:p w14:paraId="5314387C" w14:textId="77777777" w:rsidR="001240C5" w:rsidRPr="006E4BE1" w:rsidRDefault="00BC1E8F" w:rsidP="00AE50C9">
      <w:pPr>
        <w:pStyle w:val="ListParagraph"/>
        <w:numPr>
          <w:ilvl w:val="1"/>
          <w:numId w:val="35"/>
        </w:numPr>
        <w:contextualSpacing w:val="0"/>
        <w:rPr>
          <w:lang w:val="es-ES_tradnl"/>
        </w:rPr>
      </w:pPr>
      <w:r w:rsidRPr="006E4BE1">
        <w:rPr>
          <w:lang w:val="es-ES_tradnl"/>
        </w:rPr>
        <w:t>Base de datos GENIE: adaptación del sistema de códigos de la UPOV para proporcionar información adicional que facilite el examen DHE</w:t>
      </w:r>
    </w:p>
    <w:p w14:paraId="13CED9FB" w14:textId="77777777" w:rsidR="001240C5" w:rsidRPr="006E4BE1" w:rsidRDefault="00BC1E8F" w:rsidP="00AE50C9">
      <w:pPr>
        <w:pStyle w:val="ListParagraph"/>
        <w:numPr>
          <w:ilvl w:val="1"/>
          <w:numId w:val="35"/>
        </w:numPr>
        <w:contextualSpacing w:val="0"/>
        <w:rPr>
          <w:lang w:val="es-ES_tradnl"/>
        </w:rPr>
      </w:pPr>
      <w:r w:rsidRPr="006E4BE1">
        <w:rPr>
          <w:lang w:val="es-ES_tradnl"/>
        </w:rPr>
        <w:t>Plantilla web de los documentos TG para que los miembros de la Unión dispongan de un módulo que les permita elaborar las directrices de examen en su idioma</w:t>
      </w:r>
    </w:p>
    <w:p w14:paraId="018D2477" w14:textId="77777777" w:rsidR="001240C5" w:rsidRPr="006E4BE1" w:rsidRDefault="001240C5" w:rsidP="00AE50C9">
      <w:pPr>
        <w:rPr>
          <w:lang w:val="es-ES_tradnl"/>
        </w:rPr>
      </w:pPr>
    </w:p>
    <w:p w14:paraId="44254551" w14:textId="77777777" w:rsidR="001240C5" w:rsidRPr="006E4BE1" w:rsidRDefault="00BC1E8F" w:rsidP="001A019F">
      <w:pPr>
        <w:pStyle w:val="ListParagraph"/>
        <w:keepNext/>
        <w:numPr>
          <w:ilvl w:val="0"/>
          <w:numId w:val="35"/>
        </w:numPr>
        <w:spacing w:after="120"/>
        <w:ind w:left="924" w:hanging="357"/>
        <w:contextualSpacing w:val="0"/>
        <w:rPr>
          <w:lang w:val="es-ES_tradnl"/>
        </w:rPr>
      </w:pPr>
      <w:r w:rsidRPr="006E4BE1">
        <w:rPr>
          <w:lang w:val="es-ES_tradnl"/>
        </w:rPr>
        <w:t>Facilitación de la cooperación en el examen DHE</w:t>
      </w:r>
    </w:p>
    <w:p w14:paraId="2802D2E1" w14:textId="77777777" w:rsidR="001240C5" w:rsidRPr="006E4BE1" w:rsidRDefault="00BC1E8F" w:rsidP="001A019F">
      <w:pPr>
        <w:pStyle w:val="ListParagraph"/>
        <w:keepNext/>
        <w:numPr>
          <w:ilvl w:val="1"/>
          <w:numId w:val="35"/>
        </w:numPr>
        <w:contextualSpacing w:val="0"/>
        <w:rPr>
          <w:color w:val="000000" w:themeColor="text1"/>
          <w:lang w:val="es-ES_tradnl"/>
        </w:rPr>
      </w:pPr>
      <w:r w:rsidRPr="006E4BE1">
        <w:rPr>
          <w:color w:val="000000" w:themeColor="text1"/>
          <w:lang w:val="es-ES_tradnl"/>
        </w:rPr>
        <w:t>Plataforma para el intercambio de los informes DHE existentes (parte de e-PVP)</w:t>
      </w:r>
    </w:p>
    <w:p w14:paraId="0FD4E576" w14:textId="77777777" w:rsidR="001240C5" w:rsidRPr="006E4BE1" w:rsidRDefault="00BC1E8F" w:rsidP="00AE50C9">
      <w:pPr>
        <w:pStyle w:val="ListParagraph"/>
        <w:numPr>
          <w:ilvl w:val="1"/>
          <w:numId w:val="35"/>
        </w:numPr>
        <w:contextualSpacing w:val="0"/>
        <w:rPr>
          <w:color w:val="000000" w:themeColor="text1"/>
          <w:lang w:val="es-ES_tradnl"/>
        </w:rPr>
      </w:pPr>
      <w:r w:rsidRPr="006E4BE1">
        <w:rPr>
          <w:color w:val="000000" w:themeColor="text1"/>
          <w:lang w:val="es-ES_tradnl"/>
        </w:rPr>
        <w:t>Plataforma para que los miembros de la UPOV pongan a disposición de otros miembros de la Unión sus procedimientos de examen DHE documentados y la información sobre sus sistemas de gestión de calidad</w:t>
      </w:r>
    </w:p>
    <w:p w14:paraId="6E896165" w14:textId="77777777" w:rsidR="001240C5" w:rsidRPr="006E4BE1" w:rsidRDefault="00BC1E8F" w:rsidP="00AE50C9">
      <w:pPr>
        <w:pStyle w:val="ListParagraph"/>
        <w:numPr>
          <w:ilvl w:val="1"/>
          <w:numId w:val="35"/>
        </w:numPr>
        <w:contextualSpacing w:val="0"/>
        <w:rPr>
          <w:lang w:val="es-ES_tradnl"/>
        </w:rPr>
      </w:pPr>
      <w:r w:rsidRPr="006E4BE1">
        <w:rPr>
          <w:lang w:val="es-ES_tradnl"/>
        </w:rPr>
        <w:t>Plataforma o portal para las bases de datos de los miembros de la UPOV que contengan información descriptiva sobre las variedades</w:t>
      </w:r>
    </w:p>
    <w:p w14:paraId="276A5EFF" w14:textId="77777777" w:rsidR="001240C5" w:rsidRPr="006E4BE1" w:rsidRDefault="001240C5" w:rsidP="00AE50C9">
      <w:pPr>
        <w:rPr>
          <w:lang w:val="es-ES_tradnl"/>
        </w:rPr>
      </w:pPr>
    </w:p>
    <w:p w14:paraId="2AB6D1DC" w14:textId="77777777" w:rsidR="001240C5" w:rsidRPr="006E4BE1" w:rsidRDefault="00BC1E8F" w:rsidP="00AE50C9">
      <w:pPr>
        <w:rPr>
          <w:lang w:val="es-ES_tradnl"/>
        </w:rPr>
      </w:pPr>
      <w:r w:rsidRPr="006E4BE1">
        <w:rPr>
          <w:lang w:val="es-ES_tradnl"/>
        </w:rPr>
        <w:t>Esas herramientas permitirán prestar una asistencia coherente y completa en la aplicación del sistema de protección de las obtenciones vegetales de la UPOV, a la vez que los miembros de la Unión podrán utilizar algunas o todas ellas, según se considere oportuno.</w:t>
      </w:r>
    </w:p>
    <w:p w14:paraId="429DAA88" w14:textId="77777777" w:rsidR="001240C5" w:rsidRPr="006E4BE1" w:rsidRDefault="001240C5" w:rsidP="00AE50C9">
      <w:pPr>
        <w:rPr>
          <w:lang w:val="es-ES_tradnl"/>
        </w:rPr>
      </w:pPr>
    </w:p>
    <w:p w14:paraId="35A3F36E" w14:textId="77777777" w:rsidR="001240C5" w:rsidRPr="006E4BE1" w:rsidRDefault="001240C5" w:rsidP="00AE50C9">
      <w:pPr>
        <w:rPr>
          <w:lang w:val="es-ES_tradnl"/>
        </w:rPr>
      </w:pPr>
    </w:p>
    <w:p w14:paraId="4486B6A9" w14:textId="77777777" w:rsidR="001240C5" w:rsidRPr="006E4BE1" w:rsidRDefault="00BC1E8F" w:rsidP="00B60E92">
      <w:pPr>
        <w:pStyle w:val="Heading3"/>
      </w:pPr>
      <w:bookmarkStart w:id="439" w:name="_Toc78476719"/>
      <w:r w:rsidRPr="006E4BE1">
        <w:t>Actividades</w:t>
      </w:r>
      <w:bookmarkEnd w:id="439"/>
    </w:p>
    <w:p w14:paraId="7F1A5B6A" w14:textId="77777777" w:rsidR="001240C5" w:rsidRPr="006E4BE1" w:rsidRDefault="001240C5" w:rsidP="00AE50C9">
      <w:pPr>
        <w:rPr>
          <w:lang w:val="es-ES_tradnl"/>
        </w:rPr>
      </w:pPr>
    </w:p>
    <w:p w14:paraId="64324384" w14:textId="77777777" w:rsidR="001240C5" w:rsidRPr="006E4BE1" w:rsidRDefault="004C31F2" w:rsidP="00AE50C9">
      <w:pPr>
        <w:numPr>
          <w:ilvl w:val="0"/>
          <w:numId w:val="10"/>
        </w:numPr>
        <w:tabs>
          <w:tab w:val="clear" w:pos="720"/>
        </w:tabs>
        <w:spacing w:after="120"/>
        <w:ind w:left="1134" w:hanging="567"/>
        <w:rPr>
          <w:lang w:val="es-ES_tradnl"/>
        </w:rPr>
      </w:pPr>
      <w:r w:rsidRPr="006E4BE1">
        <w:rPr>
          <w:lang w:val="es-ES_tradnl"/>
        </w:rPr>
        <w:t>Dos sesiones del Comité Administrativo y Jurídico, dos sesiones del Comité Técnico, dos sesiones de cada uno de los Grupos de Trabajo Técnico, incluidas dos sesiones del Grupo de Trabajo sobre Técnicas Bioquímicas y Moleculares, y Perfiles de ADN en particular (BMT)</w:t>
      </w:r>
    </w:p>
    <w:p w14:paraId="12D36A2B" w14:textId="77777777" w:rsidR="001240C5" w:rsidRPr="006E4BE1" w:rsidRDefault="004C31F2" w:rsidP="00AE50C9">
      <w:pPr>
        <w:numPr>
          <w:ilvl w:val="0"/>
          <w:numId w:val="10"/>
        </w:numPr>
        <w:tabs>
          <w:tab w:val="clear" w:pos="720"/>
        </w:tabs>
        <w:spacing w:after="120"/>
        <w:ind w:left="1134" w:hanging="567"/>
        <w:rPr>
          <w:lang w:val="es-ES_tradnl"/>
        </w:rPr>
      </w:pPr>
      <w:r w:rsidRPr="006E4BE1">
        <w:rPr>
          <w:lang w:val="es-ES_tradnl"/>
        </w:rPr>
        <w:t>Elaboración de material de orientación e información tal como notas explicativas y documentos de información sobre el Convenio de la UPOV</w:t>
      </w:r>
    </w:p>
    <w:p w14:paraId="3F77D114" w14:textId="77777777" w:rsidR="001240C5" w:rsidRPr="006E4BE1" w:rsidRDefault="004C31F2" w:rsidP="00AE50C9">
      <w:pPr>
        <w:numPr>
          <w:ilvl w:val="0"/>
          <w:numId w:val="10"/>
        </w:numPr>
        <w:tabs>
          <w:tab w:val="clear" w:pos="720"/>
        </w:tabs>
        <w:spacing w:after="120"/>
        <w:ind w:left="1134" w:hanging="567"/>
        <w:rPr>
          <w:lang w:val="es-ES_tradnl"/>
        </w:rPr>
      </w:pPr>
      <w:r w:rsidRPr="006E4BE1">
        <w:rPr>
          <w:lang w:val="es-ES_tradnl"/>
        </w:rPr>
        <w:t>Elaboración de documentos de orientación sobre el examen de la distinción, la homogeneidad y la estabilidad (“DHE”) tales como la “Introducción general al examen de la distinción, la homogeneidad y la estabilidad y a la elaboración de descripciones armonizadas de las obtenciones vegetales” (Introducción general) y los documentos conexos sobre los procedimientos relativos a las directrices de examen (documentos TGP)</w:t>
      </w:r>
    </w:p>
    <w:p w14:paraId="00C26A01" w14:textId="77777777" w:rsidR="001240C5" w:rsidRPr="006E4BE1" w:rsidRDefault="004C31F2" w:rsidP="00AE50C9">
      <w:pPr>
        <w:numPr>
          <w:ilvl w:val="0"/>
          <w:numId w:val="10"/>
        </w:numPr>
        <w:tabs>
          <w:tab w:val="clear" w:pos="720"/>
        </w:tabs>
        <w:spacing w:after="120"/>
        <w:ind w:left="1134" w:hanging="567"/>
        <w:rPr>
          <w:lang w:val="es-ES_tradnl"/>
        </w:rPr>
      </w:pPr>
      <w:r w:rsidRPr="006E4BE1">
        <w:rPr>
          <w:lang w:val="es-ES_tradnl"/>
        </w:rPr>
        <w:t>Elaboración de las directrices de examen</w:t>
      </w:r>
    </w:p>
    <w:p w14:paraId="0FEF0205" w14:textId="77777777" w:rsidR="001240C5" w:rsidRPr="006E4BE1" w:rsidRDefault="004C31F2" w:rsidP="00AE50C9">
      <w:pPr>
        <w:numPr>
          <w:ilvl w:val="0"/>
          <w:numId w:val="10"/>
        </w:numPr>
        <w:tabs>
          <w:tab w:val="clear" w:pos="720"/>
        </w:tabs>
        <w:spacing w:after="120"/>
        <w:ind w:left="1134" w:hanging="567"/>
        <w:rPr>
          <w:lang w:val="es-ES_tradnl"/>
        </w:rPr>
      </w:pPr>
      <w:r w:rsidRPr="006E4BE1">
        <w:rPr>
          <w:lang w:val="es-ES_tradnl"/>
        </w:rPr>
        <w:t>Actualización de la Colección de la UPOV</w:t>
      </w:r>
    </w:p>
    <w:p w14:paraId="655FEEB3" w14:textId="77777777" w:rsidR="001240C5" w:rsidRPr="006E4BE1" w:rsidRDefault="004C31F2" w:rsidP="00AE50C9">
      <w:pPr>
        <w:numPr>
          <w:ilvl w:val="0"/>
          <w:numId w:val="10"/>
        </w:numPr>
        <w:tabs>
          <w:tab w:val="clear" w:pos="720"/>
        </w:tabs>
        <w:spacing w:after="120"/>
        <w:ind w:left="1134" w:hanging="567"/>
        <w:rPr>
          <w:lang w:val="es-ES_tradnl"/>
        </w:rPr>
      </w:pPr>
      <w:r w:rsidRPr="006E4BE1">
        <w:rPr>
          <w:lang w:val="es-ES_tradnl"/>
        </w:rPr>
        <w:t>Mantenimiento de la base de datos de legislación UPOV Lex y de las notificaciones pertinentes</w:t>
      </w:r>
    </w:p>
    <w:p w14:paraId="5963CD9A" w14:textId="77777777" w:rsidR="001240C5" w:rsidRPr="006E4BE1" w:rsidRDefault="004C31F2" w:rsidP="00AE50C9">
      <w:pPr>
        <w:numPr>
          <w:ilvl w:val="0"/>
          <w:numId w:val="10"/>
        </w:numPr>
        <w:tabs>
          <w:tab w:val="clear" w:pos="720"/>
        </w:tabs>
        <w:spacing w:after="120"/>
        <w:ind w:left="1134" w:hanging="567"/>
        <w:rPr>
          <w:lang w:val="es-ES_tradnl"/>
        </w:rPr>
      </w:pPr>
      <w:r w:rsidRPr="006E4BE1">
        <w:rPr>
          <w:lang w:val="es-ES_tradnl"/>
        </w:rPr>
        <w:t xml:space="preserve">Continuación del desarrollo de </w:t>
      </w:r>
      <w:r w:rsidR="00FE64A1" w:rsidRPr="006E4BE1">
        <w:rPr>
          <w:lang w:val="es-ES_tradnl"/>
        </w:rPr>
        <w:t>UPOV PRISMA</w:t>
      </w:r>
    </w:p>
    <w:p w14:paraId="2150EE32" w14:textId="77777777" w:rsidR="001240C5" w:rsidRPr="006E4BE1" w:rsidRDefault="004C31F2" w:rsidP="00AE50C9">
      <w:pPr>
        <w:numPr>
          <w:ilvl w:val="0"/>
          <w:numId w:val="10"/>
        </w:numPr>
        <w:tabs>
          <w:tab w:val="clear" w:pos="720"/>
        </w:tabs>
        <w:spacing w:after="120"/>
        <w:ind w:left="1134" w:hanging="567"/>
        <w:rPr>
          <w:lang w:val="es-ES_tradnl"/>
        </w:rPr>
      </w:pPr>
      <w:r w:rsidRPr="006E4BE1">
        <w:rPr>
          <w:lang w:val="es-ES_tradnl"/>
        </w:rPr>
        <w:t>Desarrollo del módulo de administración electrónica de los derechos de obtentor (e-PVP)</w:t>
      </w:r>
    </w:p>
    <w:p w14:paraId="6F0FC190" w14:textId="77777777" w:rsidR="001240C5" w:rsidRPr="006E4BE1" w:rsidRDefault="004C31F2" w:rsidP="00AE50C9">
      <w:pPr>
        <w:numPr>
          <w:ilvl w:val="0"/>
          <w:numId w:val="10"/>
        </w:numPr>
        <w:tabs>
          <w:tab w:val="clear" w:pos="720"/>
        </w:tabs>
        <w:spacing w:after="120"/>
        <w:ind w:left="1080" w:hanging="540"/>
        <w:rPr>
          <w:lang w:val="es-ES_tradnl"/>
        </w:rPr>
      </w:pPr>
      <w:r w:rsidRPr="006E4BE1">
        <w:rPr>
          <w:lang w:val="es-ES_tradnl"/>
        </w:rPr>
        <w:t>Desarrollo de las plataformas de cooperación entre los miembros de la UPOV (por ejemplo, regionales) para colaborar en la administración y el examen de solicitudes</w:t>
      </w:r>
    </w:p>
    <w:p w14:paraId="67F7BB26" w14:textId="77777777" w:rsidR="001240C5" w:rsidRPr="006E4BE1" w:rsidRDefault="004C31F2" w:rsidP="00AE50C9">
      <w:pPr>
        <w:numPr>
          <w:ilvl w:val="0"/>
          <w:numId w:val="10"/>
        </w:numPr>
        <w:tabs>
          <w:tab w:val="clear" w:pos="720"/>
        </w:tabs>
        <w:spacing w:after="120"/>
        <w:ind w:left="1134" w:hanging="567"/>
        <w:rPr>
          <w:lang w:val="es-ES_tradnl"/>
        </w:rPr>
      </w:pPr>
      <w:r w:rsidRPr="006E4BE1">
        <w:rPr>
          <w:lang w:val="es-ES_tradnl"/>
        </w:rPr>
        <w:t>Actualización y desarrollo de la base de datos PLUTO</w:t>
      </w:r>
    </w:p>
    <w:p w14:paraId="4202C4D7" w14:textId="77777777" w:rsidR="001240C5" w:rsidRPr="006E4BE1" w:rsidRDefault="00907AF3" w:rsidP="00AE50C9">
      <w:pPr>
        <w:numPr>
          <w:ilvl w:val="0"/>
          <w:numId w:val="10"/>
        </w:numPr>
        <w:tabs>
          <w:tab w:val="clear" w:pos="720"/>
        </w:tabs>
        <w:spacing w:after="120"/>
        <w:ind w:left="1134" w:hanging="567"/>
        <w:rPr>
          <w:lang w:val="es-ES_tradnl"/>
        </w:rPr>
      </w:pPr>
      <w:r w:rsidRPr="006E4BE1">
        <w:rPr>
          <w:lang w:val="es-ES_tradnl"/>
        </w:rPr>
        <w:t>Elaboración de una herramienta de la UPOV de búsqueda de similitud a los fines de la denominación de variedades</w:t>
      </w:r>
    </w:p>
    <w:p w14:paraId="44FC11D6" w14:textId="77777777" w:rsidR="001240C5" w:rsidRPr="006E4BE1" w:rsidRDefault="00907AF3" w:rsidP="00AE50C9">
      <w:pPr>
        <w:numPr>
          <w:ilvl w:val="0"/>
          <w:numId w:val="10"/>
        </w:numPr>
        <w:tabs>
          <w:tab w:val="clear" w:pos="720"/>
        </w:tabs>
        <w:spacing w:after="120"/>
        <w:ind w:left="1134" w:hanging="567"/>
        <w:rPr>
          <w:lang w:val="es-ES_tradnl"/>
        </w:rPr>
      </w:pPr>
      <w:r w:rsidRPr="006E4BE1">
        <w:rPr>
          <w:lang w:val="es-ES_tradnl"/>
        </w:rPr>
        <w:t>Actualización y desarrollo de la base de datos GENIE y del sistema de códigos de la UPOV</w:t>
      </w:r>
    </w:p>
    <w:p w14:paraId="18BB478F" w14:textId="77777777" w:rsidR="001240C5" w:rsidRPr="006E4BE1" w:rsidRDefault="00907AF3" w:rsidP="00AE50C9">
      <w:pPr>
        <w:numPr>
          <w:ilvl w:val="0"/>
          <w:numId w:val="10"/>
        </w:numPr>
        <w:tabs>
          <w:tab w:val="clear" w:pos="720"/>
        </w:tabs>
        <w:spacing w:after="120"/>
        <w:ind w:left="1134" w:hanging="567"/>
        <w:rPr>
          <w:lang w:val="es-ES_tradnl"/>
        </w:rPr>
      </w:pPr>
      <w:r w:rsidRPr="006E4BE1">
        <w:rPr>
          <w:lang w:val="es-ES_tradnl"/>
        </w:rPr>
        <w:t>Plantilla web de los documentos TG para que los miembros de la Unión dispongan de un módulo que les permita elaborar las directrices de examen en su idioma</w:t>
      </w:r>
    </w:p>
    <w:p w14:paraId="31D00163" w14:textId="77777777" w:rsidR="001240C5" w:rsidRPr="006E4BE1" w:rsidRDefault="00907AF3" w:rsidP="00AE50C9">
      <w:pPr>
        <w:numPr>
          <w:ilvl w:val="0"/>
          <w:numId w:val="10"/>
        </w:numPr>
        <w:tabs>
          <w:tab w:val="clear" w:pos="720"/>
        </w:tabs>
        <w:spacing w:after="120"/>
        <w:ind w:left="1134" w:hanging="567"/>
        <w:rPr>
          <w:lang w:val="es-ES_tradnl"/>
        </w:rPr>
      </w:pPr>
      <w:r w:rsidRPr="006E4BE1">
        <w:rPr>
          <w:lang w:val="es-ES_tradnl"/>
        </w:rPr>
        <w:t>Desarrollo de una plataforma para el intercambio de los informes DHE existentes (parte de e</w:t>
      </w:r>
      <w:r w:rsidR="007422FA" w:rsidRPr="006E4BE1">
        <w:rPr>
          <w:lang w:val="es-ES_tradnl"/>
        </w:rPr>
        <w:noBreakHyphen/>
      </w:r>
      <w:r w:rsidRPr="006E4BE1">
        <w:rPr>
          <w:lang w:val="es-ES_tradnl"/>
        </w:rPr>
        <w:t>PVP)</w:t>
      </w:r>
    </w:p>
    <w:p w14:paraId="7B5C16DA" w14:textId="77777777" w:rsidR="001240C5" w:rsidRPr="006E4BE1" w:rsidRDefault="00907AF3" w:rsidP="00AE50C9">
      <w:pPr>
        <w:numPr>
          <w:ilvl w:val="0"/>
          <w:numId w:val="10"/>
        </w:numPr>
        <w:tabs>
          <w:tab w:val="clear" w:pos="720"/>
        </w:tabs>
        <w:spacing w:after="120"/>
        <w:ind w:left="1080" w:hanging="540"/>
        <w:rPr>
          <w:lang w:val="es-ES_tradnl"/>
        </w:rPr>
      </w:pPr>
      <w:r w:rsidRPr="006E4BE1">
        <w:rPr>
          <w:lang w:val="es-ES_tradnl"/>
        </w:rPr>
        <w:t>Desarrollo de una plataforma para que los miembros de la UPOV pongan a disposición de otros miembros de la Unión sus procedimientos de examen DHE documentados y la información sobre sus sistemas de gestión de calidad</w:t>
      </w:r>
    </w:p>
    <w:p w14:paraId="01395B7B" w14:textId="77777777" w:rsidR="001240C5" w:rsidRPr="006E4BE1" w:rsidRDefault="00AC6A66" w:rsidP="00AE50C9">
      <w:pPr>
        <w:numPr>
          <w:ilvl w:val="0"/>
          <w:numId w:val="10"/>
        </w:numPr>
        <w:tabs>
          <w:tab w:val="clear" w:pos="720"/>
        </w:tabs>
        <w:spacing w:after="120"/>
        <w:ind w:left="1080" w:hanging="540"/>
        <w:rPr>
          <w:lang w:val="es-ES_tradnl"/>
        </w:rPr>
      </w:pPr>
      <w:r w:rsidRPr="006E4BE1">
        <w:rPr>
          <w:lang w:val="es-ES_tradnl"/>
        </w:rPr>
        <w:t>Desarrollo de una plataforma o portal para las bases de datos de los miembros de la UPOV que contengan información descriptiva sobre las variedades</w:t>
      </w:r>
    </w:p>
    <w:p w14:paraId="488E9918" w14:textId="77777777" w:rsidR="001240C5" w:rsidRPr="006E4BE1" w:rsidRDefault="00AC6A66" w:rsidP="00B60E92">
      <w:pPr>
        <w:pStyle w:val="Heading3"/>
      </w:pPr>
      <w:bookmarkStart w:id="440" w:name="_Toc78476720"/>
      <w:r w:rsidRPr="006E4BE1">
        <w:lastRenderedPageBreak/>
        <w:t>Resultados previstos e indicadores de rendimiento</w:t>
      </w:r>
      <w:bookmarkEnd w:id="440"/>
    </w:p>
    <w:p w14:paraId="09399FF7" w14:textId="1077373B" w:rsidR="00EA4D77" w:rsidRPr="006E4BE1" w:rsidRDefault="00EA4D77" w:rsidP="00EA4D77">
      <w:pPr>
        <w:keepNext/>
        <w:rPr>
          <w:lang w:val="es-ES_tradnl"/>
        </w:rPr>
      </w:pPr>
    </w:p>
    <w:tbl>
      <w:tblPr>
        <w:tblW w:w="9786" w:type="dxa"/>
        <w:tblLayout w:type="fixed"/>
        <w:tblCellMar>
          <w:top w:w="57" w:type="dxa"/>
          <w:left w:w="57" w:type="dxa"/>
          <w:bottom w:w="28" w:type="dxa"/>
          <w:right w:w="57" w:type="dxa"/>
        </w:tblCellMar>
        <w:tblLook w:val="0000" w:firstRow="0" w:lastRow="0" w:firstColumn="0" w:lastColumn="0" w:noHBand="0" w:noVBand="0"/>
      </w:tblPr>
      <w:tblGrid>
        <w:gridCol w:w="4248"/>
        <w:gridCol w:w="5538"/>
      </w:tblGrid>
      <w:tr w:rsidR="008C5BB5" w:rsidRPr="006E4BE1" w14:paraId="60FF3A71" w14:textId="77777777" w:rsidTr="00C20F3E">
        <w:trPr>
          <w:cantSplit/>
          <w:tblHeader/>
        </w:trPr>
        <w:tc>
          <w:tcPr>
            <w:tcW w:w="4248" w:type="dxa"/>
            <w:shd w:val="clear" w:color="auto" w:fill="C6CFD7" w:themeFill="accent3" w:themeFillTint="66"/>
          </w:tcPr>
          <w:p w14:paraId="35201F6F" w14:textId="678163B5" w:rsidR="008C5BB5" w:rsidRPr="006E4BE1" w:rsidRDefault="00AC6A66" w:rsidP="00AE50C9">
            <w:pPr>
              <w:jc w:val="center"/>
              <w:rPr>
                <w:b/>
                <w:color w:val="000000"/>
                <w:lang w:val="es-ES_tradnl"/>
              </w:rPr>
            </w:pPr>
            <w:r w:rsidRPr="006E4BE1">
              <w:rPr>
                <w:b/>
                <w:color w:val="000000"/>
                <w:lang w:val="es-ES_tradnl"/>
              </w:rPr>
              <w:t>Resultados previstos</w:t>
            </w:r>
          </w:p>
        </w:tc>
        <w:tc>
          <w:tcPr>
            <w:tcW w:w="5538" w:type="dxa"/>
            <w:shd w:val="clear" w:color="auto" w:fill="C6CFD7" w:themeFill="accent3" w:themeFillTint="66"/>
          </w:tcPr>
          <w:p w14:paraId="2C62AFCE" w14:textId="7D8DE3BC" w:rsidR="008C5BB5" w:rsidRPr="006E4BE1" w:rsidRDefault="00AC6A66" w:rsidP="00AE50C9">
            <w:pPr>
              <w:jc w:val="center"/>
              <w:rPr>
                <w:b/>
                <w:color w:val="000000"/>
                <w:lang w:val="es-ES_tradnl"/>
              </w:rPr>
            </w:pPr>
            <w:r w:rsidRPr="006E4BE1">
              <w:rPr>
                <w:b/>
                <w:color w:val="000000"/>
                <w:lang w:val="es-ES_tradnl"/>
              </w:rPr>
              <w:t>Indicadores de rendimiento</w:t>
            </w:r>
          </w:p>
        </w:tc>
      </w:tr>
      <w:tr w:rsidR="008C5BB5" w:rsidRPr="001D7D80" w14:paraId="32A6695C" w14:textId="77777777" w:rsidTr="00C20F3E">
        <w:trPr>
          <w:cantSplit/>
          <w:trHeight w:val="1429"/>
        </w:trPr>
        <w:tc>
          <w:tcPr>
            <w:tcW w:w="4248" w:type="dxa"/>
          </w:tcPr>
          <w:p w14:paraId="3A71DB44" w14:textId="5B42DAC2" w:rsidR="008C5BB5" w:rsidRPr="006E4BE1" w:rsidRDefault="001A019F" w:rsidP="00AE50C9">
            <w:pPr>
              <w:ind w:left="397" w:hanging="397"/>
              <w:jc w:val="left"/>
              <w:rPr>
                <w:color w:val="000000"/>
                <w:lang w:val="es-ES_tradnl"/>
              </w:rPr>
            </w:pPr>
            <w:r w:rsidRPr="006E4BE1">
              <w:rPr>
                <w:color w:val="000000"/>
                <w:lang w:val="es-ES_tradnl"/>
              </w:rPr>
              <w:t>5.</w:t>
            </w:r>
            <w:r w:rsidRPr="006E4BE1">
              <w:rPr>
                <w:color w:val="000000"/>
                <w:lang w:val="es-ES_tradnl"/>
              </w:rPr>
              <w:tab/>
            </w:r>
            <w:r w:rsidR="00AC6A66" w:rsidRPr="006E4BE1">
              <w:rPr>
                <w:color w:val="000000"/>
                <w:lang w:val="es-ES_tradnl"/>
              </w:rPr>
              <w:t>Orientación sobre el Convenio de la UPOV e información sobre su aplicación</w:t>
            </w:r>
          </w:p>
        </w:tc>
        <w:tc>
          <w:tcPr>
            <w:tcW w:w="5538" w:type="dxa"/>
          </w:tcPr>
          <w:p w14:paraId="4492D5F0" w14:textId="77777777" w:rsidR="001240C5" w:rsidRPr="006E4BE1" w:rsidRDefault="00F146D8" w:rsidP="00AE50C9">
            <w:pPr>
              <w:ind w:left="397" w:hanging="397"/>
              <w:jc w:val="left"/>
              <w:rPr>
                <w:color w:val="000000"/>
                <w:lang w:val="es-ES_tradnl"/>
              </w:rPr>
            </w:pPr>
            <w:r w:rsidRPr="006E4BE1">
              <w:rPr>
                <w:color w:val="000000"/>
                <w:lang w:val="es-ES_tradnl"/>
              </w:rPr>
              <w:t>a)</w:t>
            </w:r>
            <w:r w:rsidRPr="006E4BE1">
              <w:rPr>
                <w:color w:val="000000"/>
                <w:lang w:val="es-ES_tradnl"/>
              </w:rPr>
              <w:tab/>
              <w:t>Aprobación de material de orientación e información nuevo o revisado sobre el Convenio de la UPOV;</w:t>
            </w:r>
          </w:p>
          <w:p w14:paraId="6226A190" w14:textId="77777777" w:rsidR="001240C5" w:rsidRPr="006E4BE1" w:rsidRDefault="00F146D8" w:rsidP="00AE50C9">
            <w:pPr>
              <w:ind w:left="397" w:hanging="397"/>
              <w:jc w:val="left"/>
              <w:rPr>
                <w:color w:val="000000"/>
                <w:lang w:val="es-ES_tradnl"/>
              </w:rPr>
            </w:pPr>
            <w:r w:rsidRPr="006E4BE1">
              <w:rPr>
                <w:color w:val="000000"/>
                <w:lang w:val="es-ES_tradnl"/>
              </w:rPr>
              <w:t>b)</w:t>
            </w:r>
            <w:r w:rsidRPr="006E4BE1">
              <w:rPr>
                <w:color w:val="000000"/>
                <w:lang w:val="es-ES_tradnl"/>
              </w:rPr>
              <w:tab/>
              <w:t>Aprobación de directrices de examen nuevas o revisadas;</w:t>
            </w:r>
          </w:p>
          <w:p w14:paraId="475945FF" w14:textId="77777777" w:rsidR="001240C5" w:rsidRPr="006E4BE1" w:rsidRDefault="00F146D8" w:rsidP="00AE50C9">
            <w:pPr>
              <w:ind w:left="397" w:hanging="397"/>
              <w:jc w:val="left"/>
              <w:rPr>
                <w:color w:val="000000"/>
                <w:lang w:val="es-ES_tradnl"/>
              </w:rPr>
            </w:pPr>
            <w:r w:rsidRPr="006E4BE1">
              <w:rPr>
                <w:color w:val="000000"/>
                <w:lang w:val="es-ES_tradnl"/>
              </w:rPr>
              <w:t>c)</w:t>
            </w:r>
            <w:r w:rsidRPr="006E4BE1">
              <w:rPr>
                <w:color w:val="000000"/>
                <w:lang w:val="es-ES_tradnl"/>
              </w:rPr>
              <w:tab/>
              <w:t>Proporción de solicitudes de derechos de obtentor que abarcan las directrices de examen aprobadas</w:t>
            </w:r>
          </w:p>
          <w:p w14:paraId="2A7A589E" w14:textId="7F10ECCC" w:rsidR="008C5BB5" w:rsidRPr="006E4BE1" w:rsidRDefault="00F146D8" w:rsidP="00AE50C9">
            <w:pPr>
              <w:ind w:left="397" w:hanging="397"/>
              <w:jc w:val="left"/>
              <w:rPr>
                <w:color w:val="000000"/>
                <w:lang w:val="es-ES_tradnl"/>
              </w:rPr>
            </w:pPr>
            <w:r w:rsidRPr="006E4BE1">
              <w:rPr>
                <w:color w:val="000000"/>
                <w:lang w:val="es-ES_tradnl"/>
              </w:rPr>
              <w:t>d)</w:t>
            </w:r>
            <w:r w:rsidRPr="006E4BE1">
              <w:rPr>
                <w:color w:val="000000"/>
                <w:lang w:val="es-ES_tradnl"/>
              </w:rPr>
              <w:tab/>
              <w:t>Número de directrices de examen en curso de elaboración en los Grupos de Trabajo Técnico.</w:t>
            </w:r>
          </w:p>
        </w:tc>
      </w:tr>
      <w:tr w:rsidR="008C5BB5" w:rsidRPr="001D7D80" w14:paraId="6AC23BCB" w14:textId="77777777" w:rsidTr="00C20F3E">
        <w:trPr>
          <w:cantSplit/>
        </w:trPr>
        <w:tc>
          <w:tcPr>
            <w:tcW w:w="4248" w:type="dxa"/>
          </w:tcPr>
          <w:p w14:paraId="3524BE99" w14:textId="0E557762" w:rsidR="008C5BB5" w:rsidRPr="006E4BE1" w:rsidRDefault="00F146D8" w:rsidP="00AE50C9">
            <w:pPr>
              <w:ind w:left="397" w:hanging="397"/>
              <w:jc w:val="left"/>
              <w:rPr>
                <w:color w:val="000000"/>
                <w:lang w:val="es-ES_tradnl"/>
              </w:rPr>
            </w:pPr>
            <w:r w:rsidRPr="006E4BE1">
              <w:rPr>
                <w:color w:val="000000"/>
                <w:lang w:val="es-ES_tradnl"/>
              </w:rPr>
              <w:t>6.</w:t>
            </w:r>
            <w:r w:rsidRPr="006E4BE1">
              <w:rPr>
                <w:color w:val="000000"/>
                <w:lang w:val="es-ES_tradnl"/>
              </w:rPr>
              <w:tab/>
              <w:t>Mayor cooperación en el examen DHE</w:t>
            </w:r>
          </w:p>
        </w:tc>
        <w:tc>
          <w:tcPr>
            <w:tcW w:w="5538" w:type="dxa"/>
          </w:tcPr>
          <w:p w14:paraId="76EC2FD2" w14:textId="77777777" w:rsidR="001240C5" w:rsidRPr="006E4BE1" w:rsidRDefault="00F146D8" w:rsidP="00AE50C9">
            <w:pPr>
              <w:ind w:left="397" w:hanging="397"/>
              <w:jc w:val="left"/>
              <w:rPr>
                <w:color w:val="000000"/>
                <w:lang w:val="es-ES_tradnl"/>
              </w:rPr>
            </w:pPr>
            <w:r w:rsidRPr="006E4BE1">
              <w:rPr>
                <w:color w:val="000000"/>
                <w:lang w:val="es-ES_tradnl"/>
              </w:rPr>
              <w:t>a)</w:t>
            </w:r>
            <w:r w:rsidRPr="006E4BE1">
              <w:rPr>
                <w:color w:val="000000"/>
                <w:lang w:val="es-ES_tradnl"/>
              </w:rPr>
              <w:tab/>
              <w:t>Géneros y especies vegetales, respecto de los cuales los miembros de la Unión poseen experiencia práctica, incluidos en la base de datos GENIE;</w:t>
            </w:r>
          </w:p>
          <w:p w14:paraId="61020C20" w14:textId="77777777" w:rsidR="001240C5" w:rsidRPr="006E4BE1" w:rsidRDefault="00F146D8" w:rsidP="00AE50C9">
            <w:pPr>
              <w:ind w:left="397" w:hanging="397"/>
              <w:jc w:val="left"/>
              <w:rPr>
                <w:color w:val="000000"/>
                <w:lang w:val="es-ES_tradnl"/>
              </w:rPr>
            </w:pPr>
            <w:r w:rsidRPr="006E4BE1">
              <w:rPr>
                <w:color w:val="000000"/>
                <w:lang w:val="es-ES_tradnl"/>
              </w:rPr>
              <w:t>b)</w:t>
            </w:r>
            <w:r w:rsidRPr="006E4BE1">
              <w:rPr>
                <w:color w:val="000000"/>
                <w:lang w:val="es-ES_tradnl"/>
              </w:rPr>
              <w:tab/>
              <w:t>Géneros y especies vegetales, respecto de los cuales los miembros de la Unión cooperan en el examen DHE, incluidos en la base de datos GENIE;</w:t>
            </w:r>
          </w:p>
          <w:p w14:paraId="261E12C1" w14:textId="5DF37CA7" w:rsidR="008C5BB5" w:rsidRPr="006E4BE1" w:rsidRDefault="00F146D8" w:rsidP="00AE50C9">
            <w:pPr>
              <w:ind w:left="397" w:hanging="397"/>
              <w:jc w:val="left"/>
              <w:rPr>
                <w:color w:val="000000"/>
                <w:lang w:val="es-ES_tradnl"/>
              </w:rPr>
            </w:pPr>
            <w:r w:rsidRPr="006E4BE1">
              <w:rPr>
                <w:color w:val="000000"/>
                <w:lang w:val="es-ES_tradnl"/>
              </w:rPr>
              <w:t>c)</w:t>
            </w:r>
            <w:r w:rsidRPr="006E4BE1">
              <w:rPr>
                <w:color w:val="000000"/>
                <w:lang w:val="es-ES_tradnl"/>
              </w:rPr>
              <w:tab/>
              <w:t>Nuevas iniciativas para facilitar o mejorar la cooperación voluntaria entre los miembros de la Unión.</w:t>
            </w:r>
          </w:p>
        </w:tc>
      </w:tr>
      <w:tr w:rsidR="008C5BB5" w:rsidRPr="001D7D80" w14:paraId="4C262B43" w14:textId="77777777" w:rsidTr="00C20F3E">
        <w:trPr>
          <w:cantSplit/>
        </w:trPr>
        <w:tc>
          <w:tcPr>
            <w:tcW w:w="4248" w:type="dxa"/>
          </w:tcPr>
          <w:p w14:paraId="387CD81A" w14:textId="5B783466" w:rsidR="008C5BB5" w:rsidRPr="006E4BE1" w:rsidRDefault="00F146D8" w:rsidP="00AE50C9">
            <w:pPr>
              <w:ind w:left="397" w:hanging="397"/>
              <w:jc w:val="left"/>
              <w:rPr>
                <w:color w:val="000000"/>
                <w:lang w:val="es-ES_tradnl"/>
              </w:rPr>
            </w:pPr>
            <w:r w:rsidRPr="006E4BE1">
              <w:rPr>
                <w:color w:val="000000"/>
                <w:lang w:val="es-ES_tradnl"/>
              </w:rPr>
              <w:t>7.</w:t>
            </w:r>
            <w:r w:rsidRPr="006E4BE1">
              <w:rPr>
                <w:color w:val="000000"/>
                <w:lang w:val="es-ES_tradnl"/>
              </w:rPr>
              <w:tab/>
              <w:t>Mayor cooperación en el examen de denominaciones de variedades y la novedad</w:t>
            </w:r>
          </w:p>
        </w:tc>
        <w:tc>
          <w:tcPr>
            <w:tcW w:w="5538" w:type="dxa"/>
          </w:tcPr>
          <w:p w14:paraId="3303C6CE" w14:textId="77777777" w:rsidR="001240C5" w:rsidRPr="006E4BE1" w:rsidRDefault="00F146D8" w:rsidP="00AE50C9">
            <w:pPr>
              <w:ind w:left="397" w:hanging="397"/>
              <w:jc w:val="left"/>
              <w:rPr>
                <w:color w:val="000000"/>
                <w:lang w:val="es-ES_tradnl"/>
              </w:rPr>
            </w:pPr>
            <w:r w:rsidRPr="006E4BE1">
              <w:rPr>
                <w:color w:val="000000"/>
                <w:lang w:val="es-ES_tradnl"/>
              </w:rPr>
              <w:t>a)</w:t>
            </w:r>
            <w:r w:rsidRPr="006E4BE1">
              <w:rPr>
                <w:color w:val="000000"/>
                <w:lang w:val="es-ES_tradnl"/>
              </w:rPr>
              <w:tab/>
              <w:t>Cantidad y calidad de los datos de la base de datos PLUTO:</w:t>
            </w:r>
          </w:p>
          <w:p w14:paraId="0771B88D" w14:textId="77777777" w:rsidR="001240C5" w:rsidRPr="006E4BE1" w:rsidRDefault="00F146D8" w:rsidP="00AE50C9">
            <w:pPr>
              <w:ind w:left="794" w:hanging="397"/>
              <w:jc w:val="left"/>
              <w:rPr>
                <w:color w:val="000000"/>
                <w:lang w:val="es-ES_tradnl"/>
              </w:rPr>
            </w:pPr>
            <w:r w:rsidRPr="006E4BE1">
              <w:rPr>
                <w:color w:val="000000"/>
                <w:lang w:val="es-ES_tradnl"/>
              </w:rPr>
              <w:t>i)</w:t>
            </w:r>
            <w:r w:rsidRPr="006E4BE1">
              <w:rPr>
                <w:color w:val="000000"/>
                <w:lang w:val="es-ES_tradnl"/>
              </w:rPr>
              <w:tab/>
              <w:t>número de colaboradores;</w:t>
            </w:r>
          </w:p>
          <w:p w14:paraId="10EB8220" w14:textId="77777777" w:rsidR="001240C5" w:rsidRPr="006E4BE1" w:rsidRDefault="00F146D8" w:rsidP="00AE50C9">
            <w:pPr>
              <w:ind w:left="794" w:hanging="397"/>
              <w:jc w:val="left"/>
              <w:rPr>
                <w:color w:val="000000"/>
                <w:lang w:val="es-ES_tradnl"/>
              </w:rPr>
            </w:pPr>
            <w:r w:rsidRPr="006E4BE1">
              <w:rPr>
                <w:color w:val="000000"/>
                <w:lang w:val="es-ES_tradnl"/>
              </w:rPr>
              <w:t>ii)</w:t>
            </w:r>
            <w:r w:rsidRPr="006E4BE1">
              <w:rPr>
                <w:color w:val="000000"/>
                <w:lang w:val="es-ES_tradnl"/>
              </w:rPr>
              <w:tab/>
              <w:t>número de nuevas comunicaciones presentadas;</w:t>
            </w:r>
          </w:p>
          <w:p w14:paraId="302300DE" w14:textId="77777777" w:rsidR="001240C5" w:rsidRPr="006E4BE1" w:rsidRDefault="00F146D8" w:rsidP="00AE50C9">
            <w:pPr>
              <w:ind w:left="794" w:hanging="397"/>
              <w:jc w:val="left"/>
              <w:rPr>
                <w:color w:val="000000"/>
                <w:lang w:val="es-ES_tradnl"/>
              </w:rPr>
            </w:pPr>
            <w:r w:rsidRPr="006E4BE1">
              <w:rPr>
                <w:color w:val="000000"/>
                <w:lang w:val="es-ES_tradnl"/>
              </w:rPr>
              <w:t>iii)</w:t>
            </w:r>
            <w:r w:rsidRPr="006E4BE1">
              <w:rPr>
                <w:color w:val="000000"/>
                <w:lang w:val="es-ES_tradnl"/>
              </w:rPr>
              <w:tab/>
              <w:t>número de registros;</w:t>
            </w:r>
          </w:p>
          <w:p w14:paraId="73C16ABF" w14:textId="77777777" w:rsidR="001240C5" w:rsidRPr="006E4BE1" w:rsidRDefault="00F146D8" w:rsidP="00AE50C9">
            <w:pPr>
              <w:ind w:left="794" w:hanging="397"/>
              <w:jc w:val="left"/>
              <w:rPr>
                <w:color w:val="000000"/>
                <w:lang w:val="es-ES_tradnl"/>
              </w:rPr>
            </w:pPr>
            <w:r w:rsidRPr="006E4BE1">
              <w:rPr>
                <w:color w:val="000000"/>
                <w:lang w:val="es-ES_tradnl"/>
              </w:rPr>
              <w:t>iv)</w:t>
            </w:r>
            <w:r w:rsidRPr="006E4BE1">
              <w:rPr>
                <w:color w:val="000000"/>
                <w:lang w:val="es-ES_tradnl"/>
              </w:rPr>
              <w:tab/>
              <w:t>número de elementos obligatorios suministrados;</w:t>
            </w:r>
          </w:p>
          <w:p w14:paraId="68F22715" w14:textId="77777777" w:rsidR="001240C5" w:rsidRPr="006E4BE1" w:rsidRDefault="00F146D8" w:rsidP="00AE50C9">
            <w:pPr>
              <w:ind w:left="794" w:hanging="397"/>
              <w:jc w:val="left"/>
              <w:rPr>
                <w:color w:val="000000"/>
                <w:lang w:val="es-ES_tradnl"/>
              </w:rPr>
            </w:pPr>
            <w:r w:rsidRPr="006E4BE1">
              <w:rPr>
                <w:color w:val="000000"/>
                <w:lang w:val="es-ES_tradnl"/>
              </w:rPr>
              <w:t>v)</w:t>
            </w:r>
            <w:r w:rsidRPr="006E4BE1">
              <w:rPr>
                <w:color w:val="000000"/>
                <w:lang w:val="es-ES_tradnl"/>
              </w:rPr>
              <w:tab/>
              <w:t>Número de elementos no obligatorios suministrados;</w:t>
            </w:r>
          </w:p>
          <w:p w14:paraId="1A45FAA2" w14:textId="77777777" w:rsidR="001240C5" w:rsidRPr="006E4BE1" w:rsidRDefault="00F146D8" w:rsidP="00AE50C9">
            <w:pPr>
              <w:ind w:left="397" w:hanging="397"/>
              <w:jc w:val="left"/>
              <w:rPr>
                <w:color w:val="000000"/>
                <w:lang w:val="es-ES_tradnl"/>
              </w:rPr>
            </w:pPr>
            <w:r w:rsidRPr="006E4BE1">
              <w:rPr>
                <w:color w:val="000000"/>
                <w:lang w:val="es-ES_tradnl"/>
              </w:rPr>
              <w:t>b)</w:t>
            </w:r>
            <w:r w:rsidRPr="006E4BE1">
              <w:rPr>
                <w:color w:val="000000"/>
                <w:lang w:val="es-ES_tradnl"/>
              </w:rPr>
              <w:tab/>
              <w:t>Número de usuarios de PLUTO y frecuencia de uso;</w:t>
            </w:r>
          </w:p>
          <w:p w14:paraId="3AFE62EF" w14:textId="2CD248F7" w:rsidR="008C5BB5" w:rsidRPr="006E4BE1" w:rsidRDefault="00F146D8" w:rsidP="00AE50C9">
            <w:pPr>
              <w:ind w:left="397" w:hanging="397"/>
              <w:jc w:val="left"/>
              <w:rPr>
                <w:color w:val="000000"/>
                <w:lang w:val="es-ES_tradnl"/>
              </w:rPr>
            </w:pPr>
            <w:r w:rsidRPr="006E4BE1">
              <w:rPr>
                <w:color w:val="000000"/>
                <w:lang w:val="es-ES_tradnl"/>
              </w:rPr>
              <w:t>c)</w:t>
            </w:r>
            <w:r w:rsidRPr="006E4BE1">
              <w:rPr>
                <w:color w:val="000000"/>
                <w:lang w:val="es-ES_tradnl"/>
              </w:rPr>
              <w:tab/>
              <w:t>Nuevas iniciativas para facilitar o mejorar la cooperación voluntaria entre los miembros de la Unión.</w:t>
            </w:r>
          </w:p>
        </w:tc>
      </w:tr>
      <w:tr w:rsidR="008C5BB5" w:rsidRPr="001D7D80" w14:paraId="5EED9BB0" w14:textId="77777777" w:rsidTr="00C20F3E">
        <w:trPr>
          <w:cantSplit/>
        </w:trPr>
        <w:tc>
          <w:tcPr>
            <w:tcW w:w="4248" w:type="dxa"/>
            <w:tcBorders>
              <w:bottom w:val="single" w:sz="4" w:space="0" w:color="A6A6A6" w:themeColor="background1" w:themeShade="A6"/>
            </w:tcBorders>
          </w:tcPr>
          <w:p w14:paraId="6F568B45" w14:textId="72165275" w:rsidR="008C5BB5" w:rsidRPr="006E4BE1" w:rsidRDefault="00326791" w:rsidP="00AE50C9">
            <w:pPr>
              <w:ind w:left="397" w:hanging="397"/>
              <w:jc w:val="left"/>
              <w:rPr>
                <w:color w:val="000000"/>
                <w:lang w:val="es-ES_tradnl"/>
              </w:rPr>
            </w:pPr>
            <w:r w:rsidRPr="006E4BE1">
              <w:rPr>
                <w:color w:val="000000"/>
                <w:lang w:val="es-ES_tradnl"/>
              </w:rPr>
              <w:t>8.</w:t>
            </w:r>
            <w:r w:rsidRPr="006E4BE1">
              <w:rPr>
                <w:color w:val="000000"/>
                <w:lang w:val="es-ES_tradnl"/>
              </w:rPr>
              <w:tab/>
              <w:t>Mejor administración de las solicitudes de derechos de obtentor</w:t>
            </w:r>
            <w:r w:rsidR="00E94B57" w:rsidRPr="006E4BE1">
              <w:rPr>
                <w:color w:val="000000"/>
                <w:lang w:val="es-ES_tradnl"/>
              </w:rPr>
              <w:t xml:space="preserve"> </w:t>
            </w:r>
          </w:p>
        </w:tc>
        <w:tc>
          <w:tcPr>
            <w:tcW w:w="5538" w:type="dxa"/>
            <w:tcBorders>
              <w:bottom w:val="single" w:sz="4" w:space="0" w:color="A6A6A6" w:themeColor="background1" w:themeShade="A6"/>
            </w:tcBorders>
          </w:tcPr>
          <w:p w14:paraId="46B15278" w14:textId="77777777" w:rsidR="001240C5" w:rsidRPr="006E4BE1" w:rsidRDefault="00326791" w:rsidP="00AE50C9">
            <w:pPr>
              <w:ind w:left="397" w:hanging="397"/>
              <w:jc w:val="left"/>
              <w:rPr>
                <w:rFonts w:cs="Arial"/>
                <w:color w:val="000000"/>
                <w:lang w:val="es-ES_tradnl"/>
              </w:rPr>
            </w:pPr>
            <w:r w:rsidRPr="006E4BE1">
              <w:rPr>
                <w:rFonts w:cs="Arial"/>
                <w:color w:val="000000"/>
                <w:lang w:val="es-ES_tradnl"/>
              </w:rPr>
              <w:t>a)</w:t>
            </w:r>
            <w:r w:rsidRPr="006E4BE1">
              <w:rPr>
                <w:rFonts w:cs="Arial"/>
                <w:color w:val="000000"/>
                <w:lang w:val="es-ES_tradnl"/>
              </w:rPr>
              <w:tab/>
              <w:t xml:space="preserve">Número de miembros de la Unión que participan en </w:t>
            </w:r>
            <w:r w:rsidR="00FE64A1" w:rsidRPr="006E4BE1">
              <w:rPr>
                <w:rFonts w:cs="Arial"/>
                <w:color w:val="000000"/>
                <w:lang w:val="es-ES_tradnl"/>
              </w:rPr>
              <w:t>UPOV PRISMA</w:t>
            </w:r>
            <w:r w:rsidRPr="006E4BE1">
              <w:rPr>
                <w:rFonts w:cs="Arial"/>
                <w:color w:val="000000"/>
                <w:lang w:val="es-ES_tradnl"/>
              </w:rPr>
              <w:t>;</w:t>
            </w:r>
          </w:p>
          <w:p w14:paraId="2341C506" w14:textId="77777777" w:rsidR="001240C5" w:rsidRPr="006E4BE1" w:rsidRDefault="00326791" w:rsidP="00AE50C9">
            <w:pPr>
              <w:ind w:left="397" w:hanging="397"/>
              <w:jc w:val="left"/>
              <w:rPr>
                <w:rFonts w:cs="Arial"/>
                <w:color w:val="000000"/>
                <w:lang w:val="es-ES_tradnl"/>
              </w:rPr>
            </w:pPr>
            <w:r w:rsidRPr="006E4BE1">
              <w:rPr>
                <w:rFonts w:cs="Arial"/>
                <w:color w:val="000000"/>
                <w:lang w:val="es-ES_tradnl"/>
              </w:rPr>
              <w:t>b)</w:t>
            </w:r>
            <w:r w:rsidRPr="006E4BE1">
              <w:rPr>
                <w:rFonts w:cs="Arial"/>
                <w:color w:val="000000"/>
                <w:lang w:val="es-ES_tradnl"/>
              </w:rPr>
              <w:tab/>
              <w:t>Número de cultivos o especies que abarca </w:t>
            </w:r>
            <w:r w:rsidR="00FE64A1" w:rsidRPr="006E4BE1">
              <w:rPr>
                <w:rFonts w:cs="Arial"/>
                <w:color w:val="000000"/>
                <w:lang w:val="es-ES_tradnl"/>
              </w:rPr>
              <w:t>UPOV PRISMA</w:t>
            </w:r>
            <w:r w:rsidRPr="006E4BE1">
              <w:rPr>
                <w:rFonts w:cs="Arial"/>
                <w:color w:val="000000"/>
                <w:lang w:val="es-ES_tradnl"/>
              </w:rPr>
              <w:t>;</w:t>
            </w:r>
          </w:p>
          <w:p w14:paraId="2C349CF4" w14:textId="77777777" w:rsidR="001240C5" w:rsidRPr="006E4BE1" w:rsidRDefault="00326791" w:rsidP="00AE50C9">
            <w:pPr>
              <w:ind w:left="397" w:hanging="397"/>
              <w:jc w:val="left"/>
              <w:rPr>
                <w:rFonts w:cs="Arial"/>
                <w:color w:val="000000"/>
                <w:lang w:val="es-ES_tradnl"/>
              </w:rPr>
            </w:pPr>
            <w:r w:rsidRPr="006E4BE1">
              <w:rPr>
                <w:rFonts w:cs="Arial"/>
                <w:color w:val="000000"/>
                <w:lang w:val="es-ES_tradnl"/>
              </w:rPr>
              <w:t>c)</w:t>
            </w:r>
            <w:r w:rsidRPr="006E4BE1">
              <w:rPr>
                <w:rFonts w:cs="Arial"/>
                <w:color w:val="000000"/>
                <w:lang w:val="es-ES_tradnl"/>
              </w:rPr>
              <w:tab/>
              <w:t>Número de solicitudes cursadas por medio de </w:t>
            </w:r>
            <w:r w:rsidR="00FE64A1" w:rsidRPr="006E4BE1">
              <w:rPr>
                <w:rFonts w:cs="Arial"/>
                <w:color w:val="000000"/>
                <w:lang w:val="es-ES_tradnl"/>
              </w:rPr>
              <w:t>UPOV PRISMA</w:t>
            </w:r>
            <w:r w:rsidRPr="006E4BE1">
              <w:rPr>
                <w:rFonts w:cs="Arial"/>
                <w:color w:val="000000"/>
                <w:lang w:val="es-ES_tradnl"/>
              </w:rPr>
              <w:t>;</w:t>
            </w:r>
          </w:p>
          <w:p w14:paraId="418E66C3" w14:textId="77777777" w:rsidR="001240C5" w:rsidRPr="006E4BE1" w:rsidRDefault="00326791" w:rsidP="00AE50C9">
            <w:pPr>
              <w:ind w:left="397" w:hanging="397"/>
              <w:jc w:val="left"/>
              <w:rPr>
                <w:rFonts w:cs="Arial"/>
                <w:color w:val="000000"/>
                <w:lang w:val="es-ES_tradnl"/>
              </w:rPr>
            </w:pPr>
            <w:r w:rsidRPr="006E4BE1">
              <w:rPr>
                <w:rFonts w:cs="Arial"/>
                <w:color w:val="000000"/>
                <w:lang w:val="es-ES_tradnl"/>
              </w:rPr>
              <w:t>d)</w:t>
            </w:r>
            <w:r w:rsidRPr="006E4BE1">
              <w:rPr>
                <w:rFonts w:cs="Arial"/>
                <w:color w:val="000000"/>
                <w:lang w:val="es-ES_tradnl"/>
              </w:rPr>
              <w:tab/>
              <w:t xml:space="preserve">Número de usuarios de </w:t>
            </w:r>
            <w:r w:rsidR="00FE64A1" w:rsidRPr="006E4BE1">
              <w:rPr>
                <w:rFonts w:cs="Arial"/>
                <w:color w:val="000000"/>
                <w:lang w:val="es-ES_tradnl"/>
              </w:rPr>
              <w:t>UPOV PRISMA</w:t>
            </w:r>
            <w:r w:rsidRPr="006E4BE1">
              <w:rPr>
                <w:rFonts w:cs="Arial"/>
                <w:color w:val="000000"/>
                <w:lang w:val="es-ES_tradnl"/>
              </w:rPr>
              <w:t xml:space="preserve"> registrados;</w:t>
            </w:r>
          </w:p>
          <w:p w14:paraId="6C0F46B1" w14:textId="77777777" w:rsidR="001240C5" w:rsidRPr="006E4BE1" w:rsidRDefault="00326791" w:rsidP="00AE50C9">
            <w:pPr>
              <w:ind w:left="397" w:hanging="397"/>
              <w:jc w:val="left"/>
              <w:rPr>
                <w:rFonts w:cs="Arial"/>
                <w:color w:val="000000"/>
                <w:lang w:val="es-ES_tradnl"/>
              </w:rPr>
            </w:pPr>
            <w:r w:rsidRPr="006E4BE1">
              <w:rPr>
                <w:rFonts w:cs="Arial"/>
                <w:color w:val="000000"/>
                <w:lang w:val="es-ES_tradnl"/>
              </w:rPr>
              <w:t>e)</w:t>
            </w:r>
            <w:r w:rsidRPr="006E4BE1">
              <w:rPr>
                <w:rFonts w:cs="Arial"/>
                <w:color w:val="000000"/>
                <w:lang w:val="es-ES_tradnl"/>
              </w:rPr>
              <w:tab/>
              <w:t xml:space="preserve">Número de miembros de la Unión que reciben solicitudes por medio de </w:t>
            </w:r>
            <w:r w:rsidR="00FE64A1" w:rsidRPr="006E4BE1">
              <w:rPr>
                <w:rFonts w:cs="Arial"/>
                <w:color w:val="000000"/>
                <w:lang w:val="es-ES_tradnl"/>
              </w:rPr>
              <w:t>UPOV PRISMA</w:t>
            </w:r>
            <w:r w:rsidRPr="006E4BE1">
              <w:rPr>
                <w:rFonts w:cs="Arial"/>
                <w:color w:val="000000"/>
                <w:lang w:val="es-ES_tradnl"/>
              </w:rPr>
              <w:t>;</w:t>
            </w:r>
          </w:p>
          <w:p w14:paraId="1EC3F729" w14:textId="0F091FA2" w:rsidR="00E94B57" w:rsidRPr="006E4BE1" w:rsidRDefault="00326791" w:rsidP="00AE50C9">
            <w:pPr>
              <w:ind w:left="397" w:hanging="397"/>
              <w:jc w:val="left"/>
              <w:rPr>
                <w:color w:val="000000"/>
                <w:lang w:val="es-ES_tradnl"/>
              </w:rPr>
            </w:pPr>
            <w:r w:rsidRPr="006E4BE1">
              <w:rPr>
                <w:color w:val="000000"/>
                <w:lang w:val="es-ES_tradnl"/>
              </w:rPr>
              <w:t>f)</w:t>
            </w:r>
            <w:r w:rsidRPr="006E4BE1">
              <w:rPr>
                <w:color w:val="000000"/>
                <w:lang w:val="es-ES_tradnl"/>
              </w:rPr>
              <w:tab/>
              <w:t>Uso del módulo de administración electrónica de los derechos de obtentor (e-PVP) por los miembros de la Unión para gestionar y publicar las solicitudes de protección de las obtenciones vegetales.</w:t>
            </w:r>
          </w:p>
        </w:tc>
      </w:tr>
    </w:tbl>
    <w:p w14:paraId="2C206C3C" w14:textId="77777777" w:rsidR="001240C5" w:rsidRPr="006E4BE1" w:rsidRDefault="008C5BB5" w:rsidP="00AE50C9">
      <w:pPr>
        <w:jc w:val="left"/>
        <w:rPr>
          <w:b/>
          <w:lang w:val="es-ES_tradnl"/>
        </w:rPr>
      </w:pPr>
      <w:r w:rsidRPr="006E4BE1">
        <w:rPr>
          <w:b/>
          <w:lang w:val="es-ES_tradnl"/>
        </w:rPr>
        <w:br w:type="page"/>
      </w:r>
    </w:p>
    <w:p w14:paraId="59C1BF4A" w14:textId="77777777" w:rsidR="001240C5" w:rsidRPr="006E4BE1" w:rsidRDefault="00C959CA" w:rsidP="00C959CA">
      <w:pPr>
        <w:pStyle w:val="Heading2"/>
        <w:keepNext w:val="0"/>
        <w:ind w:left="2552" w:hanging="2552"/>
        <w:rPr>
          <w:lang w:val="es-ES_tradnl"/>
        </w:rPr>
      </w:pPr>
      <w:bookmarkStart w:id="441" w:name="_Toc78476721"/>
      <w:r w:rsidRPr="006E4BE1">
        <w:rPr>
          <w:lang w:val="es-ES_tradnl"/>
        </w:rPr>
        <w:lastRenderedPageBreak/>
        <w:t>Subprograma UV.3:</w:t>
      </w:r>
      <w:r w:rsidRPr="006E4BE1">
        <w:rPr>
          <w:lang w:val="es-ES_tradnl"/>
        </w:rPr>
        <w:tab/>
      </w:r>
      <w:r w:rsidR="00526296" w:rsidRPr="006E4BE1">
        <w:rPr>
          <w:lang w:val="es-ES_tradnl"/>
        </w:rPr>
        <w:t>Sensibilización y prestación de asistencia para la introducción y aplicación del sistema de la UPOV</w:t>
      </w:r>
      <w:bookmarkEnd w:id="441"/>
    </w:p>
    <w:p w14:paraId="78D4675A" w14:textId="77777777" w:rsidR="001240C5" w:rsidRPr="006E4BE1" w:rsidRDefault="001240C5" w:rsidP="00AE50C9">
      <w:pPr>
        <w:rPr>
          <w:lang w:val="es-ES_tradnl"/>
        </w:rPr>
      </w:pPr>
    </w:p>
    <w:p w14:paraId="078DD000" w14:textId="77777777" w:rsidR="001240C5" w:rsidRPr="006E4BE1" w:rsidRDefault="001240C5" w:rsidP="00AE50C9">
      <w:pPr>
        <w:rPr>
          <w:lang w:val="es-ES_tradnl"/>
        </w:rPr>
      </w:pPr>
    </w:p>
    <w:p w14:paraId="21507B57" w14:textId="77777777" w:rsidR="001240C5" w:rsidRPr="006E4BE1" w:rsidRDefault="001418C5" w:rsidP="00B60E92">
      <w:pPr>
        <w:pStyle w:val="Heading3"/>
      </w:pPr>
      <w:bookmarkStart w:id="442" w:name="_Toc78476722"/>
      <w:r w:rsidRPr="006E4BE1">
        <w:t>Objetivos</w:t>
      </w:r>
      <w:bookmarkEnd w:id="442"/>
    </w:p>
    <w:p w14:paraId="27988269" w14:textId="77777777" w:rsidR="001240C5" w:rsidRPr="006E4BE1" w:rsidRDefault="001240C5" w:rsidP="005C2AAD">
      <w:pPr>
        <w:rPr>
          <w:lang w:val="es-ES_tradnl"/>
        </w:rPr>
      </w:pPr>
    </w:p>
    <w:p w14:paraId="5EEF2DC7" w14:textId="77777777" w:rsidR="001240C5" w:rsidRPr="006E4BE1" w:rsidRDefault="00526296" w:rsidP="00AE50C9">
      <w:pPr>
        <w:pStyle w:val="ListParagraph"/>
        <w:numPr>
          <w:ilvl w:val="4"/>
          <w:numId w:val="35"/>
        </w:numPr>
        <w:spacing w:after="60"/>
        <w:ind w:leftChars="425" w:left="1417" w:hanging="567"/>
        <w:contextualSpacing w:val="0"/>
        <w:rPr>
          <w:lang w:val="es-ES_tradnl"/>
        </w:rPr>
      </w:pPr>
      <w:r w:rsidRPr="006E4BE1">
        <w:rPr>
          <w:lang w:val="es-ES_tradnl"/>
        </w:rPr>
        <w:t>Sensibilizar acerca de la protección de las variedades vegetales con arreglo al Convenio de la UPOV</w:t>
      </w:r>
    </w:p>
    <w:p w14:paraId="039BB2CF" w14:textId="77777777" w:rsidR="001240C5" w:rsidRPr="006E4BE1" w:rsidRDefault="001418C5" w:rsidP="00AE50C9">
      <w:pPr>
        <w:pStyle w:val="ListParagraph"/>
        <w:numPr>
          <w:ilvl w:val="4"/>
          <w:numId w:val="35"/>
        </w:numPr>
        <w:spacing w:before="60" w:after="60"/>
        <w:ind w:leftChars="425" w:left="1417" w:hanging="567"/>
        <w:contextualSpacing w:val="0"/>
        <w:rPr>
          <w:lang w:val="es-ES_tradnl"/>
        </w:rPr>
      </w:pPr>
      <w:r w:rsidRPr="006E4BE1">
        <w:rPr>
          <w:lang w:val="es-ES_tradnl"/>
        </w:rPr>
        <w:t>Prestar asistencia a los Estados y las organizaciones, en particular a los gobiernos de países en desarrollo y de países en transición a una economía de mercado, en la elaboración de legislación conforme al Acta de 1991 del Convenio de la UPOV</w:t>
      </w:r>
    </w:p>
    <w:p w14:paraId="0A975454" w14:textId="77777777" w:rsidR="001240C5" w:rsidRPr="006E4BE1" w:rsidRDefault="00526296" w:rsidP="00AE50C9">
      <w:pPr>
        <w:pStyle w:val="ListParagraph"/>
        <w:numPr>
          <w:ilvl w:val="4"/>
          <w:numId w:val="35"/>
        </w:numPr>
        <w:spacing w:after="60"/>
        <w:ind w:leftChars="425" w:left="1417" w:hanging="567"/>
        <w:contextualSpacing w:val="0"/>
        <w:rPr>
          <w:lang w:val="es-ES_tradnl"/>
        </w:rPr>
      </w:pPr>
      <w:r w:rsidRPr="006E4BE1">
        <w:rPr>
          <w:lang w:val="es-ES_tradnl"/>
        </w:rPr>
        <w:t>Prestar asistencia a los Estados y las organizaciones para la adhesión al Acta de 1991 del Convenio de la UPOV</w:t>
      </w:r>
    </w:p>
    <w:p w14:paraId="6A88F562" w14:textId="77777777" w:rsidR="001240C5" w:rsidRPr="006E4BE1" w:rsidRDefault="00526296" w:rsidP="00AE50C9">
      <w:pPr>
        <w:pStyle w:val="ListParagraph"/>
        <w:numPr>
          <w:ilvl w:val="4"/>
          <w:numId w:val="35"/>
        </w:numPr>
        <w:ind w:leftChars="425" w:left="1417" w:hanging="567"/>
        <w:contextualSpacing w:val="0"/>
        <w:rPr>
          <w:lang w:val="es-ES_tradnl"/>
        </w:rPr>
      </w:pPr>
      <w:r w:rsidRPr="006E4BE1">
        <w:rPr>
          <w:lang w:val="es-ES_tradnl"/>
        </w:rPr>
        <w:t>Prestar asistencia a los Estados y las organizaciones para la aplicación de un sistema eficaz de protección de las variedades vegetales de conformidad con el Convenio de la UPOV</w:t>
      </w:r>
    </w:p>
    <w:p w14:paraId="233A989B" w14:textId="77777777" w:rsidR="001240C5" w:rsidRPr="006E4BE1" w:rsidRDefault="001240C5" w:rsidP="00AE50C9">
      <w:pPr>
        <w:jc w:val="left"/>
        <w:rPr>
          <w:lang w:val="es-ES_tradnl"/>
        </w:rPr>
      </w:pPr>
    </w:p>
    <w:p w14:paraId="19FD2A48" w14:textId="77777777" w:rsidR="001240C5" w:rsidRPr="006E4BE1" w:rsidRDefault="001240C5" w:rsidP="00AE50C9">
      <w:pPr>
        <w:jc w:val="left"/>
        <w:rPr>
          <w:lang w:val="es-ES_tradnl"/>
        </w:rPr>
      </w:pPr>
    </w:p>
    <w:p w14:paraId="18F46E22" w14:textId="77777777" w:rsidR="001240C5" w:rsidRPr="006E4BE1" w:rsidRDefault="00526296" w:rsidP="00B60E92">
      <w:pPr>
        <w:pStyle w:val="Heading3"/>
      </w:pPr>
      <w:bookmarkStart w:id="443" w:name="_Toc78476723"/>
      <w:r w:rsidRPr="006E4BE1">
        <w:t>Descripción</w:t>
      </w:r>
      <w:bookmarkEnd w:id="443"/>
    </w:p>
    <w:p w14:paraId="7431CCB0" w14:textId="77777777" w:rsidR="001240C5" w:rsidRPr="006E4BE1" w:rsidRDefault="001240C5" w:rsidP="005C2AAD">
      <w:pPr>
        <w:tabs>
          <w:tab w:val="left" w:pos="851"/>
        </w:tabs>
        <w:rPr>
          <w:color w:val="000000" w:themeColor="text1"/>
          <w:lang w:val="es-ES_tradnl"/>
        </w:rPr>
      </w:pPr>
    </w:p>
    <w:p w14:paraId="040D3A8D" w14:textId="77777777" w:rsidR="001240C5" w:rsidRPr="006E4BE1" w:rsidRDefault="00526296" w:rsidP="005C2AAD">
      <w:pPr>
        <w:pStyle w:val="Heading5"/>
        <w:rPr>
          <w:lang w:val="es-ES_tradnl"/>
        </w:rPr>
      </w:pPr>
      <w:r w:rsidRPr="006E4BE1">
        <w:rPr>
          <w:lang w:val="es-ES_tradnl"/>
        </w:rPr>
        <w:t>Introducción</w:t>
      </w:r>
    </w:p>
    <w:p w14:paraId="0A8BF204" w14:textId="77777777" w:rsidR="001240C5" w:rsidRPr="006E4BE1" w:rsidRDefault="001240C5" w:rsidP="00AE50C9">
      <w:pPr>
        <w:tabs>
          <w:tab w:val="left" w:pos="851"/>
        </w:tabs>
        <w:rPr>
          <w:color w:val="000000" w:themeColor="text1"/>
          <w:lang w:val="es-ES_tradnl"/>
        </w:rPr>
      </w:pPr>
    </w:p>
    <w:p w14:paraId="11144BE9" w14:textId="77777777" w:rsidR="001240C5" w:rsidRPr="006E4BE1" w:rsidRDefault="00526296" w:rsidP="00AE50C9">
      <w:pPr>
        <w:tabs>
          <w:tab w:val="left" w:pos="851"/>
        </w:tabs>
        <w:rPr>
          <w:color w:val="000000" w:themeColor="text1"/>
          <w:lang w:val="es-ES_tradnl"/>
        </w:rPr>
      </w:pPr>
      <w:r w:rsidRPr="006E4BE1">
        <w:rPr>
          <w:lang w:val="es-ES_tradnl"/>
        </w:rPr>
        <w:t>El presente subprograma abarca las actividades encaminadas a sensibilizar a los Estados y las organizaciones intergubernamentales que no son miembros de la Unión sobre las ventajas que entraña la protección de las variedades vegetales con arreglo al Convenio de la UPOV y la condición de miembro de la UPOV</w:t>
      </w:r>
      <w:r w:rsidR="00FE64A1" w:rsidRPr="006E4BE1">
        <w:rPr>
          <w:lang w:val="es-ES_tradnl"/>
        </w:rPr>
        <w:t xml:space="preserve">.  </w:t>
      </w:r>
      <w:r w:rsidR="00234351" w:rsidRPr="006E4BE1">
        <w:rPr>
          <w:lang w:val="es-ES_tradnl"/>
        </w:rPr>
        <w:t>También abarca la asistencia brindada en respuesta a las peticiones de los actuales y posibles miembros de la Unión</w:t>
      </w:r>
      <w:r w:rsidR="00FE64A1" w:rsidRPr="006E4BE1">
        <w:rPr>
          <w:lang w:val="es-ES_tradnl"/>
        </w:rPr>
        <w:t xml:space="preserve">.  </w:t>
      </w:r>
      <w:r w:rsidR="00234351" w:rsidRPr="006E4BE1">
        <w:rPr>
          <w:color w:val="000000" w:themeColor="text1"/>
          <w:lang w:val="es-ES_tradnl"/>
        </w:rPr>
        <w:t>Los servicios y sistemas desarrollados por la UPOV para todos los miembros de la Unión están comprendidos en el subprograma UV.2</w:t>
      </w:r>
      <w:r w:rsidR="00D3016C" w:rsidRPr="006E4BE1">
        <w:rPr>
          <w:color w:val="000000" w:themeColor="text1"/>
          <w:lang w:val="es-ES_tradnl"/>
        </w:rPr>
        <w:t xml:space="preserve"> “</w:t>
      </w:r>
      <w:r w:rsidR="00234351" w:rsidRPr="006E4BE1">
        <w:rPr>
          <w:color w:val="000000" w:themeColor="text1"/>
          <w:lang w:val="es-ES_tradnl"/>
        </w:rPr>
        <w:t>Servicios prestados a la Unión para mejorar la eficacia del sistema de la UPOV</w:t>
      </w:r>
      <w:r w:rsidR="00C178AA" w:rsidRPr="006E4BE1">
        <w:rPr>
          <w:color w:val="000000" w:themeColor="text1"/>
          <w:lang w:val="es-ES_tradnl"/>
        </w:rPr>
        <w:t>”</w:t>
      </w:r>
      <w:r w:rsidR="00FE64A1" w:rsidRPr="006E4BE1">
        <w:rPr>
          <w:color w:val="000000" w:themeColor="text1"/>
          <w:lang w:val="es-ES_tradnl"/>
        </w:rPr>
        <w:t xml:space="preserve">.  </w:t>
      </w:r>
      <w:r w:rsidR="00234351" w:rsidRPr="006E4BE1">
        <w:rPr>
          <w:color w:val="000000" w:themeColor="text1"/>
          <w:lang w:val="es-ES_tradnl"/>
        </w:rPr>
        <w:t xml:space="preserve">Sin embargo, este subprograma abarca la aplicación del sistema de la UPOV de protección de las obtenciones vegetales por determinados miembros de la Unión, cuando así se solicite, por ejemplo, cuando se requiera asistencia para la aplicación de </w:t>
      </w:r>
      <w:r w:rsidR="00FE64A1" w:rsidRPr="006E4BE1">
        <w:rPr>
          <w:color w:val="000000" w:themeColor="text1"/>
          <w:lang w:val="es-ES_tradnl"/>
        </w:rPr>
        <w:t>UPOV PRISMA</w:t>
      </w:r>
      <w:r w:rsidR="00234351" w:rsidRPr="006E4BE1">
        <w:rPr>
          <w:color w:val="000000" w:themeColor="text1"/>
          <w:lang w:val="es-ES_tradnl"/>
        </w:rPr>
        <w:t xml:space="preserve"> o el módulo de administración electrónica de los derechos de obtentor (e-PVP) en determinadas oficinas de protección de las obtenciones vegetales.</w:t>
      </w:r>
    </w:p>
    <w:p w14:paraId="52B0E3B7" w14:textId="77777777" w:rsidR="001240C5" w:rsidRPr="006E4BE1" w:rsidRDefault="001240C5" w:rsidP="00AE50C9">
      <w:pPr>
        <w:tabs>
          <w:tab w:val="left" w:pos="851"/>
        </w:tabs>
        <w:rPr>
          <w:color w:val="000000" w:themeColor="text1"/>
          <w:lang w:val="es-ES_tradnl"/>
        </w:rPr>
      </w:pPr>
    </w:p>
    <w:p w14:paraId="53477397" w14:textId="77777777" w:rsidR="001240C5" w:rsidRPr="006E4BE1" w:rsidRDefault="002F1680" w:rsidP="00AE50C9">
      <w:pPr>
        <w:tabs>
          <w:tab w:val="left" w:pos="851"/>
        </w:tabs>
        <w:rPr>
          <w:lang w:val="es-ES_tradnl"/>
        </w:rPr>
      </w:pPr>
      <w:r w:rsidRPr="006E4BE1">
        <w:rPr>
          <w:lang w:val="es-ES_tradnl"/>
        </w:rPr>
        <w:t>A fin de aumentar la incidencia de los recursos disponibles en el bienio 2022-2023, los recursos se canalizarán cada vez más hacia actividades virtuales y materiales reutilizables, como cursos de enseñanza a distancia, demostraciones en vídeo, seminarios web y guías prácticas virtuales.</w:t>
      </w:r>
    </w:p>
    <w:p w14:paraId="772A570C" w14:textId="77777777" w:rsidR="001240C5" w:rsidRPr="006E4BE1" w:rsidRDefault="001240C5" w:rsidP="00AE50C9">
      <w:pPr>
        <w:rPr>
          <w:color w:val="000000" w:themeColor="text1"/>
          <w:lang w:val="es-ES_tradnl"/>
        </w:rPr>
      </w:pPr>
    </w:p>
    <w:p w14:paraId="5AB46E8B" w14:textId="77777777" w:rsidR="001240C5" w:rsidRPr="006E4BE1" w:rsidRDefault="002F1680" w:rsidP="005C2AAD">
      <w:pPr>
        <w:pStyle w:val="Heading5"/>
        <w:rPr>
          <w:lang w:val="es-ES_tradnl"/>
        </w:rPr>
      </w:pPr>
      <w:r w:rsidRPr="006E4BE1">
        <w:rPr>
          <w:lang w:val="es-ES_tradnl"/>
        </w:rPr>
        <w:t>Sensibilización</w:t>
      </w:r>
    </w:p>
    <w:p w14:paraId="5701BDBC" w14:textId="77777777" w:rsidR="001240C5" w:rsidRPr="006E4BE1" w:rsidRDefault="001240C5" w:rsidP="00AE50C9">
      <w:pPr>
        <w:tabs>
          <w:tab w:val="left" w:pos="851"/>
        </w:tabs>
        <w:rPr>
          <w:color w:val="000000" w:themeColor="text1"/>
          <w:lang w:val="es-ES_tradnl"/>
        </w:rPr>
      </w:pPr>
    </w:p>
    <w:p w14:paraId="2DDA4B55" w14:textId="77777777" w:rsidR="001240C5" w:rsidRPr="006E4BE1" w:rsidRDefault="002F1680" w:rsidP="00AE50C9">
      <w:pPr>
        <w:tabs>
          <w:tab w:val="left" w:pos="851"/>
        </w:tabs>
        <w:rPr>
          <w:color w:val="000000" w:themeColor="text1"/>
          <w:lang w:val="es-ES_tradnl"/>
        </w:rPr>
      </w:pPr>
      <w:r w:rsidRPr="006E4BE1">
        <w:rPr>
          <w:color w:val="000000" w:themeColor="text1"/>
          <w:lang w:val="es-ES_tradnl"/>
        </w:rPr>
        <w:t>Las actividades de la UPOV destinadas sensibilizar acerca de la función del sistema de la UPOV se basan en gran medida en la participación de la Oficina de la Unión en reuniones, seminarios y otras actividades, especialmente en el territorio de que se trate, reconociendo al mismo tiempo el valor de las visitas de estudio como medio especialmente eficaz de demostrar las ventajas del sistema de la UPOV</w:t>
      </w:r>
      <w:r w:rsidR="00FE64A1" w:rsidRPr="006E4BE1">
        <w:rPr>
          <w:color w:val="000000" w:themeColor="text1"/>
          <w:lang w:val="es-ES_tradnl"/>
        </w:rPr>
        <w:t xml:space="preserve">.  </w:t>
      </w:r>
      <w:r w:rsidRPr="006E4BE1">
        <w:rPr>
          <w:color w:val="000000" w:themeColor="text1"/>
          <w:lang w:val="es-ES_tradnl"/>
        </w:rPr>
        <w:t>Además, la estrategia de comunicación de la UPOV refleja la importancia de los estudios y los vídeos sobre casos prácticos como medio para transmitir de manera eficaz la información sobre las ventajas de la UPOV</w:t>
      </w:r>
      <w:r w:rsidR="00FE64A1" w:rsidRPr="006E4BE1">
        <w:rPr>
          <w:color w:val="000000" w:themeColor="text1"/>
          <w:lang w:val="es-ES_tradnl"/>
        </w:rPr>
        <w:t xml:space="preserve">.  </w:t>
      </w:r>
      <w:r w:rsidR="00C944FF" w:rsidRPr="006E4BE1">
        <w:rPr>
          <w:color w:val="000000" w:themeColor="text1"/>
          <w:lang w:val="es-ES_tradnl"/>
        </w:rPr>
        <w:t xml:space="preserve">La UPOV dispone de un </w:t>
      </w:r>
      <w:r w:rsidR="00926600" w:rsidRPr="006E4BE1">
        <w:rPr>
          <w:color w:val="000000" w:themeColor="text1"/>
          <w:lang w:val="es-ES_tradnl"/>
        </w:rPr>
        <w:t>volumen</w:t>
      </w:r>
      <w:r w:rsidR="00C944FF" w:rsidRPr="006E4BE1">
        <w:rPr>
          <w:color w:val="000000" w:themeColor="text1"/>
          <w:lang w:val="es-ES_tradnl"/>
        </w:rPr>
        <w:t xml:space="preserve"> considerable de material informativo de ese tipo, en particular un creciente número de vídeos facilitados por los miembros de la Unión</w:t>
      </w:r>
      <w:r w:rsidR="00FE64A1" w:rsidRPr="006E4BE1">
        <w:rPr>
          <w:color w:val="000000" w:themeColor="text1"/>
          <w:lang w:val="es-ES_tradnl"/>
        </w:rPr>
        <w:t xml:space="preserve">.  </w:t>
      </w:r>
      <w:r w:rsidR="004D1E36" w:rsidRPr="006E4BE1">
        <w:rPr>
          <w:color w:val="000000" w:themeColor="text1"/>
          <w:lang w:val="es-ES_tradnl"/>
        </w:rPr>
        <w:t>De conformidad con la estrategia de comunicación, se hará un mayor uso de las redes sociales para que esta información llegue a un público mucho más amplio.</w:t>
      </w:r>
    </w:p>
    <w:p w14:paraId="2A88D605" w14:textId="77777777" w:rsidR="001240C5" w:rsidRPr="006E4BE1" w:rsidRDefault="001240C5" w:rsidP="00AE50C9">
      <w:pPr>
        <w:rPr>
          <w:lang w:val="es-ES_tradnl"/>
        </w:rPr>
      </w:pPr>
    </w:p>
    <w:p w14:paraId="066ED9E9" w14:textId="77777777" w:rsidR="001240C5" w:rsidRPr="006E4BE1" w:rsidRDefault="004D1E36" w:rsidP="002F4DAD">
      <w:pPr>
        <w:tabs>
          <w:tab w:val="left" w:pos="851"/>
        </w:tabs>
        <w:rPr>
          <w:lang w:val="es-ES_tradnl"/>
        </w:rPr>
      </w:pPr>
      <w:r w:rsidRPr="006E4BE1">
        <w:rPr>
          <w:lang w:val="es-ES_tradnl"/>
        </w:rPr>
        <w:t>La introducción y el desarrollo de módulos sobre la protección de las obtenciones vegetales en los programas de grado y posgrado son un medio importante para sensibilizar y dar a conocer el sistema de la UPOV</w:t>
      </w:r>
      <w:r w:rsidR="00FE64A1" w:rsidRPr="006E4BE1">
        <w:rPr>
          <w:lang w:val="es-ES_tradnl"/>
        </w:rPr>
        <w:t xml:space="preserve">.  </w:t>
      </w:r>
      <w:r w:rsidRPr="006E4BE1">
        <w:rPr>
          <w:lang w:val="es-ES_tradnl"/>
        </w:rPr>
        <w:t>La Oficina de la Unión estudiará las posibilidades de aumentar el número de instituciones académicas y de formación que incorporan información sobre el sistema de la UPOV en los cursos pertinentes, así como la manera de mejorar su eficacia, por ejemplo, con la participación de los estudiantes de los cursos de enseñanza a distancia de la UPOV.</w:t>
      </w:r>
    </w:p>
    <w:p w14:paraId="65AA6901" w14:textId="77777777" w:rsidR="001240C5" w:rsidRPr="006E4BE1" w:rsidRDefault="001240C5" w:rsidP="002F4DAD">
      <w:pPr>
        <w:tabs>
          <w:tab w:val="left" w:pos="851"/>
        </w:tabs>
        <w:rPr>
          <w:szCs w:val="22"/>
          <w:lang w:val="es-ES_tradnl"/>
        </w:rPr>
      </w:pPr>
    </w:p>
    <w:p w14:paraId="57A5FBF9" w14:textId="77777777" w:rsidR="001240C5" w:rsidRPr="006E4BE1" w:rsidRDefault="004D1E36" w:rsidP="002F4DAD">
      <w:pPr>
        <w:pStyle w:val="Heading5"/>
        <w:rPr>
          <w:lang w:val="es-ES_tradnl"/>
        </w:rPr>
      </w:pPr>
      <w:r w:rsidRPr="006E4BE1">
        <w:rPr>
          <w:lang w:val="es-ES_tradnl"/>
        </w:rPr>
        <w:t>Asistencia</w:t>
      </w:r>
    </w:p>
    <w:p w14:paraId="15C067D6" w14:textId="77777777" w:rsidR="001240C5" w:rsidRPr="006E4BE1" w:rsidRDefault="001240C5" w:rsidP="002F4DAD">
      <w:pPr>
        <w:keepNext/>
        <w:rPr>
          <w:lang w:val="es-ES_tradnl"/>
        </w:rPr>
      </w:pPr>
    </w:p>
    <w:p w14:paraId="18D80456" w14:textId="77777777" w:rsidR="001240C5" w:rsidRPr="006E4BE1" w:rsidRDefault="004D1E36" w:rsidP="002F4DAD">
      <w:pPr>
        <w:keepNext/>
        <w:keepLines/>
        <w:rPr>
          <w:i/>
          <w:color w:val="000000" w:themeColor="text1"/>
          <w:lang w:val="es-ES_tradnl"/>
        </w:rPr>
      </w:pPr>
      <w:r w:rsidRPr="006E4BE1">
        <w:rPr>
          <w:i/>
          <w:color w:val="000000" w:themeColor="text1"/>
          <w:lang w:val="es-ES_tradnl"/>
        </w:rPr>
        <w:t>Prioridad</w:t>
      </w:r>
    </w:p>
    <w:p w14:paraId="322B216C" w14:textId="77777777" w:rsidR="001240C5" w:rsidRPr="006E4BE1" w:rsidRDefault="001240C5" w:rsidP="002F4DAD">
      <w:pPr>
        <w:keepNext/>
        <w:rPr>
          <w:lang w:val="es-ES_tradnl"/>
        </w:rPr>
      </w:pPr>
    </w:p>
    <w:p w14:paraId="1D292437" w14:textId="77777777" w:rsidR="001240C5" w:rsidRPr="006E4BE1" w:rsidRDefault="002D34D1" w:rsidP="00AE50C9">
      <w:pPr>
        <w:tabs>
          <w:tab w:val="left" w:pos="851"/>
        </w:tabs>
        <w:rPr>
          <w:lang w:val="es-ES_tradnl"/>
        </w:rPr>
      </w:pPr>
      <w:r w:rsidRPr="006E4BE1">
        <w:rPr>
          <w:lang w:val="es-ES_tradnl"/>
        </w:rPr>
        <w:t xml:space="preserve">A fin de satisfacer la demanda de asistencia para introducir y aplicar el sistema de la UPOV con los recursos disponibles, se recurre a los cursos de enseñanza a distancia, el establecimiento de prioridades en la Oficina </w:t>
      </w:r>
      <w:r w:rsidRPr="006E4BE1">
        <w:rPr>
          <w:lang w:val="es-ES_tradnl"/>
        </w:rPr>
        <w:lastRenderedPageBreak/>
        <w:t>de la Unión para la prestación de asistencia, la ayuda facilitada por los miembros de la Unión y la colaboración con otros proveedores de asistencia</w:t>
      </w:r>
      <w:r w:rsidR="00FE64A1" w:rsidRPr="006E4BE1">
        <w:rPr>
          <w:lang w:val="es-ES_tradnl"/>
        </w:rPr>
        <w:t xml:space="preserve">.  </w:t>
      </w:r>
      <w:r w:rsidRPr="006E4BE1">
        <w:rPr>
          <w:lang w:val="es-ES_tradnl"/>
        </w:rPr>
        <w:t>El presente subprograma cuenta con el respaldo del presupuesto ordinario, aunque los fondos extrapresupuestarios y la ayuda en especie constituyen una proporción importante de los recursos que se utilizan para la asistencia</w:t>
      </w:r>
      <w:r w:rsidR="00FE64A1" w:rsidRPr="006E4BE1">
        <w:rPr>
          <w:lang w:val="es-ES_tradnl"/>
        </w:rPr>
        <w:t xml:space="preserve">.  </w:t>
      </w:r>
      <w:r w:rsidR="00D86866" w:rsidRPr="006E4BE1">
        <w:rPr>
          <w:lang w:val="es-ES_tradnl"/>
        </w:rPr>
        <w:t>A fin de utilizar los recursos disponibles de la manera más eficaz posible, la Oficina de la Unión seguirá aplicando criterios de prioridad a sus actividades y procurando encontrar sinergias con los miembros de la Unión y otros colaboradores.</w:t>
      </w:r>
    </w:p>
    <w:p w14:paraId="4E5F1EA2" w14:textId="77777777" w:rsidR="001240C5" w:rsidRPr="006E4BE1" w:rsidRDefault="001240C5" w:rsidP="00AE50C9">
      <w:pPr>
        <w:tabs>
          <w:tab w:val="left" w:pos="851"/>
        </w:tabs>
        <w:rPr>
          <w:lang w:val="es-ES_tradnl"/>
        </w:rPr>
      </w:pPr>
    </w:p>
    <w:p w14:paraId="1D2D3201" w14:textId="77777777" w:rsidR="001240C5" w:rsidRPr="006E4BE1" w:rsidRDefault="006C165B" w:rsidP="00AE50C9">
      <w:pPr>
        <w:tabs>
          <w:tab w:val="left" w:pos="851"/>
        </w:tabs>
        <w:rPr>
          <w:color w:val="000000" w:themeColor="text1"/>
          <w:lang w:val="es-ES_tradnl"/>
        </w:rPr>
      </w:pPr>
      <w:r w:rsidRPr="006E4BE1">
        <w:rPr>
          <w:color w:val="000000" w:themeColor="text1"/>
          <w:lang w:val="es-ES_tradnl"/>
        </w:rPr>
        <w:t>La prioridad establecida para la prestación de asistencia por la Oficina de la Unión es la siguiente:</w:t>
      </w:r>
    </w:p>
    <w:p w14:paraId="69E40303" w14:textId="77777777" w:rsidR="001240C5" w:rsidRPr="006E4BE1" w:rsidRDefault="001240C5" w:rsidP="00AE50C9">
      <w:pPr>
        <w:rPr>
          <w:color w:val="000000" w:themeColor="text1"/>
          <w:lang w:val="es-ES_tradnl"/>
        </w:rPr>
      </w:pPr>
    </w:p>
    <w:p w14:paraId="2413BEE3" w14:textId="77777777" w:rsidR="001240C5" w:rsidRPr="006E4BE1" w:rsidRDefault="006C165B" w:rsidP="00AE50C9">
      <w:pPr>
        <w:spacing w:after="120"/>
        <w:ind w:left="567"/>
        <w:rPr>
          <w:color w:val="000000" w:themeColor="text1"/>
          <w:lang w:val="es-ES_tradnl"/>
        </w:rPr>
      </w:pPr>
      <w:r w:rsidRPr="006E4BE1">
        <w:rPr>
          <w:color w:val="000000" w:themeColor="text1"/>
          <w:lang w:val="es-ES_tradnl"/>
        </w:rPr>
        <w:t>i)</w:t>
      </w:r>
      <w:r w:rsidRPr="006E4BE1">
        <w:rPr>
          <w:color w:val="000000" w:themeColor="text1"/>
          <w:lang w:val="es-ES_tradnl"/>
        </w:rPr>
        <w:tab/>
        <w:t>Asistencia a los actuales miembros de la Unión;</w:t>
      </w:r>
    </w:p>
    <w:p w14:paraId="168370E9" w14:textId="77777777" w:rsidR="001240C5" w:rsidRPr="006E4BE1" w:rsidRDefault="006C165B" w:rsidP="00AE50C9">
      <w:pPr>
        <w:spacing w:after="120"/>
        <w:ind w:left="1134" w:hanging="567"/>
        <w:rPr>
          <w:color w:val="000000" w:themeColor="text1"/>
          <w:lang w:val="es-ES_tradnl"/>
        </w:rPr>
      </w:pPr>
      <w:r w:rsidRPr="006E4BE1">
        <w:rPr>
          <w:color w:val="000000" w:themeColor="text1"/>
          <w:lang w:val="es-ES_tradnl"/>
        </w:rPr>
        <w:t>ii)</w:t>
      </w:r>
      <w:r w:rsidRPr="006E4BE1">
        <w:rPr>
          <w:color w:val="000000" w:themeColor="text1"/>
          <w:lang w:val="es-ES_tradnl"/>
        </w:rPr>
        <w:tab/>
        <w:t>Asistencia a los Estados y a determinadas organizaciones que no son miembros de la Unión, concretamente a los gobiernos de los países en desarrollo y los países en transición a una economía de mercado, en la elaboración de legislación con arreglo al Acta de 1991 del Convenio de la UPOV y en su adhesión al Convenio de la UPOV; y</w:t>
      </w:r>
    </w:p>
    <w:p w14:paraId="559D76F2" w14:textId="77777777" w:rsidR="001240C5" w:rsidRPr="006E4BE1" w:rsidRDefault="006C165B" w:rsidP="002F4DAD">
      <w:pPr>
        <w:tabs>
          <w:tab w:val="left" w:pos="567"/>
        </w:tabs>
        <w:ind w:left="1134" w:hanging="567"/>
        <w:rPr>
          <w:color w:val="000000" w:themeColor="text1"/>
          <w:lang w:val="es-ES_tradnl"/>
        </w:rPr>
      </w:pPr>
      <w:r w:rsidRPr="006E4BE1">
        <w:rPr>
          <w:color w:val="000000" w:themeColor="text1"/>
          <w:lang w:val="es-ES_tradnl"/>
        </w:rPr>
        <w:t>iii)</w:t>
      </w:r>
      <w:r w:rsidRPr="006E4BE1">
        <w:rPr>
          <w:color w:val="000000" w:themeColor="text1"/>
          <w:lang w:val="es-ES_tradnl"/>
        </w:rPr>
        <w:tab/>
        <w:t>Asistencia a los Estados y a determinadas organizaciones que no son miembros de la Unión en la aplicación de la legislación que haya suscitado una decisión positiva del Consejo en relación con su adhesión al Convenio de la UPOV.</w:t>
      </w:r>
    </w:p>
    <w:p w14:paraId="14E917A1" w14:textId="77777777" w:rsidR="001240C5" w:rsidRPr="006E4BE1" w:rsidRDefault="001240C5" w:rsidP="002F4DAD">
      <w:pPr>
        <w:rPr>
          <w:lang w:val="es-ES_tradnl"/>
        </w:rPr>
      </w:pPr>
    </w:p>
    <w:p w14:paraId="1AF093BD" w14:textId="77777777" w:rsidR="001240C5" w:rsidRPr="006E4BE1" w:rsidRDefault="006C165B" w:rsidP="005C2AAD">
      <w:pPr>
        <w:pStyle w:val="Heading5"/>
        <w:rPr>
          <w:lang w:val="es-ES_tradnl"/>
        </w:rPr>
      </w:pPr>
      <w:r w:rsidRPr="006E4BE1">
        <w:rPr>
          <w:lang w:val="es-ES_tradnl"/>
        </w:rPr>
        <w:t>Enseñanza a distancia</w:t>
      </w:r>
    </w:p>
    <w:p w14:paraId="1A6079CD" w14:textId="77777777" w:rsidR="001240C5" w:rsidRPr="006E4BE1" w:rsidRDefault="001240C5" w:rsidP="002F4DAD">
      <w:pPr>
        <w:rPr>
          <w:lang w:val="es-ES_tradnl"/>
        </w:rPr>
      </w:pPr>
    </w:p>
    <w:p w14:paraId="24B5FBE1" w14:textId="77777777" w:rsidR="001240C5" w:rsidRPr="006E4BE1" w:rsidRDefault="007F6021" w:rsidP="002F4DAD">
      <w:pPr>
        <w:tabs>
          <w:tab w:val="left" w:pos="851"/>
        </w:tabs>
        <w:rPr>
          <w:lang w:val="es-ES_tradnl"/>
        </w:rPr>
      </w:pPr>
      <w:r w:rsidRPr="006E4BE1">
        <w:rPr>
          <w:lang w:val="es-ES_tradnl"/>
        </w:rPr>
        <w:t>Los cursos de enseñanza a distancia de la UPOV son un medio especialmente eficaz de proporcionar formación de alta calidad a gran número de participantes, y seguirán siendo la piedra angular de la estrategia de formación y asistencia de la UPOV</w:t>
      </w:r>
      <w:r w:rsidR="00FE64A1" w:rsidRPr="006E4BE1">
        <w:rPr>
          <w:lang w:val="es-ES_tradnl"/>
        </w:rPr>
        <w:t xml:space="preserve">.  </w:t>
      </w:r>
      <w:r w:rsidRPr="006E4BE1">
        <w:rPr>
          <w:lang w:val="es-ES_tradnl"/>
        </w:rPr>
        <w:t>También formará parte importante de esta estrategia la incorporación de los cursos de enseñanza a distancia de la UPOV tanto en las actividades de la Unión como en las organizadas por otras entidades.</w:t>
      </w:r>
    </w:p>
    <w:p w14:paraId="748CA78D" w14:textId="77777777" w:rsidR="001240C5" w:rsidRPr="006E4BE1" w:rsidRDefault="001240C5" w:rsidP="002F4DAD">
      <w:pPr>
        <w:tabs>
          <w:tab w:val="left" w:pos="851"/>
        </w:tabs>
        <w:rPr>
          <w:lang w:val="es-ES_tradnl"/>
        </w:rPr>
      </w:pPr>
    </w:p>
    <w:p w14:paraId="788555F7" w14:textId="77777777" w:rsidR="001240C5" w:rsidRPr="006E4BE1" w:rsidRDefault="00386393" w:rsidP="005C2AAD">
      <w:pPr>
        <w:pStyle w:val="Heading5"/>
        <w:rPr>
          <w:lang w:val="es-ES_tradnl"/>
        </w:rPr>
      </w:pPr>
      <w:r w:rsidRPr="006E4BE1">
        <w:rPr>
          <w:lang w:val="es-ES_tradnl"/>
        </w:rPr>
        <w:t>Materiales</w:t>
      </w:r>
    </w:p>
    <w:p w14:paraId="2E3FD713" w14:textId="77777777" w:rsidR="001240C5" w:rsidRPr="006E4BE1" w:rsidRDefault="001240C5" w:rsidP="002F4DAD">
      <w:pPr>
        <w:rPr>
          <w:lang w:val="es-ES_tradnl"/>
        </w:rPr>
      </w:pPr>
    </w:p>
    <w:p w14:paraId="1A77F97F" w14:textId="77777777" w:rsidR="001240C5" w:rsidRPr="006E4BE1" w:rsidRDefault="00E50515" w:rsidP="002F4DAD">
      <w:pPr>
        <w:tabs>
          <w:tab w:val="left" w:pos="851"/>
        </w:tabs>
        <w:rPr>
          <w:lang w:val="es-ES_tradnl"/>
        </w:rPr>
      </w:pPr>
      <w:r w:rsidRPr="006E4BE1">
        <w:rPr>
          <w:lang w:val="es-ES_tradnl"/>
        </w:rPr>
        <w:t>Con el fin de aumentar la repercusión de la formación y la asistencia a partir de los recursos disponibles, estos se canalizarán cada vez más hacia programas de formación virtual y materiales reutilizables, cursos adicionales de enseñanza a distancia, demostraciones en vídeo, seminarios web y guías prácticas virtuales.</w:t>
      </w:r>
    </w:p>
    <w:p w14:paraId="07AB4A8B" w14:textId="77777777" w:rsidR="001240C5" w:rsidRPr="006E4BE1" w:rsidRDefault="001240C5" w:rsidP="002F4DAD">
      <w:pPr>
        <w:tabs>
          <w:tab w:val="left" w:pos="851"/>
        </w:tabs>
        <w:rPr>
          <w:lang w:val="es-ES_tradnl"/>
        </w:rPr>
      </w:pPr>
    </w:p>
    <w:p w14:paraId="1F6FBF51" w14:textId="77777777" w:rsidR="001240C5" w:rsidRPr="006E4BE1" w:rsidRDefault="00E50515" w:rsidP="005C2AAD">
      <w:pPr>
        <w:pStyle w:val="Heading5"/>
        <w:rPr>
          <w:lang w:val="es-ES_tradnl"/>
        </w:rPr>
      </w:pPr>
      <w:r w:rsidRPr="006E4BE1">
        <w:rPr>
          <w:lang w:val="es-ES_tradnl"/>
        </w:rPr>
        <w:t xml:space="preserve">Actividades de formación y asistencia </w:t>
      </w:r>
    </w:p>
    <w:p w14:paraId="1D0B3CD4" w14:textId="77777777" w:rsidR="001240C5" w:rsidRPr="006E4BE1" w:rsidRDefault="001240C5" w:rsidP="002F4DAD">
      <w:pPr>
        <w:rPr>
          <w:lang w:val="es-ES_tradnl"/>
        </w:rPr>
      </w:pPr>
    </w:p>
    <w:p w14:paraId="7077AFFA" w14:textId="77777777" w:rsidR="001240C5" w:rsidRPr="006E4BE1" w:rsidRDefault="00E50515" w:rsidP="002F4DAD">
      <w:pPr>
        <w:tabs>
          <w:tab w:val="left" w:pos="851"/>
        </w:tabs>
        <w:rPr>
          <w:color w:val="000000" w:themeColor="text1"/>
          <w:lang w:val="es-ES_tradnl"/>
        </w:rPr>
      </w:pPr>
      <w:r w:rsidRPr="006E4BE1">
        <w:rPr>
          <w:color w:val="000000" w:themeColor="text1"/>
          <w:lang w:val="es-ES_tradnl"/>
        </w:rPr>
        <w:t>Una de las principales características de este subprograma es que ofrece un marco en el que la Oficina de la UPOV puede complementar con eficacia los recursos de que dispone, sumándole recursos financieros y ayuda en especie puestos a disposición por los miembros de la Unión y otros órganos</w:t>
      </w:r>
      <w:r w:rsidR="00FE64A1" w:rsidRPr="006E4BE1">
        <w:rPr>
          <w:color w:val="000000" w:themeColor="text1"/>
          <w:lang w:val="es-ES_tradnl"/>
        </w:rPr>
        <w:t xml:space="preserve">.  </w:t>
      </w:r>
      <w:r w:rsidRPr="006E4BE1">
        <w:rPr>
          <w:color w:val="000000" w:themeColor="text1"/>
          <w:lang w:val="es-ES_tradnl"/>
        </w:rPr>
        <w:t>Por lo general, la ayuda brindada se divide en las siguientes categorías:</w:t>
      </w:r>
    </w:p>
    <w:p w14:paraId="3AA70D05" w14:textId="77777777" w:rsidR="001240C5" w:rsidRPr="006E4BE1" w:rsidRDefault="001240C5" w:rsidP="002F4DAD">
      <w:pPr>
        <w:tabs>
          <w:tab w:val="left" w:pos="851"/>
        </w:tabs>
        <w:rPr>
          <w:color w:val="000000" w:themeColor="text1"/>
          <w:lang w:val="es-ES_tradnl"/>
        </w:rPr>
      </w:pPr>
    </w:p>
    <w:p w14:paraId="08DF4516" w14:textId="77777777" w:rsidR="001240C5" w:rsidRPr="006E4BE1" w:rsidRDefault="00E50515" w:rsidP="005C2AAD">
      <w:pPr>
        <w:pStyle w:val="Heading5"/>
        <w:rPr>
          <w:lang w:val="es-ES_tradnl"/>
        </w:rPr>
      </w:pPr>
      <w:r w:rsidRPr="006E4BE1">
        <w:rPr>
          <w:lang w:val="es-ES_tradnl"/>
        </w:rPr>
        <w:t>Recursos financieros extrapresupuestarios</w:t>
      </w:r>
    </w:p>
    <w:p w14:paraId="786A0FB7" w14:textId="77777777" w:rsidR="001240C5" w:rsidRPr="006E4BE1" w:rsidRDefault="001240C5" w:rsidP="002F4DAD">
      <w:pPr>
        <w:rPr>
          <w:lang w:val="es-ES_tradnl"/>
        </w:rPr>
      </w:pPr>
    </w:p>
    <w:p w14:paraId="020BF031" w14:textId="77777777" w:rsidR="001240C5" w:rsidRPr="006E4BE1" w:rsidRDefault="00E50515" w:rsidP="002F4DAD">
      <w:pPr>
        <w:tabs>
          <w:tab w:val="left" w:pos="851"/>
        </w:tabs>
        <w:rPr>
          <w:color w:val="000000" w:themeColor="text1"/>
          <w:lang w:val="es-ES_tradnl"/>
        </w:rPr>
      </w:pPr>
      <w:r w:rsidRPr="006E4BE1">
        <w:rPr>
          <w:color w:val="000000" w:themeColor="text1"/>
          <w:lang w:val="es-ES_tradnl"/>
        </w:rPr>
        <w:t>Son de gran utilidad para la UPOV los recursos financieros adicionales facilitados, por ejemplo, por los fondos fiduciarios o memorandos de entendimiento</w:t>
      </w:r>
      <w:r w:rsidR="00FE64A1" w:rsidRPr="006E4BE1">
        <w:rPr>
          <w:color w:val="000000" w:themeColor="text1"/>
          <w:lang w:val="es-ES_tradnl"/>
        </w:rPr>
        <w:t xml:space="preserve">.  </w:t>
      </w:r>
      <w:r w:rsidRPr="006E4BE1">
        <w:rPr>
          <w:color w:val="000000" w:themeColor="text1"/>
          <w:lang w:val="es-ES_tradnl"/>
        </w:rPr>
        <w:t>Se trata de donaciones financieras que algún miembro de la UPOV ofrece voluntariamente a la Unión para financiar un determinado programa de actividades acordado mutuamente entre la Oficina de la Unión y el miembro donante</w:t>
      </w:r>
      <w:r w:rsidR="00FE64A1" w:rsidRPr="006E4BE1">
        <w:rPr>
          <w:color w:val="000000" w:themeColor="text1"/>
          <w:lang w:val="es-ES_tradnl"/>
        </w:rPr>
        <w:t xml:space="preserve">.  </w:t>
      </w:r>
      <w:r w:rsidRPr="006E4BE1">
        <w:rPr>
          <w:color w:val="000000" w:themeColor="text1"/>
          <w:lang w:val="es-ES_tradnl"/>
        </w:rPr>
        <w:t>Teniendo en cuenta que dichos programas atañen al personal de la UPOV y a otros recursos, la Oficina de la Unión y el miembro de la Unión de que se trate elaboran conjuntamente un programa de actividades con arreglo a la política y a las prioridades establecidas por el Consejo de la UPOV.</w:t>
      </w:r>
    </w:p>
    <w:p w14:paraId="2C0C8BAA" w14:textId="17E9DE90" w:rsidR="008C5BB5" w:rsidRPr="006E4BE1" w:rsidRDefault="008C5BB5" w:rsidP="00AE50C9">
      <w:pPr>
        <w:tabs>
          <w:tab w:val="left" w:pos="567"/>
        </w:tabs>
        <w:rPr>
          <w:color w:val="000000" w:themeColor="text1"/>
          <w:lang w:val="es-ES_tradnl"/>
        </w:rPr>
      </w:pPr>
    </w:p>
    <w:tbl>
      <w:tblPr>
        <w:tblStyle w:val="TableGrid"/>
        <w:tblW w:w="0" w:type="auto"/>
        <w:tblInd w:w="675"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CellMar>
          <w:top w:w="57" w:type="dxa"/>
          <w:left w:w="57" w:type="dxa"/>
          <w:bottom w:w="28" w:type="dxa"/>
          <w:right w:w="57" w:type="dxa"/>
        </w:tblCellMar>
        <w:tblLook w:val="01E0" w:firstRow="1" w:lastRow="1" w:firstColumn="1" w:lastColumn="1" w:noHBand="0" w:noVBand="0"/>
      </w:tblPr>
      <w:tblGrid>
        <w:gridCol w:w="8676"/>
      </w:tblGrid>
      <w:tr w:rsidR="008C5BB5" w:rsidRPr="001D7D80" w14:paraId="396CFD33" w14:textId="77777777" w:rsidTr="009B556C">
        <w:trPr>
          <w:cantSplit/>
        </w:trPr>
        <w:tc>
          <w:tcPr>
            <w:tcW w:w="8676" w:type="dxa"/>
          </w:tcPr>
          <w:p w14:paraId="64439EFA" w14:textId="77777777" w:rsidR="001240C5" w:rsidRPr="006E4BE1" w:rsidRDefault="00E50515" w:rsidP="00AE50C9">
            <w:pPr>
              <w:tabs>
                <w:tab w:val="left" w:pos="567"/>
              </w:tabs>
              <w:rPr>
                <w:color w:val="000000" w:themeColor="text1"/>
                <w:lang w:val="es-ES_tradnl"/>
              </w:rPr>
            </w:pPr>
            <w:r w:rsidRPr="006E4BE1">
              <w:rPr>
                <w:color w:val="000000" w:themeColor="text1"/>
                <w:lang w:val="es-ES_tradnl"/>
              </w:rPr>
              <w:t>Ejemplos:</w:t>
            </w:r>
            <w:r w:rsidRPr="006E4BE1">
              <w:rPr>
                <w:rStyle w:val="FootnoteReference"/>
                <w:color w:val="000000" w:themeColor="text1"/>
                <w:lang w:val="es-ES_tradnl"/>
              </w:rPr>
              <w:footnoteReference w:id="7"/>
            </w:r>
          </w:p>
          <w:p w14:paraId="1136CE0A" w14:textId="77777777" w:rsidR="001240C5" w:rsidRPr="006E4BE1" w:rsidRDefault="001240C5" w:rsidP="00AE50C9">
            <w:pPr>
              <w:tabs>
                <w:tab w:val="left" w:pos="567"/>
              </w:tabs>
              <w:rPr>
                <w:color w:val="000000" w:themeColor="text1"/>
                <w:lang w:val="es-ES_tradnl"/>
              </w:rPr>
            </w:pPr>
          </w:p>
          <w:p w14:paraId="398CCA74" w14:textId="77777777" w:rsidR="001240C5" w:rsidRPr="006E4BE1" w:rsidRDefault="00E50515" w:rsidP="00AE50C9">
            <w:pPr>
              <w:numPr>
                <w:ilvl w:val="0"/>
                <w:numId w:val="9"/>
              </w:numPr>
              <w:tabs>
                <w:tab w:val="clear" w:pos="720"/>
                <w:tab w:val="left" w:pos="601"/>
              </w:tabs>
              <w:spacing w:after="120"/>
              <w:ind w:left="601" w:hanging="244"/>
              <w:rPr>
                <w:color w:val="000000" w:themeColor="text1"/>
                <w:lang w:val="es-ES_tradnl"/>
              </w:rPr>
            </w:pPr>
            <w:r w:rsidRPr="006E4BE1">
              <w:rPr>
                <w:color w:val="000000" w:themeColor="text1"/>
                <w:lang w:val="es-ES_tradnl"/>
              </w:rPr>
              <w:t>El fondo fiduciario del Gobierno del Japón para la realización de actividades en la región asiática</w:t>
            </w:r>
          </w:p>
          <w:p w14:paraId="4726C8AB" w14:textId="77777777" w:rsidR="001240C5" w:rsidRPr="006E4BE1" w:rsidRDefault="00E50515" w:rsidP="00AE50C9">
            <w:pPr>
              <w:numPr>
                <w:ilvl w:val="0"/>
                <w:numId w:val="9"/>
              </w:numPr>
              <w:tabs>
                <w:tab w:val="clear" w:pos="720"/>
                <w:tab w:val="left" w:pos="601"/>
              </w:tabs>
              <w:spacing w:after="120"/>
              <w:ind w:left="601" w:hanging="244"/>
              <w:rPr>
                <w:color w:val="000000" w:themeColor="text1"/>
                <w:lang w:val="es-ES_tradnl"/>
              </w:rPr>
            </w:pPr>
            <w:r w:rsidRPr="006E4BE1">
              <w:rPr>
                <w:color w:val="000000" w:themeColor="text1"/>
                <w:lang w:val="es-ES_tradnl"/>
              </w:rPr>
              <w:t>El memorando de entendimiento entre la Oficina de Patentes y Marcas de los Estados Unidos de América (USPTO) y la UPOV</w:t>
            </w:r>
          </w:p>
          <w:p w14:paraId="7596E8C6" w14:textId="693F943D" w:rsidR="00D77023" w:rsidRPr="006E4BE1" w:rsidRDefault="00E50515" w:rsidP="00AE50C9">
            <w:pPr>
              <w:numPr>
                <w:ilvl w:val="0"/>
                <w:numId w:val="9"/>
              </w:numPr>
              <w:tabs>
                <w:tab w:val="clear" w:pos="720"/>
                <w:tab w:val="left" w:pos="601"/>
              </w:tabs>
              <w:ind w:left="601" w:hanging="244"/>
              <w:rPr>
                <w:color w:val="000000" w:themeColor="text1"/>
                <w:lang w:val="es-ES_tradnl"/>
              </w:rPr>
            </w:pPr>
            <w:r w:rsidRPr="006E4BE1">
              <w:rPr>
                <w:color w:val="000000" w:themeColor="text1"/>
                <w:lang w:val="es-ES_tradnl"/>
              </w:rPr>
              <w:t>El fondo fiduciario del Gobierno del Canadá</w:t>
            </w:r>
          </w:p>
        </w:tc>
      </w:tr>
    </w:tbl>
    <w:p w14:paraId="35ED202A" w14:textId="77777777" w:rsidR="001240C5" w:rsidRPr="006E4BE1" w:rsidRDefault="001240C5" w:rsidP="002F4DAD">
      <w:pPr>
        <w:rPr>
          <w:lang w:val="es-ES_tradnl"/>
        </w:rPr>
      </w:pPr>
    </w:p>
    <w:p w14:paraId="0D06E7A6" w14:textId="77777777" w:rsidR="001240C5" w:rsidRPr="006E4BE1" w:rsidRDefault="00E50515" w:rsidP="005C2AAD">
      <w:pPr>
        <w:pStyle w:val="Heading5"/>
        <w:rPr>
          <w:lang w:val="es-ES_tradnl"/>
        </w:rPr>
      </w:pPr>
      <w:r w:rsidRPr="006E4BE1">
        <w:rPr>
          <w:lang w:val="es-ES_tradnl"/>
        </w:rPr>
        <w:lastRenderedPageBreak/>
        <w:t>Ayuda de los miembros de la Unión</w:t>
      </w:r>
    </w:p>
    <w:p w14:paraId="5CF19089" w14:textId="77777777" w:rsidR="001240C5" w:rsidRPr="006E4BE1" w:rsidRDefault="001240C5" w:rsidP="002F4DAD">
      <w:pPr>
        <w:rPr>
          <w:lang w:val="es-ES_tradnl"/>
        </w:rPr>
      </w:pPr>
    </w:p>
    <w:p w14:paraId="3072C7FE" w14:textId="77777777" w:rsidR="001240C5" w:rsidRPr="006E4BE1" w:rsidRDefault="00E50515" w:rsidP="00AE50C9">
      <w:pPr>
        <w:tabs>
          <w:tab w:val="left" w:pos="851"/>
        </w:tabs>
        <w:rPr>
          <w:lang w:val="es-ES_tradnl"/>
        </w:rPr>
      </w:pPr>
      <w:r w:rsidRPr="006E4BE1">
        <w:rPr>
          <w:lang w:val="es-ES_tradnl"/>
        </w:rPr>
        <w:t>Para las actividades de la UPOV, la Oficina de la Unión también ha recibido apoyo financiero del Ministerio de Agricultura, Naturaleza y Calidad Alimentaria (MANFQ) de los Países Bajos por medio del programa Toolbox de desarrollo de la protección de las obtenciones vegetales; además, la Oficina tiene la oportunidad de informar al MANFQ sobre las prioridades de la UPOV en relación con dicho programa.</w:t>
      </w:r>
    </w:p>
    <w:p w14:paraId="3E6F3590" w14:textId="77777777" w:rsidR="001240C5" w:rsidRPr="006E4BE1" w:rsidRDefault="001240C5" w:rsidP="00AE50C9">
      <w:pPr>
        <w:autoSpaceDE w:val="0"/>
        <w:autoSpaceDN w:val="0"/>
        <w:adjustRightInd w:val="0"/>
        <w:rPr>
          <w:rFonts w:cs="Arial"/>
          <w:szCs w:val="19"/>
          <w:lang w:val="es-ES_tradnl"/>
        </w:rPr>
      </w:pPr>
    </w:p>
    <w:p w14:paraId="3CA524FD" w14:textId="77777777" w:rsidR="001240C5" w:rsidRPr="006E4BE1" w:rsidRDefault="00E50515" w:rsidP="00AE50C9">
      <w:pPr>
        <w:tabs>
          <w:tab w:val="left" w:pos="851"/>
        </w:tabs>
        <w:rPr>
          <w:color w:val="000000" w:themeColor="text1"/>
          <w:lang w:val="es-ES_tradnl"/>
        </w:rPr>
      </w:pPr>
      <w:r w:rsidRPr="006E4BE1">
        <w:rPr>
          <w:color w:val="000000" w:themeColor="text1"/>
          <w:lang w:val="es-ES_tradnl"/>
        </w:rPr>
        <w:t>Un recurso fundamental para la labor de la UPOV es la ayuda en especie que proporcionan numerosos miembros de la Unión al facilitar expertos que presentan ponencias en las actividades de la UPOV, tutores en los cursos de enseñanza a distancia y materiales digitales (por ejemplo, vídeos)</w:t>
      </w:r>
      <w:r w:rsidR="00FE64A1" w:rsidRPr="006E4BE1">
        <w:rPr>
          <w:color w:val="000000" w:themeColor="text1"/>
          <w:lang w:val="es-ES_tradnl"/>
        </w:rPr>
        <w:t xml:space="preserve">.  </w:t>
      </w:r>
      <w:r w:rsidR="002D3286" w:rsidRPr="006E4BE1">
        <w:rPr>
          <w:color w:val="000000" w:themeColor="text1"/>
          <w:lang w:val="es-ES_tradnl"/>
        </w:rPr>
        <w:t>Asimismo, una forma de ayuda que se tendrá en cuenta, según proceda, es la facilitada por funcionarios debidamente cualificados, financiada íntegramente por los miembros de la Unión mediante becas o el Programa de Funcionarios Subalternos del Cuadro Orgánico.</w:t>
      </w:r>
    </w:p>
    <w:p w14:paraId="2688CE63" w14:textId="77777777" w:rsidR="001240C5" w:rsidRPr="006E4BE1" w:rsidRDefault="001240C5" w:rsidP="00AE50C9">
      <w:pPr>
        <w:tabs>
          <w:tab w:val="left" w:pos="851"/>
        </w:tabs>
        <w:rPr>
          <w:color w:val="000000" w:themeColor="text1"/>
          <w:lang w:val="es-ES_tradnl"/>
        </w:rPr>
      </w:pPr>
    </w:p>
    <w:p w14:paraId="7E6CFE4A" w14:textId="77777777" w:rsidR="001240C5" w:rsidRPr="006E4BE1" w:rsidRDefault="002D3286" w:rsidP="002F4DAD">
      <w:pPr>
        <w:tabs>
          <w:tab w:val="left" w:pos="851"/>
        </w:tabs>
        <w:rPr>
          <w:snapToGrid w:val="0"/>
          <w:color w:val="000000" w:themeColor="text1"/>
          <w:lang w:val="es-ES_tradnl"/>
        </w:rPr>
      </w:pPr>
      <w:r w:rsidRPr="006E4BE1">
        <w:rPr>
          <w:snapToGrid w:val="0"/>
          <w:color w:val="000000" w:themeColor="text1"/>
          <w:lang w:val="es-ES_tradnl"/>
        </w:rPr>
        <w:t>Otro medio importante de apoyo consiste en que los miembros de la Unión se encarguen de incluir la protección de las obtenciones vegetales en los programas de desarrollo y asistencia</w:t>
      </w:r>
      <w:r w:rsidR="00FE64A1" w:rsidRPr="006E4BE1">
        <w:rPr>
          <w:snapToGrid w:val="0"/>
          <w:color w:val="000000" w:themeColor="text1"/>
          <w:lang w:val="es-ES_tradnl"/>
        </w:rPr>
        <w:t xml:space="preserve">.  </w:t>
      </w:r>
      <w:r w:rsidRPr="006E4BE1">
        <w:rPr>
          <w:snapToGrid w:val="0"/>
          <w:color w:val="000000" w:themeColor="text1"/>
          <w:lang w:val="es-ES_tradnl"/>
        </w:rPr>
        <w:t>Por ejemplo, la inclusión de la protección de las obtenciones vegetales en los programas IPKey de la Unión Europea ha aumentado la concienciación y el apoyo a escala mundial.</w:t>
      </w:r>
    </w:p>
    <w:p w14:paraId="36644901" w14:textId="77777777" w:rsidR="001240C5" w:rsidRPr="006E4BE1" w:rsidRDefault="001240C5" w:rsidP="002F4DAD">
      <w:pPr>
        <w:tabs>
          <w:tab w:val="left" w:pos="851"/>
        </w:tabs>
        <w:rPr>
          <w:snapToGrid w:val="0"/>
          <w:color w:val="000000" w:themeColor="text1"/>
          <w:lang w:val="es-ES_tradnl"/>
        </w:rPr>
      </w:pPr>
    </w:p>
    <w:p w14:paraId="1310E653" w14:textId="77777777" w:rsidR="001240C5" w:rsidRPr="006E4BE1" w:rsidRDefault="009C70DA" w:rsidP="005C2AAD">
      <w:pPr>
        <w:pStyle w:val="Heading5"/>
        <w:rPr>
          <w:lang w:val="es-ES_tradnl"/>
        </w:rPr>
      </w:pPr>
      <w:r w:rsidRPr="006E4BE1">
        <w:rPr>
          <w:lang w:val="es-ES_tradnl"/>
        </w:rPr>
        <w:t>Cooperación con otras organizaciones y órganos</w:t>
      </w:r>
    </w:p>
    <w:p w14:paraId="0A60B095" w14:textId="77777777" w:rsidR="001240C5" w:rsidRPr="006E4BE1" w:rsidRDefault="001240C5" w:rsidP="002F4DAD">
      <w:pPr>
        <w:rPr>
          <w:lang w:val="es-ES_tradnl"/>
        </w:rPr>
      </w:pPr>
    </w:p>
    <w:p w14:paraId="032916D2" w14:textId="77777777" w:rsidR="001240C5" w:rsidRPr="006E4BE1" w:rsidRDefault="009C70DA" w:rsidP="00AE50C9">
      <w:pPr>
        <w:tabs>
          <w:tab w:val="left" w:pos="851"/>
        </w:tabs>
        <w:rPr>
          <w:color w:val="000000" w:themeColor="text1"/>
          <w:lang w:val="es-ES_tradnl"/>
        </w:rPr>
      </w:pPr>
      <w:r w:rsidRPr="006E4BE1">
        <w:rPr>
          <w:color w:val="000000" w:themeColor="text1"/>
          <w:lang w:val="es-ES_tradnl"/>
        </w:rPr>
        <w:t>La cooperación entre la UPOV y la OMPI es un valioso medio para prestar una asistencia eficaz a los Estados y organizaciones interesadas.</w:t>
      </w:r>
    </w:p>
    <w:p w14:paraId="5A5D18E8" w14:textId="77777777" w:rsidR="001240C5" w:rsidRPr="006E4BE1" w:rsidRDefault="001240C5" w:rsidP="00AE50C9">
      <w:pPr>
        <w:rPr>
          <w:color w:val="000000" w:themeColor="text1"/>
          <w:lang w:val="es-ES_tradnl"/>
        </w:rPr>
      </w:pPr>
    </w:p>
    <w:p w14:paraId="2229115F" w14:textId="77777777" w:rsidR="001240C5" w:rsidRPr="006E4BE1" w:rsidRDefault="009C70DA" w:rsidP="00AE50C9">
      <w:pPr>
        <w:tabs>
          <w:tab w:val="left" w:pos="851"/>
        </w:tabs>
        <w:rPr>
          <w:color w:val="000000" w:themeColor="text1"/>
          <w:lang w:val="es-ES_tradnl"/>
        </w:rPr>
      </w:pPr>
      <w:r w:rsidRPr="006E4BE1">
        <w:rPr>
          <w:color w:val="000000" w:themeColor="text1"/>
          <w:lang w:val="es-ES_tradnl"/>
        </w:rPr>
        <w:t>El Foro de Asia Oriental para la Protección de las Variedades Vegetales (EAPVP) tiene por objeto mejorar la aplicación y armonización del sistema de protección de variedades vegetales en esa región asiática; la Oficina de la Unión seguirá trabajando con el Foro, de conformidad con las prioridades de la UPOV para la prestación de asistencia.</w:t>
      </w:r>
    </w:p>
    <w:p w14:paraId="1C8C271B" w14:textId="77777777" w:rsidR="001240C5" w:rsidRPr="006E4BE1" w:rsidRDefault="001240C5" w:rsidP="00AE50C9">
      <w:pPr>
        <w:rPr>
          <w:lang w:val="es-ES_tradnl"/>
        </w:rPr>
      </w:pPr>
    </w:p>
    <w:p w14:paraId="6A22EFC1" w14:textId="77777777" w:rsidR="001240C5" w:rsidRPr="006E4BE1" w:rsidRDefault="009C70DA" w:rsidP="002F4DAD">
      <w:pPr>
        <w:tabs>
          <w:tab w:val="left" w:pos="851"/>
        </w:tabs>
        <w:rPr>
          <w:lang w:val="es-ES_tradnl"/>
        </w:rPr>
      </w:pPr>
      <w:r w:rsidRPr="006E4BE1">
        <w:rPr>
          <w:lang w:val="es-ES_tradnl"/>
        </w:rPr>
        <w:t>Las autoridades de los miembros de la UPOV desempeñan un papel importante en el aumento de los fondos extrapresupuestarios en la medida en que ayudan a determinar posibles fuentes de financiación de otros sectores gubernamentales</w:t>
      </w:r>
      <w:r w:rsidR="00FE64A1" w:rsidRPr="006E4BE1">
        <w:rPr>
          <w:lang w:val="es-ES_tradnl"/>
        </w:rPr>
        <w:t xml:space="preserve">.  </w:t>
      </w:r>
      <w:r w:rsidR="00A56CBC" w:rsidRPr="006E4BE1">
        <w:rPr>
          <w:lang w:val="es-ES_tradnl"/>
        </w:rPr>
        <w:t>Un ejemplo de ese planteamiento es el proyecto sobre “consolidación y promoción del sistema de protección de las obtenciones vegetales de la OAPI en los Estados miembros de esta Organización”, presentado para su financiación con cargo al TradeCom II, el programa de fortalecimiento de la capacidad comercial del Grupo de Estados del Caribe y el Pacífico (ACP) financiado por la Unión Europea.</w:t>
      </w:r>
    </w:p>
    <w:p w14:paraId="5954BFEA" w14:textId="77777777" w:rsidR="001240C5" w:rsidRPr="006E4BE1" w:rsidRDefault="001240C5" w:rsidP="002F4DAD">
      <w:pPr>
        <w:tabs>
          <w:tab w:val="left" w:pos="851"/>
        </w:tabs>
        <w:rPr>
          <w:lang w:val="es-ES_tradnl"/>
        </w:rPr>
      </w:pPr>
    </w:p>
    <w:p w14:paraId="4F3FDF99" w14:textId="77777777" w:rsidR="001240C5" w:rsidRPr="006E4BE1" w:rsidRDefault="00A56CBC" w:rsidP="005C2AAD">
      <w:pPr>
        <w:pStyle w:val="Heading5"/>
        <w:rPr>
          <w:lang w:val="es-ES_tradnl"/>
        </w:rPr>
      </w:pPr>
      <w:r w:rsidRPr="006E4BE1">
        <w:rPr>
          <w:lang w:val="es-ES_tradnl"/>
        </w:rPr>
        <w:t>Cursos de formación sobre la protección de las variedades vegetales</w:t>
      </w:r>
    </w:p>
    <w:p w14:paraId="6071C1CD" w14:textId="77777777" w:rsidR="001240C5" w:rsidRPr="006E4BE1" w:rsidRDefault="001240C5" w:rsidP="002F4DAD">
      <w:pPr>
        <w:rPr>
          <w:lang w:val="es-ES_tradnl"/>
        </w:rPr>
      </w:pPr>
    </w:p>
    <w:p w14:paraId="2A90A63F" w14:textId="77777777" w:rsidR="001240C5" w:rsidRPr="006E4BE1" w:rsidRDefault="002F6179" w:rsidP="00AE50C9">
      <w:pPr>
        <w:tabs>
          <w:tab w:val="left" w:pos="851"/>
        </w:tabs>
        <w:rPr>
          <w:rFonts w:cs="Arial"/>
          <w:color w:val="000000" w:themeColor="text1"/>
          <w:spacing w:val="-2"/>
          <w:lang w:val="es-ES_tradnl"/>
        </w:rPr>
      </w:pPr>
      <w:r w:rsidRPr="006E4BE1">
        <w:rPr>
          <w:rFonts w:cs="Arial"/>
          <w:color w:val="000000" w:themeColor="text1"/>
          <w:lang w:val="es-ES_tradnl"/>
        </w:rPr>
        <w:t>Varios miembros de la Unión ofrecen cursos sobre la protección de las variedades vegetales con arreglo al Convenio de la UPOV</w:t>
      </w:r>
      <w:r w:rsidR="008C5BB5" w:rsidRPr="006E4BE1">
        <w:rPr>
          <w:rFonts w:cs="Arial"/>
          <w:color w:val="000000" w:themeColor="text1"/>
          <w:lang w:val="es-ES_tradnl"/>
        </w:rPr>
        <w:t xml:space="preserve"> </w:t>
      </w:r>
      <w:r w:rsidRPr="006E4BE1">
        <w:rPr>
          <w:rFonts w:cs="Arial"/>
          <w:color w:val="000000" w:themeColor="text1"/>
          <w:lang w:val="es-ES_tradnl"/>
        </w:rPr>
        <w:t xml:space="preserve">(por ejemplo, el </w:t>
      </w:r>
      <w:r w:rsidR="00C178AA" w:rsidRPr="006E4BE1">
        <w:rPr>
          <w:rFonts w:cs="Arial"/>
          <w:color w:val="000000" w:themeColor="text1"/>
          <w:lang w:val="es-ES_tradnl"/>
        </w:rPr>
        <w:t>“</w:t>
      </w:r>
      <w:r w:rsidRPr="006E4BE1">
        <w:rPr>
          <w:rFonts w:cs="Arial"/>
          <w:color w:val="000000" w:themeColor="text1"/>
          <w:lang w:val="es-ES_tradnl"/>
        </w:rPr>
        <w:t>Curso sobre la protección de los derechos de obtentor</w:t>
      </w:r>
      <w:r w:rsidR="00235419" w:rsidRPr="006E4BE1">
        <w:rPr>
          <w:rFonts w:cs="Arial"/>
          <w:color w:val="000000" w:themeColor="text1"/>
          <w:lang w:val="es-ES_tradnl"/>
        </w:rPr>
        <w:t>”</w:t>
      </w:r>
      <w:r w:rsidR="008C5BB5" w:rsidRPr="006E4BE1">
        <w:rPr>
          <w:rFonts w:cs="Arial"/>
          <w:color w:val="000000" w:themeColor="text1"/>
          <w:lang w:val="es-ES_tradnl"/>
        </w:rPr>
        <w:t xml:space="preserve">, </w:t>
      </w:r>
      <w:r w:rsidRPr="006E4BE1">
        <w:rPr>
          <w:rFonts w:cs="Arial"/>
          <w:color w:val="000000" w:themeColor="text1"/>
          <w:lang w:val="es-ES_tradnl"/>
        </w:rPr>
        <w:t xml:space="preserve">organizado </w:t>
      </w:r>
      <w:r w:rsidRPr="006E4BE1">
        <w:rPr>
          <w:rFonts w:cs="Arial"/>
          <w:color w:val="000000" w:themeColor="text1"/>
          <w:spacing w:val="-2"/>
          <w:lang w:val="es-ES_tradnl"/>
        </w:rPr>
        <w:t>por la Agencia Japonesa de Cooperación Internacional (JICA) (Japón);</w:t>
      </w:r>
      <w:r w:rsidR="00775351" w:rsidRPr="006E4BE1">
        <w:rPr>
          <w:rFonts w:cs="Arial"/>
          <w:color w:val="000000" w:themeColor="text1"/>
          <w:spacing w:val="-2"/>
          <w:lang w:val="es-ES_tradnl"/>
        </w:rPr>
        <w:t xml:space="preserve"> </w:t>
      </w:r>
      <w:r w:rsidRPr="006E4BE1">
        <w:rPr>
          <w:rFonts w:cs="Arial"/>
          <w:color w:val="000000" w:themeColor="text1"/>
          <w:spacing w:val="-2"/>
          <w:lang w:val="es-ES_tradnl"/>
        </w:rPr>
        <w:t>el “Curso sobre los derechos de obtentor para la seguridad alimentaria y el desarrollo económico</w:t>
      </w:r>
      <w:r w:rsidR="00235419" w:rsidRPr="006E4BE1">
        <w:rPr>
          <w:rFonts w:cs="Arial"/>
          <w:color w:val="000000" w:themeColor="text1"/>
          <w:spacing w:val="-2"/>
          <w:lang w:val="es-ES_tradnl"/>
        </w:rPr>
        <w:t>”</w:t>
      </w:r>
      <w:r w:rsidR="008C5BB5" w:rsidRPr="006E4BE1">
        <w:rPr>
          <w:rFonts w:cs="Arial"/>
          <w:color w:val="000000" w:themeColor="text1"/>
          <w:spacing w:val="-2"/>
          <w:lang w:val="es-ES_tradnl"/>
        </w:rPr>
        <w:t xml:space="preserve">, </w:t>
      </w:r>
      <w:r w:rsidRPr="006E4BE1">
        <w:rPr>
          <w:rFonts w:cs="Arial"/>
          <w:color w:val="000000" w:themeColor="text1"/>
          <w:spacing w:val="-2"/>
          <w:lang w:val="es-ES_tradnl"/>
        </w:rPr>
        <w:t>org</w:t>
      </w:r>
      <w:r w:rsidR="004C58A1" w:rsidRPr="006E4BE1">
        <w:rPr>
          <w:rFonts w:cs="Arial"/>
          <w:color w:val="000000" w:themeColor="text1"/>
          <w:spacing w:val="-2"/>
          <w:lang w:val="es-ES_tradnl"/>
        </w:rPr>
        <w:t>anizado por Naktuinbouw (Países </w:t>
      </w:r>
      <w:r w:rsidRPr="006E4BE1">
        <w:rPr>
          <w:rFonts w:cs="Arial"/>
          <w:color w:val="000000" w:themeColor="text1"/>
          <w:spacing w:val="-2"/>
          <w:lang w:val="es-ES_tradnl"/>
        </w:rPr>
        <w:t xml:space="preserve">Bajos); </w:t>
      </w:r>
      <w:r w:rsidRPr="006E4BE1">
        <w:rPr>
          <w:rFonts w:cs="Arial"/>
          <w:color w:val="000000" w:themeColor="text1"/>
          <w:lang w:val="es-ES_tradnl"/>
        </w:rPr>
        <w:t>y el</w:t>
      </w:r>
      <w:r w:rsidR="008C5BB5" w:rsidRPr="006E4BE1">
        <w:rPr>
          <w:rFonts w:cs="Arial"/>
          <w:color w:val="000000" w:themeColor="text1"/>
          <w:lang w:val="es-ES_tradnl"/>
        </w:rPr>
        <w:t xml:space="preserve"> </w:t>
      </w:r>
      <w:r w:rsidR="00235419" w:rsidRPr="006E4BE1">
        <w:rPr>
          <w:rFonts w:cs="Arial"/>
          <w:color w:val="000000" w:themeColor="text1"/>
          <w:lang w:val="es-ES_tradnl"/>
        </w:rPr>
        <w:t>“</w:t>
      </w:r>
      <w:r w:rsidRPr="006E4BE1">
        <w:rPr>
          <w:rFonts w:cs="Arial"/>
          <w:color w:val="000000" w:themeColor="text1"/>
          <w:lang w:val="es-ES_tradnl"/>
        </w:rPr>
        <w:t>Curso sobre la protección de las variedades vegetales</w:t>
      </w:r>
      <w:r w:rsidR="00235419" w:rsidRPr="006E4BE1">
        <w:rPr>
          <w:rFonts w:cs="Arial"/>
          <w:color w:val="000000" w:themeColor="text1"/>
          <w:lang w:val="es-ES_tradnl"/>
        </w:rPr>
        <w:t>”</w:t>
      </w:r>
      <w:r w:rsidR="008C5BB5" w:rsidRPr="006E4BE1">
        <w:rPr>
          <w:rFonts w:cs="Arial"/>
          <w:color w:val="000000" w:themeColor="text1"/>
          <w:lang w:val="es-ES_tradnl"/>
        </w:rPr>
        <w:t xml:space="preserve">, </w:t>
      </w:r>
      <w:r w:rsidRPr="006E4BE1">
        <w:rPr>
          <w:rFonts w:cs="Arial"/>
          <w:color w:val="000000" w:themeColor="text1"/>
          <w:spacing w:val="-2"/>
          <w:lang w:val="es-ES_tradnl"/>
        </w:rPr>
        <w:t>organizado por el Organismo Coreano de Semillas y Variedades (KSVS) y la Agencia Coreana de Cooperación Internacional (KOICA) (República de Corea)).</w:t>
      </w:r>
    </w:p>
    <w:p w14:paraId="0A468865" w14:textId="77777777" w:rsidR="001240C5" w:rsidRPr="006E4BE1" w:rsidRDefault="001240C5" w:rsidP="00AE50C9">
      <w:pPr>
        <w:rPr>
          <w:rFonts w:cs="Arial"/>
          <w:color w:val="000000" w:themeColor="text1"/>
          <w:spacing w:val="-2"/>
          <w:lang w:val="es-ES_tradnl"/>
        </w:rPr>
      </w:pPr>
    </w:p>
    <w:p w14:paraId="32D39CC0" w14:textId="77777777" w:rsidR="001240C5" w:rsidRPr="006E4BE1" w:rsidRDefault="00A21D19" w:rsidP="002F4DAD">
      <w:pPr>
        <w:tabs>
          <w:tab w:val="left" w:pos="851"/>
        </w:tabs>
        <w:rPr>
          <w:lang w:val="es-ES_tradnl"/>
        </w:rPr>
      </w:pPr>
      <w:r w:rsidRPr="006E4BE1">
        <w:rPr>
          <w:lang w:val="es-ES_tradnl"/>
        </w:rPr>
        <w:t>En el bienio 2022-2023, junto con los colaboradores pertinentes, se propone elaborar un plan de estudios internacional que permita obtener una titulación reconocida por la UPOV.</w:t>
      </w:r>
    </w:p>
    <w:p w14:paraId="7B313B07" w14:textId="77777777" w:rsidR="001240C5" w:rsidRPr="006E4BE1" w:rsidRDefault="001240C5" w:rsidP="002F4DAD">
      <w:pPr>
        <w:tabs>
          <w:tab w:val="left" w:pos="851"/>
        </w:tabs>
        <w:rPr>
          <w:lang w:val="es-ES_tradnl"/>
        </w:rPr>
      </w:pPr>
    </w:p>
    <w:p w14:paraId="1A36F7AC" w14:textId="77777777" w:rsidR="001240C5" w:rsidRPr="006E4BE1" w:rsidRDefault="00A56003" w:rsidP="005C2AAD">
      <w:pPr>
        <w:pStyle w:val="Heading5"/>
        <w:rPr>
          <w:lang w:val="es-ES_tradnl"/>
        </w:rPr>
      </w:pPr>
      <w:r w:rsidRPr="006E4BE1">
        <w:rPr>
          <w:lang w:val="es-ES_tradnl"/>
        </w:rPr>
        <w:t>Cursos universitarios</w:t>
      </w:r>
    </w:p>
    <w:p w14:paraId="49C8509C" w14:textId="77777777" w:rsidR="001240C5" w:rsidRPr="006E4BE1" w:rsidRDefault="001240C5" w:rsidP="002F4DAD">
      <w:pPr>
        <w:rPr>
          <w:lang w:val="es-ES_tradnl"/>
        </w:rPr>
      </w:pPr>
    </w:p>
    <w:p w14:paraId="582861AD" w14:textId="77777777" w:rsidR="001240C5" w:rsidRPr="006E4BE1" w:rsidRDefault="00A56003" w:rsidP="002F4DAD">
      <w:pPr>
        <w:tabs>
          <w:tab w:val="left" w:pos="851"/>
        </w:tabs>
        <w:rPr>
          <w:lang w:val="es-ES_tradnl"/>
        </w:rPr>
      </w:pPr>
      <w:r w:rsidRPr="006E4BE1">
        <w:rPr>
          <w:lang w:val="es-ES_tradnl"/>
        </w:rPr>
        <w:t>Los módulos sobre la protección de las obtenciones vegetales incluidos en los programas de grado y de posgrado son un medio importante para dar a conocer el sistema de la UPOV</w:t>
      </w:r>
      <w:r w:rsidR="00FE64A1" w:rsidRPr="006E4BE1">
        <w:rPr>
          <w:lang w:val="es-ES_tradnl"/>
        </w:rPr>
        <w:t xml:space="preserve">.  </w:t>
      </w:r>
      <w:r w:rsidR="007C5A31" w:rsidRPr="006E4BE1">
        <w:rPr>
          <w:lang w:val="es-ES_tradnl"/>
        </w:rPr>
        <w:t>La Oficina de la Unión estudiará la posibilidad de aumentar el número de instituciones académicas y de formación que incorporan información sobre el sistema de la UPOV en los cursos pertinentes.</w:t>
      </w:r>
    </w:p>
    <w:p w14:paraId="20380F3A" w14:textId="77777777" w:rsidR="001240C5" w:rsidRPr="006E4BE1" w:rsidRDefault="001240C5" w:rsidP="002F4DAD">
      <w:pPr>
        <w:tabs>
          <w:tab w:val="left" w:pos="851"/>
        </w:tabs>
        <w:rPr>
          <w:lang w:val="es-ES_tradnl"/>
        </w:rPr>
      </w:pPr>
    </w:p>
    <w:p w14:paraId="0334153A" w14:textId="77777777" w:rsidR="001240C5" w:rsidRPr="006E4BE1" w:rsidRDefault="007C5A31" w:rsidP="005C2AAD">
      <w:pPr>
        <w:pStyle w:val="Heading5"/>
        <w:rPr>
          <w:lang w:val="es-ES_tradnl"/>
        </w:rPr>
      </w:pPr>
      <w:r w:rsidRPr="006E4BE1">
        <w:rPr>
          <w:lang w:val="es-ES_tradnl"/>
        </w:rPr>
        <w:t>Idiomas</w:t>
      </w:r>
    </w:p>
    <w:p w14:paraId="001F0D45" w14:textId="77777777" w:rsidR="001240C5" w:rsidRPr="006E4BE1" w:rsidRDefault="001240C5" w:rsidP="002F4DAD">
      <w:pPr>
        <w:rPr>
          <w:lang w:val="es-ES_tradnl"/>
        </w:rPr>
      </w:pPr>
    </w:p>
    <w:p w14:paraId="1310F589" w14:textId="77777777" w:rsidR="001240C5" w:rsidRPr="006E4BE1" w:rsidRDefault="007C5A31" w:rsidP="00AE50C9">
      <w:pPr>
        <w:tabs>
          <w:tab w:val="left" w:pos="851"/>
        </w:tabs>
        <w:rPr>
          <w:lang w:val="es-ES_tradnl"/>
        </w:rPr>
      </w:pPr>
      <w:r w:rsidRPr="006E4BE1">
        <w:rPr>
          <w:lang w:val="es-ES_tradnl"/>
        </w:rPr>
        <w:t>Al igual que en el subprograma UV.2, la puesta a disposición del material y los recursos de la UPOV en un mayor número de idiomas contribuirá a lograr los objetivos de este subprograma.</w:t>
      </w:r>
    </w:p>
    <w:p w14:paraId="0CA83DE6" w14:textId="77777777" w:rsidR="001240C5" w:rsidRPr="006E4BE1" w:rsidRDefault="001240C5" w:rsidP="00AE50C9">
      <w:pPr>
        <w:rPr>
          <w:lang w:val="es-ES_tradnl"/>
        </w:rPr>
      </w:pPr>
    </w:p>
    <w:p w14:paraId="2D5B4BB7" w14:textId="77777777" w:rsidR="001240C5" w:rsidRPr="006E4BE1" w:rsidRDefault="001240C5" w:rsidP="00AE50C9">
      <w:pPr>
        <w:rPr>
          <w:lang w:val="es-ES_tradnl"/>
        </w:rPr>
      </w:pPr>
    </w:p>
    <w:p w14:paraId="6903854A" w14:textId="77777777" w:rsidR="001240C5" w:rsidRPr="006E4BE1" w:rsidRDefault="007C5A31" w:rsidP="00B60E92">
      <w:pPr>
        <w:pStyle w:val="Heading3"/>
      </w:pPr>
      <w:bookmarkStart w:id="444" w:name="_Toc78476724"/>
      <w:r w:rsidRPr="006E4BE1">
        <w:lastRenderedPageBreak/>
        <w:t>Actividades</w:t>
      </w:r>
      <w:bookmarkEnd w:id="444"/>
    </w:p>
    <w:p w14:paraId="471D5940" w14:textId="77777777" w:rsidR="001240C5" w:rsidRPr="006E4BE1" w:rsidRDefault="001240C5" w:rsidP="002F4DAD">
      <w:pPr>
        <w:rPr>
          <w:lang w:val="es-ES_tradnl"/>
        </w:rPr>
      </w:pPr>
    </w:p>
    <w:p w14:paraId="2DB79DCC" w14:textId="77777777" w:rsidR="001240C5" w:rsidRPr="006E4BE1" w:rsidRDefault="007C5A31" w:rsidP="00AE50C9">
      <w:pPr>
        <w:numPr>
          <w:ilvl w:val="0"/>
          <w:numId w:val="11"/>
        </w:numPr>
        <w:tabs>
          <w:tab w:val="clear" w:pos="720"/>
        </w:tabs>
        <w:spacing w:after="120"/>
        <w:ind w:left="1134" w:hanging="567"/>
        <w:rPr>
          <w:lang w:val="es-ES_tradnl"/>
        </w:rPr>
      </w:pPr>
      <w:r w:rsidRPr="006E4BE1">
        <w:rPr>
          <w:lang w:val="es-ES_tradnl"/>
        </w:rPr>
        <w:t>Actividades de sensibilización</w:t>
      </w:r>
    </w:p>
    <w:p w14:paraId="01908F9A" w14:textId="77777777" w:rsidR="001240C5" w:rsidRPr="006E4BE1" w:rsidRDefault="007C5A31" w:rsidP="00AE50C9">
      <w:pPr>
        <w:numPr>
          <w:ilvl w:val="0"/>
          <w:numId w:val="11"/>
        </w:numPr>
        <w:tabs>
          <w:tab w:val="clear" w:pos="720"/>
        </w:tabs>
        <w:spacing w:after="120"/>
        <w:ind w:left="1134" w:hanging="567"/>
        <w:rPr>
          <w:lang w:val="es-ES_tradnl"/>
        </w:rPr>
      </w:pPr>
      <w:r w:rsidRPr="006E4BE1">
        <w:rPr>
          <w:lang w:val="es-ES_tradnl"/>
        </w:rPr>
        <w:t>Asistencia en la elaboración de instrumentos legislativos</w:t>
      </w:r>
    </w:p>
    <w:p w14:paraId="6BA853AE" w14:textId="77777777" w:rsidR="001240C5" w:rsidRPr="006E4BE1" w:rsidRDefault="00DC7BCC" w:rsidP="00AE50C9">
      <w:pPr>
        <w:numPr>
          <w:ilvl w:val="0"/>
          <w:numId w:val="11"/>
        </w:numPr>
        <w:tabs>
          <w:tab w:val="clear" w:pos="720"/>
        </w:tabs>
        <w:spacing w:after="120"/>
        <w:ind w:left="1134" w:hanging="567"/>
        <w:rPr>
          <w:lang w:val="es-ES_tradnl"/>
        </w:rPr>
      </w:pPr>
      <w:r w:rsidRPr="006E4BE1">
        <w:rPr>
          <w:lang w:val="es-ES_tradnl"/>
        </w:rPr>
        <w:t>Creación y gestión de cursos de enseñanza a distancia</w:t>
      </w:r>
    </w:p>
    <w:p w14:paraId="7E2D9AC0" w14:textId="77777777" w:rsidR="001240C5" w:rsidRPr="006E4BE1" w:rsidRDefault="00DC7BCC" w:rsidP="00AE50C9">
      <w:pPr>
        <w:numPr>
          <w:ilvl w:val="0"/>
          <w:numId w:val="11"/>
        </w:numPr>
        <w:tabs>
          <w:tab w:val="clear" w:pos="720"/>
        </w:tabs>
        <w:spacing w:after="120"/>
        <w:ind w:left="1134" w:hanging="567"/>
        <w:rPr>
          <w:lang w:val="es-ES_tradnl"/>
        </w:rPr>
      </w:pPr>
      <w:r w:rsidRPr="006E4BE1">
        <w:rPr>
          <w:lang w:val="es-ES_tradnl"/>
        </w:rPr>
        <w:t>Elaboración de materiales (vídeos, guías prácticas)</w:t>
      </w:r>
    </w:p>
    <w:p w14:paraId="4EEAFFA9" w14:textId="77777777" w:rsidR="001240C5" w:rsidRPr="006E4BE1" w:rsidRDefault="00DC7BCC" w:rsidP="00AE50C9">
      <w:pPr>
        <w:numPr>
          <w:ilvl w:val="0"/>
          <w:numId w:val="11"/>
        </w:numPr>
        <w:tabs>
          <w:tab w:val="clear" w:pos="720"/>
        </w:tabs>
        <w:spacing w:after="120"/>
        <w:ind w:left="1134" w:hanging="567"/>
        <w:rPr>
          <w:lang w:val="es-ES_tradnl"/>
        </w:rPr>
      </w:pPr>
      <w:r w:rsidRPr="006E4BE1">
        <w:rPr>
          <w:lang w:val="es-ES_tradnl"/>
        </w:rPr>
        <w:t>Actividades virtuales de formación y asistencia</w:t>
      </w:r>
    </w:p>
    <w:p w14:paraId="596CF3B3" w14:textId="77777777" w:rsidR="001240C5" w:rsidRPr="006E4BE1" w:rsidRDefault="00DC7BCC" w:rsidP="00AE50C9">
      <w:pPr>
        <w:numPr>
          <w:ilvl w:val="0"/>
          <w:numId w:val="11"/>
        </w:numPr>
        <w:tabs>
          <w:tab w:val="clear" w:pos="720"/>
        </w:tabs>
        <w:spacing w:after="120"/>
        <w:ind w:left="1134" w:hanging="567"/>
        <w:rPr>
          <w:lang w:val="es-ES_tradnl"/>
        </w:rPr>
      </w:pPr>
      <w:r w:rsidRPr="006E4BE1">
        <w:rPr>
          <w:lang w:val="es-ES_tradnl"/>
        </w:rPr>
        <w:t>Actividades presenciales de formación y asistencia</w:t>
      </w:r>
    </w:p>
    <w:p w14:paraId="504AAF39" w14:textId="77777777" w:rsidR="001240C5" w:rsidRPr="006E4BE1" w:rsidRDefault="00292968" w:rsidP="00AE50C9">
      <w:pPr>
        <w:numPr>
          <w:ilvl w:val="0"/>
          <w:numId w:val="11"/>
        </w:numPr>
        <w:tabs>
          <w:tab w:val="clear" w:pos="720"/>
        </w:tabs>
        <w:spacing w:after="120"/>
        <w:ind w:left="1134" w:hanging="567"/>
        <w:rPr>
          <w:lang w:val="es-ES_tradnl"/>
        </w:rPr>
      </w:pPr>
      <w:r w:rsidRPr="006E4BE1">
        <w:rPr>
          <w:lang w:val="es-ES_tradnl"/>
        </w:rPr>
        <w:t>Elaboración de un plan de estudios internacional que permita obtener una titulación reconocida por la UPOV</w:t>
      </w:r>
    </w:p>
    <w:p w14:paraId="5F309509" w14:textId="77777777" w:rsidR="001240C5" w:rsidRPr="006E4BE1" w:rsidRDefault="00292968" w:rsidP="00AE50C9">
      <w:pPr>
        <w:numPr>
          <w:ilvl w:val="0"/>
          <w:numId w:val="11"/>
        </w:numPr>
        <w:tabs>
          <w:tab w:val="clear" w:pos="720"/>
        </w:tabs>
        <w:spacing w:after="120"/>
        <w:ind w:left="1134" w:hanging="567"/>
        <w:rPr>
          <w:lang w:val="es-ES_tradnl"/>
        </w:rPr>
      </w:pPr>
      <w:r w:rsidRPr="006E4BE1">
        <w:rPr>
          <w:lang w:val="es-ES_tradnl"/>
        </w:rPr>
        <w:t>Apoyo a proyectos destinados a la introducción y aplicación del sistema de la UPOV</w:t>
      </w:r>
    </w:p>
    <w:p w14:paraId="65D26C29" w14:textId="77777777" w:rsidR="001240C5" w:rsidRPr="006E4BE1" w:rsidRDefault="001240C5" w:rsidP="00AE50C9">
      <w:pPr>
        <w:tabs>
          <w:tab w:val="left" w:pos="567"/>
        </w:tabs>
        <w:rPr>
          <w:lang w:val="es-ES_tradnl"/>
        </w:rPr>
      </w:pPr>
    </w:p>
    <w:p w14:paraId="234009C3" w14:textId="77777777" w:rsidR="001240C5" w:rsidRPr="006E4BE1" w:rsidRDefault="00292968" w:rsidP="00B60E92">
      <w:pPr>
        <w:pStyle w:val="Heading3"/>
      </w:pPr>
      <w:bookmarkStart w:id="445" w:name="_Toc78476725"/>
      <w:r w:rsidRPr="006E4BE1">
        <w:t>Resultados previstos e indicadores de rendimiento</w:t>
      </w:r>
      <w:bookmarkEnd w:id="445"/>
    </w:p>
    <w:p w14:paraId="3B8AE568" w14:textId="548C3E54" w:rsidR="002F4DAD" w:rsidRPr="006E4BE1" w:rsidRDefault="002F4DAD" w:rsidP="002F4DAD">
      <w:pPr>
        <w:keepNext/>
        <w:rPr>
          <w:lang w:val="es-ES_tradnl"/>
        </w:rPr>
      </w:pPr>
    </w:p>
    <w:tbl>
      <w:tblPr>
        <w:tblW w:w="9551" w:type="dxa"/>
        <w:tblInd w:w="142" w:type="dxa"/>
        <w:tblLayout w:type="fixed"/>
        <w:tblCellMar>
          <w:top w:w="57" w:type="dxa"/>
          <w:left w:w="57" w:type="dxa"/>
          <w:bottom w:w="28" w:type="dxa"/>
          <w:right w:w="57" w:type="dxa"/>
        </w:tblCellMar>
        <w:tblLook w:val="0000" w:firstRow="0" w:lastRow="0" w:firstColumn="0" w:lastColumn="0" w:noHBand="0" w:noVBand="0"/>
      </w:tblPr>
      <w:tblGrid>
        <w:gridCol w:w="4065"/>
        <w:gridCol w:w="5486"/>
      </w:tblGrid>
      <w:tr w:rsidR="008C5BB5" w:rsidRPr="006E4BE1" w14:paraId="42BAE429" w14:textId="77777777" w:rsidTr="00C20F3E">
        <w:trPr>
          <w:cantSplit/>
          <w:trHeight w:val="218"/>
          <w:tblHeader/>
        </w:trPr>
        <w:tc>
          <w:tcPr>
            <w:tcW w:w="4065" w:type="dxa"/>
            <w:tcBorders>
              <w:bottom w:val="single" w:sz="4" w:space="0" w:color="A6A6A6" w:themeColor="background1" w:themeShade="A6"/>
            </w:tcBorders>
            <w:shd w:val="clear" w:color="auto" w:fill="C6CFD7" w:themeFill="accent3" w:themeFillTint="66"/>
          </w:tcPr>
          <w:p w14:paraId="37EAD615" w14:textId="320E1195" w:rsidR="008C5BB5" w:rsidRPr="006E4BE1" w:rsidRDefault="00292968" w:rsidP="0001668A">
            <w:pPr>
              <w:keepNext/>
              <w:keepLines/>
              <w:ind w:left="397" w:hanging="397"/>
              <w:jc w:val="center"/>
              <w:rPr>
                <w:b/>
                <w:color w:val="000000"/>
                <w:lang w:val="es-ES_tradnl"/>
              </w:rPr>
            </w:pPr>
            <w:r w:rsidRPr="006E4BE1">
              <w:rPr>
                <w:b/>
                <w:color w:val="000000"/>
                <w:lang w:val="es-ES_tradnl"/>
              </w:rPr>
              <w:t>Resultados previstos</w:t>
            </w:r>
          </w:p>
        </w:tc>
        <w:tc>
          <w:tcPr>
            <w:tcW w:w="5486" w:type="dxa"/>
            <w:tcBorders>
              <w:bottom w:val="single" w:sz="4" w:space="0" w:color="A6A6A6" w:themeColor="background1" w:themeShade="A6"/>
            </w:tcBorders>
            <w:shd w:val="clear" w:color="auto" w:fill="C6CFD7" w:themeFill="accent3" w:themeFillTint="66"/>
          </w:tcPr>
          <w:p w14:paraId="4723C7F5" w14:textId="749B7D06" w:rsidR="008C5BB5" w:rsidRPr="006E4BE1" w:rsidRDefault="00292968" w:rsidP="0001668A">
            <w:pPr>
              <w:keepNext/>
              <w:keepLines/>
              <w:jc w:val="center"/>
              <w:rPr>
                <w:b/>
                <w:color w:val="000000"/>
                <w:lang w:val="es-ES_tradnl"/>
              </w:rPr>
            </w:pPr>
            <w:r w:rsidRPr="006E4BE1">
              <w:rPr>
                <w:b/>
                <w:color w:val="000000"/>
                <w:lang w:val="es-ES_tradnl"/>
              </w:rPr>
              <w:t>Indicadores de rendimiento</w:t>
            </w:r>
          </w:p>
        </w:tc>
      </w:tr>
      <w:tr w:rsidR="008C5BB5" w:rsidRPr="001D7D80" w14:paraId="055223CA" w14:textId="77777777" w:rsidTr="00C20F3E">
        <w:trPr>
          <w:cantSplit/>
          <w:trHeight w:val="4057"/>
        </w:trPr>
        <w:tc>
          <w:tcPr>
            <w:tcW w:w="4065" w:type="dxa"/>
            <w:tcBorders>
              <w:top w:val="single" w:sz="4" w:space="0" w:color="A6A6A6" w:themeColor="background1" w:themeShade="A6"/>
            </w:tcBorders>
          </w:tcPr>
          <w:p w14:paraId="16CFD0CA" w14:textId="2841AF7A" w:rsidR="008C5BB5" w:rsidRPr="006E4BE1" w:rsidRDefault="00292968" w:rsidP="002F4DAD">
            <w:pPr>
              <w:ind w:left="326" w:hanging="326"/>
              <w:jc w:val="left"/>
              <w:rPr>
                <w:color w:val="000000"/>
                <w:lang w:val="es-ES_tradnl"/>
              </w:rPr>
            </w:pPr>
            <w:r w:rsidRPr="006E4BE1">
              <w:rPr>
                <w:color w:val="000000"/>
                <w:lang w:val="es-ES_tradnl"/>
              </w:rPr>
              <w:t>9.</w:t>
            </w:r>
            <w:r w:rsidRPr="006E4BE1">
              <w:rPr>
                <w:color w:val="000000"/>
                <w:lang w:val="es-ES_tradnl"/>
              </w:rPr>
              <w:tab/>
              <w:t>Sensibilización acerca de la protección de las variedades vegetales con arreglo al Convenio de la UPOV</w:t>
            </w:r>
            <w:r w:rsidR="008C5BB5" w:rsidRPr="006E4BE1">
              <w:rPr>
                <w:color w:val="000000"/>
                <w:lang w:val="es-ES_tradnl"/>
              </w:rPr>
              <w:t xml:space="preserve"> </w:t>
            </w:r>
          </w:p>
        </w:tc>
        <w:tc>
          <w:tcPr>
            <w:tcW w:w="5486" w:type="dxa"/>
            <w:tcBorders>
              <w:top w:val="single" w:sz="4" w:space="0" w:color="A6A6A6" w:themeColor="background1" w:themeShade="A6"/>
            </w:tcBorders>
          </w:tcPr>
          <w:p w14:paraId="62104B01" w14:textId="77777777" w:rsidR="001240C5" w:rsidRPr="006E4BE1" w:rsidRDefault="00292968" w:rsidP="002F4DAD">
            <w:pPr>
              <w:ind w:left="397" w:hanging="397"/>
              <w:jc w:val="left"/>
              <w:rPr>
                <w:lang w:val="es-ES_tradnl"/>
              </w:rPr>
            </w:pPr>
            <w:r w:rsidRPr="006E4BE1">
              <w:rPr>
                <w:lang w:val="es-ES_tradnl"/>
              </w:rPr>
              <w:t>a)</w:t>
            </w:r>
            <w:r w:rsidRPr="006E4BE1">
              <w:rPr>
                <w:lang w:val="es-ES_tradnl"/>
              </w:rPr>
              <w:tab/>
              <w:t>Estados y organizaciones que pasan a ser miembros de la Unión;</w:t>
            </w:r>
          </w:p>
          <w:p w14:paraId="5944F08F" w14:textId="77777777" w:rsidR="001240C5" w:rsidRPr="006E4BE1" w:rsidRDefault="00292968" w:rsidP="002F4DAD">
            <w:pPr>
              <w:ind w:left="397" w:hanging="397"/>
              <w:jc w:val="left"/>
              <w:rPr>
                <w:lang w:val="es-ES_tradnl"/>
              </w:rPr>
            </w:pPr>
            <w:r w:rsidRPr="006E4BE1">
              <w:rPr>
                <w:lang w:val="es-ES_tradnl"/>
              </w:rPr>
              <w:t>b)</w:t>
            </w:r>
            <w:r w:rsidRPr="006E4BE1">
              <w:rPr>
                <w:lang w:val="es-ES_tradnl"/>
              </w:rPr>
              <w:tab/>
              <w:t>Estados que se adhieren al Acta de 1991 del Convenio de la UPOV o que ratifican dicha Acta;</w:t>
            </w:r>
          </w:p>
          <w:p w14:paraId="1C816F24" w14:textId="77777777" w:rsidR="001240C5" w:rsidRPr="006E4BE1" w:rsidRDefault="00292968" w:rsidP="002F4DAD">
            <w:pPr>
              <w:ind w:left="397" w:hanging="397"/>
              <w:jc w:val="left"/>
              <w:rPr>
                <w:lang w:val="es-ES_tradnl"/>
              </w:rPr>
            </w:pPr>
            <w:r w:rsidRPr="006E4BE1">
              <w:rPr>
                <w:lang w:val="es-ES_tradnl"/>
              </w:rPr>
              <w:t>c)</w:t>
            </w:r>
            <w:r w:rsidRPr="006E4BE1">
              <w:rPr>
                <w:lang w:val="es-ES_tradnl"/>
              </w:rPr>
              <w:tab/>
              <w:t>Estados y organizaciones que inician ante el Consejo de la UPOV el procedimiento de adhesión a la Unión;</w:t>
            </w:r>
          </w:p>
          <w:p w14:paraId="61C0F94A" w14:textId="77777777" w:rsidR="001240C5" w:rsidRPr="006E4BE1" w:rsidRDefault="00292968" w:rsidP="002F4DAD">
            <w:pPr>
              <w:ind w:left="397" w:hanging="397"/>
              <w:jc w:val="left"/>
              <w:rPr>
                <w:color w:val="000000"/>
                <w:lang w:val="es-ES_tradnl"/>
              </w:rPr>
            </w:pPr>
            <w:r w:rsidRPr="006E4BE1">
              <w:rPr>
                <w:color w:val="000000"/>
                <w:lang w:val="es-ES_tradnl"/>
              </w:rPr>
              <w:t>d)</w:t>
            </w:r>
            <w:r w:rsidRPr="006E4BE1">
              <w:rPr>
                <w:color w:val="000000"/>
                <w:lang w:val="es-ES_tradnl"/>
              </w:rPr>
              <w:tab/>
              <w:t>Estados y organizaciones que se ponen en contacto con la Oficina de la Unión para recibir asistencia en la elaboración de legislación sobre la protección de las variedades vegetales;</w:t>
            </w:r>
          </w:p>
          <w:p w14:paraId="04B2C3C1" w14:textId="77777777" w:rsidR="001240C5" w:rsidRPr="006E4BE1" w:rsidRDefault="00292968" w:rsidP="002F4DAD">
            <w:pPr>
              <w:ind w:left="397" w:hanging="397"/>
              <w:jc w:val="left"/>
              <w:rPr>
                <w:color w:val="000000"/>
                <w:lang w:val="es-ES_tradnl"/>
              </w:rPr>
            </w:pPr>
            <w:r w:rsidRPr="006E4BE1">
              <w:rPr>
                <w:color w:val="000000"/>
                <w:lang w:val="es-ES_tradnl"/>
              </w:rPr>
              <w:t>e)</w:t>
            </w:r>
            <w:r w:rsidRPr="006E4BE1">
              <w:rPr>
                <w:color w:val="000000"/>
                <w:lang w:val="es-ES_tradnl"/>
              </w:rPr>
              <w:tab/>
              <w:t>Estados y organizaciones que reciben información en las actividades de la UPOV;</w:t>
            </w:r>
          </w:p>
          <w:p w14:paraId="504AB837" w14:textId="77777777" w:rsidR="001240C5" w:rsidRPr="006E4BE1" w:rsidRDefault="00292968" w:rsidP="002F4DAD">
            <w:pPr>
              <w:ind w:left="397" w:hanging="397"/>
              <w:jc w:val="left"/>
              <w:rPr>
                <w:color w:val="000000"/>
                <w:lang w:val="es-ES_tradnl"/>
              </w:rPr>
            </w:pPr>
            <w:r w:rsidRPr="006E4BE1">
              <w:rPr>
                <w:color w:val="000000"/>
                <w:lang w:val="es-ES_tradnl"/>
              </w:rPr>
              <w:t>f)</w:t>
            </w:r>
            <w:r w:rsidRPr="006E4BE1">
              <w:rPr>
                <w:color w:val="000000"/>
                <w:lang w:val="es-ES_tradnl"/>
              </w:rPr>
              <w:tab/>
              <w:t>Participación en cursos de enseñanza a distancia;</w:t>
            </w:r>
          </w:p>
          <w:p w14:paraId="0E916AAC" w14:textId="77777777" w:rsidR="001240C5" w:rsidRPr="006E4BE1" w:rsidRDefault="00292968" w:rsidP="002F4DAD">
            <w:pPr>
              <w:ind w:left="397" w:hanging="397"/>
              <w:jc w:val="left"/>
              <w:rPr>
                <w:color w:val="000000"/>
                <w:lang w:val="es-ES_tradnl"/>
              </w:rPr>
            </w:pPr>
            <w:bookmarkStart w:id="446" w:name="OLE_LINK3"/>
            <w:bookmarkStart w:id="447" w:name="OLE_LINK4"/>
            <w:r w:rsidRPr="006E4BE1">
              <w:rPr>
                <w:color w:val="000000"/>
                <w:lang w:val="es-ES_tradnl"/>
              </w:rPr>
              <w:t>g)</w:t>
            </w:r>
            <w:r w:rsidRPr="006E4BE1">
              <w:rPr>
                <w:color w:val="000000"/>
                <w:lang w:val="es-ES_tradnl"/>
              </w:rPr>
              <w:tab/>
              <w:t>Participación en actividades de formación y asistencia de la UPOV;</w:t>
            </w:r>
          </w:p>
          <w:p w14:paraId="11B7C536" w14:textId="77777777" w:rsidR="001240C5" w:rsidRPr="006E4BE1" w:rsidRDefault="006128AE" w:rsidP="002F4DAD">
            <w:pPr>
              <w:ind w:left="397" w:hanging="397"/>
              <w:jc w:val="left"/>
              <w:rPr>
                <w:color w:val="000000"/>
                <w:lang w:val="es-ES_tradnl"/>
              </w:rPr>
            </w:pPr>
            <w:r w:rsidRPr="006E4BE1">
              <w:rPr>
                <w:color w:val="000000"/>
                <w:lang w:val="es-ES_tradnl"/>
              </w:rPr>
              <w:t>h)</w:t>
            </w:r>
            <w:r w:rsidRPr="006E4BE1">
              <w:rPr>
                <w:color w:val="000000"/>
                <w:lang w:val="es-ES_tradnl"/>
              </w:rPr>
              <w:tab/>
              <w:t>Participación en actividades formación y asistencia por parte del personal de la UPOV o de formadores en nombre del personal de la UPOV;</w:t>
            </w:r>
          </w:p>
          <w:bookmarkEnd w:id="446"/>
          <w:bookmarkEnd w:id="447"/>
          <w:p w14:paraId="0979161E" w14:textId="7BB60A58" w:rsidR="00620B7A" w:rsidRPr="006E4BE1" w:rsidRDefault="006128AE" w:rsidP="002F4DAD">
            <w:pPr>
              <w:ind w:left="397" w:hanging="397"/>
              <w:jc w:val="left"/>
              <w:rPr>
                <w:lang w:val="es-ES_tradnl"/>
              </w:rPr>
            </w:pPr>
            <w:r w:rsidRPr="006E4BE1">
              <w:rPr>
                <w:lang w:val="es-ES_tradnl"/>
              </w:rPr>
              <w:t>i)</w:t>
            </w:r>
            <w:r w:rsidRPr="006E4BE1">
              <w:rPr>
                <w:lang w:val="es-ES_tradnl"/>
              </w:rPr>
              <w:tab/>
              <w:t>Instituciones académicas que incluyen información sobre el sistema de la UPOV y que invitan a la UPOV a contribuir.</w:t>
            </w:r>
          </w:p>
        </w:tc>
      </w:tr>
      <w:tr w:rsidR="008C5BB5" w:rsidRPr="001D7D80" w14:paraId="641D5599" w14:textId="77777777" w:rsidTr="00472B4B">
        <w:trPr>
          <w:cantSplit/>
        </w:trPr>
        <w:tc>
          <w:tcPr>
            <w:tcW w:w="4065" w:type="dxa"/>
          </w:tcPr>
          <w:p w14:paraId="3B33BA46" w14:textId="135C23D8" w:rsidR="008C5BB5" w:rsidRPr="006E4BE1" w:rsidRDefault="006128AE" w:rsidP="002F4DAD">
            <w:pPr>
              <w:ind w:left="326" w:hanging="326"/>
              <w:jc w:val="left"/>
              <w:rPr>
                <w:color w:val="000000"/>
                <w:lang w:val="es-ES_tradnl"/>
              </w:rPr>
            </w:pPr>
            <w:r w:rsidRPr="006E4BE1">
              <w:rPr>
                <w:color w:val="000000"/>
                <w:lang w:val="es-ES_tradnl"/>
              </w:rPr>
              <w:t>10.</w:t>
            </w:r>
            <w:r w:rsidRPr="006E4BE1">
              <w:rPr>
                <w:color w:val="000000"/>
                <w:lang w:val="es-ES_tradnl"/>
              </w:rPr>
              <w:tab/>
              <w:t>Elaboración de legislación sobre la protección de las variedades vegetales de conformidad con el Acta de 1991 del Convenio de la UPOV</w:t>
            </w:r>
            <w:r w:rsidR="008C5BB5" w:rsidRPr="006E4BE1">
              <w:rPr>
                <w:color w:val="000000"/>
                <w:lang w:val="es-ES_tradnl"/>
              </w:rPr>
              <w:t xml:space="preserve"> </w:t>
            </w:r>
          </w:p>
        </w:tc>
        <w:tc>
          <w:tcPr>
            <w:tcW w:w="5486" w:type="dxa"/>
          </w:tcPr>
          <w:p w14:paraId="1A973E14" w14:textId="77777777" w:rsidR="001240C5" w:rsidRPr="006E4BE1" w:rsidRDefault="006128AE" w:rsidP="002F4DAD">
            <w:pPr>
              <w:ind w:left="397" w:hanging="397"/>
              <w:jc w:val="left"/>
              <w:rPr>
                <w:color w:val="000000"/>
                <w:lang w:val="es-ES_tradnl"/>
              </w:rPr>
            </w:pPr>
            <w:r w:rsidRPr="006E4BE1">
              <w:rPr>
                <w:color w:val="000000"/>
                <w:lang w:val="es-ES_tradnl"/>
              </w:rPr>
              <w:t>a)</w:t>
            </w:r>
            <w:r w:rsidRPr="006E4BE1">
              <w:rPr>
                <w:color w:val="000000"/>
                <w:lang w:val="es-ES_tradnl"/>
              </w:rPr>
              <w:tab/>
              <w:t>Estados y organizaciones que reciben una valoración positiva del Consejo;</w:t>
            </w:r>
          </w:p>
          <w:p w14:paraId="6C571714" w14:textId="52156A2E" w:rsidR="00624D95" w:rsidRPr="006E4BE1" w:rsidRDefault="006128AE" w:rsidP="002F4DAD">
            <w:pPr>
              <w:ind w:left="397" w:hanging="397"/>
              <w:jc w:val="left"/>
              <w:rPr>
                <w:color w:val="000000"/>
                <w:lang w:val="es-ES_tradnl"/>
              </w:rPr>
            </w:pPr>
            <w:r w:rsidRPr="006E4BE1">
              <w:rPr>
                <w:color w:val="000000"/>
                <w:lang w:val="es-ES_tradnl"/>
              </w:rPr>
              <w:t>b)</w:t>
            </w:r>
            <w:r w:rsidRPr="006E4BE1">
              <w:rPr>
                <w:color w:val="000000"/>
                <w:lang w:val="es-ES_tradnl"/>
              </w:rPr>
              <w:tab/>
              <w:t>Estados y organizaciones que reciben comentarios sobre la legislación;</w:t>
            </w:r>
          </w:p>
        </w:tc>
      </w:tr>
      <w:tr w:rsidR="00F809BE" w:rsidRPr="001D7D80" w14:paraId="15041275" w14:textId="77777777" w:rsidTr="00C20F3E">
        <w:trPr>
          <w:cantSplit/>
          <w:trHeight w:val="2029"/>
        </w:trPr>
        <w:tc>
          <w:tcPr>
            <w:tcW w:w="4065" w:type="dxa"/>
            <w:tcBorders>
              <w:bottom w:val="single" w:sz="4" w:space="0" w:color="A6A6A6" w:themeColor="background1" w:themeShade="A6"/>
            </w:tcBorders>
          </w:tcPr>
          <w:p w14:paraId="5469A7D2" w14:textId="09AD3D28" w:rsidR="00F809BE" w:rsidRPr="006E4BE1" w:rsidRDefault="006128AE" w:rsidP="007422FA">
            <w:pPr>
              <w:ind w:left="326" w:hanging="326"/>
              <w:jc w:val="left"/>
              <w:rPr>
                <w:lang w:val="es-ES_tradnl"/>
              </w:rPr>
            </w:pPr>
            <w:r w:rsidRPr="006E4BE1">
              <w:rPr>
                <w:lang w:val="es-ES_tradnl"/>
              </w:rPr>
              <w:t>11.</w:t>
            </w:r>
            <w:r w:rsidR="007422FA" w:rsidRPr="006E4BE1">
              <w:rPr>
                <w:lang w:val="es-ES_tradnl"/>
              </w:rPr>
              <w:t xml:space="preserve"> </w:t>
            </w:r>
            <w:r w:rsidRPr="006E4BE1">
              <w:rPr>
                <w:lang w:val="es-ES_tradnl"/>
              </w:rPr>
              <w:t>Aplicación de un sistema de protección de las variedades vegetales de conformidad con el Convenio de la UPOV</w:t>
            </w:r>
          </w:p>
        </w:tc>
        <w:tc>
          <w:tcPr>
            <w:tcW w:w="5486" w:type="dxa"/>
            <w:tcBorders>
              <w:bottom w:val="single" w:sz="4" w:space="0" w:color="A6A6A6" w:themeColor="background1" w:themeShade="A6"/>
            </w:tcBorders>
          </w:tcPr>
          <w:p w14:paraId="145DAE31" w14:textId="77777777" w:rsidR="001240C5" w:rsidRPr="006E4BE1" w:rsidRDefault="006128AE" w:rsidP="002F4DAD">
            <w:pPr>
              <w:ind w:left="397" w:hanging="397"/>
              <w:jc w:val="left"/>
              <w:rPr>
                <w:rFonts w:cs="Arial"/>
                <w:color w:val="000000"/>
                <w:lang w:val="es-ES_tradnl"/>
              </w:rPr>
            </w:pPr>
            <w:r w:rsidRPr="006E4BE1">
              <w:rPr>
                <w:rFonts w:cs="Arial"/>
                <w:color w:val="000000"/>
                <w:lang w:val="es-ES_tradnl"/>
              </w:rPr>
              <w:t>a)</w:t>
            </w:r>
            <w:r w:rsidRPr="006E4BE1">
              <w:rPr>
                <w:rFonts w:cs="Arial"/>
                <w:color w:val="000000"/>
                <w:lang w:val="es-ES_tradnl"/>
              </w:rPr>
              <w:tab/>
              <w:t>Número de solicitudes;</w:t>
            </w:r>
          </w:p>
          <w:p w14:paraId="662CF9A2" w14:textId="77777777" w:rsidR="001240C5" w:rsidRPr="006E4BE1" w:rsidRDefault="006128AE" w:rsidP="002F4DAD">
            <w:pPr>
              <w:ind w:left="397" w:hanging="397"/>
              <w:jc w:val="left"/>
              <w:rPr>
                <w:rFonts w:cs="Arial"/>
                <w:color w:val="000000"/>
                <w:lang w:val="es-ES_tradnl"/>
              </w:rPr>
            </w:pPr>
            <w:r w:rsidRPr="006E4BE1">
              <w:rPr>
                <w:rFonts w:cs="Arial"/>
                <w:color w:val="000000"/>
                <w:lang w:val="es-ES_tradnl"/>
              </w:rPr>
              <w:t>b)</w:t>
            </w:r>
            <w:r w:rsidRPr="006E4BE1">
              <w:rPr>
                <w:rFonts w:cs="Arial"/>
                <w:color w:val="000000"/>
                <w:lang w:val="es-ES_tradnl"/>
              </w:rPr>
              <w:tab/>
              <w:t>Número de títulos concedidos;</w:t>
            </w:r>
          </w:p>
          <w:p w14:paraId="309F20EB" w14:textId="77777777" w:rsidR="001240C5" w:rsidRPr="006E4BE1" w:rsidRDefault="006128AE" w:rsidP="002F4DAD">
            <w:pPr>
              <w:ind w:left="397" w:hanging="397"/>
              <w:jc w:val="left"/>
              <w:rPr>
                <w:rFonts w:cs="Arial"/>
                <w:color w:val="000000"/>
                <w:lang w:val="es-ES_tradnl"/>
              </w:rPr>
            </w:pPr>
            <w:r w:rsidRPr="006E4BE1">
              <w:rPr>
                <w:rFonts w:cs="Arial"/>
                <w:color w:val="000000"/>
                <w:lang w:val="es-ES_tradnl"/>
              </w:rPr>
              <w:t>c)</w:t>
            </w:r>
            <w:r w:rsidRPr="006E4BE1">
              <w:rPr>
                <w:rFonts w:cs="Arial"/>
                <w:color w:val="000000"/>
                <w:lang w:val="es-ES_tradnl"/>
              </w:rPr>
              <w:tab/>
              <w:t>Número de títulos en vigor;</w:t>
            </w:r>
          </w:p>
          <w:p w14:paraId="25ACB5C6" w14:textId="77777777" w:rsidR="001240C5" w:rsidRPr="006E4BE1" w:rsidRDefault="006128AE" w:rsidP="002F4DAD">
            <w:pPr>
              <w:ind w:left="397" w:hanging="397"/>
              <w:jc w:val="left"/>
              <w:rPr>
                <w:rFonts w:cs="Arial"/>
                <w:color w:val="000000"/>
                <w:lang w:val="es-ES_tradnl"/>
              </w:rPr>
            </w:pPr>
            <w:r w:rsidRPr="006E4BE1">
              <w:rPr>
                <w:rFonts w:cs="Arial"/>
                <w:color w:val="000000"/>
                <w:lang w:val="es-ES_tradnl"/>
              </w:rPr>
              <w:t>d)</w:t>
            </w:r>
            <w:r w:rsidRPr="006E4BE1">
              <w:rPr>
                <w:rFonts w:cs="Arial"/>
                <w:color w:val="000000"/>
                <w:lang w:val="es-ES_tradnl"/>
              </w:rPr>
              <w:tab/>
              <w:t>Número de géneros/especies protegidos por los miembros de la Unión;</w:t>
            </w:r>
          </w:p>
          <w:p w14:paraId="680C2277" w14:textId="77777777" w:rsidR="001240C5" w:rsidRPr="006E4BE1" w:rsidRDefault="006128AE" w:rsidP="002F4DAD">
            <w:pPr>
              <w:ind w:left="397" w:hanging="397"/>
              <w:jc w:val="left"/>
              <w:rPr>
                <w:rFonts w:cs="Arial"/>
                <w:color w:val="000000"/>
                <w:lang w:val="es-ES_tradnl"/>
              </w:rPr>
            </w:pPr>
            <w:r w:rsidRPr="006E4BE1">
              <w:rPr>
                <w:rFonts w:cs="Arial"/>
                <w:color w:val="000000"/>
                <w:lang w:val="es-ES_tradnl"/>
              </w:rPr>
              <w:t>e)</w:t>
            </w:r>
            <w:r w:rsidRPr="006E4BE1">
              <w:rPr>
                <w:rFonts w:cs="Arial"/>
                <w:color w:val="000000"/>
                <w:lang w:val="es-ES_tradnl"/>
              </w:rPr>
              <w:tab/>
              <w:t>Número de géneros/especies cuyas variedades se han protegido;</w:t>
            </w:r>
          </w:p>
          <w:p w14:paraId="6C04F3A6" w14:textId="6DC635D5" w:rsidR="00F809BE" w:rsidRPr="006E4BE1" w:rsidRDefault="006128AE" w:rsidP="002F4DAD">
            <w:pPr>
              <w:ind w:left="397" w:hanging="397"/>
              <w:jc w:val="left"/>
              <w:rPr>
                <w:rFonts w:cs="Arial"/>
                <w:color w:val="000000"/>
                <w:lang w:val="es-ES_tradnl"/>
              </w:rPr>
            </w:pPr>
            <w:r w:rsidRPr="006E4BE1">
              <w:rPr>
                <w:rFonts w:cs="Arial"/>
                <w:color w:val="000000"/>
                <w:lang w:val="es-ES_tradnl"/>
              </w:rPr>
              <w:t>f)</w:t>
            </w:r>
            <w:r w:rsidRPr="006E4BE1">
              <w:rPr>
                <w:rFonts w:cs="Arial"/>
                <w:color w:val="000000"/>
                <w:lang w:val="es-ES_tradnl"/>
              </w:rPr>
              <w:tab/>
              <w:t>Elaboración de un plan de estudios internacional que permita obtener una titulación reconocida por la UPOV.</w:t>
            </w:r>
          </w:p>
        </w:tc>
      </w:tr>
    </w:tbl>
    <w:p w14:paraId="0956B7A0" w14:textId="77777777" w:rsidR="001240C5" w:rsidRPr="006E4BE1" w:rsidRDefault="00FF5DA3" w:rsidP="00AE50C9">
      <w:pPr>
        <w:jc w:val="left"/>
        <w:rPr>
          <w:b/>
          <w:lang w:val="es-ES_tradnl"/>
        </w:rPr>
      </w:pPr>
      <w:r w:rsidRPr="006E4BE1">
        <w:rPr>
          <w:b/>
          <w:lang w:val="es-ES_tradnl"/>
        </w:rPr>
        <w:br w:type="page"/>
      </w:r>
    </w:p>
    <w:p w14:paraId="4E831487" w14:textId="77777777" w:rsidR="001240C5" w:rsidRPr="006E4BE1" w:rsidRDefault="000559D3" w:rsidP="00AE50C9">
      <w:pPr>
        <w:pStyle w:val="Heading2"/>
        <w:keepNext w:val="0"/>
        <w:rPr>
          <w:lang w:val="es-ES_tradnl"/>
        </w:rPr>
      </w:pPr>
      <w:bookmarkStart w:id="448" w:name="_Toc78476726"/>
      <w:r w:rsidRPr="006E4BE1">
        <w:rPr>
          <w:lang w:val="es-ES_tradnl"/>
        </w:rPr>
        <w:lastRenderedPageBreak/>
        <w:t>Subpr</w:t>
      </w:r>
      <w:r w:rsidR="00553CF5" w:rsidRPr="006E4BE1">
        <w:rPr>
          <w:lang w:val="es-ES_tradnl"/>
        </w:rPr>
        <w:t>ograma UV.4:</w:t>
      </w:r>
      <w:r w:rsidR="00553CF5" w:rsidRPr="006E4BE1">
        <w:rPr>
          <w:lang w:val="es-ES_tradnl"/>
        </w:rPr>
        <w:tab/>
      </w:r>
      <w:r w:rsidRPr="006E4BE1">
        <w:rPr>
          <w:lang w:val="es-ES_tradnl"/>
        </w:rPr>
        <w:t>Relaciones exteriores</w:t>
      </w:r>
      <w:bookmarkEnd w:id="448"/>
    </w:p>
    <w:p w14:paraId="15B75E94" w14:textId="77777777" w:rsidR="001240C5" w:rsidRPr="006E4BE1" w:rsidRDefault="001240C5" w:rsidP="00AE50C9">
      <w:pPr>
        <w:rPr>
          <w:sz w:val="22"/>
          <w:lang w:val="es-ES_tradnl"/>
        </w:rPr>
      </w:pPr>
    </w:p>
    <w:p w14:paraId="36EDA003" w14:textId="77777777" w:rsidR="001240C5" w:rsidRPr="006E4BE1" w:rsidRDefault="000559D3" w:rsidP="00B60E92">
      <w:pPr>
        <w:pStyle w:val="Heading3"/>
      </w:pPr>
      <w:bookmarkStart w:id="449" w:name="_Toc78476727"/>
      <w:r w:rsidRPr="006E4BE1">
        <w:t>Objetivos</w:t>
      </w:r>
      <w:bookmarkEnd w:id="449"/>
    </w:p>
    <w:p w14:paraId="5520576C" w14:textId="77777777" w:rsidR="001240C5" w:rsidRPr="006E4BE1" w:rsidRDefault="001240C5" w:rsidP="00553CF5">
      <w:pPr>
        <w:rPr>
          <w:lang w:val="es-ES_tradnl"/>
        </w:rPr>
      </w:pPr>
    </w:p>
    <w:p w14:paraId="6757131E" w14:textId="77777777" w:rsidR="001240C5" w:rsidRPr="006E4BE1" w:rsidRDefault="000559D3" w:rsidP="00AE50C9">
      <w:pPr>
        <w:spacing w:after="60"/>
        <w:ind w:left="1134" w:hanging="567"/>
        <w:rPr>
          <w:lang w:val="es-ES_tradnl"/>
        </w:rPr>
      </w:pPr>
      <w:r w:rsidRPr="006E4BE1">
        <w:rPr>
          <w:lang w:val="es-ES_tradnl"/>
        </w:rPr>
        <w:t>a)</w:t>
      </w:r>
      <w:r w:rsidRPr="006E4BE1">
        <w:rPr>
          <w:lang w:val="es-ES_tradnl"/>
        </w:rPr>
        <w:tab/>
        <w:t>Sensibilizar y concienciar acerca del sistema de protección de las variedades vegetales de la UPOV</w:t>
      </w:r>
    </w:p>
    <w:p w14:paraId="220F8C1A" w14:textId="77777777" w:rsidR="001240C5" w:rsidRPr="006E4BE1" w:rsidRDefault="000559D3" w:rsidP="00AE50C9">
      <w:pPr>
        <w:spacing w:after="60"/>
        <w:ind w:left="1134" w:hanging="567"/>
        <w:rPr>
          <w:lang w:val="es-ES_tradnl"/>
        </w:rPr>
      </w:pPr>
      <w:r w:rsidRPr="006E4BE1">
        <w:rPr>
          <w:lang w:val="es-ES_tradnl"/>
        </w:rPr>
        <w:t>b)</w:t>
      </w:r>
      <w:r w:rsidRPr="006E4BE1">
        <w:rPr>
          <w:lang w:val="es-ES_tradnl"/>
        </w:rPr>
        <w:tab/>
        <w:t>Proporcionar información sobre el Convenio de la UPOV a otras organizaciones intergubernamentales en aras de la complementariedad con otros tratados internacionales</w:t>
      </w:r>
    </w:p>
    <w:p w14:paraId="497E9331" w14:textId="77777777" w:rsidR="001240C5" w:rsidRPr="006E4BE1" w:rsidRDefault="001240C5" w:rsidP="00AE50C9">
      <w:pPr>
        <w:rPr>
          <w:lang w:val="es-ES_tradnl"/>
        </w:rPr>
      </w:pPr>
    </w:p>
    <w:p w14:paraId="17E19F29" w14:textId="77777777" w:rsidR="001240C5" w:rsidRPr="006E4BE1" w:rsidRDefault="001240C5" w:rsidP="00AE50C9">
      <w:pPr>
        <w:rPr>
          <w:lang w:val="es-ES_tradnl"/>
        </w:rPr>
      </w:pPr>
    </w:p>
    <w:p w14:paraId="33F07621" w14:textId="77777777" w:rsidR="001240C5" w:rsidRPr="006E4BE1" w:rsidRDefault="000559D3" w:rsidP="00B60E92">
      <w:pPr>
        <w:pStyle w:val="Heading3"/>
      </w:pPr>
      <w:bookmarkStart w:id="450" w:name="_Toc78476728"/>
      <w:r w:rsidRPr="006E4BE1">
        <w:t>Descripción</w:t>
      </w:r>
      <w:bookmarkEnd w:id="450"/>
    </w:p>
    <w:p w14:paraId="2AF09872" w14:textId="77777777" w:rsidR="001240C5" w:rsidRPr="006E4BE1" w:rsidRDefault="001240C5" w:rsidP="00AE50C9">
      <w:pPr>
        <w:tabs>
          <w:tab w:val="left" w:pos="567"/>
        </w:tabs>
        <w:rPr>
          <w:lang w:val="es-ES_tradnl"/>
        </w:rPr>
      </w:pPr>
    </w:p>
    <w:p w14:paraId="238771B2" w14:textId="77777777" w:rsidR="001240C5" w:rsidRPr="006E4BE1" w:rsidRDefault="000559D3" w:rsidP="005C2AAD">
      <w:pPr>
        <w:pStyle w:val="Heading5"/>
        <w:rPr>
          <w:lang w:val="es-ES_tradnl"/>
        </w:rPr>
      </w:pPr>
      <w:r w:rsidRPr="006E4BE1">
        <w:rPr>
          <w:lang w:val="es-ES_tradnl"/>
        </w:rPr>
        <w:t>Introducción</w:t>
      </w:r>
    </w:p>
    <w:p w14:paraId="1E217DC7" w14:textId="77777777" w:rsidR="001240C5" w:rsidRPr="006E4BE1" w:rsidRDefault="001240C5" w:rsidP="00553CF5">
      <w:pPr>
        <w:rPr>
          <w:lang w:val="es-ES_tradnl"/>
        </w:rPr>
      </w:pPr>
    </w:p>
    <w:p w14:paraId="6E92A5DD" w14:textId="77777777" w:rsidR="001240C5" w:rsidRPr="006E4BE1" w:rsidRDefault="00E111CD" w:rsidP="00AE50C9">
      <w:pPr>
        <w:tabs>
          <w:tab w:val="left" w:pos="851"/>
        </w:tabs>
        <w:rPr>
          <w:spacing w:val="-2"/>
          <w:lang w:val="es-ES_tradnl"/>
        </w:rPr>
      </w:pPr>
      <w:r w:rsidRPr="006E4BE1">
        <w:rPr>
          <w:spacing w:val="-2"/>
          <w:lang w:val="es-ES_tradnl"/>
        </w:rPr>
        <w:t>La misión de la UPOV consiste en proporcionar y fomentar un sistema eficaz de protección de las obtenciones vegetales con miras al desarrollo de nuevas variedades vegetales en beneficio de la sociedad</w:t>
      </w:r>
      <w:r w:rsidR="00FE64A1" w:rsidRPr="006E4BE1">
        <w:rPr>
          <w:spacing w:val="-2"/>
          <w:lang w:val="es-ES_tradnl"/>
        </w:rPr>
        <w:t xml:space="preserve">.  </w:t>
      </w:r>
      <w:r w:rsidRPr="006E4BE1">
        <w:rPr>
          <w:spacing w:val="-2"/>
          <w:lang w:val="es-ES_tradnl"/>
        </w:rPr>
        <w:t>El objetivo del presente subprograma consiste en explicar de qué forma el sistema de la UPOV fomenta el desarrollo de obtenciones vegetales y en qué medida las nuevas variedades van en beneficio de la sociedad, así como la función que desempeña el sistema de la UPOV en relación con la agricultura y el desarrollo económico del sector rural.</w:t>
      </w:r>
    </w:p>
    <w:p w14:paraId="0AF20A52" w14:textId="77777777" w:rsidR="001240C5" w:rsidRPr="006E4BE1" w:rsidRDefault="001240C5" w:rsidP="00AE50C9">
      <w:pPr>
        <w:tabs>
          <w:tab w:val="left" w:pos="851"/>
        </w:tabs>
        <w:rPr>
          <w:spacing w:val="-2"/>
          <w:lang w:val="es-ES_tradnl"/>
        </w:rPr>
      </w:pPr>
    </w:p>
    <w:p w14:paraId="69A0344D" w14:textId="77777777" w:rsidR="001240C5" w:rsidRPr="006E4BE1" w:rsidRDefault="00E111CD" w:rsidP="00AE50C9">
      <w:pPr>
        <w:tabs>
          <w:tab w:val="left" w:pos="851"/>
        </w:tabs>
        <w:rPr>
          <w:lang w:val="es-ES_tradnl"/>
        </w:rPr>
      </w:pPr>
      <w:r w:rsidRPr="006E4BE1">
        <w:rPr>
          <w:lang w:val="es-ES_tradnl"/>
        </w:rPr>
        <w:t>Cada vez hay mayor conciencia de la relevancia de la misión de la UPOV y del beneficio que aporta a la sociedad en el contexto mundial</w:t>
      </w:r>
      <w:r w:rsidR="00FE64A1" w:rsidRPr="006E4BE1">
        <w:rPr>
          <w:lang w:val="es-ES_tradnl"/>
        </w:rPr>
        <w:t xml:space="preserve">.  </w:t>
      </w:r>
      <w:r w:rsidRPr="006E4BE1">
        <w:rPr>
          <w:lang w:val="es-ES_tradnl"/>
        </w:rPr>
        <w:t>En ese contexto, se hará un mayor esfuerzo por intercambiar información y experiencias, especialmente con otras organizaciones intergubernamentales, sobre las estrategias relativas al fitomejoramiento y la protección de las variedades vegetales que aborden cuestiones de política general, en particular en lo que respecta al desarrollo sostenible.</w:t>
      </w:r>
    </w:p>
    <w:p w14:paraId="420366D6" w14:textId="77777777" w:rsidR="001240C5" w:rsidRPr="006E4BE1" w:rsidRDefault="001240C5" w:rsidP="00AE50C9">
      <w:pPr>
        <w:tabs>
          <w:tab w:val="left" w:pos="851"/>
        </w:tabs>
        <w:rPr>
          <w:spacing w:val="-2"/>
          <w:lang w:val="es-ES_tradnl"/>
        </w:rPr>
      </w:pPr>
    </w:p>
    <w:p w14:paraId="13EE3639" w14:textId="77777777" w:rsidR="001240C5" w:rsidRPr="006E4BE1" w:rsidRDefault="00E111CD" w:rsidP="005C2AAD">
      <w:pPr>
        <w:pStyle w:val="Heading5"/>
        <w:rPr>
          <w:lang w:val="es-ES_tradnl"/>
        </w:rPr>
      </w:pPr>
      <w:r w:rsidRPr="006E4BE1">
        <w:rPr>
          <w:lang w:val="es-ES_tradnl"/>
        </w:rPr>
        <w:t>Cooperación</w:t>
      </w:r>
    </w:p>
    <w:p w14:paraId="34A2D30B" w14:textId="77777777" w:rsidR="001240C5" w:rsidRPr="006E4BE1" w:rsidRDefault="001240C5" w:rsidP="00553CF5">
      <w:pPr>
        <w:rPr>
          <w:lang w:val="es-ES_tradnl"/>
        </w:rPr>
      </w:pPr>
    </w:p>
    <w:p w14:paraId="0AC4AA1E" w14:textId="77777777" w:rsidR="001240C5" w:rsidRPr="006E4BE1" w:rsidRDefault="0024002F" w:rsidP="00AE50C9">
      <w:pPr>
        <w:tabs>
          <w:tab w:val="left" w:pos="851"/>
        </w:tabs>
        <w:rPr>
          <w:lang w:val="es-ES_tradnl"/>
        </w:rPr>
      </w:pPr>
      <w:r w:rsidRPr="006E4BE1">
        <w:rPr>
          <w:lang w:val="es-ES_tradnl"/>
        </w:rPr>
        <w:t>La UPOV contribuirá a la labor de las organizaciones intergubernamentales pertinentes a fin de explicar el sistema de la UPOV de protección de las variedades vegetales y facilitar la complementariedad</w:t>
      </w:r>
      <w:r w:rsidR="00FE64A1" w:rsidRPr="006E4BE1">
        <w:rPr>
          <w:lang w:val="es-ES_tradnl"/>
        </w:rPr>
        <w:t xml:space="preserve">.  </w:t>
      </w:r>
      <w:r w:rsidRPr="006E4BE1">
        <w:rPr>
          <w:lang w:val="es-ES_tradnl"/>
        </w:rPr>
        <w:t>En particular, la UPOV seguirá manteniendo contactos con la OMPI, la OMC y, en concreto, su Consejo de los Aspectos de los Derechos de Propiedad Intelectual relacionados con el Comercio (Consejo de los ADPIC); la Conferencia de las Partes en el Convenio sobre la Diversidad Biológica (CDB), especialmente sus distintos comités y grupos de trabajo relativos al Protocolo de Nagoya sobre Acceso a los Recursos Genéticos y Participación Justa y Equitativa en los Beneficios que se Deriven de su Utilización al Convenio sobre la Diversidad Biológica; y la Organización de las Naciones Unidas para la Alimentación y la Agricultura (FAO), especialmente el órgano rector del Tratado Internacional sobre los Recursos Fitogenéticos para la Alimentación y la Agricultura (ITPGRFA).</w:t>
      </w:r>
    </w:p>
    <w:p w14:paraId="35BF07C8" w14:textId="77777777" w:rsidR="001240C5" w:rsidRPr="006E4BE1" w:rsidRDefault="001240C5" w:rsidP="00AE50C9">
      <w:pPr>
        <w:tabs>
          <w:tab w:val="left" w:pos="851"/>
        </w:tabs>
        <w:rPr>
          <w:spacing w:val="-2"/>
          <w:lang w:val="es-ES_tradnl"/>
        </w:rPr>
      </w:pPr>
    </w:p>
    <w:p w14:paraId="480A6DEE" w14:textId="77777777" w:rsidR="001240C5" w:rsidRPr="006E4BE1" w:rsidRDefault="0024002F" w:rsidP="00AE50C9">
      <w:pPr>
        <w:tabs>
          <w:tab w:val="left" w:pos="851"/>
        </w:tabs>
        <w:rPr>
          <w:spacing w:val="-2"/>
          <w:lang w:val="es-ES_tradnl"/>
        </w:rPr>
      </w:pPr>
      <w:r w:rsidRPr="006E4BE1">
        <w:rPr>
          <w:spacing w:val="-2"/>
          <w:lang w:val="es-ES_tradnl"/>
        </w:rPr>
        <w:t>La UPOV tratará de mejorar las comunicaciones con las organizaciones no gubernamentales que representan a los sectores interesados, incluidos los obtentores, los agricultores y la sociedad civil, a fin de mejorar la comprensión mutua con miras a lograr el objetivo de la UPOV de proporcionar y fomentar un sistema eficaz para la protección de las variedades vegetales.</w:t>
      </w:r>
    </w:p>
    <w:p w14:paraId="532825FE" w14:textId="77777777" w:rsidR="001240C5" w:rsidRPr="006E4BE1" w:rsidRDefault="001240C5" w:rsidP="00AE50C9">
      <w:pPr>
        <w:tabs>
          <w:tab w:val="left" w:pos="851"/>
        </w:tabs>
        <w:rPr>
          <w:spacing w:val="-2"/>
          <w:lang w:val="es-ES_tradnl"/>
        </w:rPr>
      </w:pPr>
    </w:p>
    <w:p w14:paraId="135062A7" w14:textId="77777777" w:rsidR="001240C5" w:rsidRPr="006E4BE1" w:rsidRDefault="00C52492" w:rsidP="00AE50C9">
      <w:pPr>
        <w:tabs>
          <w:tab w:val="left" w:pos="851"/>
        </w:tabs>
        <w:rPr>
          <w:lang w:val="es-ES_tradnl"/>
        </w:rPr>
      </w:pPr>
      <w:r w:rsidRPr="006E4BE1">
        <w:rPr>
          <w:snapToGrid w:val="0"/>
          <w:lang w:val="es-ES_tradnl"/>
        </w:rPr>
        <w:t xml:space="preserve">La misión de la Alianza Mundial por las Semillas (WSP) de mejorar la cooperación entre las organizaciones asociadas (OCDE, UPOV, AIES, ISF y OMA) y de proporcionar un punto de referencia sobre la función de los sistemas de semillas armonizados internacionalmente en apoyo de la agricultura sostenible (véase </w:t>
      </w:r>
      <w:hyperlink r:id="rId26" w:history="1">
        <w:r w:rsidRPr="006E4BE1">
          <w:rPr>
            <w:rStyle w:val="Hyperlink"/>
            <w:rFonts w:cs="Arial"/>
            <w:lang w:val="es-ES_tradnl"/>
          </w:rPr>
          <w:t>http://www.worldseedpartnership.org/</w:t>
        </w:r>
      </w:hyperlink>
      <w:r w:rsidRPr="006E4BE1">
        <w:rPr>
          <w:snapToGrid w:val="0"/>
          <w:lang w:val="es-ES_tradnl"/>
        </w:rPr>
        <w:t>) seguirá desempeñando un papel importante en el bienio 2022-2023</w:t>
      </w:r>
      <w:r w:rsidR="00FE64A1" w:rsidRPr="006E4BE1">
        <w:rPr>
          <w:snapToGrid w:val="0"/>
          <w:lang w:val="es-ES_tradnl"/>
        </w:rPr>
        <w:t xml:space="preserve">.  </w:t>
      </w:r>
      <w:r w:rsidRPr="006E4BE1">
        <w:rPr>
          <w:snapToGrid w:val="0"/>
          <w:lang w:val="es-ES_tradnl"/>
        </w:rPr>
        <w:t>Al mismo tiempo, la UPOV seguirá cooperando con la Organización de Cooperación y Desarrollo Económicos (OCDE), con respecto a los sistemas de comercio de semillas de la OCDE, y con la Asociación Internacional para el Ensayo de Semillas (AIES), en relación con cuestiones técnicas como</w:t>
      </w:r>
      <w:r w:rsidR="00C04845" w:rsidRPr="006E4BE1">
        <w:rPr>
          <w:lang w:val="es-ES_tradnl"/>
        </w:rPr>
        <w:t xml:space="preserve"> </w:t>
      </w:r>
      <w:r w:rsidRPr="006E4BE1">
        <w:rPr>
          <w:lang w:val="es-ES_tradnl"/>
        </w:rPr>
        <w:t xml:space="preserve">el examen DHE, las denominaciones de variedades y </w:t>
      </w:r>
      <w:r w:rsidR="00D35722" w:rsidRPr="006E4BE1">
        <w:rPr>
          <w:lang w:val="es-ES_tradnl"/>
        </w:rPr>
        <w:t xml:space="preserve">la </w:t>
      </w:r>
      <w:r w:rsidRPr="006E4BE1">
        <w:rPr>
          <w:lang w:val="es-ES_tradnl"/>
        </w:rPr>
        <w:t>función de los marcadores moleculares en el examen y la identificación de variedades</w:t>
      </w:r>
      <w:r w:rsidR="00FE64A1" w:rsidRPr="006E4BE1">
        <w:rPr>
          <w:lang w:val="es-ES_tradnl"/>
        </w:rPr>
        <w:t xml:space="preserve">.  </w:t>
      </w:r>
      <w:r w:rsidRPr="006E4BE1">
        <w:rPr>
          <w:lang w:val="es-ES_tradnl"/>
        </w:rPr>
        <w:t>En relación con las denominaciones de variedades, también tiene importancia la colaboración con la Comisión Internacional para la Nomenclatura de Plantas Cultivadas de la Unión Internacional de Ciencias Biológicas.</w:t>
      </w:r>
    </w:p>
    <w:p w14:paraId="0DE54DA1" w14:textId="77777777" w:rsidR="001240C5" w:rsidRPr="006E4BE1" w:rsidRDefault="001240C5" w:rsidP="00AE50C9">
      <w:pPr>
        <w:tabs>
          <w:tab w:val="left" w:pos="851"/>
        </w:tabs>
        <w:rPr>
          <w:spacing w:val="-2"/>
          <w:lang w:val="es-ES_tradnl"/>
        </w:rPr>
      </w:pPr>
    </w:p>
    <w:p w14:paraId="14AFF271" w14:textId="77777777" w:rsidR="001240C5" w:rsidRPr="006E4BE1" w:rsidRDefault="00C52492" w:rsidP="005C2AAD">
      <w:pPr>
        <w:pStyle w:val="Heading5"/>
        <w:rPr>
          <w:lang w:val="es-ES_tradnl"/>
        </w:rPr>
      </w:pPr>
      <w:r w:rsidRPr="006E4BE1">
        <w:rPr>
          <w:lang w:val="es-ES_tradnl"/>
        </w:rPr>
        <w:t>Comunicación</w:t>
      </w:r>
    </w:p>
    <w:p w14:paraId="3CF486AF" w14:textId="77777777" w:rsidR="001240C5" w:rsidRPr="006E4BE1" w:rsidRDefault="001240C5" w:rsidP="00553CF5">
      <w:pPr>
        <w:rPr>
          <w:lang w:val="es-ES_tradnl"/>
        </w:rPr>
      </w:pPr>
    </w:p>
    <w:p w14:paraId="1FDB4A67" w14:textId="77777777" w:rsidR="001240C5" w:rsidRPr="006E4BE1" w:rsidRDefault="00C52492" w:rsidP="00AE50C9">
      <w:pPr>
        <w:tabs>
          <w:tab w:val="left" w:pos="851"/>
        </w:tabs>
        <w:rPr>
          <w:lang w:val="es-ES_tradnl"/>
        </w:rPr>
      </w:pPr>
      <w:r w:rsidRPr="006E4BE1">
        <w:rPr>
          <w:lang w:val="es-ES_tradnl"/>
        </w:rPr>
        <w:t>El éxito de este subprograma se basa en la elaboración y el uso de información adecuada, combinada con canales de comunicación efectivos.</w:t>
      </w:r>
    </w:p>
    <w:p w14:paraId="3AC2026C" w14:textId="77777777" w:rsidR="001240C5" w:rsidRPr="006E4BE1" w:rsidRDefault="001240C5" w:rsidP="00AE50C9">
      <w:pPr>
        <w:tabs>
          <w:tab w:val="left" w:pos="851"/>
        </w:tabs>
        <w:rPr>
          <w:lang w:val="es-ES_tradnl"/>
        </w:rPr>
      </w:pPr>
    </w:p>
    <w:p w14:paraId="1E8ECF49" w14:textId="77777777" w:rsidR="001240C5" w:rsidRPr="006E4BE1" w:rsidRDefault="00926600" w:rsidP="00AE50C9">
      <w:pPr>
        <w:tabs>
          <w:tab w:val="left" w:pos="851"/>
        </w:tabs>
        <w:rPr>
          <w:lang w:val="es-ES_tradnl"/>
        </w:rPr>
      </w:pPr>
      <w:r w:rsidRPr="006E4BE1">
        <w:rPr>
          <w:lang w:val="es-ES_tradnl"/>
        </w:rPr>
        <w:lastRenderedPageBreak/>
        <w:t>En cuanto al contenido, la UPOV dispone de un volumen considerable de información sobre la incidencia de la protección de las obtenciones vegetales y la pertenencia a la Unión</w:t>
      </w:r>
      <w:r w:rsidR="00FE64A1" w:rsidRPr="006E4BE1">
        <w:rPr>
          <w:lang w:val="es-ES_tradnl"/>
        </w:rPr>
        <w:t xml:space="preserve">.  </w:t>
      </w:r>
      <w:r w:rsidRPr="006E4BE1">
        <w:rPr>
          <w:lang w:val="es-ES_tradnl"/>
        </w:rPr>
        <w:t xml:space="preserve">La información, en forma de vídeos y documentos publicados, está disponible en el sitio web de la UPOV, según corresponda (véase </w:t>
      </w:r>
      <w:hyperlink r:id="rId27" w:history="1">
        <w:r w:rsidRPr="006E4BE1">
          <w:rPr>
            <w:rStyle w:val="Hyperlink"/>
            <w:rFonts w:cs="Arial"/>
            <w:lang w:val="es-ES_tradnl"/>
          </w:rPr>
          <w:t>https://www.upov.int/about/es/benefits_upov_system.html</w:t>
        </w:r>
      </w:hyperlink>
      <w:r w:rsidRPr="006E4BE1">
        <w:rPr>
          <w:lang w:val="es-ES_tradnl"/>
        </w:rPr>
        <w:t>)</w:t>
      </w:r>
      <w:r w:rsidR="00FE64A1" w:rsidRPr="006E4BE1">
        <w:rPr>
          <w:lang w:val="es-ES_tradnl"/>
        </w:rPr>
        <w:t xml:space="preserve">.  </w:t>
      </w:r>
      <w:r w:rsidRPr="006E4BE1">
        <w:rPr>
          <w:spacing w:val="-2"/>
          <w:lang w:val="es-ES_tradnl"/>
        </w:rPr>
        <w:t>El resto de información pertinente que no se ha plasmado en vídeos o publicaciones se comunica por medio de eventos y actividades, cursos y, cada vez más, redes sociales.</w:t>
      </w:r>
    </w:p>
    <w:p w14:paraId="67B2E561" w14:textId="77777777" w:rsidR="001240C5" w:rsidRPr="006E4BE1" w:rsidRDefault="001240C5" w:rsidP="00AE50C9">
      <w:pPr>
        <w:tabs>
          <w:tab w:val="left" w:pos="851"/>
        </w:tabs>
        <w:rPr>
          <w:lang w:val="es-ES_tradnl"/>
        </w:rPr>
      </w:pPr>
    </w:p>
    <w:p w14:paraId="620A0918" w14:textId="77777777" w:rsidR="001240C5" w:rsidRPr="006E4BE1" w:rsidRDefault="00926600" w:rsidP="00AE50C9">
      <w:pPr>
        <w:tabs>
          <w:tab w:val="left" w:pos="851"/>
        </w:tabs>
        <w:rPr>
          <w:lang w:val="es-ES_tradnl"/>
        </w:rPr>
      </w:pPr>
      <w:r w:rsidRPr="006E4BE1">
        <w:rPr>
          <w:lang w:val="es-ES_tradnl"/>
        </w:rPr>
        <w:t>En el bienio 2022-2023, la atención se centrará en el desarrollo de nueva información relativa a las ventajas que ofrece la protección de las variedades vegetales y la pertenencia a la UPOV, en estrecha colaboración con los miembros de la Unión</w:t>
      </w:r>
      <w:r w:rsidR="00FE64A1" w:rsidRPr="006E4BE1">
        <w:rPr>
          <w:lang w:val="es-ES_tradnl"/>
        </w:rPr>
        <w:t xml:space="preserve">.  </w:t>
      </w:r>
      <w:r w:rsidR="00092F2A" w:rsidRPr="006E4BE1">
        <w:rPr>
          <w:lang w:val="es-ES_tradnl"/>
        </w:rPr>
        <w:t>En particular, la Oficina de la Unión procurará aumentar la colaboración con los miembros, por ejemplo, con motivo de con los aniversarios y eventos organizados por los miembros, o solicitando información sobre temas específicos.</w:t>
      </w:r>
    </w:p>
    <w:p w14:paraId="360BCD83" w14:textId="77777777" w:rsidR="001240C5" w:rsidRPr="006E4BE1" w:rsidRDefault="001240C5" w:rsidP="00AE50C9">
      <w:pPr>
        <w:tabs>
          <w:tab w:val="left" w:pos="851"/>
        </w:tabs>
        <w:rPr>
          <w:lang w:val="es-ES_tradnl"/>
        </w:rPr>
      </w:pPr>
    </w:p>
    <w:p w14:paraId="7DD7F4BA" w14:textId="77777777" w:rsidR="001240C5" w:rsidRPr="006E4BE1" w:rsidRDefault="001240C5" w:rsidP="00AE50C9">
      <w:pPr>
        <w:tabs>
          <w:tab w:val="left" w:pos="851"/>
        </w:tabs>
        <w:rPr>
          <w:lang w:val="es-ES_tradnl"/>
        </w:rPr>
      </w:pPr>
    </w:p>
    <w:p w14:paraId="510454F4" w14:textId="77777777" w:rsidR="001240C5" w:rsidRPr="006E4BE1" w:rsidRDefault="00092F2A" w:rsidP="00B60E92">
      <w:pPr>
        <w:pStyle w:val="Heading3"/>
      </w:pPr>
      <w:bookmarkStart w:id="451" w:name="_Toc78476729"/>
      <w:r w:rsidRPr="006E4BE1">
        <w:t>Actividades</w:t>
      </w:r>
      <w:bookmarkEnd w:id="451"/>
    </w:p>
    <w:p w14:paraId="2E3BF24D" w14:textId="77777777" w:rsidR="001240C5" w:rsidRPr="006E4BE1" w:rsidRDefault="001240C5" w:rsidP="00553CF5">
      <w:pPr>
        <w:rPr>
          <w:lang w:val="es-ES_tradnl"/>
        </w:rPr>
      </w:pPr>
    </w:p>
    <w:p w14:paraId="2EBFB2E0" w14:textId="77777777" w:rsidR="001240C5" w:rsidRPr="006E4BE1" w:rsidRDefault="00092F2A" w:rsidP="00AE50C9">
      <w:pPr>
        <w:numPr>
          <w:ilvl w:val="0"/>
          <w:numId w:val="12"/>
        </w:numPr>
        <w:tabs>
          <w:tab w:val="clear" w:pos="720"/>
        </w:tabs>
        <w:spacing w:after="120"/>
        <w:ind w:left="1134" w:hanging="504"/>
        <w:rPr>
          <w:lang w:val="es-ES_tradnl"/>
        </w:rPr>
      </w:pPr>
      <w:r w:rsidRPr="006E4BE1">
        <w:rPr>
          <w:lang w:val="es-ES_tradnl"/>
        </w:rPr>
        <w:t>Participación en reuniones con organizaciones intergubernamentales y no gubernamentales</w:t>
      </w:r>
    </w:p>
    <w:p w14:paraId="632065EF" w14:textId="77777777" w:rsidR="001240C5" w:rsidRPr="006E4BE1" w:rsidRDefault="00092F2A" w:rsidP="00AE50C9">
      <w:pPr>
        <w:numPr>
          <w:ilvl w:val="0"/>
          <w:numId w:val="12"/>
        </w:numPr>
        <w:tabs>
          <w:tab w:val="clear" w:pos="720"/>
        </w:tabs>
        <w:spacing w:after="120"/>
        <w:ind w:left="1134" w:hanging="504"/>
        <w:rPr>
          <w:lang w:val="es-ES_tradnl"/>
        </w:rPr>
      </w:pPr>
      <w:r w:rsidRPr="006E4BE1">
        <w:rPr>
          <w:lang w:val="es-ES_tradnl"/>
        </w:rPr>
        <w:t>Formulación de comentarios y aporte de información a otras organizaciones</w:t>
      </w:r>
    </w:p>
    <w:p w14:paraId="507A8A22" w14:textId="77777777" w:rsidR="001240C5" w:rsidRPr="006E4BE1" w:rsidRDefault="00092F2A" w:rsidP="00AE50C9">
      <w:pPr>
        <w:numPr>
          <w:ilvl w:val="0"/>
          <w:numId w:val="12"/>
        </w:numPr>
        <w:spacing w:after="120"/>
        <w:ind w:left="1134" w:hanging="505"/>
        <w:rPr>
          <w:lang w:val="es-ES_tradnl"/>
        </w:rPr>
      </w:pPr>
      <w:r w:rsidRPr="006E4BE1">
        <w:rPr>
          <w:lang w:val="es-ES_tradnl"/>
        </w:rPr>
        <w:t>Elaboración de material informativo para las partes interesadas tal como preguntas frecuentes</w:t>
      </w:r>
    </w:p>
    <w:p w14:paraId="3B384F78" w14:textId="77777777" w:rsidR="001240C5" w:rsidRPr="006E4BE1" w:rsidRDefault="00092F2A" w:rsidP="00AE50C9">
      <w:pPr>
        <w:numPr>
          <w:ilvl w:val="0"/>
          <w:numId w:val="12"/>
        </w:numPr>
        <w:spacing w:after="120"/>
        <w:ind w:left="1134" w:hanging="505"/>
        <w:rPr>
          <w:lang w:val="es-ES_tradnl"/>
        </w:rPr>
      </w:pPr>
      <w:r w:rsidRPr="006E4BE1">
        <w:rPr>
          <w:lang w:val="es-ES_tradnl"/>
        </w:rPr>
        <w:t>Mantenimiento y desarrollo del sitio web de la UPOV</w:t>
      </w:r>
    </w:p>
    <w:p w14:paraId="0BD9979A" w14:textId="77777777" w:rsidR="001240C5" w:rsidRPr="006E4BE1" w:rsidRDefault="00092F2A" w:rsidP="00AE50C9">
      <w:pPr>
        <w:pStyle w:val="ListParagraph"/>
        <w:numPr>
          <w:ilvl w:val="0"/>
          <w:numId w:val="12"/>
        </w:numPr>
        <w:spacing w:after="120"/>
        <w:ind w:left="1134" w:hanging="505"/>
        <w:contextualSpacing w:val="0"/>
        <w:rPr>
          <w:lang w:val="es-ES_tradnl"/>
        </w:rPr>
      </w:pPr>
      <w:r w:rsidRPr="006E4BE1">
        <w:rPr>
          <w:lang w:val="es-ES_tradnl"/>
        </w:rPr>
        <w:t>Uso de las redes sociales</w:t>
      </w:r>
    </w:p>
    <w:p w14:paraId="63E744A9" w14:textId="77777777" w:rsidR="001240C5" w:rsidRPr="006E4BE1" w:rsidRDefault="00092F2A" w:rsidP="00AE50C9">
      <w:pPr>
        <w:pStyle w:val="ListParagraph"/>
        <w:numPr>
          <w:ilvl w:val="0"/>
          <w:numId w:val="12"/>
        </w:numPr>
        <w:spacing w:after="120"/>
        <w:ind w:left="1134" w:hanging="504"/>
        <w:contextualSpacing w:val="0"/>
        <w:rPr>
          <w:lang w:val="es-ES_tradnl"/>
        </w:rPr>
      </w:pPr>
      <w:r w:rsidRPr="006E4BE1">
        <w:rPr>
          <w:lang w:val="es-ES_tradnl"/>
        </w:rPr>
        <w:t>Seminarios o simposios sobre temas pertinentes</w:t>
      </w:r>
    </w:p>
    <w:p w14:paraId="3A41F4DE" w14:textId="77777777" w:rsidR="001240C5" w:rsidRPr="006E4BE1" w:rsidRDefault="001240C5" w:rsidP="00AE50C9">
      <w:pPr>
        <w:rPr>
          <w:lang w:val="es-ES_tradnl"/>
        </w:rPr>
      </w:pPr>
    </w:p>
    <w:p w14:paraId="0F5BAA97" w14:textId="77777777" w:rsidR="001240C5" w:rsidRPr="006E4BE1" w:rsidRDefault="001240C5" w:rsidP="00AE50C9">
      <w:pPr>
        <w:rPr>
          <w:lang w:val="es-ES_tradnl"/>
        </w:rPr>
      </w:pPr>
    </w:p>
    <w:p w14:paraId="45FB96E6" w14:textId="77777777" w:rsidR="001240C5" w:rsidRPr="006E4BE1" w:rsidRDefault="00092F2A" w:rsidP="00B60E92">
      <w:pPr>
        <w:pStyle w:val="Heading3"/>
      </w:pPr>
      <w:bookmarkStart w:id="452" w:name="_Toc78476730"/>
      <w:r w:rsidRPr="006E4BE1">
        <w:t>Resultados previstos e indicadores de rendimiento</w:t>
      </w:r>
      <w:bookmarkEnd w:id="452"/>
    </w:p>
    <w:p w14:paraId="04B50F67" w14:textId="4AAC1056" w:rsidR="00553CF5" w:rsidRPr="006E4BE1" w:rsidRDefault="00553CF5" w:rsidP="00553CF5">
      <w:pPr>
        <w:rPr>
          <w:lang w:val="es-ES_tradnl"/>
        </w:rPr>
      </w:pPr>
    </w:p>
    <w:tbl>
      <w:tblPr>
        <w:tblW w:w="9644" w:type="dxa"/>
        <w:tblInd w:w="142" w:type="dxa"/>
        <w:tblLayout w:type="fixed"/>
        <w:tblCellMar>
          <w:top w:w="57" w:type="dxa"/>
          <w:left w:w="57" w:type="dxa"/>
          <w:bottom w:w="28" w:type="dxa"/>
          <w:right w:w="57" w:type="dxa"/>
        </w:tblCellMar>
        <w:tblLook w:val="0000" w:firstRow="0" w:lastRow="0" w:firstColumn="0" w:lastColumn="0" w:noHBand="0" w:noVBand="0"/>
      </w:tblPr>
      <w:tblGrid>
        <w:gridCol w:w="4106"/>
        <w:gridCol w:w="5538"/>
      </w:tblGrid>
      <w:tr w:rsidR="008C5BB5" w:rsidRPr="006E4BE1" w14:paraId="0915310A" w14:textId="77777777" w:rsidTr="00C20F3E">
        <w:trPr>
          <w:cantSplit/>
          <w:tblHeader/>
        </w:trPr>
        <w:tc>
          <w:tcPr>
            <w:tcW w:w="4106" w:type="dxa"/>
            <w:tcBorders>
              <w:bottom w:val="single" w:sz="4" w:space="0" w:color="A6A6A6" w:themeColor="background1" w:themeShade="A6"/>
            </w:tcBorders>
            <w:shd w:val="clear" w:color="auto" w:fill="C6CFD7" w:themeFill="accent3" w:themeFillTint="66"/>
          </w:tcPr>
          <w:p w14:paraId="42C2525F" w14:textId="626AA6F8" w:rsidR="008C5BB5" w:rsidRPr="006E4BE1" w:rsidRDefault="00092F2A" w:rsidP="00AE50C9">
            <w:pPr>
              <w:ind w:left="397" w:hanging="397"/>
              <w:jc w:val="center"/>
              <w:rPr>
                <w:b/>
                <w:color w:val="000000"/>
                <w:lang w:val="es-ES_tradnl"/>
              </w:rPr>
            </w:pPr>
            <w:r w:rsidRPr="006E4BE1">
              <w:rPr>
                <w:b/>
                <w:color w:val="000000"/>
                <w:lang w:val="es-ES_tradnl"/>
              </w:rPr>
              <w:t>Resultados previstos</w:t>
            </w:r>
          </w:p>
        </w:tc>
        <w:tc>
          <w:tcPr>
            <w:tcW w:w="5538" w:type="dxa"/>
            <w:tcBorders>
              <w:bottom w:val="single" w:sz="4" w:space="0" w:color="A6A6A6" w:themeColor="background1" w:themeShade="A6"/>
            </w:tcBorders>
            <w:shd w:val="clear" w:color="auto" w:fill="C6CFD7" w:themeFill="accent3" w:themeFillTint="66"/>
          </w:tcPr>
          <w:p w14:paraId="33DEE573" w14:textId="677B2EED" w:rsidR="008C5BB5" w:rsidRPr="006E4BE1" w:rsidRDefault="00092F2A" w:rsidP="00AE50C9">
            <w:pPr>
              <w:ind w:left="397" w:hanging="397"/>
              <w:jc w:val="center"/>
              <w:rPr>
                <w:b/>
                <w:color w:val="000000"/>
                <w:lang w:val="es-ES_tradnl"/>
              </w:rPr>
            </w:pPr>
            <w:r w:rsidRPr="006E4BE1">
              <w:rPr>
                <w:b/>
                <w:color w:val="000000"/>
                <w:lang w:val="es-ES_tradnl"/>
              </w:rPr>
              <w:t>Indicadores de rendimiento</w:t>
            </w:r>
          </w:p>
        </w:tc>
      </w:tr>
      <w:tr w:rsidR="008C5BB5" w:rsidRPr="001D7D80" w14:paraId="3AF69A20" w14:textId="77777777" w:rsidTr="00C20F3E">
        <w:trPr>
          <w:cantSplit/>
        </w:trPr>
        <w:tc>
          <w:tcPr>
            <w:tcW w:w="4106" w:type="dxa"/>
            <w:tcBorders>
              <w:top w:val="single" w:sz="4" w:space="0" w:color="A6A6A6" w:themeColor="background1" w:themeShade="A6"/>
              <w:bottom w:val="single" w:sz="4" w:space="0" w:color="A6A6A6" w:themeColor="background1" w:themeShade="A6"/>
            </w:tcBorders>
          </w:tcPr>
          <w:p w14:paraId="0D071252" w14:textId="5C6B284D" w:rsidR="008C5BB5" w:rsidRPr="006E4BE1" w:rsidRDefault="00092F2A" w:rsidP="00AE50C9">
            <w:pPr>
              <w:ind w:left="326" w:hanging="326"/>
              <w:jc w:val="left"/>
              <w:rPr>
                <w:color w:val="000000"/>
                <w:lang w:val="es-ES_tradnl"/>
              </w:rPr>
            </w:pPr>
            <w:r w:rsidRPr="006E4BE1">
              <w:rPr>
                <w:color w:val="000000"/>
                <w:lang w:val="es-ES_tradnl"/>
              </w:rPr>
              <w:t>12.</w:t>
            </w:r>
            <w:r w:rsidRPr="006E4BE1">
              <w:rPr>
                <w:color w:val="000000"/>
                <w:lang w:val="es-ES_tradnl"/>
              </w:rPr>
              <w:tab/>
              <w:t xml:space="preserve">Concienciación </w:t>
            </w:r>
            <w:r w:rsidR="00EF0CC7" w:rsidRPr="006E4BE1">
              <w:rPr>
                <w:color w:val="000000"/>
                <w:lang w:val="es-ES_tradnl"/>
              </w:rPr>
              <w:t>sobre</w:t>
            </w:r>
            <w:r w:rsidRPr="006E4BE1">
              <w:rPr>
                <w:color w:val="000000"/>
                <w:lang w:val="es-ES_tradnl"/>
              </w:rPr>
              <w:t xml:space="preserve"> la función y las actividades de la UPOV</w:t>
            </w:r>
          </w:p>
        </w:tc>
        <w:tc>
          <w:tcPr>
            <w:tcW w:w="5538" w:type="dxa"/>
            <w:tcBorders>
              <w:top w:val="single" w:sz="4" w:space="0" w:color="A6A6A6" w:themeColor="background1" w:themeShade="A6"/>
              <w:bottom w:val="single" w:sz="4" w:space="0" w:color="A6A6A6" w:themeColor="background1" w:themeShade="A6"/>
            </w:tcBorders>
          </w:tcPr>
          <w:p w14:paraId="1932030B" w14:textId="77777777" w:rsidR="001240C5" w:rsidRPr="006E4BE1" w:rsidRDefault="00092F2A" w:rsidP="00AE50C9">
            <w:pPr>
              <w:numPr>
                <w:ilvl w:val="0"/>
                <w:numId w:val="58"/>
              </w:numPr>
              <w:ind w:left="368"/>
              <w:jc w:val="left"/>
              <w:rPr>
                <w:color w:val="000000"/>
                <w:lang w:val="es-ES_tradnl"/>
              </w:rPr>
            </w:pPr>
            <w:r w:rsidRPr="006E4BE1">
              <w:rPr>
                <w:color w:val="000000"/>
                <w:lang w:val="es-ES_tradnl"/>
              </w:rPr>
              <w:t>Número de nuevos visitantes del sitio web de la UPOV;</w:t>
            </w:r>
          </w:p>
          <w:p w14:paraId="01E4252F" w14:textId="77777777" w:rsidR="001240C5" w:rsidRPr="006E4BE1" w:rsidRDefault="00092F2A" w:rsidP="00AE50C9">
            <w:pPr>
              <w:numPr>
                <w:ilvl w:val="0"/>
                <w:numId w:val="58"/>
              </w:numPr>
              <w:ind w:left="368"/>
              <w:jc w:val="left"/>
              <w:rPr>
                <w:color w:val="000000"/>
                <w:lang w:val="es-ES_tradnl"/>
              </w:rPr>
            </w:pPr>
            <w:r w:rsidRPr="006E4BE1">
              <w:rPr>
                <w:color w:val="000000"/>
                <w:lang w:val="es-ES_tradnl"/>
              </w:rPr>
              <w:t>Número de visitas a las funciones de carácter público del sitio web de la UPOV;</w:t>
            </w:r>
          </w:p>
          <w:p w14:paraId="678C3388" w14:textId="77777777" w:rsidR="001240C5" w:rsidRPr="006E4BE1" w:rsidRDefault="00092F2A" w:rsidP="00AE50C9">
            <w:pPr>
              <w:numPr>
                <w:ilvl w:val="0"/>
                <w:numId w:val="58"/>
              </w:numPr>
              <w:ind w:left="368"/>
              <w:jc w:val="left"/>
              <w:rPr>
                <w:color w:val="000000"/>
                <w:lang w:val="es-ES_tradnl"/>
              </w:rPr>
            </w:pPr>
            <w:r w:rsidRPr="006E4BE1">
              <w:rPr>
                <w:color w:val="000000"/>
                <w:lang w:val="es-ES_tradnl"/>
              </w:rPr>
              <w:t>Número de publicaciones en las redes sociales;</w:t>
            </w:r>
          </w:p>
          <w:p w14:paraId="42914672" w14:textId="77777777" w:rsidR="001240C5" w:rsidRPr="006E4BE1" w:rsidRDefault="00092F2A" w:rsidP="00AE50C9">
            <w:pPr>
              <w:numPr>
                <w:ilvl w:val="0"/>
                <w:numId w:val="58"/>
              </w:numPr>
              <w:ind w:left="368"/>
              <w:jc w:val="left"/>
              <w:rPr>
                <w:color w:val="000000"/>
                <w:lang w:val="es-ES_tradnl"/>
              </w:rPr>
            </w:pPr>
            <w:r w:rsidRPr="006E4BE1">
              <w:rPr>
                <w:color w:val="000000"/>
                <w:lang w:val="es-ES_tradnl"/>
              </w:rPr>
              <w:t>Número de seguidores en las redes sociales;</w:t>
            </w:r>
          </w:p>
          <w:p w14:paraId="22FDD181" w14:textId="77777777" w:rsidR="001240C5" w:rsidRPr="006E4BE1" w:rsidRDefault="00092F2A" w:rsidP="00AE50C9">
            <w:pPr>
              <w:numPr>
                <w:ilvl w:val="0"/>
                <w:numId w:val="58"/>
              </w:numPr>
              <w:ind w:left="368"/>
              <w:jc w:val="left"/>
              <w:rPr>
                <w:lang w:val="es-ES_tradnl"/>
              </w:rPr>
            </w:pPr>
            <w:r w:rsidRPr="006E4BE1">
              <w:rPr>
                <w:lang w:val="es-ES_tradnl"/>
              </w:rPr>
              <w:t>Número de estudios publicados en el sitio web de la UPOV;</w:t>
            </w:r>
          </w:p>
          <w:p w14:paraId="07E3BE55" w14:textId="77777777" w:rsidR="001240C5" w:rsidRPr="006E4BE1" w:rsidRDefault="00092F2A" w:rsidP="00AE50C9">
            <w:pPr>
              <w:numPr>
                <w:ilvl w:val="0"/>
                <w:numId w:val="58"/>
              </w:numPr>
              <w:ind w:left="368"/>
              <w:jc w:val="left"/>
              <w:rPr>
                <w:lang w:val="es-ES_tradnl"/>
              </w:rPr>
            </w:pPr>
            <w:r w:rsidRPr="006E4BE1">
              <w:rPr>
                <w:lang w:val="es-ES_tradnl"/>
              </w:rPr>
              <w:t>Número de videos publicados en el sitio web de la UPOV;</w:t>
            </w:r>
          </w:p>
          <w:p w14:paraId="5421EF4B" w14:textId="77777777" w:rsidR="001240C5" w:rsidRPr="006E4BE1" w:rsidRDefault="00092F2A" w:rsidP="00AE50C9">
            <w:pPr>
              <w:numPr>
                <w:ilvl w:val="0"/>
                <w:numId w:val="58"/>
              </w:numPr>
              <w:ind w:left="368"/>
              <w:jc w:val="left"/>
              <w:rPr>
                <w:lang w:val="es-ES_tradnl"/>
              </w:rPr>
            </w:pPr>
            <w:r w:rsidRPr="006E4BE1">
              <w:rPr>
                <w:lang w:val="es-ES_tradnl"/>
              </w:rPr>
              <w:t>Número de visitas a la página de ventajas del sitio web de la UPOV;</w:t>
            </w:r>
          </w:p>
          <w:p w14:paraId="76827AEF" w14:textId="77777777" w:rsidR="001240C5" w:rsidRPr="006E4BE1" w:rsidRDefault="00092F2A" w:rsidP="00AE50C9">
            <w:pPr>
              <w:numPr>
                <w:ilvl w:val="0"/>
                <w:numId w:val="58"/>
              </w:numPr>
              <w:ind w:left="368"/>
              <w:jc w:val="left"/>
              <w:rPr>
                <w:lang w:val="es-ES_tradnl"/>
              </w:rPr>
            </w:pPr>
            <w:r w:rsidRPr="006E4BE1">
              <w:rPr>
                <w:lang w:val="es-ES_tradnl"/>
              </w:rPr>
              <w:t>Número de idiomas en que se publican estudios y vídeos;</w:t>
            </w:r>
          </w:p>
          <w:p w14:paraId="1E56F7B1" w14:textId="77777777" w:rsidR="001240C5" w:rsidRPr="006E4BE1" w:rsidRDefault="00092F2A" w:rsidP="00AE50C9">
            <w:pPr>
              <w:numPr>
                <w:ilvl w:val="0"/>
                <w:numId w:val="58"/>
              </w:numPr>
              <w:ind w:left="368"/>
              <w:jc w:val="left"/>
              <w:rPr>
                <w:color w:val="000000"/>
                <w:lang w:val="es-ES_tradnl"/>
              </w:rPr>
            </w:pPr>
            <w:r w:rsidRPr="006E4BE1">
              <w:rPr>
                <w:color w:val="000000"/>
                <w:lang w:val="es-ES_tradnl"/>
              </w:rPr>
              <w:t>Participación en reuniones con los sectores interesados pertinentes;</w:t>
            </w:r>
          </w:p>
          <w:p w14:paraId="1ECA76B2" w14:textId="77777777" w:rsidR="001240C5" w:rsidRPr="006E4BE1" w:rsidRDefault="00092F2A" w:rsidP="00AE50C9">
            <w:pPr>
              <w:numPr>
                <w:ilvl w:val="0"/>
                <w:numId w:val="58"/>
              </w:numPr>
              <w:ind w:left="368"/>
              <w:jc w:val="left"/>
              <w:rPr>
                <w:color w:val="000000"/>
                <w:lang w:val="es-ES_tradnl"/>
              </w:rPr>
            </w:pPr>
            <w:r w:rsidRPr="006E4BE1">
              <w:rPr>
                <w:color w:val="000000"/>
                <w:lang w:val="es-ES_tradnl"/>
              </w:rPr>
              <w:t>Participación de los sectores interesados en eventos, seminarios y simposios;</w:t>
            </w:r>
          </w:p>
          <w:p w14:paraId="58471B7E" w14:textId="09691154" w:rsidR="00E94B57" w:rsidRPr="006E4BE1" w:rsidRDefault="00D35722" w:rsidP="00AE50C9">
            <w:pPr>
              <w:numPr>
                <w:ilvl w:val="0"/>
                <w:numId w:val="58"/>
              </w:numPr>
              <w:ind w:left="368"/>
              <w:jc w:val="left"/>
              <w:rPr>
                <w:color w:val="000000"/>
                <w:lang w:val="es-ES_tradnl"/>
              </w:rPr>
            </w:pPr>
            <w:r w:rsidRPr="006E4BE1">
              <w:rPr>
                <w:color w:val="000000"/>
                <w:lang w:val="es-ES_tradnl"/>
              </w:rPr>
              <w:t>Iniciativas de la Alianza Mundial por las Semillas.</w:t>
            </w:r>
          </w:p>
        </w:tc>
      </w:tr>
    </w:tbl>
    <w:p w14:paraId="58384076" w14:textId="77777777" w:rsidR="001240C5" w:rsidRPr="006E4BE1" w:rsidRDefault="001240C5" w:rsidP="00AE50C9">
      <w:pPr>
        <w:rPr>
          <w:lang w:val="es-ES_tradnl"/>
        </w:rPr>
      </w:pPr>
    </w:p>
    <w:p w14:paraId="0B40BDC1" w14:textId="77777777" w:rsidR="001240C5" w:rsidRPr="006E4BE1" w:rsidRDefault="008C5BB5" w:rsidP="00AE50C9">
      <w:pPr>
        <w:jc w:val="left"/>
        <w:rPr>
          <w:b/>
          <w:lang w:val="es-ES_tradnl"/>
        </w:rPr>
      </w:pPr>
      <w:r w:rsidRPr="006E4BE1">
        <w:rPr>
          <w:b/>
          <w:lang w:val="es-ES_tradnl"/>
        </w:rPr>
        <w:br w:type="page"/>
      </w:r>
    </w:p>
    <w:p w14:paraId="4B39A607" w14:textId="77777777" w:rsidR="001240C5" w:rsidRPr="006E4BE1" w:rsidRDefault="009B6B13" w:rsidP="00AE50C9">
      <w:pPr>
        <w:pStyle w:val="Heading1"/>
        <w:keepNext w:val="0"/>
        <w:rPr>
          <w:lang w:val="es-ES_tradnl"/>
        </w:rPr>
      </w:pPr>
      <w:bookmarkStart w:id="453" w:name="_Toc78476731"/>
      <w:r w:rsidRPr="006E4BE1">
        <w:rPr>
          <w:lang w:val="es-ES_tradnl"/>
        </w:rPr>
        <w:lastRenderedPageBreak/>
        <w:t>PROPUESTA DE PRESUPUESTO</w:t>
      </w:r>
      <w:bookmarkEnd w:id="453"/>
    </w:p>
    <w:p w14:paraId="7DA3428A" w14:textId="77777777" w:rsidR="001240C5" w:rsidRPr="006E4BE1" w:rsidRDefault="001240C5" w:rsidP="00AE50C9">
      <w:pPr>
        <w:rPr>
          <w:lang w:val="es-ES_tradnl"/>
        </w:rPr>
      </w:pPr>
    </w:p>
    <w:p w14:paraId="7B3CACD4" w14:textId="77777777" w:rsidR="001240C5" w:rsidRPr="006E4BE1" w:rsidRDefault="001240C5" w:rsidP="00AE50C9">
      <w:pPr>
        <w:rPr>
          <w:lang w:val="es-ES_tradnl"/>
        </w:rPr>
      </w:pPr>
    </w:p>
    <w:p w14:paraId="7F69E7C7" w14:textId="77777777" w:rsidR="001240C5" w:rsidRPr="006E4BE1" w:rsidRDefault="009B6B13" w:rsidP="00AE50C9">
      <w:pPr>
        <w:pStyle w:val="Heading2"/>
        <w:keepNext w:val="0"/>
        <w:rPr>
          <w:lang w:val="es-ES_tradnl"/>
        </w:rPr>
      </w:pPr>
      <w:bookmarkStart w:id="454" w:name="_Toc78476732"/>
      <w:r w:rsidRPr="006E4BE1">
        <w:rPr>
          <w:lang w:val="es-ES_tradnl"/>
        </w:rPr>
        <w:t>Contexto financiero</w:t>
      </w:r>
      <w:bookmarkEnd w:id="454"/>
    </w:p>
    <w:p w14:paraId="1CEDCB36" w14:textId="77777777" w:rsidR="001240C5" w:rsidRPr="006E4BE1" w:rsidRDefault="001240C5" w:rsidP="00AE50C9">
      <w:pPr>
        <w:rPr>
          <w:lang w:val="es-ES_tradnl"/>
        </w:rPr>
      </w:pPr>
    </w:p>
    <w:p w14:paraId="42818A52" w14:textId="77777777" w:rsidR="001240C5" w:rsidRPr="006E4BE1" w:rsidRDefault="009B6B13" w:rsidP="00AE50C9">
      <w:pPr>
        <w:rPr>
          <w:lang w:val="es-ES_tradnl"/>
        </w:rPr>
      </w:pPr>
      <w:r w:rsidRPr="006E4BE1">
        <w:rPr>
          <w:lang w:val="es-ES_tradnl"/>
        </w:rPr>
        <w:t>En el gráfico 10 se muestra la evolución de los ingresos del presupuesto ordinario (sobre una base presupuestaria) dividida en los ingresos procedentes de las unidades de contribución y de otras fuentes.</w:t>
      </w:r>
    </w:p>
    <w:p w14:paraId="3CAAC042" w14:textId="69998B4A" w:rsidR="00ED4F07" w:rsidRPr="006E4BE1" w:rsidRDefault="00ED4F07" w:rsidP="00AE50C9">
      <w:pPr>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A581A" w:rsidRPr="001D7D80" w14:paraId="317E1ADC" w14:textId="77777777" w:rsidTr="00C04913">
        <w:tc>
          <w:tcPr>
            <w:tcW w:w="9629" w:type="dxa"/>
          </w:tcPr>
          <w:p w14:paraId="201DC793" w14:textId="73B96709" w:rsidR="00BA581A" w:rsidRPr="006E4BE1" w:rsidRDefault="0006499D" w:rsidP="00AE50C9">
            <w:pPr>
              <w:jc w:val="center"/>
              <w:rPr>
                <w:i/>
                <w:color w:val="26724C" w:themeColor="accent1" w:themeShade="BF"/>
                <w:sz w:val="18"/>
                <w:lang w:val="es-ES_tradnl"/>
              </w:rPr>
            </w:pPr>
            <w:r w:rsidRPr="006E4BE1">
              <w:rPr>
                <w:i/>
                <w:color w:val="26724C" w:themeColor="accent1" w:themeShade="BF"/>
                <w:sz w:val="18"/>
                <w:lang w:val="es-ES_tradnl"/>
              </w:rPr>
              <w:t>Gráfico 10. Ingresos del presupuesto ordinario</w:t>
            </w:r>
          </w:p>
        </w:tc>
      </w:tr>
      <w:tr w:rsidR="00ED4F07" w:rsidRPr="006E4BE1" w14:paraId="3B2F1C2E" w14:textId="77777777" w:rsidTr="00E650D4">
        <w:tc>
          <w:tcPr>
            <w:tcW w:w="9629" w:type="dxa"/>
          </w:tcPr>
          <w:p w14:paraId="428D20C6" w14:textId="13601EF4" w:rsidR="00ED4F07" w:rsidRPr="006E4BE1" w:rsidRDefault="009B207B" w:rsidP="00AE50C9">
            <w:pPr>
              <w:jc w:val="center"/>
              <w:rPr>
                <w:szCs w:val="18"/>
                <w:lang w:val="es-ES_tradnl"/>
              </w:rPr>
            </w:pPr>
            <w:r w:rsidRPr="006E4BE1">
              <w:rPr>
                <w:noProof/>
                <w:szCs w:val="18"/>
              </w:rPr>
              <w:drawing>
                <wp:inline distT="0" distB="0" distL="0" distR="0" wp14:anchorId="417252A0" wp14:editId="4B0ED722">
                  <wp:extent cx="6115050" cy="38227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15050" cy="3822700"/>
                          </a:xfrm>
                          <a:prstGeom prst="rect">
                            <a:avLst/>
                          </a:prstGeom>
                          <a:noFill/>
                          <a:ln>
                            <a:noFill/>
                          </a:ln>
                        </pic:spPr>
                      </pic:pic>
                    </a:graphicData>
                  </a:graphic>
                </wp:inline>
              </w:drawing>
            </w:r>
          </w:p>
        </w:tc>
      </w:tr>
    </w:tbl>
    <w:p w14:paraId="7EA44FF7" w14:textId="77777777" w:rsidR="001240C5" w:rsidRPr="006E4BE1" w:rsidRDefault="001240C5" w:rsidP="00AE50C9">
      <w:pPr>
        <w:rPr>
          <w:lang w:val="es-ES_tradnl"/>
        </w:rPr>
      </w:pPr>
    </w:p>
    <w:p w14:paraId="164B2A33" w14:textId="77777777" w:rsidR="001240C5" w:rsidRPr="006E4BE1" w:rsidRDefault="0006499D" w:rsidP="00AE50C9">
      <w:pPr>
        <w:pStyle w:val="ListParagraph"/>
        <w:ind w:left="0"/>
        <w:contextualSpacing w:val="0"/>
        <w:rPr>
          <w:lang w:val="es-ES_tradnl"/>
        </w:rPr>
      </w:pPr>
      <w:r w:rsidRPr="006E4BE1">
        <w:rPr>
          <w:lang w:val="es-ES_tradnl"/>
        </w:rPr>
        <w:t>En el bienio 2018-2019, el 98,6% de los ingresos procedieron de las contr</w:t>
      </w:r>
      <w:r w:rsidR="00D32A63" w:rsidRPr="006E4BE1">
        <w:rPr>
          <w:lang w:val="es-ES_tradnl"/>
        </w:rPr>
        <w:t>ibuciones de los miembros de la </w:t>
      </w:r>
      <w:r w:rsidRPr="006E4BE1">
        <w:rPr>
          <w:lang w:val="es-ES_tradnl"/>
        </w:rPr>
        <w:t>Unión</w:t>
      </w:r>
      <w:r w:rsidR="00FE64A1" w:rsidRPr="006E4BE1">
        <w:rPr>
          <w:lang w:val="es-ES_tradnl"/>
        </w:rPr>
        <w:t xml:space="preserve">.  </w:t>
      </w:r>
      <w:r w:rsidRPr="006E4BE1">
        <w:rPr>
          <w:lang w:val="es-ES_tradnl"/>
        </w:rPr>
        <w:t>Esas contribuciones seguirán siendo la principal fuente de ingresos en un futuro próximo.</w:t>
      </w:r>
    </w:p>
    <w:p w14:paraId="5C9E9BBA" w14:textId="77777777" w:rsidR="001240C5" w:rsidRPr="006E4BE1" w:rsidRDefault="001240C5" w:rsidP="00AE50C9">
      <w:pPr>
        <w:pStyle w:val="ListParagraph"/>
        <w:ind w:left="0"/>
        <w:contextualSpacing w:val="0"/>
        <w:rPr>
          <w:lang w:val="es-ES_tradnl"/>
        </w:rPr>
      </w:pPr>
    </w:p>
    <w:p w14:paraId="7BD9F454" w14:textId="77777777" w:rsidR="001240C5" w:rsidRPr="006E4BE1" w:rsidRDefault="0006499D" w:rsidP="00AE50C9">
      <w:pPr>
        <w:pStyle w:val="ListParagraph"/>
        <w:ind w:left="0"/>
        <w:contextualSpacing w:val="0"/>
        <w:rPr>
          <w:lang w:val="es-ES_tradnl"/>
        </w:rPr>
      </w:pPr>
      <w:r w:rsidRPr="006E4BE1">
        <w:rPr>
          <w:lang w:val="es-ES_tradnl"/>
        </w:rPr>
        <w:t>En el programa y presupuesto para el bienio 2022-202023 no se prevé un aumento del valor de las unidades de contribución</w:t>
      </w:r>
      <w:r w:rsidR="00FE64A1" w:rsidRPr="006E4BE1">
        <w:rPr>
          <w:lang w:val="es-ES_tradnl"/>
        </w:rPr>
        <w:t xml:space="preserve">.  </w:t>
      </w:r>
      <w:r w:rsidRPr="006E4BE1">
        <w:rPr>
          <w:lang w:val="es-ES_tradnl"/>
        </w:rPr>
        <w:t>Sin embargo, la situación económica o en materia de protección de las obtenciones vegetales y los futuros servicios de la UPOV podrían alentar a algunos miembros de la Unión a aumentar su número de unidades de contribución.</w:t>
      </w:r>
    </w:p>
    <w:p w14:paraId="737F286F" w14:textId="77777777" w:rsidR="001240C5" w:rsidRPr="006E4BE1" w:rsidRDefault="001240C5" w:rsidP="00AE50C9">
      <w:pPr>
        <w:rPr>
          <w:lang w:val="es-ES_tradnl"/>
        </w:rPr>
      </w:pPr>
    </w:p>
    <w:p w14:paraId="3F4171F7" w14:textId="77777777" w:rsidR="001240C5" w:rsidRPr="006E4BE1" w:rsidRDefault="00D56225" w:rsidP="00AE50C9">
      <w:pPr>
        <w:rPr>
          <w:lang w:val="es-ES_tradnl"/>
        </w:rPr>
      </w:pPr>
      <w:r w:rsidRPr="006E4BE1">
        <w:rPr>
          <w:lang w:val="es-ES_tradnl"/>
        </w:rPr>
        <w:t>En la evaluación de la DSI se recomendaba que en el plan operativo estratégico de la UPOV se tuviera en cuenta la forma de “diversificar sus fuentes de ingresos y así mantener y reforzar la sostenibilidad de los actuales servicios y actividades”</w:t>
      </w:r>
      <w:r w:rsidR="00FE64A1" w:rsidRPr="006E4BE1">
        <w:rPr>
          <w:lang w:val="es-ES_tradnl"/>
        </w:rPr>
        <w:t xml:space="preserve">.  </w:t>
      </w:r>
      <w:r w:rsidRPr="006E4BE1">
        <w:rPr>
          <w:lang w:val="es-ES_tradnl"/>
        </w:rPr>
        <w:t>En ese contexto, la Figura 10 muestra que la proporción de ingresos distintos de las contribuciones de los miembros de la Unión disminuyó, pasando de constituir el 4,9% de los ingresos en el bienio 2010-2011 a constituir el 1,4% en el bienio 2018-2019.</w:t>
      </w:r>
    </w:p>
    <w:p w14:paraId="4CBDF98E" w14:textId="77777777" w:rsidR="001240C5" w:rsidRPr="006E4BE1" w:rsidRDefault="001240C5" w:rsidP="00AE50C9">
      <w:pPr>
        <w:rPr>
          <w:lang w:val="es-ES_tradnl"/>
        </w:rPr>
      </w:pPr>
    </w:p>
    <w:p w14:paraId="51103DA3" w14:textId="77777777" w:rsidR="001240C5" w:rsidRPr="006E4BE1" w:rsidRDefault="00D56225" w:rsidP="00AE50C9">
      <w:pPr>
        <w:rPr>
          <w:lang w:val="es-ES_tradnl"/>
        </w:rPr>
      </w:pPr>
      <w:r w:rsidRPr="006E4BE1">
        <w:rPr>
          <w:lang w:val="es-ES_tradnl"/>
        </w:rPr>
        <w:t xml:space="preserve">En el programa y presupuesto para el bienio 2022-2023, la diversificación de la cartera de ingresos de la UPOV se basará en los ingresos procedentes de </w:t>
      </w:r>
      <w:r w:rsidR="00FE64A1" w:rsidRPr="006E4BE1">
        <w:rPr>
          <w:lang w:val="es-ES_tradnl"/>
        </w:rPr>
        <w:t>UPOV PRISMA</w:t>
      </w:r>
      <w:r w:rsidRPr="006E4BE1">
        <w:rPr>
          <w:lang w:val="es-ES_tradnl"/>
        </w:rPr>
        <w:t>, la base de datos PLUTO y los cursos de enseñanza a distancia</w:t>
      </w:r>
      <w:r w:rsidR="00FE64A1" w:rsidRPr="006E4BE1">
        <w:rPr>
          <w:lang w:val="es-ES_tradnl"/>
        </w:rPr>
        <w:t xml:space="preserve">.  </w:t>
      </w:r>
      <w:r w:rsidR="0039581A" w:rsidRPr="006E4BE1">
        <w:rPr>
          <w:lang w:val="es-ES_tradnl"/>
        </w:rPr>
        <w:t xml:space="preserve">Se prevé que las tasas de </w:t>
      </w:r>
      <w:r w:rsidR="00FE64A1" w:rsidRPr="006E4BE1">
        <w:rPr>
          <w:lang w:val="es-ES_tradnl"/>
        </w:rPr>
        <w:t>UPOV PRISMA</w:t>
      </w:r>
      <w:r w:rsidR="0039581A" w:rsidRPr="006E4BE1">
        <w:rPr>
          <w:lang w:val="es-ES_tradnl"/>
        </w:rPr>
        <w:t xml:space="preserve"> (90</w:t>
      </w:r>
      <w:r w:rsidR="007E6808" w:rsidRPr="006E4BE1">
        <w:rPr>
          <w:lang w:val="es-ES_tradnl"/>
        </w:rPr>
        <w:t> francos</w:t>
      </w:r>
      <w:r w:rsidR="0039581A" w:rsidRPr="006E4BE1">
        <w:rPr>
          <w:lang w:val="es-ES_tradnl"/>
        </w:rPr>
        <w:t xml:space="preserve"> suizos por cada presentación), la base de datos PLUTO (750</w:t>
      </w:r>
      <w:r w:rsidR="007E6808" w:rsidRPr="006E4BE1">
        <w:rPr>
          <w:lang w:val="es-ES_tradnl"/>
        </w:rPr>
        <w:t> francos</w:t>
      </w:r>
      <w:r w:rsidR="0039581A" w:rsidRPr="006E4BE1">
        <w:rPr>
          <w:lang w:val="es-ES_tradnl"/>
        </w:rPr>
        <w:t xml:space="preserve"> suizos por año) y los cursos de enseñanza a distancia (1.000</w:t>
      </w:r>
      <w:r w:rsidR="007E6808" w:rsidRPr="006E4BE1">
        <w:rPr>
          <w:lang w:val="es-ES_tradnl"/>
        </w:rPr>
        <w:t> francos</w:t>
      </w:r>
      <w:r w:rsidR="0039581A" w:rsidRPr="006E4BE1">
        <w:rPr>
          <w:lang w:val="es-ES_tradnl"/>
        </w:rPr>
        <w:t xml:space="preserve"> suizos por estudiante), cuando proceda, sean las mismas que en el año 2021.</w:t>
      </w:r>
    </w:p>
    <w:p w14:paraId="77198900" w14:textId="77777777" w:rsidR="001240C5" w:rsidRPr="006E4BE1" w:rsidRDefault="001240C5" w:rsidP="00AE50C9">
      <w:pPr>
        <w:rPr>
          <w:lang w:val="es-ES_tradnl"/>
        </w:rPr>
      </w:pPr>
    </w:p>
    <w:p w14:paraId="72919B87" w14:textId="77777777" w:rsidR="001240C5" w:rsidRPr="006E4BE1" w:rsidRDefault="0039581A" w:rsidP="00AE50C9">
      <w:pPr>
        <w:rPr>
          <w:lang w:val="es-ES_tradnl"/>
        </w:rPr>
      </w:pPr>
      <w:r w:rsidRPr="006E4BE1">
        <w:rPr>
          <w:lang w:val="es-ES_tradnl"/>
        </w:rPr>
        <w:t>La UPOV se ha beneficiado en gran medida de los fondos extrapresupuestarios aportados por los miembros de la Unión, por ejemplo, en forma de fondos fiduciarios</w:t>
      </w:r>
      <w:r w:rsidR="00FE64A1" w:rsidRPr="006E4BE1">
        <w:rPr>
          <w:lang w:val="es-ES_tradnl"/>
        </w:rPr>
        <w:t xml:space="preserve">.  </w:t>
      </w:r>
      <w:r w:rsidRPr="006E4BE1">
        <w:rPr>
          <w:lang w:val="es-ES_tradnl"/>
        </w:rPr>
        <w:t>En el gráfico 11 se muestra la evolución de los fondos extrapresupuestarios a partir de 2010</w:t>
      </w:r>
      <w:r w:rsidR="00FE64A1" w:rsidRPr="006E4BE1">
        <w:rPr>
          <w:lang w:val="es-ES_tradnl"/>
        </w:rPr>
        <w:t xml:space="preserve">.  </w:t>
      </w:r>
      <w:r w:rsidRPr="006E4BE1">
        <w:rPr>
          <w:lang w:val="es-ES_tradnl"/>
        </w:rPr>
        <w:t>Habida cuenta de los costos que acarrea a la Oficina de la Unión la administración de dichos fondos fiduciarios, se incluye el costo del apoyo administrativo, que figura en concepto de ingresos</w:t>
      </w:r>
      <w:r w:rsidR="00FE64A1" w:rsidRPr="006E4BE1">
        <w:rPr>
          <w:lang w:val="es-ES_tradnl"/>
        </w:rPr>
        <w:t xml:space="preserve">.  </w:t>
      </w:r>
      <w:r w:rsidR="003E73CE" w:rsidRPr="006E4BE1">
        <w:rPr>
          <w:lang w:val="es-ES_tradnl"/>
        </w:rPr>
        <w:t xml:space="preserve">Los ingresos procedentes de los fondos extrapresupuestarios en 2020-2021 se verán sustancialmente afectados por la situación derivada de la COVID-19, ya que la mayoría de esos fondos </w:t>
      </w:r>
      <w:r w:rsidR="003E73CE" w:rsidRPr="006E4BE1">
        <w:rPr>
          <w:lang w:val="es-ES_tradnl"/>
        </w:rPr>
        <w:lastRenderedPageBreak/>
        <w:t>cubren los gastos de viaje y las dietas</w:t>
      </w:r>
      <w:r w:rsidR="00FE64A1" w:rsidRPr="006E4BE1">
        <w:rPr>
          <w:lang w:val="es-ES_tradnl"/>
        </w:rPr>
        <w:t xml:space="preserve">.  </w:t>
      </w:r>
      <w:r w:rsidR="003E73CE" w:rsidRPr="006E4BE1">
        <w:rPr>
          <w:lang w:val="es-ES_tradnl"/>
        </w:rPr>
        <w:t>En el programa y presupuesto del bienio 2022-2023 se prevé que el volumen de los fondos extrapresupuestarios será similar al presupuestado en el bienio 2020-2021.</w:t>
      </w:r>
    </w:p>
    <w:p w14:paraId="61244A18" w14:textId="29A9CFB2" w:rsidR="00ED4F07" w:rsidRPr="006E4BE1" w:rsidRDefault="00ED4F07" w:rsidP="00AE50C9">
      <w:pPr>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D4F07" w:rsidRPr="001D7D80" w14:paraId="50F0C548" w14:textId="77777777" w:rsidTr="00E650D4">
        <w:tc>
          <w:tcPr>
            <w:tcW w:w="9629" w:type="dxa"/>
          </w:tcPr>
          <w:p w14:paraId="28AEB209" w14:textId="3AAAFD4A" w:rsidR="00ED4F07" w:rsidRPr="006E4BE1" w:rsidRDefault="003E73CE" w:rsidP="00AE50C9">
            <w:pPr>
              <w:jc w:val="center"/>
              <w:rPr>
                <w:i/>
                <w:color w:val="26724C" w:themeColor="accent1" w:themeShade="BF"/>
                <w:sz w:val="18"/>
                <w:lang w:val="es-ES_tradnl"/>
              </w:rPr>
            </w:pPr>
            <w:r w:rsidRPr="006E4BE1">
              <w:rPr>
                <w:i/>
                <w:color w:val="26724C" w:themeColor="accent1" w:themeShade="BF"/>
                <w:sz w:val="18"/>
                <w:lang w:val="es-ES_tradnl"/>
              </w:rPr>
              <w:t>Gráfico 11. Evolución de los fondos extrapresupuestarios</w:t>
            </w:r>
          </w:p>
        </w:tc>
      </w:tr>
      <w:tr w:rsidR="00ED4F07" w:rsidRPr="006E4BE1" w14:paraId="3E9C4AA1" w14:textId="77777777" w:rsidTr="00E650D4">
        <w:tc>
          <w:tcPr>
            <w:tcW w:w="9629" w:type="dxa"/>
          </w:tcPr>
          <w:p w14:paraId="3FCD35F8" w14:textId="247371F9" w:rsidR="00ED4F07" w:rsidRPr="006E4BE1" w:rsidRDefault="009B207B" w:rsidP="00AE50C9">
            <w:pPr>
              <w:jc w:val="center"/>
              <w:rPr>
                <w:lang w:val="es-ES_tradnl"/>
              </w:rPr>
            </w:pPr>
            <w:r w:rsidRPr="006E4BE1">
              <w:rPr>
                <w:noProof/>
              </w:rPr>
              <w:drawing>
                <wp:inline distT="0" distB="0" distL="0" distR="0" wp14:anchorId="2703CD88" wp14:editId="2F4F0631">
                  <wp:extent cx="6140450" cy="444433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61361" cy="4459469"/>
                          </a:xfrm>
                          <a:prstGeom prst="rect">
                            <a:avLst/>
                          </a:prstGeom>
                          <a:noFill/>
                          <a:ln>
                            <a:noFill/>
                          </a:ln>
                        </pic:spPr>
                      </pic:pic>
                    </a:graphicData>
                  </a:graphic>
                </wp:inline>
              </w:drawing>
            </w:r>
          </w:p>
        </w:tc>
      </w:tr>
    </w:tbl>
    <w:p w14:paraId="57088F44" w14:textId="77777777" w:rsidR="001240C5" w:rsidRPr="006E4BE1" w:rsidRDefault="001240C5" w:rsidP="00AE50C9">
      <w:pPr>
        <w:rPr>
          <w:lang w:val="es-ES_tradnl"/>
        </w:rPr>
      </w:pPr>
    </w:p>
    <w:p w14:paraId="360E11C1" w14:textId="77777777" w:rsidR="001240C5" w:rsidRPr="006E4BE1" w:rsidRDefault="003E73CE" w:rsidP="00AE50C9">
      <w:pPr>
        <w:ind w:left="360"/>
        <w:rPr>
          <w:i/>
          <w:sz w:val="18"/>
          <w:szCs w:val="18"/>
          <w:lang w:val="es-ES_tradnl"/>
        </w:rPr>
      </w:pPr>
      <w:r w:rsidRPr="006E4BE1">
        <w:rPr>
          <w:i/>
          <w:sz w:val="18"/>
          <w:szCs w:val="18"/>
          <w:lang w:val="es-ES_tradnl"/>
        </w:rPr>
        <w:t>* Los fondos fiduciarios del Japón para 2015 y 2016 se recibieron en 2016, pero se han dividido entre 2015 y 2016 a efectos de este gráfico.</w:t>
      </w:r>
    </w:p>
    <w:p w14:paraId="54CBF859" w14:textId="77777777" w:rsidR="001240C5" w:rsidRPr="006E4BE1" w:rsidRDefault="001240C5" w:rsidP="00AE50C9">
      <w:pPr>
        <w:rPr>
          <w:lang w:val="es-ES_tradnl"/>
        </w:rPr>
      </w:pPr>
    </w:p>
    <w:p w14:paraId="30034301" w14:textId="77777777" w:rsidR="001240C5" w:rsidRPr="006E4BE1" w:rsidRDefault="001240C5" w:rsidP="00AE50C9">
      <w:pPr>
        <w:rPr>
          <w:lang w:val="es-ES_tradnl"/>
        </w:rPr>
      </w:pPr>
    </w:p>
    <w:p w14:paraId="708A28F6" w14:textId="77777777" w:rsidR="001240C5" w:rsidRPr="006E4BE1" w:rsidRDefault="00697B3A" w:rsidP="00AE50C9">
      <w:pPr>
        <w:pStyle w:val="Heading2"/>
        <w:keepNext w:val="0"/>
        <w:rPr>
          <w:lang w:val="es-ES_tradnl"/>
        </w:rPr>
      </w:pPr>
      <w:bookmarkStart w:id="455" w:name="_Toc78476733"/>
      <w:r w:rsidRPr="006E4BE1">
        <w:rPr>
          <w:lang w:val="es-ES_tradnl"/>
        </w:rPr>
        <w:t>Propuesta de presupuesto para el bienio 2022-2023</w:t>
      </w:r>
      <w:bookmarkEnd w:id="455"/>
    </w:p>
    <w:p w14:paraId="7F526677" w14:textId="77777777" w:rsidR="001240C5" w:rsidRPr="006E4BE1" w:rsidRDefault="001240C5" w:rsidP="00AE50C9">
      <w:pPr>
        <w:rPr>
          <w:lang w:val="es-ES_tradnl"/>
        </w:rPr>
      </w:pPr>
    </w:p>
    <w:p w14:paraId="6FC0ED23" w14:textId="77777777" w:rsidR="001240C5" w:rsidRPr="006E4BE1" w:rsidRDefault="00697B3A" w:rsidP="00AE50C9">
      <w:pPr>
        <w:rPr>
          <w:spacing w:val="-2"/>
          <w:szCs w:val="24"/>
          <w:lang w:val="es-ES_tradnl"/>
        </w:rPr>
      </w:pPr>
      <w:r w:rsidRPr="006E4BE1">
        <w:rPr>
          <w:lang w:val="es-ES_tradnl"/>
        </w:rPr>
        <w:t>El proyecto de presupuesto</w:t>
      </w:r>
      <w:r w:rsidRPr="006E4BE1">
        <w:rPr>
          <w:rStyle w:val="FootnoteReference"/>
          <w:lang w:val="es-ES_tradnl"/>
        </w:rPr>
        <w:footnoteReference w:id="8"/>
      </w:r>
      <w:r w:rsidRPr="006E4BE1">
        <w:rPr>
          <w:lang w:val="es-ES_tradnl"/>
        </w:rPr>
        <w:t xml:space="preserve"> para el bienio 2022-2023 prevé unos ingresos de 7.634.500</w:t>
      </w:r>
      <w:r w:rsidR="007E6808" w:rsidRPr="006E4BE1">
        <w:rPr>
          <w:lang w:val="es-ES_tradnl"/>
        </w:rPr>
        <w:t> francos</w:t>
      </w:r>
      <w:r w:rsidRPr="006E4BE1">
        <w:rPr>
          <w:lang w:val="es-ES_tradnl"/>
        </w:rPr>
        <w:t xml:space="preserve"> suizos frente a los 7.347.285</w:t>
      </w:r>
      <w:r w:rsidR="007E6808" w:rsidRPr="006E4BE1">
        <w:rPr>
          <w:lang w:val="es-ES_tradnl"/>
        </w:rPr>
        <w:t> francos</w:t>
      </w:r>
      <w:r w:rsidRPr="006E4BE1">
        <w:rPr>
          <w:lang w:val="es-ES_tradnl"/>
        </w:rPr>
        <w:t xml:space="preserve"> suizos del presupuesto de 2020-2021</w:t>
      </w:r>
      <w:r w:rsidR="00FE64A1" w:rsidRPr="006E4BE1">
        <w:rPr>
          <w:lang w:val="es-ES_tradnl"/>
        </w:rPr>
        <w:t xml:space="preserve">.  </w:t>
      </w:r>
      <w:r w:rsidRPr="006E4BE1">
        <w:rPr>
          <w:lang w:val="es-ES_tradnl"/>
        </w:rPr>
        <w:t>Se estima que los gastos estén al mismo nivel que los ingresos previstos (véase el cuadro 1).</w:t>
      </w:r>
    </w:p>
    <w:p w14:paraId="575653A5" w14:textId="77777777" w:rsidR="001240C5" w:rsidRPr="006E4BE1" w:rsidRDefault="001240C5" w:rsidP="00AE50C9">
      <w:pPr>
        <w:rPr>
          <w:lang w:val="es-ES_tradnl"/>
        </w:rPr>
      </w:pPr>
    </w:p>
    <w:p w14:paraId="49353F5C" w14:textId="77777777" w:rsidR="001240C5" w:rsidRPr="006E4BE1" w:rsidRDefault="00697B3A" w:rsidP="00AE50C9">
      <w:pPr>
        <w:jc w:val="center"/>
        <w:rPr>
          <w:b/>
          <w:color w:val="26724C" w:themeColor="accent1" w:themeShade="BF"/>
          <w:lang w:val="es-ES_tradnl"/>
        </w:rPr>
      </w:pPr>
      <w:r w:rsidRPr="006E4BE1">
        <w:rPr>
          <w:b/>
          <w:color w:val="26724C" w:themeColor="accent1" w:themeShade="BF"/>
          <w:lang w:val="es-ES_tradnl"/>
        </w:rPr>
        <w:t>Cuadro 1. Ingresos y gastos correspondientes a los bienios 2018</w:t>
      </w:r>
      <w:r w:rsidRPr="006E4BE1">
        <w:rPr>
          <w:color w:val="26724C" w:themeColor="accent1" w:themeShade="BF"/>
          <w:lang w:val="es-ES_tradnl"/>
        </w:rPr>
        <w:t>-</w:t>
      </w:r>
      <w:r w:rsidRPr="006E4BE1">
        <w:rPr>
          <w:b/>
          <w:color w:val="26724C" w:themeColor="accent1" w:themeShade="BF"/>
          <w:lang w:val="es-ES_tradnl"/>
        </w:rPr>
        <w:t>2019, 2020</w:t>
      </w:r>
      <w:r w:rsidRPr="006E4BE1">
        <w:rPr>
          <w:color w:val="26724C" w:themeColor="accent1" w:themeShade="BF"/>
          <w:lang w:val="es-ES_tradnl"/>
        </w:rPr>
        <w:t>-</w:t>
      </w:r>
      <w:r w:rsidRPr="006E4BE1">
        <w:rPr>
          <w:b/>
          <w:color w:val="26724C" w:themeColor="accent1" w:themeShade="BF"/>
          <w:lang w:val="es-ES_tradnl"/>
        </w:rPr>
        <w:t>2021 y 2022</w:t>
      </w:r>
      <w:r w:rsidRPr="006E4BE1">
        <w:rPr>
          <w:color w:val="26724C" w:themeColor="accent1" w:themeShade="BF"/>
          <w:lang w:val="es-ES_tradnl"/>
        </w:rPr>
        <w:t>-</w:t>
      </w:r>
      <w:r w:rsidRPr="006E4BE1">
        <w:rPr>
          <w:b/>
          <w:color w:val="26724C" w:themeColor="accent1" w:themeShade="BF"/>
          <w:lang w:val="es-ES_tradnl"/>
        </w:rPr>
        <w:t>2023</w:t>
      </w:r>
    </w:p>
    <w:p w14:paraId="32DA4EED" w14:textId="77777777" w:rsidR="001240C5" w:rsidRPr="006E4BE1" w:rsidRDefault="00697B3A" w:rsidP="00AE50C9">
      <w:pPr>
        <w:jc w:val="center"/>
        <w:rPr>
          <w:i/>
          <w:sz w:val="18"/>
          <w:lang w:val="es-ES_tradnl"/>
        </w:rPr>
      </w:pPr>
      <w:r w:rsidRPr="006E4BE1">
        <w:rPr>
          <w:i/>
          <w:sz w:val="18"/>
          <w:lang w:val="es-ES_tradnl"/>
        </w:rPr>
        <w:t>(en miles de francos suizos)</w:t>
      </w:r>
    </w:p>
    <w:p w14:paraId="2CBEBA1A" w14:textId="1ACC836B" w:rsidR="0045173C" w:rsidRPr="006E4BE1" w:rsidRDefault="0045173C" w:rsidP="00AE50C9">
      <w:pPr>
        <w:rPr>
          <w:spacing w:val="-2"/>
          <w:szCs w:val="24"/>
          <w:lang w:val="es-ES_tradnl"/>
        </w:rPr>
      </w:pPr>
    </w:p>
    <w:tbl>
      <w:tblPr>
        <w:tblW w:w="9560" w:type="dxa"/>
        <w:tblLook w:val="04A0" w:firstRow="1" w:lastRow="0" w:firstColumn="1" w:lastColumn="0" w:noHBand="0" w:noVBand="1"/>
      </w:tblPr>
      <w:tblGrid>
        <w:gridCol w:w="3801"/>
        <w:gridCol w:w="1133"/>
        <w:gridCol w:w="1283"/>
        <w:gridCol w:w="700"/>
        <w:gridCol w:w="983"/>
        <w:gridCol w:w="1660"/>
      </w:tblGrid>
      <w:tr w:rsidR="00D9062C" w:rsidRPr="006E4BE1" w14:paraId="77BCB079" w14:textId="77777777" w:rsidTr="00D9062C">
        <w:trPr>
          <w:trHeight w:val="255"/>
        </w:trPr>
        <w:tc>
          <w:tcPr>
            <w:tcW w:w="3800" w:type="dxa"/>
            <w:tcBorders>
              <w:top w:val="nil"/>
              <w:left w:val="nil"/>
              <w:bottom w:val="nil"/>
              <w:right w:val="nil"/>
            </w:tcBorders>
            <w:shd w:val="clear" w:color="000000" w:fill="C7CFD8"/>
            <w:hideMark/>
          </w:tcPr>
          <w:p w14:paraId="709DFB97" w14:textId="77777777" w:rsidR="00D9062C" w:rsidRPr="006E4BE1" w:rsidRDefault="00D9062C" w:rsidP="00AE50C9">
            <w:pPr>
              <w:ind w:firstLineChars="100" w:firstLine="200"/>
              <w:jc w:val="left"/>
              <w:rPr>
                <w:rFonts w:cs="Arial"/>
                <w:b/>
                <w:bCs/>
                <w:i/>
                <w:iCs/>
                <w:lang w:val="es-ES_tradnl"/>
              </w:rPr>
            </w:pPr>
            <w:r w:rsidRPr="006E4BE1">
              <w:rPr>
                <w:rFonts w:cs="Arial"/>
                <w:b/>
                <w:bCs/>
                <w:i/>
                <w:iCs/>
                <w:lang w:val="es-ES_tradnl"/>
              </w:rPr>
              <w:t> </w:t>
            </w:r>
          </w:p>
        </w:tc>
        <w:tc>
          <w:tcPr>
            <w:tcW w:w="1180" w:type="dxa"/>
            <w:tcBorders>
              <w:top w:val="nil"/>
              <w:left w:val="nil"/>
              <w:bottom w:val="nil"/>
              <w:right w:val="nil"/>
            </w:tcBorders>
            <w:shd w:val="clear" w:color="000000" w:fill="C7CFD8"/>
            <w:vAlign w:val="center"/>
            <w:hideMark/>
          </w:tcPr>
          <w:p w14:paraId="77C9C45E" w14:textId="6498929F"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2018-2019 </w:t>
            </w:r>
          </w:p>
        </w:tc>
        <w:tc>
          <w:tcPr>
            <w:tcW w:w="1180" w:type="dxa"/>
            <w:tcBorders>
              <w:top w:val="nil"/>
              <w:left w:val="nil"/>
              <w:bottom w:val="nil"/>
              <w:right w:val="nil"/>
            </w:tcBorders>
            <w:shd w:val="clear" w:color="000000" w:fill="C7CFD8"/>
            <w:vAlign w:val="center"/>
            <w:hideMark/>
          </w:tcPr>
          <w:p w14:paraId="127F3560" w14:textId="1C91D1F1"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2020-2021 </w:t>
            </w:r>
          </w:p>
        </w:tc>
        <w:tc>
          <w:tcPr>
            <w:tcW w:w="1740" w:type="dxa"/>
            <w:gridSpan w:val="2"/>
            <w:vMerge w:val="restart"/>
            <w:tcBorders>
              <w:top w:val="nil"/>
              <w:left w:val="nil"/>
              <w:bottom w:val="single" w:sz="4" w:space="0" w:color="748B9E"/>
              <w:right w:val="nil"/>
            </w:tcBorders>
            <w:shd w:val="clear" w:color="000000" w:fill="C7CFD8"/>
            <w:vAlign w:val="center"/>
            <w:hideMark/>
          </w:tcPr>
          <w:p w14:paraId="352F54A8" w14:textId="6E2E5F0E" w:rsidR="00D9062C" w:rsidRPr="006E4BE1" w:rsidRDefault="00697B3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Variación</w:t>
            </w:r>
          </w:p>
        </w:tc>
        <w:tc>
          <w:tcPr>
            <w:tcW w:w="1660" w:type="dxa"/>
            <w:tcBorders>
              <w:top w:val="nil"/>
              <w:left w:val="nil"/>
              <w:bottom w:val="nil"/>
              <w:right w:val="nil"/>
            </w:tcBorders>
            <w:shd w:val="clear" w:color="000000" w:fill="C7CFD8"/>
            <w:vAlign w:val="center"/>
            <w:hideMark/>
          </w:tcPr>
          <w:p w14:paraId="73CF6E05" w14:textId="27D07DE4" w:rsidR="00D9062C" w:rsidRPr="006E4BE1" w:rsidRDefault="00750987"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2022</w:t>
            </w:r>
            <w:r w:rsidRPr="006E4BE1">
              <w:rPr>
                <w:rFonts w:ascii="Arial Narrow" w:hAnsi="Arial Narrow" w:cs="Arial"/>
                <w:b/>
                <w:bCs/>
                <w:sz w:val="18"/>
                <w:szCs w:val="18"/>
                <w:lang w:val="es-ES_tradnl"/>
              </w:rPr>
              <w:noBreakHyphen/>
              <w:t>2023</w:t>
            </w:r>
            <w:r w:rsidR="00D9062C" w:rsidRPr="006E4BE1">
              <w:rPr>
                <w:rFonts w:ascii="Arial Narrow" w:hAnsi="Arial Narrow" w:cs="Arial"/>
                <w:b/>
                <w:bCs/>
                <w:sz w:val="18"/>
                <w:szCs w:val="18"/>
                <w:lang w:val="es-ES_tradnl"/>
              </w:rPr>
              <w:t xml:space="preserve"> </w:t>
            </w:r>
          </w:p>
        </w:tc>
      </w:tr>
      <w:tr w:rsidR="00D9062C" w:rsidRPr="006E4BE1" w14:paraId="78C56D94" w14:textId="77777777" w:rsidTr="00D9062C">
        <w:trPr>
          <w:trHeight w:val="260"/>
        </w:trPr>
        <w:tc>
          <w:tcPr>
            <w:tcW w:w="3800" w:type="dxa"/>
            <w:tcBorders>
              <w:top w:val="nil"/>
              <w:left w:val="nil"/>
              <w:bottom w:val="nil"/>
              <w:right w:val="nil"/>
            </w:tcBorders>
            <w:shd w:val="clear" w:color="000000" w:fill="C7CFD8"/>
            <w:hideMark/>
          </w:tcPr>
          <w:p w14:paraId="1CCAF923" w14:textId="77777777" w:rsidR="00D9062C" w:rsidRPr="006E4BE1" w:rsidRDefault="00D9062C" w:rsidP="00AE50C9">
            <w:pPr>
              <w:ind w:firstLineChars="100" w:firstLine="200"/>
              <w:jc w:val="left"/>
              <w:rPr>
                <w:rFonts w:cs="Arial"/>
                <w:b/>
                <w:bCs/>
                <w:i/>
                <w:iCs/>
                <w:lang w:val="es-ES_tradnl"/>
              </w:rPr>
            </w:pPr>
            <w:r w:rsidRPr="006E4BE1">
              <w:rPr>
                <w:rFonts w:cs="Arial"/>
                <w:b/>
                <w:bCs/>
                <w:i/>
                <w:iCs/>
                <w:lang w:val="es-ES_tradnl"/>
              </w:rPr>
              <w:t> </w:t>
            </w:r>
          </w:p>
        </w:tc>
        <w:tc>
          <w:tcPr>
            <w:tcW w:w="1180" w:type="dxa"/>
            <w:tcBorders>
              <w:top w:val="nil"/>
              <w:left w:val="nil"/>
              <w:bottom w:val="nil"/>
              <w:right w:val="nil"/>
            </w:tcBorders>
            <w:shd w:val="clear" w:color="000000" w:fill="C7CFD8"/>
            <w:vAlign w:val="center"/>
            <w:hideMark/>
          </w:tcPr>
          <w:p w14:paraId="31C46BD6" w14:textId="0AF0814F" w:rsidR="00D9062C" w:rsidRPr="006E4BE1" w:rsidRDefault="00697B3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Real</w:t>
            </w:r>
            <w:r w:rsidR="00D9062C" w:rsidRPr="006E4BE1">
              <w:rPr>
                <w:rFonts w:ascii="Arial Narrow" w:hAnsi="Arial Narrow" w:cs="Arial"/>
                <w:b/>
                <w:bCs/>
                <w:sz w:val="18"/>
                <w:szCs w:val="18"/>
                <w:lang w:val="es-ES_tradnl"/>
              </w:rPr>
              <w:t xml:space="preserve"> </w:t>
            </w:r>
          </w:p>
        </w:tc>
        <w:tc>
          <w:tcPr>
            <w:tcW w:w="1180" w:type="dxa"/>
            <w:tcBorders>
              <w:top w:val="nil"/>
              <w:left w:val="nil"/>
              <w:bottom w:val="nil"/>
              <w:right w:val="nil"/>
            </w:tcBorders>
            <w:shd w:val="clear" w:color="000000" w:fill="C7CFD8"/>
            <w:vAlign w:val="center"/>
            <w:hideMark/>
          </w:tcPr>
          <w:p w14:paraId="5769CC74" w14:textId="0410A2DD" w:rsidR="00D9062C" w:rsidRPr="006E4BE1" w:rsidRDefault="00697B3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Presupuestado</w:t>
            </w:r>
            <w:r w:rsidR="00D9062C" w:rsidRPr="006E4BE1">
              <w:rPr>
                <w:rFonts w:ascii="Arial Narrow" w:hAnsi="Arial Narrow" w:cs="Arial"/>
                <w:b/>
                <w:bCs/>
                <w:sz w:val="18"/>
                <w:szCs w:val="18"/>
                <w:lang w:val="es-ES_tradnl"/>
              </w:rPr>
              <w:t xml:space="preserve"> </w:t>
            </w:r>
          </w:p>
        </w:tc>
        <w:tc>
          <w:tcPr>
            <w:tcW w:w="1740" w:type="dxa"/>
            <w:gridSpan w:val="2"/>
            <w:vMerge/>
            <w:tcBorders>
              <w:top w:val="nil"/>
              <w:left w:val="nil"/>
              <w:bottom w:val="nil"/>
              <w:right w:val="nil"/>
            </w:tcBorders>
            <w:vAlign w:val="center"/>
            <w:hideMark/>
          </w:tcPr>
          <w:p w14:paraId="10D56492" w14:textId="77777777" w:rsidR="00D9062C" w:rsidRPr="006E4BE1" w:rsidRDefault="00D9062C" w:rsidP="00AE50C9">
            <w:pPr>
              <w:jc w:val="left"/>
              <w:rPr>
                <w:rFonts w:ascii="Arial Narrow" w:hAnsi="Arial Narrow" w:cs="Arial"/>
                <w:b/>
                <w:bCs/>
                <w:sz w:val="18"/>
                <w:szCs w:val="18"/>
                <w:lang w:val="es-ES_tradnl"/>
              </w:rPr>
            </w:pPr>
          </w:p>
        </w:tc>
        <w:tc>
          <w:tcPr>
            <w:tcW w:w="1660" w:type="dxa"/>
            <w:tcBorders>
              <w:top w:val="nil"/>
              <w:left w:val="nil"/>
              <w:bottom w:val="nil"/>
              <w:right w:val="nil"/>
            </w:tcBorders>
            <w:shd w:val="clear" w:color="000000" w:fill="C7CFD8"/>
            <w:vAlign w:val="center"/>
            <w:hideMark/>
          </w:tcPr>
          <w:p w14:paraId="657FF420" w14:textId="7CB7A46B" w:rsidR="00D9062C" w:rsidRPr="006E4BE1" w:rsidRDefault="00697B3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Propuesto</w:t>
            </w:r>
            <w:r w:rsidR="00D9062C" w:rsidRPr="006E4BE1">
              <w:rPr>
                <w:rFonts w:ascii="Arial Narrow" w:hAnsi="Arial Narrow" w:cs="Arial"/>
                <w:b/>
                <w:bCs/>
                <w:sz w:val="18"/>
                <w:szCs w:val="18"/>
                <w:lang w:val="es-ES_tradnl"/>
              </w:rPr>
              <w:t xml:space="preserve"> </w:t>
            </w:r>
          </w:p>
        </w:tc>
      </w:tr>
      <w:tr w:rsidR="00D9062C" w:rsidRPr="006E4BE1" w14:paraId="41CE821B" w14:textId="77777777" w:rsidTr="00D9062C">
        <w:trPr>
          <w:trHeight w:val="260"/>
        </w:trPr>
        <w:tc>
          <w:tcPr>
            <w:tcW w:w="3800" w:type="dxa"/>
            <w:tcBorders>
              <w:top w:val="nil"/>
              <w:left w:val="nil"/>
              <w:bottom w:val="nil"/>
              <w:right w:val="nil"/>
            </w:tcBorders>
            <w:shd w:val="clear" w:color="000000" w:fill="C7CFD8"/>
            <w:vAlign w:val="bottom"/>
            <w:hideMark/>
          </w:tcPr>
          <w:p w14:paraId="4909AD91" w14:textId="77777777" w:rsidR="00D9062C" w:rsidRPr="006E4BE1" w:rsidRDefault="00D9062C" w:rsidP="00AE50C9">
            <w:pPr>
              <w:ind w:firstLineChars="100" w:firstLine="200"/>
              <w:jc w:val="left"/>
              <w:rPr>
                <w:rFonts w:cs="Arial"/>
                <w:b/>
                <w:bCs/>
                <w:i/>
                <w:iCs/>
                <w:lang w:val="es-ES_tradnl"/>
              </w:rPr>
            </w:pPr>
            <w:r w:rsidRPr="006E4BE1">
              <w:rPr>
                <w:rFonts w:cs="Arial"/>
                <w:b/>
                <w:bCs/>
                <w:i/>
                <w:iCs/>
                <w:lang w:val="es-ES_tradnl"/>
              </w:rPr>
              <w:t> </w:t>
            </w:r>
          </w:p>
        </w:tc>
        <w:tc>
          <w:tcPr>
            <w:tcW w:w="1180" w:type="dxa"/>
            <w:tcBorders>
              <w:top w:val="nil"/>
              <w:left w:val="nil"/>
              <w:bottom w:val="nil"/>
              <w:right w:val="nil"/>
            </w:tcBorders>
            <w:shd w:val="clear" w:color="000000" w:fill="C7CFD8"/>
            <w:vAlign w:val="center"/>
            <w:hideMark/>
          </w:tcPr>
          <w:p w14:paraId="1354759C" w14:textId="10C44A9C"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A </w:t>
            </w:r>
          </w:p>
        </w:tc>
        <w:tc>
          <w:tcPr>
            <w:tcW w:w="1180" w:type="dxa"/>
            <w:tcBorders>
              <w:top w:val="nil"/>
              <w:left w:val="nil"/>
              <w:bottom w:val="nil"/>
              <w:right w:val="nil"/>
            </w:tcBorders>
            <w:shd w:val="clear" w:color="000000" w:fill="C7CFD8"/>
            <w:noWrap/>
            <w:vAlign w:val="center"/>
            <w:hideMark/>
          </w:tcPr>
          <w:p w14:paraId="2A30A4A9" w14:textId="25DBDC8A"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B </w:t>
            </w:r>
          </w:p>
        </w:tc>
        <w:tc>
          <w:tcPr>
            <w:tcW w:w="720" w:type="dxa"/>
            <w:tcBorders>
              <w:top w:val="nil"/>
              <w:left w:val="nil"/>
              <w:bottom w:val="nil"/>
              <w:right w:val="nil"/>
            </w:tcBorders>
            <w:shd w:val="clear" w:color="000000" w:fill="C7CFD8"/>
            <w:vAlign w:val="center"/>
            <w:hideMark/>
          </w:tcPr>
          <w:p w14:paraId="2729A9B5" w14:textId="24345733"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C </w:t>
            </w:r>
          </w:p>
        </w:tc>
        <w:tc>
          <w:tcPr>
            <w:tcW w:w="1020" w:type="dxa"/>
            <w:tcBorders>
              <w:top w:val="nil"/>
              <w:left w:val="nil"/>
              <w:bottom w:val="nil"/>
              <w:right w:val="nil"/>
            </w:tcBorders>
            <w:shd w:val="clear" w:color="000000" w:fill="C7CFD8"/>
            <w:vAlign w:val="center"/>
            <w:hideMark/>
          </w:tcPr>
          <w:p w14:paraId="04605515" w14:textId="77777777"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C/B</w:t>
            </w:r>
          </w:p>
        </w:tc>
        <w:tc>
          <w:tcPr>
            <w:tcW w:w="1660" w:type="dxa"/>
            <w:tcBorders>
              <w:top w:val="nil"/>
              <w:left w:val="nil"/>
              <w:bottom w:val="nil"/>
              <w:right w:val="nil"/>
            </w:tcBorders>
            <w:shd w:val="clear" w:color="000000" w:fill="C7CFD8"/>
            <w:noWrap/>
            <w:vAlign w:val="center"/>
            <w:hideMark/>
          </w:tcPr>
          <w:p w14:paraId="7EACAF50" w14:textId="3505F27C"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D=B+C </w:t>
            </w:r>
          </w:p>
        </w:tc>
      </w:tr>
      <w:tr w:rsidR="00D9062C" w:rsidRPr="006E4BE1" w14:paraId="48397B56" w14:textId="77777777" w:rsidTr="00D9062C">
        <w:trPr>
          <w:trHeight w:val="330"/>
        </w:trPr>
        <w:tc>
          <w:tcPr>
            <w:tcW w:w="3800" w:type="dxa"/>
            <w:tcBorders>
              <w:top w:val="nil"/>
              <w:left w:val="nil"/>
              <w:bottom w:val="nil"/>
              <w:right w:val="nil"/>
            </w:tcBorders>
            <w:shd w:val="clear" w:color="auto" w:fill="auto"/>
            <w:vAlign w:val="center"/>
            <w:hideMark/>
          </w:tcPr>
          <w:p w14:paraId="17DA9140" w14:textId="71ADA1C7" w:rsidR="00D9062C" w:rsidRPr="006E4BE1" w:rsidRDefault="00697B3A" w:rsidP="00AE50C9">
            <w:pPr>
              <w:jc w:val="left"/>
              <w:rPr>
                <w:rFonts w:ascii="Arial Narrow" w:hAnsi="Arial Narrow" w:cs="Arial"/>
                <w:b/>
                <w:bCs/>
                <w:lang w:val="es-ES_tradnl"/>
              </w:rPr>
            </w:pPr>
            <w:r w:rsidRPr="006E4BE1">
              <w:rPr>
                <w:rFonts w:ascii="Arial Narrow" w:hAnsi="Arial Narrow" w:cs="Arial"/>
                <w:b/>
                <w:bCs/>
                <w:lang w:val="es-ES_tradnl"/>
              </w:rPr>
              <w:t>1. Ingresos</w:t>
            </w:r>
          </w:p>
        </w:tc>
        <w:tc>
          <w:tcPr>
            <w:tcW w:w="1180" w:type="dxa"/>
            <w:tcBorders>
              <w:top w:val="nil"/>
              <w:left w:val="nil"/>
              <w:bottom w:val="nil"/>
              <w:right w:val="nil"/>
            </w:tcBorders>
            <w:shd w:val="clear" w:color="auto" w:fill="auto"/>
            <w:vAlign w:val="center"/>
            <w:hideMark/>
          </w:tcPr>
          <w:p w14:paraId="3702FB9F" w14:textId="5F482288"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6</w:t>
            </w:r>
            <w:r w:rsidR="00DB07F3" w:rsidRPr="006E4BE1">
              <w:rPr>
                <w:rFonts w:ascii="Arial Narrow" w:hAnsi="Arial Narrow" w:cs="Arial"/>
                <w:b/>
                <w:bCs/>
                <w:color w:val="000000"/>
                <w:lang w:val="es-ES_tradnl"/>
              </w:rPr>
              <w:t>.</w:t>
            </w:r>
            <w:r w:rsidRPr="006E4BE1">
              <w:rPr>
                <w:rFonts w:ascii="Arial Narrow" w:hAnsi="Arial Narrow" w:cs="Arial"/>
                <w:b/>
                <w:bCs/>
                <w:color w:val="000000"/>
                <w:lang w:val="es-ES_tradnl"/>
              </w:rPr>
              <w:t>931</w:t>
            </w:r>
          </w:p>
        </w:tc>
        <w:tc>
          <w:tcPr>
            <w:tcW w:w="1180" w:type="dxa"/>
            <w:tcBorders>
              <w:top w:val="nil"/>
              <w:left w:val="nil"/>
              <w:bottom w:val="nil"/>
              <w:right w:val="nil"/>
            </w:tcBorders>
            <w:shd w:val="clear" w:color="auto" w:fill="auto"/>
            <w:vAlign w:val="center"/>
            <w:hideMark/>
          </w:tcPr>
          <w:p w14:paraId="087BE585" w14:textId="34070222"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DB07F3" w:rsidRPr="006E4BE1">
              <w:rPr>
                <w:rFonts w:ascii="Arial Narrow" w:hAnsi="Arial Narrow" w:cs="Arial"/>
                <w:b/>
                <w:bCs/>
                <w:color w:val="000000"/>
                <w:lang w:val="es-ES_tradnl"/>
              </w:rPr>
              <w:t>.</w:t>
            </w:r>
            <w:r w:rsidRPr="006E4BE1">
              <w:rPr>
                <w:rFonts w:ascii="Arial Narrow" w:hAnsi="Arial Narrow" w:cs="Arial"/>
                <w:b/>
                <w:bCs/>
                <w:color w:val="000000"/>
                <w:lang w:val="es-ES_tradnl"/>
              </w:rPr>
              <w:t>347</w:t>
            </w:r>
          </w:p>
        </w:tc>
        <w:tc>
          <w:tcPr>
            <w:tcW w:w="720" w:type="dxa"/>
            <w:tcBorders>
              <w:top w:val="nil"/>
              <w:left w:val="nil"/>
              <w:bottom w:val="nil"/>
              <w:right w:val="nil"/>
            </w:tcBorders>
            <w:shd w:val="clear" w:color="auto" w:fill="auto"/>
            <w:vAlign w:val="center"/>
            <w:hideMark/>
          </w:tcPr>
          <w:p w14:paraId="1420E23B"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287</w:t>
            </w:r>
          </w:p>
        </w:tc>
        <w:tc>
          <w:tcPr>
            <w:tcW w:w="1020" w:type="dxa"/>
            <w:tcBorders>
              <w:top w:val="nil"/>
              <w:left w:val="nil"/>
              <w:bottom w:val="nil"/>
              <w:right w:val="nil"/>
            </w:tcBorders>
            <w:shd w:val="clear" w:color="auto" w:fill="auto"/>
            <w:vAlign w:val="center"/>
            <w:hideMark/>
          </w:tcPr>
          <w:p w14:paraId="4C93ACC7" w14:textId="2CC852DC" w:rsidR="00D9062C" w:rsidRPr="006E4BE1" w:rsidRDefault="00D9062C" w:rsidP="00AE50C9">
            <w:pPr>
              <w:jc w:val="right"/>
              <w:rPr>
                <w:rFonts w:ascii="Arial Narrow" w:hAnsi="Arial Narrow" w:cs="Arial"/>
                <w:b/>
                <w:bCs/>
                <w:lang w:val="es-ES_tradnl"/>
              </w:rPr>
            </w:pPr>
            <w:r w:rsidRPr="006E4BE1">
              <w:rPr>
                <w:rFonts w:ascii="Arial Narrow" w:hAnsi="Arial Narrow" w:cs="Arial"/>
                <w:b/>
                <w:bCs/>
                <w:lang w:val="es-ES_tradnl"/>
              </w:rPr>
              <w:t>3</w:t>
            </w:r>
            <w:r w:rsidR="00DB07F3" w:rsidRPr="006E4BE1">
              <w:rPr>
                <w:rFonts w:ascii="Arial Narrow" w:hAnsi="Arial Narrow" w:cs="Arial"/>
                <w:b/>
                <w:bCs/>
                <w:lang w:val="es-ES_tradnl"/>
              </w:rPr>
              <w:t>,</w:t>
            </w:r>
            <w:r w:rsidRPr="006E4BE1">
              <w:rPr>
                <w:rFonts w:ascii="Arial Narrow" w:hAnsi="Arial Narrow" w:cs="Arial"/>
                <w:b/>
                <w:bCs/>
                <w:lang w:val="es-ES_tradnl"/>
              </w:rPr>
              <w:t>9%</w:t>
            </w:r>
          </w:p>
        </w:tc>
        <w:tc>
          <w:tcPr>
            <w:tcW w:w="1660" w:type="dxa"/>
            <w:tcBorders>
              <w:top w:val="nil"/>
              <w:left w:val="nil"/>
              <w:bottom w:val="nil"/>
              <w:right w:val="nil"/>
            </w:tcBorders>
            <w:shd w:val="clear" w:color="auto" w:fill="auto"/>
            <w:vAlign w:val="center"/>
            <w:hideMark/>
          </w:tcPr>
          <w:p w14:paraId="585822BC" w14:textId="77FA9531"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DB07F3" w:rsidRPr="006E4BE1">
              <w:rPr>
                <w:rFonts w:ascii="Arial Narrow" w:hAnsi="Arial Narrow" w:cs="Arial"/>
                <w:b/>
                <w:bCs/>
                <w:color w:val="000000"/>
                <w:lang w:val="es-ES_tradnl"/>
              </w:rPr>
              <w:t>.</w:t>
            </w:r>
            <w:r w:rsidRPr="006E4BE1">
              <w:rPr>
                <w:rFonts w:ascii="Arial Narrow" w:hAnsi="Arial Narrow" w:cs="Arial"/>
                <w:b/>
                <w:bCs/>
                <w:color w:val="000000"/>
                <w:lang w:val="es-ES_tradnl"/>
              </w:rPr>
              <w:t>635</w:t>
            </w:r>
          </w:p>
        </w:tc>
      </w:tr>
      <w:tr w:rsidR="00D9062C" w:rsidRPr="006E4BE1" w14:paraId="170CF03D" w14:textId="77777777" w:rsidTr="00D9062C">
        <w:trPr>
          <w:trHeight w:val="330"/>
        </w:trPr>
        <w:tc>
          <w:tcPr>
            <w:tcW w:w="3800" w:type="dxa"/>
            <w:tcBorders>
              <w:top w:val="nil"/>
              <w:left w:val="nil"/>
              <w:bottom w:val="single" w:sz="4" w:space="0" w:color="AAB8C4"/>
              <w:right w:val="nil"/>
            </w:tcBorders>
            <w:shd w:val="clear" w:color="auto" w:fill="auto"/>
            <w:noWrap/>
            <w:vAlign w:val="center"/>
            <w:hideMark/>
          </w:tcPr>
          <w:p w14:paraId="603D6171" w14:textId="33B3463E" w:rsidR="00D9062C" w:rsidRPr="006E4BE1" w:rsidRDefault="00697B3A" w:rsidP="00AE50C9">
            <w:pPr>
              <w:jc w:val="left"/>
              <w:rPr>
                <w:rFonts w:ascii="Arial Narrow" w:hAnsi="Arial Narrow" w:cs="Arial"/>
                <w:b/>
                <w:bCs/>
                <w:lang w:val="es-ES_tradnl"/>
              </w:rPr>
            </w:pPr>
            <w:r w:rsidRPr="006E4BE1">
              <w:rPr>
                <w:rFonts w:ascii="Arial Narrow" w:hAnsi="Arial Narrow" w:cs="Arial"/>
                <w:b/>
                <w:bCs/>
                <w:lang w:val="es-ES_tradnl"/>
              </w:rPr>
              <w:t>2. Gastos</w:t>
            </w:r>
          </w:p>
        </w:tc>
        <w:tc>
          <w:tcPr>
            <w:tcW w:w="1180" w:type="dxa"/>
            <w:tcBorders>
              <w:top w:val="nil"/>
              <w:left w:val="nil"/>
              <w:bottom w:val="single" w:sz="4" w:space="0" w:color="BFBFBF"/>
              <w:right w:val="nil"/>
            </w:tcBorders>
            <w:shd w:val="clear" w:color="auto" w:fill="auto"/>
            <w:vAlign w:val="center"/>
            <w:hideMark/>
          </w:tcPr>
          <w:p w14:paraId="2DD005AB" w14:textId="38C99F8A"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6</w:t>
            </w:r>
            <w:r w:rsidR="00DB07F3" w:rsidRPr="006E4BE1">
              <w:rPr>
                <w:rFonts w:ascii="Arial Narrow" w:hAnsi="Arial Narrow" w:cs="Arial"/>
                <w:b/>
                <w:bCs/>
                <w:color w:val="000000"/>
                <w:lang w:val="es-ES_tradnl"/>
              </w:rPr>
              <w:t>.</w:t>
            </w:r>
            <w:r w:rsidRPr="006E4BE1">
              <w:rPr>
                <w:rFonts w:ascii="Arial Narrow" w:hAnsi="Arial Narrow" w:cs="Arial"/>
                <w:b/>
                <w:bCs/>
                <w:color w:val="000000"/>
                <w:lang w:val="es-ES_tradnl"/>
              </w:rPr>
              <w:t>854</w:t>
            </w:r>
          </w:p>
        </w:tc>
        <w:tc>
          <w:tcPr>
            <w:tcW w:w="1180" w:type="dxa"/>
            <w:tcBorders>
              <w:top w:val="nil"/>
              <w:left w:val="nil"/>
              <w:bottom w:val="single" w:sz="4" w:space="0" w:color="AAB8C4"/>
              <w:right w:val="nil"/>
            </w:tcBorders>
            <w:shd w:val="clear" w:color="auto" w:fill="auto"/>
            <w:vAlign w:val="center"/>
            <w:hideMark/>
          </w:tcPr>
          <w:p w14:paraId="20762DE4" w14:textId="05F691B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DB07F3" w:rsidRPr="006E4BE1">
              <w:rPr>
                <w:rFonts w:ascii="Arial Narrow" w:hAnsi="Arial Narrow" w:cs="Arial"/>
                <w:b/>
                <w:bCs/>
                <w:color w:val="000000"/>
                <w:lang w:val="es-ES_tradnl"/>
              </w:rPr>
              <w:t>.</w:t>
            </w:r>
            <w:r w:rsidRPr="006E4BE1">
              <w:rPr>
                <w:rFonts w:ascii="Arial Narrow" w:hAnsi="Arial Narrow" w:cs="Arial"/>
                <w:b/>
                <w:bCs/>
                <w:color w:val="000000"/>
                <w:lang w:val="es-ES_tradnl"/>
              </w:rPr>
              <w:t>347</w:t>
            </w:r>
          </w:p>
        </w:tc>
        <w:tc>
          <w:tcPr>
            <w:tcW w:w="720" w:type="dxa"/>
            <w:tcBorders>
              <w:top w:val="nil"/>
              <w:left w:val="nil"/>
              <w:bottom w:val="single" w:sz="4" w:space="0" w:color="AAB8C4"/>
              <w:right w:val="nil"/>
            </w:tcBorders>
            <w:shd w:val="clear" w:color="auto" w:fill="auto"/>
            <w:vAlign w:val="center"/>
            <w:hideMark/>
          </w:tcPr>
          <w:p w14:paraId="70CB4337"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287</w:t>
            </w:r>
          </w:p>
        </w:tc>
        <w:tc>
          <w:tcPr>
            <w:tcW w:w="1020" w:type="dxa"/>
            <w:tcBorders>
              <w:top w:val="nil"/>
              <w:left w:val="nil"/>
              <w:bottom w:val="single" w:sz="4" w:space="0" w:color="BFBFBF"/>
              <w:right w:val="nil"/>
            </w:tcBorders>
            <w:shd w:val="clear" w:color="auto" w:fill="auto"/>
            <w:vAlign w:val="center"/>
            <w:hideMark/>
          </w:tcPr>
          <w:p w14:paraId="40DE8872" w14:textId="4070E0B0" w:rsidR="00D9062C" w:rsidRPr="006E4BE1" w:rsidRDefault="00D9062C" w:rsidP="00AE50C9">
            <w:pPr>
              <w:jc w:val="right"/>
              <w:rPr>
                <w:rFonts w:ascii="Arial Narrow" w:hAnsi="Arial Narrow" w:cs="Arial"/>
                <w:b/>
                <w:bCs/>
                <w:lang w:val="es-ES_tradnl"/>
              </w:rPr>
            </w:pPr>
            <w:r w:rsidRPr="006E4BE1">
              <w:rPr>
                <w:rFonts w:ascii="Arial Narrow" w:hAnsi="Arial Narrow" w:cs="Arial"/>
                <w:b/>
                <w:bCs/>
                <w:lang w:val="es-ES_tradnl"/>
              </w:rPr>
              <w:t>3</w:t>
            </w:r>
            <w:r w:rsidR="00DB07F3" w:rsidRPr="006E4BE1">
              <w:rPr>
                <w:rFonts w:ascii="Arial Narrow" w:hAnsi="Arial Narrow" w:cs="Arial"/>
                <w:b/>
                <w:bCs/>
                <w:lang w:val="es-ES_tradnl"/>
              </w:rPr>
              <w:t>,</w:t>
            </w:r>
            <w:r w:rsidRPr="006E4BE1">
              <w:rPr>
                <w:rFonts w:ascii="Arial Narrow" w:hAnsi="Arial Narrow" w:cs="Arial"/>
                <w:b/>
                <w:bCs/>
                <w:lang w:val="es-ES_tradnl"/>
              </w:rPr>
              <w:t>9%</w:t>
            </w:r>
          </w:p>
        </w:tc>
        <w:tc>
          <w:tcPr>
            <w:tcW w:w="1660" w:type="dxa"/>
            <w:tcBorders>
              <w:top w:val="nil"/>
              <w:left w:val="nil"/>
              <w:bottom w:val="single" w:sz="4" w:space="0" w:color="AAB8C4"/>
              <w:right w:val="nil"/>
            </w:tcBorders>
            <w:shd w:val="clear" w:color="auto" w:fill="auto"/>
            <w:vAlign w:val="center"/>
            <w:hideMark/>
          </w:tcPr>
          <w:p w14:paraId="342553CF" w14:textId="0CA687E0"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DB07F3" w:rsidRPr="006E4BE1">
              <w:rPr>
                <w:rFonts w:ascii="Arial Narrow" w:hAnsi="Arial Narrow" w:cs="Arial"/>
                <w:b/>
                <w:bCs/>
                <w:color w:val="000000"/>
                <w:lang w:val="es-ES_tradnl"/>
              </w:rPr>
              <w:t>.</w:t>
            </w:r>
            <w:r w:rsidRPr="006E4BE1">
              <w:rPr>
                <w:rFonts w:ascii="Arial Narrow" w:hAnsi="Arial Narrow" w:cs="Arial"/>
                <w:b/>
                <w:bCs/>
                <w:color w:val="000000"/>
                <w:lang w:val="es-ES_tradnl"/>
              </w:rPr>
              <w:t>635</w:t>
            </w:r>
          </w:p>
        </w:tc>
      </w:tr>
      <w:tr w:rsidR="00D9062C" w:rsidRPr="006E4BE1" w14:paraId="0F0D319B" w14:textId="77777777" w:rsidTr="00D9062C">
        <w:trPr>
          <w:trHeight w:val="330"/>
        </w:trPr>
        <w:tc>
          <w:tcPr>
            <w:tcW w:w="3800" w:type="dxa"/>
            <w:tcBorders>
              <w:top w:val="nil"/>
              <w:left w:val="nil"/>
              <w:bottom w:val="nil"/>
              <w:right w:val="nil"/>
            </w:tcBorders>
            <w:shd w:val="clear" w:color="auto" w:fill="auto"/>
            <w:vAlign w:val="bottom"/>
            <w:hideMark/>
          </w:tcPr>
          <w:p w14:paraId="666904F0" w14:textId="37786699" w:rsidR="00D9062C" w:rsidRPr="006E4BE1" w:rsidRDefault="00697B3A" w:rsidP="00AE50C9">
            <w:pPr>
              <w:ind w:firstLineChars="100" w:firstLine="200"/>
              <w:jc w:val="left"/>
              <w:rPr>
                <w:rFonts w:ascii="Arial Narrow" w:hAnsi="Arial Narrow" w:cs="Arial"/>
                <w:i/>
                <w:iCs/>
                <w:lang w:val="es-ES_tradnl"/>
              </w:rPr>
            </w:pPr>
            <w:r w:rsidRPr="006E4BE1">
              <w:rPr>
                <w:rFonts w:ascii="Arial Narrow" w:hAnsi="Arial Narrow" w:cs="Arial"/>
                <w:i/>
                <w:iCs/>
                <w:lang w:val="es-ES_tradnl"/>
              </w:rPr>
              <w:t>Diferencia</w:t>
            </w:r>
            <w:r w:rsidR="00D9062C" w:rsidRPr="006E4BE1">
              <w:rPr>
                <w:rFonts w:ascii="Arial Narrow" w:hAnsi="Arial Narrow" w:cs="Arial"/>
                <w:i/>
                <w:iCs/>
                <w:lang w:val="es-ES_tradnl"/>
              </w:rPr>
              <w:t xml:space="preserve"> </w:t>
            </w:r>
          </w:p>
        </w:tc>
        <w:tc>
          <w:tcPr>
            <w:tcW w:w="1180" w:type="dxa"/>
            <w:tcBorders>
              <w:top w:val="nil"/>
              <w:left w:val="nil"/>
              <w:bottom w:val="nil"/>
              <w:right w:val="nil"/>
            </w:tcBorders>
            <w:shd w:val="clear" w:color="auto" w:fill="auto"/>
            <w:vAlign w:val="bottom"/>
            <w:hideMark/>
          </w:tcPr>
          <w:p w14:paraId="65EF4E8A" w14:textId="77777777"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76</w:t>
            </w:r>
          </w:p>
        </w:tc>
        <w:tc>
          <w:tcPr>
            <w:tcW w:w="1180" w:type="dxa"/>
            <w:tcBorders>
              <w:top w:val="nil"/>
              <w:left w:val="nil"/>
              <w:bottom w:val="nil"/>
              <w:right w:val="nil"/>
            </w:tcBorders>
            <w:shd w:val="clear" w:color="auto" w:fill="auto"/>
            <w:vAlign w:val="bottom"/>
            <w:hideMark/>
          </w:tcPr>
          <w:p w14:paraId="28A4FECB" w14:textId="213D0729"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c>
          <w:tcPr>
            <w:tcW w:w="720" w:type="dxa"/>
            <w:tcBorders>
              <w:top w:val="nil"/>
              <w:left w:val="nil"/>
              <w:bottom w:val="nil"/>
              <w:right w:val="nil"/>
            </w:tcBorders>
            <w:shd w:val="clear" w:color="auto" w:fill="auto"/>
            <w:vAlign w:val="bottom"/>
            <w:hideMark/>
          </w:tcPr>
          <w:p w14:paraId="5CCF727C" w14:textId="68082EA3"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c>
          <w:tcPr>
            <w:tcW w:w="1020" w:type="dxa"/>
            <w:tcBorders>
              <w:top w:val="nil"/>
              <w:left w:val="nil"/>
              <w:bottom w:val="nil"/>
              <w:right w:val="nil"/>
            </w:tcBorders>
            <w:shd w:val="clear" w:color="auto" w:fill="auto"/>
            <w:vAlign w:val="bottom"/>
            <w:hideMark/>
          </w:tcPr>
          <w:p w14:paraId="1D67D67E" w14:textId="2FF060EC"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c>
          <w:tcPr>
            <w:tcW w:w="1660" w:type="dxa"/>
            <w:tcBorders>
              <w:top w:val="nil"/>
              <w:left w:val="nil"/>
              <w:bottom w:val="nil"/>
              <w:right w:val="nil"/>
            </w:tcBorders>
            <w:shd w:val="clear" w:color="auto" w:fill="auto"/>
            <w:vAlign w:val="bottom"/>
            <w:hideMark/>
          </w:tcPr>
          <w:p w14:paraId="339C5247" w14:textId="45EC477F"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r>
      <w:tr w:rsidR="00D9062C" w:rsidRPr="006E4BE1" w14:paraId="44BA14B5" w14:textId="77777777" w:rsidTr="00D9062C">
        <w:trPr>
          <w:trHeight w:val="260"/>
        </w:trPr>
        <w:tc>
          <w:tcPr>
            <w:tcW w:w="3800" w:type="dxa"/>
            <w:tcBorders>
              <w:top w:val="nil"/>
              <w:left w:val="nil"/>
              <w:bottom w:val="nil"/>
              <w:right w:val="nil"/>
            </w:tcBorders>
            <w:shd w:val="clear" w:color="auto" w:fill="auto"/>
            <w:vAlign w:val="bottom"/>
            <w:hideMark/>
          </w:tcPr>
          <w:p w14:paraId="0834C98D" w14:textId="77777777" w:rsidR="00D9062C" w:rsidRPr="006E4BE1" w:rsidRDefault="00D9062C" w:rsidP="00AE50C9">
            <w:pPr>
              <w:jc w:val="left"/>
              <w:rPr>
                <w:rFonts w:ascii="Arial Narrow" w:hAnsi="Arial Narrow" w:cs="Arial"/>
                <w:i/>
                <w:iCs/>
                <w:color w:val="000000"/>
                <w:lang w:val="es-ES_tradnl"/>
              </w:rPr>
            </w:pPr>
          </w:p>
        </w:tc>
        <w:tc>
          <w:tcPr>
            <w:tcW w:w="1180" w:type="dxa"/>
            <w:tcBorders>
              <w:top w:val="nil"/>
              <w:left w:val="nil"/>
              <w:bottom w:val="nil"/>
              <w:right w:val="nil"/>
            </w:tcBorders>
            <w:shd w:val="clear" w:color="auto" w:fill="auto"/>
            <w:vAlign w:val="bottom"/>
            <w:hideMark/>
          </w:tcPr>
          <w:p w14:paraId="6C24C936" w14:textId="77777777" w:rsidR="00D9062C" w:rsidRPr="006E4BE1" w:rsidRDefault="00D9062C" w:rsidP="00AE50C9">
            <w:pPr>
              <w:jc w:val="right"/>
              <w:rPr>
                <w:rFonts w:ascii="Times New Roman" w:hAnsi="Times New Roman"/>
                <w:lang w:val="es-ES_tradnl"/>
              </w:rPr>
            </w:pPr>
          </w:p>
        </w:tc>
        <w:tc>
          <w:tcPr>
            <w:tcW w:w="1180" w:type="dxa"/>
            <w:tcBorders>
              <w:top w:val="nil"/>
              <w:left w:val="nil"/>
              <w:bottom w:val="nil"/>
              <w:right w:val="nil"/>
            </w:tcBorders>
            <w:shd w:val="clear" w:color="auto" w:fill="auto"/>
            <w:vAlign w:val="bottom"/>
            <w:hideMark/>
          </w:tcPr>
          <w:p w14:paraId="5A481626" w14:textId="77777777" w:rsidR="00D9062C" w:rsidRPr="006E4BE1" w:rsidRDefault="00D9062C" w:rsidP="00AE50C9">
            <w:pPr>
              <w:jc w:val="right"/>
              <w:rPr>
                <w:rFonts w:ascii="Times New Roman" w:hAnsi="Times New Roman"/>
                <w:lang w:val="es-ES_tradnl"/>
              </w:rPr>
            </w:pPr>
          </w:p>
        </w:tc>
        <w:tc>
          <w:tcPr>
            <w:tcW w:w="720" w:type="dxa"/>
            <w:tcBorders>
              <w:top w:val="nil"/>
              <w:left w:val="nil"/>
              <w:bottom w:val="nil"/>
              <w:right w:val="nil"/>
            </w:tcBorders>
            <w:shd w:val="clear" w:color="auto" w:fill="auto"/>
            <w:vAlign w:val="bottom"/>
            <w:hideMark/>
          </w:tcPr>
          <w:p w14:paraId="1A86A1A0" w14:textId="77777777" w:rsidR="00D9062C" w:rsidRPr="006E4BE1" w:rsidRDefault="00D9062C" w:rsidP="00AE50C9">
            <w:pPr>
              <w:jc w:val="right"/>
              <w:rPr>
                <w:rFonts w:ascii="Times New Roman" w:hAnsi="Times New Roman"/>
                <w:lang w:val="es-ES_tradnl"/>
              </w:rPr>
            </w:pPr>
          </w:p>
        </w:tc>
        <w:tc>
          <w:tcPr>
            <w:tcW w:w="1020" w:type="dxa"/>
            <w:tcBorders>
              <w:top w:val="nil"/>
              <w:left w:val="nil"/>
              <w:bottom w:val="nil"/>
              <w:right w:val="nil"/>
            </w:tcBorders>
            <w:shd w:val="clear" w:color="auto" w:fill="auto"/>
            <w:vAlign w:val="bottom"/>
            <w:hideMark/>
          </w:tcPr>
          <w:p w14:paraId="39F3273B" w14:textId="77777777" w:rsidR="00D9062C" w:rsidRPr="006E4BE1" w:rsidRDefault="00D9062C" w:rsidP="00AE50C9">
            <w:pPr>
              <w:jc w:val="right"/>
              <w:rPr>
                <w:rFonts w:ascii="Times New Roman" w:hAnsi="Times New Roman"/>
                <w:lang w:val="es-ES_tradnl"/>
              </w:rPr>
            </w:pPr>
          </w:p>
        </w:tc>
        <w:tc>
          <w:tcPr>
            <w:tcW w:w="1660" w:type="dxa"/>
            <w:tcBorders>
              <w:top w:val="nil"/>
              <w:left w:val="nil"/>
              <w:bottom w:val="nil"/>
              <w:right w:val="nil"/>
            </w:tcBorders>
            <w:shd w:val="clear" w:color="auto" w:fill="auto"/>
            <w:vAlign w:val="bottom"/>
            <w:hideMark/>
          </w:tcPr>
          <w:p w14:paraId="4034CD70" w14:textId="77777777" w:rsidR="00D9062C" w:rsidRPr="006E4BE1" w:rsidRDefault="00D9062C" w:rsidP="00AE50C9">
            <w:pPr>
              <w:jc w:val="right"/>
              <w:rPr>
                <w:rFonts w:ascii="Times New Roman" w:hAnsi="Times New Roman"/>
                <w:lang w:val="es-ES_tradnl"/>
              </w:rPr>
            </w:pPr>
          </w:p>
        </w:tc>
      </w:tr>
      <w:tr w:rsidR="00D9062C" w:rsidRPr="006E4BE1" w14:paraId="1FA0A07B" w14:textId="77777777" w:rsidTr="00D9062C">
        <w:trPr>
          <w:trHeight w:val="330"/>
        </w:trPr>
        <w:tc>
          <w:tcPr>
            <w:tcW w:w="3800" w:type="dxa"/>
            <w:tcBorders>
              <w:top w:val="single" w:sz="4" w:space="0" w:color="AAB8C4"/>
              <w:left w:val="nil"/>
              <w:bottom w:val="single" w:sz="8" w:space="0" w:color="AAB8C4"/>
              <w:right w:val="nil"/>
            </w:tcBorders>
            <w:shd w:val="clear" w:color="auto" w:fill="auto"/>
            <w:vAlign w:val="bottom"/>
            <w:hideMark/>
          </w:tcPr>
          <w:p w14:paraId="31B9477C" w14:textId="4E0149C8" w:rsidR="00D9062C" w:rsidRPr="006E4BE1" w:rsidRDefault="00697B3A" w:rsidP="00AE50C9">
            <w:pPr>
              <w:jc w:val="left"/>
              <w:rPr>
                <w:rFonts w:ascii="Arial Narrow" w:hAnsi="Arial Narrow" w:cs="Arial"/>
                <w:b/>
                <w:bCs/>
                <w:lang w:val="es-ES_tradnl"/>
              </w:rPr>
            </w:pPr>
            <w:r w:rsidRPr="006E4BE1">
              <w:rPr>
                <w:rFonts w:ascii="Arial Narrow" w:hAnsi="Arial Narrow" w:cs="Arial"/>
                <w:b/>
                <w:bCs/>
                <w:lang w:val="es-ES_tradnl"/>
              </w:rPr>
              <w:t>3. Fondo de operaciones</w:t>
            </w:r>
          </w:p>
        </w:tc>
        <w:tc>
          <w:tcPr>
            <w:tcW w:w="1180" w:type="dxa"/>
            <w:tcBorders>
              <w:top w:val="single" w:sz="4" w:space="0" w:color="AAB8C4"/>
              <w:left w:val="nil"/>
              <w:bottom w:val="single" w:sz="8" w:space="0" w:color="AAB8C4"/>
              <w:right w:val="nil"/>
            </w:tcBorders>
            <w:shd w:val="clear" w:color="auto" w:fill="auto"/>
            <w:vAlign w:val="bottom"/>
            <w:hideMark/>
          </w:tcPr>
          <w:p w14:paraId="2BF830D2"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561</w:t>
            </w:r>
          </w:p>
        </w:tc>
        <w:tc>
          <w:tcPr>
            <w:tcW w:w="1180" w:type="dxa"/>
            <w:tcBorders>
              <w:top w:val="single" w:sz="4" w:space="0" w:color="AAB8C4"/>
              <w:left w:val="nil"/>
              <w:bottom w:val="single" w:sz="8" w:space="0" w:color="AAB8C4"/>
              <w:right w:val="nil"/>
            </w:tcBorders>
            <w:shd w:val="clear" w:color="auto" w:fill="auto"/>
            <w:vAlign w:val="bottom"/>
            <w:hideMark/>
          </w:tcPr>
          <w:p w14:paraId="6B75BAC8"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566</w:t>
            </w:r>
          </w:p>
        </w:tc>
        <w:tc>
          <w:tcPr>
            <w:tcW w:w="720" w:type="dxa"/>
            <w:tcBorders>
              <w:top w:val="single" w:sz="4" w:space="0" w:color="AAB8C4"/>
              <w:left w:val="nil"/>
              <w:bottom w:val="single" w:sz="8" w:space="0" w:color="AAB8C4"/>
              <w:right w:val="nil"/>
            </w:tcBorders>
            <w:shd w:val="clear" w:color="auto" w:fill="auto"/>
            <w:vAlign w:val="bottom"/>
            <w:hideMark/>
          </w:tcPr>
          <w:p w14:paraId="1E8B8A56"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13</w:t>
            </w:r>
          </w:p>
        </w:tc>
        <w:tc>
          <w:tcPr>
            <w:tcW w:w="1020" w:type="dxa"/>
            <w:tcBorders>
              <w:top w:val="single" w:sz="4" w:space="0" w:color="BFBFBF"/>
              <w:left w:val="nil"/>
              <w:bottom w:val="single" w:sz="8" w:space="0" w:color="BFBFBF"/>
              <w:right w:val="nil"/>
            </w:tcBorders>
            <w:shd w:val="clear" w:color="auto" w:fill="auto"/>
            <w:vAlign w:val="bottom"/>
            <w:hideMark/>
          </w:tcPr>
          <w:p w14:paraId="6A46CC7F" w14:textId="798E5BC6" w:rsidR="00D9062C" w:rsidRPr="006E4BE1" w:rsidRDefault="00D9062C" w:rsidP="00AE50C9">
            <w:pPr>
              <w:jc w:val="right"/>
              <w:rPr>
                <w:rFonts w:ascii="Arial Narrow" w:hAnsi="Arial Narrow" w:cs="Arial"/>
                <w:b/>
                <w:bCs/>
                <w:lang w:val="es-ES_tradnl"/>
              </w:rPr>
            </w:pPr>
            <w:r w:rsidRPr="006E4BE1">
              <w:rPr>
                <w:rFonts w:ascii="Arial Narrow" w:hAnsi="Arial Narrow" w:cs="Arial"/>
                <w:b/>
                <w:bCs/>
                <w:lang w:val="es-ES_tradnl"/>
              </w:rPr>
              <w:t>2</w:t>
            </w:r>
            <w:r w:rsidR="00DB07F3" w:rsidRPr="006E4BE1">
              <w:rPr>
                <w:rFonts w:ascii="Arial Narrow" w:hAnsi="Arial Narrow" w:cs="Arial"/>
                <w:b/>
                <w:bCs/>
                <w:lang w:val="es-ES_tradnl"/>
              </w:rPr>
              <w:t>,</w:t>
            </w:r>
            <w:r w:rsidRPr="006E4BE1">
              <w:rPr>
                <w:rFonts w:ascii="Arial Narrow" w:hAnsi="Arial Narrow" w:cs="Arial"/>
                <w:b/>
                <w:bCs/>
                <w:lang w:val="es-ES_tradnl"/>
              </w:rPr>
              <w:t>3%</w:t>
            </w:r>
          </w:p>
        </w:tc>
        <w:tc>
          <w:tcPr>
            <w:tcW w:w="1660" w:type="dxa"/>
            <w:tcBorders>
              <w:top w:val="single" w:sz="4" w:space="0" w:color="AAB8C4"/>
              <w:left w:val="nil"/>
              <w:bottom w:val="single" w:sz="8" w:space="0" w:color="AAB8C4"/>
              <w:right w:val="nil"/>
            </w:tcBorders>
            <w:shd w:val="clear" w:color="auto" w:fill="auto"/>
            <w:vAlign w:val="bottom"/>
            <w:hideMark/>
          </w:tcPr>
          <w:p w14:paraId="39201A60" w14:textId="77777777" w:rsidR="00D9062C" w:rsidRPr="006E4BE1" w:rsidRDefault="00D9062C" w:rsidP="00AE50C9">
            <w:pPr>
              <w:jc w:val="right"/>
              <w:rPr>
                <w:rFonts w:ascii="Arial Narrow" w:hAnsi="Arial Narrow" w:cs="Arial"/>
                <w:b/>
                <w:bCs/>
                <w:lang w:val="es-ES_tradnl"/>
              </w:rPr>
            </w:pPr>
            <w:r w:rsidRPr="006E4BE1">
              <w:rPr>
                <w:rFonts w:ascii="Arial Narrow" w:hAnsi="Arial Narrow" w:cs="Arial"/>
                <w:b/>
                <w:bCs/>
                <w:lang w:val="es-ES_tradnl"/>
              </w:rPr>
              <w:t>578</w:t>
            </w:r>
          </w:p>
        </w:tc>
      </w:tr>
    </w:tbl>
    <w:p w14:paraId="7C12B6A1" w14:textId="77777777" w:rsidR="001240C5" w:rsidRPr="006E4BE1" w:rsidRDefault="001240C5" w:rsidP="00AE50C9">
      <w:pPr>
        <w:rPr>
          <w:spacing w:val="-2"/>
          <w:szCs w:val="24"/>
          <w:lang w:val="es-ES_tradnl"/>
        </w:rPr>
      </w:pPr>
    </w:p>
    <w:p w14:paraId="74F54B33" w14:textId="77777777" w:rsidR="001240C5" w:rsidRPr="006E4BE1" w:rsidRDefault="001240C5" w:rsidP="00AE50C9">
      <w:pPr>
        <w:rPr>
          <w:spacing w:val="-2"/>
          <w:szCs w:val="24"/>
          <w:lang w:val="es-ES_tradnl"/>
        </w:rPr>
      </w:pPr>
    </w:p>
    <w:p w14:paraId="64AF4667" w14:textId="77777777" w:rsidR="001240C5" w:rsidRPr="006E4BE1" w:rsidRDefault="00861F9A" w:rsidP="00AE50C9">
      <w:pPr>
        <w:rPr>
          <w:spacing w:val="-2"/>
          <w:szCs w:val="24"/>
          <w:lang w:val="es-ES_tradnl"/>
        </w:rPr>
      </w:pPr>
      <w:r w:rsidRPr="006E4BE1">
        <w:rPr>
          <w:spacing w:val="-2"/>
          <w:szCs w:val="24"/>
          <w:lang w:val="es-ES_tradnl"/>
        </w:rPr>
        <w:lastRenderedPageBreak/>
        <w:t>Con respecto al fondo de reserva, cabe recordar que el documento UPOV/INF/4/6</w:t>
      </w:r>
      <w:r w:rsidR="00D3016C" w:rsidRPr="006E4BE1">
        <w:rPr>
          <w:spacing w:val="-2"/>
          <w:szCs w:val="24"/>
          <w:lang w:val="es-ES_tradnl"/>
        </w:rPr>
        <w:t xml:space="preserve"> “</w:t>
      </w:r>
      <w:r w:rsidRPr="006E4BE1">
        <w:rPr>
          <w:spacing w:val="-2"/>
          <w:szCs w:val="24"/>
          <w:lang w:val="es-ES_tradnl"/>
        </w:rPr>
        <w:t>Reglamento Financiero y Reglamentación Financiera de la UPOV</w:t>
      </w:r>
      <w:r w:rsidR="00C178AA" w:rsidRPr="006E4BE1">
        <w:rPr>
          <w:spacing w:val="-2"/>
          <w:szCs w:val="24"/>
          <w:lang w:val="es-ES_tradnl"/>
        </w:rPr>
        <w:t>”</w:t>
      </w:r>
      <w:r w:rsidRPr="006E4BE1">
        <w:rPr>
          <w:spacing w:val="-2"/>
          <w:szCs w:val="24"/>
          <w:lang w:val="es-ES_tradnl"/>
        </w:rPr>
        <w:t xml:space="preserve">, artículo 4,6, prevé que </w:t>
      </w:r>
      <w:r w:rsidR="00C178AA" w:rsidRPr="006E4BE1">
        <w:rPr>
          <w:spacing w:val="-2"/>
          <w:szCs w:val="24"/>
          <w:lang w:val="es-ES_tradnl"/>
        </w:rPr>
        <w:t>“</w:t>
      </w:r>
      <w:r w:rsidRPr="006E4BE1">
        <w:rPr>
          <w:spacing w:val="-2"/>
          <w:szCs w:val="24"/>
          <w:lang w:val="es-ES_tradnl"/>
        </w:rPr>
        <w:t>[…] Si, tras el cierre del ejercicio económico, el importe del fondo de reserva supera el 15 por ciento de los ingresos totales del ejercicio económico, el Consejo decidirá sobre la utilización de los ingresos que excedan de los gastos del ejercicio económico</w:t>
      </w:r>
      <w:r w:rsidR="00C178AA" w:rsidRPr="006E4BE1">
        <w:rPr>
          <w:spacing w:val="-2"/>
          <w:szCs w:val="24"/>
          <w:lang w:val="es-ES_tradnl"/>
        </w:rPr>
        <w:t>”</w:t>
      </w:r>
      <w:r w:rsidR="00FE64A1" w:rsidRPr="006E4BE1">
        <w:rPr>
          <w:spacing w:val="-2"/>
          <w:szCs w:val="24"/>
          <w:lang w:val="es-ES_tradnl"/>
        </w:rPr>
        <w:t xml:space="preserve">.  </w:t>
      </w:r>
      <w:r w:rsidRPr="006E4BE1">
        <w:rPr>
          <w:spacing w:val="-2"/>
          <w:szCs w:val="24"/>
          <w:lang w:val="es-ES_tradnl"/>
        </w:rPr>
        <w:t>Se efectuarán los preparativos necesarios a fin de que el Comité Consultivo y el Consejo consideren si es aplicable esa situación al cierre del ejercicio bienal 2022-2023.</w:t>
      </w:r>
    </w:p>
    <w:p w14:paraId="332CC293" w14:textId="77777777" w:rsidR="001240C5" w:rsidRPr="006E4BE1" w:rsidRDefault="001240C5" w:rsidP="00AE50C9">
      <w:pPr>
        <w:rPr>
          <w:spacing w:val="-2"/>
          <w:szCs w:val="24"/>
          <w:lang w:val="es-ES_tradnl"/>
        </w:rPr>
      </w:pPr>
    </w:p>
    <w:p w14:paraId="57314895" w14:textId="77777777" w:rsidR="001240C5" w:rsidRPr="006E4BE1" w:rsidRDefault="001240C5" w:rsidP="00AE50C9">
      <w:pPr>
        <w:rPr>
          <w:spacing w:val="-2"/>
          <w:szCs w:val="24"/>
          <w:lang w:val="es-ES_tradnl"/>
        </w:rPr>
      </w:pPr>
    </w:p>
    <w:p w14:paraId="42B6F7C7" w14:textId="77777777" w:rsidR="001240C5" w:rsidRPr="006E4BE1" w:rsidRDefault="00861F9A" w:rsidP="00B60E92">
      <w:pPr>
        <w:pStyle w:val="Heading3"/>
      </w:pPr>
      <w:bookmarkStart w:id="456" w:name="_Toc78476734"/>
      <w:r w:rsidRPr="006E4BE1">
        <w:t>Ingresos</w:t>
      </w:r>
      <w:bookmarkEnd w:id="456"/>
    </w:p>
    <w:p w14:paraId="004C7154" w14:textId="77777777" w:rsidR="001240C5" w:rsidRPr="006E4BE1" w:rsidRDefault="001240C5" w:rsidP="00362930">
      <w:pPr>
        <w:rPr>
          <w:lang w:val="es-ES_tradnl"/>
        </w:rPr>
      </w:pPr>
    </w:p>
    <w:p w14:paraId="2BBBE1B4" w14:textId="77777777" w:rsidR="001240C5" w:rsidRPr="006E4BE1" w:rsidRDefault="00861F9A" w:rsidP="00AE50C9">
      <w:pPr>
        <w:rPr>
          <w:lang w:val="es-ES_tradnl"/>
        </w:rPr>
      </w:pPr>
      <w:r w:rsidRPr="006E4BE1">
        <w:rPr>
          <w:lang w:val="es-ES_tradnl"/>
        </w:rPr>
        <w:t>Los ingresos previstos en el presupuesto ordinario para el bienio 2022-2023 se estiman en 7.634.500</w:t>
      </w:r>
      <w:r w:rsidR="007E6808" w:rsidRPr="006E4BE1">
        <w:rPr>
          <w:lang w:val="es-ES_tradnl"/>
        </w:rPr>
        <w:t> francos</w:t>
      </w:r>
      <w:r w:rsidRPr="006E4BE1">
        <w:rPr>
          <w:lang w:val="es-ES_tradnl"/>
        </w:rPr>
        <w:t xml:space="preserve"> suizos, es decir, 287.215</w:t>
      </w:r>
      <w:r w:rsidR="007E6808" w:rsidRPr="006E4BE1">
        <w:rPr>
          <w:lang w:val="es-ES_tradnl"/>
        </w:rPr>
        <w:t> francos</w:t>
      </w:r>
      <w:r w:rsidRPr="006E4BE1">
        <w:rPr>
          <w:lang w:val="es-ES_tradnl"/>
        </w:rPr>
        <w:t xml:space="preserve"> suizos (3,9%) más que los ingresos estimados para el bienio 2020-2021 (7.347.285</w:t>
      </w:r>
      <w:r w:rsidR="007E6808" w:rsidRPr="006E4BE1">
        <w:rPr>
          <w:lang w:val="es-ES_tradnl"/>
        </w:rPr>
        <w:t> francos</w:t>
      </w:r>
      <w:r w:rsidRPr="006E4BE1">
        <w:rPr>
          <w:lang w:val="es-ES_tradnl"/>
        </w:rPr>
        <w:t xml:space="preserve"> suizos) (véase el cuadro 2)</w:t>
      </w:r>
      <w:r w:rsidR="00FE64A1" w:rsidRPr="006E4BE1">
        <w:rPr>
          <w:lang w:val="es-ES_tradnl"/>
        </w:rPr>
        <w:t xml:space="preserve">.  </w:t>
      </w:r>
      <w:r w:rsidR="00621590" w:rsidRPr="006E4BE1">
        <w:rPr>
          <w:lang w:val="es-ES_tradnl"/>
        </w:rPr>
        <w:t>La estimación de ingresos del bienio 2022-2023 se basa en 66,35 unidades de contribución en 2022 y 66,55 unidades de contribución en 2023, sin modificar el valor de la unidad de contribución, que se propone mantener en 53.641</w:t>
      </w:r>
      <w:r w:rsidR="007E6808" w:rsidRPr="006E4BE1">
        <w:rPr>
          <w:lang w:val="es-ES_tradnl"/>
        </w:rPr>
        <w:t> francos</w:t>
      </w:r>
      <w:r w:rsidR="00621590" w:rsidRPr="006E4BE1">
        <w:rPr>
          <w:lang w:val="es-ES_tradnl"/>
        </w:rPr>
        <w:t xml:space="preserve"> suizos en el bienio 2022-2023.</w:t>
      </w:r>
    </w:p>
    <w:p w14:paraId="61CE7935" w14:textId="77777777" w:rsidR="001240C5" w:rsidRPr="006E4BE1" w:rsidRDefault="001240C5" w:rsidP="00AE50C9">
      <w:pPr>
        <w:rPr>
          <w:lang w:val="es-ES_tradnl"/>
        </w:rPr>
      </w:pPr>
    </w:p>
    <w:p w14:paraId="0A827B43" w14:textId="77777777" w:rsidR="001240C5" w:rsidRPr="006E4BE1" w:rsidRDefault="00621590" w:rsidP="00AE50C9">
      <w:pPr>
        <w:rPr>
          <w:lang w:val="es-ES_tradnl"/>
        </w:rPr>
      </w:pPr>
      <w:r w:rsidRPr="006E4BE1">
        <w:rPr>
          <w:lang w:val="es-ES_tradnl"/>
        </w:rPr>
        <w:t>Los ingresos obtenidos de las contribuciones se han calculado a partir del supuesto de que cada año haya un nuevo miembro de la Unión con una contribución de 0,2 unidades al presupuesto (y 1.667</w:t>
      </w:r>
      <w:r w:rsidR="007E6808" w:rsidRPr="006E4BE1">
        <w:rPr>
          <w:lang w:val="es-ES_tradnl"/>
        </w:rPr>
        <w:t> francos</w:t>
      </w:r>
      <w:r w:rsidRPr="006E4BE1">
        <w:rPr>
          <w:lang w:val="es-ES_tradnl"/>
        </w:rPr>
        <w:t xml:space="preserve"> suizos al fondo de operaciones)</w:t>
      </w:r>
      <w:r w:rsidR="00FE64A1" w:rsidRPr="006E4BE1">
        <w:rPr>
          <w:lang w:val="es-ES_tradnl"/>
        </w:rPr>
        <w:t xml:space="preserve">.  </w:t>
      </w:r>
      <w:r w:rsidRPr="006E4BE1">
        <w:rPr>
          <w:lang w:val="es-ES_tradnl"/>
        </w:rPr>
        <w:t xml:space="preserve">En su vigésima tercera sesión extraordinaria, celebrada el 7 de abril de 2006 en Ginebra, el Consejo decidió que </w:t>
      </w:r>
      <w:r w:rsidR="00C178AA" w:rsidRPr="006E4BE1">
        <w:rPr>
          <w:lang w:val="es-ES_tradnl"/>
        </w:rPr>
        <w:t>“</w:t>
      </w:r>
      <w:r w:rsidRPr="006E4BE1">
        <w:rPr>
          <w:lang w:val="es-ES_tradnl"/>
        </w:rPr>
        <w:t>los miembros de la Unión no ajusten a la baja el número de unidades de contribución sin tener en cuenta las consecuencias que ello tendría para la UPOV y la forma en que dicha reducción tendría que ser compensada por otros miembros de la Unión</w:t>
      </w:r>
      <w:r w:rsidR="00FE64A1" w:rsidRPr="006E4BE1">
        <w:rPr>
          <w:lang w:val="es-ES_tradnl"/>
        </w:rPr>
        <w:t xml:space="preserve">.  </w:t>
      </w:r>
      <w:r w:rsidR="00BA2EBD" w:rsidRPr="006E4BE1">
        <w:rPr>
          <w:lang w:val="es-ES_tradnl"/>
        </w:rPr>
        <w:t>En particular, los miembros de la Unión no deben proceder a una reducción del número de sus unidades de contribución mientras esté vigente el ejercicio financiero aprobado por el Consejo, salvo en casos excepcionales e inevitables” (véase el Anexo III del documento C(Extr.)/23/5)</w:t>
      </w:r>
      <w:r w:rsidR="00FE64A1" w:rsidRPr="006E4BE1">
        <w:rPr>
          <w:lang w:val="es-ES_tradnl"/>
        </w:rPr>
        <w:t xml:space="preserve">.  </w:t>
      </w:r>
      <w:r w:rsidR="00BA2EBD" w:rsidRPr="006E4BE1">
        <w:rPr>
          <w:lang w:val="es-ES_tradnl"/>
        </w:rPr>
        <w:t>En vista de ello, no se prevén reducciones en el número de unidades de contribución de los miembros de la Unión en el bienio 2022-2023.</w:t>
      </w:r>
    </w:p>
    <w:p w14:paraId="4ABF7CED" w14:textId="77777777" w:rsidR="001240C5" w:rsidRPr="006E4BE1" w:rsidRDefault="001240C5" w:rsidP="00AE50C9">
      <w:pPr>
        <w:rPr>
          <w:lang w:val="es-ES_tradnl"/>
        </w:rPr>
      </w:pPr>
    </w:p>
    <w:p w14:paraId="3B893877" w14:textId="77777777" w:rsidR="001240C5" w:rsidRPr="006E4BE1" w:rsidRDefault="00BA2EBD" w:rsidP="00AE50C9">
      <w:pPr>
        <w:tabs>
          <w:tab w:val="left" w:pos="567"/>
        </w:tabs>
        <w:rPr>
          <w:lang w:val="es-ES_tradnl"/>
        </w:rPr>
      </w:pPr>
      <w:r w:rsidRPr="006E4BE1">
        <w:rPr>
          <w:lang w:val="es-ES_tradnl"/>
        </w:rPr>
        <w:t>Además de las contribuciones de los miembros de la Unión, se prevén ingresos en concepto de tasas por uso de las herramientas y los servicios informáticos de la UPOV (331.200</w:t>
      </w:r>
      <w:r w:rsidR="007E6808" w:rsidRPr="006E4BE1">
        <w:rPr>
          <w:lang w:val="es-ES_tradnl"/>
        </w:rPr>
        <w:t> francos</w:t>
      </w:r>
      <w:r w:rsidRPr="006E4BE1">
        <w:rPr>
          <w:lang w:val="es-ES_tradnl"/>
        </w:rPr>
        <w:t xml:space="preserve"> suizos) e ingresos diversos (174.432</w:t>
      </w:r>
      <w:r w:rsidR="007E6808" w:rsidRPr="006E4BE1">
        <w:rPr>
          <w:lang w:val="es-ES_tradnl"/>
        </w:rPr>
        <w:t> francos</w:t>
      </w:r>
      <w:r w:rsidRPr="006E4BE1">
        <w:rPr>
          <w:lang w:val="es-ES_tradnl"/>
        </w:rPr>
        <w:t xml:space="preserve"> suizos), entre ellos: i) costo de administración de los fondos fiduciarios (125.482 francos suizos) y ii) tasas obtenidas del programa de enseñanza a distancia (48.950 francos suizos)</w:t>
      </w:r>
      <w:r w:rsidR="00FE64A1" w:rsidRPr="006E4BE1">
        <w:rPr>
          <w:lang w:val="es-ES_tradnl"/>
        </w:rPr>
        <w:t xml:space="preserve">.  </w:t>
      </w:r>
      <w:r w:rsidRPr="006E4BE1">
        <w:rPr>
          <w:lang w:val="es-ES_tradnl"/>
        </w:rPr>
        <w:t>Las fuentes de ingresos distintas de las contribuciones representan el 6,6% de los ingresos estimados para 2022-2023.</w:t>
      </w:r>
    </w:p>
    <w:p w14:paraId="1A47FF48" w14:textId="77777777" w:rsidR="001240C5" w:rsidRPr="006E4BE1" w:rsidRDefault="001240C5" w:rsidP="00AE50C9">
      <w:pPr>
        <w:rPr>
          <w:spacing w:val="-2"/>
          <w:szCs w:val="24"/>
          <w:lang w:val="es-ES_tradnl"/>
        </w:rPr>
      </w:pPr>
    </w:p>
    <w:p w14:paraId="796D5F60" w14:textId="77777777" w:rsidR="001240C5" w:rsidRPr="006E4BE1" w:rsidRDefault="00616DC7" w:rsidP="00AE50C9">
      <w:pPr>
        <w:jc w:val="center"/>
        <w:rPr>
          <w:rFonts w:cs="Arial"/>
          <w:b/>
          <w:bCs/>
          <w:color w:val="26724C" w:themeColor="accent1" w:themeShade="BF"/>
          <w:lang w:val="es-ES_tradnl"/>
        </w:rPr>
      </w:pPr>
      <w:r w:rsidRPr="006E4BE1">
        <w:rPr>
          <w:rFonts w:cs="Arial"/>
          <w:b/>
          <w:bCs/>
          <w:color w:val="26724C" w:themeColor="accent1" w:themeShade="BF"/>
          <w:lang w:val="es-ES_tradnl"/>
        </w:rPr>
        <w:t>Cuadro 2</w:t>
      </w:r>
      <w:r w:rsidR="00D37513" w:rsidRPr="006E4BE1">
        <w:rPr>
          <w:rFonts w:cs="Arial"/>
          <w:b/>
          <w:bCs/>
          <w:color w:val="26724C" w:themeColor="accent1" w:themeShade="BF"/>
          <w:lang w:val="es-ES_tradnl"/>
        </w:rPr>
        <w:t>.</w:t>
      </w:r>
      <w:r w:rsidRPr="006E4BE1">
        <w:rPr>
          <w:rFonts w:cs="Arial"/>
          <w:b/>
          <w:bCs/>
          <w:color w:val="26724C" w:themeColor="accent1" w:themeShade="BF"/>
          <w:lang w:val="es-ES_tradnl"/>
        </w:rPr>
        <w:t xml:space="preserve"> Ingresos correspondientes a los bienios 2020</w:t>
      </w:r>
      <w:r w:rsidRPr="006E4BE1">
        <w:rPr>
          <w:rFonts w:cs="Arial"/>
          <w:bCs/>
          <w:color w:val="26724C" w:themeColor="accent1" w:themeShade="BF"/>
          <w:lang w:val="es-ES_tradnl"/>
        </w:rPr>
        <w:t>-</w:t>
      </w:r>
      <w:r w:rsidRPr="006E4BE1">
        <w:rPr>
          <w:rFonts w:cs="Arial"/>
          <w:b/>
          <w:bCs/>
          <w:color w:val="26724C" w:themeColor="accent1" w:themeShade="BF"/>
          <w:lang w:val="es-ES_tradnl"/>
        </w:rPr>
        <w:t>2021 y 2022</w:t>
      </w:r>
      <w:r w:rsidRPr="006E4BE1">
        <w:rPr>
          <w:rFonts w:cs="Arial"/>
          <w:bCs/>
          <w:color w:val="26724C" w:themeColor="accent1" w:themeShade="BF"/>
          <w:lang w:val="es-ES_tradnl"/>
        </w:rPr>
        <w:t>-</w:t>
      </w:r>
      <w:r w:rsidRPr="006E4BE1">
        <w:rPr>
          <w:rFonts w:cs="Arial"/>
          <w:b/>
          <w:bCs/>
          <w:color w:val="26724C" w:themeColor="accent1" w:themeShade="BF"/>
          <w:lang w:val="es-ES_tradnl"/>
        </w:rPr>
        <w:t>2023</w:t>
      </w:r>
    </w:p>
    <w:p w14:paraId="79E2D404" w14:textId="77777777" w:rsidR="001240C5" w:rsidRPr="006E4BE1" w:rsidRDefault="00616DC7" w:rsidP="00AE50C9">
      <w:pPr>
        <w:jc w:val="center"/>
        <w:rPr>
          <w:rFonts w:cs="Arial"/>
          <w:i/>
          <w:iCs/>
          <w:lang w:val="es-ES_tradnl"/>
        </w:rPr>
      </w:pPr>
      <w:r w:rsidRPr="006E4BE1">
        <w:rPr>
          <w:rFonts w:cs="Arial"/>
          <w:i/>
          <w:iCs/>
          <w:lang w:val="es-ES_tradnl"/>
        </w:rPr>
        <w:t>(en miles de francos suizos)</w:t>
      </w:r>
    </w:p>
    <w:p w14:paraId="5B0FBD43" w14:textId="73F0D9DC" w:rsidR="00ED4F07" w:rsidRPr="006E4BE1" w:rsidRDefault="00ED4F07" w:rsidP="00AE50C9">
      <w:pPr>
        <w:rPr>
          <w:rFonts w:cs="Arial"/>
          <w:i/>
          <w:iCs/>
          <w:lang w:val="es-ES_tradnl"/>
        </w:rPr>
      </w:pPr>
    </w:p>
    <w:tbl>
      <w:tblPr>
        <w:tblW w:w="9587" w:type="dxa"/>
        <w:tblLook w:val="04A0" w:firstRow="1" w:lastRow="0" w:firstColumn="1" w:lastColumn="0" w:noHBand="0" w:noVBand="1"/>
      </w:tblPr>
      <w:tblGrid>
        <w:gridCol w:w="3330"/>
        <w:gridCol w:w="1035"/>
        <w:gridCol w:w="1309"/>
        <w:gridCol w:w="1309"/>
        <w:gridCol w:w="1361"/>
        <w:gridCol w:w="1243"/>
      </w:tblGrid>
      <w:tr w:rsidR="00D9062C" w:rsidRPr="006E4BE1" w14:paraId="5697F127" w14:textId="77777777" w:rsidTr="0078737D">
        <w:trPr>
          <w:trHeight w:val="317"/>
        </w:trPr>
        <w:tc>
          <w:tcPr>
            <w:tcW w:w="3330" w:type="dxa"/>
            <w:tcBorders>
              <w:top w:val="nil"/>
              <w:left w:val="nil"/>
              <w:bottom w:val="nil"/>
              <w:right w:val="nil"/>
            </w:tcBorders>
            <w:shd w:val="clear" w:color="000000" w:fill="C7CFD8"/>
            <w:hideMark/>
          </w:tcPr>
          <w:p w14:paraId="433C2FFB" w14:textId="77777777" w:rsidR="00D9062C" w:rsidRPr="006E4BE1" w:rsidRDefault="00D9062C" w:rsidP="00AE50C9">
            <w:pPr>
              <w:ind w:firstLineChars="100" w:firstLine="180"/>
              <w:jc w:val="left"/>
              <w:rPr>
                <w:rFonts w:cs="Arial"/>
                <w:b/>
                <w:bCs/>
                <w:i/>
                <w:iCs/>
                <w:sz w:val="18"/>
                <w:szCs w:val="18"/>
                <w:lang w:val="es-ES_tradnl"/>
              </w:rPr>
            </w:pPr>
            <w:r w:rsidRPr="006E4BE1">
              <w:rPr>
                <w:rFonts w:cs="Arial"/>
                <w:b/>
                <w:bCs/>
                <w:i/>
                <w:iCs/>
                <w:sz w:val="18"/>
                <w:szCs w:val="18"/>
                <w:lang w:val="es-ES_tradnl"/>
              </w:rPr>
              <w:t> </w:t>
            </w:r>
          </w:p>
        </w:tc>
        <w:tc>
          <w:tcPr>
            <w:tcW w:w="1035" w:type="dxa"/>
            <w:tcBorders>
              <w:top w:val="nil"/>
              <w:left w:val="nil"/>
              <w:bottom w:val="nil"/>
              <w:right w:val="nil"/>
            </w:tcBorders>
            <w:shd w:val="clear" w:color="000000" w:fill="C7CFD8"/>
            <w:vAlign w:val="center"/>
            <w:hideMark/>
          </w:tcPr>
          <w:p w14:paraId="770979E9" w14:textId="77777777"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2018-2019</w:t>
            </w:r>
          </w:p>
        </w:tc>
        <w:tc>
          <w:tcPr>
            <w:tcW w:w="1309" w:type="dxa"/>
            <w:tcBorders>
              <w:top w:val="nil"/>
              <w:left w:val="nil"/>
              <w:bottom w:val="nil"/>
              <w:right w:val="nil"/>
            </w:tcBorders>
            <w:shd w:val="clear" w:color="000000" w:fill="C7CFD8"/>
            <w:vAlign w:val="center"/>
            <w:hideMark/>
          </w:tcPr>
          <w:p w14:paraId="4196D5A8" w14:textId="77777777"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2020-2021</w:t>
            </w:r>
          </w:p>
        </w:tc>
        <w:tc>
          <w:tcPr>
            <w:tcW w:w="2670" w:type="dxa"/>
            <w:gridSpan w:val="2"/>
            <w:vMerge w:val="restart"/>
            <w:tcBorders>
              <w:top w:val="nil"/>
              <w:left w:val="nil"/>
              <w:bottom w:val="single" w:sz="4" w:space="0" w:color="748B9E"/>
              <w:right w:val="nil"/>
            </w:tcBorders>
            <w:shd w:val="clear" w:color="000000" w:fill="C7CFD8"/>
            <w:vAlign w:val="center"/>
            <w:hideMark/>
          </w:tcPr>
          <w:p w14:paraId="528F6B2B" w14:textId="5C4D0FE8"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Varia</w:t>
            </w:r>
            <w:r w:rsidR="0078737D" w:rsidRPr="006E4BE1">
              <w:rPr>
                <w:rFonts w:ascii="Arial Narrow" w:hAnsi="Arial Narrow" w:cs="Arial"/>
                <w:b/>
                <w:bCs/>
                <w:sz w:val="18"/>
                <w:szCs w:val="18"/>
                <w:lang w:val="es-ES_tradnl"/>
              </w:rPr>
              <w:t>ción</w:t>
            </w:r>
          </w:p>
        </w:tc>
        <w:tc>
          <w:tcPr>
            <w:tcW w:w="1243" w:type="dxa"/>
            <w:tcBorders>
              <w:top w:val="nil"/>
              <w:left w:val="nil"/>
              <w:bottom w:val="nil"/>
              <w:right w:val="nil"/>
            </w:tcBorders>
            <w:shd w:val="clear" w:color="000000" w:fill="C7CFD8"/>
            <w:vAlign w:val="center"/>
            <w:hideMark/>
          </w:tcPr>
          <w:p w14:paraId="630F21FE" w14:textId="0EB09681"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w:t>
            </w:r>
            <w:r w:rsidR="00750987" w:rsidRPr="006E4BE1">
              <w:rPr>
                <w:rFonts w:ascii="Arial Narrow" w:hAnsi="Arial Narrow" w:cs="Arial"/>
                <w:b/>
                <w:bCs/>
                <w:sz w:val="18"/>
                <w:szCs w:val="18"/>
                <w:lang w:val="es-ES_tradnl"/>
              </w:rPr>
              <w:t>2022</w:t>
            </w:r>
            <w:r w:rsidR="00750987" w:rsidRPr="006E4BE1">
              <w:rPr>
                <w:rFonts w:ascii="Arial Narrow" w:hAnsi="Arial Narrow" w:cs="Arial"/>
                <w:b/>
                <w:bCs/>
                <w:sz w:val="18"/>
                <w:szCs w:val="18"/>
                <w:lang w:val="es-ES_tradnl"/>
              </w:rPr>
              <w:noBreakHyphen/>
              <w:t>2023</w:t>
            </w:r>
            <w:r w:rsidRPr="006E4BE1">
              <w:rPr>
                <w:rFonts w:ascii="Arial Narrow" w:hAnsi="Arial Narrow" w:cs="Arial"/>
                <w:b/>
                <w:bCs/>
                <w:sz w:val="18"/>
                <w:szCs w:val="18"/>
                <w:lang w:val="es-ES_tradnl"/>
              </w:rPr>
              <w:t xml:space="preserve"> </w:t>
            </w:r>
          </w:p>
        </w:tc>
      </w:tr>
      <w:tr w:rsidR="00D9062C" w:rsidRPr="006E4BE1" w14:paraId="275DBEC7" w14:textId="77777777" w:rsidTr="0078737D">
        <w:trPr>
          <w:trHeight w:val="272"/>
        </w:trPr>
        <w:tc>
          <w:tcPr>
            <w:tcW w:w="3330" w:type="dxa"/>
            <w:tcBorders>
              <w:top w:val="nil"/>
              <w:left w:val="nil"/>
              <w:bottom w:val="nil"/>
              <w:right w:val="nil"/>
            </w:tcBorders>
            <w:shd w:val="clear" w:color="000000" w:fill="C7CFD8"/>
            <w:hideMark/>
          </w:tcPr>
          <w:p w14:paraId="1E0B43E1" w14:textId="3F1CFF5C" w:rsidR="00D9062C" w:rsidRPr="006E4BE1" w:rsidRDefault="00172DFD" w:rsidP="00AE50C9">
            <w:pPr>
              <w:ind w:firstLineChars="100" w:firstLine="180"/>
              <w:jc w:val="left"/>
              <w:rPr>
                <w:rFonts w:ascii="Arial Narrow" w:hAnsi="Arial Narrow" w:cs="Arial"/>
                <w:b/>
                <w:bCs/>
                <w:sz w:val="18"/>
                <w:szCs w:val="18"/>
                <w:lang w:val="es-ES_tradnl"/>
              </w:rPr>
            </w:pPr>
            <w:r w:rsidRPr="006E4BE1">
              <w:rPr>
                <w:rFonts w:ascii="Arial Narrow" w:hAnsi="Arial Narrow" w:cs="Arial"/>
                <w:b/>
                <w:bCs/>
                <w:sz w:val="18"/>
                <w:szCs w:val="18"/>
                <w:lang w:val="es-ES_tradnl"/>
              </w:rPr>
              <w:t>Fuente</w:t>
            </w:r>
          </w:p>
        </w:tc>
        <w:tc>
          <w:tcPr>
            <w:tcW w:w="1035" w:type="dxa"/>
            <w:tcBorders>
              <w:top w:val="nil"/>
              <w:left w:val="nil"/>
              <w:bottom w:val="nil"/>
              <w:right w:val="nil"/>
            </w:tcBorders>
            <w:shd w:val="clear" w:color="000000" w:fill="C7CFD8"/>
            <w:vAlign w:val="center"/>
            <w:hideMark/>
          </w:tcPr>
          <w:p w14:paraId="3137D8FE" w14:textId="76E8D18E" w:rsidR="00D9062C" w:rsidRPr="006E4BE1" w:rsidRDefault="00172DFD"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Real</w:t>
            </w:r>
            <w:r w:rsidRPr="006E4BE1">
              <w:rPr>
                <w:rFonts w:ascii="Arial Narrow" w:hAnsi="Arial Narrow" w:cs="Arial"/>
                <w:bCs/>
                <w:sz w:val="18"/>
                <w:szCs w:val="18"/>
                <w:vertAlign w:val="superscript"/>
                <w:lang w:val="es-ES_tradnl"/>
              </w:rPr>
              <w:t>1</w:t>
            </w:r>
          </w:p>
        </w:tc>
        <w:tc>
          <w:tcPr>
            <w:tcW w:w="1309" w:type="dxa"/>
            <w:tcBorders>
              <w:top w:val="nil"/>
              <w:left w:val="nil"/>
              <w:bottom w:val="nil"/>
              <w:right w:val="nil"/>
            </w:tcBorders>
            <w:shd w:val="clear" w:color="000000" w:fill="C7CFD8"/>
            <w:vAlign w:val="center"/>
            <w:hideMark/>
          </w:tcPr>
          <w:p w14:paraId="468C6256" w14:textId="09DF4B5A" w:rsidR="00D9062C" w:rsidRPr="006E4BE1" w:rsidRDefault="00172DFD"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Aprobado</w:t>
            </w:r>
          </w:p>
        </w:tc>
        <w:tc>
          <w:tcPr>
            <w:tcW w:w="2670" w:type="dxa"/>
            <w:gridSpan w:val="2"/>
            <w:vMerge/>
            <w:tcBorders>
              <w:top w:val="nil"/>
              <w:left w:val="nil"/>
              <w:bottom w:val="nil"/>
              <w:right w:val="nil"/>
            </w:tcBorders>
            <w:vAlign w:val="center"/>
            <w:hideMark/>
          </w:tcPr>
          <w:p w14:paraId="12A563D2" w14:textId="77777777" w:rsidR="00D9062C" w:rsidRPr="006E4BE1" w:rsidRDefault="00D9062C" w:rsidP="00AE50C9">
            <w:pPr>
              <w:jc w:val="left"/>
              <w:rPr>
                <w:rFonts w:ascii="Arial Narrow" w:hAnsi="Arial Narrow" w:cs="Arial"/>
                <w:b/>
                <w:bCs/>
                <w:sz w:val="18"/>
                <w:szCs w:val="18"/>
                <w:lang w:val="es-ES_tradnl"/>
              </w:rPr>
            </w:pPr>
          </w:p>
        </w:tc>
        <w:tc>
          <w:tcPr>
            <w:tcW w:w="1243" w:type="dxa"/>
            <w:tcBorders>
              <w:top w:val="nil"/>
              <w:left w:val="nil"/>
              <w:bottom w:val="nil"/>
              <w:right w:val="nil"/>
            </w:tcBorders>
            <w:shd w:val="clear" w:color="000000" w:fill="C7CFD8"/>
            <w:vAlign w:val="center"/>
            <w:hideMark/>
          </w:tcPr>
          <w:p w14:paraId="6DF33C50" w14:textId="56FC328E"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w:t>
            </w:r>
            <w:r w:rsidR="00172DFD" w:rsidRPr="006E4BE1">
              <w:rPr>
                <w:rFonts w:ascii="Arial Narrow" w:hAnsi="Arial Narrow" w:cs="Arial"/>
                <w:b/>
                <w:bCs/>
                <w:sz w:val="18"/>
                <w:szCs w:val="18"/>
                <w:lang w:val="es-ES_tradnl"/>
              </w:rPr>
              <w:t>Propuesto</w:t>
            </w:r>
            <w:r w:rsidRPr="006E4BE1">
              <w:rPr>
                <w:rFonts w:ascii="Arial Narrow" w:hAnsi="Arial Narrow" w:cs="Arial"/>
                <w:b/>
                <w:bCs/>
                <w:sz w:val="18"/>
                <w:szCs w:val="18"/>
                <w:lang w:val="es-ES_tradnl"/>
              </w:rPr>
              <w:t xml:space="preserve"> </w:t>
            </w:r>
          </w:p>
        </w:tc>
      </w:tr>
      <w:tr w:rsidR="00D9062C" w:rsidRPr="006E4BE1" w14:paraId="7A3FDAE7" w14:textId="77777777" w:rsidTr="0078737D">
        <w:trPr>
          <w:trHeight w:val="287"/>
        </w:trPr>
        <w:tc>
          <w:tcPr>
            <w:tcW w:w="3330" w:type="dxa"/>
            <w:tcBorders>
              <w:top w:val="nil"/>
              <w:left w:val="nil"/>
              <w:bottom w:val="nil"/>
              <w:right w:val="nil"/>
            </w:tcBorders>
            <w:shd w:val="clear" w:color="000000" w:fill="C7CFD8"/>
            <w:vAlign w:val="bottom"/>
            <w:hideMark/>
          </w:tcPr>
          <w:p w14:paraId="526C998E" w14:textId="77777777" w:rsidR="00D9062C" w:rsidRPr="006E4BE1" w:rsidRDefault="00D9062C" w:rsidP="00AE50C9">
            <w:pPr>
              <w:ind w:firstLineChars="100" w:firstLine="180"/>
              <w:jc w:val="left"/>
              <w:rPr>
                <w:rFonts w:cs="Arial"/>
                <w:b/>
                <w:bCs/>
                <w:i/>
                <w:iCs/>
                <w:sz w:val="18"/>
                <w:szCs w:val="18"/>
                <w:lang w:val="es-ES_tradnl"/>
              </w:rPr>
            </w:pPr>
            <w:r w:rsidRPr="006E4BE1">
              <w:rPr>
                <w:rFonts w:cs="Arial"/>
                <w:b/>
                <w:bCs/>
                <w:i/>
                <w:iCs/>
                <w:sz w:val="18"/>
                <w:szCs w:val="18"/>
                <w:lang w:val="es-ES_tradnl"/>
              </w:rPr>
              <w:t> </w:t>
            </w:r>
          </w:p>
        </w:tc>
        <w:tc>
          <w:tcPr>
            <w:tcW w:w="1035" w:type="dxa"/>
            <w:tcBorders>
              <w:top w:val="nil"/>
              <w:left w:val="nil"/>
              <w:bottom w:val="nil"/>
              <w:right w:val="nil"/>
            </w:tcBorders>
            <w:shd w:val="clear" w:color="000000" w:fill="C7CFD8"/>
            <w:vAlign w:val="center"/>
            <w:hideMark/>
          </w:tcPr>
          <w:p w14:paraId="2B4BBE72" w14:textId="77777777"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A </w:t>
            </w:r>
          </w:p>
        </w:tc>
        <w:tc>
          <w:tcPr>
            <w:tcW w:w="1309" w:type="dxa"/>
            <w:tcBorders>
              <w:top w:val="nil"/>
              <w:left w:val="nil"/>
              <w:bottom w:val="nil"/>
              <w:right w:val="nil"/>
            </w:tcBorders>
            <w:shd w:val="clear" w:color="000000" w:fill="C7CFD8"/>
            <w:noWrap/>
            <w:vAlign w:val="center"/>
            <w:hideMark/>
          </w:tcPr>
          <w:p w14:paraId="13D5D76F" w14:textId="77777777"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B </w:t>
            </w:r>
          </w:p>
        </w:tc>
        <w:tc>
          <w:tcPr>
            <w:tcW w:w="1309" w:type="dxa"/>
            <w:tcBorders>
              <w:top w:val="nil"/>
              <w:left w:val="nil"/>
              <w:bottom w:val="nil"/>
              <w:right w:val="nil"/>
            </w:tcBorders>
            <w:shd w:val="clear" w:color="000000" w:fill="C7CFD8"/>
            <w:vAlign w:val="center"/>
            <w:hideMark/>
          </w:tcPr>
          <w:p w14:paraId="0DB683C3" w14:textId="77777777"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C </w:t>
            </w:r>
          </w:p>
        </w:tc>
        <w:tc>
          <w:tcPr>
            <w:tcW w:w="1361" w:type="dxa"/>
            <w:tcBorders>
              <w:top w:val="nil"/>
              <w:left w:val="nil"/>
              <w:bottom w:val="nil"/>
              <w:right w:val="nil"/>
            </w:tcBorders>
            <w:shd w:val="clear" w:color="000000" w:fill="C7CFD8"/>
            <w:vAlign w:val="center"/>
            <w:hideMark/>
          </w:tcPr>
          <w:p w14:paraId="2DE9796D" w14:textId="77777777"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C/B(%)</w:t>
            </w:r>
          </w:p>
        </w:tc>
        <w:tc>
          <w:tcPr>
            <w:tcW w:w="1243" w:type="dxa"/>
            <w:tcBorders>
              <w:top w:val="nil"/>
              <w:left w:val="nil"/>
              <w:bottom w:val="nil"/>
              <w:right w:val="nil"/>
            </w:tcBorders>
            <w:shd w:val="clear" w:color="000000" w:fill="C7CFD8"/>
            <w:noWrap/>
            <w:vAlign w:val="center"/>
            <w:hideMark/>
          </w:tcPr>
          <w:p w14:paraId="70E41D2A" w14:textId="77777777" w:rsidR="00D9062C" w:rsidRPr="006E4BE1" w:rsidRDefault="00D9062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D=B+C </w:t>
            </w:r>
          </w:p>
        </w:tc>
      </w:tr>
      <w:tr w:rsidR="00D9062C" w:rsidRPr="006E4BE1" w14:paraId="361CF6E7" w14:textId="77777777" w:rsidTr="0078737D">
        <w:trPr>
          <w:trHeight w:val="362"/>
        </w:trPr>
        <w:tc>
          <w:tcPr>
            <w:tcW w:w="3330" w:type="dxa"/>
            <w:tcBorders>
              <w:top w:val="nil"/>
              <w:left w:val="nil"/>
              <w:bottom w:val="nil"/>
              <w:right w:val="nil"/>
            </w:tcBorders>
            <w:shd w:val="clear" w:color="auto" w:fill="auto"/>
            <w:vAlign w:val="bottom"/>
            <w:hideMark/>
          </w:tcPr>
          <w:p w14:paraId="7EBDB97D" w14:textId="0FCF1F9D" w:rsidR="00D9062C" w:rsidRPr="006E4BE1" w:rsidRDefault="00172DFD" w:rsidP="00AE50C9">
            <w:pPr>
              <w:jc w:val="left"/>
              <w:rPr>
                <w:rFonts w:ascii="Arial Narrow" w:hAnsi="Arial Narrow" w:cs="Arial"/>
                <w:b/>
                <w:bCs/>
                <w:color w:val="000000"/>
                <w:lang w:val="es-ES_tradnl"/>
              </w:rPr>
            </w:pPr>
            <w:r w:rsidRPr="006E4BE1">
              <w:rPr>
                <w:rFonts w:ascii="Arial Narrow" w:hAnsi="Arial Narrow" w:cs="Arial"/>
                <w:b/>
                <w:bCs/>
                <w:color w:val="000000"/>
                <w:lang w:val="es-ES_tradnl"/>
              </w:rPr>
              <w:t>Contribuciones</w:t>
            </w:r>
          </w:p>
        </w:tc>
        <w:tc>
          <w:tcPr>
            <w:tcW w:w="1035" w:type="dxa"/>
            <w:tcBorders>
              <w:top w:val="nil"/>
              <w:left w:val="nil"/>
              <w:bottom w:val="nil"/>
              <w:right w:val="nil"/>
            </w:tcBorders>
            <w:shd w:val="clear" w:color="auto" w:fill="auto"/>
            <w:vAlign w:val="bottom"/>
            <w:hideMark/>
          </w:tcPr>
          <w:p w14:paraId="4F81EE10" w14:textId="322349DE"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6</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834</w:t>
            </w:r>
          </w:p>
        </w:tc>
        <w:tc>
          <w:tcPr>
            <w:tcW w:w="1309" w:type="dxa"/>
            <w:tcBorders>
              <w:top w:val="nil"/>
              <w:left w:val="nil"/>
              <w:bottom w:val="nil"/>
              <w:right w:val="nil"/>
            </w:tcBorders>
            <w:shd w:val="clear" w:color="auto" w:fill="auto"/>
            <w:vAlign w:val="bottom"/>
            <w:hideMark/>
          </w:tcPr>
          <w:p w14:paraId="4696CD2E" w14:textId="0E8296AE"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6</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946</w:t>
            </w:r>
          </w:p>
        </w:tc>
        <w:tc>
          <w:tcPr>
            <w:tcW w:w="1309" w:type="dxa"/>
            <w:tcBorders>
              <w:top w:val="nil"/>
              <w:left w:val="nil"/>
              <w:bottom w:val="nil"/>
              <w:right w:val="nil"/>
            </w:tcBorders>
            <w:shd w:val="clear" w:color="auto" w:fill="auto"/>
            <w:vAlign w:val="bottom"/>
            <w:hideMark/>
          </w:tcPr>
          <w:p w14:paraId="224A30BC"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182</w:t>
            </w:r>
          </w:p>
        </w:tc>
        <w:tc>
          <w:tcPr>
            <w:tcW w:w="1361" w:type="dxa"/>
            <w:tcBorders>
              <w:top w:val="nil"/>
              <w:left w:val="nil"/>
              <w:bottom w:val="nil"/>
              <w:right w:val="nil"/>
            </w:tcBorders>
            <w:shd w:val="clear" w:color="auto" w:fill="auto"/>
            <w:vAlign w:val="bottom"/>
            <w:hideMark/>
          </w:tcPr>
          <w:p w14:paraId="133C59AB" w14:textId="1BC39113"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2</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6%</w:t>
            </w:r>
          </w:p>
        </w:tc>
        <w:tc>
          <w:tcPr>
            <w:tcW w:w="1243" w:type="dxa"/>
            <w:tcBorders>
              <w:top w:val="nil"/>
              <w:left w:val="nil"/>
              <w:bottom w:val="nil"/>
              <w:right w:val="nil"/>
            </w:tcBorders>
            <w:shd w:val="clear" w:color="auto" w:fill="auto"/>
            <w:vAlign w:val="bottom"/>
            <w:hideMark/>
          </w:tcPr>
          <w:p w14:paraId="0D489F89" w14:textId="4818F249"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129</w:t>
            </w:r>
          </w:p>
        </w:tc>
      </w:tr>
      <w:tr w:rsidR="00D9062C" w:rsidRPr="006E4BE1" w14:paraId="3DDEE784" w14:textId="77777777" w:rsidTr="0078737D">
        <w:trPr>
          <w:trHeight w:val="347"/>
        </w:trPr>
        <w:tc>
          <w:tcPr>
            <w:tcW w:w="3330" w:type="dxa"/>
            <w:tcBorders>
              <w:top w:val="nil"/>
              <w:left w:val="nil"/>
              <w:bottom w:val="nil"/>
              <w:right w:val="nil"/>
            </w:tcBorders>
            <w:shd w:val="clear" w:color="auto" w:fill="auto"/>
            <w:vAlign w:val="bottom"/>
            <w:hideMark/>
          </w:tcPr>
          <w:p w14:paraId="1038D53C" w14:textId="264074EF" w:rsidR="00D9062C" w:rsidRPr="006E4BE1" w:rsidRDefault="00172DFD" w:rsidP="00AE50C9">
            <w:pPr>
              <w:jc w:val="left"/>
              <w:rPr>
                <w:rFonts w:ascii="Arial Narrow" w:hAnsi="Arial Narrow" w:cs="Arial"/>
                <w:b/>
                <w:bCs/>
                <w:color w:val="000000"/>
                <w:lang w:val="es-ES_tradnl"/>
              </w:rPr>
            </w:pPr>
            <w:r w:rsidRPr="006E4BE1">
              <w:rPr>
                <w:rFonts w:ascii="Arial Narrow" w:hAnsi="Arial Narrow" w:cs="Arial"/>
                <w:b/>
                <w:bCs/>
                <w:color w:val="000000"/>
                <w:lang w:val="es-ES_tradnl"/>
              </w:rPr>
              <w:t xml:space="preserve">Tasas por </w:t>
            </w:r>
            <w:r w:rsidR="00B6573F" w:rsidRPr="006E4BE1">
              <w:rPr>
                <w:rFonts w:ascii="Arial Narrow" w:hAnsi="Arial Narrow" w:cs="Arial"/>
                <w:b/>
                <w:bCs/>
                <w:color w:val="000000"/>
                <w:lang w:val="es-ES_tradnl"/>
              </w:rPr>
              <w:t xml:space="preserve">uso de las </w:t>
            </w:r>
            <w:r w:rsidRPr="006E4BE1">
              <w:rPr>
                <w:rFonts w:ascii="Arial Narrow" w:hAnsi="Arial Narrow" w:cs="Arial"/>
                <w:b/>
                <w:bCs/>
                <w:color w:val="000000"/>
                <w:lang w:val="es-ES_tradnl"/>
              </w:rPr>
              <w:t>herramientas y servicios informáticos de la UPOV</w:t>
            </w:r>
          </w:p>
        </w:tc>
        <w:tc>
          <w:tcPr>
            <w:tcW w:w="1035" w:type="dxa"/>
            <w:tcBorders>
              <w:top w:val="nil"/>
              <w:left w:val="nil"/>
              <w:bottom w:val="nil"/>
              <w:right w:val="nil"/>
            </w:tcBorders>
            <w:shd w:val="clear" w:color="auto" w:fill="auto"/>
            <w:vAlign w:val="bottom"/>
            <w:hideMark/>
          </w:tcPr>
          <w:p w14:paraId="6F59260D"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0</w:t>
            </w:r>
          </w:p>
        </w:tc>
        <w:tc>
          <w:tcPr>
            <w:tcW w:w="1309" w:type="dxa"/>
            <w:tcBorders>
              <w:top w:val="nil"/>
              <w:left w:val="nil"/>
              <w:bottom w:val="nil"/>
              <w:right w:val="nil"/>
            </w:tcBorders>
            <w:shd w:val="clear" w:color="auto" w:fill="auto"/>
            <w:vAlign w:val="bottom"/>
            <w:hideMark/>
          </w:tcPr>
          <w:p w14:paraId="4A15B6F6" w14:textId="06A2438B"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250</w:t>
            </w:r>
          </w:p>
        </w:tc>
        <w:tc>
          <w:tcPr>
            <w:tcW w:w="1309" w:type="dxa"/>
            <w:tcBorders>
              <w:top w:val="nil"/>
              <w:left w:val="nil"/>
              <w:bottom w:val="nil"/>
              <w:right w:val="nil"/>
            </w:tcBorders>
            <w:shd w:val="clear" w:color="auto" w:fill="auto"/>
            <w:vAlign w:val="bottom"/>
            <w:hideMark/>
          </w:tcPr>
          <w:p w14:paraId="3E18C71F"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81</w:t>
            </w:r>
          </w:p>
        </w:tc>
        <w:tc>
          <w:tcPr>
            <w:tcW w:w="1361" w:type="dxa"/>
            <w:tcBorders>
              <w:top w:val="nil"/>
              <w:left w:val="nil"/>
              <w:bottom w:val="nil"/>
              <w:right w:val="nil"/>
            </w:tcBorders>
            <w:shd w:val="clear" w:color="auto" w:fill="auto"/>
            <w:vAlign w:val="bottom"/>
            <w:hideMark/>
          </w:tcPr>
          <w:p w14:paraId="579BBC3D" w14:textId="1281615D"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32</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5%</w:t>
            </w:r>
          </w:p>
        </w:tc>
        <w:tc>
          <w:tcPr>
            <w:tcW w:w="1243" w:type="dxa"/>
            <w:tcBorders>
              <w:top w:val="nil"/>
              <w:left w:val="nil"/>
              <w:bottom w:val="nil"/>
              <w:right w:val="nil"/>
            </w:tcBorders>
            <w:shd w:val="clear" w:color="auto" w:fill="auto"/>
            <w:vAlign w:val="bottom"/>
            <w:hideMark/>
          </w:tcPr>
          <w:p w14:paraId="0C91510C" w14:textId="0BE33884"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331</w:t>
            </w:r>
          </w:p>
        </w:tc>
      </w:tr>
      <w:tr w:rsidR="00D9062C" w:rsidRPr="006E4BE1" w14:paraId="17F6AF6C" w14:textId="77777777" w:rsidTr="0078737D">
        <w:trPr>
          <w:trHeight w:val="347"/>
        </w:trPr>
        <w:tc>
          <w:tcPr>
            <w:tcW w:w="3330" w:type="dxa"/>
            <w:tcBorders>
              <w:top w:val="nil"/>
              <w:left w:val="nil"/>
              <w:bottom w:val="nil"/>
              <w:right w:val="nil"/>
            </w:tcBorders>
            <w:shd w:val="clear" w:color="auto" w:fill="auto"/>
            <w:vAlign w:val="bottom"/>
            <w:hideMark/>
          </w:tcPr>
          <w:p w14:paraId="2B648899" w14:textId="6B876BCF" w:rsidR="00D9062C" w:rsidRPr="006E4BE1" w:rsidRDefault="00172DFD" w:rsidP="00AE50C9">
            <w:pPr>
              <w:jc w:val="left"/>
              <w:rPr>
                <w:rFonts w:ascii="Arial Narrow" w:hAnsi="Arial Narrow" w:cs="Arial"/>
                <w:b/>
                <w:bCs/>
                <w:color w:val="000000"/>
                <w:lang w:val="es-ES_tradnl"/>
              </w:rPr>
            </w:pPr>
            <w:r w:rsidRPr="006E4BE1">
              <w:rPr>
                <w:rFonts w:ascii="Arial Narrow" w:hAnsi="Arial Narrow" w:cs="Arial"/>
                <w:b/>
                <w:bCs/>
                <w:color w:val="000000"/>
                <w:lang w:val="es-ES_tradnl"/>
              </w:rPr>
              <w:t>Ingresos diversos</w:t>
            </w:r>
          </w:p>
        </w:tc>
        <w:tc>
          <w:tcPr>
            <w:tcW w:w="1035" w:type="dxa"/>
            <w:tcBorders>
              <w:top w:val="nil"/>
              <w:left w:val="nil"/>
              <w:bottom w:val="nil"/>
              <w:right w:val="nil"/>
            </w:tcBorders>
            <w:shd w:val="clear" w:color="auto" w:fill="auto"/>
            <w:vAlign w:val="bottom"/>
            <w:hideMark/>
          </w:tcPr>
          <w:p w14:paraId="4AD920A9"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97</w:t>
            </w:r>
          </w:p>
        </w:tc>
        <w:tc>
          <w:tcPr>
            <w:tcW w:w="1309" w:type="dxa"/>
            <w:tcBorders>
              <w:top w:val="nil"/>
              <w:left w:val="nil"/>
              <w:bottom w:val="nil"/>
              <w:right w:val="nil"/>
            </w:tcBorders>
            <w:shd w:val="clear" w:color="auto" w:fill="auto"/>
            <w:vAlign w:val="bottom"/>
            <w:hideMark/>
          </w:tcPr>
          <w:p w14:paraId="06C6CD63" w14:textId="37AF1845"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151</w:t>
            </w:r>
          </w:p>
        </w:tc>
        <w:tc>
          <w:tcPr>
            <w:tcW w:w="1309" w:type="dxa"/>
            <w:tcBorders>
              <w:top w:val="nil"/>
              <w:left w:val="nil"/>
              <w:bottom w:val="nil"/>
              <w:right w:val="nil"/>
            </w:tcBorders>
            <w:shd w:val="clear" w:color="auto" w:fill="auto"/>
            <w:vAlign w:val="bottom"/>
            <w:hideMark/>
          </w:tcPr>
          <w:p w14:paraId="13C20837"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24</w:t>
            </w:r>
          </w:p>
        </w:tc>
        <w:tc>
          <w:tcPr>
            <w:tcW w:w="1361" w:type="dxa"/>
            <w:tcBorders>
              <w:top w:val="nil"/>
              <w:left w:val="nil"/>
              <w:bottom w:val="nil"/>
              <w:right w:val="nil"/>
            </w:tcBorders>
            <w:shd w:val="clear" w:color="auto" w:fill="auto"/>
            <w:vAlign w:val="bottom"/>
            <w:hideMark/>
          </w:tcPr>
          <w:p w14:paraId="15C1D0C4" w14:textId="5502AF50"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15</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7%</w:t>
            </w:r>
          </w:p>
        </w:tc>
        <w:tc>
          <w:tcPr>
            <w:tcW w:w="1243" w:type="dxa"/>
            <w:tcBorders>
              <w:top w:val="nil"/>
              <w:left w:val="nil"/>
              <w:bottom w:val="nil"/>
              <w:right w:val="nil"/>
            </w:tcBorders>
            <w:shd w:val="clear" w:color="auto" w:fill="auto"/>
            <w:vAlign w:val="bottom"/>
            <w:hideMark/>
          </w:tcPr>
          <w:p w14:paraId="4772BE2D" w14:textId="1F3F04AE" w:rsidR="00D9062C" w:rsidRPr="006E4BE1" w:rsidRDefault="00D9062C" w:rsidP="00AE50C9">
            <w:pPr>
              <w:jc w:val="right"/>
              <w:rPr>
                <w:rFonts w:ascii="Arial Narrow" w:hAnsi="Arial Narrow" w:cs="Arial"/>
                <w:b/>
                <w:bCs/>
                <w:lang w:val="es-ES_tradnl"/>
              </w:rPr>
            </w:pPr>
            <w:r w:rsidRPr="006E4BE1">
              <w:rPr>
                <w:rFonts w:ascii="Arial Narrow" w:hAnsi="Arial Narrow" w:cs="Arial"/>
                <w:b/>
                <w:bCs/>
                <w:lang w:val="es-ES_tradnl"/>
              </w:rPr>
              <w:t>174</w:t>
            </w:r>
          </w:p>
        </w:tc>
      </w:tr>
      <w:tr w:rsidR="00D9062C" w:rsidRPr="006E4BE1" w14:paraId="2AB22B07" w14:textId="77777777" w:rsidTr="0078737D">
        <w:trPr>
          <w:trHeight w:val="347"/>
        </w:trPr>
        <w:tc>
          <w:tcPr>
            <w:tcW w:w="3330" w:type="dxa"/>
            <w:tcBorders>
              <w:top w:val="nil"/>
              <w:left w:val="nil"/>
              <w:bottom w:val="nil"/>
              <w:right w:val="nil"/>
            </w:tcBorders>
            <w:shd w:val="clear" w:color="auto" w:fill="auto"/>
            <w:vAlign w:val="bottom"/>
            <w:hideMark/>
          </w:tcPr>
          <w:p w14:paraId="468928E3" w14:textId="77777777" w:rsidR="001240C5" w:rsidRPr="006E4BE1" w:rsidRDefault="00172DFD" w:rsidP="00AE50C9">
            <w:pPr>
              <w:ind w:firstLineChars="200" w:firstLine="400"/>
              <w:jc w:val="left"/>
              <w:rPr>
                <w:rFonts w:ascii="Arial Narrow" w:hAnsi="Arial Narrow" w:cs="Arial"/>
                <w:i/>
                <w:iCs/>
                <w:color w:val="000000"/>
                <w:lang w:val="es-ES_tradnl"/>
              </w:rPr>
            </w:pPr>
            <w:r w:rsidRPr="006E4BE1">
              <w:rPr>
                <w:rFonts w:ascii="Arial Narrow" w:hAnsi="Arial Narrow" w:cs="Arial"/>
                <w:i/>
                <w:iCs/>
                <w:color w:val="000000"/>
                <w:lang w:val="es-ES_tradnl"/>
              </w:rPr>
              <w:t>Costos de apoyo administrativo</w:t>
            </w:r>
            <w:r w:rsidR="0078737D" w:rsidRPr="006E4BE1">
              <w:rPr>
                <w:rFonts w:ascii="Arial Narrow" w:hAnsi="Arial Narrow" w:cs="Arial"/>
                <w:i/>
                <w:iCs/>
                <w:color w:val="000000"/>
                <w:lang w:val="es-ES_tradnl"/>
              </w:rPr>
              <w:t xml:space="preserve"> </w:t>
            </w:r>
            <w:r w:rsidR="0078737D" w:rsidRPr="006E4BE1">
              <w:rPr>
                <w:rFonts w:ascii="Arial Narrow" w:hAnsi="Arial Narrow" w:cs="Arial"/>
                <w:iCs/>
                <w:color w:val="000000"/>
                <w:lang w:val="es-ES_tradnl"/>
              </w:rPr>
              <w:t>–</w:t>
            </w:r>
          </w:p>
          <w:p w14:paraId="6DB48B5D" w14:textId="0DEC8A7A" w:rsidR="00D9062C" w:rsidRPr="006E4BE1" w:rsidRDefault="00172DFD" w:rsidP="00AE50C9">
            <w:pPr>
              <w:ind w:firstLineChars="200" w:firstLine="400"/>
              <w:jc w:val="left"/>
              <w:rPr>
                <w:rFonts w:ascii="Arial Narrow" w:hAnsi="Arial Narrow" w:cs="Arial"/>
                <w:i/>
                <w:iCs/>
                <w:color w:val="000000"/>
                <w:lang w:val="es-ES_tradnl"/>
              </w:rPr>
            </w:pPr>
            <w:r w:rsidRPr="006E4BE1">
              <w:rPr>
                <w:rFonts w:ascii="Arial Narrow" w:hAnsi="Arial Narrow" w:cs="Arial"/>
                <w:i/>
                <w:iCs/>
                <w:color w:val="000000"/>
                <w:lang w:val="es-ES_tradnl"/>
              </w:rPr>
              <w:t>Fondos fiduciarios</w:t>
            </w:r>
          </w:p>
        </w:tc>
        <w:tc>
          <w:tcPr>
            <w:tcW w:w="1035" w:type="dxa"/>
            <w:tcBorders>
              <w:top w:val="nil"/>
              <w:left w:val="nil"/>
              <w:bottom w:val="nil"/>
              <w:right w:val="nil"/>
            </w:tcBorders>
            <w:shd w:val="clear" w:color="auto" w:fill="auto"/>
            <w:vAlign w:val="bottom"/>
            <w:hideMark/>
          </w:tcPr>
          <w:p w14:paraId="4253536A" w14:textId="77777777"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58</w:t>
            </w:r>
          </w:p>
        </w:tc>
        <w:tc>
          <w:tcPr>
            <w:tcW w:w="1309" w:type="dxa"/>
            <w:tcBorders>
              <w:top w:val="nil"/>
              <w:left w:val="nil"/>
              <w:bottom w:val="nil"/>
              <w:right w:val="nil"/>
            </w:tcBorders>
            <w:shd w:val="clear" w:color="auto" w:fill="auto"/>
            <w:vAlign w:val="bottom"/>
            <w:hideMark/>
          </w:tcPr>
          <w:p w14:paraId="11B3E141" w14:textId="0D1C5AF7"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121</w:t>
            </w:r>
          </w:p>
        </w:tc>
        <w:tc>
          <w:tcPr>
            <w:tcW w:w="1309" w:type="dxa"/>
            <w:tcBorders>
              <w:top w:val="nil"/>
              <w:left w:val="nil"/>
              <w:bottom w:val="nil"/>
              <w:right w:val="nil"/>
            </w:tcBorders>
            <w:shd w:val="clear" w:color="auto" w:fill="auto"/>
            <w:vAlign w:val="bottom"/>
            <w:hideMark/>
          </w:tcPr>
          <w:p w14:paraId="3CD522A0" w14:textId="77777777"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5</w:t>
            </w:r>
          </w:p>
        </w:tc>
        <w:tc>
          <w:tcPr>
            <w:tcW w:w="1361" w:type="dxa"/>
            <w:tcBorders>
              <w:top w:val="nil"/>
              <w:left w:val="nil"/>
              <w:bottom w:val="nil"/>
              <w:right w:val="nil"/>
            </w:tcBorders>
            <w:shd w:val="clear" w:color="auto" w:fill="auto"/>
            <w:vAlign w:val="bottom"/>
            <w:hideMark/>
          </w:tcPr>
          <w:p w14:paraId="579E2DD0" w14:textId="3CFFCD3A"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3</w:t>
            </w:r>
            <w:r w:rsidR="0078737D" w:rsidRPr="006E4BE1">
              <w:rPr>
                <w:rFonts w:ascii="Arial Narrow" w:hAnsi="Arial Narrow" w:cs="Arial"/>
                <w:i/>
                <w:iCs/>
                <w:color w:val="000000"/>
                <w:lang w:val="es-ES_tradnl"/>
              </w:rPr>
              <w:t>,</w:t>
            </w:r>
            <w:r w:rsidRPr="006E4BE1">
              <w:rPr>
                <w:rFonts w:ascii="Arial Narrow" w:hAnsi="Arial Narrow" w:cs="Arial"/>
                <w:i/>
                <w:iCs/>
                <w:color w:val="000000"/>
                <w:lang w:val="es-ES_tradnl"/>
              </w:rPr>
              <w:t>9%</w:t>
            </w:r>
          </w:p>
        </w:tc>
        <w:tc>
          <w:tcPr>
            <w:tcW w:w="1243" w:type="dxa"/>
            <w:tcBorders>
              <w:top w:val="nil"/>
              <w:left w:val="nil"/>
              <w:bottom w:val="nil"/>
              <w:right w:val="nil"/>
            </w:tcBorders>
            <w:shd w:val="clear" w:color="auto" w:fill="auto"/>
            <w:vAlign w:val="bottom"/>
            <w:hideMark/>
          </w:tcPr>
          <w:p w14:paraId="6A506EA9" w14:textId="05C9ED3C"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125</w:t>
            </w:r>
          </w:p>
        </w:tc>
      </w:tr>
      <w:tr w:rsidR="00D9062C" w:rsidRPr="006E4BE1" w14:paraId="0BD09513" w14:textId="77777777" w:rsidTr="0078737D">
        <w:trPr>
          <w:trHeight w:val="347"/>
        </w:trPr>
        <w:tc>
          <w:tcPr>
            <w:tcW w:w="3330" w:type="dxa"/>
            <w:tcBorders>
              <w:top w:val="nil"/>
              <w:left w:val="nil"/>
              <w:bottom w:val="nil"/>
              <w:right w:val="nil"/>
            </w:tcBorders>
            <w:shd w:val="clear" w:color="auto" w:fill="auto"/>
            <w:vAlign w:val="center"/>
            <w:hideMark/>
          </w:tcPr>
          <w:p w14:paraId="10297906" w14:textId="1E661507" w:rsidR="00D9062C" w:rsidRPr="006E4BE1" w:rsidRDefault="00172DFD" w:rsidP="00AE50C9">
            <w:pPr>
              <w:ind w:firstLineChars="200" w:firstLine="400"/>
              <w:jc w:val="left"/>
              <w:rPr>
                <w:rFonts w:ascii="Arial Narrow" w:hAnsi="Arial Narrow" w:cs="Arial"/>
                <w:i/>
                <w:iCs/>
                <w:color w:val="000000"/>
                <w:lang w:val="es-ES_tradnl"/>
              </w:rPr>
            </w:pPr>
            <w:r w:rsidRPr="006E4BE1">
              <w:rPr>
                <w:rFonts w:ascii="Arial Narrow" w:hAnsi="Arial Narrow" w:cs="Arial"/>
                <w:i/>
                <w:iCs/>
                <w:color w:val="000000"/>
                <w:lang w:val="es-ES_tradnl"/>
              </w:rPr>
              <w:t>Programa de Enseñanza a Distancia</w:t>
            </w:r>
          </w:p>
        </w:tc>
        <w:tc>
          <w:tcPr>
            <w:tcW w:w="1035" w:type="dxa"/>
            <w:tcBorders>
              <w:top w:val="nil"/>
              <w:left w:val="nil"/>
              <w:bottom w:val="nil"/>
              <w:right w:val="nil"/>
            </w:tcBorders>
            <w:shd w:val="clear" w:color="auto" w:fill="auto"/>
            <w:vAlign w:val="bottom"/>
            <w:hideMark/>
          </w:tcPr>
          <w:p w14:paraId="2214879D" w14:textId="0EE4EFA0"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40</w:t>
            </w:r>
          </w:p>
        </w:tc>
        <w:tc>
          <w:tcPr>
            <w:tcW w:w="1309" w:type="dxa"/>
            <w:tcBorders>
              <w:top w:val="nil"/>
              <w:left w:val="nil"/>
              <w:bottom w:val="nil"/>
              <w:right w:val="nil"/>
            </w:tcBorders>
            <w:shd w:val="clear" w:color="auto" w:fill="auto"/>
            <w:vAlign w:val="bottom"/>
            <w:hideMark/>
          </w:tcPr>
          <w:p w14:paraId="08A360DD" w14:textId="23BAD01F"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30</w:t>
            </w:r>
          </w:p>
        </w:tc>
        <w:tc>
          <w:tcPr>
            <w:tcW w:w="1309" w:type="dxa"/>
            <w:tcBorders>
              <w:top w:val="nil"/>
              <w:left w:val="nil"/>
              <w:bottom w:val="nil"/>
              <w:right w:val="nil"/>
            </w:tcBorders>
            <w:shd w:val="clear" w:color="auto" w:fill="auto"/>
            <w:vAlign w:val="bottom"/>
            <w:hideMark/>
          </w:tcPr>
          <w:p w14:paraId="7EC7B50E" w14:textId="77777777"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19</w:t>
            </w:r>
          </w:p>
        </w:tc>
        <w:tc>
          <w:tcPr>
            <w:tcW w:w="1361" w:type="dxa"/>
            <w:tcBorders>
              <w:top w:val="nil"/>
              <w:left w:val="nil"/>
              <w:bottom w:val="nil"/>
              <w:right w:val="nil"/>
            </w:tcBorders>
            <w:shd w:val="clear" w:color="auto" w:fill="auto"/>
            <w:vAlign w:val="bottom"/>
            <w:hideMark/>
          </w:tcPr>
          <w:p w14:paraId="4E79D1D2" w14:textId="56436443"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63</w:t>
            </w:r>
            <w:r w:rsidR="0078737D" w:rsidRPr="006E4BE1">
              <w:rPr>
                <w:rFonts w:ascii="Arial Narrow" w:hAnsi="Arial Narrow" w:cs="Arial"/>
                <w:i/>
                <w:iCs/>
                <w:color w:val="000000"/>
                <w:lang w:val="es-ES_tradnl"/>
              </w:rPr>
              <w:t>,</w:t>
            </w:r>
            <w:r w:rsidRPr="006E4BE1">
              <w:rPr>
                <w:rFonts w:ascii="Arial Narrow" w:hAnsi="Arial Narrow" w:cs="Arial"/>
                <w:i/>
                <w:iCs/>
                <w:color w:val="000000"/>
                <w:lang w:val="es-ES_tradnl"/>
              </w:rPr>
              <w:t>2%</w:t>
            </w:r>
          </w:p>
        </w:tc>
        <w:tc>
          <w:tcPr>
            <w:tcW w:w="1243" w:type="dxa"/>
            <w:tcBorders>
              <w:top w:val="nil"/>
              <w:left w:val="nil"/>
              <w:bottom w:val="nil"/>
              <w:right w:val="nil"/>
            </w:tcBorders>
            <w:shd w:val="clear" w:color="auto" w:fill="auto"/>
            <w:vAlign w:val="bottom"/>
            <w:hideMark/>
          </w:tcPr>
          <w:p w14:paraId="32734952" w14:textId="1910F2A0"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49</w:t>
            </w:r>
          </w:p>
        </w:tc>
      </w:tr>
      <w:tr w:rsidR="00D9062C" w:rsidRPr="006E4BE1" w14:paraId="489F448E" w14:textId="77777777" w:rsidTr="0078737D">
        <w:trPr>
          <w:trHeight w:val="347"/>
        </w:trPr>
        <w:tc>
          <w:tcPr>
            <w:tcW w:w="3330" w:type="dxa"/>
            <w:tcBorders>
              <w:top w:val="nil"/>
              <w:left w:val="nil"/>
              <w:bottom w:val="nil"/>
              <w:right w:val="nil"/>
            </w:tcBorders>
            <w:shd w:val="clear" w:color="auto" w:fill="auto"/>
            <w:vAlign w:val="bottom"/>
            <w:hideMark/>
          </w:tcPr>
          <w:p w14:paraId="5BF3BBEA" w14:textId="6C5C6AC1" w:rsidR="00D9062C" w:rsidRPr="006E4BE1" w:rsidRDefault="00172DFD" w:rsidP="00AE50C9">
            <w:pPr>
              <w:ind w:firstLineChars="200" w:firstLine="400"/>
              <w:jc w:val="left"/>
              <w:rPr>
                <w:rFonts w:ascii="Arial Narrow" w:hAnsi="Arial Narrow" w:cs="Arial"/>
                <w:i/>
                <w:iCs/>
                <w:color w:val="000000"/>
                <w:lang w:val="es-ES_tradnl"/>
              </w:rPr>
            </w:pPr>
            <w:r w:rsidRPr="006E4BE1">
              <w:rPr>
                <w:rFonts w:ascii="Arial Narrow" w:hAnsi="Arial Narrow" w:cs="Arial"/>
                <w:i/>
                <w:iCs/>
                <w:color w:val="000000"/>
                <w:lang w:val="es-ES_tradnl"/>
              </w:rPr>
              <w:t>Otros</w:t>
            </w:r>
            <w:r w:rsidR="00D9062C" w:rsidRPr="006E4BE1">
              <w:rPr>
                <w:rFonts w:ascii="Arial Narrow" w:hAnsi="Arial Narrow" w:cs="Arial"/>
                <w:i/>
                <w:iCs/>
                <w:color w:val="000000"/>
                <w:lang w:val="es-ES_tradnl"/>
              </w:rPr>
              <w:t xml:space="preserve"> </w:t>
            </w:r>
          </w:p>
        </w:tc>
        <w:tc>
          <w:tcPr>
            <w:tcW w:w="1035" w:type="dxa"/>
            <w:tcBorders>
              <w:top w:val="nil"/>
              <w:left w:val="nil"/>
              <w:bottom w:val="nil"/>
              <w:right w:val="nil"/>
            </w:tcBorders>
            <w:shd w:val="clear" w:color="auto" w:fill="auto"/>
            <w:vAlign w:val="bottom"/>
            <w:hideMark/>
          </w:tcPr>
          <w:p w14:paraId="307CDAD2" w14:textId="60C95F99"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-1</w:t>
            </w:r>
          </w:p>
        </w:tc>
        <w:tc>
          <w:tcPr>
            <w:tcW w:w="1309" w:type="dxa"/>
            <w:tcBorders>
              <w:top w:val="nil"/>
              <w:left w:val="nil"/>
              <w:bottom w:val="nil"/>
              <w:right w:val="nil"/>
            </w:tcBorders>
            <w:shd w:val="clear" w:color="auto" w:fill="auto"/>
            <w:vAlign w:val="bottom"/>
            <w:hideMark/>
          </w:tcPr>
          <w:p w14:paraId="40E389D3" w14:textId="317F3096"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c>
          <w:tcPr>
            <w:tcW w:w="1309" w:type="dxa"/>
            <w:tcBorders>
              <w:top w:val="nil"/>
              <w:left w:val="nil"/>
              <w:bottom w:val="nil"/>
              <w:right w:val="nil"/>
            </w:tcBorders>
            <w:shd w:val="clear" w:color="auto" w:fill="auto"/>
            <w:vAlign w:val="bottom"/>
            <w:hideMark/>
          </w:tcPr>
          <w:p w14:paraId="742B2DD4" w14:textId="77777777"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c>
          <w:tcPr>
            <w:tcW w:w="1361" w:type="dxa"/>
            <w:tcBorders>
              <w:top w:val="nil"/>
              <w:left w:val="nil"/>
              <w:bottom w:val="nil"/>
              <w:right w:val="nil"/>
            </w:tcBorders>
            <w:shd w:val="clear" w:color="auto" w:fill="auto"/>
            <w:vAlign w:val="bottom"/>
            <w:hideMark/>
          </w:tcPr>
          <w:p w14:paraId="378A177A" w14:textId="77777777" w:rsidR="00D9062C" w:rsidRPr="006E4BE1" w:rsidRDefault="00D9062C"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c>
          <w:tcPr>
            <w:tcW w:w="1243" w:type="dxa"/>
            <w:tcBorders>
              <w:top w:val="nil"/>
              <w:left w:val="nil"/>
              <w:bottom w:val="nil"/>
              <w:right w:val="nil"/>
            </w:tcBorders>
            <w:shd w:val="clear" w:color="auto" w:fill="auto"/>
            <w:vAlign w:val="bottom"/>
            <w:hideMark/>
          </w:tcPr>
          <w:p w14:paraId="47B367BB" w14:textId="29990440"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w:t>
            </w:r>
          </w:p>
        </w:tc>
      </w:tr>
      <w:tr w:rsidR="00D9062C" w:rsidRPr="006E4BE1" w14:paraId="39FF5908" w14:textId="77777777" w:rsidTr="0078737D">
        <w:trPr>
          <w:trHeight w:val="181"/>
        </w:trPr>
        <w:tc>
          <w:tcPr>
            <w:tcW w:w="3330" w:type="dxa"/>
            <w:tcBorders>
              <w:top w:val="nil"/>
              <w:left w:val="nil"/>
              <w:bottom w:val="nil"/>
              <w:right w:val="nil"/>
            </w:tcBorders>
            <w:shd w:val="clear" w:color="auto" w:fill="auto"/>
            <w:vAlign w:val="bottom"/>
            <w:hideMark/>
          </w:tcPr>
          <w:p w14:paraId="2115CA56" w14:textId="77777777" w:rsidR="00D9062C" w:rsidRPr="006E4BE1" w:rsidRDefault="00D9062C" w:rsidP="00AE50C9">
            <w:pPr>
              <w:jc w:val="right"/>
              <w:rPr>
                <w:rFonts w:ascii="Arial Narrow" w:hAnsi="Arial Narrow" w:cs="Arial"/>
                <w:b/>
                <w:bCs/>
                <w:color w:val="000000"/>
                <w:lang w:val="es-ES_tradnl"/>
              </w:rPr>
            </w:pPr>
          </w:p>
        </w:tc>
        <w:tc>
          <w:tcPr>
            <w:tcW w:w="1035" w:type="dxa"/>
            <w:tcBorders>
              <w:top w:val="nil"/>
              <w:left w:val="nil"/>
              <w:bottom w:val="nil"/>
              <w:right w:val="nil"/>
            </w:tcBorders>
            <w:shd w:val="clear" w:color="auto" w:fill="auto"/>
            <w:vAlign w:val="bottom"/>
            <w:hideMark/>
          </w:tcPr>
          <w:p w14:paraId="5C001B69" w14:textId="77777777" w:rsidR="00D9062C" w:rsidRPr="006E4BE1" w:rsidRDefault="00D9062C" w:rsidP="00AE50C9">
            <w:pPr>
              <w:ind w:firstLineChars="200" w:firstLine="400"/>
              <w:jc w:val="left"/>
              <w:rPr>
                <w:rFonts w:ascii="Times New Roman" w:hAnsi="Times New Roman"/>
                <w:lang w:val="es-ES_tradnl"/>
              </w:rPr>
            </w:pPr>
          </w:p>
        </w:tc>
        <w:tc>
          <w:tcPr>
            <w:tcW w:w="1309" w:type="dxa"/>
            <w:tcBorders>
              <w:top w:val="nil"/>
              <w:left w:val="nil"/>
              <w:bottom w:val="nil"/>
              <w:right w:val="nil"/>
            </w:tcBorders>
            <w:shd w:val="clear" w:color="auto" w:fill="auto"/>
            <w:vAlign w:val="bottom"/>
            <w:hideMark/>
          </w:tcPr>
          <w:p w14:paraId="0B2860A4" w14:textId="77777777" w:rsidR="00D9062C" w:rsidRPr="006E4BE1" w:rsidRDefault="00D9062C" w:rsidP="00AE50C9">
            <w:pPr>
              <w:jc w:val="right"/>
              <w:rPr>
                <w:rFonts w:ascii="Times New Roman" w:hAnsi="Times New Roman"/>
                <w:lang w:val="es-ES_tradnl"/>
              </w:rPr>
            </w:pPr>
          </w:p>
        </w:tc>
        <w:tc>
          <w:tcPr>
            <w:tcW w:w="1309" w:type="dxa"/>
            <w:tcBorders>
              <w:top w:val="nil"/>
              <w:left w:val="nil"/>
              <w:bottom w:val="nil"/>
              <w:right w:val="nil"/>
            </w:tcBorders>
            <w:shd w:val="clear" w:color="auto" w:fill="auto"/>
            <w:vAlign w:val="bottom"/>
            <w:hideMark/>
          </w:tcPr>
          <w:p w14:paraId="271030B9" w14:textId="77777777" w:rsidR="00D9062C" w:rsidRPr="006E4BE1" w:rsidRDefault="00D9062C" w:rsidP="00AE50C9">
            <w:pPr>
              <w:jc w:val="right"/>
              <w:rPr>
                <w:rFonts w:ascii="Times New Roman" w:hAnsi="Times New Roman"/>
                <w:lang w:val="es-ES_tradnl"/>
              </w:rPr>
            </w:pPr>
          </w:p>
        </w:tc>
        <w:tc>
          <w:tcPr>
            <w:tcW w:w="1361" w:type="dxa"/>
            <w:tcBorders>
              <w:top w:val="nil"/>
              <w:left w:val="nil"/>
              <w:bottom w:val="nil"/>
              <w:right w:val="nil"/>
            </w:tcBorders>
            <w:shd w:val="clear" w:color="auto" w:fill="auto"/>
            <w:vAlign w:val="bottom"/>
            <w:hideMark/>
          </w:tcPr>
          <w:p w14:paraId="3329E513" w14:textId="77777777" w:rsidR="00D9062C" w:rsidRPr="006E4BE1" w:rsidRDefault="00D9062C" w:rsidP="00AE50C9">
            <w:pPr>
              <w:jc w:val="right"/>
              <w:rPr>
                <w:rFonts w:ascii="Times New Roman" w:hAnsi="Times New Roman"/>
                <w:lang w:val="es-ES_tradnl"/>
              </w:rPr>
            </w:pPr>
          </w:p>
        </w:tc>
        <w:tc>
          <w:tcPr>
            <w:tcW w:w="1243" w:type="dxa"/>
            <w:tcBorders>
              <w:top w:val="nil"/>
              <w:left w:val="nil"/>
              <w:bottom w:val="nil"/>
              <w:right w:val="nil"/>
            </w:tcBorders>
            <w:shd w:val="clear" w:color="auto" w:fill="auto"/>
            <w:vAlign w:val="bottom"/>
            <w:hideMark/>
          </w:tcPr>
          <w:p w14:paraId="6945E8C2" w14:textId="77777777" w:rsidR="00D9062C" w:rsidRPr="006E4BE1" w:rsidRDefault="00D9062C" w:rsidP="00AE50C9">
            <w:pPr>
              <w:jc w:val="right"/>
              <w:rPr>
                <w:rFonts w:ascii="Times New Roman" w:hAnsi="Times New Roman"/>
                <w:lang w:val="es-ES_tradnl"/>
              </w:rPr>
            </w:pPr>
          </w:p>
        </w:tc>
      </w:tr>
      <w:tr w:rsidR="00D9062C" w:rsidRPr="006E4BE1" w14:paraId="311E13C7" w14:textId="77777777" w:rsidTr="0078737D">
        <w:trPr>
          <w:trHeight w:val="423"/>
        </w:trPr>
        <w:tc>
          <w:tcPr>
            <w:tcW w:w="3330" w:type="dxa"/>
            <w:tcBorders>
              <w:top w:val="single" w:sz="4" w:space="0" w:color="AAB8C4"/>
              <w:left w:val="nil"/>
              <w:bottom w:val="single" w:sz="8" w:space="0" w:color="AAB8C4"/>
              <w:right w:val="nil"/>
            </w:tcBorders>
            <w:shd w:val="clear" w:color="auto" w:fill="auto"/>
            <w:vAlign w:val="center"/>
            <w:hideMark/>
          </w:tcPr>
          <w:p w14:paraId="140759BB" w14:textId="77777777" w:rsidR="00D9062C" w:rsidRPr="006E4BE1" w:rsidRDefault="00D9062C" w:rsidP="00AE50C9">
            <w:pPr>
              <w:rPr>
                <w:rFonts w:ascii="Arial Narrow" w:hAnsi="Arial Narrow" w:cs="Arial"/>
                <w:b/>
                <w:bCs/>
                <w:color w:val="000000"/>
                <w:lang w:val="es-ES_tradnl"/>
              </w:rPr>
            </w:pPr>
            <w:r w:rsidRPr="006E4BE1">
              <w:rPr>
                <w:rFonts w:ascii="Arial Narrow" w:hAnsi="Arial Narrow" w:cs="Arial"/>
                <w:b/>
                <w:bCs/>
                <w:color w:val="000000"/>
                <w:lang w:val="es-ES_tradnl"/>
              </w:rPr>
              <w:t>Total</w:t>
            </w:r>
          </w:p>
        </w:tc>
        <w:tc>
          <w:tcPr>
            <w:tcW w:w="1035" w:type="dxa"/>
            <w:tcBorders>
              <w:top w:val="single" w:sz="4" w:space="0" w:color="AAB8C4"/>
              <w:left w:val="nil"/>
              <w:bottom w:val="single" w:sz="8" w:space="0" w:color="AAB8C4"/>
              <w:right w:val="nil"/>
            </w:tcBorders>
            <w:shd w:val="clear" w:color="auto" w:fill="auto"/>
            <w:vAlign w:val="center"/>
            <w:hideMark/>
          </w:tcPr>
          <w:p w14:paraId="790A1BE5" w14:textId="6F1A720A"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6</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931</w:t>
            </w:r>
          </w:p>
        </w:tc>
        <w:tc>
          <w:tcPr>
            <w:tcW w:w="1309" w:type="dxa"/>
            <w:tcBorders>
              <w:top w:val="single" w:sz="4" w:space="0" w:color="AAB8C4"/>
              <w:left w:val="nil"/>
              <w:bottom w:val="single" w:sz="8" w:space="0" w:color="AAB8C4"/>
              <w:right w:val="nil"/>
            </w:tcBorders>
            <w:shd w:val="clear" w:color="auto" w:fill="auto"/>
            <w:vAlign w:val="center"/>
            <w:hideMark/>
          </w:tcPr>
          <w:p w14:paraId="13DD0C8A" w14:textId="7B2B2C8E"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347</w:t>
            </w:r>
          </w:p>
        </w:tc>
        <w:tc>
          <w:tcPr>
            <w:tcW w:w="1309" w:type="dxa"/>
            <w:tcBorders>
              <w:top w:val="single" w:sz="4" w:space="0" w:color="AAB8C4"/>
              <w:left w:val="nil"/>
              <w:bottom w:val="single" w:sz="8" w:space="0" w:color="AAB8C4"/>
              <w:right w:val="nil"/>
            </w:tcBorders>
            <w:shd w:val="clear" w:color="auto" w:fill="auto"/>
            <w:vAlign w:val="center"/>
            <w:hideMark/>
          </w:tcPr>
          <w:p w14:paraId="2236D6C9" w14:textId="77777777"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287</w:t>
            </w:r>
          </w:p>
        </w:tc>
        <w:tc>
          <w:tcPr>
            <w:tcW w:w="1361" w:type="dxa"/>
            <w:tcBorders>
              <w:top w:val="single" w:sz="4" w:space="0" w:color="AAB8C4"/>
              <w:left w:val="nil"/>
              <w:bottom w:val="single" w:sz="8" w:space="0" w:color="AAB8C4"/>
              <w:right w:val="nil"/>
            </w:tcBorders>
            <w:shd w:val="clear" w:color="auto" w:fill="auto"/>
            <w:vAlign w:val="center"/>
            <w:hideMark/>
          </w:tcPr>
          <w:p w14:paraId="2CDAAFE4" w14:textId="2D276D44"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3</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9%</w:t>
            </w:r>
          </w:p>
        </w:tc>
        <w:tc>
          <w:tcPr>
            <w:tcW w:w="1243" w:type="dxa"/>
            <w:tcBorders>
              <w:top w:val="single" w:sz="4" w:space="0" w:color="AAB8C4"/>
              <w:left w:val="nil"/>
              <w:bottom w:val="single" w:sz="8" w:space="0" w:color="AAB8C4"/>
              <w:right w:val="nil"/>
            </w:tcBorders>
            <w:shd w:val="clear" w:color="auto" w:fill="auto"/>
            <w:vAlign w:val="center"/>
            <w:hideMark/>
          </w:tcPr>
          <w:p w14:paraId="5C9A939F" w14:textId="07AB48D4" w:rsidR="00D9062C" w:rsidRPr="006E4BE1" w:rsidRDefault="00D9062C"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78737D" w:rsidRPr="006E4BE1">
              <w:rPr>
                <w:rFonts w:ascii="Arial Narrow" w:hAnsi="Arial Narrow" w:cs="Arial"/>
                <w:b/>
                <w:bCs/>
                <w:color w:val="000000"/>
                <w:lang w:val="es-ES_tradnl"/>
              </w:rPr>
              <w:t>.</w:t>
            </w:r>
            <w:r w:rsidRPr="006E4BE1">
              <w:rPr>
                <w:rFonts w:ascii="Arial Narrow" w:hAnsi="Arial Narrow" w:cs="Arial"/>
                <w:b/>
                <w:bCs/>
                <w:color w:val="000000"/>
                <w:lang w:val="es-ES_tradnl"/>
              </w:rPr>
              <w:t>635</w:t>
            </w:r>
          </w:p>
        </w:tc>
      </w:tr>
    </w:tbl>
    <w:p w14:paraId="6A65C5DD" w14:textId="77777777" w:rsidR="001240C5" w:rsidRPr="006E4BE1" w:rsidRDefault="00172DFD" w:rsidP="00AE50C9">
      <w:pPr>
        <w:spacing w:before="60"/>
        <w:rPr>
          <w:rFonts w:cs="Arial"/>
          <w:i/>
          <w:iCs/>
          <w:sz w:val="16"/>
          <w:szCs w:val="16"/>
          <w:lang w:val="es-ES_tradnl"/>
        </w:rPr>
      </w:pPr>
      <w:r w:rsidRPr="006E4BE1">
        <w:rPr>
          <w:rFonts w:cs="Arial"/>
          <w:i/>
          <w:iCs/>
          <w:sz w:val="16"/>
          <w:szCs w:val="16"/>
          <w:vertAlign w:val="superscript"/>
          <w:lang w:val="es-ES_tradnl"/>
        </w:rPr>
        <w:t>1</w:t>
      </w:r>
      <w:r w:rsidRPr="006E4BE1">
        <w:rPr>
          <w:rFonts w:cs="Arial"/>
          <w:i/>
          <w:iCs/>
          <w:sz w:val="16"/>
          <w:szCs w:val="16"/>
          <w:lang w:val="es-ES_tradnl"/>
        </w:rPr>
        <w:t xml:space="preserve"> En el bienio 2018-2019, en concepto de </w:t>
      </w:r>
      <w:r w:rsidR="00C178AA" w:rsidRPr="006E4BE1">
        <w:rPr>
          <w:rFonts w:cs="Arial"/>
          <w:i/>
          <w:iCs/>
          <w:sz w:val="16"/>
          <w:szCs w:val="16"/>
          <w:lang w:val="es-ES_tradnl"/>
        </w:rPr>
        <w:t>“</w:t>
      </w:r>
      <w:r w:rsidRPr="006E4BE1">
        <w:rPr>
          <w:rFonts w:cs="Arial"/>
          <w:i/>
          <w:iCs/>
          <w:sz w:val="16"/>
          <w:szCs w:val="16"/>
          <w:lang w:val="es-ES_tradnl"/>
        </w:rPr>
        <w:t>otros ingresos” se incluyeron principalmente los ingresos reales de las ganancias derivadas de las notas de crédito y los tipos de cambio.</w:t>
      </w:r>
    </w:p>
    <w:p w14:paraId="75BF38DA" w14:textId="77777777" w:rsidR="001240C5" w:rsidRPr="006E4BE1" w:rsidRDefault="00362930">
      <w:pPr>
        <w:jc w:val="left"/>
        <w:rPr>
          <w:lang w:val="es-ES_tradnl"/>
        </w:rPr>
      </w:pPr>
      <w:r w:rsidRPr="006E4BE1">
        <w:rPr>
          <w:lang w:val="es-ES_tradnl"/>
        </w:rPr>
        <w:br w:type="page"/>
      </w:r>
    </w:p>
    <w:p w14:paraId="300849E0" w14:textId="5D648E98" w:rsidR="00ED4F07" w:rsidRPr="006E4BE1" w:rsidRDefault="00B6573F" w:rsidP="00AE50C9">
      <w:pPr>
        <w:spacing w:before="360" w:after="120"/>
        <w:jc w:val="left"/>
        <w:rPr>
          <w:lang w:val="es-ES_tradnl"/>
        </w:rPr>
      </w:pPr>
      <w:r w:rsidRPr="006E4BE1">
        <w:rPr>
          <w:lang w:val="es-ES_tradnl"/>
        </w:rPr>
        <w:lastRenderedPageBreak/>
        <w:t xml:space="preserve">Los ingresos presupuestados para las tasas por uso de las herramientas y servicios informáticos de la UPOV </w:t>
      </w:r>
      <w:r w:rsidR="00685E2C" w:rsidRPr="006E4BE1">
        <w:rPr>
          <w:lang w:val="es-ES_tradnl"/>
        </w:rPr>
        <w:t xml:space="preserve">se basan </w:t>
      </w:r>
      <w:r w:rsidRPr="006E4BE1">
        <w:rPr>
          <w:lang w:val="es-ES_tradnl"/>
        </w:rPr>
        <w:t>en las siguientes hipótesis:</w:t>
      </w:r>
    </w:p>
    <w:tbl>
      <w:tblPr>
        <w:tblW w:w="9733" w:type="dxa"/>
        <w:jc w:val="center"/>
        <w:tblLayout w:type="fixed"/>
        <w:tblLook w:val="04A0" w:firstRow="1" w:lastRow="0" w:firstColumn="1" w:lastColumn="0" w:noHBand="0" w:noVBand="1"/>
      </w:tblPr>
      <w:tblGrid>
        <w:gridCol w:w="2570"/>
        <w:gridCol w:w="1210"/>
        <w:gridCol w:w="976"/>
        <w:gridCol w:w="976"/>
        <w:gridCol w:w="1072"/>
        <w:gridCol w:w="976"/>
        <w:gridCol w:w="976"/>
        <w:gridCol w:w="977"/>
      </w:tblGrid>
      <w:tr w:rsidR="00D9062C" w:rsidRPr="006E4BE1" w14:paraId="3FCC8F78" w14:textId="77777777" w:rsidTr="0025178E">
        <w:trPr>
          <w:cantSplit/>
          <w:trHeight w:val="240"/>
          <w:jc w:val="center"/>
        </w:trPr>
        <w:tc>
          <w:tcPr>
            <w:tcW w:w="2570" w:type="dxa"/>
            <w:vMerge w:val="restart"/>
            <w:tcBorders>
              <w:top w:val="nil"/>
              <w:left w:val="nil"/>
              <w:bottom w:val="nil"/>
              <w:right w:val="nil"/>
            </w:tcBorders>
            <w:shd w:val="clear" w:color="000000" w:fill="C7CFD8"/>
            <w:vAlign w:val="bottom"/>
            <w:hideMark/>
          </w:tcPr>
          <w:p w14:paraId="1B6F9C91" w14:textId="041E00BE" w:rsidR="00D9062C" w:rsidRPr="006E4BE1" w:rsidRDefault="00D9062C" w:rsidP="00AE50C9">
            <w:pPr>
              <w:jc w:val="center"/>
              <w:rPr>
                <w:rFonts w:ascii="Arial Narrow" w:hAnsi="Arial Narrow" w:cs="Arial"/>
                <w:b/>
                <w:bCs/>
                <w:color w:val="00B050"/>
                <w:lang w:val="es-ES_tradnl"/>
              </w:rPr>
            </w:pPr>
          </w:p>
        </w:tc>
        <w:tc>
          <w:tcPr>
            <w:tcW w:w="1210" w:type="dxa"/>
            <w:vMerge w:val="restart"/>
            <w:tcBorders>
              <w:top w:val="nil"/>
              <w:left w:val="nil"/>
              <w:bottom w:val="nil"/>
              <w:right w:val="nil"/>
            </w:tcBorders>
            <w:shd w:val="clear" w:color="000000" w:fill="C7CFD8"/>
            <w:vAlign w:val="center"/>
            <w:hideMark/>
          </w:tcPr>
          <w:p w14:paraId="23D6179B" w14:textId="5DC85BCC" w:rsidR="00D9062C" w:rsidRPr="006E4BE1" w:rsidRDefault="00EC1F3A" w:rsidP="00AE50C9">
            <w:pPr>
              <w:jc w:val="center"/>
              <w:rPr>
                <w:rFonts w:ascii="Arial Narrow" w:hAnsi="Arial Narrow" w:cs="Arial"/>
                <w:b/>
                <w:bCs/>
                <w:sz w:val="18"/>
                <w:lang w:val="es-ES_tradnl"/>
              </w:rPr>
            </w:pPr>
            <w:r w:rsidRPr="006E4BE1">
              <w:rPr>
                <w:rFonts w:ascii="Arial Narrow" w:hAnsi="Arial Narrow" w:cs="Arial"/>
                <w:b/>
                <w:bCs/>
                <w:sz w:val="18"/>
                <w:lang w:val="es-ES_tradnl"/>
              </w:rPr>
              <w:t>Tasa de presentación/suscripción</w:t>
            </w:r>
          </w:p>
        </w:tc>
        <w:tc>
          <w:tcPr>
            <w:tcW w:w="3024" w:type="dxa"/>
            <w:gridSpan w:val="3"/>
            <w:tcBorders>
              <w:top w:val="nil"/>
              <w:left w:val="nil"/>
              <w:bottom w:val="single" w:sz="4" w:space="0" w:color="BFBFBF"/>
              <w:right w:val="nil"/>
            </w:tcBorders>
            <w:shd w:val="clear" w:color="000000" w:fill="C7CFD8"/>
            <w:vAlign w:val="center"/>
            <w:hideMark/>
          </w:tcPr>
          <w:p w14:paraId="6754603C" w14:textId="3AAAA63A" w:rsidR="00D9062C" w:rsidRPr="006E4BE1" w:rsidRDefault="00EC1F3A" w:rsidP="00AE50C9">
            <w:pPr>
              <w:jc w:val="center"/>
              <w:rPr>
                <w:rFonts w:ascii="Arial Narrow" w:hAnsi="Arial Narrow" w:cs="Arial"/>
                <w:b/>
                <w:bCs/>
                <w:sz w:val="18"/>
                <w:lang w:val="es-ES_tradnl"/>
              </w:rPr>
            </w:pPr>
            <w:r w:rsidRPr="006E4BE1">
              <w:rPr>
                <w:rFonts w:ascii="Arial Narrow" w:hAnsi="Arial Narrow" w:cs="Arial"/>
                <w:b/>
                <w:bCs/>
                <w:sz w:val="18"/>
                <w:lang w:val="es-ES_tradnl"/>
              </w:rPr>
              <w:t>Previsión de presentaciones/suscriptores</w:t>
            </w:r>
          </w:p>
        </w:tc>
        <w:tc>
          <w:tcPr>
            <w:tcW w:w="2929" w:type="dxa"/>
            <w:gridSpan w:val="3"/>
            <w:tcBorders>
              <w:top w:val="nil"/>
              <w:left w:val="nil"/>
              <w:bottom w:val="single" w:sz="4" w:space="0" w:color="BFBFBF"/>
              <w:right w:val="nil"/>
            </w:tcBorders>
            <w:shd w:val="clear" w:color="000000" w:fill="C7CFD8"/>
            <w:vAlign w:val="center"/>
            <w:hideMark/>
          </w:tcPr>
          <w:p w14:paraId="2AFCD037" w14:textId="2B958D6E" w:rsidR="00D9062C" w:rsidRPr="006E4BE1" w:rsidRDefault="00EC1F3A" w:rsidP="00AE50C9">
            <w:pPr>
              <w:jc w:val="center"/>
              <w:rPr>
                <w:rFonts w:ascii="Arial Narrow" w:hAnsi="Arial Narrow" w:cs="Arial"/>
                <w:b/>
                <w:bCs/>
                <w:sz w:val="18"/>
                <w:lang w:val="es-ES_tradnl"/>
              </w:rPr>
            </w:pPr>
            <w:r w:rsidRPr="006E4BE1">
              <w:rPr>
                <w:rFonts w:ascii="Arial Narrow" w:hAnsi="Arial Narrow" w:cs="Arial"/>
                <w:b/>
                <w:bCs/>
                <w:sz w:val="18"/>
                <w:lang w:val="es-ES_tradnl"/>
              </w:rPr>
              <w:t>Ingresos por presentaciones/subscriptores</w:t>
            </w:r>
          </w:p>
        </w:tc>
      </w:tr>
      <w:tr w:rsidR="00C20F3E" w:rsidRPr="006E4BE1" w14:paraId="3570EE51" w14:textId="77777777" w:rsidTr="0025178E">
        <w:trPr>
          <w:cantSplit/>
          <w:trHeight w:val="358"/>
          <w:jc w:val="center"/>
        </w:trPr>
        <w:tc>
          <w:tcPr>
            <w:tcW w:w="2570" w:type="dxa"/>
            <w:vMerge/>
            <w:tcBorders>
              <w:top w:val="nil"/>
              <w:left w:val="nil"/>
              <w:bottom w:val="nil"/>
              <w:right w:val="nil"/>
            </w:tcBorders>
            <w:vAlign w:val="center"/>
            <w:hideMark/>
          </w:tcPr>
          <w:p w14:paraId="25A8BEFE" w14:textId="77777777" w:rsidR="00D9062C" w:rsidRPr="006E4BE1" w:rsidRDefault="00D9062C" w:rsidP="00AE50C9">
            <w:pPr>
              <w:jc w:val="left"/>
              <w:rPr>
                <w:rFonts w:ascii="Arial Narrow" w:hAnsi="Arial Narrow" w:cs="Arial"/>
                <w:b/>
                <w:bCs/>
                <w:color w:val="00B050"/>
                <w:lang w:val="es-ES_tradnl"/>
              </w:rPr>
            </w:pPr>
          </w:p>
        </w:tc>
        <w:tc>
          <w:tcPr>
            <w:tcW w:w="1210" w:type="dxa"/>
            <w:vMerge/>
            <w:tcBorders>
              <w:top w:val="nil"/>
              <w:left w:val="nil"/>
              <w:bottom w:val="nil"/>
              <w:right w:val="nil"/>
            </w:tcBorders>
            <w:vAlign w:val="center"/>
            <w:hideMark/>
          </w:tcPr>
          <w:p w14:paraId="55B3EC4A" w14:textId="77777777" w:rsidR="00D9062C" w:rsidRPr="006E4BE1" w:rsidRDefault="00D9062C" w:rsidP="00AE50C9">
            <w:pPr>
              <w:jc w:val="left"/>
              <w:rPr>
                <w:rFonts w:ascii="Arial Narrow" w:hAnsi="Arial Narrow" w:cs="Arial"/>
                <w:b/>
                <w:bCs/>
                <w:sz w:val="18"/>
                <w:lang w:val="es-ES_tradnl"/>
              </w:rPr>
            </w:pPr>
          </w:p>
        </w:tc>
        <w:tc>
          <w:tcPr>
            <w:tcW w:w="976" w:type="dxa"/>
            <w:tcBorders>
              <w:top w:val="nil"/>
              <w:left w:val="nil"/>
              <w:bottom w:val="nil"/>
              <w:right w:val="nil"/>
            </w:tcBorders>
            <w:shd w:val="clear" w:color="000000" w:fill="C7CFD8"/>
            <w:vAlign w:val="center"/>
            <w:hideMark/>
          </w:tcPr>
          <w:p w14:paraId="727CC0CD" w14:textId="77777777" w:rsidR="00D9062C" w:rsidRPr="006E4BE1" w:rsidRDefault="00D9062C" w:rsidP="00AE50C9">
            <w:pPr>
              <w:jc w:val="center"/>
              <w:rPr>
                <w:rFonts w:ascii="Arial Narrow" w:hAnsi="Arial Narrow" w:cs="Arial"/>
                <w:b/>
                <w:bCs/>
                <w:sz w:val="18"/>
                <w:lang w:val="es-ES_tradnl"/>
              </w:rPr>
            </w:pPr>
            <w:r w:rsidRPr="006E4BE1">
              <w:rPr>
                <w:rFonts w:ascii="Arial Narrow" w:hAnsi="Arial Narrow" w:cs="Arial"/>
                <w:b/>
                <w:bCs/>
                <w:sz w:val="18"/>
                <w:lang w:val="es-ES_tradnl"/>
              </w:rPr>
              <w:t>2022</w:t>
            </w:r>
          </w:p>
        </w:tc>
        <w:tc>
          <w:tcPr>
            <w:tcW w:w="976" w:type="dxa"/>
            <w:tcBorders>
              <w:top w:val="nil"/>
              <w:left w:val="nil"/>
              <w:bottom w:val="nil"/>
              <w:right w:val="nil"/>
            </w:tcBorders>
            <w:shd w:val="clear" w:color="000000" w:fill="C7CFD8"/>
            <w:vAlign w:val="center"/>
            <w:hideMark/>
          </w:tcPr>
          <w:p w14:paraId="36FD6438" w14:textId="77777777" w:rsidR="00D9062C" w:rsidRPr="006E4BE1" w:rsidRDefault="00D9062C" w:rsidP="00AE50C9">
            <w:pPr>
              <w:jc w:val="center"/>
              <w:rPr>
                <w:rFonts w:ascii="Arial Narrow" w:hAnsi="Arial Narrow" w:cs="Arial"/>
                <w:b/>
                <w:bCs/>
                <w:sz w:val="18"/>
                <w:lang w:val="es-ES_tradnl"/>
              </w:rPr>
            </w:pPr>
            <w:r w:rsidRPr="006E4BE1">
              <w:rPr>
                <w:rFonts w:ascii="Arial Narrow" w:hAnsi="Arial Narrow" w:cs="Arial"/>
                <w:b/>
                <w:bCs/>
                <w:sz w:val="18"/>
                <w:lang w:val="es-ES_tradnl"/>
              </w:rPr>
              <w:t>2023</w:t>
            </w:r>
          </w:p>
        </w:tc>
        <w:tc>
          <w:tcPr>
            <w:tcW w:w="1072" w:type="dxa"/>
            <w:tcBorders>
              <w:top w:val="nil"/>
              <w:left w:val="nil"/>
              <w:bottom w:val="nil"/>
              <w:right w:val="nil"/>
            </w:tcBorders>
            <w:shd w:val="clear" w:color="000000" w:fill="C7CFD8"/>
            <w:vAlign w:val="center"/>
            <w:hideMark/>
          </w:tcPr>
          <w:p w14:paraId="31FA99FA" w14:textId="77777777" w:rsidR="00D9062C" w:rsidRPr="006E4BE1" w:rsidRDefault="00D9062C" w:rsidP="00AE50C9">
            <w:pPr>
              <w:jc w:val="center"/>
              <w:rPr>
                <w:rFonts w:ascii="Arial Narrow" w:hAnsi="Arial Narrow" w:cs="Arial"/>
                <w:b/>
                <w:bCs/>
                <w:sz w:val="18"/>
                <w:lang w:val="es-ES_tradnl"/>
              </w:rPr>
            </w:pPr>
            <w:r w:rsidRPr="006E4BE1">
              <w:rPr>
                <w:rFonts w:ascii="Arial Narrow" w:hAnsi="Arial Narrow" w:cs="Arial"/>
                <w:b/>
                <w:bCs/>
                <w:sz w:val="18"/>
                <w:lang w:val="es-ES_tradnl"/>
              </w:rPr>
              <w:t>Total</w:t>
            </w:r>
          </w:p>
        </w:tc>
        <w:tc>
          <w:tcPr>
            <w:tcW w:w="976" w:type="dxa"/>
            <w:tcBorders>
              <w:top w:val="nil"/>
              <w:left w:val="single" w:sz="4" w:space="0" w:color="BFBFBF"/>
              <w:bottom w:val="nil"/>
              <w:right w:val="nil"/>
            </w:tcBorders>
            <w:shd w:val="clear" w:color="000000" w:fill="C7CFD8"/>
            <w:vAlign w:val="center"/>
            <w:hideMark/>
          </w:tcPr>
          <w:p w14:paraId="75F1D94B" w14:textId="77777777" w:rsidR="00D9062C" w:rsidRPr="006E4BE1" w:rsidRDefault="00D9062C" w:rsidP="00AE50C9">
            <w:pPr>
              <w:jc w:val="center"/>
              <w:rPr>
                <w:rFonts w:ascii="Arial Narrow" w:hAnsi="Arial Narrow" w:cs="Arial"/>
                <w:b/>
                <w:bCs/>
                <w:sz w:val="18"/>
                <w:lang w:val="es-ES_tradnl"/>
              </w:rPr>
            </w:pPr>
            <w:r w:rsidRPr="006E4BE1">
              <w:rPr>
                <w:rFonts w:ascii="Arial Narrow" w:hAnsi="Arial Narrow" w:cs="Arial"/>
                <w:b/>
                <w:bCs/>
                <w:sz w:val="18"/>
                <w:lang w:val="es-ES_tradnl"/>
              </w:rPr>
              <w:t>2022</w:t>
            </w:r>
          </w:p>
        </w:tc>
        <w:tc>
          <w:tcPr>
            <w:tcW w:w="976" w:type="dxa"/>
            <w:tcBorders>
              <w:top w:val="nil"/>
              <w:left w:val="nil"/>
              <w:bottom w:val="nil"/>
              <w:right w:val="nil"/>
            </w:tcBorders>
            <w:shd w:val="clear" w:color="000000" w:fill="C7CFD8"/>
            <w:vAlign w:val="center"/>
            <w:hideMark/>
          </w:tcPr>
          <w:p w14:paraId="5A2A0B67" w14:textId="77777777" w:rsidR="00D9062C" w:rsidRPr="006E4BE1" w:rsidRDefault="00D9062C" w:rsidP="00AE50C9">
            <w:pPr>
              <w:jc w:val="center"/>
              <w:rPr>
                <w:rFonts w:ascii="Arial Narrow" w:hAnsi="Arial Narrow" w:cs="Arial"/>
                <w:b/>
                <w:bCs/>
                <w:sz w:val="18"/>
                <w:lang w:val="es-ES_tradnl"/>
              </w:rPr>
            </w:pPr>
            <w:r w:rsidRPr="006E4BE1">
              <w:rPr>
                <w:rFonts w:ascii="Arial Narrow" w:hAnsi="Arial Narrow" w:cs="Arial"/>
                <w:b/>
                <w:bCs/>
                <w:sz w:val="18"/>
                <w:lang w:val="es-ES_tradnl"/>
              </w:rPr>
              <w:t>2023</w:t>
            </w:r>
          </w:p>
        </w:tc>
        <w:tc>
          <w:tcPr>
            <w:tcW w:w="977" w:type="dxa"/>
            <w:tcBorders>
              <w:top w:val="nil"/>
              <w:left w:val="nil"/>
              <w:bottom w:val="nil"/>
              <w:right w:val="nil"/>
            </w:tcBorders>
            <w:shd w:val="clear" w:color="000000" w:fill="C7CFD8"/>
            <w:vAlign w:val="center"/>
            <w:hideMark/>
          </w:tcPr>
          <w:p w14:paraId="1A0463AF" w14:textId="77777777" w:rsidR="00D9062C" w:rsidRPr="006E4BE1" w:rsidRDefault="00D9062C" w:rsidP="00AE50C9">
            <w:pPr>
              <w:jc w:val="center"/>
              <w:rPr>
                <w:rFonts w:ascii="Arial Narrow" w:hAnsi="Arial Narrow" w:cs="Arial"/>
                <w:b/>
                <w:bCs/>
                <w:sz w:val="18"/>
                <w:lang w:val="es-ES_tradnl"/>
              </w:rPr>
            </w:pPr>
            <w:r w:rsidRPr="006E4BE1">
              <w:rPr>
                <w:rFonts w:ascii="Arial Narrow" w:hAnsi="Arial Narrow" w:cs="Arial"/>
                <w:b/>
                <w:bCs/>
                <w:sz w:val="18"/>
                <w:lang w:val="es-ES_tradnl"/>
              </w:rPr>
              <w:t>Total</w:t>
            </w:r>
          </w:p>
        </w:tc>
      </w:tr>
      <w:tr w:rsidR="00D9062C" w:rsidRPr="006E4BE1" w14:paraId="3CE1245C" w14:textId="77777777" w:rsidTr="0025178E">
        <w:trPr>
          <w:cantSplit/>
          <w:trHeight w:val="362"/>
          <w:jc w:val="center"/>
        </w:trPr>
        <w:tc>
          <w:tcPr>
            <w:tcW w:w="2570" w:type="dxa"/>
            <w:tcBorders>
              <w:top w:val="nil"/>
              <w:left w:val="nil"/>
              <w:bottom w:val="nil"/>
              <w:right w:val="nil"/>
            </w:tcBorders>
            <w:shd w:val="clear" w:color="auto" w:fill="auto"/>
            <w:vAlign w:val="center"/>
            <w:hideMark/>
          </w:tcPr>
          <w:p w14:paraId="487366AD" w14:textId="45EEBD9E" w:rsidR="00D9062C" w:rsidRPr="006E4BE1" w:rsidRDefault="00FE64A1" w:rsidP="00AE50C9">
            <w:pPr>
              <w:jc w:val="left"/>
              <w:rPr>
                <w:rFonts w:ascii="Arial Narrow" w:hAnsi="Arial Narrow" w:cs="Arial"/>
                <w:sz w:val="18"/>
                <w:lang w:val="es-ES_tradnl"/>
              </w:rPr>
            </w:pPr>
            <w:r w:rsidRPr="006E4BE1">
              <w:rPr>
                <w:rFonts w:ascii="Arial Narrow" w:hAnsi="Arial Narrow" w:cs="Arial"/>
                <w:sz w:val="18"/>
                <w:lang w:val="es-ES_tradnl"/>
              </w:rPr>
              <w:t>UPOV PRISMA</w:t>
            </w:r>
          </w:p>
        </w:tc>
        <w:tc>
          <w:tcPr>
            <w:tcW w:w="1210" w:type="dxa"/>
            <w:tcBorders>
              <w:top w:val="nil"/>
              <w:left w:val="nil"/>
              <w:bottom w:val="nil"/>
              <w:right w:val="nil"/>
            </w:tcBorders>
            <w:shd w:val="clear" w:color="auto" w:fill="auto"/>
            <w:noWrap/>
            <w:vAlign w:val="center"/>
            <w:hideMark/>
          </w:tcPr>
          <w:p w14:paraId="0E36DF1B" w14:textId="42939781"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90</w:t>
            </w:r>
          </w:p>
        </w:tc>
        <w:tc>
          <w:tcPr>
            <w:tcW w:w="976" w:type="dxa"/>
            <w:tcBorders>
              <w:top w:val="nil"/>
              <w:left w:val="nil"/>
              <w:bottom w:val="nil"/>
              <w:right w:val="nil"/>
            </w:tcBorders>
            <w:shd w:val="clear" w:color="auto" w:fill="auto"/>
            <w:noWrap/>
            <w:vAlign w:val="center"/>
            <w:hideMark/>
          </w:tcPr>
          <w:p w14:paraId="6A19C3A1" w14:textId="1B790B35"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1</w:t>
            </w:r>
            <w:r w:rsidR="004E0C43" w:rsidRPr="006E4BE1">
              <w:rPr>
                <w:rFonts w:ascii="Arial Narrow" w:hAnsi="Arial Narrow" w:cs="Arial"/>
                <w:lang w:val="es-ES_tradnl"/>
              </w:rPr>
              <w:t>.</w:t>
            </w:r>
            <w:r w:rsidRPr="006E4BE1">
              <w:rPr>
                <w:rFonts w:ascii="Arial Narrow" w:hAnsi="Arial Narrow" w:cs="Arial"/>
                <w:lang w:val="es-ES_tradnl"/>
              </w:rPr>
              <w:t>180</w:t>
            </w:r>
          </w:p>
        </w:tc>
        <w:tc>
          <w:tcPr>
            <w:tcW w:w="976" w:type="dxa"/>
            <w:tcBorders>
              <w:top w:val="nil"/>
              <w:left w:val="nil"/>
              <w:bottom w:val="nil"/>
              <w:right w:val="nil"/>
            </w:tcBorders>
            <w:shd w:val="clear" w:color="auto" w:fill="auto"/>
            <w:noWrap/>
            <w:vAlign w:val="center"/>
            <w:hideMark/>
          </w:tcPr>
          <w:p w14:paraId="7972F9DC" w14:textId="61068523"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1</w:t>
            </w:r>
            <w:r w:rsidR="004E0C43" w:rsidRPr="006E4BE1">
              <w:rPr>
                <w:rFonts w:ascii="Arial Narrow" w:hAnsi="Arial Narrow" w:cs="Arial"/>
                <w:lang w:val="es-ES_tradnl"/>
              </w:rPr>
              <w:t>.</w:t>
            </w:r>
            <w:r w:rsidRPr="006E4BE1">
              <w:rPr>
                <w:rFonts w:ascii="Arial Narrow" w:hAnsi="Arial Narrow" w:cs="Arial"/>
                <w:lang w:val="es-ES_tradnl"/>
              </w:rPr>
              <w:t>250</w:t>
            </w:r>
          </w:p>
        </w:tc>
        <w:tc>
          <w:tcPr>
            <w:tcW w:w="1072" w:type="dxa"/>
            <w:tcBorders>
              <w:top w:val="nil"/>
              <w:left w:val="nil"/>
              <w:bottom w:val="nil"/>
              <w:right w:val="nil"/>
            </w:tcBorders>
            <w:shd w:val="clear" w:color="auto" w:fill="auto"/>
            <w:noWrap/>
            <w:vAlign w:val="center"/>
            <w:hideMark/>
          </w:tcPr>
          <w:p w14:paraId="4AE86F39" w14:textId="548B6B88"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2</w:t>
            </w:r>
            <w:r w:rsidR="004E0C43" w:rsidRPr="006E4BE1">
              <w:rPr>
                <w:rFonts w:ascii="Arial Narrow" w:hAnsi="Arial Narrow" w:cs="Arial"/>
                <w:lang w:val="es-ES_tradnl"/>
              </w:rPr>
              <w:t>.</w:t>
            </w:r>
            <w:r w:rsidRPr="006E4BE1">
              <w:rPr>
                <w:rFonts w:ascii="Arial Narrow" w:hAnsi="Arial Narrow" w:cs="Arial"/>
                <w:lang w:val="es-ES_tradnl"/>
              </w:rPr>
              <w:t>430</w:t>
            </w:r>
          </w:p>
        </w:tc>
        <w:tc>
          <w:tcPr>
            <w:tcW w:w="976" w:type="dxa"/>
            <w:tcBorders>
              <w:top w:val="nil"/>
              <w:left w:val="single" w:sz="4" w:space="0" w:color="BFBFBF"/>
              <w:bottom w:val="nil"/>
              <w:right w:val="nil"/>
            </w:tcBorders>
            <w:shd w:val="clear" w:color="auto" w:fill="auto"/>
            <w:noWrap/>
            <w:vAlign w:val="center"/>
            <w:hideMark/>
          </w:tcPr>
          <w:p w14:paraId="51FFB2C0" w14:textId="0905685D"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106</w:t>
            </w:r>
            <w:r w:rsidR="004E0C43" w:rsidRPr="006E4BE1">
              <w:rPr>
                <w:rFonts w:ascii="Arial Narrow" w:hAnsi="Arial Narrow" w:cs="Arial"/>
                <w:lang w:val="es-ES_tradnl"/>
              </w:rPr>
              <w:t>.</w:t>
            </w:r>
            <w:r w:rsidRPr="006E4BE1">
              <w:rPr>
                <w:rFonts w:ascii="Arial Narrow" w:hAnsi="Arial Narrow" w:cs="Arial"/>
                <w:lang w:val="es-ES_tradnl"/>
              </w:rPr>
              <w:t>200</w:t>
            </w:r>
          </w:p>
        </w:tc>
        <w:tc>
          <w:tcPr>
            <w:tcW w:w="976" w:type="dxa"/>
            <w:tcBorders>
              <w:top w:val="nil"/>
              <w:left w:val="nil"/>
              <w:bottom w:val="nil"/>
              <w:right w:val="nil"/>
            </w:tcBorders>
            <w:shd w:val="clear" w:color="auto" w:fill="auto"/>
            <w:noWrap/>
            <w:vAlign w:val="center"/>
            <w:hideMark/>
          </w:tcPr>
          <w:p w14:paraId="59794FCF" w14:textId="0E3DA910"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112</w:t>
            </w:r>
            <w:r w:rsidR="004E0C43" w:rsidRPr="006E4BE1">
              <w:rPr>
                <w:rFonts w:ascii="Arial Narrow" w:hAnsi="Arial Narrow" w:cs="Arial"/>
                <w:lang w:val="es-ES_tradnl"/>
              </w:rPr>
              <w:t>.</w:t>
            </w:r>
            <w:r w:rsidRPr="006E4BE1">
              <w:rPr>
                <w:rFonts w:ascii="Arial Narrow" w:hAnsi="Arial Narrow" w:cs="Arial"/>
                <w:lang w:val="es-ES_tradnl"/>
              </w:rPr>
              <w:t>500</w:t>
            </w:r>
          </w:p>
        </w:tc>
        <w:tc>
          <w:tcPr>
            <w:tcW w:w="977" w:type="dxa"/>
            <w:tcBorders>
              <w:top w:val="nil"/>
              <w:left w:val="nil"/>
              <w:bottom w:val="nil"/>
              <w:right w:val="nil"/>
            </w:tcBorders>
            <w:shd w:val="clear" w:color="auto" w:fill="auto"/>
            <w:noWrap/>
            <w:vAlign w:val="center"/>
            <w:hideMark/>
          </w:tcPr>
          <w:p w14:paraId="1DF78CCC" w14:textId="62AEEFBB"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218</w:t>
            </w:r>
            <w:r w:rsidR="004E0C43" w:rsidRPr="006E4BE1">
              <w:rPr>
                <w:rFonts w:ascii="Arial Narrow" w:hAnsi="Arial Narrow" w:cs="Arial"/>
                <w:lang w:val="es-ES_tradnl"/>
              </w:rPr>
              <w:t>.</w:t>
            </w:r>
            <w:r w:rsidRPr="006E4BE1">
              <w:rPr>
                <w:rFonts w:ascii="Arial Narrow" w:hAnsi="Arial Narrow" w:cs="Arial"/>
                <w:lang w:val="es-ES_tradnl"/>
              </w:rPr>
              <w:t>700</w:t>
            </w:r>
          </w:p>
        </w:tc>
      </w:tr>
      <w:tr w:rsidR="00D9062C" w:rsidRPr="006E4BE1" w14:paraId="3C4612C1" w14:textId="77777777" w:rsidTr="0025178E">
        <w:trPr>
          <w:cantSplit/>
          <w:trHeight w:val="362"/>
          <w:jc w:val="center"/>
        </w:trPr>
        <w:tc>
          <w:tcPr>
            <w:tcW w:w="2570" w:type="dxa"/>
            <w:tcBorders>
              <w:top w:val="nil"/>
              <w:left w:val="nil"/>
              <w:bottom w:val="nil"/>
              <w:right w:val="nil"/>
            </w:tcBorders>
            <w:shd w:val="clear" w:color="auto" w:fill="auto"/>
            <w:vAlign w:val="center"/>
            <w:hideMark/>
          </w:tcPr>
          <w:p w14:paraId="243CA462" w14:textId="77777777" w:rsidR="00D9062C" w:rsidRPr="006E4BE1" w:rsidRDefault="00D9062C" w:rsidP="00AE50C9">
            <w:pPr>
              <w:jc w:val="left"/>
              <w:rPr>
                <w:rFonts w:ascii="Arial Narrow" w:hAnsi="Arial Narrow" w:cs="Arial"/>
                <w:sz w:val="18"/>
                <w:lang w:val="es-ES_tradnl"/>
              </w:rPr>
            </w:pPr>
            <w:r w:rsidRPr="006E4BE1">
              <w:rPr>
                <w:rFonts w:ascii="Arial Narrow" w:hAnsi="Arial Narrow" w:cs="Arial"/>
                <w:sz w:val="18"/>
                <w:lang w:val="es-ES_tradnl"/>
              </w:rPr>
              <w:t>PLUTO</w:t>
            </w:r>
          </w:p>
        </w:tc>
        <w:tc>
          <w:tcPr>
            <w:tcW w:w="1210" w:type="dxa"/>
            <w:tcBorders>
              <w:top w:val="nil"/>
              <w:left w:val="nil"/>
              <w:bottom w:val="nil"/>
              <w:right w:val="nil"/>
            </w:tcBorders>
            <w:shd w:val="clear" w:color="auto" w:fill="auto"/>
            <w:noWrap/>
            <w:vAlign w:val="center"/>
            <w:hideMark/>
          </w:tcPr>
          <w:p w14:paraId="457AF79A" w14:textId="18BE4580"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750</w:t>
            </w:r>
          </w:p>
        </w:tc>
        <w:tc>
          <w:tcPr>
            <w:tcW w:w="976" w:type="dxa"/>
            <w:tcBorders>
              <w:top w:val="nil"/>
              <w:left w:val="nil"/>
              <w:bottom w:val="nil"/>
              <w:right w:val="nil"/>
            </w:tcBorders>
            <w:shd w:val="clear" w:color="auto" w:fill="auto"/>
            <w:noWrap/>
            <w:vAlign w:val="center"/>
            <w:hideMark/>
          </w:tcPr>
          <w:p w14:paraId="1979AB09" w14:textId="49DAB050"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70</w:t>
            </w:r>
          </w:p>
        </w:tc>
        <w:tc>
          <w:tcPr>
            <w:tcW w:w="976" w:type="dxa"/>
            <w:tcBorders>
              <w:top w:val="nil"/>
              <w:left w:val="nil"/>
              <w:bottom w:val="nil"/>
              <w:right w:val="nil"/>
            </w:tcBorders>
            <w:shd w:val="clear" w:color="auto" w:fill="auto"/>
            <w:noWrap/>
            <w:vAlign w:val="center"/>
            <w:hideMark/>
          </w:tcPr>
          <w:p w14:paraId="6BA334CF" w14:textId="7E570331"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80</w:t>
            </w:r>
          </w:p>
        </w:tc>
        <w:tc>
          <w:tcPr>
            <w:tcW w:w="1072" w:type="dxa"/>
            <w:tcBorders>
              <w:top w:val="nil"/>
              <w:left w:val="nil"/>
              <w:bottom w:val="nil"/>
              <w:right w:val="nil"/>
            </w:tcBorders>
            <w:shd w:val="clear" w:color="auto" w:fill="auto"/>
            <w:noWrap/>
            <w:vAlign w:val="center"/>
            <w:hideMark/>
          </w:tcPr>
          <w:p w14:paraId="6F2DE068" w14:textId="5A2AEEBE"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150</w:t>
            </w:r>
          </w:p>
        </w:tc>
        <w:tc>
          <w:tcPr>
            <w:tcW w:w="976" w:type="dxa"/>
            <w:tcBorders>
              <w:top w:val="nil"/>
              <w:left w:val="single" w:sz="4" w:space="0" w:color="BFBFBF"/>
              <w:bottom w:val="single" w:sz="4" w:space="0" w:color="BFBFBF"/>
              <w:right w:val="nil"/>
            </w:tcBorders>
            <w:shd w:val="clear" w:color="auto" w:fill="auto"/>
            <w:noWrap/>
            <w:vAlign w:val="center"/>
            <w:hideMark/>
          </w:tcPr>
          <w:p w14:paraId="4E06F5AF" w14:textId="2E9EEAEA"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52</w:t>
            </w:r>
            <w:r w:rsidR="004E0C43" w:rsidRPr="006E4BE1">
              <w:rPr>
                <w:rFonts w:ascii="Arial Narrow" w:hAnsi="Arial Narrow" w:cs="Arial"/>
                <w:lang w:val="es-ES_tradnl"/>
              </w:rPr>
              <w:t>.</w:t>
            </w:r>
            <w:r w:rsidRPr="006E4BE1">
              <w:rPr>
                <w:rFonts w:ascii="Arial Narrow" w:hAnsi="Arial Narrow" w:cs="Arial"/>
                <w:lang w:val="es-ES_tradnl"/>
              </w:rPr>
              <w:t>500</w:t>
            </w:r>
          </w:p>
        </w:tc>
        <w:tc>
          <w:tcPr>
            <w:tcW w:w="976" w:type="dxa"/>
            <w:tcBorders>
              <w:top w:val="nil"/>
              <w:left w:val="nil"/>
              <w:bottom w:val="nil"/>
              <w:right w:val="nil"/>
            </w:tcBorders>
            <w:shd w:val="clear" w:color="auto" w:fill="auto"/>
            <w:noWrap/>
            <w:vAlign w:val="center"/>
            <w:hideMark/>
          </w:tcPr>
          <w:p w14:paraId="7C0C16CF" w14:textId="2690A27B"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60</w:t>
            </w:r>
            <w:r w:rsidR="004E0C43" w:rsidRPr="006E4BE1">
              <w:rPr>
                <w:rFonts w:ascii="Arial Narrow" w:hAnsi="Arial Narrow" w:cs="Arial"/>
                <w:lang w:val="es-ES_tradnl"/>
              </w:rPr>
              <w:t>.</w:t>
            </w:r>
            <w:r w:rsidRPr="006E4BE1">
              <w:rPr>
                <w:rFonts w:ascii="Arial Narrow" w:hAnsi="Arial Narrow" w:cs="Arial"/>
                <w:lang w:val="es-ES_tradnl"/>
              </w:rPr>
              <w:t>000</w:t>
            </w:r>
          </w:p>
        </w:tc>
        <w:tc>
          <w:tcPr>
            <w:tcW w:w="977" w:type="dxa"/>
            <w:tcBorders>
              <w:top w:val="nil"/>
              <w:left w:val="nil"/>
              <w:bottom w:val="nil"/>
              <w:right w:val="nil"/>
            </w:tcBorders>
            <w:shd w:val="clear" w:color="auto" w:fill="auto"/>
            <w:noWrap/>
            <w:vAlign w:val="center"/>
            <w:hideMark/>
          </w:tcPr>
          <w:p w14:paraId="76D3F40A" w14:textId="44692E74" w:rsidR="00D9062C" w:rsidRPr="006E4BE1" w:rsidRDefault="00D9062C" w:rsidP="00AE50C9">
            <w:pPr>
              <w:jc w:val="right"/>
              <w:rPr>
                <w:rFonts w:ascii="Arial Narrow" w:hAnsi="Arial Narrow" w:cs="Arial"/>
                <w:lang w:val="es-ES_tradnl"/>
              </w:rPr>
            </w:pPr>
            <w:r w:rsidRPr="006E4BE1">
              <w:rPr>
                <w:rFonts w:ascii="Arial Narrow" w:hAnsi="Arial Narrow" w:cs="Arial"/>
                <w:lang w:val="es-ES_tradnl"/>
              </w:rPr>
              <w:t>112</w:t>
            </w:r>
            <w:r w:rsidR="004E0C43" w:rsidRPr="006E4BE1">
              <w:rPr>
                <w:rFonts w:ascii="Arial Narrow" w:hAnsi="Arial Narrow" w:cs="Arial"/>
                <w:lang w:val="es-ES_tradnl"/>
              </w:rPr>
              <w:t>.</w:t>
            </w:r>
            <w:r w:rsidRPr="006E4BE1">
              <w:rPr>
                <w:rFonts w:ascii="Arial Narrow" w:hAnsi="Arial Narrow" w:cs="Arial"/>
                <w:lang w:val="es-ES_tradnl"/>
              </w:rPr>
              <w:t>500</w:t>
            </w:r>
          </w:p>
        </w:tc>
      </w:tr>
      <w:tr w:rsidR="00D9062C" w:rsidRPr="006E4BE1" w14:paraId="7AF1AD92" w14:textId="77777777" w:rsidTr="0025178E">
        <w:trPr>
          <w:cantSplit/>
          <w:trHeight w:val="384"/>
          <w:jc w:val="center"/>
        </w:trPr>
        <w:tc>
          <w:tcPr>
            <w:tcW w:w="2570" w:type="dxa"/>
            <w:tcBorders>
              <w:top w:val="single" w:sz="4" w:space="0" w:color="BFBFBF"/>
              <w:left w:val="nil"/>
              <w:bottom w:val="single" w:sz="8" w:space="0" w:color="BFBFBF"/>
              <w:right w:val="nil"/>
            </w:tcBorders>
            <w:shd w:val="clear" w:color="auto" w:fill="auto"/>
            <w:vAlign w:val="center"/>
            <w:hideMark/>
          </w:tcPr>
          <w:p w14:paraId="674A37F9" w14:textId="10AB2279" w:rsidR="00D9062C" w:rsidRPr="006E4BE1" w:rsidRDefault="00EC1F3A" w:rsidP="00AE50C9">
            <w:pPr>
              <w:jc w:val="left"/>
              <w:rPr>
                <w:rFonts w:ascii="Arial Narrow" w:hAnsi="Arial Narrow" w:cs="Arial"/>
                <w:b/>
                <w:bCs/>
                <w:sz w:val="18"/>
                <w:lang w:val="es-ES_tradnl"/>
              </w:rPr>
            </w:pPr>
            <w:r w:rsidRPr="006E4BE1">
              <w:rPr>
                <w:rFonts w:ascii="Arial Narrow" w:hAnsi="Arial Narrow" w:cs="Arial"/>
                <w:b/>
                <w:bCs/>
                <w:sz w:val="18"/>
                <w:lang w:val="es-ES_tradnl"/>
              </w:rPr>
              <w:t xml:space="preserve">Total de </w:t>
            </w:r>
            <w:r w:rsidR="00FE64A1" w:rsidRPr="006E4BE1">
              <w:rPr>
                <w:rFonts w:ascii="Arial Narrow" w:hAnsi="Arial Narrow" w:cs="Arial"/>
                <w:b/>
                <w:bCs/>
                <w:sz w:val="18"/>
                <w:lang w:val="es-ES_tradnl"/>
              </w:rPr>
              <w:t>UPOV PRISMA</w:t>
            </w:r>
            <w:r w:rsidRPr="006E4BE1">
              <w:rPr>
                <w:rFonts w:ascii="Arial Narrow" w:hAnsi="Arial Narrow" w:cs="Arial"/>
                <w:b/>
                <w:bCs/>
                <w:sz w:val="18"/>
                <w:lang w:val="es-ES_tradnl"/>
              </w:rPr>
              <w:t xml:space="preserve"> y PLUTO</w:t>
            </w:r>
          </w:p>
        </w:tc>
        <w:tc>
          <w:tcPr>
            <w:tcW w:w="1210" w:type="dxa"/>
            <w:tcBorders>
              <w:top w:val="single" w:sz="4" w:space="0" w:color="BFBFBF"/>
              <w:left w:val="nil"/>
              <w:bottom w:val="single" w:sz="8" w:space="0" w:color="BFBFBF"/>
              <w:right w:val="nil"/>
            </w:tcBorders>
            <w:shd w:val="clear" w:color="auto" w:fill="auto"/>
            <w:vAlign w:val="center"/>
            <w:hideMark/>
          </w:tcPr>
          <w:p w14:paraId="25523EB3" w14:textId="06ACA9AD" w:rsidR="00D9062C" w:rsidRPr="006E4BE1" w:rsidRDefault="00D9062C" w:rsidP="00AE50C9">
            <w:pPr>
              <w:jc w:val="right"/>
              <w:rPr>
                <w:rFonts w:ascii="Arial Narrow" w:hAnsi="Arial Narrow" w:cs="Arial"/>
                <w:b/>
                <w:bCs/>
                <w:lang w:val="es-ES_tradnl"/>
              </w:rPr>
            </w:pPr>
          </w:p>
        </w:tc>
        <w:tc>
          <w:tcPr>
            <w:tcW w:w="976" w:type="dxa"/>
            <w:tcBorders>
              <w:top w:val="single" w:sz="4" w:space="0" w:color="BFBFBF"/>
              <w:left w:val="nil"/>
              <w:bottom w:val="single" w:sz="8" w:space="0" w:color="BFBFBF"/>
              <w:right w:val="nil"/>
            </w:tcBorders>
            <w:shd w:val="clear" w:color="auto" w:fill="auto"/>
            <w:noWrap/>
            <w:vAlign w:val="center"/>
            <w:hideMark/>
          </w:tcPr>
          <w:p w14:paraId="5F3C1A70" w14:textId="28F614E9" w:rsidR="00D9062C" w:rsidRPr="006E4BE1" w:rsidRDefault="00D9062C" w:rsidP="00AE50C9">
            <w:pPr>
              <w:jc w:val="right"/>
              <w:rPr>
                <w:rFonts w:ascii="Arial Narrow" w:hAnsi="Arial Narrow" w:cs="Arial"/>
                <w:b/>
                <w:bCs/>
                <w:lang w:val="es-ES_tradnl"/>
              </w:rPr>
            </w:pPr>
          </w:p>
        </w:tc>
        <w:tc>
          <w:tcPr>
            <w:tcW w:w="976" w:type="dxa"/>
            <w:tcBorders>
              <w:top w:val="single" w:sz="4" w:space="0" w:color="BFBFBF"/>
              <w:left w:val="nil"/>
              <w:bottom w:val="single" w:sz="8" w:space="0" w:color="BFBFBF"/>
              <w:right w:val="nil"/>
            </w:tcBorders>
            <w:shd w:val="clear" w:color="auto" w:fill="auto"/>
            <w:noWrap/>
            <w:vAlign w:val="center"/>
            <w:hideMark/>
          </w:tcPr>
          <w:p w14:paraId="1FCF2A7C" w14:textId="038CF7EE" w:rsidR="00D9062C" w:rsidRPr="006E4BE1" w:rsidRDefault="00D9062C" w:rsidP="00AE50C9">
            <w:pPr>
              <w:jc w:val="right"/>
              <w:rPr>
                <w:rFonts w:ascii="Arial Narrow" w:hAnsi="Arial Narrow" w:cs="Arial"/>
                <w:b/>
                <w:bCs/>
                <w:lang w:val="es-ES_tradnl"/>
              </w:rPr>
            </w:pPr>
          </w:p>
        </w:tc>
        <w:tc>
          <w:tcPr>
            <w:tcW w:w="1072" w:type="dxa"/>
            <w:tcBorders>
              <w:top w:val="single" w:sz="4" w:space="0" w:color="BFBFBF"/>
              <w:left w:val="nil"/>
              <w:bottom w:val="single" w:sz="8" w:space="0" w:color="BFBFBF"/>
              <w:right w:val="nil"/>
            </w:tcBorders>
            <w:shd w:val="clear" w:color="auto" w:fill="auto"/>
            <w:noWrap/>
            <w:vAlign w:val="center"/>
            <w:hideMark/>
          </w:tcPr>
          <w:p w14:paraId="699D8AD2" w14:textId="52100B4D" w:rsidR="00D9062C" w:rsidRPr="006E4BE1" w:rsidRDefault="00D9062C" w:rsidP="00AE50C9">
            <w:pPr>
              <w:jc w:val="right"/>
              <w:rPr>
                <w:rFonts w:ascii="Arial Narrow" w:hAnsi="Arial Narrow" w:cs="Arial"/>
                <w:b/>
                <w:bCs/>
                <w:lang w:val="es-ES_tradnl"/>
              </w:rPr>
            </w:pPr>
          </w:p>
        </w:tc>
        <w:tc>
          <w:tcPr>
            <w:tcW w:w="976" w:type="dxa"/>
            <w:tcBorders>
              <w:top w:val="nil"/>
              <w:left w:val="nil"/>
              <w:bottom w:val="single" w:sz="8" w:space="0" w:color="BFBFBF"/>
              <w:right w:val="nil"/>
            </w:tcBorders>
            <w:shd w:val="clear" w:color="auto" w:fill="auto"/>
            <w:noWrap/>
            <w:vAlign w:val="center"/>
            <w:hideMark/>
          </w:tcPr>
          <w:p w14:paraId="5BE387D5" w14:textId="3A48BBAE" w:rsidR="00D9062C" w:rsidRPr="006E4BE1" w:rsidRDefault="00D9062C" w:rsidP="00AE50C9">
            <w:pPr>
              <w:jc w:val="right"/>
              <w:rPr>
                <w:rFonts w:ascii="Arial Narrow" w:hAnsi="Arial Narrow" w:cs="Arial"/>
                <w:b/>
                <w:bCs/>
                <w:lang w:val="es-ES_tradnl"/>
              </w:rPr>
            </w:pPr>
            <w:r w:rsidRPr="006E4BE1">
              <w:rPr>
                <w:rFonts w:ascii="Arial Narrow" w:hAnsi="Arial Narrow" w:cs="Arial"/>
                <w:b/>
                <w:bCs/>
                <w:lang w:val="es-ES_tradnl"/>
              </w:rPr>
              <w:t>158</w:t>
            </w:r>
            <w:r w:rsidR="004E0C43" w:rsidRPr="006E4BE1">
              <w:rPr>
                <w:rFonts w:ascii="Arial Narrow" w:hAnsi="Arial Narrow" w:cs="Arial"/>
                <w:b/>
                <w:bCs/>
                <w:lang w:val="es-ES_tradnl"/>
              </w:rPr>
              <w:t>.</w:t>
            </w:r>
            <w:r w:rsidRPr="006E4BE1">
              <w:rPr>
                <w:rFonts w:ascii="Arial Narrow" w:hAnsi="Arial Narrow" w:cs="Arial"/>
                <w:b/>
                <w:bCs/>
                <w:lang w:val="es-ES_tradnl"/>
              </w:rPr>
              <w:t>700</w:t>
            </w:r>
          </w:p>
        </w:tc>
        <w:tc>
          <w:tcPr>
            <w:tcW w:w="976" w:type="dxa"/>
            <w:tcBorders>
              <w:top w:val="single" w:sz="4" w:space="0" w:color="BFBFBF"/>
              <w:left w:val="nil"/>
              <w:bottom w:val="single" w:sz="8" w:space="0" w:color="BFBFBF"/>
              <w:right w:val="nil"/>
            </w:tcBorders>
            <w:shd w:val="clear" w:color="auto" w:fill="auto"/>
            <w:noWrap/>
            <w:vAlign w:val="center"/>
            <w:hideMark/>
          </w:tcPr>
          <w:p w14:paraId="42DEE5A6" w14:textId="7B699D0B" w:rsidR="00D9062C" w:rsidRPr="006E4BE1" w:rsidRDefault="00D9062C" w:rsidP="00AE50C9">
            <w:pPr>
              <w:jc w:val="right"/>
              <w:rPr>
                <w:rFonts w:ascii="Arial Narrow" w:hAnsi="Arial Narrow" w:cs="Arial"/>
                <w:b/>
                <w:bCs/>
                <w:lang w:val="es-ES_tradnl"/>
              </w:rPr>
            </w:pPr>
            <w:r w:rsidRPr="006E4BE1">
              <w:rPr>
                <w:rFonts w:ascii="Arial Narrow" w:hAnsi="Arial Narrow" w:cs="Arial"/>
                <w:b/>
                <w:bCs/>
                <w:lang w:val="es-ES_tradnl"/>
              </w:rPr>
              <w:t>172</w:t>
            </w:r>
            <w:r w:rsidR="004E0C43" w:rsidRPr="006E4BE1">
              <w:rPr>
                <w:rFonts w:ascii="Arial Narrow" w:hAnsi="Arial Narrow" w:cs="Arial"/>
                <w:b/>
                <w:bCs/>
                <w:lang w:val="es-ES_tradnl"/>
              </w:rPr>
              <w:t>.</w:t>
            </w:r>
            <w:r w:rsidRPr="006E4BE1">
              <w:rPr>
                <w:rFonts w:ascii="Arial Narrow" w:hAnsi="Arial Narrow" w:cs="Arial"/>
                <w:b/>
                <w:bCs/>
                <w:lang w:val="es-ES_tradnl"/>
              </w:rPr>
              <w:t>500</w:t>
            </w:r>
          </w:p>
        </w:tc>
        <w:tc>
          <w:tcPr>
            <w:tcW w:w="977" w:type="dxa"/>
            <w:tcBorders>
              <w:top w:val="single" w:sz="4" w:space="0" w:color="BFBFBF"/>
              <w:left w:val="nil"/>
              <w:bottom w:val="single" w:sz="8" w:space="0" w:color="BFBFBF"/>
              <w:right w:val="nil"/>
            </w:tcBorders>
            <w:shd w:val="clear" w:color="auto" w:fill="auto"/>
            <w:noWrap/>
            <w:vAlign w:val="center"/>
            <w:hideMark/>
          </w:tcPr>
          <w:p w14:paraId="7C1CE106" w14:textId="65830DD9" w:rsidR="00D9062C" w:rsidRPr="006E4BE1" w:rsidRDefault="00D9062C" w:rsidP="00AE50C9">
            <w:pPr>
              <w:jc w:val="right"/>
              <w:rPr>
                <w:rFonts w:ascii="Arial Narrow" w:hAnsi="Arial Narrow" w:cs="Arial"/>
                <w:b/>
                <w:bCs/>
                <w:lang w:val="es-ES_tradnl"/>
              </w:rPr>
            </w:pPr>
            <w:r w:rsidRPr="006E4BE1">
              <w:rPr>
                <w:rFonts w:ascii="Arial Narrow" w:hAnsi="Arial Narrow" w:cs="Arial"/>
                <w:b/>
                <w:bCs/>
                <w:lang w:val="es-ES_tradnl"/>
              </w:rPr>
              <w:t>331</w:t>
            </w:r>
            <w:r w:rsidR="004E0C43" w:rsidRPr="006E4BE1">
              <w:rPr>
                <w:rFonts w:ascii="Arial Narrow" w:hAnsi="Arial Narrow" w:cs="Arial"/>
                <w:b/>
                <w:bCs/>
                <w:lang w:val="es-ES_tradnl"/>
              </w:rPr>
              <w:t>.</w:t>
            </w:r>
            <w:r w:rsidRPr="006E4BE1">
              <w:rPr>
                <w:rFonts w:ascii="Arial Narrow" w:hAnsi="Arial Narrow" w:cs="Arial"/>
                <w:b/>
                <w:bCs/>
                <w:lang w:val="es-ES_tradnl"/>
              </w:rPr>
              <w:t>200</w:t>
            </w:r>
          </w:p>
        </w:tc>
      </w:tr>
    </w:tbl>
    <w:p w14:paraId="43F50904" w14:textId="77777777" w:rsidR="001240C5" w:rsidRPr="006E4BE1" w:rsidRDefault="001240C5" w:rsidP="00AE50C9">
      <w:pPr>
        <w:spacing w:after="120"/>
        <w:ind w:left="426" w:hanging="426"/>
        <w:jc w:val="left"/>
        <w:rPr>
          <w:i/>
          <w:sz w:val="18"/>
          <w:szCs w:val="16"/>
          <w:lang w:val="es-ES_tradnl"/>
        </w:rPr>
      </w:pPr>
    </w:p>
    <w:p w14:paraId="034BEF32" w14:textId="7EF366AF" w:rsidR="0019254D" w:rsidRPr="006E4BE1" w:rsidRDefault="00EC1F3A" w:rsidP="00362930">
      <w:pPr>
        <w:spacing w:after="240"/>
        <w:ind w:left="284" w:right="284"/>
        <w:rPr>
          <w:i/>
          <w:sz w:val="18"/>
          <w:szCs w:val="16"/>
          <w:lang w:val="es-ES_tradnl"/>
        </w:rPr>
      </w:pPr>
      <w:r w:rsidRPr="006E4BE1">
        <w:rPr>
          <w:i/>
          <w:sz w:val="18"/>
          <w:szCs w:val="16"/>
          <w:lang w:val="es-ES_tradnl"/>
        </w:rPr>
        <w:t xml:space="preserve">Se prevé un aumento sustancial de los ingresos de </w:t>
      </w:r>
      <w:r w:rsidR="00FE64A1" w:rsidRPr="006E4BE1">
        <w:rPr>
          <w:i/>
          <w:sz w:val="18"/>
          <w:szCs w:val="16"/>
          <w:lang w:val="es-ES_tradnl"/>
        </w:rPr>
        <w:t>UPOV PRISMA</w:t>
      </w:r>
      <w:r w:rsidRPr="006E4BE1">
        <w:rPr>
          <w:i/>
          <w:sz w:val="18"/>
          <w:szCs w:val="16"/>
          <w:lang w:val="es-ES_tradnl"/>
        </w:rPr>
        <w:t xml:space="preserve"> a partir de enero de 2021 como consecuencia de una mayor cobertura y la introducción de una función de carga masiva</w:t>
      </w:r>
      <w:r w:rsidR="00FE64A1" w:rsidRPr="006E4BE1">
        <w:rPr>
          <w:i/>
          <w:sz w:val="18"/>
          <w:szCs w:val="16"/>
          <w:lang w:val="es-ES_tradnl"/>
        </w:rPr>
        <w:t xml:space="preserve">.  </w:t>
      </w:r>
      <w:r w:rsidRPr="006E4BE1">
        <w:rPr>
          <w:i/>
          <w:sz w:val="18"/>
          <w:szCs w:val="16"/>
          <w:lang w:val="es-ES_tradnl"/>
        </w:rPr>
        <w:t xml:space="preserve">La repercusión de esos cambios se observa en el número de solicitudes presentadas a través de </w:t>
      </w:r>
      <w:r w:rsidR="00FE64A1" w:rsidRPr="006E4BE1">
        <w:rPr>
          <w:i/>
          <w:sz w:val="18"/>
          <w:szCs w:val="16"/>
          <w:lang w:val="es-ES_tradnl"/>
        </w:rPr>
        <w:t>UPOV PRISMA</w:t>
      </w:r>
      <w:r w:rsidRPr="006E4BE1">
        <w:rPr>
          <w:i/>
          <w:sz w:val="18"/>
          <w:szCs w:val="16"/>
          <w:lang w:val="es-ES_tradnl"/>
        </w:rPr>
        <w:t xml:space="preserve"> </w:t>
      </w:r>
      <w:r w:rsidR="00685E2C" w:rsidRPr="006E4BE1">
        <w:rPr>
          <w:i/>
          <w:sz w:val="18"/>
          <w:szCs w:val="16"/>
          <w:lang w:val="es-ES_tradnl"/>
        </w:rPr>
        <w:t>a partir de enero de 2021 [</w:t>
      </w:r>
      <w:r w:rsidR="005B6F09">
        <w:rPr>
          <w:i/>
          <w:sz w:val="18"/>
          <w:szCs w:val="16"/>
          <w:lang w:val="es-ES_tradnl"/>
        </w:rPr>
        <w:t>Nota: El </w:t>
      </w:r>
      <w:r w:rsidR="001523C1" w:rsidRPr="006E4BE1">
        <w:rPr>
          <w:i/>
          <w:sz w:val="18"/>
          <w:szCs w:val="16"/>
          <w:lang w:val="es-ES_tradnl"/>
        </w:rPr>
        <w:t>elevadísimo número de solicitudes en junio de 2021 se debe a una disposición transitoria en el Reino Unido.</w:t>
      </w:r>
      <w:r w:rsidR="00685E2C" w:rsidRPr="006E4BE1">
        <w:rPr>
          <w:i/>
          <w:sz w:val="18"/>
          <w:szCs w:val="16"/>
          <w:lang w:val="es-ES_tradnl"/>
        </w:rPr>
        <w:t xml:space="preserve"> </w:t>
      </w:r>
      <w:r w:rsidR="005B6F09">
        <w:rPr>
          <w:i/>
          <w:sz w:val="18"/>
          <w:szCs w:val="16"/>
          <w:lang w:val="es-ES_tradnl"/>
        </w:rPr>
        <w:t>En </w:t>
      </w:r>
      <w:r w:rsidR="009E6B8D" w:rsidRPr="006E4BE1">
        <w:rPr>
          <w:i/>
          <w:sz w:val="18"/>
          <w:szCs w:val="16"/>
          <w:lang w:val="es-ES_tradnl"/>
        </w:rPr>
        <w:t>el caso de las variedades con una solicitud de derechos de obtención vegetal en la Unión Europea no resuelta a 31 de diciembre de 2020 y de una solicitud posterior en el Reino Unido a 30 de junio de 2021, la novedad se mantuvo si la primera comercialización en la Unión Europea o en el Reino Unido no fue más de un año antes de la fecha de solicitud de derechos en la Unión Europea o de la fecha de prioridad si es anterior</w:t>
      </w:r>
      <w:r w:rsidR="00685E2C" w:rsidRPr="006E4BE1">
        <w:rPr>
          <w:i/>
          <w:sz w:val="18"/>
          <w:szCs w:val="16"/>
          <w:lang w:val="es-ES_tradnl"/>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313"/>
        <w:gridCol w:w="1313"/>
        <w:gridCol w:w="1314"/>
        <w:gridCol w:w="1314"/>
        <w:gridCol w:w="1314"/>
      </w:tblGrid>
      <w:tr w:rsidR="00ED4F07" w:rsidRPr="006E4BE1" w14:paraId="4E8D4C3B" w14:textId="77777777" w:rsidTr="00FD46BC">
        <w:trPr>
          <w:trHeight w:val="399"/>
          <w:jc w:val="center"/>
        </w:trPr>
        <w:tc>
          <w:tcPr>
            <w:tcW w:w="1353" w:type="dxa"/>
            <w:shd w:val="clear" w:color="auto" w:fill="C6CFD7" w:themeFill="accent3" w:themeFillTint="66"/>
          </w:tcPr>
          <w:p w14:paraId="1CC9A809" w14:textId="77777777" w:rsidR="00ED4F07" w:rsidRPr="006E4BE1" w:rsidRDefault="00ED4F07" w:rsidP="00AE50C9">
            <w:pPr>
              <w:jc w:val="left"/>
              <w:rPr>
                <w:rFonts w:ascii="Arial Narrow" w:hAnsi="Arial Narrow"/>
                <w:b/>
                <w:lang w:val="es-ES_tradnl"/>
              </w:rPr>
            </w:pPr>
          </w:p>
        </w:tc>
        <w:tc>
          <w:tcPr>
            <w:tcW w:w="1313" w:type="dxa"/>
            <w:shd w:val="clear" w:color="auto" w:fill="C6CFD7" w:themeFill="accent3" w:themeFillTint="66"/>
            <w:vAlign w:val="center"/>
          </w:tcPr>
          <w:p w14:paraId="7F4020A8" w14:textId="77777777" w:rsidR="00ED4F07" w:rsidRPr="006E4BE1" w:rsidRDefault="00ED4F07" w:rsidP="00AE50C9">
            <w:pPr>
              <w:jc w:val="center"/>
              <w:rPr>
                <w:rFonts w:ascii="Arial Narrow" w:hAnsi="Arial Narrow"/>
                <w:b/>
                <w:lang w:val="es-ES_tradnl"/>
              </w:rPr>
            </w:pPr>
            <w:r w:rsidRPr="006E4BE1">
              <w:rPr>
                <w:rFonts w:ascii="Arial Narrow" w:hAnsi="Arial Narrow"/>
                <w:b/>
                <w:lang w:val="es-ES_tradnl"/>
              </w:rPr>
              <w:t>2017</w:t>
            </w:r>
          </w:p>
        </w:tc>
        <w:tc>
          <w:tcPr>
            <w:tcW w:w="1313" w:type="dxa"/>
            <w:shd w:val="clear" w:color="auto" w:fill="C6CFD7" w:themeFill="accent3" w:themeFillTint="66"/>
            <w:vAlign w:val="center"/>
          </w:tcPr>
          <w:p w14:paraId="5A31C07F" w14:textId="77777777" w:rsidR="00ED4F07" w:rsidRPr="006E4BE1" w:rsidRDefault="00ED4F07" w:rsidP="00AE50C9">
            <w:pPr>
              <w:jc w:val="center"/>
              <w:rPr>
                <w:rFonts w:ascii="Arial Narrow" w:hAnsi="Arial Narrow"/>
                <w:b/>
                <w:lang w:val="es-ES_tradnl"/>
              </w:rPr>
            </w:pPr>
            <w:r w:rsidRPr="006E4BE1">
              <w:rPr>
                <w:rFonts w:ascii="Arial Narrow" w:hAnsi="Arial Narrow"/>
                <w:b/>
                <w:lang w:val="es-ES_tradnl"/>
              </w:rPr>
              <w:t>2018</w:t>
            </w:r>
          </w:p>
        </w:tc>
        <w:tc>
          <w:tcPr>
            <w:tcW w:w="1314" w:type="dxa"/>
            <w:shd w:val="clear" w:color="auto" w:fill="C6CFD7" w:themeFill="accent3" w:themeFillTint="66"/>
            <w:vAlign w:val="center"/>
          </w:tcPr>
          <w:p w14:paraId="41B29E87" w14:textId="77777777" w:rsidR="00ED4F07" w:rsidRPr="006E4BE1" w:rsidRDefault="00ED4F07" w:rsidP="00AE50C9">
            <w:pPr>
              <w:jc w:val="center"/>
              <w:rPr>
                <w:rFonts w:ascii="Arial Narrow" w:hAnsi="Arial Narrow"/>
                <w:b/>
                <w:lang w:val="es-ES_tradnl"/>
              </w:rPr>
            </w:pPr>
            <w:r w:rsidRPr="006E4BE1">
              <w:rPr>
                <w:rFonts w:ascii="Arial Narrow" w:hAnsi="Arial Narrow"/>
                <w:b/>
                <w:lang w:val="es-ES_tradnl"/>
              </w:rPr>
              <w:t>2019</w:t>
            </w:r>
          </w:p>
        </w:tc>
        <w:tc>
          <w:tcPr>
            <w:tcW w:w="1314" w:type="dxa"/>
            <w:shd w:val="clear" w:color="auto" w:fill="C6CFD7" w:themeFill="accent3" w:themeFillTint="66"/>
            <w:vAlign w:val="center"/>
          </w:tcPr>
          <w:p w14:paraId="7C788B70" w14:textId="77777777" w:rsidR="00ED4F07" w:rsidRPr="006E4BE1" w:rsidRDefault="00ED4F07" w:rsidP="00AE50C9">
            <w:pPr>
              <w:jc w:val="center"/>
              <w:rPr>
                <w:rFonts w:ascii="Arial Narrow" w:hAnsi="Arial Narrow"/>
                <w:b/>
                <w:lang w:val="es-ES_tradnl"/>
              </w:rPr>
            </w:pPr>
            <w:r w:rsidRPr="006E4BE1">
              <w:rPr>
                <w:rFonts w:ascii="Arial Narrow" w:hAnsi="Arial Narrow"/>
                <w:b/>
                <w:lang w:val="es-ES_tradnl"/>
              </w:rPr>
              <w:t>2020</w:t>
            </w:r>
          </w:p>
        </w:tc>
        <w:tc>
          <w:tcPr>
            <w:tcW w:w="1314" w:type="dxa"/>
            <w:shd w:val="clear" w:color="auto" w:fill="C6CFD7" w:themeFill="accent3" w:themeFillTint="66"/>
            <w:vAlign w:val="center"/>
          </w:tcPr>
          <w:p w14:paraId="378A4531" w14:textId="77777777" w:rsidR="00ED4F07" w:rsidRPr="006E4BE1" w:rsidRDefault="00ED4F07" w:rsidP="00AE50C9">
            <w:pPr>
              <w:jc w:val="center"/>
              <w:rPr>
                <w:rFonts w:ascii="Arial Narrow" w:hAnsi="Arial Narrow"/>
                <w:b/>
                <w:lang w:val="es-ES_tradnl"/>
              </w:rPr>
            </w:pPr>
            <w:r w:rsidRPr="006E4BE1">
              <w:rPr>
                <w:rFonts w:ascii="Arial Narrow" w:hAnsi="Arial Narrow"/>
                <w:b/>
                <w:lang w:val="es-ES_tradnl"/>
              </w:rPr>
              <w:t>2021</w:t>
            </w:r>
          </w:p>
        </w:tc>
      </w:tr>
      <w:tr w:rsidR="00B60E92" w:rsidRPr="006E4BE1" w14:paraId="6F3700DA" w14:textId="77777777" w:rsidTr="00FD46BC">
        <w:trPr>
          <w:trHeight w:val="340"/>
          <w:jc w:val="center"/>
        </w:trPr>
        <w:tc>
          <w:tcPr>
            <w:tcW w:w="1353" w:type="dxa"/>
            <w:vAlign w:val="center"/>
          </w:tcPr>
          <w:p w14:paraId="1DB24EB3" w14:textId="76E20828" w:rsidR="00B60E92" w:rsidRPr="006E4BE1" w:rsidRDefault="00B60E92" w:rsidP="00B60E92">
            <w:pPr>
              <w:jc w:val="left"/>
              <w:rPr>
                <w:rFonts w:ascii="Arial Narrow" w:hAnsi="Arial Narrow"/>
                <w:i/>
                <w:lang w:val="es-ES_tradnl"/>
              </w:rPr>
            </w:pPr>
            <w:r w:rsidRPr="006E4BE1">
              <w:rPr>
                <w:rFonts w:ascii="Arial Narrow" w:hAnsi="Arial Narrow"/>
                <w:i/>
                <w:lang w:val="es-ES_tradnl"/>
              </w:rPr>
              <w:t>Enero</w:t>
            </w:r>
          </w:p>
        </w:tc>
        <w:tc>
          <w:tcPr>
            <w:tcW w:w="1313" w:type="dxa"/>
            <w:vAlign w:val="center"/>
          </w:tcPr>
          <w:p w14:paraId="5C81E5A5"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w:t>
            </w:r>
          </w:p>
        </w:tc>
        <w:tc>
          <w:tcPr>
            <w:tcW w:w="1313" w:type="dxa"/>
            <w:vAlign w:val="center"/>
          </w:tcPr>
          <w:p w14:paraId="7E53C2C1" w14:textId="77777777" w:rsidR="00B60E92" w:rsidRPr="006E4BE1" w:rsidRDefault="00B60E92" w:rsidP="00B60E92">
            <w:pPr>
              <w:ind w:right="284"/>
              <w:jc w:val="right"/>
              <w:rPr>
                <w:rFonts w:ascii="Arial Narrow" w:hAnsi="Arial Narrow"/>
                <w:i/>
                <w:lang w:val="es-ES_tradnl"/>
              </w:rPr>
            </w:pPr>
          </w:p>
        </w:tc>
        <w:tc>
          <w:tcPr>
            <w:tcW w:w="1314" w:type="dxa"/>
            <w:vAlign w:val="center"/>
          </w:tcPr>
          <w:p w14:paraId="6E6361D1"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7</w:t>
            </w:r>
          </w:p>
        </w:tc>
        <w:tc>
          <w:tcPr>
            <w:tcW w:w="1314" w:type="dxa"/>
            <w:vAlign w:val="center"/>
          </w:tcPr>
          <w:p w14:paraId="75AC8AEE"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18</w:t>
            </w:r>
          </w:p>
        </w:tc>
        <w:tc>
          <w:tcPr>
            <w:tcW w:w="1314" w:type="dxa"/>
            <w:vAlign w:val="center"/>
          </w:tcPr>
          <w:p w14:paraId="775ABDF9" w14:textId="34A47EEA"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109</w:t>
            </w:r>
          </w:p>
        </w:tc>
      </w:tr>
      <w:tr w:rsidR="00B60E92" w:rsidRPr="006E4BE1" w14:paraId="3F59AB06" w14:textId="77777777" w:rsidTr="00FD46BC">
        <w:trPr>
          <w:trHeight w:val="340"/>
          <w:jc w:val="center"/>
        </w:trPr>
        <w:tc>
          <w:tcPr>
            <w:tcW w:w="1353" w:type="dxa"/>
            <w:vAlign w:val="center"/>
          </w:tcPr>
          <w:p w14:paraId="2C288DBA" w14:textId="0E24DF91" w:rsidR="00B60E92" w:rsidRPr="006E4BE1" w:rsidRDefault="00B60E92" w:rsidP="00B60E92">
            <w:pPr>
              <w:jc w:val="left"/>
              <w:rPr>
                <w:rFonts w:ascii="Arial Narrow" w:hAnsi="Arial Narrow"/>
                <w:i/>
                <w:lang w:val="es-ES_tradnl"/>
              </w:rPr>
            </w:pPr>
            <w:r w:rsidRPr="006E4BE1">
              <w:rPr>
                <w:rFonts w:ascii="Arial Narrow" w:hAnsi="Arial Narrow"/>
                <w:i/>
                <w:lang w:val="es-ES_tradnl"/>
              </w:rPr>
              <w:t>Febrero</w:t>
            </w:r>
          </w:p>
        </w:tc>
        <w:tc>
          <w:tcPr>
            <w:tcW w:w="1313" w:type="dxa"/>
            <w:vAlign w:val="center"/>
          </w:tcPr>
          <w:p w14:paraId="2AD1ED04" w14:textId="77777777" w:rsidR="00B60E92" w:rsidRPr="006E4BE1" w:rsidRDefault="00B60E92" w:rsidP="00B60E92">
            <w:pPr>
              <w:ind w:right="284"/>
              <w:jc w:val="right"/>
              <w:rPr>
                <w:rFonts w:ascii="Arial Narrow" w:hAnsi="Arial Narrow"/>
                <w:i/>
                <w:lang w:val="es-ES_tradnl"/>
              </w:rPr>
            </w:pPr>
          </w:p>
        </w:tc>
        <w:tc>
          <w:tcPr>
            <w:tcW w:w="1313" w:type="dxa"/>
            <w:vAlign w:val="center"/>
          </w:tcPr>
          <w:p w14:paraId="527E8121"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3</w:t>
            </w:r>
          </w:p>
        </w:tc>
        <w:tc>
          <w:tcPr>
            <w:tcW w:w="1314" w:type="dxa"/>
            <w:vAlign w:val="center"/>
          </w:tcPr>
          <w:p w14:paraId="5A2C9E30"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9</w:t>
            </w:r>
          </w:p>
        </w:tc>
        <w:tc>
          <w:tcPr>
            <w:tcW w:w="1314" w:type="dxa"/>
            <w:vAlign w:val="center"/>
          </w:tcPr>
          <w:p w14:paraId="7CBD710C"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5</w:t>
            </w:r>
          </w:p>
        </w:tc>
        <w:tc>
          <w:tcPr>
            <w:tcW w:w="1314" w:type="dxa"/>
            <w:vAlign w:val="center"/>
          </w:tcPr>
          <w:p w14:paraId="0AA6E2DB" w14:textId="25A5A4CA"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106</w:t>
            </w:r>
          </w:p>
        </w:tc>
      </w:tr>
      <w:tr w:rsidR="00B60E92" w:rsidRPr="006E4BE1" w14:paraId="1D973B6A" w14:textId="77777777" w:rsidTr="00FD46BC">
        <w:trPr>
          <w:trHeight w:val="340"/>
          <w:jc w:val="center"/>
        </w:trPr>
        <w:tc>
          <w:tcPr>
            <w:tcW w:w="1353" w:type="dxa"/>
            <w:vAlign w:val="center"/>
          </w:tcPr>
          <w:p w14:paraId="6E02D93F" w14:textId="4ABF1226" w:rsidR="00B60E92" w:rsidRPr="006E4BE1" w:rsidRDefault="00B60E92" w:rsidP="00B60E92">
            <w:pPr>
              <w:jc w:val="left"/>
              <w:rPr>
                <w:rFonts w:ascii="Arial Narrow" w:hAnsi="Arial Narrow"/>
                <w:i/>
                <w:lang w:val="es-ES_tradnl"/>
              </w:rPr>
            </w:pPr>
            <w:r w:rsidRPr="006E4BE1">
              <w:rPr>
                <w:rFonts w:ascii="Arial Narrow" w:hAnsi="Arial Narrow"/>
                <w:i/>
                <w:lang w:val="es-ES_tradnl"/>
              </w:rPr>
              <w:t>Marzo</w:t>
            </w:r>
          </w:p>
        </w:tc>
        <w:tc>
          <w:tcPr>
            <w:tcW w:w="1313" w:type="dxa"/>
            <w:vAlign w:val="center"/>
          </w:tcPr>
          <w:p w14:paraId="7E553E71"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2</w:t>
            </w:r>
          </w:p>
        </w:tc>
        <w:tc>
          <w:tcPr>
            <w:tcW w:w="1313" w:type="dxa"/>
            <w:vAlign w:val="center"/>
          </w:tcPr>
          <w:p w14:paraId="27497F4C"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3</w:t>
            </w:r>
          </w:p>
        </w:tc>
        <w:tc>
          <w:tcPr>
            <w:tcW w:w="1314" w:type="dxa"/>
            <w:vAlign w:val="center"/>
          </w:tcPr>
          <w:p w14:paraId="49A53F08"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6</w:t>
            </w:r>
          </w:p>
        </w:tc>
        <w:tc>
          <w:tcPr>
            <w:tcW w:w="1314" w:type="dxa"/>
            <w:vAlign w:val="center"/>
          </w:tcPr>
          <w:p w14:paraId="636FE720"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21</w:t>
            </w:r>
          </w:p>
        </w:tc>
        <w:tc>
          <w:tcPr>
            <w:tcW w:w="1314" w:type="dxa"/>
            <w:vAlign w:val="center"/>
          </w:tcPr>
          <w:p w14:paraId="5702B2EE" w14:textId="5EAF9254"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67</w:t>
            </w:r>
          </w:p>
        </w:tc>
      </w:tr>
      <w:tr w:rsidR="00B60E92" w:rsidRPr="006E4BE1" w14:paraId="39D7F244" w14:textId="77777777" w:rsidTr="00FD46BC">
        <w:trPr>
          <w:trHeight w:val="340"/>
          <w:jc w:val="center"/>
        </w:trPr>
        <w:tc>
          <w:tcPr>
            <w:tcW w:w="1353" w:type="dxa"/>
            <w:vAlign w:val="center"/>
          </w:tcPr>
          <w:p w14:paraId="4DCF1B03" w14:textId="60001BDB" w:rsidR="00B60E92" w:rsidRPr="006E4BE1" w:rsidRDefault="00B60E92" w:rsidP="00B60E92">
            <w:pPr>
              <w:jc w:val="left"/>
              <w:rPr>
                <w:rFonts w:ascii="Arial Narrow" w:hAnsi="Arial Narrow"/>
                <w:i/>
                <w:lang w:val="es-ES_tradnl"/>
              </w:rPr>
            </w:pPr>
            <w:r w:rsidRPr="006E4BE1">
              <w:rPr>
                <w:rFonts w:ascii="Arial Narrow" w:hAnsi="Arial Narrow"/>
                <w:i/>
                <w:lang w:val="es-ES_tradnl"/>
              </w:rPr>
              <w:t>Abril</w:t>
            </w:r>
          </w:p>
        </w:tc>
        <w:tc>
          <w:tcPr>
            <w:tcW w:w="1313" w:type="dxa"/>
            <w:vAlign w:val="center"/>
          </w:tcPr>
          <w:p w14:paraId="1D4C2333" w14:textId="77777777" w:rsidR="00B60E92" w:rsidRPr="006E4BE1" w:rsidRDefault="00B60E92" w:rsidP="00B60E92">
            <w:pPr>
              <w:ind w:right="284"/>
              <w:jc w:val="right"/>
              <w:rPr>
                <w:rFonts w:ascii="Arial Narrow" w:hAnsi="Arial Narrow"/>
                <w:i/>
                <w:lang w:val="es-ES_tradnl"/>
              </w:rPr>
            </w:pPr>
          </w:p>
        </w:tc>
        <w:tc>
          <w:tcPr>
            <w:tcW w:w="1313" w:type="dxa"/>
            <w:vAlign w:val="center"/>
          </w:tcPr>
          <w:p w14:paraId="0CEF1E97"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3</w:t>
            </w:r>
          </w:p>
        </w:tc>
        <w:tc>
          <w:tcPr>
            <w:tcW w:w="1314" w:type="dxa"/>
            <w:vAlign w:val="center"/>
          </w:tcPr>
          <w:p w14:paraId="4C755023"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22</w:t>
            </w:r>
          </w:p>
        </w:tc>
        <w:tc>
          <w:tcPr>
            <w:tcW w:w="1314" w:type="dxa"/>
            <w:vAlign w:val="center"/>
          </w:tcPr>
          <w:p w14:paraId="4B901AEB"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11</w:t>
            </w:r>
          </w:p>
        </w:tc>
        <w:tc>
          <w:tcPr>
            <w:tcW w:w="1314" w:type="dxa"/>
            <w:vAlign w:val="center"/>
          </w:tcPr>
          <w:p w14:paraId="726578CB" w14:textId="108D7C28"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105</w:t>
            </w:r>
          </w:p>
        </w:tc>
      </w:tr>
      <w:tr w:rsidR="00B60E92" w:rsidRPr="006E4BE1" w14:paraId="6F01D3A4" w14:textId="77777777" w:rsidTr="00FD46BC">
        <w:trPr>
          <w:trHeight w:val="340"/>
          <w:jc w:val="center"/>
        </w:trPr>
        <w:tc>
          <w:tcPr>
            <w:tcW w:w="1353" w:type="dxa"/>
            <w:vAlign w:val="center"/>
          </w:tcPr>
          <w:p w14:paraId="2C75F18C" w14:textId="7D0074D4" w:rsidR="00B60E92" w:rsidRPr="006E4BE1" w:rsidRDefault="00B60E92" w:rsidP="00B60E92">
            <w:pPr>
              <w:jc w:val="left"/>
              <w:rPr>
                <w:rFonts w:ascii="Arial Narrow" w:hAnsi="Arial Narrow"/>
                <w:i/>
                <w:lang w:val="es-ES_tradnl"/>
              </w:rPr>
            </w:pPr>
            <w:r w:rsidRPr="006E4BE1">
              <w:rPr>
                <w:rFonts w:ascii="Arial Narrow" w:hAnsi="Arial Narrow"/>
                <w:i/>
                <w:lang w:val="es-ES_tradnl"/>
              </w:rPr>
              <w:t>Mayo</w:t>
            </w:r>
          </w:p>
        </w:tc>
        <w:tc>
          <w:tcPr>
            <w:tcW w:w="1313" w:type="dxa"/>
            <w:vAlign w:val="center"/>
          </w:tcPr>
          <w:p w14:paraId="43C04F57"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w:t>
            </w:r>
          </w:p>
        </w:tc>
        <w:tc>
          <w:tcPr>
            <w:tcW w:w="1313" w:type="dxa"/>
            <w:vAlign w:val="center"/>
          </w:tcPr>
          <w:p w14:paraId="43B0A162"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w:t>
            </w:r>
          </w:p>
        </w:tc>
        <w:tc>
          <w:tcPr>
            <w:tcW w:w="1314" w:type="dxa"/>
            <w:vAlign w:val="center"/>
          </w:tcPr>
          <w:p w14:paraId="6A2C1234"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33</w:t>
            </w:r>
          </w:p>
        </w:tc>
        <w:tc>
          <w:tcPr>
            <w:tcW w:w="1314" w:type="dxa"/>
            <w:vAlign w:val="center"/>
          </w:tcPr>
          <w:p w14:paraId="37C33A6B"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11</w:t>
            </w:r>
          </w:p>
        </w:tc>
        <w:tc>
          <w:tcPr>
            <w:tcW w:w="1314" w:type="dxa"/>
            <w:vAlign w:val="center"/>
          </w:tcPr>
          <w:p w14:paraId="57A4F96E" w14:textId="1EE0C3A1"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65</w:t>
            </w:r>
          </w:p>
        </w:tc>
      </w:tr>
      <w:tr w:rsidR="00B60E92" w:rsidRPr="006E4BE1" w14:paraId="5E03284B" w14:textId="77777777" w:rsidTr="00FD46BC">
        <w:trPr>
          <w:trHeight w:val="340"/>
          <w:jc w:val="center"/>
        </w:trPr>
        <w:tc>
          <w:tcPr>
            <w:tcW w:w="1353" w:type="dxa"/>
            <w:vAlign w:val="center"/>
          </w:tcPr>
          <w:p w14:paraId="34211CE3" w14:textId="1E603D02" w:rsidR="00B60E92" w:rsidRPr="006E4BE1" w:rsidRDefault="00B60E92" w:rsidP="00B60E92">
            <w:pPr>
              <w:jc w:val="left"/>
              <w:rPr>
                <w:rFonts w:ascii="Arial Narrow" w:hAnsi="Arial Narrow"/>
                <w:i/>
                <w:lang w:val="es-ES_tradnl"/>
              </w:rPr>
            </w:pPr>
            <w:r w:rsidRPr="006E4BE1">
              <w:rPr>
                <w:rFonts w:ascii="Arial Narrow" w:hAnsi="Arial Narrow"/>
                <w:i/>
                <w:lang w:val="es-ES_tradnl"/>
              </w:rPr>
              <w:t>Junio</w:t>
            </w:r>
          </w:p>
        </w:tc>
        <w:tc>
          <w:tcPr>
            <w:tcW w:w="1313" w:type="dxa"/>
            <w:vAlign w:val="center"/>
          </w:tcPr>
          <w:p w14:paraId="755DEFED" w14:textId="77777777" w:rsidR="00B60E92" w:rsidRPr="006E4BE1" w:rsidRDefault="00B60E92" w:rsidP="00B60E92">
            <w:pPr>
              <w:ind w:right="284"/>
              <w:jc w:val="right"/>
              <w:rPr>
                <w:rFonts w:ascii="Arial Narrow" w:hAnsi="Arial Narrow"/>
                <w:i/>
                <w:lang w:val="es-ES_tradnl"/>
              </w:rPr>
            </w:pPr>
          </w:p>
        </w:tc>
        <w:tc>
          <w:tcPr>
            <w:tcW w:w="1313" w:type="dxa"/>
            <w:vAlign w:val="center"/>
          </w:tcPr>
          <w:p w14:paraId="2FCA5188"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7</w:t>
            </w:r>
          </w:p>
        </w:tc>
        <w:tc>
          <w:tcPr>
            <w:tcW w:w="1314" w:type="dxa"/>
            <w:vAlign w:val="center"/>
          </w:tcPr>
          <w:p w14:paraId="7FA6A0C0"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10</w:t>
            </w:r>
          </w:p>
        </w:tc>
        <w:tc>
          <w:tcPr>
            <w:tcW w:w="1314" w:type="dxa"/>
            <w:vAlign w:val="center"/>
          </w:tcPr>
          <w:p w14:paraId="3671D77E"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18</w:t>
            </w:r>
          </w:p>
        </w:tc>
        <w:tc>
          <w:tcPr>
            <w:tcW w:w="1314" w:type="dxa"/>
            <w:vAlign w:val="center"/>
          </w:tcPr>
          <w:p w14:paraId="4864CC6C" w14:textId="2FBDBAB3"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824</w:t>
            </w:r>
          </w:p>
        </w:tc>
      </w:tr>
      <w:tr w:rsidR="00B60E92" w:rsidRPr="006E4BE1" w14:paraId="38C520A9" w14:textId="77777777" w:rsidTr="00FD46BC">
        <w:trPr>
          <w:trHeight w:val="340"/>
          <w:jc w:val="center"/>
        </w:trPr>
        <w:tc>
          <w:tcPr>
            <w:tcW w:w="1353" w:type="dxa"/>
            <w:vAlign w:val="center"/>
          </w:tcPr>
          <w:p w14:paraId="3A2DB604" w14:textId="2CB69951" w:rsidR="00B60E92" w:rsidRPr="006E4BE1" w:rsidRDefault="00B60E92" w:rsidP="00B60E92">
            <w:pPr>
              <w:jc w:val="left"/>
              <w:rPr>
                <w:rFonts w:ascii="Arial Narrow" w:hAnsi="Arial Narrow"/>
                <w:i/>
                <w:lang w:val="es-ES_tradnl"/>
              </w:rPr>
            </w:pPr>
            <w:r w:rsidRPr="006E4BE1">
              <w:rPr>
                <w:rFonts w:ascii="Arial Narrow" w:hAnsi="Arial Narrow"/>
                <w:i/>
                <w:lang w:val="es-ES_tradnl"/>
              </w:rPr>
              <w:t>Julio</w:t>
            </w:r>
          </w:p>
        </w:tc>
        <w:tc>
          <w:tcPr>
            <w:tcW w:w="1313" w:type="dxa"/>
            <w:vAlign w:val="center"/>
          </w:tcPr>
          <w:p w14:paraId="06AC7918" w14:textId="77777777" w:rsidR="00B60E92" w:rsidRPr="006E4BE1" w:rsidRDefault="00B60E92" w:rsidP="00B60E92">
            <w:pPr>
              <w:ind w:right="284"/>
              <w:jc w:val="right"/>
              <w:rPr>
                <w:rFonts w:ascii="Arial Narrow" w:hAnsi="Arial Narrow"/>
                <w:i/>
                <w:lang w:val="es-ES_tradnl"/>
              </w:rPr>
            </w:pPr>
          </w:p>
        </w:tc>
        <w:tc>
          <w:tcPr>
            <w:tcW w:w="1313" w:type="dxa"/>
            <w:vAlign w:val="center"/>
          </w:tcPr>
          <w:p w14:paraId="21AE45B1"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7</w:t>
            </w:r>
          </w:p>
        </w:tc>
        <w:tc>
          <w:tcPr>
            <w:tcW w:w="1314" w:type="dxa"/>
            <w:vAlign w:val="center"/>
          </w:tcPr>
          <w:p w14:paraId="35B46514"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3</w:t>
            </w:r>
          </w:p>
        </w:tc>
        <w:tc>
          <w:tcPr>
            <w:tcW w:w="1314" w:type="dxa"/>
            <w:vAlign w:val="center"/>
          </w:tcPr>
          <w:p w14:paraId="64967892"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9</w:t>
            </w:r>
          </w:p>
        </w:tc>
        <w:tc>
          <w:tcPr>
            <w:tcW w:w="1314" w:type="dxa"/>
            <w:vAlign w:val="center"/>
          </w:tcPr>
          <w:p w14:paraId="7B9C5DBD" w14:textId="77777777" w:rsidR="00B60E92" w:rsidRPr="006E4BE1" w:rsidRDefault="00B60E92" w:rsidP="00B60E92">
            <w:pPr>
              <w:ind w:right="284"/>
              <w:jc w:val="right"/>
              <w:rPr>
                <w:rFonts w:ascii="Arial Narrow" w:hAnsi="Arial Narrow"/>
                <w:i/>
                <w:lang w:val="es-ES_tradnl"/>
              </w:rPr>
            </w:pPr>
          </w:p>
        </w:tc>
      </w:tr>
      <w:tr w:rsidR="00B60E92" w:rsidRPr="006E4BE1" w14:paraId="75765381" w14:textId="77777777" w:rsidTr="00FD46BC">
        <w:trPr>
          <w:trHeight w:val="340"/>
          <w:jc w:val="center"/>
        </w:trPr>
        <w:tc>
          <w:tcPr>
            <w:tcW w:w="1353" w:type="dxa"/>
            <w:vAlign w:val="center"/>
          </w:tcPr>
          <w:p w14:paraId="7D82B6C0" w14:textId="042F51FB" w:rsidR="00B60E92" w:rsidRPr="006E4BE1" w:rsidRDefault="00B60E92" w:rsidP="00B60E92">
            <w:pPr>
              <w:jc w:val="left"/>
              <w:rPr>
                <w:rFonts w:ascii="Arial Narrow" w:hAnsi="Arial Narrow"/>
                <w:i/>
                <w:lang w:val="es-ES_tradnl"/>
              </w:rPr>
            </w:pPr>
            <w:r w:rsidRPr="006E4BE1">
              <w:rPr>
                <w:rFonts w:ascii="Arial Narrow" w:hAnsi="Arial Narrow"/>
                <w:i/>
                <w:lang w:val="es-ES_tradnl"/>
              </w:rPr>
              <w:t>Agosto</w:t>
            </w:r>
          </w:p>
        </w:tc>
        <w:tc>
          <w:tcPr>
            <w:tcW w:w="1313" w:type="dxa"/>
            <w:vAlign w:val="center"/>
          </w:tcPr>
          <w:p w14:paraId="1AA9EF45" w14:textId="77777777" w:rsidR="00B60E92" w:rsidRPr="006E4BE1" w:rsidRDefault="00B60E92" w:rsidP="00B60E92">
            <w:pPr>
              <w:ind w:right="284"/>
              <w:jc w:val="right"/>
              <w:rPr>
                <w:rFonts w:ascii="Arial Narrow" w:hAnsi="Arial Narrow"/>
                <w:i/>
                <w:lang w:val="es-ES_tradnl"/>
              </w:rPr>
            </w:pPr>
          </w:p>
        </w:tc>
        <w:tc>
          <w:tcPr>
            <w:tcW w:w="1313" w:type="dxa"/>
            <w:vAlign w:val="center"/>
          </w:tcPr>
          <w:p w14:paraId="044CE5F0"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w:t>
            </w:r>
          </w:p>
        </w:tc>
        <w:tc>
          <w:tcPr>
            <w:tcW w:w="1314" w:type="dxa"/>
            <w:vAlign w:val="center"/>
          </w:tcPr>
          <w:p w14:paraId="151DE0B0"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7</w:t>
            </w:r>
          </w:p>
        </w:tc>
        <w:tc>
          <w:tcPr>
            <w:tcW w:w="1314" w:type="dxa"/>
            <w:vAlign w:val="center"/>
          </w:tcPr>
          <w:p w14:paraId="364171C4"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11</w:t>
            </w:r>
          </w:p>
        </w:tc>
        <w:tc>
          <w:tcPr>
            <w:tcW w:w="1314" w:type="dxa"/>
            <w:vAlign w:val="center"/>
          </w:tcPr>
          <w:p w14:paraId="07B63E07" w14:textId="77777777" w:rsidR="00B60E92" w:rsidRPr="006E4BE1" w:rsidRDefault="00B60E92" w:rsidP="00B60E92">
            <w:pPr>
              <w:ind w:right="284"/>
              <w:jc w:val="right"/>
              <w:rPr>
                <w:rFonts w:ascii="Arial Narrow" w:hAnsi="Arial Narrow"/>
                <w:i/>
                <w:lang w:val="es-ES_tradnl"/>
              </w:rPr>
            </w:pPr>
          </w:p>
        </w:tc>
      </w:tr>
      <w:tr w:rsidR="00B60E92" w:rsidRPr="006E4BE1" w14:paraId="239192CA" w14:textId="77777777" w:rsidTr="00FD46BC">
        <w:trPr>
          <w:trHeight w:val="340"/>
          <w:jc w:val="center"/>
        </w:trPr>
        <w:tc>
          <w:tcPr>
            <w:tcW w:w="1353" w:type="dxa"/>
            <w:vAlign w:val="center"/>
          </w:tcPr>
          <w:p w14:paraId="576E6835" w14:textId="3B64AC52" w:rsidR="00B60E92" w:rsidRPr="006E4BE1" w:rsidRDefault="00B60E92" w:rsidP="00B60E92">
            <w:pPr>
              <w:jc w:val="left"/>
              <w:rPr>
                <w:rFonts w:ascii="Arial Narrow" w:hAnsi="Arial Narrow"/>
                <w:i/>
                <w:lang w:val="es-ES_tradnl"/>
              </w:rPr>
            </w:pPr>
            <w:r w:rsidRPr="006E4BE1">
              <w:rPr>
                <w:rFonts w:ascii="Arial Narrow" w:hAnsi="Arial Narrow"/>
                <w:i/>
                <w:lang w:val="es-ES_tradnl"/>
              </w:rPr>
              <w:t>Septiembre</w:t>
            </w:r>
          </w:p>
        </w:tc>
        <w:tc>
          <w:tcPr>
            <w:tcW w:w="1313" w:type="dxa"/>
            <w:vAlign w:val="center"/>
          </w:tcPr>
          <w:p w14:paraId="41A0AC45"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3</w:t>
            </w:r>
          </w:p>
        </w:tc>
        <w:tc>
          <w:tcPr>
            <w:tcW w:w="1313" w:type="dxa"/>
            <w:vAlign w:val="center"/>
          </w:tcPr>
          <w:p w14:paraId="4BFDA5F0"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8</w:t>
            </w:r>
          </w:p>
        </w:tc>
        <w:tc>
          <w:tcPr>
            <w:tcW w:w="1314" w:type="dxa"/>
            <w:vAlign w:val="center"/>
          </w:tcPr>
          <w:p w14:paraId="5CD3BDFB"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16</w:t>
            </w:r>
          </w:p>
        </w:tc>
        <w:tc>
          <w:tcPr>
            <w:tcW w:w="1314" w:type="dxa"/>
            <w:vAlign w:val="center"/>
          </w:tcPr>
          <w:p w14:paraId="422C1F33"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29</w:t>
            </w:r>
          </w:p>
        </w:tc>
        <w:tc>
          <w:tcPr>
            <w:tcW w:w="1314" w:type="dxa"/>
            <w:vAlign w:val="center"/>
          </w:tcPr>
          <w:p w14:paraId="31B5B946" w14:textId="77777777" w:rsidR="00B60E92" w:rsidRPr="006E4BE1" w:rsidRDefault="00B60E92" w:rsidP="00B60E92">
            <w:pPr>
              <w:ind w:right="284"/>
              <w:jc w:val="right"/>
              <w:rPr>
                <w:rFonts w:ascii="Arial Narrow" w:hAnsi="Arial Narrow"/>
                <w:i/>
                <w:lang w:val="es-ES_tradnl"/>
              </w:rPr>
            </w:pPr>
          </w:p>
        </w:tc>
      </w:tr>
      <w:tr w:rsidR="00B60E92" w:rsidRPr="006E4BE1" w14:paraId="60FDBE60" w14:textId="77777777" w:rsidTr="00FD46BC">
        <w:trPr>
          <w:trHeight w:val="340"/>
          <w:jc w:val="center"/>
        </w:trPr>
        <w:tc>
          <w:tcPr>
            <w:tcW w:w="1353" w:type="dxa"/>
            <w:vAlign w:val="center"/>
          </w:tcPr>
          <w:p w14:paraId="22B9197D" w14:textId="28FE3C00" w:rsidR="00B60E92" w:rsidRPr="006E4BE1" w:rsidRDefault="00B60E92" w:rsidP="00B60E92">
            <w:pPr>
              <w:jc w:val="left"/>
              <w:rPr>
                <w:rFonts w:ascii="Arial Narrow" w:hAnsi="Arial Narrow"/>
                <w:i/>
                <w:lang w:val="es-ES_tradnl"/>
              </w:rPr>
            </w:pPr>
            <w:r w:rsidRPr="006E4BE1">
              <w:rPr>
                <w:rFonts w:ascii="Arial Narrow" w:hAnsi="Arial Narrow"/>
                <w:i/>
                <w:lang w:val="es-ES_tradnl"/>
              </w:rPr>
              <w:t>Octubre</w:t>
            </w:r>
          </w:p>
        </w:tc>
        <w:tc>
          <w:tcPr>
            <w:tcW w:w="1313" w:type="dxa"/>
            <w:vAlign w:val="center"/>
          </w:tcPr>
          <w:p w14:paraId="32139C8A"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w:t>
            </w:r>
          </w:p>
        </w:tc>
        <w:tc>
          <w:tcPr>
            <w:tcW w:w="1313" w:type="dxa"/>
            <w:vAlign w:val="center"/>
          </w:tcPr>
          <w:p w14:paraId="35692297"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19</w:t>
            </w:r>
          </w:p>
        </w:tc>
        <w:tc>
          <w:tcPr>
            <w:tcW w:w="1314" w:type="dxa"/>
            <w:vAlign w:val="center"/>
          </w:tcPr>
          <w:p w14:paraId="1D60C723"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29</w:t>
            </w:r>
          </w:p>
        </w:tc>
        <w:tc>
          <w:tcPr>
            <w:tcW w:w="1314" w:type="dxa"/>
            <w:vAlign w:val="center"/>
          </w:tcPr>
          <w:p w14:paraId="24C439BF"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16</w:t>
            </w:r>
          </w:p>
        </w:tc>
        <w:tc>
          <w:tcPr>
            <w:tcW w:w="1314" w:type="dxa"/>
            <w:vAlign w:val="center"/>
          </w:tcPr>
          <w:p w14:paraId="16E8186D" w14:textId="77777777" w:rsidR="00B60E92" w:rsidRPr="006E4BE1" w:rsidRDefault="00B60E92" w:rsidP="00B60E92">
            <w:pPr>
              <w:ind w:right="284"/>
              <w:jc w:val="right"/>
              <w:rPr>
                <w:rFonts w:ascii="Arial Narrow" w:hAnsi="Arial Narrow"/>
                <w:i/>
                <w:lang w:val="es-ES_tradnl"/>
              </w:rPr>
            </w:pPr>
          </w:p>
        </w:tc>
      </w:tr>
      <w:tr w:rsidR="00B60E92" w:rsidRPr="006E4BE1" w14:paraId="1C405EA1" w14:textId="77777777" w:rsidTr="00FD46BC">
        <w:trPr>
          <w:trHeight w:val="340"/>
          <w:jc w:val="center"/>
        </w:trPr>
        <w:tc>
          <w:tcPr>
            <w:tcW w:w="1353" w:type="dxa"/>
            <w:vAlign w:val="center"/>
          </w:tcPr>
          <w:p w14:paraId="017D4C3C" w14:textId="0329B103" w:rsidR="00B60E92" w:rsidRPr="006E4BE1" w:rsidRDefault="00B60E92" w:rsidP="00B60E92">
            <w:pPr>
              <w:jc w:val="left"/>
              <w:rPr>
                <w:rFonts w:ascii="Arial Narrow" w:hAnsi="Arial Narrow"/>
                <w:i/>
                <w:lang w:val="es-ES_tradnl"/>
              </w:rPr>
            </w:pPr>
            <w:r w:rsidRPr="006E4BE1">
              <w:rPr>
                <w:rFonts w:ascii="Arial Narrow" w:hAnsi="Arial Narrow"/>
                <w:i/>
                <w:lang w:val="es-ES_tradnl"/>
              </w:rPr>
              <w:t>Noviembre</w:t>
            </w:r>
          </w:p>
        </w:tc>
        <w:tc>
          <w:tcPr>
            <w:tcW w:w="1313" w:type="dxa"/>
            <w:vAlign w:val="center"/>
          </w:tcPr>
          <w:p w14:paraId="3EE247BA"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3</w:t>
            </w:r>
          </w:p>
        </w:tc>
        <w:tc>
          <w:tcPr>
            <w:tcW w:w="1313" w:type="dxa"/>
            <w:vAlign w:val="center"/>
          </w:tcPr>
          <w:p w14:paraId="09E691AD"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16</w:t>
            </w:r>
          </w:p>
        </w:tc>
        <w:tc>
          <w:tcPr>
            <w:tcW w:w="1314" w:type="dxa"/>
            <w:vAlign w:val="center"/>
          </w:tcPr>
          <w:p w14:paraId="6D6F5663"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26</w:t>
            </w:r>
          </w:p>
        </w:tc>
        <w:tc>
          <w:tcPr>
            <w:tcW w:w="1314" w:type="dxa"/>
            <w:vAlign w:val="center"/>
          </w:tcPr>
          <w:p w14:paraId="63520B2D"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41</w:t>
            </w:r>
          </w:p>
        </w:tc>
        <w:tc>
          <w:tcPr>
            <w:tcW w:w="1314" w:type="dxa"/>
            <w:vAlign w:val="center"/>
          </w:tcPr>
          <w:p w14:paraId="5D8396E3" w14:textId="77777777" w:rsidR="00B60E92" w:rsidRPr="006E4BE1" w:rsidRDefault="00B60E92" w:rsidP="00B60E92">
            <w:pPr>
              <w:ind w:right="284"/>
              <w:jc w:val="right"/>
              <w:rPr>
                <w:rFonts w:ascii="Arial Narrow" w:hAnsi="Arial Narrow"/>
                <w:i/>
                <w:lang w:val="es-ES_tradnl"/>
              </w:rPr>
            </w:pPr>
          </w:p>
        </w:tc>
      </w:tr>
      <w:tr w:rsidR="00B60E92" w:rsidRPr="006E4BE1" w14:paraId="4399C26C" w14:textId="77777777" w:rsidTr="00FD46BC">
        <w:trPr>
          <w:trHeight w:val="340"/>
          <w:jc w:val="center"/>
        </w:trPr>
        <w:tc>
          <w:tcPr>
            <w:tcW w:w="1353" w:type="dxa"/>
            <w:tcBorders>
              <w:bottom w:val="single" w:sz="4" w:space="0" w:color="BFBFBF" w:themeColor="background1" w:themeShade="BF"/>
            </w:tcBorders>
            <w:vAlign w:val="center"/>
          </w:tcPr>
          <w:p w14:paraId="6C7B09FF" w14:textId="72786FAA" w:rsidR="00B60E92" w:rsidRPr="006E4BE1" w:rsidRDefault="00B60E92" w:rsidP="00B60E92">
            <w:pPr>
              <w:jc w:val="left"/>
              <w:rPr>
                <w:rFonts w:ascii="Arial Narrow" w:hAnsi="Arial Narrow"/>
                <w:i/>
                <w:lang w:val="es-ES_tradnl"/>
              </w:rPr>
            </w:pPr>
            <w:r w:rsidRPr="006E4BE1">
              <w:rPr>
                <w:rFonts w:ascii="Arial Narrow" w:hAnsi="Arial Narrow"/>
                <w:i/>
                <w:lang w:val="es-ES_tradnl"/>
              </w:rPr>
              <w:t>Diciembre</w:t>
            </w:r>
          </w:p>
        </w:tc>
        <w:tc>
          <w:tcPr>
            <w:tcW w:w="1313" w:type="dxa"/>
            <w:tcBorders>
              <w:bottom w:val="single" w:sz="4" w:space="0" w:color="BFBFBF" w:themeColor="background1" w:themeShade="BF"/>
            </w:tcBorders>
            <w:vAlign w:val="center"/>
          </w:tcPr>
          <w:p w14:paraId="473B6EBA"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3</w:t>
            </w:r>
          </w:p>
        </w:tc>
        <w:tc>
          <w:tcPr>
            <w:tcW w:w="1313" w:type="dxa"/>
            <w:tcBorders>
              <w:bottom w:val="single" w:sz="4" w:space="0" w:color="BFBFBF" w:themeColor="background1" w:themeShade="BF"/>
            </w:tcBorders>
            <w:vAlign w:val="center"/>
          </w:tcPr>
          <w:p w14:paraId="4E13AF69"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9</w:t>
            </w:r>
          </w:p>
        </w:tc>
        <w:tc>
          <w:tcPr>
            <w:tcW w:w="1314" w:type="dxa"/>
            <w:tcBorders>
              <w:bottom w:val="single" w:sz="4" w:space="0" w:color="BFBFBF" w:themeColor="background1" w:themeShade="BF"/>
            </w:tcBorders>
            <w:vAlign w:val="center"/>
          </w:tcPr>
          <w:p w14:paraId="643D20D1"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51</w:t>
            </w:r>
          </w:p>
        </w:tc>
        <w:tc>
          <w:tcPr>
            <w:tcW w:w="1314" w:type="dxa"/>
            <w:tcBorders>
              <w:bottom w:val="single" w:sz="4" w:space="0" w:color="BFBFBF" w:themeColor="background1" w:themeShade="BF"/>
            </w:tcBorders>
            <w:vAlign w:val="center"/>
          </w:tcPr>
          <w:p w14:paraId="1820CB51"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32</w:t>
            </w:r>
          </w:p>
        </w:tc>
        <w:tc>
          <w:tcPr>
            <w:tcW w:w="1314" w:type="dxa"/>
            <w:tcBorders>
              <w:bottom w:val="single" w:sz="4" w:space="0" w:color="BFBFBF" w:themeColor="background1" w:themeShade="BF"/>
            </w:tcBorders>
            <w:vAlign w:val="center"/>
          </w:tcPr>
          <w:p w14:paraId="3D24B0A7" w14:textId="77777777" w:rsidR="00B60E92" w:rsidRPr="006E4BE1" w:rsidRDefault="00B60E92" w:rsidP="00B60E92">
            <w:pPr>
              <w:ind w:right="284"/>
              <w:jc w:val="right"/>
              <w:rPr>
                <w:rFonts w:ascii="Arial Narrow" w:hAnsi="Arial Narrow"/>
                <w:i/>
                <w:lang w:val="es-ES_tradnl"/>
              </w:rPr>
            </w:pPr>
          </w:p>
        </w:tc>
      </w:tr>
      <w:tr w:rsidR="00B60E92" w:rsidRPr="006E4BE1" w14:paraId="57043FE5" w14:textId="77777777" w:rsidTr="00FD46BC">
        <w:trPr>
          <w:trHeight w:val="340"/>
          <w:jc w:val="center"/>
        </w:trPr>
        <w:tc>
          <w:tcPr>
            <w:tcW w:w="1353" w:type="dxa"/>
            <w:tcBorders>
              <w:top w:val="single" w:sz="4" w:space="0" w:color="BFBFBF" w:themeColor="background1" w:themeShade="BF"/>
              <w:bottom w:val="single" w:sz="4" w:space="0" w:color="BFBFBF" w:themeColor="background1" w:themeShade="BF"/>
            </w:tcBorders>
            <w:vAlign w:val="center"/>
          </w:tcPr>
          <w:p w14:paraId="7CC47535" w14:textId="77777777" w:rsidR="00B60E92" w:rsidRPr="006E4BE1" w:rsidRDefault="00B60E92" w:rsidP="00B60E92">
            <w:pPr>
              <w:jc w:val="left"/>
              <w:rPr>
                <w:rFonts w:ascii="Arial Narrow" w:hAnsi="Arial Narrow"/>
                <w:i/>
                <w:lang w:val="es-ES_tradnl"/>
              </w:rPr>
            </w:pPr>
            <w:r w:rsidRPr="006E4BE1">
              <w:rPr>
                <w:rFonts w:ascii="Arial Narrow" w:hAnsi="Arial Narrow"/>
                <w:i/>
                <w:lang w:val="es-ES_tradnl"/>
              </w:rPr>
              <w:t>Total</w:t>
            </w:r>
          </w:p>
        </w:tc>
        <w:tc>
          <w:tcPr>
            <w:tcW w:w="1313" w:type="dxa"/>
            <w:tcBorders>
              <w:top w:val="single" w:sz="4" w:space="0" w:color="BFBFBF" w:themeColor="background1" w:themeShade="BF"/>
              <w:bottom w:val="single" w:sz="4" w:space="0" w:color="BFBFBF" w:themeColor="background1" w:themeShade="BF"/>
            </w:tcBorders>
            <w:vAlign w:val="center"/>
          </w:tcPr>
          <w:p w14:paraId="17D17981"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14</w:t>
            </w:r>
          </w:p>
        </w:tc>
        <w:tc>
          <w:tcPr>
            <w:tcW w:w="1313" w:type="dxa"/>
            <w:tcBorders>
              <w:top w:val="single" w:sz="4" w:space="0" w:color="BFBFBF" w:themeColor="background1" w:themeShade="BF"/>
              <w:bottom w:val="single" w:sz="4" w:space="0" w:color="BFBFBF" w:themeColor="background1" w:themeShade="BF"/>
            </w:tcBorders>
            <w:vAlign w:val="center"/>
          </w:tcPr>
          <w:p w14:paraId="5A2EF818"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77</w:t>
            </w:r>
          </w:p>
        </w:tc>
        <w:tc>
          <w:tcPr>
            <w:tcW w:w="1314" w:type="dxa"/>
            <w:tcBorders>
              <w:top w:val="single" w:sz="4" w:space="0" w:color="BFBFBF" w:themeColor="background1" w:themeShade="BF"/>
              <w:bottom w:val="single" w:sz="4" w:space="0" w:color="BFBFBF" w:themeColor="background1" w:themeShade="BF"/>
            </w:tcBorders>
            <w:vAlign w:val="center"/>
          </w:tcPr>
          <w:p w14:paraId="56F08D54"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219</w:t>
            </w:r>
          </w:p>
        </w:tc>
        <w:tc>
          <w:tcPr>
            <w:tcW w:w="1314" w:type="dxa"/>
            <w:tcBorders>
              <w:top w:val="single" w:sz="4" w:space="0" w:color="BFBFBF" w:themeColor="background1" w:themeShade="BF"/>
              <w:bottom w:val="single" w:sz="4" w:space="0" w:color="BFBFBF" w:themeColor="background1" w:themeShade="BF"/>
            </w:tcBorders>
            <w:vAlign w:val="center"/>
          </w:tcPr>
          <w:p w14:paraId="656ABCD6" w14:textId="77777777"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222</w:t>
            </w:r>
          </w:p>
        </w:tc>
        <w:tc>
          <w:tcPr>
            <w:tcW w:w="1314" w:type="dxa"/>
            <w:tcBorders>
              <w:top w:val="single" w:sz="4" w:space="0" w:color="BFBFBF" w:themeColor="background1" w:themeShade="BF"/>
              <w:bottom w:val="single" w:sz="4" w:space="0" w:color="BFBFBF" w:themeColor="background1" w:themeShade="BF"/>
            </w:tcBorders>
            <w:vAlign w:val="center"/>
          </w:tcPr>
          <w:p w14:paraId="4ADB381B" w14:textId="28215591" w:rsidR="00B60E92" w:rsidRPr="006E4BE1" w:rsidRDefault="00B60E92" w:rsidP="00B60E92">
            <w:pPr>
              <w:ind w:right="284"/>
              <w:jc w:val="right"/>
              <w:rPr>
                <w:rFonts w:ascii="Arial Narrow" w:hAnsi="Arial Narrow"/>
                <w:i/>
                <w:lang w:val="es-ES_tradnl"/>
              </w:rPr>
            </w:pPr>
            <w:r w:rsidRPr="006E4BE1">
              <w:rPr>
                <w:rFonts w:ascii="Arial Narrow" w:hAnsi="Arial Narrow"/>
                <w:i/>
                <w:lang w:val="es-ES_tradnl"/>
              </w:rPr>
              <w:t>1.276</w:t>
            </w:r>
          </w:p>
        </w:tc>
      </w:tr>
    </w:tbl>
    <w:p w14:paraId="2A67C82E" w14:textId="77777777" w:rsidR="001240C5" w:rsidRPr="006E4BE1" w:rsidRDefault="001240C5" w:rsidP="00AE50C9">
      <w:pPr>
        <w:spacing w:after="120"/>
        <w:ind w:left="426" w:hanging="426"/>
        <w:jc w:val="left"/>
        <w:rPr>
          <w:i/>
          <w:sz w:val="18"/>
          <w:szCs w:val="16"/>
          <w:lang w:val="es-ES_tradnl"/>
        </w:rPr>
      </w:pPr>
    </w:p>
    <w:p w14:paraId="7D984F94" w14:textId="77777777" w:rsidR="001240C5" w:rsidRPr="006E4BE1" w:rsidRDefault="004E0C43" w:rsidP="00B60E92">
      <w:pPr>
        <w:pStyle w:val="Heading3"/>
      </w:pPr>
      <w:bookmarkStart w:id="457" w:name="_Toc78476735"/>
      <w:r w:rsidRPr="006E4BE1">
        <w:t>Plan de dotación de recursos</w:t>
      </w:r>
      <w:bookmarkEnd w:id="457"/>
    </w:p>
    <w:p w14:paraId="5731D80D" w14:textId="77777777" w:rsidR="001240C5" w:rsidRPr="006E4BE1" w:rsidRDefault="001240C5" w:rsidP="00362930">
      <w:pPr>
        <w:rPr>
          <w:lang w:val="es-ES_tradnl"/>
        </w:rPr>
      </w:pPr>
    </w:p>
    <w:p w14:paraId="0D620E9B" w14:textId="77777777" w:rsidR="001240C5" w:rsidRPr="006E4BE1" w:rsidRDefault="00232B1E" w:rsidP="00AE50C9">
      <w:pPr>
        <w:rPr>
          <w:lang w:val="es-ES_tradnl"/>
        </w:rPr>
      </w:pPr>
      <w:r w:rsidRPr="006E4BE1">
        <w:rPr>
          <w:lang w:val="es-ES_tradnl"/>
        </w:rPr>
        <w:t>Para el programa de actividades que realizará la UPOV en el bienio 2022-2023, el total de los recursos asciende a 8.599.748 francos suizos (véase el cuadro 3)</w:t>
      </w:r>
      <w:r w:rsidR="00FE64A1" w:rsidRPr="006E4BE1">
        <w:rPr>
          <w:lang w:val="es-ES_tradnl"/>
        </w:rPr>
        <w:t xml:space="preserve">.  </w:t>
      </w:r>
      <w:r w:rsidRPr="006E4BE1">
        <w:rPr>
          <w:lang w:val="es-ES_tradnl"/>
        </w:rPr>
        <w:t>Este importe incluye 7.634.500</w:t>
      </w:r>
      <w:r w:rsidR="007E6808" w:rsidRPr="006E4BE1">
        <w:rPr>
          <w:lang w:val="es-ES_tradnl"/>
        </w:rPr>
        <w:t> francos</w:t>
      </w:r>
      <w:r w:rsidRPr="006E4BE1">
        <w:rPr>
          <w:lang w:val="es-ES_tradnl"/>
        </w:rPr>
        <w:t xml:space="preserve"> suizos previstos en el presupuesto ordinario (véase el cuadro 1) y una estimación de 965.248</w:t>
      </w:r>
      <w:r w:rsidR="007E6808" w:rsidRPr="006E4BE1">
        <w:rPr>
          <w:lang w:val="es-ES_tradnl"/>
        </w:rPr>
        <w:t> francos</w:t>
      </w:r>
      <w:r w:rsidRPr="006E4BE1">
        <w:rPr>
          <w:lang w:val="es-ES_tradnl"/>
        </w:rPr>
        <w:t xml:space="preserve"> suizos financiados mediante fondos fiduciarios.</w:t>
      </w:r>
    </w:p>
    <w:p w14:paraId="05D71852" w14:textId="77777777" w:rsidR="001240C5" w:rsidRPr="006E4BE1" w:rsidRDefault="001240C5" w:rsidP="00AE50C9">
      <w:pPr>
        <w:tabs>
          <w:tab w:val="left" w:pos="567"/>
        </w:tabs>
        <w:rPr>
          <w:lang w:val="es-ES_tradnl"/>
        </w:rPr>
      </w:pPr>
    </w:p>
    <w:p w14:paraId="70C640BB" w14:textId="77777777" w:rsidR="001240C5" w:rsidRPr="006E4BE1" w:rsidRDefault="00232B1E" w:rsidP="00AE50C9">
      <w:pPr>
        <w:tabs>
          <w:tab w:val="left" w:pos="567"/>
        </w:tabs>
        <w:rPr>
          <w:lang w:val="es-ES_tradnl"/>
        </w:rPr>
      </w:pPr>
      <w:r w:rsidRPr="006E4BE1">
        <w:rPr>
          <w:lang w:val="es-ES_tradnl"/>
        </w:rPr>
        <w:t>En el bienio 2022-2023, se prevé que los ingresos y los gastos del presupuesto ordinario estén equilibrados.</w:t>
      </w:r>
    </w:p>
    <w:p w14:paraId="00AE2E17" w14:textId="77777777" w:rsidR="001240C5" w:rsidRPr="006E4BE1" w:rsidRDefault="001240C5" w:rsidP="00AE50C9">
      <w:pPr>
        <w:tabs>
          <w:tab w:val="left" w:pos="567"/>
        </w:tabs>
        <w:rPr>
          <w:lang w:val="es-ES_tradnl"/>
        </w:rPr>
      </w:pPr>
    </w:p>
    <w:p w14:paraId="45496E32" w14:textId="77777777" w:rsidR="001240C5" w:rsidRPr="006E4BE1" w:rsidRDefault="00232B1E" w:rsidP="00362930">
      <w:pPr>
        <w:tabs>
          <w:tab w:val="left" w:pos="567"/>
        </w:tabs>
        <w:rPr>
          <w:lang w:val="es-ES_tradnl"/>
        </w:rPr>
      </w:pPr>
      <w:r w:rsidRPr="006E4BE1">
        <w:rPr>
          <w:lang w:val="es-ES_tradnl"/>
        </w:rPr>
        <w:t>Los fondos fiduciarios son fondos financieros que por lo general algún miembro de la Unión ofrece voluntariamente a la UPOV para un determinado programa de actividades acordado mutuamente entre la Oficina de la Unión y el miembro en cuestión</w:t>
      </w:r>
      <w:r w:rsidR="00FE64A1" w:rsidRPr="006E4BE1">
        <w:rPr>
          <w:lang w:val="es-ES_tradnl"/>
        </w:rPr>
        <w:t xml:space="preserve">.  </w:t>
      </w:r>
      <w:r w:rsidRPr="006E4BE1">
        <w:rPr>
          <w:lang w:val="es-ES_tradnl"/>
        </w:rPr>
        <w:t>Sin perjuicio de las decisiones de competencia exclusiva de los donantes de fondos, se espera que el importe total de esos fondos fiduciarios para el bienio 2022-2023 alcance los 965.248</w:t>
      </w:r>
      <w:r w:rsidR="007E6808" w:rsidRPr="006E4BE1">
        <w:rPr>
          <w:lang w:val="es-ES_tradnl"/>
        </w:rPr>
        <w:t> francos</w:t>
      </w:r>
      <w:r w:rsidRPr="006E4BE1">
        <w:rPr>
          <w:lang w:val="es-ES_tradnl"/>
        </w:rPr>
        <w:t xml:space="preserve"> suizos</w:t>
      </w:r>
      <w:r w:rsidR="00FE64A1" w:rsidRPr="006E4BE1">
        <w:rPr>
          <w:lang w:val="es-ES_tradnl"/>
        </w:rPr>
        <w:t xml:space="preserve">.  </w:t>
      </w:r>
      <w:r w:rsidRPr="006E4BE1">
        <w:rPr>
          <w:spacing w:val="-2"/>
          <w:szCs w:val="24"/>
          <w:lang w:val="es-ES_tradnl"/>
        </w:rPr>
        <w:t>Cabe observar que el apoyo financiero (por ejemplo,</w:t>
      </w:r>
      <w:r w:rsidR="004264B9" w:rsidRPr="006E4BE1">
        <w:rPr>
          <w:lang w:val="es-ES_tradnl"/>
        </w:rPr>
        <w:t xml:space="preserve"> </w:t>
      </w:r>
      <w:r w:rsidRPr="006E4BE1">
        <w:rPr>
          <w:lang w:val="es-ES_tradnl"/>
        </w:rPr>
        <w:t>los fondos fiduciarios) y el apoyo no financiero (en especie), en particular para las actividades de asistencia técnica y formación, no se contabilizan en el presupuesto de la UPOV.</w:t>
      </w:r>
    </w:p>
    <w:p w14:paraId="2D15407B" w14:textId="77777777" w:rsidR="001240C5" w:rsidRPr="006E4BE1" w:rsidRDefault="001240C5" w:rsidP="00362930">
      <w:pPr>
        <w:tabs>
          <w:tab w:val="left" w:pos="567"/>
        </w:tabs>
        <w:rPr>
          <w:spacing w:val="-2"/>
          <w:szCs w:val="24"/>
          <w:lang w:val="es-ES_tradnl"/>
        </w:rPr>
      </w:pPr>
    </w:p>
    <w:p w14:paraId="6D404F54" w14:textId="77777777" w:rsidR="001240C5" w:rsidRPr="006E4BE1" w:rsidRDefault="00362930">
      <w:pPr>
        <w:jc w:val="left"/>
        <w:rPr>
          <w:b/>
          <w:color w:val="26724C" w:themeColor="accent1" w:themeShade="BF"/>
          <w:spacing w:val="-2"/>
          <w:szCs w:val="24"/>
          <w:lang w:val="es-ES_tradnl"/>
        </w:rPr>
      </w:pPr>
      <w:r w:rsidRPr="006E4BE1">
        <w:rPr>
          <w:b/>
          <w:color w:val="26724C" w:themeColor="accent1" w:themeShade="BF"/>
          <w:spacing w:val="-2"/>
          <w:szCs w:val="24"/>
          <w:lang w:val="es-ES_tradnl"/>
        </w:rPr>
        <w:br w:type="page"/>
      </w:r>
    </w:p>
    <w:p w14:paraId="6EF9B2A9" w14:textId="77777777" w:rsidR="001240C5" w:rsidRPr="006E4BE1" w:rsidRDefault="00232B1E" w:rsidP="00AE50C9">
      <w:pPr>
        <w:jc w:val="center"/>
        <w:rPr>
          <w:color w:val="26724C" w:themeColor="accent1" w:themeShade="BF"/>
          <w:spacing w:val="-2"/>
          <w:szCs w:val="24"/>
          <w:lang w:val="es-ES_tradnl"/>
        </w:rPr>
      </w:pPr>
      <w:r w:rsidRPr="006E4BE1">
        <w:rPr>
          <w:b/>
          <w:color w:val="26724C" w:themeColor="accent1" w:themeShade="BF"/>
          <w:spacing w:val="-2"/>
          <w:szCs w:val="24"/>
          <w:lang w:val="es-ES_tradnl"/>
        </w:rPr>
        <w:lastRenderedPageBreak/>
        <w:t>Cuadro 3. Plan de dotación de recursos correspondiente a los bienios 2020</w:t>
      </w:r>
      <w:r w:rsidRPr="006E4BE1">
        <w:rPr>
          <w:color w:val="26724C" w:themeColor="accent1" w:themeShade="BF"/>
          <w:spacing w:val="-2"/>
          <w:szCs w:val="24"/>
          <w:lang w:val="es-ES_tradnl"/>
        </w:rPr>
        <w:t>-</w:t>
      </w:r>
      <w:r w:rsidRPr="006E4BE1">
        <w:rPr>
          <w:b/>
          <w:color w:val="26724C" w:themeColor="accent1" w:themeShade="BF"/>
          <w:spacing w:val="-2"/>
          <w:szCs w:val="24"/>
          <w:lang w:val="es-ES_tradnl"/>
        </w:rPr>
        <w:t>2021 y 2022</w:t>
      </w:r>
      <w:r w:rsidRPr="006E4BE1">
        <w:rPr>
          <w:color w:val="26724C" w:themeColor="accent1" w:themeShade="BF"/>
          <w:spacing w:val="-2"/>
          <w:szCs w:val="24"/>
          <w:lang w:val="es-ES_tradnl"/>
        </w:rPr>
        <w:t>-</w:t>
      </w:r>
      <w:r w:rsidRPr="006E4BE1">
        <w:rPr>
          <w:b/>
          <w:color w:val="26724C" w:themeColor="accent1" w:themeShade="BF"/>
          <w:spacing w:val="-2"/>
          <w:szCs w:val="24"/>
          <w:lang w:val="es-ES_tradnl"/>
        </w:rPr>
        <w:t>2023</w:t>
      </w:r>
    </w:p>
    <w:p w14:paraId="6D6BEFD8" w14:textId="77777777" w:rsidR="001240C5" w:rsidRPr="006E4BE1" w:rsidRDefault="00232B1E" w:rsidP="00AE50C9">
      <w:pPr>
        <w:jc w:val="center"/>
        <w:rPr>
          <w:rFonts w:cs="Arial"/>
          <w:i/>
          <w:iCs/>
          <w:sz w:val="18"/>
          <w:lang w:val="es-ES_tradnl"/>
        </w:rPr>
      </w:pPr>
      <w:r w:rsidRPr="006E4BE1">
        <w:rPr>
          <w:rFonts w:cs="Arial"/>
          <w:i/>
          <w:iCs/>
          <w:sz w:val="18"/>
          <w:lang w:val="es-ES_tradnl"/>
        </w:rPr>
        <w:t>(en miles de francos suizos)</w:t>
      </w:r>
    </w:p>
    <w:p w14:paraId="3D248297" w14:textId="7C47E6BE" w:rsidR="008C5BB5" w:rsidRPr="006E4BE1" w:rsidRDefault="008C5BB5" w:rsidP="00AE50C9">
      <w:pPr>
        <w:jc w:val="center"/>
        <w:rPr>
          <w:spacing w:val="-2"/>
          <w:szCs w:val="24"/>
          <w:lang w:val="es-ES_tradnl"/>
        </w:rPr>
      </w:pPr>
    </w:p>
    <w:tbl>
      <w:tblPr>
        <w:tblW w:w="9729" w:type="dxa"/>
        <w:tblLook w:val="04A0" w:firstRow="1" w:lastRow="0" w:firstColumn="1" w:lastColumn="0" w:noHBand="0" w:noVBand="1"/>
      </w:tblPr>
      <w:tblGrid>
        <w:gridCol w:w="482"/>
        <w:gridCol w:w="3837"/>
        <w:gridCol w:w="1727"/>
        <w:gridCol w:w="1778"/>
        <w:gridCol w:w="1905"/>
      </w:tblGrid>
      <w:tr w:rsidR="009372FF" w:rsidRPr="006E4BE1" w14:paraId="57F6DAC3" w14:textId="77777777" w:rsidTr="00C20F3E">
        <w:trPr>
          <w:trHeight w:val="431"/>
        </w:trPr>
        <w:tc>
          <w:tcPr>
            <w:tcW w:w="4319" w:type="dxa"/>
            <w:gridSpan w:val="2"/>
            <w:vMerge w:val="restart"/>
            <w:tcBorders>
              <w:top w:val="nil"/>
              <w:left w:val="nil"/>
              <w:bottom w:val="nil"/>
              <w:right w:val="nil"/>
            </w:tcBorders>
            <w:shd w:val="clear" w:color="000000" w:fill="C7CFD8"/>
            <w:vAlign w:val="center"/>
            <w:hideMark/>
          </w:tcPr>
          <w:p w14:paraId="0D032AC8" w14:textId="1E64ED99" w:rsidR="009372FF" w:rsidRPr="006E4BE1" w:rsidRDefault="00232B1E" w:rsidP="00AE50C9">
            <w:pPr>
              <w:jc w:val="left"/>
              <w:rPr>
                <w:rFonts w:ascii="Arial Narrow" w:hAnsi="Arial Narrow" w:cs="Arial"/>
                <w:b/>
                <w:bCs/>
                <w:sz w:val="18"/>
                <w:szCs w:val="18"/>
                <w:lang w:val="es-ES_tradnl"/>
              </w:rPr>
            </w:pPr>
            <w:bookmarkStart w:id="458" w:name="RANGE!A1:F18"/>
            <w:bookmarkEnd w:id="458"/>
            <w:r w:rsidRPr="006E4BE1">
              <w:rPr>
                <w:rFonts w:ascii="Arial Narrow" w:hAnsi="Arial Narrow" w:cs="Arial"/>
                <w:b/>
                <w:bCs/>
                <w:sz w:val="18"/>
                <w:szCs w:val="18"/>
                <w:lang w:val="es-ES_tradnl"/>
              </w:rPr>
              <w:t>Presupuesto y disponibilidad de recursos</w:t>
            </w:r>
          </w:p>
        </w:tc>
        <w:tc>
          <w:tcPr>
            <w:tcW w:w="1727" w:type="dxa"/>
            <w:tcBorders>
              <w:top w:val="nil"/>
              <w:left w:val="nil"/>
              <w:bottom w:val="nil"/>
              <w:right w:val="nil"/>
            </w:tcBorders>
            <w:shd w:val="clear" w:color="000000" w:fill="C7CFD8"/>
            <w:vAlign w:val="center"/>
            <w:hideMark/>
          </w:tcPr>
          <w:p w14:paraId="4D8CEB5C" w14:textId="77B9E1D7" w:rsidR="009372FF" w:rsidRPr="006E4BE1" w:rsidRDefault="00232B1E"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Presupuesto ordinario</w:t>
            </w:r>
            <w:r w:rsidR="009372FF" w:rsidRPr="006E4BE1">
              <w:rPr>
                <w:rFonts w:ascii="Arial Narrow" w:hAnsi="Arial Narrow" w:cs="Arial"/>
                <w:b/>
                <w:bCs/>
                <w:sz w:val="18"/>
                <w:szCs w:val="18"/>
                <w:lang w:val="es-ES_tradnl"/>
              </w:rPr>
              <w:t xml:space="preserve"> </w:t>
            </w:r>
          </w:p>
        </w:tc>
        <w:tc>
          <w:tcPr>
            <w:tcW w:w="1778" w:type="dxa"/>
            <w:tcBorders>
              <w:top w:val="nil"/>
              <w:left w:val="nil"/>
              <w:bottom w:val="nil"/>
              <w:right w:val="nil"/>
            </w:tcBorders>
            <w:shd w:val="clear" w:color="000000" w:fill="C7CFD8"/>
            <w:vAlign w:val="center"/>
            <w:hideMark/>
          </w:tcPr>
          <w:p w14:paraId="322E04CF" w14:textId="3DDE9ADC" w:rsidR="009372FF" w:rsidRPr="006E4BE1" w:rsidRDefault="00232B1E"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Fondo</w:t>
            </w:r>
            <w:r w:rsidR="00D021D1" w:rsidRPr="006E4BE1">
              <w:rPr>
                <w:rFonts w:ascii="Arial Narrow" w:hAnsi="Arial Narrow" w:cs="Arial"/>
                <w:b/>
                <w:bCs/>
                <w:sz w:val="18"/>
                <w:szCs w:val="18"/>
                <w:lang w:val="es-ES_tradnl"/>
              </w:rPr>
              <w:t>s</w:t>
            </w:r>
            <w:r w:rsidRPr="006E4BE1">
              <w:rPr>
                <w:rFonts w:ascii="Arial Narrow" w:hAnsi="Arial Narrow" w:cs="Arial"/>
                <w:b/>
                <w:bCs/>
                <w:sz w:val="18"/>
                <w:szCs w:val="18"/>
                <w:lang w:val="es-ES_tradnl"/>
              </w:rPr>
              <w:t xml:space="preserve"> fiduciario</w:t>
            </w:r>
            <w:r w:rsidR="00D021D1" w:rsidRPr="006E4BE1">
              <w:rPr>
                <w:rFonts w:ascii="Arial Narrow" w:hAnsi="Arial Narrow" w:cs="Arial"/>
                <w:b/>
                <w:bCs/>
                <w:sz w:val="18"/>
                <w:szCs w:val="18"/>
                <w:lang w:val="es-ES_tradnl"/>
              </w:rPr>
              <w:t>s</w:t>
            </w:r>
            <w:r w:rsidRPr="006E4BE1">
              <w:rPr>
                <w:rFonts w:ascii="Arial Narrow" w:hAnsi="Arial Narrow" w:cs="Arial"/>
                <w:b/>
                <w:bCs/>
                <w:sz w:val="18"/>
                <w:szCs w:val="18"/>
                <w:lang w:val="es-ES_tradnl"/>
              </w:rPr>
              <w:t>*</w:t>
            </w:r>
            <w:r w:rsidR="009372FF" w:rsidRPr="006E4BE1">
              <w:rPr>
                <w:rFonts w:ascii="Arial Narrow" w:hAnsi="Arial Narrow" w:cs="Arial"/>
                <w:b/>
                <w:bCs/>
                <w:sz w:val="18"/>
                <w:szCs w:val="18"/>
                <w:lang w:val="es-ES_tradnl"/>
              </w:rPr>
              <w:t xml:space="preserve"> </w:t>
            </w:r>
          </w:p>
        </w:tc>
        <w:tc>
          <w:tcPr>
            <w:tcW w:w="1905" w:type="dxa"/>
            <w:tcBorders>
              <w:top w:val="nil"/>
              <w:left w:val="nil"/>
              <w:bottom w:val="nil"/>
              <w:right w:val="nil"/>
            </w:tcBorders>
            <w:shd w:val="clear" w:color="000000" w:fill="C7CFD8"/>
            <w:vAlign w:val="center"/>
            <w:hideMark/>
          </w:tcPr>
          <w:p w14:paraId="2A7B519E" w14:textId="09D0BB5F" w:rsidR="009372FF" w:rsidRPr="006E4BE1" w:rsidRDefault="00232B1E"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Total de recursos</w:t>
            </w:r>
            <w:r w:rsidR="009372FF" w:rsidRPr="006E4BE1">
              <w:rPr>
                <w:rFonts w:ascii="Arial Narrow" w:hAnsi="Arial Narrow" w:cs="Arial"/>
                <w:b/>
                <w:bCs/>
                <w:sz w:val="18"/>
                <w:szCs w:val="18"/>
                <w:lang w:val="es-ES_tradnl"/>
              </w:rPr>
              <w:t xml:space="preserve"> </w:t>
            </w:r>
          </w:p>
        </w:tc>
      </w:tr>
      <w:tr w:rsidR="009372FF" w:rsidRPr="006E4BE1" w14:paraId="7EFE0149" w14:textId="77777777" w:rsidTr="00C20F3E">
        <w:trPr>
          <w:trHeight w:val="70"/>
        </w:trPr>
        <w:tc>
          <w:tcPr>
            <w:tcW w:w="4319" w:type="dxa"/>
            <w:gridSpan w:val="2"/>
            <w:vMerge/>
            <w:tcBorders>
              <w:top w:val="nil"/>
              <w:left w:val="nil"/>
              <w:bottom w:val="nil"/>
              <w:right w:val="nil"/>
            </w:tcBorders>
            <w:vAlign w:val="center"/>
            <w:hideMark/>
          </w:tcPr>
          <w:p w14:paraId="343345CE" w14:textId="77777777" w:rsidR="009372FF" w:rsidRPr="006E4BE1" w:rsidRDefault="009372FF" w:rsidP="00AE50C9">
            <w:pPr>
              <w:jc w:val="left"/>
              <w:rPr>
                <w:rFonts w:ascii="Arial Narrow" w:hAnsi="Arial Narrow" w:cs="Arial"/>
                <w:b/>
                <w:bCs/>
                <w:sz w:val="18"/>
                <w:szCs w:val="18"/>
                <w:lang w:val="es-ES_tradnl"/>
              </w:rPr>
            </w:pPr>
          </w:p>
        </w:tc>
        <w:tc>
          <w:tcPr>
            <w:tcW w:w="1727" w:type="dxa"/>
            <w:tcBorders>
              <w:top w:val="nil"/>
              <w:left w:val="nil"/>
              <w:bottom w:val="nil"/>
              <w:right w:val="nil"/>
            </w:tcBorders>
            <w:shd w:val="clear" w:color="000000" w:fill="C7CFD8"/>
            <w:noWrap/>
            <w:vAlign w:val="center"/>
            <w:hideMark/>
          </w:tcPr>
          <w:p w14:paraId="2E09B6F2" w14:textId="7E1FA51A" w:rsidR="009372FF" w:rsidRPr="006E4BE1" w:rsidRDefault="009372FF"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A </w:t>
            </w:r>
          </w:p>
        </w:tc>
        <w:tc>
          <w:tcPr>
            <w:tcW w:w="1778" w:type="dxa"/>
            <w:tcBorders>
              <w:top w:val="nil"/>
              <w:left w:val="nil"/>
              <w:bottom w:val="nil"/>
              <w:right w:val="nil"/>
            </w:tcBorders>
            <w:shd w:val="clear" w:color="000000" w:fill="C7CFD8"/>
            <w:vAlign w:val="center"/>
            <w:hideMark/>
          </w:tcPr>
          <w:p w14:paraId="45BC23DA" w14:textId="77777777" w:rsidR="009372FF" w:rsidRPr="006E4BE1" w:rsidRDefault="009372FF" w:rsidP="00AE50C9">
            <w:pPr>
              <w:jc w:val="center"/>
              <w:rPr>
                <w:rFonts w:ascii="Arial Narrow" w:hAnsi="Arial Narrow" w:cs="Arial"/>
                <w:b/>
                <w:bCs/>
                <w:i/>
                <w:iCs/>
                <w:sz w:val="18"/>
                <w:szCs w:val="18"/>
                <w:lang w:val="es-ES_tradnl"/>
              </w:rPr>
            </w:pPr>
            <w:r w:rsidRPr="006E4BE1">
              <w:rPr>
                <w:rFonts w:ascii="Arial Narrow" w:hAnsi="Arial Narrow" w:cs="Arial"/>
                <w:b/>
                <w:bCs/>
                <w:i/>
                <w:iCs/>
                <w:sz w:val="18"/>
                <w:szCs w:val="18"/>
                <w:lang w:val="es-ES_tradnl"/>
              </w:rPr>
              <w:t>B</w:t>
            </w:r>
          </w:p>
        </w:tc>
        <w:tc>
          <w:tcPr>
            <w:tcW w:w="1905" w:type="dxa"/>
            <w:tcBorders>
              <w:top w:val="nil"/>
              <w:left w:val="nil"/>
              <w:bottom w:val="nil"/>
              <w:right w:val="nil"/>
            </w:tcBorders>
            <w:shd w:val="clear" w:color="000000" w:fill="C7CFD8"/>
            <w:vAlign w:val="center"/>
            <w:hideMark/>
          </w:tcPr>
          <w:p w14:paraId="5DB8360A" w14:textId="77777777" w:rsidR="009372FF" w:rsidRPr="006E4BE1" w:rsidRDefault="009372FF" w:rsidP="00AE50C9">
            <w:pPr>
              <w:jc w:val="center"/>
              <w:rPr>
                <w:rFonts w:ascii="Arial Narrow" w:hAnsi="Arial Narrow" w:cs="Arial"/>
                <w:b/>
                <w:bCs/>
                <w:i/>
                <w:iCs/>
                <w:sz w:val="18"/>
                <w:szCs w:val="18"/>
                <w:lang w:val="es-ES_tradnl"/>
              </w:rPr>
            </w:pPr>
            <w:r w:rsidRPr="006E4BE1">
              <w:rPr>
                <w:rFonts w:ascii="Arial Narrow" w:hAnsi="Arial Narrow" w:cs="Arial"/>
                <w:b/>
                <w:bCs/>
                <w:i/>
                <w:iCs/>
                <w:sz w:val="18"/>
                <w:szCs w:val="18"/>
                <w:lang w:val="es-ES_tradnl"/>
              </w:rPr>
              <w:t>C = A+B</w:t>
            </w:r>
          </w:p>
        </w:tc>
      </w:tr>
      <w:tr w:rsidR="009372FF" w:rsidRPr="006E4BE1" w14:paraId="5B5EC2BB" w14:textId="77777777" w:rsidTr="009372FF">
        <w:trPr>
          <w:trHeight w:val="263"/>
        </w:trPr>
        <w:tc>
          <w:tcPr>
            <w:tcW w:w="4319" w:type="dxa"/>
            <w:gridSpan w:val="2"/>
            <w:tcBorders>
              <w:top w:val="nil"/>
              <w:left w:val="nil"/>
              <w:bottom w:val="nil"/>
              <w:right w:val="nil"/>
            </w:tcBorders>
            <w:shd w:val="clear" w:color="auto" w:fill="auto"/>
            <w:hideMark/>
          </w:tcPr>
          <w:p w14:paraId="71843DAF" w14:textId="77777777" w:rsidR="009372FF" w:rsidRPr="006E4BE1" w:rsidRDefault="009372FF" w:rsidP="00AE50C9">
            <w:pPr>
              <w:jc w:val="center"/>
              <w:rPr>
                <w:rFonts w:ascii="Arial Narrow" w:hAnsi="Arial Narrow" w:cs="Arial"/>
                <w:b/>
                <w:bCs/>
                <w:i/>
                <w:iCs/>
                <w:sz w:val="18"/>
                <w:szCs w:val="18"/>
                <w:lang w:val="es-ES_tradnl"/>
              </w:rPr>
            </w:pPr>
          </w:p>
        </w:tc>
        <w:tc>
          <w:tcPr>
            <w:tcW w:w="1727" w:type="dxa"/>
            <w:tcBorders>
              <w:top w:val="nil"/>
              <w:left w:val="nil"/>
              <w:bottom w:val="nil"/>
              <w:right w:val="nil"/>
            </w:tcBorders>
            <w:shd w:val="clear" w:color="auto" w:fill="auto"/>
            <w:hideMark/>
          </w:tcPr>
          <w:p w14:paraId="793F5FA0" w14:textId="77777777" w:rsidR="009372FF" w:rsidRPr="006E4BE1" w:rsidRDefault="009372FF" w:rsidP="00AE50C9">
            <w:pPr>
              <w:rPr>
                <w:rFonts w:ascii="Times New Roman" w:hAnsi="Times New Roman"/>
                <w:lang w:val="es-ES_tradnl"/>
              </w:rPr>
            </w:pPr>
          </w:p>
        </w:tc>
        <w:tc>
          <w:tcPr>
            <w:tcW w:w="1778" w:type="dxa"/>
            <w:tcBorders>
              <w:top w:val="nil"/>
              <w:left w:val="nil"/>
              <w:bottom w:val="nil"/>
              <w:right w:val="nil"/>
            </w:tcBorders>
            <w:shd w:val="clear" w:color="auto" w:fill="auto"/>
            <w:hideMark/>
          </w:tcPr>
          <w:p w14:paraId="0F44837A" w14:textId="77777777" w:rsidR="009372FF" w:rsidRPr="006E4BE1" w:rsidRDefault="009372FF" w:rsidP="00AE50C9">
            <w:pPr>
              <w:rPr>
                <w:rFonts w:ascii="Times New Roman" w:hAnsi="Times New Roman"/>
                <w:lang w:val="es-ES_tradnl"/>
              </w:rPr>
            </w:pPr>
          </w:p>
        </w:tc>
        <w:tc>
          <w:tcPr>
            <w:tcW w:w="1905" w:type="dxa"/>
            <w:tcBorders>
              <w:top w:val="nil"/>
              <w:left w:val="nil"/>
              <w:bottom w:val="nil"/>
              <w:right w:val="nil"/>
            </w:tcBorders>
            <w:shd w:val="clear" w:color="auto" w:fill="auto"/>
            <w:hideMark/>
          </w:tcPr>
          <w:p w14:paraId="527486A8" w14:textId="77777777" w:rsidR="009372FF" w:rsidRPr="006E4BE1" w:rsidRDefault="009372FF" w:rsidP="00AE50C9">
            <w:pPr>
              <w:jc w:val="left"/>
              <w:rPr>
                <w:rFonts w:ascii="Times New Roman" w:hAnsi="Times New Roman"/>
                <w:lang w:val="es-ES_tradnl"/>
              </w:rPr>
            </w:pPr>
          </w:p>
        </w:tc>
      </w:tr>
      <w:tr w:rsidR="009372FF" w:rsidRPr="006E4BE1" w14:paraId="61586504" w14:textId="77777777" w:rsidTr="009372FF">
        <w:trPr>
          <w:trHeight w:val="318"/>
        </w:trPr>
        <w:tc>
          <w:tcPr>
            <w:tcW w:w="4319" w:type="dxa"/>
            <w:gridSpan w:val="2"/>
            <w:tcBorders>
              <w:top w:val="nil"/>
              <w:left w:val="nil"/>
              <w:bottom w:val="nil"/>
              <w:right w:val="nil"/>
            </w:tcBorders>
            <w:shd w:val="clear" w:color="auto" w:fill="auto"/>
            <w:hideMark/>
          </w:tcPr>
          <w:p w14:paraId="5D6168C2" w14:textId="410AB830" w:rsidR="009372FF" w:rsidRPr="006E4BE1" w:rsidRDefault="00232B1E" w:rsidP="00AE50C9">
            <w:pPr>
              <w:rPr>
                <w:rFonts w:ascii="Arial Narrow" w:hAnsi="Arial Narrow" w:cs="Arial"/>
                <w:b/>
                <w:bCs/>
                <w:color w:val="000000"/>
                <w:lang w:val="es-ES_tradnl"/>
              </w:rPr>
            </w:pPr>
            <w:r w:rsidRPr="006E4BE1">
              <w:rPr>
                <w:rFonts w:ascii="Arial Narrow" w:hAnsi="Arial Narrow" w:cs="Arial"/>
                <w:b/>
                <w:bCs/>
                <w:color w:val="000000"/>
                <w:lang w:val="es-ES_tradnl"/>
              </w:rPr>
              <w:t>Disponibilidad de recursos 2020-2021</w:t>
            </w:r>
          </w:p>
        </w:tc>
        <w:tc>
          <w:tcPr>
            <w:tcW w:w="1727" w:type="dxa"/>
            <w:tcBorders>
              <w:top w:val="nil"/>
              <w:left w:val="nil"/>
              <w:bottom w:val="nil"/>
              <w:right w:val="nil"/>
            </w:tcBorders>
            <w:shd w:val="clear" w:color="auto" w:fill="auto"/>
            <w:noWrap/>
            <w:vAlign w:val="bottom"/>
            <w:hideMark/>
          </w:tcPr>
          <w:p w14:paraId="7CFCB8BC" w14:textId="77777777" w:rsidR="009372FF" w:rsidRPr="006E4BE1" w:rsidRDefault="009372FF" w:rsidP="00AE50C9">
            <w:pPr>
              <w:jc w:val="right"/>
              <w:rPr>
                <w:rFonts w:ascii="Arial Narrow" w:hAnsi="Arial Narrow" w:cs="Arial"/>
                <w:b/>
                <w:bCs/>
                <w:color w:val="000000"/>
                <w:lang w:val="es-ES_tradnl"/>
              </w:rPr>
            </w:pPr>
          </w:p>
        </w:tc>
        <w:tc>
          <w:tcPr>
            <w:tcW w:w="1778" w:type="dxa"/>
            <w:tcBorders>
              <w:top w:val="nil"/>
              <w:left w:val="nil"/>
              <w:bottom w:val="nil"/>
              <w:right w:val="nil"/>
            </w:tcBorders>
            <w:shd w:val="clear" w:color="auto" w:fill="auto"/>
            <w:hideMark/>
          </w:tcPr>
          <w:p w14:paraId="0647F179" w14:textId="77777777" w:rsidR="009372FF" w:rsidRPr="006E4BE1" w:rsidRDefault="009372FF" w:rsidP="00AE50C9">
            <w:pPr>
              <w:jc w:val="right"/>
              <w:rPr>
                <w:rFonts w:ascii="Times New Roman" w:hAnsi="Times New Roman"/>
                <w:lang w:val="es-ES_tradnl"/>
              </w:rPr>
            </w:pPr>
          </w:p>
        </w:tc>
        <w:tc>
          <w:tcPr>
            <w:tcW w:w="1905" w:type="dxa"/>
            <w:tcBorders>
              <w:top w:val="nil"/>
              <w:left w:val="nil"/>
              <w:bottom w:val="nil"/>
              <w:right w:val="nil"/>
            </w:tcBorders>
            <w:shd w:val="clear" w:color="auto" w:fill="auto"/>
            <w:hideMark/>
          </w:tcPr>
          <w:p w14:paraId="11075519" w14:textId="77777777" w:rsidR="009372FF" w:rsidRPr="006E4BE1" w:rsidRDefault="009372FF" w:rsidP="00AE50C9">
            <w:pPr>
              <w:jc w:val="right"/>
              <w:rPr>
                <w:rFonts w:ascii="Times New Roman" w:hAnsi="Times New Roman"/>
                <w:lang w:val="es-ES_tradnl"/>
              </w:rPr>
            </w:pPr>
          </w:p>
        </w:tc>
      </w:tr>
      <w:tr w:rsidR="009372FF" w:rsidRPr="006E4BE1" w14:paraId="42CBAF17" w14:textId="77777777" w:rsidTr="009372FF">
        <w:trPr>
          <w:trHeight w:val="349"/>
        </w:trPr>
        <w:tc>
          <w:tcPr>
            <w:tcW w:w="482" w:type="dxa"/>
            <w:tcBorders>
              <w:top w:val="nil"/>
              <w:left w:val="nil"/>
              <w:bottom w:val="nil"/>
              <w:right w:val="nil"/>
            </w:tcBorders>
            <w:shd w:val="clear" w:color="auto" w:fill="auto"/>
            <w:vAlign w:val="center"/>
            <w:hideMark/>
          </w:tcPr>
          <w:p w14:paraId="1728287E" w14:textId="7777777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1</w:t>
            </w:r>
          </w:p>
        </w:tc>
        <w:tc>
          <w:tcPr>
            <w:tcW w:w="3836" w:type="dxa"/>
            <w:tcBorders>
              <w:top w:val="nil"/>
              <w:left w:val="nil"/>
              <w:bottom w:val="nil"/>
              <w:right w:val="nil"/>
            </w:tcBorders>
            <w:shd w:val="clear" w:color="auto" w:fill="auto"/>
            <w:vAlign w:val="center"/>
            <w:hideMark/>
          </w:tcPr>
          <w:p w14:paraId="7AA61BAC" w14:textId="16AA93E4" w:rsidR="009372FF" w:rsidRPr="006E4BE1" w:rsidRDefault="00232B1E" w:rsidP="00AE50C9">
            <w:pPr>
              <w:rPr>
                <w:rFonts w:ascii="Arial Narrow" w:hAnsi="Arial Narrow" w:cs="Arial"/>
                <w:color w:val="000000"/>
                <w:lang w:val="es-ES_tradnl"/>
              </w:rPr>
            </w:pPr>
            <w:r w:rsidRPr="006E4BE1">
              <w:rPr>
                <w:rFonts w:ascii="Arial Narrow" w:hAnsi="Arial Narrow" w:cs="Arial"/>
                <w:color w:val="000000"/>
                <w:lang w:val="es-ES_tradnl"/>
              </w:rPr>
              <w:t>Ingresos</w:t>
            </w:r>
          </w:p>
        </w:tc>
        <w:tc>
          <w:tcPr>
            <w:tcW w:w="1727" w:type="dxa"/>
            <w:tcBorders>
              <w:top w:val="nil"/>
              <w:left w:val="nil"/>
              <w:bottom w:val="nil"/>
              <w:right w:val="nil"/>
            </w:tcBorders>
            <w:shd w:val="clear" w:color="auto" w:fill="auto"/>
            <w:vAlign w:val="center"/>
            <w:hideMark/>
          </w:tcPr>
          <w:p w14:paraId="518094A3" w14:textId="6700E38F"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6</w:t>
            </w:r>
            <w:r w:rsidR="00D021D1" w:rsidRPr="006E4BE1">
              <w:rPr>
                <w:rFonts w:ascii="Arial Narrow" w:hAnsi="Arial Narrow" w:cs="Arial"/>
                <w:color w:val="000000"/>
                <w:lang w:val="es-ES_tradnl"/>
              </w:rPr>
              <w:t>.</w:t>
            </w:r>
            <w:r w:rsidRPr="006E4BE1">
              <w:rPr>
                <w:rFonts w:ascii="Arial Narrow" w:hAnsi="Arial Narrow" w:cs="Arial"/>
                <w:color w:val="000000"/>
                <w:lang w:val="es-ES_tradnl"/>
              </w:rPr>
              <w:t>931</w:t>
            </w:r>
          </w:p>
        </w:tc>
        <w:tc>
          <w:tcPr>
            <w:tcW w:w="1778" w:type="dxa"/>
            <w:tcBorders>
              <w:top w:val="nil"/>
              <w:left w:val="nil"/>
              <w:bottom w:val="nil"/>
              <w:right w:val="nil"/>
            </w:tcBorders>
            <w:shd w:val="clear" w:color="auto" w:fill="auto"/>
            <w:vAlign w:val="center"/>
            <w:hideMark/>
          </w:tcPr>
          <w:p w14:paraId="4CD3147F" w14:textId="7777777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929</w:t>
            </w:r>
          </w:p>
        </w:tc>
        <w:tc>
          <w:tcPr>
            <w:tcW w:w="1905" w:type="dxa"/>
            <w:tcBorders>
              <w:top w:val="nil"/>
              <w:left w:val="nil"/>
              <w:bottom w:val="nil"/>
              <w:right w:val="nil"/>
            </w:tcBorders>
            <w:shd w:val="clear" w:color="auto" w:fill="auto"/>
            <w:vAlign w:val="center"/>
            <w:hideMark/>
          </w:tcPr>
          <w:p w14:paraId="58C61976" w14:textId="00C3D8F0"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7</w:t>
            </w:r>
            <w:r w:rsidR="00D021D1" w:rsidRPr="006E4BE1">
              <w:rPr>
                <w:rFonts w:ascii="Arial Narrow" w:hAnsi="Arial Narrow" w:cs="Arial"/>
                <w:color w:val="000000"/>
                <w:lang w:val="es-ES_tradnl"/>
              </w:rPr>
              <w:t>.</w:t>
            </w:r>
            <w:r w:rsidRPr="006E4BE1">
              <w:rPr>
                <w:rFonts w:ascii="Arial Narrow" w:hAnsi="Arial Narrow" w:cs="Arial"/>
                <w:color w:val="000000"/>
                <w:lang w:val="es-ES_tradnl"/>
              </w:rPr>
              <w:t>860</w:t>
            </w:r>
          </w:p>
        </w:tc>
      </w:tr>
      <w:tr w:rsidR="009372FF" w:rsidRPr="006E4BE1" w14:paraId="57AFA2C1" w14:textId="77777777" w:rsidTr="009372FF">
        <w:trPr>
          <w:trHeight w:val="349"/>
        </w:trPr>
        <w:tc>
          <w:tcPr>
            <w:tcW w:w="482" w:type="dxa"/>
            <w:tcBorders>
              <w:top w:val="nil"/>
              <w:left w:val="nil"/>
              <w:bottom w:val="nil"/>
              <w:right w:val="nil"/>
            </w:tcBorders>
            <w:shd w:val="clear" w:color="auto" w:fill="auto"/>
            <w:vAlign w:val="center"/>
            <w:hideMark/>
          </w:tcPr>
          <w:p w14:paraId="1B08DC6D" w14:textId="7777777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2</w:t>
            </w:r>
          </w:p>
        </w:tc>
        <w:tc>
          <w:tcPr>
            <w:tcW w:w="3836" w:type="dxa"/>
            <w:tcBorders>
              <w:top w:val="nil"/>
              <w:left w:val="nil"/>
              <w:bottom w:val="nil"/>
              <w:right w:val="nil"/>
            </w:tcBorders>
            <w:shd w:val="clear" w:color="auto" w:fill="auto"/>
            <w:vAlign w:val="center"/>
            <w:hideMark/>
          </w:tcPr>
          <w:p w14:paraId="3DFCF79F" w14:textId="6A1023CD" w:rsidR="009372FF" w:rsidRPr="006E4BE1" w:rsidRDefault="00232B1E" w:rsidP="00AE50C9">
            <w:pPr>
              <w:rPr>
                <w:rFonts w:ascii="Arial Narrow" w:hAnsi="Arial Narrow" w:cs="Arial"/>
                <w:color w:val="000000"/>
                <w:lang w:val="es-ES_tradnl"/>
              </w:rPr>
            </w:pPr>
            <w:r w:rsidRPr="006E4BE1">
              <w:rPr>
                <w:rFonts w:ascii="Arial Narrow" w:hAnsi="Arial Narrow" w:cs="Arial"/>
                <w:color w:val="000000"/>
                <w:lang w:val="es-ES_tradnl"/>
              </w:rPr>
              <w:t>+/(-) Transferencias hacia/desde reservas</w:t>
            </w:r>
          </w:p>
        </w:tc>
        <w:tc>
          <w:tcPr>
            <w:tcW w:w="1727" w:type="dxa"/>
            <w:tcBorders>
              <w:top w:val="nil"/>
              <w:left w:val="nil"/>
              <w:bottom w:val="nil"/>
              <w:right w:val="nil"/>
            </w:tcBorders>
            <w:shd w:val="clear" w:color="auto" w:fill="auto"/>
            <w:vAlign w:val="center"/>
            <w:hideMark/>
          </w:tcPr>
          <w:p w14:paraId="2CB4672E" w14:textId="0CF79138"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w:t>
            </w:r>
          </w:p>
        </w:tc>
        <w:tc>
          <w:tcPr>
            <w:tcW w:w="1778" w:type="dxa"/>
            <w:tcBorders>
              <w:top w:val="nil"/>
              <w:left w:val="nil"/>
              <w:bottom w:val="nil"/>
              <w:right w:val="nil"/>
            </w:tcBorders>
            <w:shd w:val="clear" w:color="auto" w:fill="auto"/>
            <w:vAlign w:val="center"/>
            <w:hideMark/>
          </w:tcPr>
          <w:p w14:paraId="1FE71014" w14:textId="72DF2885"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w:t>
            </w:r>
          </w:p>
        </w:tc>
        <w:tc>
          <w:tcPr>
            <w:tcW w:w="1905" w:type="dxa"/>
            <w:tcBorders>
              <w:top w:val="nil"/>
              <w:left w:val="nil"/>
              <w:bottom w:val="nil"/>
              <w:right w:val="nil"/>
            </w:tcBorders>
            <w:shd w:val="clear" w:color="auto" w:fill="auto"/>
            <w:vAlign w:val="center"/>
            <w:hideMark/>
          </w:tcPr>
          <w:p w14:paraId="7E6083DD" w14:textId="0787BE69"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w:t>
            </w:r>
          </w:p>
        </w:tc>
      </w:tr>
      <w:tr w:rsidR="009372FF" w:rsidRPr="006E4BE1" w14:paraId="7B8AAD7C" w14:textId="77777777" w:rsidTr="009372FF">
        <w:trPr>
          <w:trHeight w:val="349"/>
        </w:trPr>
        <w:tc>
          <w:tcPr>
            <w:tcW w:w="482" w:type="dxa"/>
            <w:tcBorders>
              <w:top w:val="single" w:sz="4" w:space="0" w:color="AAB8C4"/>
              <w:left w:val="nil"/>
              <w:bottom w:val="single" w:sz="8" w:space="0" w:color="AAB8C4"/>
              <w:right w:val="nil"/>
            </w:tcBorders>
            <w:shd w:val="clear" w:color="auto" w:fill="auto"/>
            <w:vAlign w:val="center"/>
            <w:hideMark/>
          </w:tcPr>
          <w:p w14:paraId="0803AE7E" w14:textId="7777777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3</w:t>
            </w:r>
          </w:p>
        </w:tc>
        <w:tc>
          <w:tcPr>
            <w:tcW w:w="3836" w:type="dxa"/>
            <w:tcBorders>
              <w:top w:val="single" w:sz="4" w:space="0" w:color="AAB8C4"/>
              <w:left w:val="nil"/>
              <w:bottom w:val="single" w:sz="8" w:space="0" w:color="AAB8C4"/>
              <w:right w:val="nil"/>
            </w:tcBorders>
            <w:shd w:val="clear" w:color="auto" w:fill="auto"/>
            <w:vAlign w:val="center"/>
            <w:hideMark/>
          </w:tcPr>
          <w:p w14:paraId="1049CC3A" w14:textId="63A34268" w:rsidR="009372FF" w:rsidRPr="006E4BE1" w:rsidRDefault="00232B1E" w:rsidP="00AE50C9">
            <w:pPr>
              <w:rPr>
                <w:rFonts w:ascii="Arial Narrow" w:hAnsi="Arial Narrow" w:cs="Arial"/>
                <w:color w:val="000000"/>
                <w:lang w:val="es-ES_tradnl"/>
              </w:rPr>
            </w:pPr>
            <w:r w:rsidRPr="006E4BE1">
              <w:rPr>
                <w:rFonts w:ascii="Arial Narrow" w:hAnsi="Arial Narrow" w:cs="Arial"/>
                <w:color w:val="000000"/>
                <w:lang w:val="es-ES_tradnl"/>
              </w:rPr>
              <w:t>Total de recursos</w:t>
            </w:r>
          </w:p>
        </w:tc>
        <w:tc>
          <w:tcPr>
            <w:tcW w:w="1727" w:type="dxa"/>
            <w:tcBorders>
              <w:top w:val="single" w:sz="4" w:space="0" w:color="AAB8C4"/>
              <w:left w:val="nil"/>
              <w:bottom w:val="single" w:sz="8" w:space="0" w:color="AAB8C4"/>
              <w:right w:val="nil"/>
            </w:tcBorders>
            <w:shd w:val="clear" w:color="auto" w:fill="auto"/>
            <w:vAlign w:val="center"/>
            <w:hideMark/>
          </w:tcPr>
          <w:p w14:paraId="7A2C863D" w14:textId="4D47226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6</w:t>
            </w:r>
            <w:r w:rsidR="00D021D1" w:rsidRPr="006E4BE1">
              <w:rPr>
                <w:rFonts w:ascii="Arial Narrow" w:hAnsi="Arial Narrow" w:cs="Arial"/>
                <w:color w:val="000000"/>
                <w:lang w:val="es-ES_tradnl"/>
              </w:rPr>
              <w:t>.</w:t>
            </w:r>
            <w:r w:rsidRPr="006E4BE1">
              <w:rPr>
                <w:rFonts w:ascii="Arial Narrow" w:hAnsi="Arial Narrow" w:cs="Arial"/>
                <w:color w:val="000000"/>
                <w:lang w:val="es-ES_tradnl"/>
              </w:rPr>
              <w:t>931</w:t>
            </w:r>
          </w:p>
        </w:tc>
        <w:tc>
          <w:tcPr>
            <w:tcW w:w="1778" w:type="dxa"/>
            <w:tcBorders>
              <w:top w:val="single" w:sz="4" w:space="0" w:color="AAB8C4"/>
              <w:left w:val="nil"/>
              <w:bottom w:val="single" w:sz="8" w:space="0" w:color="AAB8C4"/>
              <w:right w:val="nil"/>
            </w:tcBorders>
            <w:shd w:val="clear" w:color="auto" w:fill="auto"/>
            <w:vAlign w:val="center"/>
            <w:hideMark/>
          </w:tcPr>
          <w:p w14:paraId="1926C2B5" w14:textId="7777777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929</w:t>
            </w:r>
          </w:p>
        </w:tc>
        <w:tc>
          <w:tcPr>
            <w:tcW w:w="1905" w:type="dxa"/>
            <w:tcBorders>
              <w:top w:val="single" w:sz="4" w:space="0" w:color="AAB8C4"/>
              <w:left w:val="nil"/>
              <w:bottom w:val="single" w:sz="8" w:space="0" w:color="AAB8C4"/>
              <w:right w:val="nil"/>
            </w:tcBorders>
            <w:shd w:val="clear" w:color="auto" w:fill="auto"/>
            <w:vAlign w:val="center"/>
            <w:hideMark/>
          </w:tcPr>
          <w:p w14:paraId="7F0846A2" w14:textId="01A3E7F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7</w:t>
            </w:r>
            <w:r w:rsidR="00D021D1" w:rsidRPr="006E4BE1">
              <w:rPr>
                <w:rFonts w:ascii="Arial Narrow" w:hAnsi="Arial Narrow" w:cs="Arial"/>
                <w:color w:val="000000"/>
                <w:lang w:val="es-ES_tradnl"/>
              </w:rPr>
              <w:t>.</w:t>
            </w:r>
            <w:r w:rsidRPr="006E4BE1">
              <w:rPr>
                <w:rFonts w:ascii="Arial Narrow" w:hAnsi="Arial Narrow" w:cs="Arial"/>
                <w:color w:val="000000"/>
                <w:lang w:val="es-ES_tradnl"/>
              </w:rPr>
              <w:t>860</w:t>
            </w:r>
          </w:p>
        </w:tc>
      </w:tr>
      <w:tr w:rsidR="009372FF" w:rsidRPr="006E4BE1" w14:paraId="2FFDA432" w14:textId="77777777" w:rsidTr="009372FF">
        <w:trPr>
          <w:trHeight w:val="263"/>
        </w:trPr>
        <w:tc>
          <w:tcPr>
            <w:tcW w:w="482" w:type="dxa"/>
            <w:tcBorders>
              <w:top w:val="nil"/>
              <w:left w:val="nil"/>
              <w:bottom w:val="nil"/>
              <w:right w:val="nil"/>
            </w:tcBorders>
            <w:shd w:val="clear" w:color="auto" w:fill="auto"/>
            <w:vAlign w:val="center"/>
            <w:hideMark/>
          </w:tcPr>
          <w:p w14:paraId="122E58F9" w14:textId="77777777" w:rsidR="009372FF" w:rsidRPr="006E4BE1" w:rsidRDefault="009372FF" w:rsidP="00AE50C9">
            <w:pPr>
              <w:jc w:val="right"/>
              <w:rPr>
                <w:rFonts w:ascii="Arial Narrow" w:hAnsi="Arial Narrow" w:cs="Arial"/>
                <w:color w:val="000000"/>
                <w:lang w:val="es-ES_tradnl"/>
              </w:rPr>
            </w:pPr>
          </w:p>
        </w:tc>
        <w:tc>
          <w:tcPr>
            <w:tcW w:w="3836" w:type="dxa"/>
            <w:tcBorders>
              <w:top w:val="nil"/>
              <w:left w:val="nil"/>
              <w:bottom w:val="nil"/>
              <w:right w:val="nil"/>
            </w:tcBorders>
            <w:shd w:val="clear" w:color="auto" w:fill="auto"/>
            <w:vAlign w:val="center"/>
            <w:hideMark/>
          </w:tcPr>
          <w:p w14:paraId="171803BA" w14:textId="77777777" w:rsidR="009372FF" w:rsidRPr="006E4BE1" w:rsidRDefault="009372FF" w:rsidP="00AE50C9">
            <w:pPr>
              <w:jc w:val="right"/>
              <w:rPr>
                <w:rFonts w:ascii="Times New Roman" w:hAnsi="Times New Roman"/>
                <w:lang w:val="es-ES_tradnl"/>
              </w:rPr>
            </w:pPr>
          </w:p>
        </w:tc>
        <w:tc>
          <w:tcPr>
            <w:tcW w:w="1727" w:type="dxa"/>
            <w:tcBorders>
              <w:top w:val="nil"/>
              <w:left w:val="nil"/>
              <w:bottom w:val="nil"/>
              <w:right w:val="nil"/>
            </w:tcBorders>
            <w:shd w:val="clear" w:color="auto" w:fill="auto"/>
            <w:vAlign w:val="center"/>
            <w:hideMark/>
          </w:tcPr>
          <w:p w14:paraId="0F53C40D" w14:textId="77777777" w:rsidR="009372FF" w:rsidRPr="006E4BE1" w:rsidRDefault="009372FF" w:rsidP="00AE50C9">
            <w:pPr>
              <w:jc w:val="right"/>
              <w:rPr>
                <w:rFonts w:ascii="Times New Roman" w:hAnsi="Times New Roman"/>
                <w:lang w:val="es-ES_tradnl"/>
              </w:rPr>
            </w:pPr>
          </w:p>
        </w:tc>
        <w:tc>
          <w:tcPr>
            <w:tcW w:w="1778" w:type="dxa"/>
            <w:tcBorders>
              <w:top w:val="nil"/>
              <w:left w:val="nil"/>
              <w:bottom w:val="nil"/>
              <w:right w:val="nil"/>
            </w:tcBorders>
            <w:shd w:val="clear" w:color="auto" w:fill="auto"/>
            <w:vAlign w:val="center"/>
            <w:hideMark/>
          </w:tcPr>
          <w:p w14:paraId="1B94D328" w14:textId="77777777" w:rsidR="009372FF" w:rsidRPr="006E4BE1" w:rsidRDefault="009372FF" w:rsidP="00AE50C9">
            <w:pPr>
              <w:jc w:val="right"/>
              <w:rPr>
                <w:rFonts w:ascii="Times New Roman" w:hAnsi="Times New Roman"/>
                <w:lang w:val="es-ES_tradnl"/>
              </w:rPr>
            </w:pPr>
          </w:p>
        </w:tc>
        <w:tc>
          <w:tcPr>
            <w:tcW w:w="1905" w:type="dxa"/>
            <w:tcBorders>
              <w:top w:val="nil"/>
              <w:left w:val="nil"/>
              <w:bottom w:val="nil"/>
              <w:right w:val="nil"/>
            </w:tcBorders>
            <w:shd w:val="clear" w:color="auto" w:fill="auto"/>
            <w:vAlign w:val="center"/>
            <w:hideMark/>
          </w:tcPr>
          <w:p w14:paraId="3775745B" w14:textId="77777777" w:rsidR="009372FF" w:rsidRPr="006E4BE1" w:rsidRDefault="009372FF" w:rsidP="00AE50C9">
            <w:pPr>
              <w:jc w:val="right"/>
              <w:rPr>
                <w:rFonts w:ascii="Times New Roman" w:hAnsi="Times New Roman"/>
                <w:lang w:val="es-ES_tradnl"/>
              </w:rPr>
            </w:pPr>
          </w:p>
        </w:tc>
      </w:tr>
      <w:tr w:rsidR="009372FF" w:rsidRPr="006E4BE1" w14:paraId="413A51D1" w14:textId="77777777" w:rsidTr="009372FF">
        <w:trPr>
          <w:trHeight w:val="349"/>
        </w:trPr>
        <w:tc>
          <w:tcPr>
            <w:tcW w:w="4319" w:type="dxa"/>
            <w:gridSpan w:val="2"/>
            <w:tcBorders>
              <w:top w:val="nil"/>
              <w:left w:val="nil"/>
              <w:bottom w:val="nil"/>
              <w:right w:val="nil"/>
            </w:tcBorders>
            <w:shd w:val="clear" w:color="auto" w:fill="auto"/>
            <w:vAlign w:val="center"/>
            <w:hideMark/>
          </w:tcPr>
          <w:p w14:paraId="3090E38A" w14:textId="543444DB" w:rsidR="009372FF" w:rsidRPr="006E4BE1" w:rsidRDefault="00232B1E" w:rsidP="00AE50C9">
            <w:pPr>
              <w:rPr>
                <w:rFonts w:ascii="Arial Narrow" w:hAnsi="Arial Narrow" w:cs="Arial"/>
                <w:b/>
                <w:bCs/>
                <w:color w:val="000000"/>
                <w:lang w:val="es-ES_tradnl"/>
              </w:rPr>
            </w:pPr>
            <w:r w:rsidRPr="006E4BE1">
              <w:rPr>
                <w:rFonts w:ascii="Arial Narrow" w:hAnsi="Arial Narrow" w:cs="Arial"/>
                <w:b/>
                <w:bCs/>
                <w:color w:val="000000"/>
                <w:lang w:val="es-ES_tradnl"/>
              </w:rPr>
              <w:t>Disponibilidad de recursos 2022-2023</w:t>
            </w:r>
          </w:p>
        </w:tc>
        <w:tc>
          <w:tcPr>
            <w:tcW w:w="1727" w:type="dxa"/>
            <w:tcBorders>
              <w:top w:val="nil"/>
              <w:left w:val="nil"/>
              <w:bottom w:val="nil"/>
              <w:right w:val="nil"/>
            </w:tcBorders>
            <w:shd w:val="clear" w:color="auto" w:fill="auto"/>
            <w:vAlign w:val="center"/>
            <w:hideMark/>
          </w:tcPr>
          <w:p w14:paraId="4175E2A6" w14:textId="77777777" w:rsidR="009372FF" w:rsidRPr="006E4BE1" w:rsidRDefault="009372FF" w:rsidP="00AE50C9">
            <w:pPr>
              <w:jc w:val="right"/>
              <w:rPr>
                <w:rFonts w:ascii="Arial Narrow" w:hAnsi="Arial Narrow" w:cs="Arial"/>
                <w:b/>
                <w:bCs/>
                <w:color w:val="000000"/>
                <w:lang w:val="es-ES_tradnl"/>
              </w:rPr>
            </w:pPr>
          </w:p>
        </w:tc>
        <w:tc>
          <w:tcPr>
            <w:tcW w:w="1778" w:type="dxa"/>
            <w:tcBorders>
              <w:top w:val="nil"/>
              <w:left w:val="nil"/>
              <w:bottom w:val="nil"/>
              <w:right w:val="nil"/>
            </w:tcBorders>
            <w:shd w:val="clear" w:color="auto" w:fill="auto"/>
            <w:vAlign w:val="center"/>
            <w:hideMark/>
          </w:tcPr>
          <w:p w14:paraId="6284D903" w14:textId="77777777" w:rsidR="009372FF" w:rsidRPr="006E4BE1" w:rsidRDefault="009372FF" w:rsidP="00AE50C9">
            <w:pPr>
              <w:jc w:val="right"/>
              <w:rPr>
                <w:rFonts w:ascii="Times New Roman" w:hAnsi="Times New Roman"/>
                <w:lang w:val="es-ES_tradnl"/>
              </w:rPr>
            </w:pPr>
          </w:p>
        </w:tc>
        <w:tc>
          <w:tcPr>
            <w:tcW w:w="1905" w:type="dxa"/>
            <w:tcBorders>
              <w:top w:val="nil"/>
              <w:left w:val="nil"/>
              <w:bottom w:val="nil"/>
              <w:right w:val="nil"/>
            </w:tcBorders>
            <w:shd w:val="clear" w:color="auto" w:fill="auto"/>
            <w:vAlign w:val="center"/>
            <w:hideMark/>
          </w:tcPr>
          <w:p w14:paraId="1D8638B6" w14:textId="77777777" w:rsidR="009372FF" w:rsidRPr="006E4BE1" w:rsidRDefault="009372FF" w:rsidP="00AE50C9">
            <w:pPr>
              <w:jc w:val="right"/>
              <w:rPr>
                <w:rFonts w:ascii="Times New Roman" w:hAnsi="Times New Roman"/>
                <w:lang w:val="es-ES_tradnl"/>
              </w:rPr>
            </w:pPr>
          </w:p>
        </w:tc>
      </w:tr>
      <w:tr w:rsidR="009372FF" w:rsidRPr="006E4BE1" w14:paraId="6206C08D" w14:textId="77777777" w:rsidTr="009372FF">
        <w:trPr>
          <w:trHeight w:val="349"/>
        </w:trPr>
        <w:tc>
          <w:tcPr>
            <w:tcW w:w="482" w:type="dxa"/>
            <w:tcBorders>
              <w:top w:val="nil"/>
              <w:left w:val="nil"/>
              <w:bottom w:val="nil"/>
              <w:right w:val="nil"/>
            </w:tcBorders>
            <w:shd w:val="clear" w:color="auto" w:fill="auto"/>
            <w:vAlign w:val="center"/>
            <w:hideMark/>
          </w:tcPr>
          <w:p w14:paraId="7561A580" w14:textId="7777777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4</w:t>
            </w:r>
          </w:p>
        </w:tc>
        <w:tc>
          <w:tcPr>
            <w:tcW w:w="3836" w:type="dxa"/>
            <w:tcBorders>
              <w:top w:val="nil"/>
              <w:left w:val="nil"/>
              <w:bottom w:val="nil"/>
              <w:right w:val="nil"/>
            </w:tcBorders>
            <w:shd w:val="clear" w:color="auto" w:fill="auto"/>
            <w:vAlign w:val="center"/>
            <w:hideMark/>
          </w:tcPr>
          <w:p w14:paraId="3E1712E4" w14:textId="7D76FB10" w:rsidR="009372FF" w:rsidRPr="006E4BE1" w:rsidRDefault="00232B1E" w:rsidP="00AE50C9">
            <w:pPr>
              <w:rPr>
                <w:rFonts w:ascii="Arial Narrow" w:hAnsi="Arial Narrow" w:cs="Arial"/>
                <w:color w:val="000000"/>
                <w:lang w:val="es-ES_tradnl"/>
              </w:rPr>
            </w:pPr>
            <w:r w:rsidRPr="006E4BE1">
              <w:rPr>
                <w:rFonts w:ascii="Arial Narrow" w:hAnsi="Arial Narrow" w:cs="Arial"/>
                <w:color w:val="000000"/>
                <w:lang w:val="es-ES_tradnl"/>
              </w:rPr>
              <w:t>Ingresos</w:t>
            </w:r>
          </w:p>
        </w:tc>
        <w:tc>
          <w:tcPr>
            <w:tcW w:w="1727" w:type="dxa"/>
            <w:tcBorders>
              <w:top w:val="nil"/>
              <w:left w:val="nil"/>
              <w:bottom w:val="nil"/>
              <w:right w:val="nil"/>
            </w:tcBorders>
            <w:shd w:val="clear" w:color="auto" w:fill="auto"/>
            <w:vAlign w:val="center"/>
            <w:hideMark/>
          </w:tcPr>
          <w:p w14:paraId="163C842E" w14:textId="797A5286"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7</w:t>
            </w:r>
            <w:r w:rsidR="00D021D1" w:rsidRPr="006E4BE1">
              <w:rPr>
                <w:rFonts w:ascii="Arial Narrow" w:hAnsi="Arial Narrow" w:cs="Arial"/>
                <w:color w:val="000000"/>
                <w:lang w:val="es-ES_tradnl"/>
              </w:rPr>
              <w:t>.</w:t>
            </w:r>
            <w:r w:rsidRPr="006E4BE1">
              <w:rPr>
                <w:rFonts w:ascii="Arial Narrow" w:hAnsi="Arial Narrow" w:cs="Arial"/>
                <w:color w:val="000000"/>
                <w:lang w:val="es-ES_tradnl"/>
              </w:rPr>
              <w:t>635</w:t>
            </w:r>
          </w:p>
        </w:tc>
        <w:tc>
          <w:tcPr>
            <w:tcW w:w="1778" w:type="dxa"/>
            <w:tcBorders>
              <w:top w:val="nil"/>
              <w:left w:val="nil"/>
              <w:bottom w:val="nil"/>
              <w:right w:val="nil"/>
            </w:tcBorders>
            <w:shd w:val="clear" w:color="auto" w:fill="auto"/>
            <w:vAlign w:val="center"/>
            <w:hideMark/>
          </w:tcPr>
          <w:p w14:paraId="2AA799E6" w14:textId="7777777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965</w:t>
            </w:r>
          </w:p>
        </w:tc>
        <w:tc>
          <w:tcPr>
            <w:tcW w:w="1905" w:type="dxa"/>
            <w:tcBorders>
              <w:top w:val="nil"/>
              <w:left w:val="nil"/>
              <w:bottom w:val="nil"/>
              <w:right w:val="nil"/>
            </w:tcBorders>
            <w:shd w:val="clear" w:color="auto" w:fill="auto"/>
            <w:vAlign w:val="center"/>
            <w:hideMark/>
          </w:tcPr>
          <w:p w14:paraId="7AC7E770" w14:textId="424CB1CD"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8</w:t>
            </w:r>
            <w:r w:rsidR="00D021D1" w:rsidRPr="006E4BE1">
              <w:rPr>
                <w:rFonts w:ascii="Arial Narrow" w:hAnsi="Arial Narrow" w:cs="Arial"/>
                <w:color w:val="000000"/>
                <w:lang w:val="es-ES_tradnl"/>
              </w:rPr>
              <w:t>.</w:t>
            </w:r>
            <w:r w:rsidRPr="006E4BE1">
              <w:rPr>
                <w:rFonts w:ascii="Arial Narrow" w:hAnsi="Arial Narrow" w:cs="Arial"/>
                <w:color w:val="000000"/>
                <w:lang w:val="es-ES_tradnl"/>
              </w:rPr>
              <w:t>600</w:t>
            </w:r>
          </w:p>
        </w:tc>
      </w:tr>
      <w:tr w:rsidR="009372FF" w:rsidRPr="006E4BE1" w14:paraId="16CAB39E" w14:textId="77777777" w:rsidTr="009372FF">
        <w:trPr>
          <w:trHeight w:val="349"/>
        </w:trPr>
        <w:tc>
          <w:tcPr>
            <w:tcW w:w="482" w:type="dxa"/>
            <w:tcBorders>
              <w:top w:val="nil"/>
              <w:left w:val="nil"/>
              <w:bottom w:val="nil"/>
              <w:right w:val="nil"/>
            </w:tcBorders>
            <w:shd w:val="clear" w:color="auto" w:fill="auto"/>
            <w:vAlign w:val="center"/>
            <w:hideMark/>
          </w:tcPr>
          <w:p w14:paraId="3815CDA5" w14:textId="77777777"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5</w:t>
            </w:r>
          </w:p>
        </w:tc>
        <w:tc>
          <w:tcPr>
            <w:tcW w:w="3836" w:type="dxa"/>
            <w:tcBorders>
              <w:top w:val="nil"/>
              <w:left w:val="nil"/>
              <w:bottom w:val="nil"/>
              <w:right w:val="nil"/>
            </w:tcBorders>
            <w:shd w:val="clear" w:color="auto" w:fill="auto"/>
            <w:vAlign w:val="center"/>
            <w:hideMark/>
          </w:tcPr>
          <w:p w14:paraId="377F066A" w14:textId="5D606FD3" w:rsidR="009372FF" w:rsidRPr="006E4BE1" w:rsidRDefault="00232B1E" w:rsidP="00AE50C9">
            <w:pPr>
              <w:rPr>
                <w:rFonts w:ascii="Arial Narrow" w:hAnsi="Arial Narrow" w:cs="Arial"/>
                <w:color w:val="000000"/>
                <w:lang w:val="es-ES_tradnl"/>
              </w:rPr>
            </w:pPr>
            <w:r w:rsidRPr="006E4BE1">
              <w:rPr>
                <w:rFonts w:ascii="Arial Narrow" w:hAnsi="Arial Narrow" w:cs="Arial"/>
                <w:color w:val="000000"/>
                <w:lang w:val="es-ES_tradnl"/>
              </w:rPr>
              <w:t>+/(-) Transferencias hacia/desde reservas</w:t>
            </w:r>
          </w:p>
        </w:tc>
        <w:tc>
          <w:tcPr>
            <w:tcW w:w="1727" w:type="dxa"/>
            <w:tcBorders>
              <w:top w:val="nil"/>
              <w:left w:val="nil"/>
              <w:bottom w:val="nil"/>
              <w:right w:val="nil"/>
            </w:tcBorders>
            <w:shd w:val="clear" w:color="auto" w:fill="auto"/>
            <w:vAlign w:val="center"/>
            <w:hideMark/>
          </w:tcPr>
          <w:p w14:paraId="1F25D153" w14:textId="38A20456"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w:t>
            </w:r>
          </w:p>
        </w:tc>
        <w:tc>
          <w:tcPr>
            <w:tcW w:w="1778" w:type="dxa"/>
            <w:tcBorders>
              <w:top w:val="nil"/>
              <w:left w:val="nil"/>
              <w:bottom w:val="nil"/>
              <w:right w:val="nil"/>
            </w:tcBorders>
            <w:shd w:val="clear" w:color="auto" w:fill="auto"/>
            <w:vAlign w:val="center"/>
            <w:hideMark/>
          </w:tcPr>
          <w:p w14:paraId="08DC1534" w14:textId="133925D9"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w:t>
            </w:r>
          </w:p>
        </w:tc>
        <w:tc>
          <w:tcPr>
            <w:tcW w:w="1905" w:type="dxa"/>
            <w:tcBorders>
              <w:top w:val="nil"/>
              <w:left w:val="nil"/>
              <w:bottom w:val="nil"/>
              <w:right w:val="nil"/>
            </w:tcBorders>
            <w:shd w:val="clear" w:color="auto" w:fill="auto"/>
            <w:vAlign w:val="center"/>
            <w:hideMark/>
          </w:tcPr>
          <w:p w14:paraId="7E261A45" w14:textId="7F04BB22" w:rsidR="009372FF" w:rsidRPr="006E4BE1" w:rsidRDefault="009372FF" w:rsidP="00AE50C9">
            <w:pPr>
              <w:jc w:val="right"/>
              <w:rPr>
                <w:rFonts w:ascii="Arial Narrow" w:hAnsi="Arial Narrow" w:cs="Arial"/>
                <w:color w:val="000000"/>
                <w:lang w:val="es-ES_tradnl"/>
              </w:rPr>
            </w:pPr>
            <w:r w:rsidRPr="006E4BE1">
              <w:rPr>
                <w:rFonts w:ascii="Arial Narrow" w:hAnsi="Arial Narrow" w:cs="Arial"/>
                <w:color w:val="000000"/>
                <w:lang w:val="es-ES_tradnl"/>
              </w:rPr>
              <w:t>-</w:t>
            </w:r>
          </w:p>
        </w:tc>
      </w:tr>
      <w:tr w:rsidR="009372FF" w:rsidRPr="006E4BE1" w14:paraId="49434353" w14:textId="77777777" w:rsidTr="009372FF">
        <w:trPr>
          <w:trHeight w:val="379"/>
        </w:trPr>
        <w:tc>
          <w:tcPr>
            <w:tcW w:w="482" w:type="dxa"/>
            <w:tcBorders>
              <w:top w:val="single" w:sz="4" w:space="0" w:color="AAB8C4"/>
              <w:left w:val="nil"/>
              <w:bottom w:val="single" w:sz="8" w:space="0" w:color="AAB8C4"/>
              <w:right w:val="nil"/>
            </w:tcBorders>
            <w:shd w:val="clear" w:color="auto" w:fill="auto"/>
            <w:vAlign w:val="center"/>
            <w:hideMark/>
          </w:tcPr>
          <w:p w14:paraId="79597343" w14:textId="77777777" w:rsidR="009372FF" w:rsidRPr="006E4BE1" w:rsidRDefault="009372FF"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6</w:t>
            </w:r>
          </w:p>
        </w:tc>
        <w:tc>
          <w:tcPr>
            <w:tcW w:w="3836" w:type="dxa"/>
            <w:tcBorders>
              <w:top w:val="single" w:sz="4" w:space="0" w:color="AAB8C4"/>
              <w:left w:val="nil"/>
              <w:bottom w:val="single" w:sz="8" w:space="0" w:color="AAB8C4"/>
              <w:right w:val="nil"/>
            </w:tcBorders>
            <w:shd w:val="clear" w:color="auto" w:fill="auto"/>
            <w:vAlign w:val="center"/>
            <w:hideMark/>
          </w:tcPr>
          <w:p w14:paraId="77A7BA63" w14:textId="6B926B6A" w:rsidR="009372FF" w:rsidRPr="006E4BE1" w:rsidRDefault="00232B1E" w:rsidP="00AE50C9">
            <w:pPr>
              <w:rPr>
                <w:rFonts w:ascii="Arial Narrow" w:hAnsi="Arial Narrow" w:cs="Arial"/>
                <w:b/>
                <w:bCs/>
                <w:color w:val="000000"/>
                <w:lang w:val="es-ES_tradnl"/>
              </w:rPr>
            </w:pPr>
            <w:r w:rsidRPr="006E4BE1">
              <w:rPr>
                <w:rFonts w:ascii="Arial Narrow" w:hAnsi="Arial Narrow" w:cs="Arial"/>
                <w:b/>
                <w:bCs/>
                <w:color w:val="000000"/>
                <w:lang w:val="es-ES_tradnl"/>
              </w:rPr>
              <w:t>Total de recursos</w:t>
            </w:r>
          </w:p>
        </w:tc>
        <w:tc>
          <w:tcPr>
            <w:tcW w:w="1727" w:type="dxa"/>
            <w:tcBorders>
              <w:top w:val="single" w:sz="4" w:space="0" w:color="AAB8C4"/>
              <w:left w:val="nil"/>
              <w:bottom w:val="single" w:sz="8" w:space="0" w:color="AAB8C4"/>
              <w:right w:val="nil"/>
            </w:tcBorders>
            <w:shd w:val="clear" w:color="auto" w:fill="auto"/>
            <w:vAlign w:val="center"/>
            <w:hideMark/>
          </w:tcPr>
          <w:p w14:paraId="78A65B47" w14:textId="3951A058" w:rsidR="009372FF" w:rsidRPr="006E4BE1" w:rsidRDefault="009372FF"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D021D1" w:rsidRPr="006E4BE1">
              <w:rPr>
                <w:rFonts w:ascii="Arial Narrow" w:hAnsi="Arial Narrow" w:cs="Arial"/>
                <w:b/>
                <w:bCs/>
                <w:color w:val="000000"/>
                <w:lang w:val="es-ES_tradnl"/>
              </w:rPr>
              <w:t>.</w:t>
            </w:r>
            <w:r w:rsidRPr="006E4BE1">
              <w:rPr>
                <w:rFonts w:ascii="Arial Narrow" w:hAnsi="Arial Narrow" w:cs="Arial"/>
                <w:b/>
                <w:bCs/>
                <w:color w:val="000000"/>
                <w:lang w:val="es-ES_tradnl"/>
              </w:rPr>
              <w:t>635</w:t>
            </w:r>
          </w:p>
        </w:tc>
        <w:tc>
          <w:tcPr>
            <w:tcW w:w="1778" w:type="dxa"/>
            <w:tcBorders>
              <w:top w:val="single" w:sz="4" w:space="0" w:color="AAB8C4"/>
              <w:left w:val="nil"/>
              <w:bottom w:val="single" w:sz="8" w:space="0" w:color="AAB8C4"/>
              <w:right w:val="nil"/>
            </w:tcBorders>
            <w:shd w:val="clear" w:color="auto" w:fill="auto"/>
            <w:vAlign w:val="center"/>
            <w:hideMark/>
          </w:tcPr>
          <w:p w14:paraId="2108A19D" w14:textId="77777777" w:rsidR="009372FF" w:rsidRPr="006E4BE1" w:rsidRDefault="009372FF"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965</w:t>
            </w:r>
          </w:p>
        </w:tc>
        <w:tc>
          <w:tcPr>
            <w:tcW w:w="1905" w:type="dxa"/>
            <w:tcBorders>
              <w:top w:val="single" w:sz="4" w:space="0" w:color="AAB8C4"/>
              <w:left w:val="nil"/>
              <w:bottom w:val="single" w:sz="8" w:space="0" w:color="AAB8C4"/>
              <w:right w:val="nil"/>
            </w:tcBorders>
            <w:shd w:val="clear" w:color="auto" w:fill="auto"/>
            <w:vAlign w:val="center"/>
            <w:hideMark/>
          </w:tcPr>
          <w:p w14:paraId="632CD063" w14:textId="476C3ACB" w:rsidR="009372FF" w:rsidRPr="006E4BE1" w:rsidRDefault="009372FF"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8</w:t>
            </w:r>
            <w:r w:rsidR="00D021D1" w:rsidRPr="006E4BE1">
              <w:rPr>
                <w:rFonts w:ascii="Arial Narrow" w:hAnsi="Arial Narrow" w:cs="Arial"/>
                <w:b/>
                <w:bCs/>
                <w:color w:val="000000"/>
                <w:lang w:val="es-ES_tradnl"/>
              </w:rPr>
              <w:t>.</w:t>
            </w:r>
            <w:r w:rsidRPr="006E4BE1">
              <w:rPr>
                <w:rFonts w:ascii="Arial Narrow" w:hAnsi="Arial Narrow" w:cs="Arial"/>
                <w:b/>
                <w:bCs/>
                <w:color w:val="000000"/>
                <w:lang w:val="es-ES_tradnl"/>
              </w:rPr>
              <w:t>600</w:t>
            </w:r>
          </w:p>
        </w:tc>
      </w:tr>
      <w:tr w:rsidR="009372FF" w:rsidRPr="006E4BE1" w14:paraId="5E10EA9F" w14:textId="77777777" w:rsidTr="009372FF">
        <w:trPr>
          <w:trHeight w:val="334"/>
        </w:trPr>
        <w:tc>
          <w:tcPr>
            <w:tcW w:w="482" w:type="dxa"/>
            <w:tcBorders>
              <w:top w:val="nil"/>
              <w:left w:val="nil"/>
              <w:bottom w:val="nil"/>
              <w:right w:val="nil"/>
            </w:tcBorders>
            <w:shd w:val="clear" w:color="auto" w:fill="auto"/>
            <w:hideMark/>
          </w:tcPr>
          <w:p w14:paraId="347AAD6E" w14:textId="77777777" w:rsidR="009372FF" w:rsidRPr="006E4BE1" w:rsidRDefault="009372FF" w:rsidP="00AE50C9">
            <w:pPr>
              <w:jc w:val="right"/>
              <w:rPr>
                <w:rFonts w:ascii="Arial Narrow" w:hAnsi="Arial Narrow" w:cs="Arial"/>
                <w:b/>
                <w:bCs/>
                <w:color w:val="000000"/>
                <w:lang w:val="es-ES_tradnl"/>
              </w:rPr>
            </w:pPr>
          </w:p>
        </w:tc>
        <w:tc>
          <w:tcPr>
            <w:tcW w:w="3836" w:type="dxa"/>
            <w:tcBorders>
              <w:top w:val="nil"/>
              <w:left w:val="nil"/>
              <w:bottom w:val="nil"/>
              <w:right w:val="nil"/>
            </w:tcBorders>
            <w:shd w:val="clear" w:color="auto" w:fill="auto"/>
            <w:vAlign w:val="center"/>
            <w:hideMark/>
          </w:tcPr>
          <w:p w14:paraId="615C2C7A" w14:textId="64C405E7" w:rsidR="009372FF" w:rsidRPr="006E4BE1" w:rsidRDefault="00232B1E" w:rsidP="00AE50C9">
            <w:pPr>
              <w:rPr>
                <w:rFonts w:ascii="Arial Narrow" w:hAnsi="Arial Narrow" w:cs="Arial"/>
                <w:i/>
                <w:iCs/>
                <w:color w:val="000000"/>
                <w:lang w:val="es-ES_tradnl"/>
              </w:rPr>
            </w:pPr>
            <w:r w:rsidRPr="006E4BE1">
              <w:rPr>
                <w:rFonts w:ascii="Arial Narrow" w:hAnsi="Arial Narrow" w:cs="Arial"/>
                <w:i/>
                <w:iCs/>
                <w:color w:val="000000"/>
                <w:lang w:val="es-ES_tradnl"/>
              </w:rPr>
              <w:t>Variación</w:t>
            </w:r>
          </w:p>
        </w:tc>
        <w:tc>
          <w:tcPr>
            <w:tcW w:w="1727" w:type="dxa"/>
            <w:tcBorders>
              <w:top w:val="nil"/>
              <w:left w:val="nil"/>
              <w:bottom w:val="nil"/>
              <w:right w:val="nil"/>
            </w:tcBorders>
            <w:shd w:val="clear" w:color="auto" w:fill="auto"/>
            <w:vAlign w:val="center"/>
            <w:hideMark/>
          </w:tcPr>
          <w:p w14:paraId="28232428" w14:textId="1A83D6C9" w:rsidR="009372FF" w:rsidRPr="006E4BE1" w:rsidRDefault="009372FF"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10</w:t>
            </w:r>
            <w:r w:rsidR="00D021D1" w:rsidRPr="006E4BE1">
              <w:rPr>
                <w:rFonts w:ascii="Arial Narrow" w:hAnsi="Arial Narrow" w:cs="Arial"/>
                <w:i/>
                <w:iCs/>
                <w:color w:val="000000"/>
                <w:lang w:val="es-ES_tradnl"/>
              </w:rPr>
              <w:t>,</w:t>
            </w:r>
            <w:r w:rsidRPr="006E4BE1">
              <w:rPr>
                <w:rFonts w:ascii="Arial Narrow" w:hAnsi="Arial Narrow" w:cs="Arial"/>
                <w:i/>
                <w:iCs/>
                <w:color w:val="000000"/>
                <w:lang w:val="es-ES_tradnl"/>
              </w:rPr>
              <w:t>2%</w:t>
            </w:r>
          </w:p>
        </w:tc>
        <w:tc>
          <w:tcPr>
            <w:tcW w:w="1778" w:type="dxa"/>
            <w:tcBorders>
              <w:top w:val="nil"/>
              <w:left w:val="nil"/>
              <w:bottom w:val="nil"/>
              <w:right w:val="nil"/>
            </w:tcBorders>
            <w:shd w:val="clear" w:color="auto" w:fill="auto"/>
            <w:vAlign w:val="center"/>
            <w:hideMark/>
          </w:tcPr>
          <w:p w14:paraId="672ED238" w14:textId="77777777" w:rsidR="009372FF" w:rsidRPr="006E4BE1" w:rsidRDefault="009372FF" w:rsidP="00AE50C9">
            <w:pPr>
              <w:jc w:val="right"/>
              <w:rPr>
                <w:rFonts w:ascii="Arial Narrow" w:hAnsi="Arial Narrow" w:cs="Arial"/>
                <w:i/>
                <w:iCs/>
                <w:color w:val="000000"/>
                <w:lang w:val="es-ES_tradnl"/>
              </w:rPr>
            </w:pPr>
          </w:p>
        </w:tc>
        <w:tc>
          <w:tcPr>
            <w:tcW w:w="1905" w:type="dxa"/>
            <w:tcBorders>
              <w:top w:val="nil"/>
              <w:left w:val="nil"/>
              <w:bottom w:val="nil"/>
              <w:right w:val="nil"/>
            </w:tcBorders>
            <w:shd w:val="clear" w:color="auto" w:fill="auto"/>
            <w:vAlign w:val="center"/>
            <w:hideMark/>
          </w:tcPr>
          <w:p w14:paraId="0A439752" w14:textId="406238D0" w:rsidR="009372FF" w:rsidRPr="006E4BE1" w:rsidRDefault="009372FF"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9</w:t>
            </w:r>
            <w:r w:rsidR="00D021D1" w:rsidRPr="006E4BE1">
              <w:rPr>
                <w:rFonts w:ascii="Arial Narrow" w:hAnsi="Arial Narrow" w:cs="Arial"/>
                <w:i/>
                <w:iCs/>
                <w:color w:val="000000"/>
                <w:lang w:val="es-ES_tradnl"/>
              </w:rPr>
              <w:t>,</w:t>
            </w:r>
            <w:r w:rsidRPr="006E4BE1">
              <w:rPr>
                <w:rFonts w:ascii="Arial Narrow" w:hAnsi="Arial Narrow" w:cs="Arial"/>
                <w:i/>
                <w:iCs/>
                <w:color w:val="000000"/>
                <w:lang w:val="es-ES_tradnl"/>
              </w:rPr>
              <w:t>4%</w:t>
            </w:r>
          </w:p>
        </w:tc>
      </w:tr>
    </w:tbl>
    <w:p w14:paraId="2173DD79" w14:textId="77777777" w:rsidR="001240C5" w:rsidRPr="006E4BE1" w:rsidRDefault="00DA42F6" w:rsidP="00DA42F6">
      <w:pPr>
        <w:spacing w:before="120"/>
        <w:rPr>
          <w:sz w:val="16"/>
          <w:lang w:val="es-ES_tradnl"/>
        </w:rPr>
      </w:pPr>
      <w:r w:rsidRPr="006E4BE1">
        <w:rPr>
          <w:sz w:val="16"/>
          <w:lang w:val="es-ES_tradnl"/>
        </w:rPr>
        <w:t>* Excluidos los gastos de apoyo administrativo del 13% en el marco de los fondos fiduciarios.</w:t>
      </w:r>
    </w:p>
    <w:p w14:paraId="75043A3A" w14:textId="77777777" w:rsidR="001240C5" w:rsidRPr="006E4BE1" w:rsidRDefault="001240C5" w:rsidP="00AE50C9">
      <w:pPr>
        <w:rPr>
          <w:lang w:val="es-ES_tradnl"/>
        </w:rPr>
      </w:pPr>
    </w:p>
    <w:p w14:paraId="7064DA89" w14:textId="77777777" w:rsidR="001240C5" w:rsidRPr="006E4BE1" w:rsidRDefault="00A3090B" w:rsidP="00B60E92">
      <w:pPr>
        <w:pStyle w:val="Heading3"/>
      </w:pPr>
      <w:bookmarkStart w:id="459" w:name="_Toc78476736"/>
      <w:r w:rsidRPr="006E4BE1">
        <w:t>Gastos</w:t>
      </w:r>
      <w:bookmarkEnd w:id="459"/>
    </w:p>
    <w:p w14:paraId="6820A6DD" w14:textId="77777777" w:rsidR="001240C5" w:rsidRPr="006E4BE1" w:rsidRDefault="001240C5" w:rsidP="00362930">
      <w:pPr>
        <w:rPr>
          <w:lang w:val="es-ES_tradnl"/>
        </w:rPr>
      </w:pPr>
    </w:p>
    <w:p w14:paraId="0676EC43" w14:textId="77777777" w:rsidR="001240C5" w:rsidRPr="006E4BE1" w:rsidRDefault="00A3090B" w:rsidP="00AE50C9">
      <w:pPr>
        <w:tabs>
          <w:tab w:val="left" w:pos="567"/>
        </w:tabs>
        <w:rPr>
          <w:lang w:val="es-ES_tradnl"/>
        </w:rPr>
      </w:pPr>
      <w:r w:rsidRPr="006E4BE1">
        <w:rPr>
          <w:lang w:val="es-ES_tradnl"/>
        </w:rPr>
        <w:t>La propuesta de presupuesto para 2022-2023 asciende a 7.634.500</w:t>
      </w:r>
      <w:r w:rsidR="007E6808" w:rsidRPr="006E4BE1">
        <w:rPr>
          <w:lang w:val="es-ES_tradnl"/>
        </w:rPr>
        <w:t> francos</w:t>
      </w:r>
      <w:r w:rsidRPr="006E4BE1">
        <w:rPr>
          <w:lang w:val="es-ES_tradnl"/>
        </w:rPr>
        <w:t xml:space="preserve"> suizos, lo que representa un aumento de 287.215</w:t>
      </w:r>
      <w:r w:rsidR="007E6808" w:rsidRPr="006E4BE1">
        <w:rPr>
          <w:lang w:val="es-ES_tradnl"/>
        </w:rPr>
        <w:t> francos</w:t>
      </w:r>
      <w:r w:rsidRPr="006E4BE1">
        <w:rPr>
          <w:lang w:val="es-ES_tradnl"/>
        </w:rPr>
        <w:t xml:space="preserve"> suizos (3,9%) en comparación con el presupuesto para 2020-2021 (véase el cuadro 4).</w:t>
      </w:r>
    </w:p>
    <w:p w14:paraId="1B5281C3" w14:textId="77777777" w:rsidR="001240C5" w:rsidRPr="006E4BE1" w:rsidRDefault="001240C5" w:rsidP="00AE50C9">
      <w:pPr>
        <w:tabs>
          <w:tab w:val="left" w:pos="567"/>
        </w:tabs>
        <w:rPr>
          <w:lang w:val="es-ES_tradnl"/>
        </w:rPr>
      </w:pPr>
    </w:p>
    <w:p w14:paraId="4E9C5762" w14:textId="77777777" w:rsidR="001240C5" w:rsidRPr="006E4BE1" w:rsidRDefault="00A3090B" w:rsidP="00AE50C9">
      <w:pPr>
        <w:pStyle w:val="ListParagraph"/>
        <w:tabs>
          <w:tab w:val="left" w:pos="851"/>
        </w:tabs>
        <w:ind w:left="0"/>
        <w:contextualSpacing w:val="0"/>
        <w:rPr>
          <w:lang w:val="es-ES_tradnl"/>
        </w:rPr>
      </w:pPr>
      <w:r w:rsidRPr="006E4BE1">
        <w:rPr>
          <w:lang w:val="es-ES_tradnl"/>
        </w:rPr>
        <w:t>La restricción de la movilidad como consecuencia de la pandemia de COVID-19 ha permitido reducir los costos de viaje y aumentar el acceso y la asistencia a los miembros de la Unión y a las partes interesadas</w:t>
      </w:r>
      <w:r w:rsidR="00FE64A1" w:rsidRPr="006E4BE1">
        <w:rPr>
          <w:lang w:val="es-ES_tradnl"/>
        </w:rPr>
        <w:t xml:space="preserve">.  </w:t>
      </w:r>
      <w:r w:rsidRPr="006E4BE1">
        <w:rPr>
          <w:lang w:val="es-ES_tradnl"/>
        </w:rPr>
        <w:t>Uno de los objetivos del bienio 2022-2023 será desviar recursos financieros de los costos de viaje para invertirlos en nuevas formas de asistencia.</w:t>
      </w:r>
    </w:p>
    <w:p w14:paraId="5ED11A2D" w14:textId="77777777" w:rsidR="001240C5" w:rsidRPr="006E4BE1" w:rsidRDefault="001240C5" w:rsidP="00AE50C9">
      <w:pPr>
        <w:pStyle w:val="ListParagraph"/>
        <w:tabs>
          <w:tab w:val="left" w:pos="851"/>
        </w:tabs>
        <w:ind w:left="0"/>
        <w:contextualSpacing w:val="0"/>
        <w:rPr>
          <w:lang w:val="es-ES_tradnl"/>
        </w:rPr>
      </w:pPr>
    </w:p>
    <w:p w14:paraId="1191EB94" w14:textId="77777777" w:rsidR="001240C5" w:rsidRPr="006E4BE1" w:rsidRDefault="00A3090B" w:rsidP="00AE50C9">
      <w:pPr>
        <w:pStyle w:val="ListParagraph"/>
        <w:tabs>
          <w:tab w:val="left" w:pos="851"/>
        </w:tabs>
        <w:ind w:left="0"/>
        <w:contextualSpacing w:val="0"/>
        <w:rPr>
          <w:lang w:val="es-ES_tradnl"/>
        </w:rPr>
      </w:pPr>
      <w:r w:rsidRPr="006E4BE1">
        <w:rPr>
          <w:lang w:val="es-ES_tradnl"/>
        </w:rPr>
        <w:t>De conformidad con el plan operativo estratégico para 2021-2025 (véase el Anexo II del documento CC/97/3), se prevé desarrollar un conjunto de herramientas compatibles en el bienio 2022-2023</w:t>
      </w:r>
      <w:r w:rsidR="00FE64A1" w:rsidRPr="006E4BE1">
        <w:rPr>
          <w:lang w:val="es-ES_tradnl"/>
        </w:rPr>
        <w:t xml:space="preserve">.  </w:t>
      </w:r>
      <w:r w:rsidR="002E51A3" w:rsidRPr="006E4BE1">
        <w:rPr>
          <w:lang w:val="es-ES_tradnl"/>
        </w:rPr>
        <w:t xml:space="preserve">Esas herramientas permitirán prestar una asistencia coherente y completa en la aplicación del sistema de protección de las obtenciones vegetales de la UPOV, a la vez que los miembros de la Unión podrán utilizar algunas o todas ellas, según se considere oportuno (véase </w:t>
      </w:r>
      <w:r w:rsidR="00C178AA" w:rsidRPr="006E4BE1">
        <w:rPr>
          <w:lang w:val="es-ES_tradnl"/>
        </w:rPr>
        <w:t>“</w:t>
      </w:r>
      <w:r w:rsidR="002E51A3" w:rsidRPr="006E4BE1">
        <w:rPr>
          <w:lang w:val="es-ES_tradnl"/>
        </w:rPr>
        <w:t>Dirección para el bienio 2022-2023</w:t>
      </w:r>
      <w:r w:rsidR="00C178AA" w:rsidRPr="006E4BE1">
        <w:rPr>
          <w:lang w:val="es-ES_tradnl"/>
        </w:rPr>
        <w:t>”</w:t>
      </w:r>
      <w:r w:rsidR="002E51A3" w:rsidRPr="006E4BE1">
        <w:rPr>
          <w:lang w:val="es-ES_tradnl"/>
        </w:rPr>
        <w:t xml:space="preserve">: </w:t>
      </w:r>
      <w:r w:rsidR="00C178AA" w:rsidRPr="006E4BE1">
        <w:rPr>
          <w:lang w:val="es-ES_tradnl"/>
        </w:rPr>
        <w:t>“</w:t>
      </w:r>
      <w:r w:rsidR="002E51A3" w:rsidRPr="006E4BE1">
        <w:rPr>
          <w:lang w:val="es-ES_tradnl"/>
        </w:rPr>
        <w:t>Un sistema eficaz de protección de las obtenciones vegetales</w:t>
      </w:r>
      <w:r w:rsidR="00C178AA" w:rsidRPr="006E4BE1">
        <w:rPr>
          <w:lang w:val="es-ES_tradnl"/>
        </w:rPr>
        <w:t>”</w:t>
      </w:r>
      <w:r w:rsidR="002E51A3" w:rsidRPr="006E4BE1">
        <w:rPr>
          <w:lang w:val="es-ES_tradnl"/>
        </w:rPr>
        <w:t xml:space="preserve"> y </w:t>
      </w:r>
      <w:r w:rsidR="00C178AA" w:rsidRPr="006E4BE1">
        <w:rPr>
          <w:lang w:val="es-ES_tradnl"/>
        </w:rPr>
        <w:t>“</w:t>
      </w:r>
      <w:r w:rsidR="002E51A3" w:rsidRPr="006E4BE1">
        <w:rPr>
          <w:lang w:val="es-ES_tradnl"/>
        </w:rPr>
        <w:t xml:space="preserve">Herramientas informáticas para </w:t>
      </w:r>
      <w:r w:rsidR="00362930" w:rsidRPr="006E4BE1">
        <w:rPr>
          <w:lang w:val="es-ES_tradnl"/>
        </w:rPr>
        <w:t>la aplicación del sistema de la </w:t>
      </w:r>
      <w:r w:rsidR="002E51A3" w:rsidRPr="006E4BE1">
        <w:rPr>
          <w:lang w:val="es-ES_tradnl"/>
        </w:rPr>
        <w:t>UPOV</w:t>
      </w:r>
      <w:r w:rsidR="00C178AA" w:rsidRPr="006E4BE1">
        <w:rPr>
          <w:lang w:val="es-ES_tradnl"/>
        </w:rPr>
        <w:t>”</w:t>
      </w:r>
      <w:r w:rsidR="002E51A3" w:rsidRPr="006E4BE1">
        <w:rPr>
          <w:lang w:val="es-ES_tradnl"/>
        </w:rPr>
        <w:t>).</w:t>
      </w:r>
    </w:p>
    <w:p w14:paraId="26074E08" w14:textId="77777777" w:rsidR="001240C5" w:rsidRPr="006E4BE1" w:rsidRDefault="001240C5" w:rsidP="00AE50C9">
      <w:pPr>
        <w:pStyle w:val="ListParagraph"/>
        <w:tabs>
          <w:tab w:val="left" w:pos="851"/>
        </w:tabs>
        <w:ind w:left="0"/>
        <w:contextualSpacing w:val="0"/>
        <w:rPr>
          <w:lang w:val="es-ES_tradnl"/>
        </w:rPr>
      </w:pPr>
    </w:p>
    <w:p w14:paraId="72D1DF6F" w14:textId="77777777" w:rsidR="001240C5" w:rsidRPr="006E4BE1" w:rsidRDefault="002E51A3" w:rsidP="00AE50C9">
      <w:pPr>
        <w:pStyle w:val="ListParagraph"/>
        <w:tabs>
          <w:tab w:val="left" w:pos="851"/>
        </w:tabs>
        <w:ind w:left="0"/>
        <w:contextualSpacing w:val="0"/>
        <w:rPr>
          <w:lang w:val="es-ES_tradnl"/>
        </w:rPr>
      </w:pPr>
      <w:r w:rsidRPr="006E4BE1">
        <w:rPr>
          <w:lang w:val="es-ES_tradnl"/>
        </w:rPr>
        <w:t>Con el fin de aumentar la repercusión de la formación y la asistencia, los recursos se canalizarán cada vez más hacia programas de formación virtual y materiales reutilizables, cursos adicionales de enseñanza a distancia, demostraciones en vídeo, seminarios web y guías prácticas virtuales, con el fin de reducir la necesidad de formación presencial</w:t>
      </w:r>
      <w:r w:rsidRPr="006E4BE1">
        <w:rPr>
          <w:i/>
          <w:lang w:val="es-ES_tradnl"/>
        </w:rPr>
        <w:t xml:space="preserve"> </w:t>
      </w:r>
      <w:r w:rsidRPr="006E4BE1">
        <w:rPr>
          <w:lang w:val="es-ES_tradnl"/>
        </w:rPr>
        <w:t>y aumentar el alcance.</w:t>
      </w:r>
    </w:p>
    <w:p w14:paraId="7875921E" w14:textId="77777777" w:rsidR="001240C5" w:rsidRPr="006E4BE1" w:rsidRDefault="001240C5" w:rsidP="00AE50C9">
      <w:pPr>
        <w:pStyle w:val="ListParagraph"/>
        <w:tabs>
          <w:tab w:val="left" w:pos="851"/>
        </w:tabs>
        <w:ind w:left="0"/>
        <w:contextualSpacing w:val="0"/>
        <w:rPr>
          <w:lang w:val="es-ES_tradnl"/>
        </w:rPr>
      </w:pPr>
    </w:p>
    <w:p w14:paraId="589EB959" w14:textId="77777777" w:rsidR="001240C5" w:rsidRPr="006E4BE1" w:rsidRDefault="00717240" w:rsidP="00AE50C9">
      <w:pPr>
        <w:pStyle w:val="ListParagraph"/>
        <w:tabs>
          <w:tab w:val="left" w:pos="851"/>
        </w:tabs>
        <w:ind w:left="0"/>
        <w:contextualSpacing w:val="0"/>
        <w:rPr>
          <w:lang w:val="es-ES_tradnl"/>
        </w:rPr>
      </w:pPr>
      <w:r w:rsidRPr="006E4BE1">
        <w:rPr>
          <w:lang w:val="es-ES_tradnl"/>
        </w:rPr>
        <w:t>El rápido avance de la traducción automática ofrece nuevas oportunidades, a las que se dará prioridad para reducir los costos de traducción de los documentos en los idiomas de la UPOV y para que los materiales estén disponibles en un mayor número de idiomas, lo que se incluye en la partida de gastos de funcionamiento.</w:t>
      </w:r>
    </w:p>
    <w:p w14:paraId="5C395DC0" w14:textId="77777777" w:rsidR="001240C5" w:rsidRPr="006E4BE1" w:rsidRDefault="001240C5" w:rsidP="00AE50C9">
      <w:pPr>
        <w:pStyle w:val="ListParagraph"/>
        <w:tabs>
          <w:tab w:val="left" w:pos="851"/>
        </w:tabs>
        <w:ind w:left="0"/>
        <w:contextualSpacing w:val="0"/>
        <w:rPr>
          <w:lang w:val="es-ES_tradnl"/>
        </w:rPr>
      </w:pPr>
    </w:p>
    <w:p w14:paraId="512F853F" w14:textId="77777777" w:rsidR="001240C5" w:rsidRPr="006E4BE1" w:rsidRDefault="00717240" w:rsidP="00AE50C9">
      <w:pPr>
        <w:pStyle w:val="ListParagraph"/>
        <w:tabs>
          <w:tab w:val="left" w:pos="851"/>
        </w:tabs>
        <w:ind w:left="0"/>
        <w:contextualSpacing w:val="0"/>
        <w:rPr>
          <w:lang w:val="es-ES_tradnl"/>
        </w:rPr>
      </w:pPr>
      <w:r w:rsidRPr="006E4BE1">
        <w:rPr>
          <w:rFonts w:cs="Arial"/>
          <w:lang w:val="es-ES_tradnl"/>
        </w:rPr>
        <w:t>En 2020, los saldos de efectivo en francos suizos de la UPOV no se vieron afectados por los cargos relacionados con los tipos de interés negativos</w:t>
      </w:r>
      <w:r w:rsidR="00FE64A1" w:rsidRPr="006E4BE1">
        <w:rPr>
          <w:rFonts w:cs="Arial"/>
          <w:lang w:val="es-ES_tradnl"/>
        </w:rPr>
        <w:t xml:space="preserve">.  </w:t>
      </w:r>
      <w:r w:rsidRPr="006E4BE1">
        <w:rPr>
          <w:rFonts w:cs="Arial"/>
          <w:lang w:val="es-ES_tradnl"/>
        </w:rPr>
        <w:t>Sin embargo, el reciente deterioro de la situación económica ha empeorado las condiciones financieras, lo que se espera que repercuta negativamente en los acuerdos bancarios establecidos para proteger los saldos de efectivo en francos suizos de la UPOV</w:t>
      </w:r>
      <w:r w:rsidR="00FE64A1" w:rsidRPr="006E4BE1">
        <w:rPr>
          <w:rFonts w:cs="Arial"/>
          <w:lang w:val="es-ES_tradnl"/>
        </w:rPr>
        <w:t xml:space="preserve">.  </w:t>
      </w:r>
      <w:r w:rsidR="00C611A2" w:rsidRPr="006E4BE1">
        <w:rPr>
          <w:rFonts w:cs="Arial"/>
          <w:lang w:val="es-ES_tradnl"/>
        </w:rPr>
        <w:t>Está previsto que los tipos de interés negativos que se aplican actualmente a todos los saldos de efectivo en francos suizos se mantengan durante el bienio 2022-2023, lo que generará un costo operativo aproximado de 45.000</w:t>
      </w:r>
      <w:r w:rsidR="007E6808" w:rsidRPr="006E4BE1">
        <w:rPr>
          <w:rFonts w:cs="Arial"/>
          <w:lang w:val="es-ES_tradnl"/>
        </w:rPr>
        <w:t> francos</w:t>
      </w:r>
      <w:r w:rsidR="00C611A2" w:rsidRPr="006E4BE1">
        <w:rPr>
          <w:rFonts w:cs="Arial"/>
          <w:lang w:val="es-ES_tradnl"/>
        </w:rPr>
        <w:t xml:space="preserve"> suizos.</w:t>
      </w:r>
    </w:p>
    <w:p w14:paraId="4E315217" w14:textId="77777777" w:rsidR="001240C5" w:rsidRPr="006E4BE1" w:rsidRDefault="0001668A">
      <w:pPr>
        <w:jc w:val="left"/>
        <w:rPr>
          <w:rFonts w:cs="Arial"/>
          <w:b/>
          <w:bCs/>
          <w:color w:val="26724C" w:themeColor="accent1" w:themeShade="BF"/>
          <w:lang w:val="es-ES_tradnl"/>
        </w:rPr>
      </w:pPr>
      <w:r w:rsidRPr="006E4BE1">
        <w:rPr>
          <w:rFonts w:cs="Arial"/>
          <w:b/>
          <w:bCs/>
          <w:color w:val="26724C" w:themeColor="accent1" w:themeShade="BF"/>
          <w:lang w:val="es-ES_tradnl"/>
        </w:rPr>
        <w:br w:type="page"/>
      </w:r>
    </w:p>
    <w:p w14:paraId="56775A40" w14:textId="77777777" w:rsidR="001240C5" w:rsidRPr="006E4BE1" w:rsidRDefault="00C611A2" w:rsidP="0001668A">
      <w:pPr>
        <w:spacing w:before="480"/>
        <w:jc w:val="center"/>
        <w:rPr>
          <w:rFonts w:cs="Arial"/>
          <w:b/>
          <w:bCs/>
          <w:color w:val="26724C" w:themeColor="accent1" w:themeShade="BF"/>
          <w:lang w:val="es-ES_tradnl"/>
        </w:rPr>
      </w:pPr>
      <w:r w:rsidRPr="006E4BE1">
        <w:rPr>
          <w:rFonts w:cs="Arial"/>
          <w:b/>
          <w:bCs/>
          <w:color w:val="26724C" w:themeColor="accent1" w:themeShade="BF"/>
          <w:lang w:val="es-ES_tradnl"/>
        </w:rPr>
        <w:lastRenderedPageBreak/>
        <w:t xml:space="preserve">Cuadro </w:t>
      </w:r>
      <w:r w:rsidR="00DC3724" w:rsidRPr="006E4BE1">
        <w:rPr>
          <w:rFonts w:cs="Arial"/>
          <w:b/>
          <w:bCs/>
          <w:color w:val="26724C" w:themeColor="accent1" w:themeShade="BF"/>
          <w:lang w:val="es-ES_tradnl"/>
        </w:rPr>
        <w:t>4</w:t>
      </w:r>
      <w:r w:rsidR="00D37513" w:rsidRPr="006E4BE1">
        <w:rPr>
          <w:rFonts w:cs="Arial"/>
          <w:b/>
          <w:bCs/>
          <w:color w:val="26724C" w:themeColor="accent1" w:themeShade="BF"/>
          <w:lang w:val="es-ES_tradnl"/>
        </w:rPr>
        <w:t>.</w:t>
      </w:r>
      <w:r w:rsidRPr="006E4BE1">
        <w:rPr>
          <w:rFonts w:cs="Arial"/>
          <w:b/>
          <w:bCs/>
          <w:color w:val="26724C" w:themeColor="accent1" w:themeShade="BF"/>
          <w:lang w:val="es-ES_tradnl"/>
        </w:rPr>
        <w:t xml:space="preserve"> Propuesta de presupuesto para 2022-2023 por categoría de gasto</w:t>
      </w:r>
    </w:p>
    <w:p w14:paraId="6FDFA71C" w14:textId="77777777" w:rsidR="001240C5" w:rsidRPr="006E4BE1" w:rsidRDefault="00C611A2" w:rsidP="00AE50C9">
      <w:pPr>
        <w:jc w:val="center"/>
        <w:rPr>
          <w:rFonts w:cs="Arial"/>
          <w:i/>
          <w:iCs/>
          <w:sz w:val="18"/>
          <w:szCs w:val="18"/>
          <w:lang w:val="es-ES_tradnl"/>
        </w:rPr>
      </w:pPr>
      <w:r w:rsidRPr="006E4BE1">
        <w:rPr>
          <w:rFonts w:cs="Arial"/>
          <w:i/>
          <w:iCs/>
          <w:sz w:val="18"/>
          <w:szCs w:val="18"/>
          <w:lang w:val="es-ES_tradnl"/>
        </w:rPr>
        <w:t>(en miles de francos suizos)</w:t>
      </w:r>
    </w:p>
    <w:p w14:paraId="50441383" w14:textId="3BCE2EA1" w:rsidR="00001E0A" w:rsidRPr="006E4BE1" w:rsidRDefault="00001E0A" w:rsidP="00AE50C9">
      <w:pPr>
        <w:rPr>
          <w:rFonts w:cs="Arial"/>
          <w:i/>
          <w:iCs/>
          <w:lang w:val="es-ES_tradnl"/>
        </w:rPr>
      </w:pPr>
    </w:p>
    <w:tbl>
      <w:tblPr>
        <w:tblW w:w="8732" w:type="dxa"/>
        <w:jc w:val="center"/>
        <w:tblLook w:val="04A0" w:firstRow="1" w:lastRow="0" w:firstColumn="1" w:lastColumn="0" w:noHBand="0" w:noVBand="1"/>
      </w:tblPr>
      <w:tblGrid>
        <w:gridCol w:w="321"/>
        <w:gridCol w:w="3009"/>
        <w:gridCol w:w="997"/>
        <w:gridCol w:w="1283"/>
        <w:gridCol w:w="948"/>
        <w:gridCol w:w="955"/>
        <w:gridCol w:w="1219"/>
      </w:tblGrid>
      <w:tr w:rsidR="00C20F3E" w:rsidRPr="006E4BE1" w14:paraId="6F07A673" w14:textId="77777777" w:rsidTr="00DC3724">
        <w:trPr>
          <w:trHeight w:val="488"/>
          <w:jc w:val="center"/>
        </w:trPr>
        <w:tc>
          <w:tcPr>
            <w:tcW w:w="321" w:type="dxa"/>
            <w:vMerge w:val="restart"/>
            <w:tcBorders>
              <w:top w:val="nil"/>
              <w:left w:val="nil"/>
              <w:bottom w:val="single" w:sz="4" w:space="0" w:color="BFBFBF"/>
              <w:right w:val="nil"/>
            </w:tcBorders>
            <w:shd w:val="clear" w:color="000000" w:fill="C7CFD8"/>
            <w:vAlign w:val="bottom"/>
            <w:hideMark/>
          </w:tcPr>
          <w:p w14:paraId="754FFF03" w14:textId="77777777" w:rsidR="009372FF" w:rsidRPr="006E4BE1" w:rsidRDefault="009372FF" w:rsidP="00AE50C9">
            <w:pPr>
              <w:jc w:val="center"/>
              <w:rPr>
                <w:rFonts w:cs="Arial"/>
                <w:b/>
                <w:bCs/>
                <w:lang w:val="es-ES_tradnl"/>
              </w:rPr>
            </w:pPr>
          </w:p>
        </w:tc>
        <w:tc>
          <w:tcPr>
            <w:tcW w:w="3009" w:type="dxa"/>
            <w:vMerge w:val="restart"/>
            <w:tcBorders>
              <w:top w:val="nil"/>
              <w:left w:val="nil"/>
              <w:bottom w:val="single" w:sz="4" w:space="0" w:color="BFBFBF"/>
              <w:right w:val="nil"/>
            </w:tcBorders>
            <w:shd w:val="clear" w:color="000000" w:fill="C7CFD8"/>
            <w:vAlign w:val="bottom"/>
            <w:hideMark/>
          </w:tcPr>
          <w:p w14:paraId="18F71DCA" w14:textId="77777777" w:rsidR="009372FF" w:rsidRPr="006E4BE1" w:rsidRDefault="009372FF" w:rsidP="00AE50C9">
            <w:pPr>
              <w:jc w:val="center"/>
              <w:rPr>
                <w:rFonts w:cs="Arial"/>
                <w:b/>
                <w:bCs/>
                <w:lang w:val="es-ES_tradnl"/>
              </w:rPr>
            </w:pPr>
            <w:r w:rsidRPr="006E4BE1">
              <w:rPr>
                <w:rFonts w:cs="Arial"/>
                <w:b/>
                <w:bCs/>
                <w:lang w:val="es-ES_tradnl"/>
              </w:rPr>
              <w:t xml:space="preserve"> </w:t>
            </w:r>
          </w:p>
        </w:tc>
        <w:tc>
          <w:tcPr>
            <w:tcW w:w="997" w:type="dxa"/>
            <w:vMerge w:val="restart"/>
            <w:tcBorders>
              <w:top w:val="single" w:sz="4" w:space="0" w:color="BFBFBF"/>
              <w:left w:val="nil"/>
              <w:bottom w:val="nil"/>
              <w:right w:val="nil"/>
            </w:tcBorders>
            <w:shd w:val="clear" w:color="000000" w:fill="C7CFD8"/>
            <w:vAlign w:val="center"/>
            <w:hideMark/>
          </w:tcPr>
          <w:p w14:paraId="087B225B" w14:textId="77777777" w:rsidR="001240C5" w:rsidRPr="006E4BE1" w:rsidRDefault="009372FF"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2018-2019</w:t>
            </w:r>
          </w:p>
          <w:p w14:paraId="5B3E800F" w14:textId="721AC818" w:rsidR="009372FF" w:rsidRPr="006E4BE1" w:rsidRDefault="00C611A2"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Real</w:t>
            </w:r>
            <w:r w:rsidR="009372FF" w:rsidRPr="006E4BE1">
              <w:rPr>
                <w:rFonts w:ascii="Arial Narrow" w:hAnsi="Arial Narrow" w:cs="Arial"/>
                <w:b/>
                <w:bCs/>
                <w:sz w:val="18"/>
                <w:szCs w:val="18"/>
                <w:lang w:val="es-ES_tradnl"/>
              </w:rPr>
              <w:t xml:space="preserve"> </w:t>
            </w:r>
          </w:p>
        </w:tc>
        <w:tc>
          <w:tcPr>
            <w:tcW w:w="1283" w:type="dxa"/>
            <w:vMerge w:val="restart"/>
            <w:tcBorders>
              <w:top w:val="single" w:sz="4" w:space="0" w:color="BFBFBF"/>
              <w:left w:val="nil"/>
              <w:bottom w:val="nil"/>
              <w:right w:val="nil"/>
            </w:tcBorders>
            <w:shd w:val="clear" w:color="000000" w:fill="C7CFD8"/>
            <w:vAlign w:val="center"/>
            <w:hideMark/>
          </w:tcPr>
          <w:p w14:paraId="4966DEA7" w14:textId="77777777" w:rsidR="001240C5" w:rsidRPr="006E4BE1" w:rsidRDefault="009372FF"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2020-2021</w:t>
            </w:r>
          </w:p>
          <w:p w14:paraId="07C3A9B4" w14:textId="76E1A43E" w:rsidR="009372FF" w:rsidRPr="006E4BE1" w:rsidRDefault="00C611A2"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Presupuestado</w:t>
            </w:r>
            <w:r w:rsidR="009372FF" w:rsidRPr="006E4BE1">
              <w:rPr>
                <w:rFonts w:ascii="Arial Narrow" w:hAnsi="Arial Narrow" w:cs="Arial"/>
                <w:b/>
                <w:bCs/>
                <w:sz w:val="18"/>
                <w:szCs w:val="18"/>
                <w:lang w:val="es-ES_tradnl"/>
              </w:rPr>
              <w:t xml:space="preserve"> </w:t>
            </w:r>
          </w:p>
        </w:tc>
        <w:tc>
          <w:tcPr>
            <w:tcW w:w="1903" w:type="dxa"/>
            <w:gridSpan w:val="2"/>
            <w:tcBorders>
              <w:top w:val="single" w:sz="4" w:space="0" w:color="BFBFBF"/>
              <w:left w:val="nil"/>
              <w:bottom w:val="nil"/>
              <w:right w:val="nil"/>
            </w:tcBorders>
            <w:shd w:val="clear" w:color="000000" w:fill="C7CFD8"/>
            <w:vAlign w:val="center"/>
            <w:hideMark/>
          </w:tcPr>
          <w:p w14:paraId="7852013B" w14:textId="324BC3DA" w:rsidR="009372FF" w:rsidRPr="006E4BE1" w:rsidRDefault="00C611A2"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Variación</w:t>
            </w:r>
            <w:r w:rsidR="009372FF" w:rsidRPr="006E4BE1">
              <w:rPr>
                <w:rFonts w:ascii="Arial Narrow" w:hAnsi="Arial Narrow" w:cs="Arial"/>
                <w:b/>
                <w:bCs/>
                <w:sz w:val="18"/>
                <w:szCs w:val="18"/>
                <w:lang w:val="es-ES_tradnl"/>
              </w:rPr>
              <w:t xml:space="preserve"> </w:t>
            </w:r>
          </w:p>
        </w:tc>
        <w:tc>
          <w:tcPr>
            <w:tcW w:w="1219" w:type="dxa"/>
            <w:tcBorders>
              <w:top w:val="single" w:sz="4" w:space="0" w:color="BFBFBF"/>
              <w:left w:val="nil"/>
              <w:bottom w:val="single" w:sz="4" w:space="0" w:color="BFBFBF"/>
              <w:right w:val="nil"/>
            </w:tcBorders>
            <w:shd w:val="clear" w:color="000000" w:fill="C7CFD8"/>
            <w:vAlign w:val="center"/>
            <w:hideMark/>
          </w:tcPr>
          <w:p w14:paraId="4A8E14C3" w14:textId="77777777" w:rsidR="001240C5" w:rsidRPr="006E4BE1" w:rsidRDefault="00C611A2"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2022-2023</w:t>
            </w:r>
          </w:p>
          <w:p w14:paraId="7D062007" w14:textId="0A787786" w:rsidR="00DC3724" w:rsidRPr="006E4BE1" w:rsidRDefault="00DC3724"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Propuesto</w:t>
            </w:r>
          </w:p>
        </w:tc>
      </w:tr>
      <w:tr w:rsidR="009372FF" w:rsidRPr="006E4BE1" w14:paraId="34DA5DA5" w14:textId="77777777" w:rsidTr="00DC3724">
        <w:trPr>
          <w:trHeight w:val="301"/>
          <w:jc w:val="center"/>
        </w:trPr>
        <w:tc>
          <w:tcPr>
            <w:tcW w:w="321" w:type="dxa"/>
            <w:vMerge/>
            <w:tcBorders>
              <w:top w:val="nil"/>
              <w:left w:val="nil"/>
              <w:bottom w:val="single" w:sz="4" w:space="0" w:color="BFBFBF"/>
              <w:right w:val="nil"/>
            </w:tcBorders>
            <w:vAlign w:val="center"/>
            <w:hideMark/>
          </w:tcPr>
          <w:p w14:paraId="13897800" w14:textId="77777777" w:rsidR="009372FF" w:rsidRPr="006E4BE1" w:rsidRDefault="009372FF" w:rsidP="00AE50C9">
            <w:pPr>
              <w:jc w:val="left"/>
              <w:rPr>
                <w:rFonts w:cs="Arial"/>
                <w:b/>
                <w:bCs/>
                <w:lang w:val="es-ES_tradnl"/>
              </w:rPr>
            </w:pPr>
          </w:p>
        </w:tc>
        <w:tc>
          <w:tcPr>
            <w:tcW w:w="3009" w:type="dxa"/>
            <w:vMerge/>
            <w:tcBorders>
              <w:top w:val="nil"/>
              <w:left w:val="nil"/>
              <w:bottom w:val="single" w:sz="4" w:space="0" w:color="BFBFBF"/>
              <w:right w:val="nil"/>
            </w:tcBorders>
            <w:vAlign w:val="center"/>
            <w:hideMark/>
          </w:tcPr>
          <w:p w14:paraId="1BCD52F9" w14:textId="77777777" w:rsidR="009372FF" w:rsidRPr="006E4BE1" w:rsidRDefault="009372FF" w:rsidP="00AE50C9">
            <w:pPr>
              <w:jc w:val="left"/>
              <w:rPr>
                <w:rFonts w:cs="Arial"/>
                <w:b/>
                <w:bCs/>
                <w:lang w:val="es-ES_tradnl"/>
              </w:rPr>
            </w:pPr>
          </w:p>
        </w:tc>
        <w:tc>
          <w:tcPr>
            <w:tcW w:w="997" w:type="dxa"/>
            <w:vMerge/>
            <w:tcBorders>
              <w:top w:val="single" w:sz="4" w:space="0" w:color="BFBFBF"/>
              <w:left w:val="nil"/>
              <w:bottom w:val="nil"/>
              <w:right w:val="nil"/>
            </w:tcBorders>
            <w:vAlign w:val="center"/>
            <w:hideMark/>
          </w:tcPr>
          <w:p w14:paraId="2EF4CC10" w14:textId="77777777" w:rsidR="009372FF" w:rsidRPr="006E4BE1" w:rsidRDefault="009372FF" w:rsidP="00AE50C9">
            <w:pPr>
              <w:jc w:val="left"/>
              <w:rPr>
                <w:rFonts w:ascii="Arial Narrow" w:hAnsi="Arial Narrow" w:cs="Arial"/>
                <w:b/>
                <w:bCs/>
                <w:sz w:val="18"/>
                <w:szCs w:val="18"/>
                <w:lang w:val="es-ES_tradnl"/>
              </w:rPr>
            </w:pPr>
          </w:p>
        </w:tc>
        <w:tc>
          <w:tcPr>
            <w:tcW w:w="1283" w:type="dxa"/>
            <w:vMerge/>
            <w:tcBorders>
              <w:top w:val="single" w:sz="4" w:space="0" w:color="BFBFBF"/>
              <w:left w:val="nil"/>
              <w:bottom w:val="nil"/>
              <w:right w:val="nil"/>
            </w:tcBorders>
            <w:vAlign w:val="center"/>
            <w:hideMark/>
          </w:tcPr>
          <w:p w14:paraId="00453EBC" w14:textId="77777777" w:rsidR="009372FF" w:rsidRPr="006E4BE1" w:rsidRDefault="009372FF" w:rsidP="00AE50C9">
            <w:pPr>
              <w:jc w:val="left"/>
              <w:rPr>
                <w:rFonts w:ascii="Arial Narrow" w:hAnsi="Arial Narrow" w:cs="Arial"/>
                <w:b/>
                <w:bCs/>
                <w:sz w:val="18"/>
                <w:szCs w:val="18"/>
                <w:lang w:val="es-ES_tradnl"/>
              </w:rPr>
            </w:pPr>
          </w:p>
        </w:tc>
        <w:tc>
          <w:tcPr>
            <w:tcW w:w="948" w:type="dxa"/>
            <w:tcBorders>
              <w:top w:val="single" w:sz="4" w:space="0" w:color="748B9E"/>
              <w:left w:val="nil"/>
              <w:bottom w:val="nil"/>
              <w:right w:val="nil"/>
            </w:tcBorders>
            <w:shd w:val="clear" w:color="000000" w:fill="C7CFD8"/>
            <w:vAlign w:val="center"/>
            <w:hideMark/>
          </w:tcPr>
          <w:p w14:paraId="7B845942" w14:textId="59CE7443" w:rsidR="009372FF" w:rsidRPr="006E4BE1" w:rsidRDefault="00C611A2"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Importe</w:t>
            </w:r>
            <w:r w:rsidR="009372FF" w:rsidRPr="006E4BE1">
              <w:rPr>
                <w:rFonts w:ascii="Arial Narrow" w:hAnsi="Arial Narrow" w:cs="Arial"/>
                <w:b/>
                <w:bCs/>
                <w:sz w:val="18"/>
                <w:szCs w:val="18"/>
                <w:lang w:val="es-ES_tradnl"/>
              </w:rPr>
              <w:t xml:space="preserve"> </w:t>
            </w:r>
          </w:p>
        </w:tc>
        <w:tc>
          <w:tcPr>
            <w:tcW w:w="955" w:type="dxa"/>
            <w:tcBorders>
              <w:top w:val="single" w:sz="4" w:space="0" w:color="748B9E"/>
              <w:left w:val="nil"/>
              <w:bottom w:val="nil"/>
              <w:right w:val="nil"/>
            </w:tcBorders>
            <w:shd w:val="clear" w:color="000000" w:fill="C7CFD8"/>
            <w:vAlign w:val="center"/>
            <w:hideMark/>
          </w:tcPr>
          <w:p w14:paraId="1F612434" w14:textId="028B411E" w:rsidR="009372FF" w:rsidRPr="006E4BE1" w:rsidRDefault="009372FF"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w:t>
            </w:r>
          </w:p>
        </w:tc>
        <w:tc>
          <w:tcPr>
            <w:tcW w:w="1219" w:type="dxa"/>
            <w:tcBorders>
              <w:top w:val="single" w:sz="4" w:space="0" w:color="BFBFBF"/>
              <w:left w:val="nil"/>
              <w:bottom w:val="nil"/>
              <w:right w:val="nil"/>
            </w:tcBorders>
            <w:shd w:val="clear" w:color="auto" w:fill="C7CFD8"/>
            <w:vAlign w:val="center"/>
            <w:hideMark/>
          </w:tcPr>
          <w:p w14:paraId="6CB69E0E" w14:textId="77777777" w:rsidR="009372FF" w:rsidRPr="006E4BE1" w:rsidRDefault="009372FF" w:rsidP="00AE50C9">
            <w:pPr>
              <w:jc w:val="left"/>
              <w:rPr>
                <w:rFonts w:ascii="Arial Narrow" w:hAnsi="Arial Narrow" w:cs="Arial"/>
                <w:b/>
                <w:bCs/>
                <w:sz w:val="18"/>
                <w:szCs w:val="18"/>
                <w:lang w:val="es-ES_tradnl"/>
              </w:rPr>
            </w:pPr>
          </w:p>
        </w:tc>
      </w:tr>
      <w:tr w:rsidR="00C20F3E" w:rsidRPr="006E4BE1" w14:paraId="18C59096" w14:textId="77777777" w:rsidTr="00DC3724">
        <w:trPr>
          <w:trHeight w:val="227"/>
          <w:jc w:val="center"/>
        </w:trPr>
        <w:tc>
          <w:tcPr>
            <w:tcW w:w="321" w:type="dxa"/>
            <w:vMerge/>
            <w:tcBorders>
              <w:top w:val="nil"/>
              <w:left w:val="nil"/>
              <w:bottom w:val="single" w:sz="4" w:space="0" w:color="BFBFBF"/>
              <w:right w:val="nil"/>
            </w:tcBorders>
            <w:vAlign w:val="center"/>
            <w:hideMark/>
          </w:tcPr>
          <w:p w14:paraId="384765C6" w14:textId="77777777" w:rsidR="009372FF" w:rsidRPr="006E4BE1" w:rsidRDefault="009372FF" w:rsidP="00AE50C9">
            <w:pPr>
              <w:jc w:val="left"/>
              <w:rPr>
                <w:rFonts w:cs="Arial"/>
                <w:b/>
                <w:bCs/>
                <w:lang w:val="es-ES_tradnl"/>
              </w:rPr>
            </w:pPr>
          </w:p>
        </w:tc>
        <w:tc>
          <w:tcPr>
            <w:tcW w:w="3009" w:type="dxa"/>
            <w:vMerge/>
            <w:tcBorders>
              <w:top w:val="nil"/>
              <w:left w:val="nil"/>
              <w:bottom w:val="single" w:sz="4" w:space="0" w:color="BFBFBF"/>
              <w:right w:val="nil"/>
            </w:tcBorders>
            <w:vAlign w:val="center"/>
            <w:hideMark/>
          </w:tcPr>
          <w:p w14:paraId="261826D0" w14:textId="77777777" w:rsidR="009372FF" w:rsidRPr="006E4BE1" w:rsidRDefault="009372FF" w:rsidP="00AE50C9">
            <w:pPr>
              <w:jc w:val="left"/>
              <w:rPr>
                <w:rFonts w:cs="Arial"/>
                <w:b/>
                <w:bCs/>
                <w:lang w:val="es-ES_tradnl"/>
              </w:rPr>
            </w:pPr>
          </w:p>
        </w:tc>
        <w:tc>
          <w:tcPr>
            <w:tcW w:w="997" w:type="dxa"/>
            <w:tcBorders>
              <w:top w:val="nil"/>
              <w:left w:val="nil"/>
              <w:bottom w:val="nil"/>
              <w:right w:val="nil"/>
            </w:tcBorders>
            <w:shd w:val="clear" w:color="000000" w:fill="C7CFD8"/>
            <w:vAlign w:val="center"/>
            <w:hideMark/>
          </w:tcPr>
          <w:p w14:paraId="0795B0CA" w14:textId="2098C43A" w:rsidR="009372FF" w:rsidRPr="006E4BE1" w:rsidRDefault="009372FF"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A </w:t>
            </w:r>
          </w:p>
        </w:tc>
        <w:tc>
          <w:tcPr>
            <w:tcW w:w="1283" w:type="dxa"/>
            <w:tcBorders>
              <w:top w:val="nil"/>
              <w:left w:val="nil"/>
              <w:bottom w:val="nil"/>
              <w:right w:val="nil"/>
            </w:tcBorders>
            <w:shd w:val="clear" w:color="000000" w:fill="C7CFD8"/>
            <w:noWrap/>
            <w:vAlign w:val="center"/>
            <w:hideMark/>
          </w:tcPr>
          <w:p w14:paraId="14ABE3D7" w14:textId="1622B6B2" w:rsidR="009372FF" w:rsidRPr="006E4BE1" w:rsidRDefault="009372FF"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B </w:t>
            </w:r>
          </w:p>
        </w:tc>
        <w:tc>
          <w:tcPr>
            <w:tcW w:w="948" w:type="dxa"/>
            <w:tcBorders>
              <w:top w:val="nil"/>
              <w:left w:val="nil"/>
              <w:bottom w:val="nil"/>
              <w:right w:val="nil"/>
            </w:tcBorders>
            <w:shd w:val="clear" w:color="000000" w:fill="C7CFD8"/>
            <w:vAlign w:val="center"/>
            <w:hideMark/>
          </w:tcPr>
          <w:p w14:paraId="21507A43" w14:textId="499AFD4B" w:rsidR="009372FF" w:rsidRPr="006E4BE1" w:rsidRDefault="009372FF"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C </w:t>
            </w:r>
          </w:p>
        </w:tc>
        <w:tc>
          <w:tcPr>
            <w:tcW w:w="955" w:type="dxa"/>
            <w:tcBorders>
              <w:top w:val="nil"/>
              <w:left w:val="nil"/>
              <w:bottom w:val="nil"/>
              <w:right w:val="nil"/>
            </w:tcBorders>
            <w:shd w:val="clear" w:color="000000" w:fill="C7CFD8"/>
            <w:vAlign w:val="center"/>
            <w:hideMark/>
          </w:tcPr>
          <w:p w14:paraId="276F16F0" w14:textId="77777777" w:rsidR="009372FF" w:rsidRPr="006E4BE1" w:rsidRDefault="009372FF"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C/B</w:t>
            </w:r>
          </w:p>
        </w:tc>
        <w:tc>
          <w:tcPr>
            <w:tcW w:w="1219" w:type="dxa"/>
            <w:tcBorders>
              <w:top w:val="nil"/>
              <w:left w:val="nil"/>
              <w:bottom w:val="nil"/>
              <w:right w:val="nil"/>
            </w:tcBorders>
            <w:shd w:val="clear" w:color="000000" w:fill="C7CFD8"/>
            <w:noWrap/>
            <w:vAlign w:val="center"/>
            <w:hideMark/>
          </w:tcPr>
          <w:p w14:paraId="6BCFAA4F" w14:textId="4070459D" w:rsidR="009372FF" w:rsidRPr="006E4BE1" w:rsidRDefault="009372FF"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D=B+C </w:t>
            </w:r>
          </w:p>
        </w:tc>
      </w:tr>
      <w:tr w:rsidR="009372FF" w:rsidRPr="006E4BE1" w14:paraId="63CA6F31" w14:textId="77777777" w:rsidTr="00DC3724">
        <w:trPr>
          <w:trHeight w:val="192"/>
          <w:jc w:val="center"/>
        </w:trPr>
        <w:tc>
          <w:tcPr>
            <w:tcW w:w="321" w:type="dxa"/>
            <w:tcBorders>
              <w:top w:val="nil"/>
              <w:left w:val="nil"/>
              <w:bottom w:val="nil"/>
              <w:right w:val="nil"/>
            </w:tcBorders>
            <w:shd w:val="clear" w:color="auto" w:fill="auto"/>
            <w:noWrap/>
            <w:vAlign w:val="bottom"/>
            <w:hideMark/>
          </w:tcPr>
          <w:p w14:paraId="6E4895F1" w14:textId="77777777" w:rsidR="009372FF" w:rsidRPr="006E4BE1" w:rsidRDefault="009372FF" w:rsidP="00AE50C9">
            <w:pPr>
              <w:jc w:val="center"/>
              <w:rPr>
                <w:rFonts w:ascii="Arial Narrow" w:hAnsi="Arial Narrow" w:cs="Arial"/>
                <w:b/>
                <w:bCs/>
                <w:sz w:val="18"/>
                <w:szCs w:val="18"/>
                <w:lang w:val="es-ES_tradnl"/>
              </w:rPr>
            </w:pPr>
          </w:p>
        </w:tc>
        <w:tc>
          <w:tcPr>
            <w:tcW w:w="3009" w:type="dxa"/>
            <w:tcBorders>
              <w:top w:val="nil"/>
              <w:left w:val="nil"/>
              <w:bottom w:val="nil"/>
              <w:right w:val="nil"/>
            </w:tcBorders>
            <w:shd w:val="clear" w:color="auto" w:fill="auto"/>
            <w:vAlign w:val="bottom"/>
            <w:hideMark/>
          </w:tcPr>
          <w:p w14:paraId="71AD3B61" w14:textId="77777777" w:rsidR="009372FF" w:rsidRPr="006E4BE1" w:rsidRDefault="009372FF" w:rsidP="00AE50C9">
            <w:pPr>
              <w:jc w:val="left"/>
              <w:rPr>
                <w:rFonts w:ascii="Times New Roman" w:hAnsi="Times New Roman"/>
                <w:lang w:val="es-ES_tradnl"/>
              </w:rPr>
            </w:pPr>
          </w:p>
        </w:tc>
        <w:tc>
          <w:tcPr>
            <w:tcW w:w="997" w:type="dxa"/>
            <w:tcBorders>
              <w:top w:val="single" w:sz="4" w:space="0" w:color="BFBFBF"/>
              <w:left w:val="nil"/>
              <w:bottom w:val="nil"/>
              <w:right w:val="nil"/>
            </w:tcBorders>
            <w:shd w:val="clear" w:color="auto" w:fill="auto"/>
            <w:vAlign w:val="bottom"/>
            <w:hideMark/>
          </w:tcPr>
          <w:p w14:paraId="1DCBE9C2" w14:textId="77777777" w:rsidR="009372FF" w:rsidRPr="006E4BE1" w:rsidRDefault="009372FF" w:rsidP="00AE50C9">
            <w:pPr>
              <w:jc w:val="center"/>
              <w:rPr>
                <w:rFonts w:cs="Arial"/>
                <w:b/>
                <w:bCs/>
                <w:lang w:val="es-ES_tradnl"/>
              </w:rPr>
            </w:pPr>
            <w:r w:rsidRPr="006E4BE1">
              <w:rPr>
                <w:rFonts w:cs="Arial"/>
                <w:b/>
                <w:bCs/>
                <w:lang w:val="es-ES_tradnl"/>
              </w:rPr>
              <w:t> </w:t>
            </w:r>
          </w:p>
        </w:tc>
        <w:tc>
          <w:tcPr>
            <w:tcW w:w="1283" w:type="dxa"/>
            <w:tcBorders>
              <w:top w:val="single" w:sz="4" w:space="0" w:color="BFBFBF"/>
              <w:left w:val="nil"/>
              <w:bottom w:val="nil"/>
              <w:right w:val="nil"/>
            </w:tcBorders>
            <w:shd w:val="clear" w:color="auto" w:fill="auto"/>
            <w:vAlign w:val="bottom"/>
            <w:hideMark/>
          </w:tcPr>
          <w:p w14:paraId="32D37226" w14:textId="77777777" w:rsidR="009372FF" w:rsidRPr="006E4BE1" w:rsidRDefault="009372FF" w:rsidP="00AE50C9">
            <w:pPr>
              <w:jc w:val="center"/>
              <w:rPr>
                <w:rFonts w:cs="Arial"/>
                <w:b/>
                <w:bCs/>
                <w:lang w:val="es-ES_tradnl"/>
              </w:rPr>
            </w:pPr>
            <w:r w:rsidRPr="006E4BE1">
              <w:rPr>
                <w:rFonts w:cs="Arial"/>
                <w:b/>
                <w:bCs/>
                <w:lang w:val="es-ES_tradnl"/>
              </w:rPr>
              <w:t> </w:t>
            </w:r>
          </w:p>
        </w:tc>
        <w:tc>
          <w:tcPr>
            <w:tcW w:w="948" w:type="dxa"/>
            <w:tcBorders>
              <w:top w:val="single" w:sz="4" w:space="0" w:color="BFBFBF"/>
              <w:left w:val="nil"/>
              <w:bottom w:val="nil"/>
              <w:right w:val="nil"/>
            </w:tcBorders>
            <w:shd w:val="clear" w:color="auto" w:fill="auto"/>
            <w:vAlign w:val="bottom"/>
            <w:hideMark/>
          </w:tcPr>
          <w:p w14:paraId="74CED7E5" w14:textId="77777777" w:rsidR="009372FF" w:rsidRPr="006E4BE1" w:rsidRDefault="009372FF" w:rsidP="00AE50C9">
            <w:pPr>
              <w:jc w:val="center"/>
              <w:rPr>
                <w:rFonts w:cs="Arial"/>
                <w:b/>
                <w:bCs/>
                <w:lang w:val="es-ES_tradnl"/>
              </w:rPr>
            </w:pPr>
            <w:r w:rsidRPr="006E4BE1">
              <w:rPr>
                <w:rFonts w:cs="Arial"/>
                <w:b/>
                <w:bCs/>
                <w:lang w:val="es-ES_tradnl"/>
              </w:rPr>
              <w:t> </w:t>
            </w:r>
          </w:p>
        </w:tc>
        <w:tc>
          <w:tcPr>
            <w:tcW w:w="955" w:type="dxa"/>
            <w:tcBorders>
              <w:top w:val="single" w:sz="4" w:space="0" w:color="BFBFBF"/>
              <w:left w:val="nil"/>
              <w:bottom w:val="nil"/>
              <w:right w:val="nil"/>
            </w:tcBorders>
            <w:shd w:val="clear" w:color="auto" w:fill="auto"/>
            <w:vAlign w:val="bottom"/>
            <w:hideMark/>
          </w:tcPr>
          <w:p w14:paraId="3E3D5FF5" w14:textId="77777777" w:rsidR="009372FF" w:rsidRPr="006E4BE1" w:rsidRDefault="009372FF" w:rsidP="00AE50C9">
            <w:pPr>
              <w:jc w:val="center"/>
              <w:rPr>
                <w:rFonts w:cs="Arial"/>
                <w:b/>
                <w:bCs/>
                <w:lang w:val="es-ES_tradnl"/>
              </w:rPr>
            </w:pPr>
            <w:r w:rsidRPr="006E4BE1">
              <w:rPr>
                <w:rFonts w:cs="Arial"/>
                <w:b/>
                <w:bCs/>
                <w:lang w:val="es-ES_tradnl"/>
              </w:rPr>
              <w:t> </w:t>
            </w:r>
          </w:p>
        </w:tc>
        <w:tc>
          <w:tcPr>
            <w:tcW w:w="1219" w:type="dxa"/>
            <w:tcBorders>
              <w:top w:val="single" w:sz="4" w:space="0" w:color="BFBFBF"/>
              <w:left w:val="nil"/>
              <w:bottom w:val="nil"/>
              <w:right w:val="nil"/>
            </w:tcBorders>
            <w:shd w:val="clear" w:color="auto" w:fill="auto"/>
            <w:vAlign w:val="bottom"/>
            <w:hideMark/>
          </w:tcPr>
          <w:p w14:paraId="539705E8" w14:textId="77777777" w:rsidR="009372FF" w:rsidRPr="006E4BE1" w:rsidRDefault="009372FF" w:rsidP="00AE50C9">
            <w:pPr>
              <w:jc w:val="center"/>
              <w:rPr>
                <w:rFonts w:cs="Arial"/>
                <w:b/>
                <w:bCs/>
                <w:lang w:val="es-ES_tradnl"/>
              </w:rPr>
            </w:pPr>
            <w:r w:rsidRPr="006E4BE1">
              <w:rPr>
                <w:rFonts w:cs="Arial"/>
                <w:b/>
                <w:bCs/>
                <w:lang w:val="es-ES_tradnl"/>
              </w:rPr>
              <w:t> </w:t>
            </w:r>
          </w:p>
        </w:tc>
      </w:tr>
      <w:tr w:rsidR="009372FF" w:rsidRPr="006E4BE1" w14:paraId="536868BE" w14:textId="77777777" w:rsidTr="00DC3724">
        <w:trPr>
          <w:trHeight w:val="301"/>
          <w:jc w:val="center"/>
        </w:trPr>
        <w:tc>
          <w:tcPr>
            <w:tcW w:w="3330" w:type="dxa"/>
            <w:gridSpan w:val="2"/>
            <w:tcBorders>
              <w:top w:val="nil"/>
              <w:left w:val="nil"/>
              <w:bottom w:val="nil"/>
              <w:right w:val="nil"/>
            </w:tcBorders>
            <w:shd w:val="clear" w:color="auto" w:fill="auto"/>
            <w:noWrap/>
            <w:vAlign w:val="center"/>
            <w:hideMark/>
          </w:tcPr>
          <w:p w14:paraId="6818A9CD" w14:textId="2DA3227C" w:rsidR="009372FF" w:rsidRPr="006E4BE1" w:rsidRDefault="00C611A2" w:rsidP="00AE50C9">
            <w:pPr>
              <w:jc w:val="left"/>
              <w:rPr>
                <w:rFonts w:ascii="Arial Narrow" w:hAnsi="Arial Narrow" w:cs="Arial"/>
                <w:b/>
                <w:bCs/>
                <w:sz w:val="18"/>
                <w:szCs w:val="22"/>
                <w:lang w:val="es-ES_tradnl"/>
              </w:rPr>
            </w:pPr>
            <w:r w:rsidRPr="006E4BE1">
              <w:rPr>
                <w:rFonts w:ascii="Arial Narrow" w:hAnsi="Arial Narrow" w:cs="Arial"/>
                <w:b/>
                <w:bCs/>
                <w:sz w:val="18"/>
                <w:szCs w:val="22"/>
                <w:lang w:val="es-ES_tradnl"/>
              </w:rPr>
              <w:t>A. Recursos de personal</w:t>
            </w:r>
          </w:p>
        </w:tc>
        <w:tc>
          <w:tcPr>
            <w:tcW w:w="997" w:type="dxa"/>
            <w:tcBorders>
              <w:top w:val="nil"/>
              <w:left w:val="nil"/>
              <w:bottom w:val="nil"/>
              <w:right w:val="nil"/>
            </w:tcBorders>
            <w:shd w:val="clear" w:color="auto" w:fill="auto"/>
            <w:vAlign w:val="center"/>
            <w:hideMark/>
          </w:tcPr>
          <w:p w14:paraId="1537191B" w14:textId="77777777" w:rsidR="009372FF" w:rsidRPr="006E4BE1" w:rsidRDefault="009372FF" w:rsidP="00AE50C9">
            <w:pPr>
              <w:jc w:val="right"/>
              <w:rPr>
                <w:rFonts w:ascii="Arial Narrow" w:hAnsi="Arial Narrow" w:cs="Arial"/>
                <w:b/>
                <w:bCs/>
                <w:sz w:val="22"/>
                <w:szCs w:val="22"/>
                <w:lang w:val="es-ES_tradnl"/>
              </w:rPr>
            </w:pPr>
          </w:p>
        </w:tc>
        <w:tc>
          <w:tcPr>
            <w:tcW w:w="1283" w:type="dxa"/>
            <w:tcBorders>
              <w:top w:val="nil"/>
              <w:left w:val="nil"/>
              <w:bottom w:val="nil"/>
              <w:right w:val="nil"/>
            </w:tcBorders>
            <w:shd w:val="clear" w:color="auto" w:fill="auto"/>
            <w:vAlign w:val="center"/>
            <w:hideMark/>
          </w:tcPr>
          <w:p w14:paraId="7DCAEF68" w14:textId="77777777" w:rsidR="009372FF" w:rsidRPr="006E4BE1" w:rsidRDefault="009372FF" w:rsidP="00AE50C9">
            <w:pPr>
              <w:jc w:val="right"/>
              <w:rPr>
                <w:rFonts w:ascii="Times New Roman" w:hAnsi="Times New Roman"/>
                <w:lang w:val="es-ES_tradnl"/>
              </w:rPr>
            </w:pPr>
          </w:p>
        </w:tc>
        <w:tc>
          <w:tcPr>
            <w:tcW w:w="948" w:type="dxa"/>
            <w:tcBorders>
              <w:top w:val="nil"/>
              <w:left w:val="nil"/>
              <w:bottom w:val="nil"/>
              <w:right w:val="nil"/>
            </w:tcBorders>
            <w:shd w:val="clear" w:color="auto" w:fill="auto"/>
            <w:vAlign w:val="center"/>
            <w:hideMark/>
          </w:tcPr>
          <w:p w14:paraId="6D4F575F" w14:textId="77777777" w:rsidR="009372FF" w:rsidRPr="006E4BE1" w:rsidRDefault="009372FF" w:rsidP="00AE50C9">
            <w:pPr>
              <w:jc w:val="right"/>
              <w:rPr>
                <w:rFonts w:ascii="Times New Roman" w:hAnsi="Times New Roman"/>
                <w:lang w:val="es-ES_tradnl"/>
              </w:rPr>
            </w:pPr>
          </w:p>
        </w:tc>
        <w:tc>
          <w:tcPr>
            <w:tcW w:w="955" w:type="dxa"/>
            <w:tcBorders>
              <w:top w:val="nil"/>
              <w:left w:val="nil"/>
              <w:bottom w:val="nil"/>
              <w:right w:val="nil"/>
            </w:tcBorders>
            <w:shd w:val="clear" w:color="auto" w:fill="auto"/>
            <w:vAlign w:val="center"/>
            <w:hideMark/>
          </w:tcPr>
          <w:p w14:paraId="17D7DB9D" w14:textId="77777777" w:rsidR="009372FF" w:rsidRPr="006E4BE1" w:rsidRDefault="009372FF" w:rsidP="00AE50C9">
            <w:pPr>
              <w:jc w:val="right"/>
              <w:rPr>
                <w:rFonts w:ascii="Times New Roman" w:hAnsi="Times New Roman"/>
                <w:lang w:val="es-ES_tradnl"/>
              </w:rPr>
            </w:pPr>
          </w:p>
        </w:tc>
        <w:tc>
          <w:tcPr>
            <w:tcW w:w="1219" w:type="dxa"/>
            <w:tcBorders>
              <w:top w:val="nil"/>
              <w:left w:val="nil"/>
              <w:bottom w:val="nil"/>
              <w:right w:val="nil"/>
            </w:tcBorders>
            <w:shd w:val="clear" w:color="auto" w:fill="auto"/>
            <w:vAlign w:val="center"/>
            <w:hideMark/>
          </w:tcPr>
          <w:p w14:paraId="4F10D280" w14:textId="77777777" w:rsidR="009372FF" w:rsidRPr="006E4BE1" w:rsidRDefault="009372FF" w:rsidP="00AE50C9">
            <w:pPr>
              <w:jc w:val="right"/>
              <w:rPr>
                <w:rFonts w:ascii="Times New Roman" w:hAnsi="Times New Roman"/>
                <w:lang w:val="es-ES_tradnl"/>
              </w:rPr>
            </w:pPr>
          </w:p>
        </w:tc>
      </w:tr>
      <w:tr w:rsidR="00561875" w:rsidRPr="006E4BE1" w14:paraId="05DF5AC5" w14:textId="77777777" w:rsidTr="00DC3724">
        <w:trPr>
          <w:trHeight w:val="355"/>
          <w:jc w:val="center"/>
        </w:trPr>
        <w:tc>
          <w:tcPr>
            <w:tcW w:w="321" w:type="dxa"/>
            <w:tcBorders>
              <w:top w:val="nil"/>
              <w:left w:val="nil"/>
              <w:bottom w:val="nil"/>
              <w:right w:val="nil"/>
            </w:tcBorders>
            <w:shd w:val="clear" w:color="auto" w:fill="auto"/>
            <w:noWrap/>
            <w:vAlign w:val="bottom"/>
            <w:hideMark/>
          </w:tcPr>
          <w:p w14:paraId="67871E9B" w14:textId="77777777" w:rsidR="00561875" w:rsidRPr="006E4BE1" w:rsidRDefault="00561875" w:rsidP="00561875">
            <w:pPr>
              <w:jc w:val="left"/>
              <w:rPr>
                <w:rFonts w:ascii="Times New Roman" w:hAnsi="Times New Roman"/>
                <w:lang w:val="es-ES_tradnl"/>
              </w:rPr>
            </w:pPr>
          </w:p>
        </w:tc>
        <w:tc>
          <w:tcPr>
            <w:tcW w:w="3009" w:type="dxa"/>
            <w:tcBorders>
              <w:top w:val="nil"/>
              <w:left w:val="nil"/>
              <w:bottom w:val="nil"/>
              <w:right w:val="nil"/>
            </w:tcBorders>
            <w:shd w:val="clear" w:color="auto" w:fill="auto"/>
            <w:vAlign w:val="center"/>
            <w:hideMark/>
          </w:tcPr>
          <w:p w14:paraId="45AE1B7E" w14:textId="14200343"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Puestos</w:t>
            </w:r>
          </w:p>
        </w:tc>
        <w:tc>
          <w:tcPr>
            <w:tcW w:w="997" w:type="dxa"/>
            <w:tcBorders>
              <w:top w:val="nil"/>
              <w:left w:val="nil"/>
              <w:bottom w:val="nil"/>
              <w:right w:val="nil"/>
            </w:tcBorders>
            <w:shd w:val="clear" w:color="auto" w:fill="auto"/>
            <w:vAlign w:val="center"/>
            <w:hideMark/>
          </w:tcPr>
          <w:p w14:paraId="43617BED" w14:textId="24FA5695"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4.281</w:t>
            </w:r>
          </w:p>
        </w:tc>
        <w:tc>
          <w:tcPr>
            <w:tcW w:w="1283" w:type="dxa"/>
            <w:tcBorders>
              <w:top w:val="nil"/>
              <w:left w:val="nil"/>
              <w:bottom w:val="nil"/>
              <w:right w:val="nil"/>
            </w:tcBorders>
            <w:shd w:val="clear" w:color="auto" w:fill="auto"/>
            <w:vAlign w:val="center"/>
            <w:hideMark/>
          </w:tcPr>
          <w:p w14:paraId="0DDC140F" w14:textId="41859924"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4.688</w:t>
            </w:r>
          </w:p>
        </w:tc>
        <w:tc>
          <w:tcPr>
            <w:tcW w:w="948" w:type="dxa"/>
            <w:tcBorders>
              <w:top w:val="nil"/>
              <w:left w:val="nil"/>
              <w:bottom w:val="nil"/>
              <w:right w:val="nil"/>
            </w:tcBorders>
            <w:shd w:val="clear" w:color="auto" w:fill="auto"/>
            <w:vAlign w:val="center"/>
            <w:hideMark/>
          </w:tcPr>
          <w:p w14:paraId="4EFA3893" w14:textId="726955D8"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104</w:t>
            </w:r>
          </w:p>
        </w:tc>
        <w:tc>
          <w:tcPr>
            <w:tcW w:w="955" w:type="dxa"/>
            <w:tcBorders>
              <w:top w:val="nil"/>
              <w:left w:val="nil"/>
              <w:bottom w:val="nil"/>
              <w:right w:val="nil"/>
            </w:tcBorders>
            <w:shd w:val="clear" w:color="auto" w:fill="auto"/>
            <w:vAlign w:val="center"/>
            <w:hideMark/>
          </w:tcPr>
          <w:p w14:paraId="705930EC" w14:textId="371C3D10"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w:t>
            </w:r>
          </w:p>
        </w:tc>
        <w:tc>
          <w:tcPr>
            <w:tcW w:w="1219" w:type="dxa"/>
            <w:tcBorders>
              <w:top w:val="nil"/>
              <w:left w:val="nil"/>
              <w:bottom w:val="nil"/>
              <w:right w:val="nil"/>
            </w:tcBorders>
            <w:shd w:val="clear" w:color="auto" w:fill="auto"/>
            <w:vAlign w:val="center"/>
            <w:hideMark/>
          </w:tcPr>
          <w:p w14:paraId="28B6BF8D" w14:textId="1288B0CD"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4.792</w:t>
            </w:r>
          </w:p>
        </w:tc>
      </w:tr>
      <w:tr w:rsidR="00561875" w:rsidRPr="006E4BE1" w14:paraId="6707C129" w14:textId="77777777" w:rsidTr="00DC3724">
        <w:trPr>
          <w:trHeight w:val="342"/>
          <w:jc w:val="center"/>
        </w:trPr>
        <w:tc>
          <w:tcPr>
            <w:tcW w:w="321" w:type="dxa"/>
            <w:tcBorders>
              <w:top w:val="nil"/>
              <w:left w:val="nil"/>
              <w:bottom w:val="nil"/>
              <w:right w:val="nil"/>
            </w:tcBorders>
            <w:shd w:val="clear" w:color="auto" w:fill="auto"/>
            <w:noWrap/>
            <w:vAlign w:val="bottom"/>
            <w:hideMark/>
          </w:tcPr>
          <w:p w14:paraId="64A9E32C" w14:textId="77777777" w:rsidR="00561875" w:rsidRPr="006E4BE1" w:rsidRDefault="00561875" w:rsidP="00561875">
            <w:pPr>
              <w:jc w:val="right"/>
              <w:rPr>
                <w:rFonts w:ascii="Arial Narrow" w:hAnsi="Arial Narrow" w:cs="Arial"/>
                <w:lang w:val="es-ES_tradnl"/>
              </w:rPr>
            </w:pPr>
          </w:p>
        </w:tc>
        <w:tc>
          <w:tcPr>
            <w:tcW w:w="3009" w:type="dxa"/>
            <w:tcBorders>
              <w:top w:val="nil"/>
              <w:left w:val="nil"/>
              <w:bottom w:val="nil"/>
              <w:right w:val="nil"/>
            </w:tcBorders>
            <w:shd w:val="clear" w:color="auto" w:fill="auto"/>
            <w:vAlign w:val="center"/>
            <w:hideMark/>
          </w:tcPr>
          <w:p w14:paraId="647D043F" w14:textId="1BBEDD7C"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Personal temporal</w:t>
            </w:r>
          </w:p>
        </w:tc>
        <w:tc>
          <w:tcPr>
            <w:tcW w:w="997" w:type="dxa"/>
            <w:tcBorders>
              <w:top w:val="nil"/>
              <w:left w:val="nil"/>
              <w:bottom w:val="nil"/>
              <w:right w:val="nil"/>
            </w:tcBorders>
            <w:shd w:val="clear" w:color="auto" w:fill="auto"/>
            <w:vAlign w:val="center"/>
            <w:hideMark/>
          </w:tcPr>
          <w:p w14:paraId="2B18C8FE"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88</w:t>
            </w:r>
          </w:p>
        </w:tc>
        <w:tc>
          <w:tcPr>
            <w:tcW w:w="1283" w:type="dxa"/>
            <w:tcBorders>
              <w:top w:val="nil"/>
              <w:left w:val="nil"/>
              <w:bottom w:val="nil"/>
              <w:right w:val="nil"/>
            </w:tcBorders>
            <w:shd w:val="clear" w:color="auto" w:fill="auto"/>
            <w:vAlign w:val="center"/>
            <w:hideMark/>
          </w:tcPr>
          <w:p w14:paraId="70E38586" w14:textId="0423AF66"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251</w:t>
            </w:r>
          </w:p>
        </w:tc>
        <w:tc>
          <w:tcPr>
            <w:tcW w:w="948" w:type="dxa"/>
            <w:tcBorders>
              <w:top w:val="nil"/>
              <w:left w:val="nil"/>
              <w:bottom w:val="nil"/>
              <w:right w:val="nil"/>
            </w:tcBorders>
            <w:shd w:val="clear" w:color="auto" w:fill="auto"/>
            <w:vAlign w:val="center"/>
            <w:hideMark/>
          </w:tcPr>
          <w:p w14:paraId="638649EF" w14:textId="4704ADE5"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275</w:t>
            </w:r>
          </w:p>
        </w:tc>
        <w:tc>
          <w:tcPr>
            <w:tcW w:w="955" w:type="dxa"/>
            <w:tcBorders>
              <w:top w:val="nil"/>
              <w:left w:val="nil"/>
              <w:bottom w:val="nil"/>
              <w:right w:val="nil"/>
            </w:tcBorders>
            <w:shd w:val="clear" w:color="auto" w:fill="auto"/>
            <w:vAlign w:val="center"/>
            <w:hideMark/>
          </w:tcPr>
          <w:p w14:paraId="31CF312A" w14:textId="4464DF2C"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109%</w:t>
            </w:r>
          </w:p>
        </w:tc>
        <w:tc>
          <w:tcPr>
            <w:tcW w:w="1219" w:type="dxa"/>
            <w:tcBorders>
              <w:top w:val="nil"/>
              <w:left w:val="nil"/>
              <w:bottom w:val="nil"/>
              <w:right w:val="nil"/>
            </w:tcBorders>
            <w:shd w:val="clear" w:color="auto" w:fill="auto"/>
            <w:vAlign w:val="center"/>
            <w:hideMark/>
          </w:tcPr>
          <w:p w14:paraId="749DDBD7" w14:textId="6387956A"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526</w:t>
            </w:r>
          </w:p>
        </w:tc>
      </w:tr>
      <w:tr w:rsidR="00561875" w:rsidRPr="006E4BE1" w14:paraId="22DED69C" w14:textId="77777777" w:rsidTr="00DC3724">
        <w:trPr>
          <w:trHeight w:val="342"/>
          <w:jc w:val="center"/>
        </w:trPr>
        <w:tc>
          <w:tcPr>
            <w:tcW w:w="321" w:type="dxa"/>
            <w:tcBorders>
              <w:top w:val="nil"/>
              <w:left w:val="nil"/>
              <w:bottom w:val="nil"/>
              <w:right w:val="nil"/>
            </w:tcBorders>
            <w:shd w:val="clear" w:color="auto" w:fill="auto"/>
            <w:noWrap/>
            <w:vAlign w:val="bottom"/>
            <w:hideMark/>
          </w:tcPr>
          <w:p w14:paraId="2F8A3E0D" w14:textId="77777777" w:rsidR="00561875" w:rsidRPr="006E4BE1" w:rsidRDefault="00561875" w:rsidP="00561875">
            <w:pPr>
              <w:jc w:val="right"/>
              <w:rPr>
                <w:rFonts w:ascii="Arial Narrow" w:hAnsi="Arial Narrow" w:cs="Arial"/>
                <w:lang w:val="es-ES_tradnl"/>
              </w:rPr>
            </w:pPr>
          </w:p>
        </w:tc>
        <w:tc>
          <w:tcPr>
            <w:tcW w:w="3009" w:type="dxa"/>
            <w:tcBorders>
              <w:top w:val="nil"/>
              <w:left w:val="nil"/>
              <w:bottom w:val="nil"/>
              <w:right w:val="nil"/>
            </w:tcBorders>
            <w:shd w:val="clear" w:color="auto" w:fill="auto"/>
            <w:vAlign w:val="center"/>
            <w:hideMark/>
          </w:tcPr>
          <w:p w14:paraId="657B51BC" w14:textId="3578BAF1"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Otros costos de personal</w:t>
            </w:r>
          </w:p>
        </w:tc>
        <w:tc>
          <w:tcPr>
            <w:tcW w:w="997" w:type="dxa"/>
            <w:tcBorders>
              <w:top w:val="nil"/>
              <w:left w:val="nil"/>
              <w:bottom w:val="nil"/>
              <w:right w:val="nil"/>
            </w:tcBorders>
            <w:shd w:val="clear" w:color="auto" w:fill="auto"/>
            <w:vAlign w:val="center"/>
            <w:hideMark/>
          </w:tcPr>
          <w:p w14:paraId="46FB9168"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w:t>
            </w:r>
          </w:p>
        </w:tc>
        <w:tc>
          <w:tcPr>
            <w:tcW w:w="1283" w:type="dxa"/>
            <w:tcBorders>
              <w:top w:val="nil"/>
              <w:left w:val="nil"/>
              <w:bottom w:val="nil"/>
              <w:right w:val="nil"/>
            </w:tcBorders>
            <w:shd w:val="clear" w:color="auto" w:fill="auto"/>
            <w:vAlign w:val="center"/>
            <w:hideMark/>
          </w:tcPr>
          <w:p w14:paraId="3C062324" w14:textId="23B91C0E"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c>
          <w:tcPr>
            <w:tcW w:w="948" w:type="dxa"/>
            <w:tcBorders>
              <w:top w:val="nil"/>
              <w:left w:val="nil"/>
              <w:bottom w:val="nil"/>
              <w:right w:val="nil"/>
            </w:tcBorders>
            <w:shd w:val="clear" w:color="auto" w:fill="auto"/>
            <w:vAlign w:val="center"/>
            <w:hideMark/>
          </w:tcPr>
          <w:p w14:paraId="527EE62E" w14:textId="3F2BD730"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c>
          <w:tcPr>
            <w:tcW w:w="955" w:type="dxa"/>
            <w:tcBorders>
              <w:top w:val="nil"/>
              <w:left w:val="nil"/>
              <w:bottom w:val="single" w:sz="4" w:space="0" w:color="BFBFBF"/>
              <w:right w:val="nil"/>
            </w:tcBorders>
            <w:shd w:val="clear" w:color="auto" w:fill="auto"/>
            <w:vAlign w:val="center"/>
            <w:hideMark/>
          </w:tcPr>
          <w:p w14:paraId="69516533" w14:textId="49C9933E"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c>
          <w:tcPr>
            <w:tcW w:w="1219" w:type="dxa"/>
            <w:tcBorders>
              <w:top w:val="nil"/>
              <w:left w:val="nil"/>
              <w:bottom w:val="nil"/>
              <w:right w:val="nil"/>
            </w:tcBorders>
            <w:shd w:val="clear" w:color="auto" w:fill="auto"/>
            <w:vAlign w:val="center"/>
            <w:hideMark/>
          </w:tcPr>
          <w:p w14:paraId="72A44458" w14:textId="29D33A40"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r>
      <w:tr w:rsidR="00561875" w:rsidRPr="006E4BE1" w14:paraId="70800446" w14:textId="77777777" w:rsidTr="00DC3724">
        <w:trPr>
          <w:trHeight w:val="314"/>
          <w:jc w:val="center"/>
        </w:trPr>
        <w:tc>
          <w:tcPr>
            <w:tcW w:w="321" w:type="dxa"/>
            <w:tcBorders>
              <w:top w:val="single" w:sz="4" w:space="0" w:color="AAB8C4"/>
              <w:left w:val="nil"/>
              <w:bottom w:val="single" w:sz="8" w:space="0" w:color="AAB8C4"/>
              <w:right w:val="nil"/>
            </w:tcBorders>
            <w:shd w:val="clear" w:color="auto" w:fill="auto"/>
            <w:noWrap/>
            <w:vAlign w:val="bottom"/>
            <w:hideMark/>
          </w:tcPr>
          <w:p w14:paraId="59DBF536" w14:textId="77777777" w:rsidR="00561875" w:rsidRPr="006E4BE1" w:rsidRDefault="00561875" w:rsidP="00561875">
            <w:pPr>
              <w:jc w:val="left"/>
              <w:rPr>
                <w:rFonts w:cs="Arial"/>
                <w:b/>
                <w:bCs/>
                <w:lang w:val="es-ES_tradnl"/>
              </w:rPr>
            </w:pPr>
            <w:r w:rsidRPr="006E4BE1">
              <w:rPr>
                <w:rFonts w:cs="Arial"/>
                <w:b/>
                <w:bCs/>
                <w:lang w:val="es-ES_tradnl"/>
              </w:rPr>
              <w:t> </w:t>
            </w:r>
          </w:p>
        </w:tc>
        <w:tc>
          <w:tcPr>
            <w:tcW w:w="3009" w:type="dxa"/>
            <w:tcBorders>
              <w:top w:val="single" w:sz="4" w:space="0" w:color="AAB8C4"/>
              <w:left w:val="nil"/>
              <w:bottom w:val="single" w:sz="8" w:space="0" w:color="AAB8C4"/>
              <w:right w:val="nil"/>
            </w:tcBorders>
            <w:shd w:val="clear" w:color="auto" w:fill="auto"/>
            <w:vAlign w:val="center"/>
            <w:hideMark/>
          </w:tcPr>
          <w:p w14:paraId="665B10F3" w14:textId="74A9F810" w:rsidR="00561875" w:rsidRPr="006E4BE1" w:rsidRDefault="00561875" w:rsidP="00561875">
            <w:pPr>
              <w:jc w:val="left"/>
              <w:rPr>
                <w:rFonts w:ascii="Arial Narrow" w:hAnsi="Arial Narrow" w:cs="Arial"/>
                <w:b/>
                <w:bCs/>
                <w:color w:val="000000"/>
                <w:sz w:val="18"/>
                <w:lang w:val="es-ES_tradnl"/>
              </w:rPr>
            </w:pPr>
            <w:r w:rsidRPr="006E4BE1">
              <w:rPr>
                <w:rFonts w:ascii="Arial Narrow" w:hAnsi="Arial Narrow" w:cs="Arial"/>
                <w:b/>
                <w:bCs/>
                <w:color w:val="000000"/>
                <w:sz w:val="18"/>
                <w:lang w:val="es-ES_tradnl"/>
              </w:rPr>
              <w:t>Total, A</w:t>
            </w:r>
          </w:p>
        </w:tc>
        <w:tc>
          <w:tcPr>
            <w:tcW w:w="997" w:type="dxa"/>
            <w:tcBorders>
              <w:top w:val="single" w:sz="4" w:space="0" w:color="AAB8C4"/>
              <w:left w:val="nil"/>
              <w:bottom w:val="single" w:sz="8" w:space="0" w:color="AAB8C4"/>
              <w:right w:val="nil"/>
            </w:tcBorders>
            <w:shd w:val="clear" w:color="auto" w:fill="auto"/>
            <w:vAlign w:val="center"/>
            <w:hideMark/>
          </w:tcPr>
          <w:p w14:paraId="4EA62F8A" w14:textId="1ADC8A82"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4.370</w:t>
            </w:r>
          </w:p>
        </w:tc>
        <w:tc>
          <w:tcPr>
            <w:tcW w:w="1283" w:type="dxa"/>
            <w:tcBorders>
              <w:top w:val="single" w:sz="4" w:space="0" w:color="AAB8C4"/>
              <w:left w:val="nil"/>
              <w:bottom w:val="single" w:sz="8" w:space="0" w:color="AAB8C4"/>
              <w:right w:val="nil"/>
            </w:tcBorders>
            <w:shd w:val="clear" w:color="auto" w:fill="auto"/>
            <w:vAlign w:val="center"/>
            <w:hideMark/>
          </w:tcPr>
          <w:p w14:paraId="587AA53C" w14:textId="540D59FF"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4.939</w:t>
            </w:r>
          </w:p>
        </w:tc>
        <w:tc>
          <w:tcPr>
            <w:tcW w:w="948" w:type="dxa"/>
            <w:tcBorders>
              <w:top w:val="single" w:sz="4" w:space="0" w:color="BFBFBF"/>
              <w:left w:val="nil"/>
              <w:bottom w:val="single" w:sz="8" w:space="0" w:color="BFBFBF"/>
              <w:right w:val="nil"/>
            </w:tcBorders>
            <w:shd w:val="clear" w:color="auto" w:fill="auto"/>
            <w:vAlign w:val="center"/>
            <w:hideMark/>
          </w:tcPr>
          <w:p w14:paraId="7421E269" w14:textId="7611D19C"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379</w:t>
            </w:r>
          </w:p>
        </w:tc>
        <w:tc>
          <w:tcPr>
            <w:tcW w:w="955" w:type="dxa"/>
            <w:tcBorders>
              <w:top w:val="nil"/>
              <w:left w:val="nil"/>
              <w:bottom w:val="single" w:sz="8" w:space="0" w:color="BFBFBF"/>
              <w:right w:val="nil"/>
            </w:tcBorders>
            <w:shd w:val="clear" w:color="auto" w:fill="auto"/>
            <w:vAlign w:val="center"/>
            <w:hideMark/>
          </w:tcPr>
          <w:p w14:paraId="52F7BA66" w14:textId="2537BB6C"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8%</w:t>
            </w:r>
          </w:p>
        </w:tc>
        <w:tc>
          <w:tcPr>
            <w:tcW w:w="1219" w:type="dxa"/>
            <w:tcBorders>
              <w:top w:val="single" w:sz="4" w:space="0" w:color="AAB8C4"/>
              <w:left w:val="nil"/>
              <w:bottom w:val="single" w:sz="8" w:space="0" w:color="AAB8C4"/>
              <w:right w:val="nil"/>
            </w:tcBorders>
            <w:shd w:val="clear" w:color="auto" w:fill="auto"/>
            <w:vAlign w:val="center"/>
            <w:hideMark/>
          </w:tcPr>
          <w:p w14:paraId="04B6B665" w14:textId="34971321"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5.319</w:t>
            </w:r>
          </w:p>
        </w:tc>
      </w:tr>
      <w:tr w:rsidR="00561875" w:rsidRPr="006E4BE1" w14:paraId="75FA9D0F" w14:textId="77777777" w:rsidTr="00DC3724">
        <w:trPr>
          <w:trHeight w:val="141"/>
          <w:jc w:val="center"/>
        </w:trPr>
        <w:tc>
          <w:tcPr>
            <w:tcW w:w="321" w:type="dxa"/>
            <w:tcBorders>
              <w:top w:val="nil"/>
              <w:left w:val="nil"/>
              <w:bottom w:val="nil"/>
              <w:right w:val="nil"/>
            </w:tcBorders>
            <w:shd w:val="clear" w:color="auto" w:fill="auto"/>
            <w:noWrap/>
            <w:vAlign w:val="bottom"/>
            <w:hideMark/>
          </w:tcPr>
          <w:p w14:paraId="7A30EB7C" w14:textId="77777777" w:rsidR="00561875" w:rsidRPr="006E4BE1" w:rsidRDefault="00561875" w:rsidP="00561875">
            <w:pPr>
              <w:jc w:val="left"/>
              <w:rPr>
                <w:rFonts w:ascii="Arial Narrow" w:hAnsi="Arial Narrow" w:cs="Arial"/>
                <w:b/>
                <w:bCs/>
                <w:lang w:val="es-ES_tradnl"/>
              </w:rPr>
            </w:pPr>
          </w:p>
        </w:tc>
        <w:tc>
          <w:tcPr>
            <w:tcW w:w="3009" w:type="dxa"/>
            <w:tcBorders>
              <w:top w:val="nil"/>
              <w:left w:val="nil"/>
              <w:bottom w:val="nil"/>
              <w:right w:val="nil"/>
            </w:tcBorders>
            <w:shd w:val="clear" w:color="auto" w:fill="auto"/>
            <w:vAlign w:val="bottom"/>
            <w:hideMark/>
          </w:tcPr>
          <w:p w14:paraId="41C6F034" w14:textId="77777777" w:rsidR="00561875" w:rsidRPr="006E4BE1" w:rsidRDefault="00561875" w:rsidP="00561875">
            <w:pPr>
              <w:jc w:val="left"/>
              <w:rPr>
                <w:rFonts w:ascii="Times New Roman" w:hAnsi="Times New Roman"/>
                <w:sz w:val="18"/>
                <w:lang w:val="es-ES_tradnl"/>
              </w:rPr>
            </w:pPr>
          </w:p>
        </w:tc>
        <w:tc>
          <w:tcPr>
            <w:tcW w:w="997" w:type="dxa"/>
            <w:tcBorders>
              <w:top w:val="nil"/>
              <w:left w:val="nil"/>
              <w:bottom w:val="nil"/>
              <w:right w:val="nil"/>
            </w:tcBorders>
            <w:shd w:val="clear" w:color="auto" w:fill="auto"/>
            <w:vAlign w:val="bottom"/>
            <w:hideMark/>
          </w:tcPr>
          <w:p w14:paraId="07F9D3FC" w14:textId="77777777" w:rsidR="00561875" w:rsidRPr="006E4BE1" w:rsidRDefault="00561875" w:rsidP="00561875">
            <w:pPr>
              <w:jc w:val="right"/>
              <w:rPr>
                <w:rFonts w:ascii="Times New Roman" w:hAnsi="Times New Roman"/>
                <w:lang w:val="es-ES_tradnl"/>
              </w:rPr>
            </w:pPr>
          </w:p>
        </w:tc>
        <w:tc>
          <w:tcPr>
            <w:tcW w:w="1283" w:type="dxa"/>
            <w:tcBorders>
              <w:top w:val="nil"/>
              <w:left w:val="nil"/>
              <w:bottom w:val="nil"/>
              <w:right w:val="nil"/>
            </w:tcBorders>
            <w:shd w:val="clear" w:color="auto" w:fill="auto"/>
            <w:vAlign w:val="bottom"/>
            <w:hideMark/>
          </w:tcPr>
          <w:p w14:paraId="16461CE7" w14:textId="77777777" w:rsidR="00561875" w:rsidRPr="006E4BE1" w:rsidRDefault="00561875" w:rsidP="00561875">
            <w:pPr>
              <w:jc w:val="right"/>
              <w:rPr>
                <w:rFonts w:ascii="Times New Roman" w:hAnsi="Times New Roman"/>
                <w:lang w:val="es-ES_tradnl"/>
              </w:rPr>
            </w:pPr>
          </w:p>
        </w:tc>
        <w:tc>
          <w:tcPr>
            <w:tcW w:w="948" w:type="dxa"/>
            <w:tcBorders>
              <w:top w:val="nil"/>
              <w:left w:val="nil"/>
              <w:bottom w:val="nil"/>
              <w:right w:val="nil"/>
            </w:tcBorders>
            <w:shd w:val="clear" w:color="auto" w:fill="auto"/>
            <w:vAlign w:val="bottom"/>
            <w:hideMark/>
          </w:tcPr>
          <w:p w14:paraId="1ACF7FCB" w14:textId="77777777" w:rsidR="00561875" w:rsidRPr="006E4BE1" w:rsidRDefault="00561875" w:rsidP="00561875">
            <w:pPr>
              <w:jc w:val="right"/>
              <w:rPr>
                <w:rFonts w:ascii="Times New Roman" w:hAnsi="Times New Roman"/>
                <w:lang w:val="es-ES_tradnl"/>
              </w:rPr>
            </w:pPr>
          </w:p>
        </w:tc>
        <w:tc>
          <w:tcPr>
            <w:tcW w:w="955" w:type="dxa"/>
            <w:tcBorders>
              <w:top w:val="nil"/>
              <w:left w:val="nil"/>
              <w:bottom w:val="nil"/>
              <w:right w:val="nil"/>
            </w:tcBorders>
            <w:shd w:val="clear" w:color="auto" w:fill="auto"/>
            <w:vAlign w:val="bottom"/>
            <w:hideMark/>
          </w:tcPr>
          <w:p w14:paraId="2566593A" w14:textId="77777777" w:rsidR="00561875" w:rsidRPr="006E4BE1" w:rsidRDefault="00561875" w:rsidP="00561875">
            <w:pPr>
              <w:jc w:val="right"/>
              <w:rPr>
                <w:rFonts w:ascii="Times New Roman" w:hAnsi="Times New Roman"/>
                <w:lang w:val="es-ES_tradnl"/>
              </w:rPr>
            </w:pPr>
          </w:p>
        </w:tc>
        <w:tc>
          <w:tcPr>
            <w:tcW w:w="1219" w:type="dxa"/>
            <w:tcBorders>
              <w:top w:val="nil"/>
              <w:left w:val="nil"/>
              <w:bottom w:val="nil"/>
              <w:right w:val="nil"/>
            </w:tcBorders>
            <w:shd w:val="clear" w:color="auto" w:fill="auto"/>
            <w:vAlign w:val="bottom"/>
            <w:hideMark/>
          </w:tcPr>
          <w:p w14:paraId="6279CEAD" w14:textId="77777777" w:rsidR="00561875" w:rsidRPr="006E4BE1" w:rsidRDefault="00561875" w:rsidP="00561875">
            <w:pPr>
              <w:jc w:val="right"/>
              <w:rPr>
                <w:rFonts w:ascii="Times New Roman" w:hAnsi="Times New Roman"/>
                <w:lang w:val="es-ES_tradnl"/>
              </w:rPr>
            </w:pPr>
          </w:p>
        </w:tc>
      </w:tr>
      <w:tr w:rsidR="00561875" w:rsidRPr="001D7D80" w14:paraId="2C269BC6" w14:textId="77777777" w:rsidTr="00DC3724">
        <w:trPr>
          <w:trHeight w:val="342"/>
          <w:jc w:val="center"/>
        </w:trPr>
        <w:tc>
          <w:tcPr>
            <w:tcW w:w="3330" w:type="dxa"/>
            <w:gridSpan w:val="2"/>
            <w:tcBorders>
              <w:top w:val="nil"/>
              <w:left w:val="nil"/>
              <w:bottom w:val="nil"/>
              <w:right w:val="nil"/>
            </w:tcBorders>
            <w:shd w:val="clear" w:color="auto" w:fill="auto"/>
            <w:noWrap/>
            <w:vAlign w:val="center"/>
            <w:hideMark/>
          </w:tcPr>
          <w:p w14:paraId="2A683CF7" w14:textId="37042734" w:rsidR="00561875" w:rsidRPr="006E4BE1" w:rsidRDefault="00561875" w:rsidP="00561875">
            <w:pPr>
              <w:jc w:val="left"/>
              <w:rPr>
                <w:rFonts w:ascii="Arial Narrow" w:hAnsi="Arial Narrow" w:cs="Arial"/>
                <w:b/>
                <w:bCs/>
                <w:sz w:val="18"/>
                <w:szCs w:val="22"/>
                <w:lang w:val="es-ES_tradnl"/>
              </w:rPr>
            </w:pPr>
            <w:r w:rsidRPr="006E4BE1">
              <w:rPr>
                <w:rFonts w:ascii="Arial Narrow" w:hAnsi="Arial Narrow" w:cs="Arial"/>
                <w:b/>
                <w:bCs/>
                <w:sz w:val="18"/>
                <w:szCs w:val="22"/>
                <w:lang w:val="es-ES_tradnl"/>
              </w:rPr>
              <w:t>B. Recursos no relativos a personal</w:t>
            </w:r>
          </w:p>
        </w:tc>
        <w:tc>
          <w:tcPr>
            <w:tcW w:w="997" w:type="dxa"/>
            <w:tcBorders>
              <w:top w:val="nil"/>
              <w:left w:val="nil"/>
              <w:bottom w:val="nil"/>
              <w:right w:val="nil"/>
            </w:tcBorders>
            <w:shd w:val="clear" w:color="auto" w:fill="auto"/>
            <w:vAlign w:val="center"/>
            <w:hideMark/>
          </w:tcPr>
          <w:p w14:paraId="7BF79496" w14:textId="77777777" w:rsidR="00561875" w:rsidRPr="006E4BE1" w:rsidRDefault="00561875" w:rsidP="00561875">
            <w:pPr>
              <w:jc w:val="right"/>
              <w:rPr>
                <w:rFonts w:ascii="Arial Narrow" w:hAnsi="Arial Narrow" w:cs="Arial"/>
                <w:b/>
                <w:bCs/>
                <w:sz w:val="22"/>
                <w:szCs w:val="22"/>
                <w:lang w:val="es-ES_tradnl"/>
              </w:rPr>
            </w:pPr>
          </w:p>
        </w:tc>
        <w:tc>
          <w:tcPr>
            <w:tcW w:w="1283" w:type="dxa"/>
            <w:tcBorders>
              <w:top w:val="nil"/>
              <w:left w:val="nil"/>
              <w:bottom w:val="nil"/>
              <w:right w:val="nil"/>
            </w:tcBorders>
            <w:shd w:val="clear" w:color="auto" w:fill="auto"/>
            <w:vAlign w:val="center"/>
            <w:hideMark/>
          </w:tcPr>
          <w:p w14:paraId="640C3BEC" w14:textId="77777777" w:rsidR="00561875" w:rsidRPr="006E4BE1" w:rsidRDefault="00561875" w:rsidP="00561875">
            <w:pPr>
              <w:jc w:val="right"/>
              <w:rPr>
                <w:rFonts w:ascii="Times New Roman" w:hAnsi="Times New Roman"/>
                <w:lang w:val="es-ES_tradnl"/>
              </w:rPr>
            </w:pPr>
          </w:p>
        </w:tc>
        <w:tc>
          <w:tcPr>
            <w:tcW w:w="948" w:type="dxa"/>
            <w:tcBorders>
              <w:top w:val="nil"/>
              <w:left w:val="nil"/>
              <w:bottom w:val="nil"/>
              <w:right w:val="nil"/>
            </w:tcBorders>
            <w:shd w:val="clear" w:color="auto" w:fill="auto"/>
            <w:vAlign w:val="center"/>
            <w:hideMark/>
          </w:tcPr>
          <w:p w14:paraId="4463A945" w14:textId="77777777" w:rsidR="00561875" w:rsidRPr="006E4BE1" w:rsidRDefault="00561875" w:rsidP="00561875">
            <w:pPr>
              <w:jc w:val="right"/>
              <w:rPr>
                <w:rFonts w:ascii="Times New Roman" w:hAnsi="Times New Roman"/>
                <w:lang w:val="es-ES_tradnl"/>
              </w:rPr>
            </w:pPr>
          </w:p>
        </w:tc>
        <w:tc>
          <w:tcPr>
            <w:tcW w:w="955" w:type="dxa"/>
            <w:tcBorders>
              <w:top w:val="nil"/>
              <w:left w:val="nil"/>
              <w:bottom w:val="nil"/>
              <w:right w:val="nil"/>
            </w:tcBorders>
            <w:shd w:val="clear" w:color="auto" w:fill="auto"/>
            <w:vAlign w:val="center"/>
            <w:hideMark/>
          </w:tcPr>
          <w:p w14:paraId="3E61A26B" w14:textId="77777777" w:rsidR="00561875" w:rsidRPr="006E4BE1" w:rsidRDefault="00561875" w:rsidP="00561875">
            <w:pPr>
              <w:jc w:val="right"/>
              <w:rPr>
                <w:rFonts w:ascii="Times New Roman" w:hAnsi="Times New Roman"/>
                <w:lang w:val="es-ES_tradnl"/>
              </w:rPr>
            </w:pPr>
          </w:p>
        </w:tc>
        <w:tc>
          <w:tcPr>
            <w:tcW w:w="1219" w:type="dxa"/>
            <w:tcBorders>
              <w:top w:val="nil"/>
              <w:left w:val="nil"/>
              <w:bottom w:val="nil"/>
              <w:right w:val="nil"/>
            </w:tcBorders>
            <w:shd w:val="clear" w:color="auto" w:fill="auto"/>
            <w:vAlign w:val="center"/>
            <w:hideMark/>
          </w:tcPr>
          <w:p w14:paraId="42A0C15B" w14:textId="77777777" w:rsidR="00561875" w:rsidRPr="006E4BE1" w:rsidRDefault="00561875" w:rsidP="00561875">
            <w:pPr>
              <w:jc w:val="right"/>
              <w:rPr>
                <w:rFonts w:ascii="Times New Roman" w:hAnsi="Times New Roman"/>
                <w:lang w:val="es-ES_tradnl"/>
              </w:rPr>
            </w:pPr>
          </w:p>
        </w:tc>
      </w:tr>
      <w:tr w:rsidR="00561875" w:rsidRPr="006E4BE1" w14:paraId="00340F06"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6032BAFE" w14:textId="77777777" w:rsidR="00561875" w:rsidRPr="006E4BE1" w:rsidRDefault="00561875" w:rsidP="00561875">
            <w:pPr>
              <w:jc w:val="left"/>
              <w:rPr>
                <w:rFonts w:ascii="Times New Roman" w:hAnsi="Times New Roman"/>
                <w:lang w:val="es-ES_tradnl"/>
              </w:rPr>
            </w:pPr>
          </w:p>
        </w:tc>
        <w:tc>
          <w:tcPr>
            <w:tcW w:w="3009" w:type="dxa"/>
            <w:tcBorders>
              <w:top w:val="nil"/>
              <w:left w:val="nil"/>
              <w:bottom w:val="nil"/>
              <w:right w:val="nil"/>
            </w:tcBorders>
            <w:shd w:val="clear" w:color="auto" w:fill="auto"/>
            <w:vAlign w:val="bottom"/>
            <w:hideMark/>
          </w:tcPr>
          <w:p w14:paraId="153C87BB" w14:textId="3405F4D9"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Pasantías y becas</w:t>
            </w:r>
          </w:p>
        </w:tc>
        <w:tc>
          <w:tcPr>
            <w:tcW w:w="997" w:type="dxa"/>
            <w:tcBorders>
              <w:top w:val="nil"/>
              <w:left w:val="nil"/>
              <w:bottom w:val="nil"/>
              <w:right w:val="nil"/>
            </w:tcBorders>
            <w:shd w:val="clear" w:color="auto" w:fill="auto"/>
            <w:vAlign w:val="bottom"/>
            <w:hideMark/>
          </w:tcPr>
          <w:p w14:paraId="4E2FC229" w14:textId="77777777" w:rsidR="00561875" w:rsidRPr="006E4BE1" w:rsidRDefault="00561875" w:rsidP="00561875">
            <w:pPr>
              <w:jc w:val="right"/>
              <w:rPr>
                <w:rFonts w:ascii="Arial Narrow" w:hAnsi="Arial Narrow" w:cs="Arial"/>
                <w:b/>
                <w:bCs/>
                <w:lang w:val="es-ES_tradnl"/>
              </w:rPr>
            </w:pPr>
          </w:p>
        </w:tc>
        <w:tc>
          <w:tcPr>
            <w:tcW w:w="1283" w:type="dxa"/>
            <w:tcBorders>
              <w:top w:val="nil"/>
              <w:left w:val="nil"/>
              <w:bottom w:val="nil"/>
              <w:right w:val="nil"/>
            </w:tcBorders>
            <w:shd w:val="clear" w:color="auto" w:fill="auto"/>
            <w:vAlign w:val="bottom"/>
            <w:hideMark/>
          </w:tcPr>
          <w:p w14:paraId="193885B3" w14:textId="77777777" w:rsidR="00561875" w:rsidRPr="006E4BE1" w:rsidRDefault="00561875" w:rsidP="00561875">
            <w:pPr>
              <w:jc w:val="right"/>
              <w:rPr>
                <w:rFonts w:ascii="Times New Roman" w:hAnsi="Times New Roman"/>
                <w:lang w:val="es-ES_tradnl"/>
              </w:rPr>
            </w:pPr>
          </w:p>
        </w:tc>
        <w:tc>
          <w:tcPr>
            <w:tcW w:w="948" w:type="dxa"/>
            <w:tcBorders>
              <w:top w:val="nil"/>
              <w:left w:val="nil"/>
              <w:bottom w:val="nil"/>
              <w:right w:val="nil"/>
            </w:tcBorders>
            <w:shd w:val="clear" w:color="auto" w:fill="auto"/>
            <w:vAlign w:val="bottom"/>
            <w:hideMark/>
          </w:tcPr>
          <w:p w14:paraId="286DDF99" w14:textId="77777777" w:rsidR="00561875" w:rsidRPr="006E4BE1" w:rsidRDefault="00561875" w:rsidP="00561875">
            <w:pPr>
              <w:jc w:val="right"/>
              <w:rPr>
                <w:rFonts w:ascii="Times New Roman" w:hAnsi="Times New Roman"/>
                <w:lang w:val="es-ES_tradnl"/>
              </w:rPr>
            </w:pPr>
          </w:p>
        </w:tc>
        <w:tc>
          <w:tcPr>
            <w:tcW w:w="955" w:type="dxa"/>
            <w:tcBorders>
              <w:top w:val="nil"/>
              <w:left w:val="nil"/>
              <w:bottom w:val="nil"/>
              <w:right w:val="nil"/>
            </w:tcBorders>
            <w:shd w:val="clear" w:color="auto" w:fill="auto"/>
            <w:vAlign w:val="bottom"/>
            <w:hideMark/>
          </w:tcPr>
          <w:p w14:paraId="1A27B392" w14:textId="77777777" w:rsidR="00561875" w:rsidRPr="006E4BE1" w:rsidRDefault="00561875" w:rsidP="00561875">
            <w:pPr>
              <w:jc w:val="right"/>
              <w:rPr>
                <w:rFonts w:ascii="Times New Roman" w:hAnsi="Times New Roman"/>
                <w:lang w:val="es-ES_tradnl"/>
              </w:rPr>
            </w:pPr>
          </w:p>
        </w:tc>
        <w:tc>
          <w:tcPr>
            <w:tcW w:w="1219" w:type="dxa"/>
            <w:tcBorders>
              <w:top w:val="nil"/>
              <w:left w:val="nil"/>
              <w:bottom w:val="nil"/>
              <w:right w:val="nil"/>
            </w:tcBorders>
            <w:shd w:val="clear" w:color="auto" w:fill="auto"/>
            <w:vAlign w:val="bottom"/>
            <w:hideMark/>
          </w:tcPr>
          <w:p w14:paraId="0020AA5B" w14:textId="77777777" w:rsidR="00561875" w:rsidRPr="006E4BE1" w:rsidRDefault="00561875" w:rsidP="00561875">
            <w:pPr>
              <w:jc w:val="right"/>
              <w:rPr>
                <w:rFonts w:ascii="Times New Roman" w:hAnsi="Times New Roman"/>
                <w:lang w:val="es-ES_tradnl"/>
              </w:rPr>
            </w:pPr>
          </w:p>
        </w:tc>
      </w:tr>
      <w:tr w:rsidR="00561875" w:rsidRPr="006E4BE1" w14:paraId="4015DDA4"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683101DD" w14:textId="77777777" w:rsidR="00561875" w:rsidRPr="006E4BE1" w:rsidRDefault="00561875" w:rsidP="00561875">
            <w:pPr>
              <w:jc w:val="left"/>
              <w:rPr>
                <w:rFonts w:ascii="Times New Roman" w:hAnsi="Times New Roman"/>
                <w:lang w:val="es-ES_tradnl"/>
              </w:rPr>
            </w:pPr>
          </w:p>
        </w:tc>
        <w:tc>
          <w:tcPr>
            <w:tcW w:w="3009" w:type="dxa"/>
            <w:tcBorders>
              <w:top w:val="nil"/>
              <w:left w:val="nil"/>
              <w:bottom w:val="nil"/>
              <w:right w:val="nil"/>
            </w:tcBorders>
            <w:shd w:val="clear" w:color="auto" w:fill="auto"/>
            <w:vAlign w:val="bottom"/>
            <w:hideMark/>
          </w:tcPr>
          <w:p w14:paraId="3B217BB3" w14:textId="5769E1F9" w:rsidR="00561875" w:rsidRPr="006E4BE1" w:rsidRDefault="00561875" w:rsidP="00561875">
            <w:pPr>
              <w:ind w:firstLineChars="200" w:firstLine="360"/>
              <w:jc w:val="left"/>
              <w:rPr>
                <w:rFonts w:ascii="Arial Narrow" w:hAnsi="Arial Narrow" w:cs="Arial"/>
                <w:i/>
                <w:iCs/>
                <w:sz w:val="18"/>
                <w:lang w:val="es-ES_tradnl"/>
              </w:rPr>
            </w:pPr>
            <w:r w:rsidRPr="006E4BE1">
              <w:rPr>
                <w:rFonts w:ascii="Arial Narrow" w:hAnsi="Arial Narrow" w:cs="Arial"/>
                <w:i/>
                <w:iCs/>
                <w:sz w:val="18"/>
                <w:lang w:val="es-ES_tradnl"/>
              </w:rPr>
              <w:t>Pasantías</w:t>
            </w:r>
          </w:p>
        </w:tc>
        <w:tc>
          <w:tcPr>
            <w:tcW w:w="997" w:type="dxa"/>
            <w:tcBorders>
              <w:top w:val="nil"/>
              <w:left w:val="nil"/>
              <w:bottom w:val="nil"/>
              <w:right w:val="nil"/>
            </w:tcBorders>
            <w:shd w:val="clear" w:color="auto" w:fill="auto"/>
            <w:vAlign w:val="center"/>
            <w:hideMark/>
          </w:tcPr>
          <w:p w14:paraId="0E9362FD"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70</w:t>
            </w:r>
          </w:p>
        </w:tc>
        <w:tc>
          <w:tcPr>
            <w:tcW w:w="1283" w:type="dxa"/>
            <w:tcBorders>
              <w:top w:val="nil"/>
              <w:left w:val="nil"/>
              <w:bottom w:val="nil"/>
              <w:right w:val="nil"/>
            </w:tcBorders>
            <w:shd w:val="clear" w:color="auto" w:fill="auto"/>
            <w:vAlign w:val="center"/>
            <w:hideMark/>
          </w:tcPr>
          <w:p w14:paraId="47493909" w14:textId="19F12565"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w:t>
            </w:r>
          </w:p>
        </w:tc>
        <w:tc>
          <w:tcPr>
            <w:tcW w:w="948" w:type="dxa"/>
            <w:tcBorders>
              <w:top w:val="nil"/>
              <w:left w:val="nil"/>
              <w:bottom w:val="nil"/>
              <w:right w:val="nil"/>
            </w:tcBorders>
            <w:shd w:val="clear" w:color="auto" w:fill="auto"/>
            <w:vAlign w:val="center"/>
            <w:hideMark/>
          </w:tcPr>
          <w:p w14:paraId="5F1DDFCA" w14:textId="16A0F98C"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0</w:t>
            </w:r>
          </w:p>
        </w:tc>
        <w:tc>
          <w:tcPr>
            <w:tcW w:w="955" w:type="dxa"/>
            <w:tcBorders>
              <w:top w:val="nil"/>
              <w:left w:val="nil"/>
              <w:bottom w:val="nil"/>
              <w:right w:val="nil"/>
            </w:tcBorders>
            <w:shd w:val="clear" w:color="auto" w:fill="auto"/>
            <w:vAlign w:val="center"/>
            <w:hideMark/>
          </w:tcPr>
          <w:p w14:paraId="181F3A34" w14:textId="5B4DF5CC"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7%</w:t>
            </w:r>
          </w:p>
        </w:tc>
        <w:tc>
          <w:tcPr>
            <w:tcW w:w="1219" w:type="dxa"/>
            <w:tcBorders>
              <w:top w:val="nil"/>
              <w:left w:val="nil"/>
              <w:bottom w:val="nil"/>
              <w:right w:val="nil"/>
            </w:tcBorders>
            <w:shd w:val="clear" w:color="auto" w:fill="auto"/>
            <w:vAlign w:val="center"/>
            <w:hideMark/>
          </w:tcPr>
          <w:p w14:paraId="01088D00" w14:textId="787EAEF3"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w:t>
            </w:r>
          </w:p>
        </w:tc>
      </w:tr>
      <w:tr w:rsidR="00561875" w:rsidRPr="006E4BE1" w14:paraId="6F5288CF"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21E4AF9A" w14:textId="77777777" w:rsidR="00561875" w:rsidRPr="006E4BE1" w:rsidRDefault="00561875" w:rsidP="00561875">
            <w:pPr>
              <w:jc w:val="right"/>
              <w:rPr>
                <w:rFonts w:ascii="Arial Narrow" w:hAnsi="Arial Narrow" w:cs="Arial"/>
                <w:lang w:val="es-ES_tradnl"/>
              </w:rPr>
            </w:pPr>
          </w:p>
        </w:tc>
        <w:tc>
          <w:tcPr>
            <w:tcW w:w="3009" w:type="dxa"/>
            <w:tcBorders>
              <w:top w:val="nil"/>
              <w:left w:val="nil"/>
              <w:bottom w:val="nil"/>
              <w:right w:val="nil"/>
            </w:tcBorders>
            <w:shd w:val="clear" w:color="auto" w:fill="auto"/>
            <w:vAlign w:val="bottom"/>
            <w:hideMark/>
          </w:tcPr>
          <w:p w14:paraId="5D316FC6" w14:textId="47615E8F" w:rsidR="00561875" w:rsidRPr="006E4BE1" w:rsidRDefault="00561875" w:rsidP="00561875">
            <w:pPr>
              <w:ind w:firstLineChars="200" w:firstLine="360"/>
              <w:jc w:val="left"/>
              <w:rPr>
                <w:rFonts w:ascii="Arial Narrow" w:hAnsi="Arial Narrow" w:cs="Arial"/>
                <w:i/>
                <w:iCs/>
                <w:sz w:val="18"/>
                <w:lang w:val="es-ES_tradnl"/>
              </w:rPr>
            </w:pPr>
            <w:r w:rsidRPr="006E4BE1">
              <w:rPr>
                <w:rFonts w:ascii="Arial Narrow" w:hAnsi="Arial Narrow" w:cs="Arial"/>
                <w:i/>
                <w:iCs/>
                <w:sz w:val="18"/>
                <w:lang w:val="es-ES_tradnl"/>
              </w:rPr>
              <w:t>Becas</w:t>
            </w:r>
          </w:p>
        </w:tc>
        <w:tc>
          <w:tcPr>
            <w:tcW w:w="997" w:type="dxa"/>
            <w:tcBorders>
              <w:top w:val="nil"/>
              <w:left w:val="nil"/>
              <w:bottom w:val="nil"/>
              <w:right w:val="nil"/>
            </w:tcBorders>
            <w:shd w:val="clear" w:color="auto" w:fill="auto"/>
            <w:vAlign w:val="center"/>
            <w:hideMark/>
          </w:tcPr>
          <w:p w14:paraId="4C99EE0C"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0</w:t>
            </w:r>
          </w:p>
        </w:tc>
        <w:tc>
          <w:tcPr>
            <w:tcW w:w="1283" w:type="dxa"/>
            <w:tcBorders>
              <w:top w:val="nil"/>
              <w:left w:val="nil"/>
              <w:bottom w:val="nil"/>
              <w:right w:val="nil"/>
            </w:tcBorders>
            <w:shd w:val="clear" w:color="auto" w:fill="auto"/>
            <w:vAlign w:val="center"/>
            <w:hideMark/>
          </w:tcPr>
          <w:p w14:paraId="484E2A82" w14:textId="455C84C6"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65</w:t>
            </w:r>
          </w:p>
        </w:tc>
        <w:tc>
          <w:tcPr>
            <w:tcW w:w="948" w:type="dxa"/>
            <w:tcBorders>
              <w:top w:val="nil"/>
              <w:left w:val="nil"/>
              <w:bottom w:val="nil"/>
              <w:right w:val="nil"/>
            </w:tcBorders>
            <w:shd w:val="clear" w:color="auto" w:fill="auto"/>
            <w:vAlign w:val="center"/>
            <w:hideMark/>
          </w:tcPr>
          <w:p w14:paraId="79C1A97F" w14:textId="07D9F319"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0</w:t>
            </w:r>
          </w:p>
        </w:tc>
        <w:tc>
          <w:tcPr>
            <w:tcW w:w="955" w:type="dxa"/>
            <w:tcBorders>
              <w:top w:val="nil"/>
              <w:left w:val="nil"/>
              <w:bottom w:val="nil"/>
              <w:right w:val="nil"/>
            </w:tcBorders>
            <w:shd w:val="clear" w:color="auto" w:fill="auto"/>
            <w:vAlign w:val="center"/>
            <w:hideMark/>
          </w:tcPr>
          <w:p w14:paraId="15905909" w14:textId="3EB9E9B4"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w:t>
            </w:r>
          </w:p>
        </w:tc>
        <w:tc>
          <w:tcPr>
            <w:tcW w:w="1219" w:type="dxa"/>
            <w:tcBorders>
              <w:top w:val="nil"/>
              <w:left w:val="nil"/>
              <w:bottom w:val="nil"/>
              <w:right w:val="nil"/>
            </w:tcBorders>
            <w:shd w:val="clear" w:color="auto" w:fill="auto"/>
            <w:vAlign w:val="center"/>
            <w:hideMark/>
          </w:tcPr>
          <w:p w14:paraId="5DB47753" w14:textId="36F98258"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65</w:t>
            </w:r>
          </w:p>
        </w:tc>
      </w:tr>
      <w:tr w:rsidR="00561875" w:rsidRPr="006E4BE1" w14:paraId="650B4002" w14:textId="77777777" w:rsidTr="00DC3724">
        <w:trPr>
          <w:trHeight w:val="314"/>
          <w:jc w:val="center"/>
        </w:trPr>
        <w:tc>
          <w:tcPr>
            <w:tcW w:w="321" w:type="dxa"/>
            <w:tcBorders>
              <w:top w:val="nil"/>
              <w:left w:val="nil"/>
              <w:bottom w:val="single" w:sz="4" w:space="0" w:color="AAB8C4"/>
              <w:right w:val="nil"/>
            </w:tcBorders>
            <w:shd w:val="clear" w:color="auto" w:fill="auto"/>
            <w:noWrap/>
            <w:vAlign w:val="bottom"/>
            <w:hideMark/>
          </w:tcPr>
          <w:p w14:paraId="4C576F59" w14:textId="77777777" w:rsidR="00561875" w:rsidRPr="006E4BE1" w:rsidRDefault="00561875" w:rsidP="00561875">
            <w:pPr>
              <w:jc w:val="left"/>
              <w:rPr>
                <w:rFonts w:cs="Arial"/>
                <w:lang w:val="es-ES_tradnl"/>
              </w:rPr>
            </w:pPr>
            <w:r w:rsidRPr="006E4BE1">
              <w:rPr>
                <w:rFonts w:cs="Arial"/>
                <w:lang w:val="es-ES_tradnl"/>
              </w:rPr>
              <w:t> </w:t>
            </w:r>
          </w:p>
        </w:tc>
        <w:tc>
          <w:tcPr>
            <w:tcW w:w="3009" w:type="dxa"/>
            <w:tcBorders>
              <w:top w:val="nil"/>
              <w:left w:val="nil"/>
              <w:bottom w:val="single" w:sz="4" w:space="0" w:color="AAB8C4"/>
              <w:right w:val="nil"/>
            </w:tcBorders>
            <w:shd w:val="clear" w:color="auto" w:fill="auto"/>
            <w:vAlign w:val="bottom"/>
            <w:hideMark/>
          </w:tcPr>
          <w:p w14:paraId="515796CD" w14:textId="596BA3EC"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Subtotal</w:t>
            </w:r>
          </w:p>
        </w:tc>
        <w:tc>
          <w:tcPr>
            <w:tcW w:w="997" w:type="dxa"/>
            <w:tcBorders>
              <w:top w:val="nil"/>
              <w:left w:val="nil"/>
              <w:bottom w:val="single" w:sz="4" w:space="0" w:color="AAB8C4"/>
              <w:right w:val="nil"/>
            </w:tcBorders>
            <w:shd w:val="clear" w:color="auto" w:fill="auto"/>
            <w:vAlign w:val="center"/>
            <w:hideMark/>
          </w:tcPr>
          <w:p w14:paraId="28411EC6" w14:textId="77777777"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70</w:t>
            </w:r>
          </w:p>
        </w:tc>
        <w:tc>
          <w:tcPr>
            <w:tcW w:w="1283" w:type="dxa"/>
            <w:tcBorders>
              <w:top w:val="nil"/>
              <w:left w:val="nil"/>
              <w:bottom w:val="single" w:sz="4" w:space="0" w:color="AAB8C4"/>
              <w:right w:val="nil"/>
            </w:tcBorders>
            <w:shd w:val="clear" w:color="auto" w:fill="auto"/>
            <w:vAlign w:val="center"/>
            <w:hideMark/>
          </w:tcPr>
          <w:p w14:paraId="654665C6" w14:textId="2B880884"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69</w:t>
            </w:r>
          </w:p>
        </w:tc>
        <w:tc>
          <w:tcPr>
            <w:tcW w:w="948" w:type="dxa"/>
            <w:tcBorders>
              <w:top w:val="nil"/>
              <w:left w:val="nil"/>
              <w:bottom w:val="single" w:sz="4" w:space="0" w:color="BFBFBF"/>
              <w:right w:val="nil"/>
            </w:tcBorders>
            <w:shd w:val="clear" w:color="auto" w:fill="auto"/>
            <w:vAlign w:val="center"/>
            <w:hideMark/>
          </w:tcPr>
          <w:p w14:paraId="58BB4095" w14:textId="5C8EBCDF"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w:t>
            </w:r>
          </w:p>
        </w:tc>
        <w:tc>
          <w:tcPr>
            <w:tcW w:w="955" w:type="dxa"/>
            <w:tcBorders>
              <w:top w:val="nil"/>
              <w:left w:val="nil"/>
              <w:bottom w:val="single" w:sz="4" w:space="0" w:color="BFBFBF"/>
              <w:right w:val="nil"/>
            </w:tcBorders>
            <w:shd w:val="clear" w:color="auto" w:fill="auto"/>
            <w:vAlign w:val="center"/>
            <w:hideMark/>
          </w:tcPr>
          <w:p w14:paraId="22A9844C" w14:textId="2D10E8EB"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w:t>
            </w:r>
          </w:p>
        </w:tc>
        <w:tc>
          <w:tcPr>
            <w:tcW w:w="1219" w:type="dxa"/>
            <w:tcBorders>
              <w:top w:val="nil"/>
              <w:left w:val="nil"/>
              <w:bottom w:val="single" w:sz="4" w:space="0" w:color="AAB8C4"/>
              <w:right w:val="nil"/>
            </w:tcBorders>
            <w:shd w:val="clear" w:color="auto" w:fill="auto"/>
            <w:vAlign w:val="center"/>
            <w:hideMark/>
          </w:tcPr>
          <w:p w14:paraId="5C452E3A" w14:textId="0E97783B"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70</w:t>
            </w:r>
          </w:p>
        </w:tc>
      </w:tr>
      <w:tr w:rsidR="00561875" w:rsidRPr="006E4BE1" w14:paraId="64F56C08" w14:textId="77777777" w:rsidTr="00DC3724">
        <w:trPr>
          <w:trHeight w:val="407"/>
          <w:jc w:val="center"/>
        </w:trPr>
        <w:tc>
          <w:tcPr>
            <w:tcW w:w="321" w:type="dxa"/>
            <w:tcBorders>
              <w:top w:val="nil"/>
              <w:left w:val="nil"/>
              <w:bottom w:val="nil"/>
              <w:right w:val="nil"/>
            </w:tcBorders>
            <w:shd w:val="clear" w:color="auto" w:fill="auto"/>
            <w:noWrap/>
            <w:vAlign w:val="bottom"/>
            <w:hideMark/>
          </w:tcPr>
          <w:p w14:paraId="7BA37DDD" w14:textId="77777777" w:rsidR="00561875" w:rsidRPr="006E4BE1" w:rsidRDefault="00561875" w:rsidP="00561875">
            <w:pPr>
              <w:jc w:val="right"/>
              <w:rPr>
                <w:rFonts w:ascii="Arial Narrow" w:hAnsi="Arial Narrow" w:cs="Arial"/>
                <w:b/>
                <w:bCs/>
                <w:lang w:val="es-ES_tradnl"/>
              </w:rPr>
            </w:pPr>
          </w:p>
        </w:tc>
        <w:tc>
          <w:tcPr>
            <w:tcW w:w="3009" w:type="dxa"/>
            <w:tcBorders>
              <w:top w:val="nil"/>
              <w:left w:val="nil"/>
              <w:bottom w:val="nil"/>
              <w:right w:val="nil"/>
            </w:tcBorders>
            <w:shd w:val="clear" w:color="auto" w:fill="auto"/>
            <w:vAlign w:val="bottom"/>
            <w:hideMark/>
          </w:tcPr>
          <w:p w14:paraId="4A209221" w14:textId="07957E07"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 xml:space="preserve">Viajes, formación y subsidios </w:t>
            </w:r>
          </w:p>
        </w:tc>
        <w:tc>
          <w:tcPr>
            <w:tcW w:w="997" w:type="dxa"/>
            <w:tcBorders>
              <w:top w:val="nil"/>
              <w:left w:val="nil"/>
              <w:bottom w:val="nil"/>
              <w:right w:val="nil"/>
            </w:tcBorders>
            <w:shd w:val="clear" w:color="auto" w:fill="auto"/>
            <w:vAlign w:val="center"/>
            <w:hideMark/>
          </w:tcPr>
          <w:p w14:paraId="5E92C5CB" w14:textId="77777777" w:rsidR="00561875" w:rsidRPr="006E4BE1" w:rsidRDefault="00561875" w:rsidP="00561875">
            <w:pPr>
              <w:jc w:val="right"/>
              <w:rPr>
                <w:rFonts w:ascii="Arial Narrow" w:hAnsi="Arial Narrow" w:cs="Arial"/>
                <w:b/>
                <w:bCs/>
                <w:lang w:val="es-ES_tradnl"/>
              </w:rPr>
            </w:pPr>
          </w:p>
        </w:tc>
        <w:tc>
          <w:tcPr>
            <w:tcW w:w="1283" w:type="dxa"/>
            <w:tcBorders>
              <w:top w:val="nil"/>
              <w:left w:val="nil"/>
              <w:bottom w:val="nil"/>
              <w:right w:val="nil"/>
            </w:tcBorders>
            <w:shd w:val="clear" w:color="auto" w:fill="auto"/>
            <w:vAlign w:val="center"/>
            <w:hideMark/>
          </w:tcPr>
          <w:p w14:paraId="3FBAD35D" w14:textId="77777777" w:rsidR="00561875" w:rsidRPr="006E4BE1" w:rsidRDefault="00561875" w:rsidP="00561875">
            <w:pPr>
              <w:jc w:val="right"/>
              <w:rPr>
                <w:rFonts w:ascii="Times New Roman" w:hAnsi="Times New Roman"/>
                <w:lang w:val="es-ES_tradnl"/>
              </w:rPr>
            </w:pPr>
          </w:p>
        </w:tc>
        <w:tc>
          <w:tcPr>
            <w:tcW w:w="948" w:type="dxa"/>
            <w:tcBorders>
              <w:top w:val="nil"/>
              <w:left w:val="nil"/>
              <w:bottom w:val="nil"/>
              <w:right w:val="nil"/>
            </w:tcBorders>
            <w:shd w:val="clear" w:color="auto" w:fill="auto"/>
            <w:vAlign w:val="center"/>
            <w:hideMark/>
          </w:tcPr>
          <w:p w14:paraId="7D4B6FB9" w14:textId="77777777" w:rsidR="00561875" w:rsidRPr="006E4BE1" w:rsidRDefault="00561875" w:rsidP="00561875">
            <w:pPr>
              <w:jc w:val="right"/>
              <w:rPr>
                <w:rFonts w:ascii="Times New Roman" w:hAnsi="Times New Roman"/>
                <w:lang w:val="es-ES_tradnl"/>
              </w:rPr>
            </w:pPr>
          </w:p>
        </w:tc>
        <w:tc>
          <w:tcPr>
            <w:tcW w:w="955" w:type="dxa"/>
            <w:tcBorders>
              <w:top w:val="nil"/>
              <w:left w:val="nil"/>
              <w:bottom w:val="nil"/>
              <w:right w:val="nil"/>
            </w:tcBorders>
            <w:shd w:val="clear" w:color="auto" w:fill="auto"/>
            <w:vAlign w:val="center"/>
            <w:hideMark/>
          </w:tcPr>
          <w:p w14:paraId="5209FD59" w14:textId="77777777" w:rsidR="00561875" w:rsidRPr="006E4BE1" w:rsidRDefault="00561875" w:rsidP="00561875">
            <w:pPr>
              <w:jc w:val="right"/>
              <w:rPr>
                <w:rFonts w:ascii="Times New Roman" w:hAnsi="Times New Roman"/>
                <w:lang w:val="es-ES_tradnl"/>
              </w:rPr>
            </w:pPr>
          </w:p>
        </w:tc>
        <w:tc>
          <w:tcPr>
            <w:tcW w:w="1219" w:type="dxa"/>
            <w:tcBorders>
              <w:top w:val="nil"/>
              <w:left w:val="nil"/>
              <w:bottom w:val="nil"/>
              <w:right w:val="nil"/>
            </w:tcBorders>
            <w:shd w:val="clear" w:color="auto" w:fill="auto"/>
            <w:vAlign w:val="center"/>
            <w:hideMark/>
          </w:tcPr>
          <w:p w14:paraId="644923F5" w14:textId="77777777" w:rsidR="00561875" w:rsidRPr="006E4BE1" w:rsidRDefault="00561875" w:rsidP="00561875">
            <w:pPr>
              <w:jc w:val="right"/>
              <w:rPr>
                <w:rFonts w:ascii="Times New Roman" w:hAnsi="Times New Roman"/>
                <w:lang w:val="es-ES_tradnl"/>
              </w:rPr>
            </w:pPr>
          </w:p>
        </w:tc>
      </w:tr>
      <w:tr w:rsidR="00561875" w:rsidRPr="006E4BE1" w14:paraId="00E1641B"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363E5CAD" w14:textId="77777777" w:rsidR="00561875" w:rsidRPr="006E4BE1" w:rsidRDefault="00561875" w:rsidP="00561875">
            <w:pPr>
              <w:jc w:val="left"/>
              <w:rPr>
                <w:rFonts w:ascii="Times New Roman" w:hAnsi="Times New Roman"/>
                <w:lang w:val="es-ES_tradnl"/>
              </w:rPr>
            </w:pPr>
          </w:p>
        </w:tc>
        <w:tc>
          <w:tcPr>
            <w:tcW w:w="3009" w:type="dxa"/>
            <w:tcBorders>
              <w:top w:val="nil"/>
              <w:left w:val="nil"/>
              <w:bottom w:val="nil"/>
              <w:right w:val="nil"/>
            </w:tcBorders>
            <w:shd w:val="clear" w:color="auto" w:fill="auto"/>
            <w:vAlign w:val="bottom"/>
            <w:hideMark/>
          </w:tcPr>
          <w:p w14:paraId="117636A9" w14:textId="516FFACF"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Misiones del personal</w:t>
            </w:r>
          </w:p>
        </w:tc>
        <w:tc>
          <w:tcPr>
            <w:tcW w:w="997" w:type="dxa"/>
            <w:tcBorders>
              <w:top w:val="nil"/>
              <w:left w:val="nil"/>
              <w:bottom w:val="nil"/>
              <w:right w:val="nil"/>
            </w:tcBorders>
            <w:shd w:val="clear" w:color="auto" w:fill="auto"/>
            <w:vAlign w:val="center"/>
            <w:hideMark/>
          </w:tcPr>
          <w:p w14:paraId="7F1BB4C0"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441</w:t>
            </w:r>
          </w:p>
        </w:tc>
        <w:tc>
          <w:tcPr>
            <w:tcW w:w="1283" w:type="dxa"/>
            <w:tcBorders>
              <w:top w:val="nil"/>
              <w:left w:val="nil"/>
              <w:bottom w:val="nil"/>
              <w:right w:val="nil"/>
            </w:tcBorders>
            <w:shd w:val="clear" w:color="auto" w:fill="auto"/>
            <w:vAlign w:val="center"/>
            <w:hideMark/>
          </w:tcPr>
          <w:p w14:paraId="64F23544" w14:textId="75B08E8E"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500</w:t>
            </w:r>
          </w:p>
        </w:tc>
        <w:tc>
          <w:tcPr>
            <w:tcW w:w="948" w:type="dxa"/>
            <w:tcBorders>
              <w:top w:val="nil"/>
              <w:left w:val="nil"/>
              <w:bottom w:val="nil"/>
              <w:right w:val="nil"/>
            </w:tcBorders>
            <w:shd w:val="clear" w:color="auto" w:fill="auto"/>
            <w:vAlign w:val="center"/>
            <w:hideMark/>
          </w:tcPr>
          <w:p w14:paraId="3AF253EF" w14:textId="3CFDBE64"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(151)</w:t>
            </w:r>
          </w:p>
        </w:tc>
        <w:tc>
          <w:tcPr>
            <w:tcW w:w="955" w:type="dxa"/>
            <w:tcBorders>
              <w:top w:val="nil"/>
              <w:left w:val="nil"/>
              <w:bottom w:val="nil"/>
              <w:right w:val="nil"/>
            </w:tcBorders>
            <w:shd w:val="clear" w:color="auto" w:fill="auto"/>
            <w:vAlign w:val="center"/>
            <w:hideMark/>
          </w:tcPr>
          <w:p w14:paraId="7D8AD6AE" w14:textId="12377AFE"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-30%</w:t>
            </w:r>
          </w:p>
        </w:tc>
        <w:tc>
          <w:tcPr>
            <w:tcW w:w="1219" w:type="dxa"/>
            <w:tcBorders>
              <w:top w:val="nil"/>
              <w:left w:val="nil"/>
              <w:bottom w:val="nil"/>
              <w:right w:val="nil"/>
            </w:tcBorders>
            <w:shd w:val="clear" w:color="auto" w:fill="auto"/>
            <w:vAlign w:val="center"/>
            <w:hideMark/>
          </w:tcPr>
          <w:p w14:paraId="525ACFC4" w14:textId="4EE53025"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349</w:t>
            </w:r>
          </w:p>
        </w:tc>
      </w:tr>
      <w:tr w:rsidR="00561875" w:rsidRPr="006E4BE1" w14:paraId="4272D575"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61CA0160" w14:textId="77777777" w:rsidR="00561875" w:rsidRPr="006E4BE1" w:rsidRDefault="00561875" w:rsidP="00561875">
            <w:pPr>
              <w:jc w:val="right"/>
              <w:rPr>
                <w:rFonts w:ascii="Arial Narrow" w:hAnsi="Arial Narrow" w:cs="Arial"/>
                <w:lang w:val="es-ES_tradnl"/>
              </w:rPr>
            </w:pPr>
          </w:p>
        </w:tc>
        <w:tc>
          <w:tcPr>
            <w:tcW w:w="3009" w:type="dxa"/>
            <w:tcBorders>
              <w:top w:val="nil"/>
              <w:left w:val="nil"/>
              <w:bottom w:val="nil"/>
              <w:right w:val="nil"/>
            </w:tcBorders>
            <w:shd w:val="clear" w:color="auto" w:fill="auto"/>
            <w:vAlign w:val="bottom"/>
            <w:hideMark/>
          </w:tcPr>
          <w:p w14:paraId="1DA3A81B" w14:textId="41A16573"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Viajes de terceros</w:t>
            </w:r>
          </w:p>
        </w:tc>
        <w:tc>
          <w:tcPr>
            <w:tcW w:w="997" w:type="dxa"/>
            <w:tcBorders>
              <w:top w:val="nil"/>
              <w:left w:val="nil"/>
              <w:bottom w:val="nil"/>
              <w:right w:val="nil"/>
            </w:tcBorders>
            <w:shd w:val="clear" w:color="auto" w:fill="auto"/>
            <w:vAlign w:val="center"/>
            <w:hideMark/>
          </w:tcPr>
          <w:p w14:paraId="2A74C5CA"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4</w:t>
            </w:r>
          </w:p>
        </w:tc>
        <w:tc>
          <w:tcPr>
            <w:tcW w:w="1283" w:type="dxa"/>
            <w:tcBorders>
              <w:top w:val="nil"/>
              <w:left w:val="nil"/>
              <w:bottom w:val="nil"/>
              <w:right w:val="nil"/>
            </w:tcBorders>
            <w:shd w:val="clear" w:color="auto" w:fill="auto"/>
            <w:vAlign w:val="center"/>
            <w:hideMark/>
          </w:tcPr>
          <w:p w14:paraId="5CD48FC7" w14:textId="22D37512"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25</w:t>
            </w:r>
          </w:p>
        </w:tc>
        <w:tc>
          <w:tcPr>
            <w:tcW w:w="948" w:type="dxa"/>
            <w:tcBorders>
              <w:top w:val="nil"/>
              <w:left w:val="nil"/>
              <w:bottom w:val="nil"/>
              <w:right w:val="nil"/>
            </w:tcBorders>
            <w:shd w:val="clear" w:color="auto" w:fill="auto"/>
            <w:vAlign w:val="center"/>
            <w:hideMark/>
          </w:tcPr>
          <w:p w14:paraId="619CA460" w14:textId="7C50722B"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(13)</w:t>
            </w:r>
          </w:p>
        </w:tc>
        <w:tc>
          <w:tcPr>
            <w:tcW w:w="955" w:type="dxa"/>
            <w:tcBorders>
              <w:top w:val="nil"/>
              <w:left w:val="nil"/>
              <w:bottom w:val="nil"/>
              <w:right w:val="nil"/>
            </w:tcBorders>
            <w:shd w:val="clear" w:color="auto" w:fill="auto"/>
            <w:vAlign w:val="center"/>
            <w:hideMark/>
          </w:tcPr>
          <w:p w14:paraId="515AE3F8" w14:textId="620DF71F"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-52%</w:t>
            </w:r>
          </w:p>
        </w:tc>
        <w:tc>
          <w:tcPr>
            <w:tcW w:w="1219" w:type="dxa"/>
            <w:tcBorders>
              <w:top w:val="nil"/>
              <w:left w:val="nil"/>
              <w:bottom w:val="nil"/>
              <w:right w:val="nil"/>
            </w:tcBorders>
            <w:shd w:val="clear" w:color="auto" w:fill="auto"/>
            <w:vAlign w:val="center"/>
            <w:hideMark/>
          </w:tcPr>
          <w:p w14:paraId="26E88CEB" w14:textId="2049D59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12</w:t>
            </w:r>
          </w:p>
        </w:tc>
      </w:tr>
      <w:tr w:rsidR="00561875" w:rsidRPr="006E4BE1" w14:paraId="0734F57A" w14:textId="77777777" w:rsidTr="00DC3724">
        <w:trPr>
          <w:trHeight w:val="314"/>
          <w:jc w:val="center"/>
        </w:trPr>
        <w:tc>
          <w:tcPr>
            <w:tcW w:w="321" w:type="dxa"/>
            <w:tcBorders>
              <w:top w:val="nil"/>
              <w:left w:val="nil"/>
              <w:bottom w:val="single" w:sz="4" w:space="0" w:color="AAB8C4"/>
              <w:right w:val="nil"/>
            </w:tcBorders>
            <w:shd w:val="clear" w:color="auto" w:fill="auto"/>
            <w:noWrap/>
            <w:vAlign w:val="bottom"/>
            <w:hideMark/>
          </w:tcPr>
          <w:p w14:paraId="4A73CB49" w14:textId="77777777" w:rsidR="00561875" w:rsidRPr="006E4BE1" w:rsidRDefault="00561875" w:rsidP="00561875">
            <w:pPr>
              <w:jc w:val="left"/>
              <w:rPr>
                <w:rFonts w:cs="Arial"/>
                <w:lang w:val="es-ES_tradnl"/>
              </w:rPr>
            </w:pPr>
            <w:r w:rsidRPr="006E4BE1">
              <w:rPr>
                <w:rFonts w:cs="Arial"/>
                <w:lang w:val="es-ES_tradnl"/>
              </w:rPr>
              <w:t> </w:t>
            </w:r>
          </w:p>
        </w:tc>
        <w:tc>
          <w:tcPr>
            <w:tcW w:w="3009" w:type="dxa"/>
            <w:tcBorders>
              <w:top w:val="nil"/>
              <w:left w:val="nil"/>
              <w:bottom w:val="single" w:sz="4" w:space="0" w:color="AAB8C4"/>
              <w:right w:val="nil"/>
            </w:tcBorders>
            <w:shd w:val="clear" w:color="auto" w:fill="auto"/>
            <w:vAlign w:val="bottom"/>
            <w:hideMark/>
          </w:tcPr>
          <w:p w14:paraId="574A8AEE" w14:textId="2E09E43A"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Subtotal</w:t>
            </w:r>
          </w:p>
        </w:tc>
        <w:tc>
          <w:tcPr>
            <w:tcW w:w="997" w:type="dxa"/>
            <w:tcBorders>
              <w:top w:val="nil"/>
              <w:left w:val="nil"/>
              <w:bottom w:val="single" w:sz="4" w:space="0" w:color="AAB8C4"/>
              <w:right w:val="nil"/>
            </w:tcBorders>
            <w:shd w:val="clear" w:color="auto" w:fill="auto"/>
            <w:vAlign w:val="center"/>
            <w:hideMark/>
          </w:tcPr>
          <w:p w14:paraId="61C0BD60" w14:textId="77777777"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446</w:t>
            </w:r>
          </w:p>
        </w:tc>
        <w:tc>
          <w:tcPr>
            <w:tcW w:w="1283" w:type="dxa"/>
            <w:tcBorders>
              <w:top w:val="nil"/>
              <w:left w:val="nil"/>
              <w:bottom w:val="single" w:sz="4" w:space="0" w:color="AAB8C4"/>
              <w:right w:val="nil"/>
            </w:tcBorders>
            <w:shd w:val="clear" w:color="auto" w:fill="auto"/>
            <w:vAlign w:val="center"/>
            <w:hideMark/>
          </w:tcPr>
          <w:p w14:paraId="3A2E01D0" w14:textId="0109FCBB"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525</w:t>
            </w:r>
          </w:p>
        </w:tc>
        <w:tc>
          <w:tcPr>
            <w:tcW w:w="948" w:type="dxa"/>
            <w:tcBorders>
              <w:top w:val="nil"/>
              <w:left w:val="nil"/>
              <w:bottom w:val="single" w:sz="4" w:space="0" w:color="BFBFBF"/>
              <w:right w:val="nil"/>
            </w:tcBorders>
            <w:shd w:val="clear" w:color="auto" w:fill="auto"/>
            <w:vAlign w:val="center"/>
            <w:hideMark/>
          </w:tcPr>
          <w:p w14:paraId="12085EA9" w14:textId="36F04DF3"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(164)</w:t>
            </w:r>
          </w:p>
        </w:tc>
        <w:tc>
          <w:tcPr>
            <w:tcW w:w="955" w:type="dxa"/>
            <w:tcBorders>
              <w:top w:val="nil"/>
              <w:left w:val="nil"/>
              <w:bottom w:val="single" w:sz="4" w:space="0" w:color="BFBFBF"/>
              <w:right w:val="nil"/>
            </w:tcBorders>
            <w:shd w:val="clear" w:color="auto" w:fill="auto"/>
            <w:vAlign w:val="center"/>
            <w:hideMark/>
          </w:tcPr>
          <w:p w14:paraId="6624218E" w14:textId="49C582E2"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-31%</w:t>
            </w:r>
          </w:p>
        </w:tc>
        <w:tc>
          <w:tcPr>
            <w:tcW w:w="1219" w:type="dxa"/>
            <w:tcBorders>
              <w:top w:val="nil"/>
              <w:left w:val="nil"/>
              <w:bottom w:val="single" w:sz="4" w:space="0" w:color="AAB8C4"/>
              <w:right w:val="nil"/>
            </w:tcBorders>
            <w:shd w:val="clear" w:color="auto" w:fill="auto"/>
            <w:vAlign w:val="center"/>
            <w:hideMark/>
          </w:tcPr>
          <w:p w14:paraId="13282C37" w14:textId="23C84E97"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361</w:t>
            </w:r>
          </w:p>
        </w:tc>
      </w:tr>
      <w:tr w:rsidR="00561875" w:rsidRPr="006E4BE1" w14:paraId="74764943" w14:textId="77777777" w:rsidTr="00DC3724">
        <w:trPr>
          <w:trHeight w:val="407"/>
          <w:jc w:val="center"/>
        </w:trPr>
        <w:tc>
          <w:tcPr>
            <w:tcW w:w="321" w:type="dxa"/>
            <w:tcBorders>
              <w:top w:val="nil"/>
              <w:left w:val="nil"/>
              <w:bottom w:val="nil"/>
              <w:right w:val="nil"/>
            </w:tcBorders>
            <w:shd w:val="clear" w:color="auto" w:fill="auto"/>
            <w:noWrap/>
            <w:vAlign w:val="bottom"/>
            <w:hideMark/>
          </w:tcPr>
          <w:p w14:paraId="15BA0557" w14:textId="77777777" w:rsidR="00561875" w:rsidRPr="006E4BE1" w:rsidRDefault="00561875" w:rsidP="00561875">
            <w:pPr>
              <w:jc w:val="right"/>
              <w:rPr>
                <w:rFonts w:ascii="Arial Narrow" w:hAnsi="Arial Narrow" w:cs="Arial"/>
                <w:b/>
                <w:bCs/>
                <w:lang w:val="es-ES_tradnl"/>
              </w:rPr>
            </w:pPr>
          </w:p>
        </w:tc>
        <w:tc>
          <w:tcPr>
            <w:tcW w:w="3009" w:type="dxa"/>
            <w:tcBorders>
              <w:top w:val="nil"/>
              <w:left w:val="nil"/>
              <w:bottom w:val="nil"/>
              <w:right w:val="nil"/>
            </w:tcBorders>
            <w:shd w:val="clear" w:color="auto" w:fill="auto"/>
            <w:vAlign w:val="bottom"/>
            <w:hideMark/>
          </w:tcPr>
          <w:p w14:paraId="1C6BA10A" w14:textId="16AF5D2A"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Servicios contractuales</w:t>
            </w:r>
          </w:p>
        </w:tc>
        <w:tc>
          <w:tcPr>
            <w:tcW w:w="997" w:type="dxa"/>
            <w:tcBorders>
              <w:top w:val="nil"/>
              <w:left w:val="nil"/>
              <w:bottom w:val="nil"/>
              <w:right w:val="nil"/>
            </w:tcBorders>
            <w:shd w:val="clear" w:color="auto" w:fill="auto"/>
            <w:vAlign w:val="center"/>
            <w:hideMark/>
          </w:tcPr>
          <w:p w14:paraId="680DCC94" w14:textId="77777777" w:rsidR="00561875" w:rsidRPr="006E4BE1" w:rsidRDefault="00561875" w:rsidP="00561875">
            <w:pPr>
              <w:jc w:val="right"/>
              <w:rPr>
                <w:rFonts w:ascii="Arial Narrow" w:hAnsi="Arial Narrow" w:cs="Arial"/>
                <w:b/>
                <w:bCs/>
                <w:lang w:val="es-ES_tradnl"/>
              </w:rPr>
            </w:pPr>
          </w:p>
        </w:tc>
        <w:tc>
          <w:tcPr>
            <w:tcW w:w="1283" w:type="dxa"/>
            <w:tcBorders>
              <w:top w:val="nil"/>
              <w:left w:val="nil"/>
              <w:bottom w:val="nil"/>
              <w:right w:val="nil"/>
            </w:tcBorders>
            <w:shd w:val="clear" w:color="auto" w:fill="auto"/>
            <w:vAlign w:val="center"/>
            <w:hideMark/>
          </w:tcPr>
          <w:p w14:paraId="746E42B2" w14:textId="77777777" w:rsidR="00561875" w:rsidRPr="006E4BE1" w:rsidRDefault="00561875" w:rsidP="00561875">
            <w:pPr>
              <w:jc w:val="right"/>
              <w:rPr>
                <w:rFonts w:ascii="Times New Roman" w:hAnsi="Times New Roman"/>
                <w:lang w:val="es-ES_tradnl"/>
              </w:rPr>
            </w:pPr>
          </w:p>
        </w:tc>
        <w:tc>
          <w:tcPr>
            <w:tcW w:w="948" w:type="dxa"/>
            <w:tcBorders>
              <w:top w:val="nil"/>
              <w:left w:val="nil"/>
              <w:bottom w:val="nil"/>
              <w:right w:val="nil"/>
            </w:tcBorders>
            <w:shd w:val="clear" w:color="auto" w:fill="auto"/>
            <w:vAlign w:val="center"/>
            <w:hideMark/>
          </w:tcPr>
          <w:p w14:paraId="4501AD4F" w14:textId="77777777" w:rsidR="00561875" w:rsidRPr="006E4BE1" w:rsidRDefault="00561875" w:rsidP="00561875">
            <w:pPr>
              <w:jc w:val="right"/>
              <w:rPr>
                <w:rFonts w:ascii="Times New Roman" w:hAnsi="Times New Roman"/>
                <w:lang w:val="es-ES_tradnl"/>
              </w:rPr>
            </w:pPr>
          </w:p>
        </w:tc>
        <w:tc>
          <w:tcPr>
            <w:tcW w:w="955" w:type="dxa"/>
            <w:tcBorders>
              <w:top w:val="nil"/>
              <w:left w:val="nil"/>
              <w:bottom w:val="nil"/>
              <w:right w:val="nil"/>
            </w:tcBorders>
            <w:shd w:val="clear" w:color="auto" w:fill="auto"/>
            <w:vAlign w:val="center"/>
            <w:hideMark/>
          </w:tcPr>
          <w:p w14:paraId="6C629945" w14:textId="77777777" w:rsidR="00561875" w:rsidRPr="006E4BE1" w:rsidRDefault="00561875" w:rsidP="00561875">
            <w:pPr>
              <w:jc w:val="right"/>
              <w:rPr>
                <w:rFonts w:ascii="Times New Roman" w:hAnsi="Times New Roman"/>
                <w:lang w:val="es-ES_tradnl"/>
              </w:rPr>
            </w:pPr>
          </w:p>
        </w:tc>
        <w:tc>
          <w:tcPr>
            <w:tcW w:w="1219" w:type="dxa"/>
            <w:tcBorders>
              <w:top w:val="nil"/>
              <w:left w:val="nil"/>
              <w:bottom w:val="nil"/>
              <w:right w:val="nil"/>
            </w:tcBorders>
            <w:shd w:val="clear" w:color="auto" w:fill="auto"/>
            <w:vAlign w:val="center"/>
            <w:hideMark/>
          </w:tcPr>
          <w:p w14:paraId="1D9EE9A6" w14:textId="77777777" w:rsidR="00561875" w:rsidRPr="006E4BE1" w:rsidRDefault="00561875" w:rsidP="00561875">
            <w:pPr>
              <w:jc w:val="right"/>
              <w:rPr>
                <w:rFonts w:ascii="Times New Roman" w:hAnsi="Times New Roman"/>
                <w:lang w:val="es-ES_tradnl"/>
              </w:rPr>
            </w:pPr>
          </w:p>
        </w:tc>
      </w:tr>
      <w:tr w:rsidR="00561875" w:rsidRPr="006E4BE1" w14:paraId="16D3195A"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78E585E0" w14:textId="77777777" w:rsidR="00561875" w:rsidRPr="006E4BE1" w:rsidRDefault="00561875" w:rsidP="00561875">
            <w:pPr>
              <w:jc w:val="left"/>
              <w:rPr>
                <w:rFonts w:ascii="Times New Roman" w:hAnsi="Times New Roman"/>
                <w:lang w:val="es-ES_tradnl"/>
              </w:rPr>
            </w:pPr>
          </w:p>
        </w:tc>
        <w:tc>
          <w:tcPr>
            <w:tcW w:w="3009" w:type="dxa"/>
            <w:tcBorders>
              <w:top w:val="nil"/>
              <w:left w:val="nil"/>
              <w:bottom w:val="nil"/>
              <w:right w:val="nil"/>
            </w:tcBorders>
            <w:shd w:val="clear" w:color="auto" w:fill="auto"/>
            <w:vAlign w:val="bottom"/>
            <w:hideMark/>
          </w:tcPr>
          <w:p w14:paraId="184DCA01" w14:textId="0ECAFB2D"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Conferencias</w:t>
            </w:r>
          </w:p>
        </w:tc>
        <w:tc>
          <w:tcPr>
            <w:tcW w:w="997" w:type="dxa"/>
            <w:tcBorders>
              <w:top w:val="nil"/>
              <w:left w:val="nil"/>
              <w:bottom w:val="nil"/>
              <w:right w:val="nil"/>
            </w:tcBorders>
            <w:shd w:val="clear" w:color="auto" w:fill="auto"/>
            <w:vAlign w:val="center"/>
            <w:hideMark/>
          </w:tcPr>
          <w:p w14:paraId="7B4B43EE"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139</w:t>
            </w:r>
          </w:p>
        </w:tc>
        <w:tc>
          <w:tcPr>
            <w:tcW w:w="1283" w:type="dxa"/>
            <w:tcBorders>
              <w:top w:val="nil"/>
              <w:left w:val="nil"/>
              <w:bottom w:val="nil"/>
              <w:right w:val="nil"/>
            </w:tcBorders>
            <w:shd w:val="clear" w:color="auto" w:fill="auto"/>
            <w:vAlign w:val="center"/>
            <w:hideMark/>
          </w:tcPr>
          <w:p w14:paraId="1179EAD0" w14:textId="62A6C083"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160</w:t>
            </w:r>
          </w:p>
        </w:tc>
        <w:tc>
          <w:tcPr>
            <w:tcW w:w="948" w:type="dxa"/>
            <w:tcBorders>
              <w:top w:val="nil"/>
              <w:left w:val="nil"/>
              <w:bottom w:val="nil"/>
              <w:right w:val="nil"/>
            </w:tcBorders>
            <w:shd w:val="clear" w:color="auto" w:fill="auto"/>
            <w:vAlign w:val="center"/>
            <w:hideMark/>
          </w:tcPr>
          <w:p w14:paraId="0D31F007" w14:textId="1CAFD068"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20</w:t>
            </w:r>
          </w:p>
        </w:tc>
        <w:tc>
          <w:tcPr>
            <w:tcW w:w="955" w:type="dxa"/>
            <w:tcBorders>
              <w:top w:val="nil"/>
              <w:left w:val="nil"/>
              <w:bottom w:val="nil"/>
              <w:right w:val="nil"/>
            </w:tcBorders>
            <w:shd w:val="clear" w:color="auto" w:fill="auto"/>
            <w:vAlign w:val="center"/>
            <w:hideMark/>
          </w:tcPr>
          <w:p w14:paraId="4FD1F470" w14:textId="2B3D7A19"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13%</w:t>
            </w:r>
          </w:p>
        </w:tc>
        <w:tc>
          <w:tcPr>
            <w:tcW w:w="1219" w:type="dxa"/>
            <w:tcBorders>
              <w:top w:val="nil"/>
              <w:left w:val="nil"/>
              <w:bottom w:val="nil"/>
              <w:right w:val="nil"/>
            </w:tcBorders>
            <w:shd w:val="clear" w:color="auto" w:fill="auto"/>
            <w:vAlign w:val="center"/>
            <w:hideMark/>
          </w:tcPr>
          <w:p w14:paraId="449B59DC" w14:textId="3EBD23D8"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180</w:t>
            </w:r>
          </w:p>
        </w:tc>
      </w:tr>
      <w:tr w:rsidR="00561875" w:rsidRPr="006E4BE1" w14:paraId="7F60FF52"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3B804FA9" w14:textId="77777777" w:rsidR="00561875" w:rsidRPr="006E4BE1" w:rsidRDefault="00561875" w:rsidP="00561875">
            <w:pPr>
              <w:jc w:val="right"/>
              <w:rPr>
                <w:rFonts w:ascii="Arial Narrow" w:hAnsi="Arial Narrow" w:cs="Arial"/>
                <w:lang w:val="es-ES_tradnl"/>
              </w:rPr>
            </w:pPr>
          </w:p>
        </w:tc>
        <w:tc>
          <w:tcPr>
            <w:tcW w:w="3009" w:type="dxa"/>
            <w:tcBorders>
              <w:top w:val="nil"/>
              <w:left w:val="nil"/>
              <w:bottom w:val="nil"/>
              <w:right w:val="nil"/>
            </w:tcBorders>
            <w:shd w:val="clear" w:color="auto" w:fill="auto"/>
            <w:vAlign w:val="bottom"/>
            <w:hideMark/>
          </w:tcPr>
          <w:p w14:paraId="447CE88D" w14:textId="29DF37D9"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Publicaciones</w:t>
            </w:r>
          </w:p>
        </w:tc>
        <w:tc>
          <w:tcPr>
            <w:tcW w:w="997" w:type="dxa"/>
            <w:tcBorders>
              <w:top w:val="nil"/>
              <w:left w:val="nil"/>
              <w:bottom w:val="nil"/>
              <w:right w:val="nil"/>
            </w:tcBorders>
            <w:shd w:val="clear" w:color="auto" w:fill="auto"/>
            <w:vAlign w:val="center"/>
            <w:hideMark/>
          </w:tcPr>
          <w:p w14:paraId="06F2411E"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w:t>
            </w:r>
          </w:p>
        </w:tc>
        <w:tc>
          <w:tcPr>
            <w:tcW w:w="1283" w:type="dxa"/>
            <w:tcBorders>
              <w:top w:val="nil"/>
              <w:left w:val="nil"/>
              <w:bottom w:val="nil"/>
              <w:right w:val="nil"/>
            </w:tcBorders>
            <w:shd w:val="clear" w:color="auto" w:fill="auto"/>
            <w:vAlign w:val="center"/>
            <w:hideMark/>
          </w:tcPr>
          <w:p w14:paraId="16B8D1DA" w14:textId="32810322"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c>
          <w:tcPr>
            <w:tcW w:w="948" w:type="dxa"/>
            <w:tcBorders>
              <w:top w:val="nil"/>
              <w:left w:val="nil"/>
              <w:bottom w:val="nil"/>
              <w:right w:val="nil"/>
            </w:tcBorders>
            <w:shd w:val="clear" w:color="auto" w:fill="auto"/>
            <w:vAlign w:val="center"/>
            <w:hideMark/>
          </w:tcPr>
          <w:p w14:paraId="4B574347" w14:textId="3ACB93B8"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c>
          <w:tcPr>
            <w:tcW w:w="955" w:type="dxa"/>
            <w:tcBorders>
              <w:top w:val="nil"/>
              <w:left w:val="nil"/>
              <w:bottom w:val="nil"/>
              <w:right w:val="nil"/>
            </w:tcBorders>
            <w:shd w:val="clear" w:color="auto" w:fill="auto"/>
            <w:vAlign w:val="center"/>
            <w:hideMark/>
          </w:tcPr>
          <w:p w14:paraId="6DBCE5A3" w14:textId="1ACE772A"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c>
          <w:tcPr>
            <w:tcW w:w="1219" w:type="dxa"/>
            <w:tcBorders>
              <w:top w:val="nil"/>
              <w:left w:val="nil"/>
              <w:bottom w:val="nil"/>
              <w:right w:val="nil"/>
            </w:tcBorders>
            <w:shd w:val="clear" w:color="auto" w:fill="auto"/>
            <w:vAlign w:val="center"/>
            <w:hideMark/>
          </w:tcPr>
          <w:p w14:paraId="02C29F2C" w14:textId="06212E51"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0</w:t>
            </w:r>
          </w:p>
        </w:tc>
      </w:tr>
      <w:tr w:rsidR="00561875" w:rsidRPr="006E4BE1" w14:paraId="5969457B"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472FF0AA" w14:textId="77777777" w:rsidR="00561875" w:rsidRPr="006E4BE1" w:rsidRDefault="00561875" w:rsidP="00561875">
            <w:pPr>
              <w:jc w:val="right"/>
              <w:rPr>
                <w:rFonts w:ascii="Arial Narrow" w:hAnsi="Arial Narrow" w:cs="Arial"/>
                <w:lang w:val="es-ES_tradnl"/>
              </w:rPr>
            </w:pPr>
          </w:p>
        </w:tc>
        <w:tc>
          <w:tcPr>
            <w:tcW w:w="3009" w:type="dxa"/>
            <w:tcBorders>
              <w:top w:val="nil"/>
              <w:left w:val="nil"/>
              <w:bottom w:val="nil"/>
              <w:right w:val="nil"/>
            </w:tcBorders>
            <w:shd w:val="clear" w:color="auto" w:fill="auto"/>
            <w:vAlign w:val="bottom"/>
            <w:hideMark/>
          </w:tcPr>
          <w:p w14:paraId="15308EB0" w14:textId="71EB9882"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Servicios contractuales individuales</w:t>
            </w:r>
          </w:p>
        </w:tc>
        <w:tc>
          <w:tcPr>
            <w:tcW w:w="997" w:type="dxa"/>
            <w:tcBorders>
              <w:top w:val="nil"/>
              <w:left w:val="nil"/>
              <w:bottom w:val="nil"/>
              <w:right w:val="nil"/>
            </w:tcBorders>
            <w:shd w:val="clear" w:color="auto" w:fill="auto"/>
            <w:vAlign w:val="center"/>
            <w:hideMark/>
          </w:tcPr>
          <w:p w14:paraId="02DEC31E"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6</w:t>
            </w:r>
          </w:p>
        </w:tc>
        <w:tc>
          <w:tcPr>
            <w:tcW w:w="1283" w:type="dxa"/>
            <w:tcBorders>
              <w:top w:val="nil"/>
              <w:left w:val="nil"/>
              <w:bottom w:val="nil"/>
              <w:right w:val="nil"/>
            </w:tcBorders>
            <w:shd w:val="clear" w:color="auto" w:fill="auto"/>
            <w:vAlign w:val="center"/>
            <w:hideMark/>
          </w:tcPr>
          <w:p w14:paraId="36F00CD2" w14:textId="44B44350"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20</w:t>
            </w:r>
          </w:p>
        </w:tc>
        <w:tc>
          <w:tcPr>
            <w:tcW w:w="948" w:type="dxa"/>
            <w:tcBorders>
              <w:top w:val="nil"/>
              <w:left w:val="nil"/>
              <w:bottom w:val="nil"/>
              <w:right w:val="nil"/>
            </w:tcBorders>
            <w:shd w:val="clear" w:color="auto" w:fill="auto"/>
            <w:vAlign w:val="center"/>
            <w:hideMark/>
          </w:tcPr>
          <w:p w14:paraId="3228B39A" w14:textId="279F811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(15)</w:t>
            </w:r>
          </w:p>
        </w:tc>
        <w:tc>
          <w:tcPr>
            <w:tcW w:w="955" w:type="dxa"/>
            <w:tcBorders>
              <w:top w:val="nil"/>
              <w:left w:val="nil"/>
              <w:bottom w:val="nil"/>
              <w:right w:val="nil"/>
            </w:tcBorders>
            <w:shd w:val="clear" w:color="auto" w:fill="auto"/>
            <w:vAlign w:val="center"/>
            <w:hideMark/>
          </w:tcPr>
          <w:p w14:paraId="5E7EE739" w14:textId="775CC4DF"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-75%</w:t>
            </w:r>
          </w:p>
        </w:tc>
        <w:tc>
          <w:tcPr>
            <w:tcW w:w="1219" w:type="dxa"/>
            <w:tcBorders>
              <w:top w:val="nil"/>
              <w:left w:val="nil"/>
              <w:bottom w:val="nil"/>
              <w:right w:val="nil"/>
            </w:tcBorders>
            <w:shd w:val="clear" w:color="auto" w:fill="auto"/>
            <w:vAlign w:val="center"/>
            <w:hideMark/>
          </w:tcPr>
          <w:p w14:paraId="45794C19" w14:textId="4B644082"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w:t>
            </w:r>
          </w:p>
        </w:tc>
      </w:tr>
      <w:tr w:rsidR="00561875" w:rsidRPr="006E4BE1" w14:paraId="6956B518"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369B56D3" w14:textId="77777777" w:rsidR="00561875" w:rsidRPr="006E4BE1" w:rsidRDefault="00561875" w:rsidP="00561875">
            <w:pPr>
              <w:jc w:val="right"/>
              <w:rPr>
                <w:rFonts w:ascii="Arial Narrow" w:hAnsi="Arial Narrow" w:cs="Arial"/>
                <w:lang w:val="es-ES_tradnl"/>
              </w:rPr>
            </w:pPr>
          </w:p>
        </w:tc>
        <w:tc>
          <w:tcPr>
            <w:tcW w:w="3009" w:type="dxa"/>
            <w:tcBorders>
              <w:top w:val="nil"/>
              <w:left w:val="nil"/>
              <w:bottom w:val="nil"/>
              <w:right w:val="nil"/>
            </w:tcBorders>
            <w:shd w:val="clear" w:color="auto" w:fill="auto"/>
            <w:vAlign w:val="bottom"/>
            <w:hideMark/>
          </w:tcPr>
          <w:p w14:paraId="005EC003" w14:textId="7DE53673"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Otros servicios contractuales</w:t>
            </w:r>
          </w:p>
        </w:tc>
        <w:tc>
          <w:tcPr>
            <w:tcW w:w="997" w:type="dxa"/>
            <w:tcBorders>
              <w:top w:val="nil"/>
              <w:left w:val="nil"/>
              <w:bottom w:val="nil"/>
              <w:right w:val="nil"/>
            </w:tcBorders>
            <w:shd w:val="clear" w:color="auto" w:fill="auto"/>
            <w:vAlign w:val="center"/>
            <w:hideMark/>
          </w:tcPr>
          <w:p w14:paraId="4DF8E105"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580</w:t>
            </w:r>
          </w:p>
        </w:tc>
        <w:tc>
          <w:tcPr>
            <w:tcW w:w="1283" w:type="dxa"/>
            <w:tcBorders>
              <w:top w:val="nil"/>
              <w:left w:val="nil"/>
              <w:bottom w:val="nil"/>
              <w:right w:val="nil"/>
            </w:tcBorders>
            <w:shd w:val="clear" w:color="auto" w:fill="auto"/>
            <w:vAlign w:val="center"/>
            <w:hideMark/>
          </w:tcPr>
          <w:p w14:paraId="5FDD63EB" w14:textId="3884D1C9"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385</w:t>
            </w:r>
          </w:p>
        </w:tc>
        <w:tc>
          <w:tcPr>
            <w:tcW w:w="948" w:type="dxa"/>
            <w:tcBorders>
              <w:top w:val="nil"/>
              <w:left w:val="nil"/>
              <w:bottom w:val="nil"/>
              <w:right w:val="nil"/>
            </w:tcBorders>
            <w:shd w:val="clear" w:color="auto" w:fill="auto"/>
            <w:vAlign w:val="center"/>
            <w:hideMark/>
          </w:tcPr>
          <w:p w14:paraId="4B4F1433" w14:textId="38FB116A"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20</w:t>
            </w:r>
          </w:p>
        </w:tc>
        <w:tc>
          <w:tcPr>
            <w:tcW w:w="955" w:type="dxa"/>
            <w:tcBorders>
              <w:top w:val="nil"/>
              <w:left w:val="nil"/>
              <w:bottom w:val="nil"/>
              <w:right w:val="nil"/>
            </w:tcBorders>
            <w:shd w:val="clear" w:color="auto" w:fill="auto"/>
            <w:vAlign w:val="center"/>
            <w:hideMark/>
          </w:tcPr>
          <w:p w14:paraId="33C6BC99" w14:textId="7C73D74A"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w:t>
            </w:r>
          </w:p>
        </w:tc>
        <w:tc>
          <w:tcPr>
            <w:tcW w:w="1219" w:type="dxa"/>
            <w:tcBorders>
              <w:top w:val="nil"/>
              <w:left w:val="nil"/>
              <w:bottom w:val="nil"/>
              <w:right w:val="nil"/>
            </w:tcBorders>
            <w:shd w:val="clear" w:color="auto" w:fill="auto"/>
            <w:vAlign w:val="center"/>
            <w:hideMark/>
          </w:tcPr>
          <w:p w14:paraId="6A3E0BC7" w14:textId="2C92E02F"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405</w:t>
            </w:r>
          </w:p>
        </w:tc>
      </w:tr>
      <w:tr w:rsidR="00561875" w:rsidRPr="006E4BE1" w14:paraId="130677EC" w14:textId="77777777" w:rsidTr="00DC3724">
        <w:trPr>
          <w:trHeight w:val="314"/>
          <w:jc w:val="center"/>
        </w:trPr>
        <w:tc>
          <w:tcPr>
            <w:tcW w:w="321" w:type="dxa"/>
            <w:tcBorders>
              <w:top w:val="nil"/>
              <w:left w:val="nil"/>
              <w:bottom w:val="single" w:sz="4" w:space="0" w:color="AAB8C4"/>
              <w:right w:val="nil"/>
            </w:tcBorders>
            <w:shd w:val="clear" w:color="auto" w:fill="auto"/>
            <w:noWrap/>
            <w:vAlign w:val="bottom"/>
            <w:hideMark/>
          </w:tcPr>
          <w:p w14:paraId="3E6E57D3" w14:textId="77777777" w:rsidR="00561875" w:rsidRPr="006E4BE1" w:rsidRDefault="00561875" w:rsidP="00561875">
            <w:pPr>
              <w:jc w:val="left"/>
              <w:rPr>
                <w:rFonts w:cs="Arial"/>
                <w:lang w:val="es-ES_tradnl"/>
              </w:rPr>
            </w:pPr>
            <w:r w:rsidRPr="006E4BE1">
              <w:rPr>
                <w:rFonts w:cs="Arial"/>
                <w:lang w:val="es-ES_tradnl"/>
              </w:rPr>
              <w:t> </w:t>
            </w:r>
          </w:p>
        </w:tc>
        <w:tc>
          <w:tcPr>
            <w:tcW w:w="3009" w:type="dxa"/>
            <w:tcBorders>
              <w:top w:val="nil"/>
              <w:left w:val="nil"/>
              <w:bottom w:val="single" w:sz="4" w:space="0" w:color="AAB8C4"/>
              <w:right w:val="nil"/>
            </w:tcBorders>
            <w:shd w:val="clear" w:color="auto" w:fill="auto"/>
            <w:vAlign w:val="bottom"/>
            <w:hideMark/>
          </w:tcPr>
          <w:p w14:paraId="2A2C0807" w14:textId="2FD6D635"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Subtotal</w:t>
            </w:r>
          </w:p>
        </w:tc>
        <w:tc>
          <w:tcPr>
            <w:tcW w:w="997" w:type="dxa"/>
            <w:tcBorders>
              <w:top w:val="nil"/>
              <w:left w:val="nil"/>
              <w:bottom w:val="single" w:sz="4" w:space="0" w:color="AAB8C4"/>
              <w:right w:val="nil"/>
            </w:tcBorders>
            <w:shd w:val="clear" w:color="auto" w:fill="auto"/>
            <w:vAlign w:val="center"/>
            <w:hideMark/>
          </w:tcPr>
          <w:p w14:paraId="763CCE3B" w14:textId="77777777"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726</w:t>
            </w:r>
          </w:p>
        </w:tc>
        <w:tc>
          <w:tcPr>
            <w:tcW w:w="1283" w:type="dxa"/>
            <w:tcBorders>
              <w:top w:val="nil"/>
              <w:left w:val="nil"/>
              <w:bottom w:val="single" w:sz="4" w:space="0" w:color="AAB8C4"/>
              <w:right w:val="nil"/>
            </w:tcBorders>
            <w:shd w:val="clear" w:color="auto" w:fill="auto"/>
            <w:vAlign w:val="center"/>
            <w:hideMark/>
          </w:tcPr>
          <w:p w14:paraId="15C09789" w14:textId="7407CCC6"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565</w:t>
            </w:r>
          </w:p>
        </w:tc>
        <w:tc>
          <w:tcPr>
            <w:tcW w:w="948" w:type="dxa"/>
            <w:tcBorders>
              <w:top w:val="nil"/>
              <w:left w:val="nil"/>
              <w:bottom w:val="single" w:sz="4" w:space="0" w:color="BFBFBF"/>
              <w:right w:val="nil"/>
            </w:tcBorders>
            <w:shd w:val="clear" w:color="auto" w:fill="auto"/>
            <w:vAlign w:val="center"/>
            <w:hideMark/>
          </w:tcPr>
          <w:p w14:paraId="18821E0A" w14:textId="5ED59219"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25</w:t>
            </w:r>
          </w:p>
        </w:tc>
        <w:tc>
          <w:tcPr>
            <w:tcW w:w="955" w:type="dxa"/>
            <w:tcBorders>
              <w:top w:val="nil"/>
              <w:left w:val="nil"/>
              <w:bottom w:val="single" w:sz="4" w:space="0" w:color="BFBFBF"/>
              <w:right w:val="nil"/>
            </w:tcBorders>
            <w:shd w:val="clear" w:color="auto" w:fill="auto"/>
            <w:vAlign w:val="center"/>
            <w:hideMark/>
          </w:tcPr>
          <w:p w14:paraId="52C7331C" w14:textId="783B1E2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4%</w:t>
            </w:r>
          </w:p>
        </w:tc>
        <w:tc>
          <w:tcPr>
            <w:tcW w:w="1219" w:type="dxa"/>
            <w:tcBorders>
              <w:top w:val="nil"/>
              <w:left w:val="nil"/>
              <w:bottom w:val="single" w:sz="4" w:space="0" w:color="AAB8C4"/>
              <w:right w:val="nil"/>
            </w:tcBorders>
            <w:shd w:val="clear" w:color="auto" w:fill="auto"/>
            <w:vAlign w:val="center"/>
            <w:hideMark/>
          </w:tcPr>
          <w:p w14:paraId="3F008BF8" w14:textId="28860BDA"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590</w:t>
            </w:r>
          </w:p>
        </w:tc>
      </w:tr>
      <w:tr w:rsidR="00561875" w:rsidRPr="006E4BE1" w14:paraId="6D285643"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7A334F81" w14:textId="77777777" w:rsidR="00561875" w:rsidRPr="006E4BE1" w:rsidRDefault="00561875" w:rsidP="00561875">
            <w:pPr>
              <w:jc w:val="right"/>
              <w:rPr>
                <w:rFonts w:ascii="Arial Narrow" w:hAnsi="Arial Narrow" w:cs="Arial"/>
                <w:b/>
                <w:bCs/>
                <w:lang w:val="es-ES_tradnl"/>
              </w:rPr>
            </w:pPr>
          </w:p>
        </w:tc>
        <w:tc>
          <w:tcPr>
            <w:tcW w:w="3009" w:type="dxa"/>
            <w:tcBorders>
              <w:top w:val="nil"/>
              <w:left w:val="nil"/>
              <w:bottom w:val="nil"/>
              <w:right w:val="nil"/>
            </w:tcBorders>
            <w:shd w:val="clear" w:color="auto" w:fill="auto"/>
            <w:vAlign w:val="bottom"/>
            <w:hideMark/>
          </w:tcPr>
          <w:p w14:paraId="1D7DFF9A" w14:textId="0DEE5588"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Gastos de funcionamiento</w:t>
            </w:r>
          </w:p>
        </w:tc>
        <w:tc>
          <w:tcPr>
            <w:tcW w:w="997" w:type="dxa"/>
            <w:tcBorders>
              <w:top w:val="nil"/>
              <w:left w:val="nil"/>
              <w:bottom w:val="nil"/>
              <w:right w:val="nil"/>
            </w:tcBorders>
            <w:shd w:val="clear" w:color="auto" w:fill="auto"/>
            <w:vAlign w:val="center"/>
            <w:hideMark/>
          </w:tcPr>
          <w:p w14:paraId="05C3749D" w14:textId="77777777" w:rsidR="00561875" w:rsidRPr="006E4BE1" w:rsidRDefault="00561875" w:rsidP="00561875">
            <w:pPr>
              <w:jc w:val="right"/>
              <w:rPr>
                <w:rFonts w:ascii="Arial Narrow" w:hAnsi="Arial Narrow" w:cs="Arial"/>
                <w:b/>
                <w:bCs/>
                <w:lang w:val="es-ES_tradnl"/>
              </w:rPr>
            </w:pPr>
          </w:p>
        </w:tc>
        <w:tc>
          <w:tcPr>
            <w:tcW w:w="1283" w:type="dxa"/>
            <w:tcBorders>
              <w:top w:val="nil"/>
              <w:left w:val="nil"/>
              <w:bottom w:val="nil"/>
              <w:right w:val="nil"/>
            </w:tcBorders>
            <w:shd w:val="clear" w:color="auto" w:fill="auto"/>
            <w:vAlign w:val="center"/>
            <w:hideMark/>
          </w:tcPr>
          <w:p w14:paraId="365D7152" w14:textId="77777777" w:rsidR="00561875" w:rsidRPr="006E4BE1" w:rsidRDefault="00561875" w:rsidP="00561875">
            <w:pPr>
              <w:jc w:val="right"/>
              <w:rPr>
                <w:rFonts w:ascii="Times New Roman" w:hAnsi="Times New Roman"/>
                <w:lang w:val="es-ES_tradnl"/>
              </w:rPr>
            </w:pPr>
          </w:p>
        </w:tc>
        <w:tc>
          <w:tcPr>
            <w:tcW w:w="948" w:type="dxa"/>
            <w:tcBorders>
              <w:top w:val="nil"/>
              <w:left w:val="nil"/>
              <w:bottom w:val="nil"/>
              <w:right w:val="nil"/>
            </w:tcBorders>
            <w:shd w:val="clear" w:color="auto" w:fill="auto"/>
            <w:vAlign w:val="center"/>
            <w:hideMark/>
          </w:tcPr>
          <w:p w14:paraId="39D118CD" w14:textId="77777777" w:rsidR="00561875" w:rsidRPr="006E4BE1" w:rsidRDefault="00561875" w:rsidP="00561875">
            <w:pPr>
              <w:jc w:val="right"/>
              <w:rPr>
                <w:rFonts w:ascii="Times New Roman" w:hAnsi="Times New Roman"/>
                <w:lang w:val="es-ES_tradnl"/>
              </w:rPr>
            </w:pPr>
          </w:p>
        </w:tc>
        <w:tc>
          <w:tcPr>
            <w:tcW w:w="955" w:type="dxa"/>
            <w:tcBorders>
              <w:top w:val="nil"/>
              <w:left w:val="nil"/>
              <w:bottom w:val="nil"/>
              <w:right w:val="nil"/>
            </w:tcBorders>
            <w:shd w:val="clear" w:color="auto" w:fill="auto"/>
            <w:vAlign w:val="center"/>
            <w:hideMark/>
          </w:tcPr>
          <w:p w14:paraId="25B14B4A" w14:textId="77777777" w:rsidR="00561875" w:rsidRPr="006E4BE1" w:rsidRDefault="00561875" w:rsidP="00561875">
            <w:pPr>
              <w:jc w:val="right"/>
              <w:rPr>
                <w:rFonts w:ascii="Times New Roman" w:hAnsi="Times New Roman"/>
                <w:lang w:val="es-ES_tradnl"/>
              </w:rPr>
            </w:pPr>
          </w:p>
        </w:tc>
        <w:tc>
          <w:tcPr>
            <w:tcW w:w="1219" w:type="dxa"/>
            <w:tcBorders>
              <w:top w:val="nil"/>
              <w:left w:val="nil"/>
              <w:bottom w:val="nil"/>
              <w:right w:val="nil"/>
            </w:tcBorders>
            <w:shd w:val="clear" w:color="auto" w:fill="auto"/>
            <w:vAlign w:val="center"/>
            <w:hideMark/>
          </w:tcPr>
          <w:p w14:paraId="1DA20F0E" w14:textId="77777777" w:rsidR="00561875" w:rsidRPr="006E4BE1" w:rsidRDefault="00561875" w:rsidP="00561875">
            <w:pPr>
              <w:jc w:val="right"/>
              <w:rPr>
                <w:rFonts w:ascii="Times New Roman" w:hAnsi="Times New Roman"/>
                <w:lang w:val="es-ES_tradnl"/>
              </w:rPr>
            </w:pPr>
          </w:p>
        </w:tc>
      </w:tr>
      <w:tr w:rsidR="00561875" w:rsidRPr="006E4BE1" w14:paraId="46E272E5" w14:textId="77777777" w:rsidTr="00DC3724">
        <w:trPr>
          <w:trHeight w:val="314"/>
          <w:jc w:val="center"/>
        </w:trPr>
        <w:tc>
          <w:tcPr>
            <w:tcW w:w="321" w:type="dxa"/>
            <w:tcBorders>
              <w:top w:val="nil"/>
              <w:left w:val="nil"/>
              <w:bottom w:val="single" w:sz="4" w:space="0" w:color="AAB8C4"/>
              <w:right w:val="nil"/>
            </w:tcBorders>
            <w:shd w:val="clear" w:color="auto" w:fill="auto"/>
            <w:noWrap/>
            <w:vAlign w:val="bottom"/>
            <w:hideMark/>
          </w:tcPr>
          <w:p w14:paraId="3F8241CD" w14:textId="77777777" w:rsidR="00561875" w:rsidRPr="006E4BE1" w:rsidRDefault="00561875" w:rsidP="00561875">
            <w:pPr>
              <w:jc w:val="left"/>
              <w:rPr>
                <w:rFonts w:cs="Arial"/>
                <w:lang w:val="es-ES_tradnl"/>
              </w:rPr>
            </w:pPr>
            <w:r w:rsidRPr="006E4BE1">
              <w:rPr>
                <w:rFonts w:cs="Arial"/>
                <w:lang w:val="es-ES_tradnl"/>
              </w:rPr>
              <w:t> </w:t>
            </w:r>
          </w:p>
        </w:tc>
        <w:tc>
          <w:tcPr>
            <w:tcW w:w="3009" w:type="dxa"/>
            <w:tcBorders>
              <w:top w:val="nil"/>
              <w:left w:val="nil"/>
              <w:bottom w:val="single" w:sz="4" w:space="0" w:color="AAB8C4"/>
              <w:right w:val="nil"/>
            </w:tcBorders>
            <w:shd w:val="clear" w:color="auto" w:fill="auto"/>
            <w:vAlign w:val="bottom"/>
            <w:hideMark/>
          </w:tcPr>
          <w:p w14:paraId="032319E3" w14:textId="78376914"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Subtotal</w:t>
            </w:r>
          </w:p>
        </w:tc>
        <w:tc>
          <w:tcPr>
            <w:tcW w:w="997" w:type="dxa"/>
            <w:tcBorders>
              <w:top w:val="nil"/>
              <w:left w:val="nil"/>
              <w:bottom w:val="single" w:sz="4" w:space="0" w:color="AAB8C4"/>
              <w:right w:val="nil"/>
            </w:tcBorders>
            <w:shd w:val="clear" w:color="auto" w:fill="auto"/>
            <w:vAlign w:val="center"/>
            <w:hideMark/>
          </w:tcPr>
          <w:p w14:paraId="74A4C6B8" w14:textId="3813D199"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1.239</w:t>
            </w:r>
          </w:p>
        </w:tc>
        <w:tc>
          <w:tcPr>
            <w:tcW w:w="1283" w:type="dxa"/>
            <w:tcBorders>
              <w:top w:val="nil"/>
              <w:left w:val="nil"/>
              <w:bottom w:val="single" w:sz="4" w:space="0" w:color="AAB8C4"/>
              <w:right w:val="nil"/>
            </w:tcBorders>
            <w:shd w:val="clear" w:color="auto" w:fill="auto"/>
            <w:vAlign w:val="center"/>
            <w:hideMark/>
          </w:tcPr>
          <w:p w14:paraId="706875F5" w14:textId="30F687A0"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1.239</w:t>
            </w:r>
          </w:p>
        </w:tc>
        <w:tc>
          <w:tcPr>
            <w:tcW w:w="948" w:type="dxa"/>
            <w:tcBorders>
              <w:top w:val="nil"/>
              <w:left w:val="nil"/>
              <w:bottom w:val="single" w:sz="4" w:space="0" w:color="BFBFBF"/>
              <w:right w:val="nil"/>
            </w:tcBorders>
            <w:shd w:val="clear" w:color="auto" w:fill="auto"/>
            <w:vAlign w:val="center"/>
            <w:hideMark/>
          </w:tcPr>
          <w:p w14:paraId="7282252C" w14:textId="0F522314"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46</w:t>
            </w:r>
          </w:p>
        </w:tc>
        <w:tc>
          <w:tcPr>
            <w:tcW w:w="955" w:type="dxa"/>
            <w:tcBorders>
              <w:top w:val="nil"/>
              <w:left w:val="nil"/>
              <w:bottom w:val="single" w:sz="4" w:space="0" w:color="BFBFBF"/>
              <w:right w:val="nil"/>
            </w:tcBorders>
            <w:shd w:val="clear" w:color="auto" w:fill="auto"/>
            <w:vAlign w:val="center"/>
            <w:hideMark/>
          </w:tcPr>
          <w:p w14:paraId="05D8FBDA" w14:textId="0E0A7F46"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4%</w:t>
            </w:r>
          </w:p>
        </w:tc>
        <w:tc>
          <w:tcPr>
            <w:tcW w:w="1219" w:type="dxa"/>
            <w:tcBorders>
              <w:top w:val="nil"/>
              <w:left w:val="nil"/>
              <w:bottom w:val="single" w:sz="4" w:space="0" w:color="BFBFBF"/>
              <w:right w:val="nil"/>
            </w:tcBorders>
            <w:shd w:val="clear" w:color="auto" w:fill="auto"/>
            <w:vAlign w:val="center"/>
            <w:hideMark/>
          </w:tcPr>
          <w:p w14:paraId="70429F34" w14:textId="219E5207"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1.285</w:t>
            </w:r>
          </w:p>
        </w:tc>
      </w:tr>
      <w:tr w:rsidR="00561875" w:rsidRPr="006E4BE1" w14:paraId="7DD50EB7" w14:textId="77777777" w:rsidTr="00DC3724">
        <w:trPr>
          <w:trHeight w:val="461"/>
          <w:jc w:val="center"/>
        </w:trPr>
        <w:tc>
          <w:tcPr>
            <w:tcW w:w="321" w:type="dxa"/>
            <w:tcBorders>
              <w:top w:val="nil"/>
              <w:left w:val="nil"/>
              <w:bottom w:val="nil"/>
              <w:right w:val="nil"/>
            </w:tcBorders>
            <w:shd w:val="clear" w:color="auto" w:fill="auto"/>
            <w:noWrap/>
            <w:vAlign w:val="bottom"/>
            <w:hideMark/>
          </w:tcPr>
          <w:p w14:paraId="785E8F55" w14:textId="77777777" w:rsidR="00561875" w:rsidRPr="006E4BE1" w:rsidRDefault="00561875" w:rsidP="00561875">
            <w:pPr>
              <w:jc w:val="right"/>
              <w:rPr>
                <w:rFonts w:ascii="Arial Narrow" w:hAnsi="Arial Narrow" w:cs="Arial"/>
                <w:b/>
                <w:bCs/>
                <w:lang w:val="es-ES_tradnl"/>
              </w:rPr>
            </w:pPr>
          </w:p>
        </w:tc>
        <w:tc>
          <w:tcPr>
            <w:tcW w:w="3009" w:type="dxa"/>
            <w:tcBorders>
              <w:top w:val="nil"/>
              <w:left w:val="nil"/>
              <w:bottom w:val="nil"/>
              <w:right w:val="nil"/>
            </w:tcBorders>
            <w:shd w:val="clear" w:color="auto" w:fill="auto"/>
            <w:vAlign w:val="bottom"/>
            <w:hideMark/>
          </w:tcPr>
          <w:p w14:paraId="5EADAF68" w14:textId="3805E745"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Equipo y suministros</w:t>
            </w:r>
          </w:p>
        </w:tc>
        <w:tc>
          <w:tcPr>
            <w:tcW w:w="997" w:type="dxa"/>
            <w:tcBorders>
              <w:top w:val="nil"/>
              <w:left w:val="nil"/>
              <w:bottom w:val="nil"/>
              <w:right w:val="nil"/>
            </w:tcBorders>
            <w:shd w:val="clear" w:color="auto" w:fill="auto"/>
            <w:vAlign w:val="center"/>
            <w:hideMark/>
          </w:tcPr>
          <w:p w14:paraId="482F089D" w14:textId="77777777" w:rsidR="00561875" w:rsidRPr="006E4BE1" w:rsidRDefault="00561875" w:rsidP="00561875">
            <w:pPr>
              <w:jc w:val="right"/>
              <w:rPr>
                <w:rFonts w:ascii="Arial Narrow" w:hAnsi="Arial Narrow" w:cs="Arial"/>
                <w:b/>
                <w:bCs/>
                <w:lang w:val="es-ES_tradnl"/>
              </w:rPr>
            </w:pPr>
          </w:p>
        </w:tc>
        <w:tc>
          <w:tcPr>
            <w:tcW w:w="1283" w:type="dxa"/>
            <w:tcBorders>
              <w:top w:val="nil"/>
              <w:left w:val="nil"/>
              <w:bottom w:val="nil"/>
              <w:right w:val="nil"/>
            </w:tcBorders>
            <w:shd w:val="clear" w:color="auto" w:fill="auto"/>
            <w:vAlign w:val="center"/>
            <w:hideMark/>
          </w:tcPr>
          <w:p w14:paraId="4F6A5516" w14:textId="77777777" w:rsidR="00561875" w:rsidRPr="006E4BE1" w:rsidRDefault="00561875" w:rsidP="00561875">
            <w:pPr>
              <w:jc w:val="right"/>
              <w:rPr>
                <w:rFonts w:ascii="Times New Roman" w:hAnsi="Times New Roman"/>
                <w:lang w:val="es-ES_tradnl"/>
              </w:rPr>
            </w:pPr>
          </w:p>
        </w:tc>
        <w:tc>
          <w:tcPr>
            <w:tcW w:w="948" w:type="dxa"/>
            <w:tcBorders>
              <w:top w:val="nil"/>
              <w:left w:val="nil"/>
              <w:bottom w:val="nil"/>
              <w:right w:val="nil"/>
            </w:tcBorders>
            <w:shd w:val="clear" w:color="auto" w:fill="auto"/>
            <w:vAlign w:val="center"/>
            <w:hideMark/>
          </w:tcPr>
          <w:p w14:paraId="3D4F15F8" w14:textId="77777777" w:rsidR="00561875" w:rsidRPr="006E4BE1" w:rsidRDefault="00561875" w:rsidP="00561875">
            <w:pPr>
              <w:jc w:val="right"/>
              <w:rPr>
                <w:rFonts w:ascii="Times New Roman" w:hAnsi="Times New Roman"/>
                <w:lang w:val="es-ES_tradnl"/>
              </w:rPr>
            </w:pPr>
          </w:p>
        </w:tc>
        <w:tc>
          <w:tcPr>
            <w:tcW w:w="955" w:type="dxa"/>
            <w:tcBorders>
              <w:top w:val="nil"/>
              <w:left w:val="nil"/>
              <w:bottom w:val="nil"/>
              <w:right w:val="nil"/>
            </w:tcBorders>
            <w:shd w:val="clear" w:color="auto" w:fill="auto"/>
            <w:vAlign w:val="center"/>
            <w:hideMark/>
          </w:tcPr>
          <w:p w14:paraId="1E0A90EE" w14:textId="77777777" w:rsidR="00561875" w:rsidRPr="006E4BE1" w:rsidRDefault="00561875" w:rsidP="00561875">
            <w:pPr>
              <w:jc w:val="right"/>
              <w:rPr>
                <w:rFonts w:ascii="Times New Roman" w:hAnsi="Times New Roman"/>
                <w:lang w:val="es-ES_tradnl"/>
              </w:rPr>
            </w:pPr>
          </w:p>
        </w:tc>
        <w:tc>
          <w:tcPr>
            <w:tcW w:w="1219" w:type="dxa"/>
            <w:tcBorders>
              <w:top w:val="nil"/>
              <w:left w:val="nil"/>
              <w:bottom w:val="nil"/>
              <w:right w:val="nil"/>
            </w:tcBorders>
            <w:shd w:val="clear" w:color="auto" w:fill="auto"/>
            <w:vAlign w:val="center"/>
            <w:hideMark/>
          </w:tcPr>
          <w:p w14:paraId="1666B907" w14:textId="77777777" w:rsidR="00561875" w:rsidRPr="006E4BE1" w:rsidRDefault="00561875" w:rsidP="00561875">
            <w:pPr>
              <w:jc w:val="right"/>
              <w:rPr>
                <w:rFonts w:ascii="Times New Roman" w:hAnsi="Times New Roman"/>
                <w:lang w:val="es-ES_tradnl"/>
              </w:rPr>
            </w:pPr>
          </w:p>
        </w:tc>
      </w:tr>
      <w:tr w:rsidR="00561875" w:rsidRPr="006E4BE1" w14:paraId="427609C8"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71A28620" w14:textId="77777777" w:rsidR="00561875" w:rsidRPr="006E4BE1" w:rsidRDefault="00561875" w:rsidP="00561875">
            <w:pPr>
              <w:jc w:val="left"/>
              <w:rPr>
                <w:rFonts w:ascii="Times New Roman" w:hAnsi="Times New Roman"/>
                <w:lang w:val="es-ES_tradnl"/>
              </w:rPr>
            </w:pPr>
          </w:p>
        </w:tc>
        <w:tc>
          <w:tcPr>
            <w:tcW w:w="3009" w:type="dxa"/>
            <w:tcBorders>
              <w:top w:val="nil"/>
              <w:left w:val="nil"/>
              <w:bottom w:val="nil"/>
              <w:right w:val="nil"/>
            </w:tcBorders>
            <w:shd w:val="clear" w:color="auto" w:fill="auto"/>
            <w:vAlign w:val="bottom"/>
            <w:hideMark/>
          </w:tcPr>
          <w:p w14:paraId="03007F60" w14:textId="5C057B30"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Mobiliario y equipo</w:t>
            </w:r>
          </w:p>
        </w:tc>
        <w:tc>
          <w:tcPr>
            <w:tcW w:w="997" w:type="dxa"/>
            <w:tcBorders>
              <w:top w:val="nil"/>
              <w:left w:val="nil"/>
              <w:bottom w:val="nil"/>
              <w:right w:val="nil"/>
            </w:tcBorders>
            <w:shd w:val="clear" w:color="auto" w:fill="auto"/>
            <w:vAlign w:val="center"/>
            <w:hideMark/>
          </w:tcPr>
          <w:p w14:paraId="45234231"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1</w:t>
            </w:r>
          </w:p>
        </w:tc>
        <w:tc>
          <w:tcPr>
            <w:tcW w:w="1283" w:type="dxa"/>
            <w:tcBorders>
              <w:top w:val="nil"/>
              <w:left w:val="nil"/>
              <w:bottom w:val="nil"/>
              <w:right w:val="nil"/>
            </w:tcBorders>
            <w:shd w:val="clear" w:color="auto" w:fill="auto"/>
            <w:vAlign w:val="center"/>
            <w:hideMark/>
          </w:tcPr>
          <w:p w14:paraId="74AF341B" w14:textId="027C932D"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w:t>
            </w:r>
          </w:p>
        </w:tc>
        <w:tc>
          <w:tcPr>
            <w:tcW w:w="948" w:type="dxa"/>
            <w:tcBorders>
              <w:top w:val="nil"/>
              <w:left w:val="nil"/>
              <w:bottom w:val="nil"/>
              <w:right w:val="nil"/>
            </w:tcBorders>
            <w:shd w:val="clear" w:color="auto" w:fill="auto"/>
            <w:vAlign w:val="center"/>
            <w:hideMark/>
          </w:tcPr>
          <w:p w14:paraId="006EECA5" w14:textId="6BE61902"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c>
          <w:tcPr>
            <w:tcW w:w="955" w:type="dxa"/>
            <w:tcBorders>
              <w:top w:val="nil"/>
              <w:left w:val="nil"/>
              <w:bottom w:val="nil"/>
              <w:right w:val="nil"/>
            </w:tcBorders>
            <w:shd w:val="clear" w:color="auto" w:fill="auto"/>
            <w:vAlign w:val="center"/>
            <w:hideMark/>
          </w:tcPr>
          <w:p w14:paraId="3A791ABB" w14:textId="243B2764"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0%</w:t>
            </w:r>
          </w:p>
        </w:tc>
        <w:tc>
          <w:tcPr>
            <w:tcW w:w="1219" w:type="dxa"/>
            <w:tcBorders>
              <w:top w:val="nil"/>
              <w:left w:val="nil"/>
              <w:bottom w:val="nil"/>
              <w:right w:val="nil"/>
            </w:tcBorders>
            <w:shd w:val="clear" w:color="auto" w:fill="auto"/>
            <w:vAlign w:val="center"/>
            <w:hideMark/>
          </w:tcPr>
          <w:p w14:paraId="530358E4" w14:textId="4A004505"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w:t>
            </w:r>
          </w:p>
        </w:tc>
      </w:tr>
      <w:tr w:rsidR="00561875" w:rsidRPr="006E4BE1" w14:paraId="7B630A95" w14:textId="77777777" w:rsidTr="00DC3724">
        <w:trPr>
          <w:trHeight w:val="314"/>
          <w:jc w:val="center"/>
        </w:trPr>
        <w:tc>
          <w:tcPr>
            <w:tcW w:w="321" w:type="dxa"/>
            <w:tcBorders>
              <w:top w:val="nil"/>
              <w:left w:val="nil"/>
              <w:bottom w:val="nil"/>
              <w:right w:val="nil"/>
            </w:tcBorders>
            <w:shd w:val="clear" w:color="auto" w:fill="auto"/>
            <w:noWrap/>
            <w:vAlign w:val="bottom"/>
            <w:hideMark/>
          </w:tcPr>
          <w:p w14:paraId="45620729" w14:textId="77777777" w:rsidR="00561875" w:rsidRPr="006E4BE1" w:rsidRDefault="00561875" w:rsidP="00561875">
            <w:pPr>
              <w:jc w:val="right"/>
              <w:rPr>
                <w:rFonts w:ascii="Arial Narrow" w:hAnsi="Arial Narrow" w:cs="Arial"/>
                <w:lang w:val="es-ES_tradnl"/>
              </w:rPr>
            </w:pPr>
          </w:p>
        </w:tc>
        <w:tc>
          <w:tcPr>
            <w:tcW w:w="3009" w:type="dxa"/>
            <w:tcBorders>
              <w:top w:val="nil"/>
              <w:left w:val="nil"/>
              <w:bottom w:val="nil"/>
              <w:right w:val="nil"/>
            </w:tcBorders>
            <w:shd w:val="clear" w:color="auto" w:fill="auto"/>
            <w:vAlign w:val="bottom"/>
            <w:hideMark/>
          </w:tcPr>
          <w:p w14:paraId="5CB99100" w14:textId="79D383BF" w:rsidR="00561875" w:rsidRPr="006E4BE1" w:rsidRDefault="00561875" w:rsidP="00561875">
            <w:pPr>
              <w:ind w:firstLineChars="200" w:firstLine="360"/>
              <w:jc w:val="left"/>
              <w:rPr>
                <w:rFonts w:ascii="Arial Narrow" w:hAnsi="Arial Narrow" w:cs="Arial"/>
                <w:i/>
                <w:iCs/>
                <w:color w:val="000000"/>
                <w:sz w:val="18"/>
                <w:lang w:val="es-ES_tradnl"/>
              </w:rPr>
            </w:pPr>
            <w:r w:rsidRPr="006E4BE1">
              <w:rPr>
                <w:rFonts w:ascii="Arial Narrow" w:hAnsi="Arial Narrow" w:cs="Arial"/>
                <w:i/>
                <w:iCs/>
                <w:color w:val="000000"/>
                <w:sz w:val="18"/>
                <w:lang w:val="es-ES_tradnl"/>
              </w:rPr>
              <w:t>Suministros y material</w:t>
            </w:r>
          </w:p>
        </w:tc>
        <w:tc>
          <w:tcPr>
            <w:tcW w:w="997" w:type="dxa"/>
            <w:tcBorders>
              <w:top w:val="nil"/>
              <w:left w:val="nil"/>
              <w:bottom w:val="nil"/>
              <w:right w:val="nil"/>
            </w:tcBorders>
            <w:shd w:val="clear" w:color="auto" w:fill="auto"/>
            <w:vAlign w:val="center"/>
            <w:hideMark/>
          </w:tcPr>
          <w:p w14:paraId="55FC966C" w14:textId="7777777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2</w:t>
            </w:r>
          </w:p>
        </w:tc>
        <w:tc>
          <w:tcPr>
            <w:tcW w:w="1283" w:type="dxa"/>
            <w:tcBorders>
              <w:top w:val="nil"/>
              <w:left w:val="nil"/>
              <w:bottom w:val="nil"/>
              <w:right w:val="nil"/>
            </w:tcBorders>
            <w:shd w:val="clear" w:color="auto" w:fill="auto"/>
            <w:vAlign w:val="center"/>
            <w:hideMark/>
          </w:tcPr>
          <w:p w14:paraId="56239CE0" w14:textId="3ECDDFDB"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w:t>
            </w:r>
          </w:p>
        </w:tc>
        <w:tc>
          <w:tcPr>
            <w:tcW w:w="948" w:type="dxa"/>
            <w:tcBorders>
              <w:top w:val="nil"/>
              <w:left w:val="nil"/>
              <w:bottom w:val="nil"/>
              <w:right w:val="nil"/>
            </w:tcBorders>
            <w:shd w:val="clear" w:color="auto" w:fill="auto"/>
            <w:vAlign w:val="center"/>
            <w:hideMark/>
          </w:tcPr>
          <w:p w14:paraId="2F462FF1" w14:textId="6EA76462"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c>
          <w:tcPr>
            <w:tcW w:w="955" w:type="dxa"/>
            <w:tcBorders>
              <w:top w:val="nil"/>
              <w:left w:val="nil"/>
              <w:bottom w:val="nil"/>
              <w:right w:val="nil"/>
            </w:tcBorders>
            <w:shd w:val="clear" w:color="auto" w:fill="auto"/>
            <w:vAlign w:val="center"/>
            <w:hideMark/>
          </w:tcPr>
          <w:p w14:paraId="32A9FFFA" w14:textId="1E8D7497"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0%</w:t>
            </w:r>
          </w:p>
        </w:tc>
        <w:tc>
          <w:tcPr>
            <w:tcW w:w="1219" w:type="dxa"/>
            <w:tcBorders>
              <w:top w:val="nil"/>
              <w:left w:val="nil"/>
              <w:bottom w:val="nil"/>
              <w:right w:val="nil"/>
            </w:tcBorders>
            <w:shd w:val="clear" w:color="auto" w:fill="auto"/>
            <w:vAlign w:val="center"/>
            <w:hideMark/>
          </w:tcPr>
          <w:p w14:paraId="3ECDE1FA" w14:textId="3048A1F4"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5</w:t>
            </w:r>
          </w:p>
        </w:tc>
      </w:tr>
      <w:tr w:rsidR="00561875" w:rsidRPr="006E4BE1" w14:paraId="426199CE" w14:textId="77777777" w:rsidTr="00DC3724">
        <w:trPr>
          <w:trHeight w:val="314"/>
          <w:jc w:val="center"/>
        </w:trPr>
        <w:tc>
          <w:tcPr>
            <w:tcW w:w="321" w:type="dxa"/>
            <w:tcBorders>
              <w:top w:val="nil"/>
              <w:left w:val="nil"/>
              <w:bottom w:val="single" w:sz="4" w:space="0" w:color="AAB8C4"/>
              <w:right w:val="nil"/>
            </w:tcBorders>
            <w:shd w:val="clear" w:color="auto" w:fill="auto"/>
            <w:noWrap/>
            <w:vAlign w:val="bottom"/>
            <w:hideMark/>
          </w:tcPr>
          <w:p w14:paraId="219A035F" w14:textId="77777777" w:rsidR="00561875" w:rsidRPr="006E4BE1" w:rsidRDefault="00561875" w:rsidP="00561875">
            <w:pPr>
              <w:jc w:val="left"/>
              <w:rPr>
                <w:rFonts w:cs="Arial"/>
                <w:lang w:val="es-ES_tradnl"/>
              </w:rPr>
            </w:pPr>
            <w:r w:rsidRPr="006E4BE1">
              <w:rPr>
                <w:rFonts w:cs="Arial"/>
                <w:lang w:val="es-ES_tradnl"/>
              </w:rPr>
              <w:t> </w:t>
            </w:r>
          </w:p>
        </w:tc>
        <w:tc>
          <w:tcPr>
            <w:tcW w:w="3009" w:type="dxa"/>
            <w:tcBorders>
              <w:top w:val="nil"/>
              <w:left w:val="nil"/>
              <w:bottom w:val="single" w:sz="4" w:space="0" w:color="AAB8C4"/>
              <w:right w:val="nil"/>
            </w:tcBorders>
            <w:shd w:val="clear" w:color="auto" w:fill="auto"/>
            <w:vAlign w:val="bottom"/>
            <w:hideMark/>
          </w:tcPr>
          <w:p w14:paraId="2C801620" w14:textId="4F5D13FB" w:rsidR="00561875" w:rsidRPr="006E4BE1" w:rsidRDefault="00561875" w:rsidP="00561875">
            <w:pPr>
              <w:jc w:val="left"/>
              <w:rPr>
                <w:rFonts w:ascii="Arial Narrow" w:hAnsi="Arial Narrow" w:cs="Arial"/>
                <w:b/>
                <w:bCs/>
                <w:sz w:val="18"/>
                <w:lang w:val="es-ES_tradnl"/>
              </w:rPr>
            </w:pPr>
            <w:r w:rsidRPr="006E4BE1">
              <w:rPr>
                <w:rFonts w:ascii="Arial Narrow" w:hAnsi="Arial Narrow" w:cs="Arial"/>
                <w:b/>
                <w:bCs/>
                <w:sz w:val="18"/>
                <w:lang w:val="es-ES_tradnl"/>
              </w:rPr>
              <w:t>Subtotal</w:t>
            </w:r>
          </w:p>
        </w:tc>
        <w:tc>
          <w:tcPr>
            <w:tcW w:w="997" w:type="dxa"/>
            <w:tcBorders>
              <w:top w:val="nil"/>
              <w:left w:val="nil"/>
              <w:bottom w:val="single" w:sz="4" w:space="0" w:color="AAB8C4"/>
              <w:right w:val="nil"/>
            </w:tcBorders>
            <w:shd w:val="clear" w:color="auto" w:fill="auto"/>
            <w:vAlign w:val="center"/>
            <w:hideMark/>
          </w:tcPr>
          <w:p w14:paraId="48DD8F75" w14:textId="77777777"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3</w:t>
            </w:r>
          </w:p>
        </w:tc>
        <w:tc>
          <w:tcPr>
            <w:tcW w:w="1283" w:type="dxa"/>
            <w:tcBorders>
              <w:top w:val="nil"/>
              <w:left w:val="nil"/>
              <w:bottom w:val="single" w:sz="4" w:space="0" w:color="AAB8C4"/>
              <w:right w:val="nil"/>
            </w:tcBorders>
            <w:shd w:val="clear" w:color="auto" w:fill="auto"/>
            <w:vAlign w:val="center"/>
            <w:hideMark/>
          </w:tcPr>
          <w:p w14:paraId="76D5606E" w14:textId="7653A6A4"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10</w:t>
            </w:r>
          </w:p>
        </w:tc>
        <w:tc>
          <w:tcPr>
            <w:tcW w:w="948" w:type="dxa"/>
            <w:tcBorders>
              <w:top w:val="nil"/>
              <w:left w:val="nil"/>
              <w:bottom w:val="nil"/>
              <w:right w:val="nil"/>
            </w:tcBorders>
            <w:shd w:val="clear" w:color="auto" w:fill="auto"/>
            <w:vAlign w:val="center"/>
            <w:hideMark/>
          </w:tcPr>
          <w:p w14:paraId="72E14F7F" w14:textId="0CE49E2B"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w:t>
            </w:r>
          </w:p>
        </w:tc>
        <w:tc>
          <w:tcPr>
            <w:tcW w:w="955" w:type="dxa"/>
            <w:tcBorders>
              <w:top w:val="nil"/>
              <w:left w:val="nil"/>
              <w:bottom w:val="nil"/>
              <w:right w:val="nil"/>
            </w:tcBorders>
            <w:shd w:val="clear" w:color="auto" w:fill="auto"/>
            <w:vAlign w:val="center"/>
            <w:hideMark/>
          </w:tcPr>
          <w:p w14:paraId="48B3BEEF" w14:textId="131941B5" w:rsidR="00561875" w:rsidRPr="006E4BE1" w:rsidRDefault="00561875" w:rsidP="00561875">
            <w:pPr>
              <w:jc w:val="right"/>
              <w:rPr>
                <w:rFonts w:ascii="Arial Narrow" w:hAnsi="Arial Narrow" w:cs="Arial"/>
                <w:lang w:val="es-ES_tradnl"/>
              </w:rPr>
            </w:pPr>
            <w:r w:rsidRPr="006E4BE1">
              <w:rPr>
                <w:rFonts w:ascii="Arial Narrow" w:hAnsi="Arial Narrow" w:cs="Arial"/>
                <w:lang w:val="es-ES_tradnl"/>
              </w:rPr>
              <w:t>0%</w:t>
            </w:r>
          </w:p>
        </w:tc>
        <w:tc>
          <w:tcPr>
            <w:tcW w:w="1219" w:type="dxa"/>
            <w:tcBorders>
              <w:top w:val="nil"/>
              <w:left w:val="nil"/>
              <w:bottom w:val="single" w:sz="4" w:space="0" w:color="AAB8C4"/>
              <w:right w:val="nil"/>
            </w:tcBorders>
            <w:shd w:val="clear" w:color="auto" w:fill="auto"/>
            <w:vAlign w:val="center"/>
            <w:hideMark/>
          </w:tcPr>
          <w:p w14:paraId="32B0C425" w14:textId="05A1CE3F"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10</w:t>
            </w:r>
          </w:p>
        </w:tc>
      </w:tr>
      <w:tr w:rsidR="00561875" w:rsidRPr="006E4BE1" w14:paraId="3353334B" w14:textId="77777777" w:rsidTr="00DC3724">
        <w:trPr>
          <w:trHeight w:val="314"/>
          <w:jc w:val="center"/>
        </w:trPr>
        <w:tc>
          <w:tcPr>
            <w:tcW w:w="321" w:type="dxa"/>
            <w:tcBorders>
              <w:top w:val="nil"/>
              <w:left w:val="nil"/>
              <w:bottom w:val="single" w:sz="8" w:space="0" w:color="AAB8C4"/>
              <w:right w:val="nil"/>
            </w:tcBorders>
            <w:shd w:val="clear" w:color="auto" w:fill="auto"/>
            <w:noWrap/>
            <w:vAlign w:val="bottom"/>
            <w:hideMark/>
          </w:tcPr>
          <w:p w14:paraId="35564FEC" w14:textId="77777777" w:rsidR="00561875" w:rsidRPr="006E4BE1" w:rsidRDefault="00561875" w:rsidP="00561875">
            <w:pPr>
              <w:jc w:val="left"/>
              <w:rPr>
                <w:rFonts w:cs="Arial"/>
                <w:b/>
                <w:bCs/>
                <w:lang w:val="es-ES_tradnl"/>
              </w:rPr>
            </w:pPr>
            <w:r w:rsidRPr="006E4BE1">
              <w:rPr>
                <w:rFonts w:cs="Arial"/>
                <w:b/>
                <w:bCs/>
                <w:lang w:val="es-ES_tradnl"/>
              </w:rPr>
              <w:t> </w:t>
            </w:r>
          </w:p>
        </w:tc>
        <w:tc>
          <w:tcPr>
            <w:tcW w:w="3009" w:type="dxa"/>
            <w:tcBorders>
              <w:top w:val="nil"/>
              <w:left w:val="nil"/>
              <w:bottom w:val="single" w:sz="8" w:space="0" w:color="AAB8C4"/>
              <w:right w:val="nil"/>
            </w:tcBorders>
            <w:shd w:val="clear" w:color="auto" w:fill="auto"/>
            <w:vAlign w:val="bottom"/>
            <w:hideMark/>
          </w:tcPr>
          <w:p w14:paraId="4B44F3A4" w14:textId="00277AAC" w:rsidR="00561875" w:rsidRPr="006E4BE1" w:rsidRDefault="00561875" w:rsidP="00561875">
            <w:pPr>
              <w:jc w:val="left"/>
              <w:rPr>
                <w:rFonts w:ascii="Arial Narrow" w:hAnsi="Arial Narrow" w:cs="Arial"/>
                <w:b/>
                <w:bCs/>
                <w:color w:val="000000"/>
                <w:sz w:val="18"/>
                <w:lang w:val="es-ES_tradnl"/>
              </w:rPr>
            </w:pPr>
            <w:r w:rsidRPr="006E4BE1">
              <w:rPr>
                <w:rFonts w:ascii="Arial Narrow" w:hAnsi="Arial Narrow" w:cs="Arial"/>
                <w:b/>
                <w:bCs/>
                <w:color w:val="000000"/>
                <w:sz w:val="18"/>
                <w:lang w:val="es-ES_tradnl"/>
              </w:rPr>
              <w:t>Total, B</w:t>
            </w:r>
          </w:p>
        </w:tc>
        <w:tc>
          <w:tcPr>
            <w:tcW w:w="997" w:type="dxa"/>
            <w:tcBorders>
              <w:top w:val="nil"/>
              <w:left w:val="nil"/>
              <w:bottom w:val="single" w:sz="8" w:space="0" w:color="AAB8C4"/>
              <w:right w:val="nil"/>
            </w:tcBorders>
            <w:shd w:val="clear" w:color="auto" w:fill="auto"/>
            <w:vAlign w:val="center"/>
            <w:hideMark/>
          </w:tcPr>
          <w:p w14:paraId="2F43AB6D" w14:textId="62A0BF00"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2.484</w:t>
            </w:r>
          </w:p>
        </w:tc>
        <w:tc>
          <w:tcPr>
            <w:tcW w:w="1283" w:type="dxa"/>
            <w:tcBorders>
              <w:top w:val="nil"/>
              <w:left w:val="nil"/>
              <w:bottom w:val="single" w:sz="8" w:space="0" w:color="AAB8C4"/>
              <w:right w:val="nil"/>
            </w:tcBorders>
            <w:shd w:val="clear" w:color="auto" w:fill="auto"/>
            <w:vAlign w:val="center"/>
            <w:hideMark/>
          </w:tcPr>
          <w:p w14:paraId="52144E10" w14:textId="441B69BB"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2.408</w:t>
            </w:r>
          </w:p>
        </w:tc>
        <w:tc>
          <w:tcPr>
            <w:tcW w:w="948" w:type="dxa"/>
            <w:tcBorders>
              <w:top w:val="single" w:sz="4" w:space="0" w:color="BFBFBF"/>
              <w:left w:val="nil"/>
              <w:bottom w:val="single" w:sz="8" w:space="0" w:color="BFBFBF"/>
              <w:right w:val="nil"/>
            </w:tcBorders>
            <w:shd w:val="clear" w:color="auto" w:fill="auto"/>
            <w:vAlign w:val="center"/>
            <w:hideMark/>
          </w:tcPr>
          <w:p w14:paraId="70039101" w14:textId="364923C5"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(92)</w:t>
            </w:r>
          </w:p>
        </w:tc>
        <w:tc>
          <w:tcPr>
            <w:tcW w:w="955" w:type="dxa"/>
            <w:tcBorders>
              <w:top w:val="single" w:sz="4" w:space="0" w:color="BFBFBF"/>
              <w:left w:val="nil"/>
              <w:bottom w:val="single" w:sz="8" w:space="0" w:color="BFBFBF"/>
              <w:right w:val="nil"/>
            </w:tcBorders>
            <w:shd w:val="clear" w:color="auto" w:fill="auto"/>
            <w:vAlign w:val="center"/>
            <w:hideMark/>
          </w:tcPr>
          <w:p w14:paraId="53DEC15B" w14:textId="7AC81486"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-4%</w:t>
            </w:r>
          </w:p>
        </w:tc>
        <w:tc>
          <w:tcPr>
            <w:tcW w:w="1219" w:type="dxa"/>
            <w:tcBorders>
              <w:top w:val="nil"/>
              <w:left w:val="nil"/>
              <w:bottom w:val="single" w:sz="8" w:space="0" w:color="AAB8C4"/>
              <w:right w:val="nil"/>
            </w:tcBorders>
            <w:shd w:val="clear" w:color="auto" w:fill="auto"/>
            <w:vAlign w:val="center"/>
            <w:hideMark/>
          </w:tcPr>
          <w:p w14:paraId="23ACB2C7" w14:textId="0A026E6D" w:rsidR="00561875" w:rsidRPr="006E4BE1" w:rsidRDefault="00561875" w:rsidP="00561875">
            <w:pPr>
              <w:jc w:val="right"/>
              <w:rPr>
                <w:rFonts w:ascii="Arial Narrow" w:hAnsi="Arial Narrow" w:cs="Arial"/>
                <w:b/>
                <w:bCs/>
                <w:lang w:val="es-ES_tradnl"/>
              </w:rPr>
            </w:pPr>
            <w:r w:rsidRPr="006E4BE1">
              <w:rPr>
                <w:rFonts w:ascii="Arial Narrow" w:hAnsi="Arial Narrow" w:cs="Arial"/>
                <w:b/>
                <w:bCs/>
                <w:lang w:val="es-ES_tradnl"/>
              </w:rPr>
              <w:t>2.316</w:t>
            </w:r>
          </w:p>
        </w:tc>
      </w:tr>
      <w:tr w:rsidR="009372FF" w:rsidRPr="006E4BE1" w14:paraId="553537D1" w14:textId="77777777" w:rsidTr="00DC3724">
        <w:trPr>
          <w:trHeight w:val="314"/>
          <w:jc w:val="center"/>
        </w:trPr>
        <w:tc>
          <w:tcPr>
            <w:tcW w:w="321" w:type="dxa"/>
            <w:tcBorders>
              <w:top w:val="nil"/>
              <w:left w:val="nil"/>
              <w:bottom w:val="single" w:sz="8" w:space="0" w:color="AAB8C4"/>
              <w:right w:val="nil"/>
            </w:tcBorders>
            <w:shd w:val="clear" w:color="auto" w:fill="auto"/>
            <w:noWrap/>
            <w:vAlign w:val="bottom"/>
            <w:hideMark/>
          </w:tcPr>
          <w:p w14:paraId="19E3842A" w14:textId="77777777" w:rsidR="009372FF" w:rsidRPr="006E4BE1" w:rsidRDefault="009372FF" w:rsidP="00AE50C9">
            <w:pPr>
              <w:jc w:val="left"/>
              <w:rPr>
                <w:rFonts w:cs="Arial"/>
                <w:b/>
                <w:bCs/>
                <w:lang w:val="es-ES_tradnl"/>
              </w:rPr>
            </w:pPr>
            <w:r w:rsidRPr="006E4BE1">
              <w:rPr>
                <w:rFonts w:cs="Arial"/>
                <w:b/>
                <w:bCs/>
                <w:lang w:val="es-ES_tradnl"/>
              </w:rPr>
              <w:t> </w:t>
            </w:r>
          </w:p>
        </w:tc>
        <w:tc>
          <w:tcPr>
            <w:tcW w:w="3009" w:type="dxa"/>
            <w:tcBorders>
              <w:top w:val="nil"/>
              <w:left w:val="nil"/>
              <w:bottom w:val="single" w:sz="8" w:space="0" w:color="AAB8C4"/>
              <w:right w:val="nil"/>
            </w:tcBorders>
            <w:shd w:val="clear" w:color="auto" w:fill="auto"/>
            <w:vAlign w:val="center"/>
            <w:hideMark/>
          </w:tcPr>
          <w:p w14:paraId="4851F069" w14:textId="128C93AA" w:rsidR="009372FF" w:rsidRPr="006E4BE1" w:rsidRDefault="009372FF" w:rsidP="00AE50C9">
            <w:pPr>
              <w:jc w:val="left"/>
              <w:rPr>
                <w:rFonts w:ascii="Arial Narrow" w:hAnsi="Arial Narrow" w:cs="Arial"/>
                <w:b/>
                <w:bCs/>
                <w:sz w:val="18"/>
                <w:lang w:val="es-ES_tradnl"/>
              </w:rPr>
            </w:pPr>
            <w:r w:rsidRPr="006E4BE1">
              <w:rPr>
                <w:rFonts w:ascii="Arial Narrow" w:hAnsi="Arial Narrow" w:cs="Arial"/>
                <w:b/>
                <w:bCs/>
                <w:sz w:val="18"/>
                <w:lang w:val="es-ES_tradnl"/>
              </w:rPr>
              <w:t>TOTAL,</w:t>
            </w:r>
            <w:r w:rsidR="00CE6E32" w:rsidRPr="006E4BE1">
              <w:rPr>
                <w:rFonts w:ascii="Arial Narrow" w:hAnsi="Arial Narrow" w:cs="Arial"/>
                <w:b/>
                <w:bCs/>
                <w:sz w:val="18"/>
                <w:lang w:val="es-ES_tradnl"/>
              </w:rPr>
              <w:t xml:space="preserve"> </w:t>
            </w:r>
            <w:r w:rsidRPr="006E4BE1">
              <w:rPr>
                <w:rFonts w:ascii="Arial Narrow" w:hAnsi="Arial Narrow" w:cs="Arial"/>
                <w:b/>
                <w:bCs/>
                <w:sz w:val="18"/>
                <w:lang w:val="es-ES_tradnl"/>
              </w:rPr>
              <w:t>A+B</w:t>
            </w:r>
          </w:p>
        </w:tc>
        <w:tc>
          <w:tcPr>
            <w:tcW w:w="997" w:type="dxa"/>
            <w:tcBorders>
              <w:top w:val="nil"/>
              <w:left w:val="nil"/>
              <w:bottom w:val="single" w:sz="8" w:space="0" w:color="AAB8C4"/>
              <w:right w:val="nil"/>
            </w:tcBorders>
            <w:shd w:val="clear" w:color="auto" w:fill="auto"/>
            <w:vAlign w:val="center"/>
            <w:hideMark/>
          </w:tcPr>
          <w:p w14:paraId="0A80CBFB" w14:textId="715D421C" w:rsidR="009372FF" w:rsidRPr="006E4BE1" w:rsidRDefault="009372FF" w:rsidP="00AE50C9">
            <w:pPr>
              <w:jc w:val="right"/>
              <w:rPr>
                <w:rFonts w:ascii="Arial Narrow" w:hAnsi="Arial Narrow" w:cs="Arial"/>
                <w:b/>
                <w:bCs/>
                <w:lang w:val="es-ES_tradnl"/>
              </w:rPr>
            </w:pPr>
            <w:r w:rsidRPr="006E4BE1">
              <w:rPr>
                <w:rFonts w:ascii="Arial Narrow" w:hAnsi="Arial Narrow" w:cs="Arial"/>
                <w:b/>
                <w:bCs/>
                <w:lang w:val="es-ES_tradnl"/>
              </w:rPr>
              <w:t>6</w:t>
            </w:r>
            <w:r w:rsidR="00DC3724" w:rsidRPr="006E4BE1">
              <w:rPr>
                <w:rFonts w:ascii="Arial Narrow" w:hAnsi="Arial Narrow" w:cs="Arial"/>
                <w:b/>
                <w:bCs/>
                <w:lang w:val="es-ES_tradnl"/>
              </w:rPr>
              <w:t>.</w:t>
            </w:r>
            <w:r w:rsidRPr="006E4BE1">
              <w:rPr>
                <w:rFonts w:ascii="Arial Narrow" w:hAnsi="Arial Narrow" w:cs="Arial"/>
                <w:b/>
                <w:bCs/>
                <w:lang w:val="es-ES_tradnl"/>
              </w:rPr>
              <w:t>854</w:t>
            </w:r>
          </w:p>
        </w:tc>
        <w:tc>
          <w:tcPr>
            <w:tcW w:w="1283" w:type="dxa"/>
            <w:tcBorders>
              <w:top w:val="nil"/>
              <w:left w:val="nil"/>
              <w:bottom w:val="single" w:sz="8" w:space="0" w:color="AAB8C4"/>
              <w:right w:val="nil"/>
            </w:tcBorders>
            <w:shd w:val="clear" w:color="auto" w:fill="auto"/>
            <w:vAlign w:val="center"/>
            <w:hideMark/>
          </w:tcPr>
          <w:p w14:paraId="0A1E1BE0" w14:textId="0C56F9C7" w:rsidR="009372FF" w:rsidRPr="006E4BE1" w:rsidRDefault="009372FF" w:rsidP="00AE50C9">
            <w:pPr>
              <w:jc w:val="right"/>
              <w:rPr>
                <w:rFonts w:ascii="Arial Narrow" w:hAnsi="Arial Narrow" w:cs="Arial"/>
                <w:b/>
                <w:bCs/>
                <w:lang w:val="es-ES_tradnl"/>
              </w:rPr>
            </w:pPr>
            <w:r w:rsidRPr="006E4BE1">
              <w:rPr>
                <w:rFonts w:ascii="Arial Narrow" w:hAnsi="Arial Narrow" w:cs="Arial"/>
                <w:b/>
                <w:bCs/>
                <w:lang w:val="es-ES_tradnl"/>
              </w:rPr>
              <w:t>7</w:t>
            </w:r>
            <w:r w:rsidR="00DC3724" w:rsidRPr="006E4BE1">
              <w:rPr>
                <w:rFonts w:ascii="Arial Narrow" w:hAnsi="Arial Narrow" w:cs="Arial"/>
                <w:b/>
                <w:bCs/>
                <w:lang w:val="es-ES_tradnl"/>
              </w:rPr>
              <w:t>.</w:t>
            </w:r>
            <w:r w:rsidRPr="006E4BE1">
              <w:rPr>
                <w:rFonts w:ascii="Arial Narrow" w:hAnsi="Arial Narrow" w:cs="Arial"/>
                <w:b/>
                <w:bCs/>
                <w:lang w:val="es-ES_tradnl"/>
              </w:rPr>
              <w:t>347</w:t>
            </w:r>
          </w:p>
        </w:tc>
        <w:tc>
          <w:tcPr>
            <w:tcW w:w="948" w:type="dxa"/>
            <w:tcBorders>
              <w:top w:val="single" w:sz="4" w:space="0" w:color="BFBFBF"/>
              <w:left w:val="nil"/>
              <w:bottom w:val="single" w:sz="8" w:space="0" w:color="BFBFBF"/>
              <w:right w:val="nil"/>
            </w:tcBorders>
            <w:shd w:val="clear" w:color="auto" w:fill="auto"/>
            <w:vAlign w:val="center"/>
            <w:hideMark/>
          </w:tcPr>
          <w:p w14:paraId="402022FD" w14:textId="77777777" w:rsidR="009372FF" w:rsidRPr="006E4BE1" w:rsidRDefault="009372FF" w:rsidP="00AE50C9">
            <w:pPr>
              <w:jc w:val="right"/>
              <w:rPr>
                <w:rFonts w:ascii="Arial Narrow" w:hAnsi="Arial Narrow" w:cs="Arial"/>
                <w:b/>
                <w:bCs/>
                <w:lang w:val="es-ES_tradnl"/>
              </w:rPr>
            </w:pPr>
            <w:r w:rsidRPr="006E4BE1">
              <w:rPr>
                <w:rFonts w:ascii="Arial Narrow" w:hAnsi="Arial Narrow" w:cs="Arial"/>
                <w:b/>
                <w:bCs/>
                <w:lang w:val="es-ES_tradnl"/>
              </w:rPr>
              <w:t>287</w:t>
            </w:r>
          </w:p>
        </w:tc>
        <w:tc>
          <w:tcPr>
            <w:tcW w:w="955" w:type="dxa"/>
            <w:tcBorders>
              <w:top w:val="nil"/>
              <w:left w:val="nil"/>
              <w:bottom w:val="single" w:sz="8" w:space="0" w:color="BFBFBF"/>
              <w:right w:val="nil"/>
            </w:tcBorders>
            <w:shd w:val="clear" w:color="auto" w:fill="auto"/>
            <w:vAlign w:val="center"/>
            <w:hideMark/>
          </w:tcPr>
          <w:p w14:paraId="2BEB09BF" w14:textId="77777777" w:rsidR="009372FF" w:rsidRPr="006E4BE1" w:rsidRDefault="009372FF" w:rsidP="00AE50C9">
            <w:pPr>
              <w:jc w:val="right"/>
              <w:rPr>
                <w:rFonts w:ascii="Arial Narrow" w:hAnsi="Arial Narrow" w:cs="Arial"/>
                <w:b/>
                <w:bCs/>
                <w:lang w:val="es-ES_tradnl"/>
              </w:rPr>
            </w:pPr>
            <w:r w:rsidRPr="006E4BE1">
              <w:rPr>
                <w:rFonts w:ascii="Arial Narrow" w:hAnsi="Arial Narrow" w:cs="Arial"/>
                <w:b/>
                <w:bCs/>
                <w:lang w:val="es-ES_tradnl"/>
              </w:rPr>
              <w:t>4%</w:t>
            </w:r>
          </w:p>
        </w:tc>
        <w:tc>
          <w:tcPr>
            <w:tcW w:w="1219" w:type="dxa"/>
            <w:tcBorders>
              <w:top w:val="nil"/>
              <w:left w:val="nil"/>
              <w:bottom w:val="single" w:sz="8" w:space="0" w:color="AAB8C4"/>
              <w:right w:val="nil"/>
            </w:tcBorders>
            <w:shd w:val="clear" w:color="auto" w:fill="auto"/>
            <w:vAlign w:val="center"/>
            <w:hideMark/>
          </w:tcPr>
          <w:p w14:paraId="72E1A2F3" w14:textId="110CB1E8" w:rsidR="009372FF" w:rsidRPr="006E4BE1" w:rsidRDefault="009372FF" w:rsidP="00AE50C9">
            <w:pPr>
              <w:jc w:val="right"/>
              <w:rPr>
                <w:rFonts w:ascii="Arial Narrow" w:hAnsi="Arial Narrow" w:cs="Arial"/>
                <w:b/>
                <w:bCs/>
                <w:lang w:val="es-ES_tradnl"/>
              </w:rPr>
            </w:pPr>
            <w:r w:rsidRPr="006E4BE1">
              <w:rPr>
                <w:rFonts w:ascii="Arial Narrow" w:hAnsi="Arial Narrow" w:cs="Arial"/>
                <w:b/>
                <w:bCs/>
                <w:lang w:val="es-ES_tradnl"/>
              </w:rPr>
              <w:t>7</w:t>
            </w:r>
            <w:r w:rsidR="00DC3724" w:rsidRPr="006E4BE1">
              <w:rPr>
                <w:rFonts w:ascii="Arial Narrow" w:hAnsi="Arial Narrow" w:cs="Arial"/>
                <w:b/>
                <w:bCs/>
                <w:lang w:val="es-ES_tradnl"/>
              </w:rPr>
              <w:t>.</w:t>
            </w:r>
            <w:r w:rsidRPr="006E4BE1">
              <w:rPr>
                <w:rFonts w:ascii="Arial Narrow" w:hAnsi="Arial Narrow" w:cs="Arial"/>
                <w:b/>
                <w:bCs/>
                <w:lang w:val="es-ES_tradnl"/>
              </w:rPr>
              <w:t>635</w:t>
            </w:r>
          </w:p>
        </w:tc>
      </w:tr>
    </w:tbl>
    <w:p w14:paraId="47BF68D0" w14:textId="77777777" w:rsidR="001240C5" w:rsidRPr="006E4BE1" w:rsidRDefault="001240C5" w:rsidP="00AE50C9">
      <w:pPr>
        <w:rPr>
          <w:spacing w:val="-2"/>
          <w:lang w:val="es-ES_tradnl"/>
        </w:rPr>
      </w:pPr>
    </w:p>
    <w:p w14:paraId="1524C397" w14:textId="77777777" w:rsidR="001240C5" w:rsidRPr="006E4BE1" w:rsidRDefault="001240C5" w:rsidP="00362930">
      <w:pPr>
        <w:rPr>
          <w:lang w:val="es-ES_tradnl"/>
        </w:rPr>
      </w:pPr>
    </w:p>
    <w:p w14:paraId="702FAE11" w14:textId="77777777" w:rsidR="001240C5" w:rsidRPr="006E4BE1" w:rsidRDefault="00B35CBC" w:rsidP="00AE50C9">
      <w:pPr>
        <w:pStyle w:val="Heading2"/>
        <w:keepNext w:val="0"/>
        <w:rPr>
          <w:lang w:val="es-ES_tradnl"/>
        </w:rPr>
      </w:pPr>
      <w:bookmarkStart w:id="460" w:name="_Toc78476737"/>
      <w:r w:rsidRPr="006E4BE1">
        <w:rPr>
          <w:lang w:val="es-ES_tradnl"/>
        </w:rPr>
        <w:t>Dotación de personal</w:t>
      </w:r>
      <w:bookmarkEnd w:id="460"/>
    </w:p>
    <w:p w14:paraId="7035AC0C" w14:textId="77777777" w:rsidR="001240C5" w:rsidRPr="006E4BE1" w:rsidRDefault="001240C5" w:rsidP="00AE50C9">
      <w:pPr>
        <w:pStyle w:val="ListParagraph"/>
        <w:ind w:left="0"/>
        <w:contextualSpacing w:val="0"/>
        <w:rPr>
          <w:lang w:val="es-ES_tradnl"/>
        </w:rPr>
      </w:pPr>
    </w:p>
    <w:p w14:paraId="2DF66490" w14:textId="77777777" w:rsidR="001240C5" w:rsidRPr="006E4BE1" w:rsidRDefault="00B35CBC" w:rsidP="00AE50C9">
      <w:pPr>
        <w:pStyle w:val="ListParagraph"/>
        <w:tabs>
          <w:tab w:val="left" w:pos="851"/>
        </w:tabs>
        <w:ind w:left="0"/>
        <w:contextualSpacing w:val="0"/>
        <w:rPr>
          <w:spacing w:val="-2"/>
          <w:lang w:val="es-ES_tradnl"/>
        </w:rPr>
      </w:pPr>
      <w:r w:rsidRPr="006E4BE1">
        <w:rPr>
          <w:spacing w:val="-2"/>
          <w:lang w:val="es-ES_tradnl"/>
        </w:rPr>
        <w:t>Ha seguido aumentando el número de miembros de la Unión y de los Estados que abarca el Convenio de la UPOV (véase el gráfico 2), y también ha aumentado notablemente en los últimos años el número de Estados y organizaciones que solicitan asesoramiento sobre legislación (véase el gráfico 3).</w:t>
      </w:r>
    </w:p>
    <w:p w14:paraId="607CBCD4" w14:textId="77777777" w:rsidR="001240C5" w:rsidRPr="006E4BE1" w:rsidRDefault="001240C5" w:rsidP="00AE50C9">
      <w:pPr>
        <w:tabs>
          <w:tab w:val="left" w:pos="567"/>
        </w:tabs>
        <w:rPr>
          <w:spacing w:val="-2"/>
          <w:lang w:val="es-ES_tradnl"/>
        </w:rPr>
      </w:pPr>
    </w:p>
    <w:p w14:paraId="3BB16A42" w14:textId="77777777" w:rsidR="001240C5" w:rsidRPr="006E4BE1" w:rsidRDefault="00B35CBC" w:rsidP="00AE50C9">
      <w:pPr>
        <w:pStyle w:val="ListParagraph"/>
        <w:tabs>
          <w:tab w:val="left" w:pos="851"/>
        </w:tabs>
        <w:ind w:left="0"/>
        <w:contextualSpacing w:val="0"/>
        <w:rPr>
          <w:spacing w:val="-2"/>
          <w:lang w:val="es-ES_tradnl"/>
        </w:rPr>
      </w:pPr>
      <w:r w:rsidRPr="006E4BE1">
        <w:rPr>
          <w:lang w:val="es-ES_tradnl"/>
        </w:rPr>
        <w:t>Desde 2014, la UPOV recurre regularmente a trabajadores de agencias para prestar asistencia administrativa</w:t>
      </w:r>
      <w:r w:rsidR="00FE64A1" w:rsidRPr="006E4BE1">
        <w:rPr>
          <w:lang w:val="es-ES_tradnl"/>
        </w:rPr>
        <w:t xml:space="preserve">.  </w:t>
      </w:r>
      <w:r w:rsidR="007F6CA5" w:rsidRPr="006E4BE1">
        <w:rPr>
          <w:lang w:val="es-ES_tradnl"/>
        </w:rPr>
        <w:t>Desde 2017, tres trabajadores de agencia han estado presentes en la Oficina de la UPOV a fin de proporcionar asistencia jurídica para las actividades de la UPOV y asistencia administrativa relacionada con la evolución de las tecnologías de la información</w:t>
      </w:r>
      <w:r w:rsidR="00FE64A1" w:rsidRPr="006E4BE1">
        <w:rPr>
          <w:lang w:val="es-ES_tradnl"/>
        </w:rPr>
        <w:t xml:space="preserve">.  </w:t>
      </w:r>
      <w:r w:rsidRPr="006E4BE1">
        <w:rPr>
          <w:spacing w:val="-2"/>
          <w:lang w:val="es-ES_tradnl"/>
        </w:rPr>
        <w:t>La supresión del acuerdo entre la UPOV y la OMPI para la gestión de la base de datos PLUTO implicó la contratación de un</w:t>
      </w:r>
      <w:r w:rsidR="007116CD" w:rsidRPr="006E4BE1">
        <w:rPr>
          <w:spacing w:val="-2"/>
          <w:lang w:val="es-ES_tradnl"/>
        </w:rPr>
        <w:t>a</w:t>
      </w:r>
      <w:r w:rsidRPr="006E4BE1">
        <w:rPr>
          <w:spacing w:val="-2"/>
          <w:lang w:val="es-ES_tradnl"/>
        </w:rPr>
        <w:t xml:space="preserve"> oficial</w:t>
      </w:r>
      <w:r w:rsidR="007116CD" w:rsidRPr="006E4BE1">
        <w:rPr>
          <w:spacing w:val="-2"/>
          <w:lang w:val="es-ES_tradnl"/>
        </w:rPr>
        <w:t>a</w:t>
      </w:r>
      <w:r w:rsidRPr="006E4BE1">
        <w:rPr>
          <w:spacing w:val="-2"/>
          <w:lang w:val="es-ES_tradnl"/>
        </w:rPr>
        <w:t xml:space="preserve"> de TI en el bienio 2020-2021.</w:t>
      </w:r>
    </w:p>
    <w:p w14:paraId="20463FF8" w14:textId="77777777" w:rsidR="001240C5" w:rsidRPr="006E4BE1" w:rsidRDefault="001240C5" w:rsidP="00AE50C9">
      <w:pPr>
        <w:tabs>
          <w:tab w:val="left" w:pos="567"/>
        </w:tabs>
        <w:rPr>
          <w:spacing w:val="-2"/>
          <w:lang w:val="es-ES_tradnl"/>
        </w:rPr>
      </w:pPr>
    </w:p>
    <w:p w14:paraId="1895C8C1" w14:textId="77777777" w:rsidR="001240C5" w:rsidRPr="006E4BE1" w:rsidRDefault="007F6CA5" w:rsidP="00AE50C9">
      <w:pPr>
        <w:pStyle w:val="ListParagraph"/>
        <w:tabs>
          <w:tab w:val="left" w:pos="851"/>
        </w:tabs>
        <w:ind w:left="0"/>
        <w:contextualSpacing w:val="0"/>
        <w:rPr>
          <w:spacing w:val="-2"/>
          <w:lang w:val="es-ES_tradnl"/>
        </w:rPr>
      </w:pPr>
      <w:r w:rsidRPr="006E4BE1">
        <w:rPr>
          <w:spacing w:val="-2"/>
          <w:lang w:val="es-ES_tradnl"/>
        </w:rPr>
        <w:t>Las ta</w:t>
      </w:r>
      <w:r w:rsidR="007116CD" w:rsidRPr="006E4BE1">
        <w:rPr>
          <w:spacing w:val="-2"/>
          <w:lang w:val="es-ES_tradnl"/>
        </w:rPr>
        <w:t>reas que actualmente ejecutan las tres trabajadora</w:t>
      </w:r>
      <w:r w:rsidRPr="006E4BE1">
        <w:rPr>
          <w:spacing w:val="-2"/>
          <w:lang w:val="es-ES_tradnl"/>
        </w:rPr>
        <w:t>s de agencia que se indican más arriba se han convertido en parte fundamental de la labor de la UPOV, y se prevé convertirlas en puestos durante el período correspondiente al plan operativo estratégico para 2021-2025 a fin de garantizar la continuidad y la estabilidad en la labor de la UPOV, siempre y cuando se disponga de ingresos suficientes.</w:t>
      </w:r>
    </w:p>
    <w:p w14:paraId="45436316" w14:textId="77777777" w:rsidR="001240C5" w:rsidRPr="006E4BE1" w:rsidRDefault="001240C5" w:rsidP="00AE50C9">
      <w:pPr>
        <w:tabs>
          <w:tab w:val="left" w:pos="567"/>
        </w:tabs>
        <w:rPr>
          <w:spacing w:val="-2"/>
          <w:lang w:val="es-ES_tradnl"/>
        </w:rPr>
      </w:pPr>
    </w:p>
    <w:p w14:paraId="571D0B4E" w14:textId="77777777" w:rsidR="001240C5" w:rsidRPr="006E4BE1" w:rsidRDefault="007F6CA5" w:rsidP="00AE50C9">
      <w:pPr>
        <w:pStyle w:val="ListParagraph"/>
        <w:tabs>
          <w:tab w:val="left" w:pos="851"/>
        </w:tabs>
        <w:ind w:left="0"/>
        <w:contextualSpacing w:val="0"/>
        <w:rPr>
          <w:spacing w:val="-2"/>
          <w:lang w:val="es-ES_tradnl"/>
        </w:rPr>
      </w:pPr>
      <w:r w:rsidRPr="006E4BE1">
        <w:rPr>
          <w:spacing w:val="-2"/>
          <w:lang w:val="es-ES_tradnl"/>
        </w:rPr>
        <w:t xml:space="preserve">Las labores administrativas adicionales derivadas, por ejemplo, de la ampliación de </w:t>
      </w:r>
      <w:r w:rsidR="00FE64A1" w:rsidRPr="006E4BE1">
        <w:rPr>
          <w:spacing w:val="-2"/>
          <w:lang w:val="es-ES_tradnl"/>
        </w:rPr>
        <w:t>UPOV PRISMA</w:t>
      </w:r>
      <w:r w:rsidRPr="006E4BE1">
        <w:rPr>
          <w:spacing w:val="-2"/>
          <w:lang w:val="es-ES_tradnl"/>
        </w:rPr>
        <w:t>, la introducción de mejoras en la base de datos PLUTO y el aumento de las actividades realizadas mediante fondos extrapresupuestarios adicionales deberían ser autosuficientes desde el punto de vista financiero y estarían cubiertas por trabajadores de agencias o subcontratación.</w:t>
      </w:r>
    </w:p>
    <w:p w14:paraId="104793F8" w14:textId="77777777" w:rsidR="001240C5" w:rsidRPr="006E4BE1" w:rsidRDefault="001240C5" w:rsidP="00AE50C9">
      <w:pPr>
        <w:tabs>
          <w:tab w:val="left" w:pos="567"/>
        </w:tabs>
        <w:rPr>
          <w:spacing w:val="-2"/>
          <w:lang w:val="es-ES_tradnl"/>
        </w:rPr>
      </w:pPr>
    </w:p>
    <w:p w14:paraId="2F740A76" w14:textId="77777777" w:rsidR="001240C5" w:rsidRPr="006E4BE1" w:rsidRDefault="005D7E81" w:rsidP="00AE50C9">
      <w:pPr>
        <w:pStyle w:val="ListParagraph"/>
        <w:tabs>
          <w:tab w:val="left" w:pos="851"/>
        </w:tabs>
        <w:ind w:left="0"/>
        <w:contextualSpacing w:val="0"/>
        <w:rPr>
          <w:spacing w:val="-2"/>
          <w:lang w:val="es-ES_tradnl"/>
        </w:rPr>
      </w:pPr>
      <w:r w:rsidRPr="006E4BE1">
        <w:rPr>
          <w:spacing w:val="-2"/>
          <w:lang w:val="es-ES_tradnl"/>
        </w:rPr>
        <w:t xml:space="preserve">La UPOV ha recibido un valioso apoyo del programa de becas en forma de expertos cedidos por miembros de la Unión, en particular en relación con </w:t>
      </w:r>
      <w:r w:rsidR="00FE64A1" w:rsidRPr="006E4BE1">
        <w:rPr>
          <w:spacing w:val="-2"/>
          <w:lang w:val="es-ES_tradnl"/>
        </w:rPr>
        <w:t>UPOV PRISMA</w:t>
      </w:r>
      <w:r w:rsidRPr="006E4BE1">
        <w:rPr>
          <w:spacing w:val="-2"/>
          <w:lang w:val="es-ES_tradnl"/>
        </w:rPr>
        <w:t>, la base de datos PLUTO, la base de datos GENIE y el mantenimiento de los códigos UPOV</w:t>
      </w:r>
      <w:r w:rsidR="00FE64A1" w:rsidRPr="006E4BE1">
        <w:rPr>
          <w:spacing w:val="-2"/>
          <w:lang w:val="es-ES_tradnl"/>
        </w:rPr>
        <w:t xml:space="preserve">.  </w:t>
      </w:r>
      <w:r w:rsidRPr="006E4BE1">
        <w:rPr>
          <w:spacing w:val="-2"/>
          <w:lang w:val="es-ES_tradnl"/>
        </w:rPr>
        <w:t xml:space="preserve">En el programa y presupuesto para el bienio 2022-2023 se </w:t>
      </w:r>
      <w:r w:rsidR="00D5050B" w:rsidRPr="006E4BE1">
        <w:rPr>
          <w:spacing w:val="-2"/>
          <w:lang w:val="es-ES_tradnl"/>
        </w:rPr>
        <w:t>prevé</w:t>
      </w:r>
      <w:r w:rsidRPr="006E4BE1">
        <w:rPr>
          <w:spacing w:val="-2"/>
          <w:lang w:val="es-ES_tradnl"/>
        </w:rPr>
        <w:t xml:space="preserve"> la participación de dos becarios.</w:t>
      </w:r>
    </w:p>
    <w:p w14:paraId="11C22EAE" w14:textId="77777777" w:rsidR="001240C5" w:rsidRPr="006E4BE1" w:rsidRDefault="001240C5" w:rsidP="00AE50C9">
      <w:pPr>
        <w:tabs>
          <w:tab w:val="left" w:pos="567"/>
        </w:tabs>
        <w:rPr>
          <w:spacing w:val="-2"/>
          <w:lang w:val="es-ES_tradnl"/>
        </w:rPr>
      </w:pPr>
    </w:p>
    <w:p w14:paraId="5B6EA231" w14:textId="77777777" w:rsidR="001240C5" w:rsidRPr="006E4BE1" w:rsidRDefault="005D7E81" w:rsidP="00AE50C9">
      <w:pPr>
        <w:pStyle w:val="ListParagraph"/>
        <w:tabs>
          <w:tab w:val="left" w:pos="851"/>
        </w:tabs>
        <w:ind w:left="0"/>
        <w:contextualSpacing w:val="0"/>
        <w:rPr>
          <w:spacing w:val="-2"/>
          <w:lang w:val="es-ES_tradnl"/>
        </w:rPr>
      </w:pPr>
      <w:r w:rsidRPr="006E4BE1">
        <w:rPr>
          <w:lang w:val="es-ES_tradnl"/>
        </w:rPr>
        <w:t>Se espera que los miembros de la Unión presten más apoyo a la labor de la Unión en lo que respecta a la asignación de funcionarios subalternos del cuadro orgánico a la UPOV</w:t>
      </w:r>
      <w:r w:rsidR="00FE64A1" w:rsidRPr="006E4BE1">
        <w:rPr>
          <w:lang w:val="es-ES_tradnl"/>
        </w:rPr>
        <w:t xml:space="preserve">.  </w:t>
      </w:r>
      <w:r w:rsidRPr="006E4BE1">
        <w:rPr>
          <w:spacing w:val="-2"/>
          <w:lang w:val="es-ES_tradnl"/>
        </w:rPr>
        <w:t>En el programa y presupuesto para el bienio 2022-2023 se ha previsto un funcionario de esta categoría.</w:t>
      </w:r>
    </w:p>
    <w:p w14:paraId="3E5113E2" w14:textId="77777777" w:rsidR="001240C5" w:rsidRPr="006E4BE1" w:rsidRDefault="001240C5" w:rsidP="00AE50C9">
      <w:pPr>
        <w:tabs>
          <w:tab w:val="left" w:pos="567"/>
        </w:tabs>
        <w:rPr>
          <w:lang w:val="es-ES_tradnl"/>
        </w:rPr>
      </w:pPr>
    </w:p>
    <w:p w14:paraId="5EAC449C" w14:textId="77777777" w:rsidR="001240C5" w:rsidRPr="006E4BE1" w:rsidRDefault="0096401B" w:rsidP="00AE50C9">
      <w:pPr>
        <w:tabs>
          <w:tab w:val="left" w:pos="567"/>
        </w:tabs>
        <w:rPr>
          <w:lang w:val="es-ES_tradnl"/>
        </w:rPr>
      </w:pPr>
      <w:r w:rsidRPr="006E4BE1">
        <w:rPr>
          <w:spacing w:val="-2"/>
          <w:lang w:val="es-ES_tradnl"/>
        </w:rPr>
        <w:t>En el programa y presupuesto para el bienio 2022-202023 se prevé un puesto adicional en la categoría profesional (véase el cuadro 5)</w:t>
      </w:r>
      <w:r w:rsidR="00FE64A1" w:rsidRPr="006E4BE1">
        <w:rPr>
          <w:spacing w:val="-2"/>
          <w:lang w:val="es-ES_tradnl"/>
        </w:rPr>
        <w:t xml:space="preserve">.  </w:t>
      </w:r>
      <w:r w:rsidR="00D37513" w:rsidRPr="006E4BE1">
        <w:rPr>
          <w:spacing w:val="-2"/>
          <w:lang w:val="es-ES_tradnl"/>
        </w:rPr>
        <w:t>Ello corresponde a un puesto de la categoría de servicios generales que se ha reclasificado a la categoría profesional para reflejar las responsabilidades adicionales en relación con la administración financiera y a un nuevo puesto en la categoría de servicios generales con el fin de prestar asistencia jurídica (facilitada por un</w:t>
      </w:r>
      <w:r w:rsidR="007116CD" w:rsidRPr="006E4BE1">
        <w:rPr>
          <w:spacing w:val="-2"/>
          <w:lang w:val="es-ES_tradnl"/>
        </w:rPr>
        <w:t>a</w:t>
      </w:r>
      <w:r w:rsidR="00D37513" w:rsidRPr="006E4BE1">
        <w:rPr>
          <w:spacing w:val="-2"/>
          <w:lang w:val="es-ES_tradnl"/>
        </w:rPr>
        <w:t xml:space="preserve"> trabajador</w:t>
      </w:r>
      <w:r w:rsidR="007116CD" w:rsidRPr="006E4BE1">
        <w:rPr>
          <w:spacing w:val="-2"/>
          <w:lang w:val="es-ES_tradnl"/>
        </w:rPr>
        <w:t>a</w:t>
      </w:r>
      <w:r w:rsidR="00D37513" w:rsidRPr="006E4BE1">
        <w:rPr>
          <w:spacing w:val="-2"/>
          <w:lang w:val="es-ES_tradnl"/>
        </w:rPr>
        <w:t xml:space="preserve"> de agencia desde 2017)</w:t>
      </w:r>
      <w:r w:rsidR="00FE64A1" w:rsidRPr="006E4BE1">
        <w:rPr>
          <w:spacing w:val="-2"/>
          <w:lang w:val="es-ES_tradnl"/>
        </w:rPr>
        <w:t xml:space="preserve">.  </w:t>
      </w:r>
      <w:r w:rsidR="00D37513" w:rsidRPr="006E4BE1">
        <w:rPr>
          <w:spacing w:val="-2"/>
          <w:lang w:val="es-ES_tradnl"/>
        </w:rPr>
        <w:t>T</w:t>
      </w:r>
      <w:r w:rsidR="007116CD" w:rsidRPr="006E4BE1">
        <w:rPr>
          <w:spacing w:val="-2"/>
          <w:lang w:val="es-ES_tradnl"/>
        </w:rPr>
        <w:t>ambién se incluye el puesto de Secretario G</w:t>
      </w:r>
      <w:r w:rsidR="00D37513" w:rsidRPr="006E4BE1">
        <w:rPr>
          <w:spacing w:val="-2"/>
          <w:lang w:val="es-ES_tradnl"/>
        </w:rPr>
        <w:t>eneral, aunque sin incidencia</w:t>
      </w:r>
      <w:r w:rsidR="007116CD" w:rsidRPr="006E4BE1">
        <w:rPr>
          <w:spacing w:val="-2"/>
          <w:lang w:val="es-ES_tradnl"/>
        </w:rPr>
        <w:t xml:space="preserve"> en el gasto, porque el actual Director G</w:t>
      </w:r>
      <w:r w:rsidR="00D37513" w:rsidRPr="006E4BE1">
        <w:rPr>
          <w:spacing w:val="-2"/>
          <w:lang w:val="es-ES_tradnl"/>
        </w:rPr>
        <w:t>eneral de la OMPI ha declinado recibir s</w:t>
      </w:r>
      <w:r w:rsidR="007116CD" w:rsidRPr="006E4BE1">
        <w:rPr>
          <w:spacing w:val="-2"/>
          <w:lang w:val="es-ES_tradnl"/>
        </w:rPr>
        <w:t>ueldo o asignación alguna como Secretario G</w:t>
      </w:r>
      <w:r w:rsidR="00D37513" w:rsidRPr="006E4BE1">
        <w:rPr>
          <w:spacing w:val="-2"/>
          <w:lang w:val="es-ES_tradnl"/>
        </w:rPr>
        <w:t>eneral de la UPOV.</w:t>
      </w:r>
    </w:p>
    <w:p w14:paraId="11D10C1C" w14:textId="77777777" w:rsidR="001240C5" w:rsidRPr="006E4BE1" w:rsidRDefault="001240C5" w:rsidP="00AE50C9">
      <w:pPr>
        <w:tabs>
          <w:tab w:val="left" w:pos="567"/>
        </w:tabs>
        <w:rPr>
          <w:spacing w:val="-2"/>
          <w:lang w:val="es-ES_tradnl"/>
        </w:rPr>
      </w:pPr>
    </w:p>
    <w:p w14:paraId="3C58EB8B" w14:textId="77777777" w:rsidR="001240C5" w:rsidRPr="006E4BE1" w:rsidRDefault="00D37513" w:rsidP="00AE50C9">
      <w:pPr>
        <w:jc w:val="center"/>
        <w:rPr>
          <w:rFonts w:cs="Arial"/>
          <w:b/>
          <w:bCs/>
          <w:color w:val="26724C" w:themeColor="accent1" w:themeShade="BF"/>
          <w:lang w:val="es-ES_tradnl"/>
        </w:rPr>
      </w:pPr>
      <w:r w:rsidRPr="006E4BE1">
        <w:rPr>
          <w:rFonts w:cs="Arial"/>
          <w:b/>
          <w:bCs/>
          <w:color w:val="26724C" w:themeColor="accent1" w:themeShade="BF"/>
          <w:lang w:val="es-ES_tradnl"/>
        </w:rPr>
        <w:t>Cuadro 5. Presupuesto para el bienio 2022</w:t>
      </w:r>
      <w:r w:rsidRPr="006E4BE1">
        <w:rPr>
          <w:rFonts w:cs="Arial"/>
          <w:bCs/>
          <w:color w:val="26724C" w:themeColor="accent1" w:themeShade="BF"/>
          <w:lang w:val="es-ES_tradnl"/>
        </w:rPr>
        <w:t>-</w:t>
      </w:r>
      <w:r w:rsidRPr="006E4BE1">
        <w:rPr>
          <w:rFonts w:cs="Arial"/>
          <w:b/>
          <w:bCs/>
          <w:color w:val="26724C" w:themeColor="accent1" w:themeShade="BF"/>
          <w:lang w:val="es-ES_tradnl"/>
        </w:rPr>
        <w:t>2023: puestos por categoría</w:t>
      </w:r>
    </w:p>
    <w:p w14:paraId="05FC95EF" w14:textId="1BCA562E" w:rsidR="00181C7C" w:rsidRPr="006E4BE1" w:rsidRDefault="00181C7C" w:rsidP="00AE50C9">
      <w:pPr>
        <w:rPr>
          <w:rFonts w:cs="Arial"/>
          <w:b/>
          <w:bCs/>
          <w:color w:val="26724C" w:themeColor="accent1" w:themeShade="BF"/>
          <w:lang w:val="es-ES_tradnl"/>
        </w:rPr>
      </w:pPr>
    </w:p>
    <w:tbl>
      <w:tblPr>
        <w:tblW w:w="7980" w:type="dxa"/>
        <w:jc w:val="center"/>
        <w:tblLook w:val="04A0" w:firstRow="1" w:lastRow="0" w:firstColumn="1" w:lastColumn="0" w:noHBand="0" w:noVBand="1"/>
      </w:tblPr>
      <w:tblGrid>
        <w:gridCol w:w="2260"/>
        <w:gridCol w:w="1480"/>
        <w:gridCol w:w="1440"/>
        <w:gridCol w:w="1400"/>
        <w:gridCol w:w="1400"/>
      </w:tblGrid>
      <w:tr w:rsidR="00E17B5B" w:rsidRPr="006E4BE1" w14:paraId="02DED776" w14:textId="77777777" w:rsidTr="00E17B5B">
        <w:trPr>
          <w:trHeight w:val="460"/>
          <w:jc w:val="center"/>
        </w:trPr>
        <w:tc>
          <w:tcPr>
            <w:tcW w:w="2260" w:type="dxa"/>
            <w:tcBorders>
              <w:top w:val="nil"/>
              <w:left w:val="nil"/>
              <w:bottom w:val="nil"/>
              <w:right w:val="nil"/>
            </w:tcBorders>
            <w:shd w:val="clear" w:color="000000" w:fill="C7CFD8"/>
            <w:vAlign w:val="center"/>
            <w:hideMark/>
          </w:tcPr>
          <w:p w14:paraId="1D9E6CED" w14:textId="71E36566" w:rsidR="00E17B5B" w:rsidRPr="006E4BE1" w:rsidRDefault="000F29C9"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Categoría del puesto</w:t>
            </w:r>
            <w:r w:rsidR="00E17B5B" w:rsidRPr="006E4BE1">
              <w:rPr>
                <w:rFonts w:ascii="Arial Narrow" w:hAnsi="Arial Narrow" w:cs="Arial"/>
                <w:b/>
                <w:bCs/>
                <w:sz w:val="18"/>
                <w:szCs w:val="18"/>
                <w:lang w:val="es-ES_tradnl"/>
              </w:rPr>
              <w:t xml:space="preserve"> </w:t>
            </w:r>
          </w:p>
        </w:tc>
        <w:tc>
          <w:tcPr>
            <w:tcW w:w="1480" w:type="dxa"/>
            <w:tcBorders>
              <w:top w:val="nil"/>
              <w:left w:val="nil"/>
              <w:bottom w:val="nil"/>
              <w:right w:val="nil"/>
            </w:tcBorders>
            <w:shd w:val="clear" w:color="000000" w:fill="C7CFD8"/>
            <w:vAlign w:val="center"/>
            <w:hideMark/>
          </w:tcPr>
          <w:p w14:paraId="4FEA0B66" w14:textId="77777777" w:rsidR="001240C5" w:rsidRPr="006E4BE1" w:rsidRDefault="00E17B5B"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2018-2019</w:t>
            </w:r>
          </w:p>
          <w:p w14:paraId="61C57838" w14:textId="3A50FC41" w:rsidR="00E17B5B" w:rsidRPr="006E4BE1" w:rsidRDefault="000F29C9"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Real</w:t>
            </w:r>
            <w:r w:rsidR="00E17B5B" w:rsidRPr="006E4BE1">
              <w:rPr>
                <w:rFonts w:ascii="Arial Narrow" w:hAnsi="Arial Narrow" w:cs="Arial"/>
                <w:b/>
                <w:bCs/>
                <w:sz w:val="18"/>
                <w:szCs w:val="18"/>
                <w:lang w:val="es-ES_tradnl"/>
              </w:rPr>
              <w:t xml:space="preserve"> </w:t>
            </w:r>
          </w:p>
        </w:tc>
        <w:tc>
          <w:tcPr>
            <w:tcW w:w="1440" w:type="dxa"/>
            <w:tcBorders>
              <w:top w:val="nil"/>
              <w:left w:val="nil"/>
              <w:bottom w:val="nil"/>
              <w:right w:val="nil"/>
            </w:tcBorders>
            <w:shd w:val="clear" w:color="000000" w:fill="C7CFD8"/>
            <w:vAlign w:val="center"/>
            <w:hideMark/>
          </w:tcPr>
          <w:p w14:paraId="6218400C" w14:textId="77777777" w:rsidR="001240C5" w:rsidRPr="006E4BE1" w:rsidRDefault="00E17B5B"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2020-2021</w:t>
            </w:r>
          </w:p>
          <w:p w14:paraId="6FA1D80E" w14:textId="60C43453" w:rsidR="00E17B5B" w:rsidRPr="006E4BE1" w:rsidRDefault="000F29C9"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Presupuestado</w:t>
            </w:r>
            <w:r w:rsidR="00775351" w:rsidRPr="006E4BE1">
              <w:rPr>
                <w:rFonts w:ascii="Arial Narrow" w:hAnsi="Arial Narrow" w:cs="Arial"/>
                <w:b/>
                <w:bCs/>
                <w:sz w:val="18"/>
                <w:szCs w:val="18"/>
                <w:lang w:val="es-ES_tradnl"/>
              </w:rPr>
              <w:t xml:space="preserve"> </w:t>
            </w:r>
          </w:p>
        </w:tc>
        <w:tc>
          <w:tcPr>
            <w:tcW w:w="1400" w:type="dxa"/>
            <w:tcBorders>
              <w:top w:val="nil"/>
              <w:left w:val="nil"/>
              <w:bottom w:val="nil"/>
              <w:right w:val="nil"/>
            </w:tcBorders>
            <w:shd w:val="clear" w:color="000000" w:fill="C7CFD8"/>
            <w:vAlign w:val="center"/>
            <w:hideMark/>
          </w:tcPr>
          <w:p w14:paraId="2EEA7784" w14:textId="5AD3D6CE" w:rsidR="00E17B5B" w:rsidRPr="006E4BE1" w:rsidRDefault="00E17B5B"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w:t>
            </w:r>
            <w:r w:rsidR="000F29C9" w:rsidRPr="006E4BE1">
              <w:rPr>
                <w:rFonts w:ascii="Arial Narrow" w:hAnsi="Arial Narrow" w:cs="Arial"/>
                <w:b/>
                <w:bCs/>
                <w:sz w:val="18"/>
                <w:szCs w:val="18"/>
                <w:lang w:val="es-ES_tradnl"/>
              </w:rPr>
              <w:t>Variación</w:t>
            </w:r>
            <w:r w:rsidRPr="006E4BE1">
              <w:rPr>
                <w:rFonts w:ascii="Arial Narrow" w:hAnsi="Arial Narrow" w:cs="Arial"/>
                <w:b/>
                <w:bCs/>
                <w:sz w:val="18"/>
                <w:szCs w:val="18"/>
                <w:lang w:val="es-ES_tradnl"/>
              </w:rPr>
              <w:t xml:space="preserve"> </w:t>
            </w:r>
          </w:p>
        </w:tc>
        <w:tc>
          <w:tcPr>
            <w:tcW w:w="1400" w:type="dxa"/>
            <w:tcBorders>
              <w:top w:val="nil"/>
              <w:left w:val="nil"/>
              <w:bottom w:val="nil"/>
              <w:right w:val="nil"/>
            </w:tcBorders>
            <w:shd w:val="clear" w:color="000000" w:fill="C7CFD8"/>
            <w:vAlign w:val="center"/>
            <w:hideMark/>
          </w:tcPr>
          <w:p w14:paraId="73F7C21D" w14:textId="7E11A8E0" w:rsidR="00E17B5B" w:rsidRPr="006E4BE1" w:rsidRDefault="00E17B5B"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w:t>
            </w:r>
            <w:r w:rsidR="000F29C9" w:rsidRPr="006E4BE1">
              <w:rPr>
                <w:rFonts w:ascii="Arial Narrow" w:hAnsi="Arial Narrow" w:cs="Arial"/>
                <w:b/>
                <w:bCs/>
                <w:sz w:val="18"/>
                <w:szCs w:val="18"/>
                <w:lang w:val="es-ES_tradnl"/>
              </w:rPr>
              <w:t>2022-2023</w:t>
            </w:r>
            <w:r w:rsidR="000F29C9" w:rsidRPr="006E4BE1">
              <w:rPr>
                <w:rFonts w:ascii="Arial Narrow" w:hAnsi="Arial Narrow" w:cs="Arial"/>
                <w:b/>
                <w:bCs/>
                <w:sz w:val="18"/>
                <w:szCs w:val="18"/>
                <w:lang w:val="es-ES_tradnl"/>
              </w:rPr>
              <w:br/>
              <w:t>Propuesto</w:t>
            </w:r>
            <w:r w:rsidRPr="006E4BE1">
              <w:rPr>
                <w:rFonts w:ascii="Arial Narrow" w:hAnsi="Arial Narrow" w:cs="Arial"/>
                <w:b/>
                <w:bCs/>
                <w:sz w:val="18"/>
                <w:szCs w:val="18"/>
                <w:lang w:val="es-ES_tradnl"/>
              </w:rPr>
              <w:t xml:space="preserve"> </w:t>
            </w:r>
          </w:p>
        </w:tc>
      </w:tr>
      <w:tr w:rsidR="00E17B5B" w:rsidRPr="006E4BE1" w14:paraId="666C2A7E" w14:textId="77777777" w:rsidTr="00E17B5B">
        <w:trPr>
          <w:trHeight w:val="250"/>
          <w:jc w:val="center"/>
        </w:trPr>
        <w:tc>
          <w:tcPr>
            <w:tcW w:w="2260" w:type="dxa"/>
            <w:tcBorders>
              <w:top w:val="nil"/>
              <w:left w:val="nil"/>
              <w:bottom w:val="nil"/>
              <w:right w:val="nil"/>
            </w:tcBorders>
            <w:shd w:val="clear" w:color="000000" w:fill="C7CFD8"/>
            <w:vAlign w:val="center"/>
            <w:hideMark/>
          </w:tcPr>
          <w:p w14:paraId="39FC8656" w14:textId="77777777" w:rsidR="00E17B5B" w:rsidRPr="006E4BE1" w:rsidRDefault="00E17B5B"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w:t>
            </w:r>
          </w:p>
        </w:tc>
        <w:tc>
          <w:tcPr>
            <w:tcW w:w="1480" w:type="dxa"/>
            <w:tcBorders>
              <w:top w:val="nil"/>
              <w:left w:val="nil"/>
              <w:bottom w:val="nil"/>
              <w:right w:val="nil"/>
            </w:tcBorders>
            <w:shd w:val="clear" w:color="000000" w:fill="C7CFD8"/>
            <w:vAlign w:val="center"/>
            <w:hideMark/>
          </w:tcPr>
          <w:p w14:paraId="27BA5B20" w14:textId="77777777" w:rsidR="00E17B5B" w:rsidRPr="006E4BE1" w:rsidRDefault="00E17B5B"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A </w:t>
            </w:r>
          </w:p>
        </w:tc>
        <w:tc>
          <w:tcPr>
            <w:tcW w:w="1440" w:type="dxa"/>
            <w:tcBorders>
              <w:top w:val="nil"/>
              <w:left w:val="nil"/>
              <w:bottom w:val="nil"/>
              <w:right w:val="nil"/>
            </w:tcBorders>
            <w:shd w:val="clear" w:color="000000" w:fill="C7CFD8"/>
            <w:vAlign w:val="center"/>
            <w:hideMark/>
          </w:tcPr>
          <w:p w14:paraId="3346A8DA" w14:textId="77777777" w:rsidR="00E17B5B" w:rsidRPr="006E4BE1" w:rsidRDefault="00E17B5B"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B </w:t>
            </w:r>
          </w:p>
        </w:tc>
        <w:tc>
          <w:tcPr>
            <w:tcW w:w="1400" w:type="dxa"/>
            <w:tcBorders>
              <w:top w:val="nil"/>
              <w:left w:val="nil"/>
              <w:bottom w:val="nil"/>
              <w:right w:val="nil"/>
            </w:tcBorders>
            <w:shd w:val="clear" w:color="000000" w:fill="C7CFD8"/>
            <w:vAlign w:val="center"/>
            <w:hideMark/>
          </w:tcPr>
          <w:p w14:paraId="38C87EF3" w14:textId="77777777" w:rsidR="00E17B5B" w:rsidRPr="006E4BE1" w:rsidRDefault="00E17B5B"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C-B </w:t>
            </w:r>
          </w:p>
        </w:tc>
        <w:tc>
          <w:tcPr>
            <w:tcW w:w="1400" w:type="dxa"/>
            <w:tcBorders>
              <w:top w:val="nil"/>
              <w:left w:val="nil"/>
              <w:bottom w:val="nil"/>
              <w:right w:val="nil"/>
            </w:tcBorders>
            <w:shd w:val="clear" w:color="000000" w:fill="C7CFD8"/>
            <w:vAlign w:val="center"/>
            <w:hideMark/>
          </w:tcPr>
          <w:p w14:paraId="7EBAFC40" w14:textId="77777777" w:rsidR="00E17B5B" w:rsidRPr="006E4BE1" w:rsidRDefault="00E17B5B"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C </w:t>
            </w:r>
          </w:p>
        </w:tc>
      </w:tr>
      <w:tr w:rsidR="00E17B5B" w:rsidRPr="006E4BE1" w14:paraId="5E798FFF" w14:textId="77777777" w:rsidTr="00E17B5B">
        <w:trPr>
          <w:trHeight w:val="150"/>
          <w:jc w:val="center"/>
        </w:trPr>
        <w:tc>
          <w:tcPr>
            <w:tcW w:w="2260" w:type="dxa"/>
            <w:tcBorders>
              <w:top w:val="nil"/>
              <w:left w:val="nil"/>
              <w:bottom w:val="nil"/>
              <w:right w:val="nil"/>
            </w:tcBorders>
            <w:shd w:val="clear" w:color="auto" w:fill="auto"/>
            <w:hideMark/>
          </w:tcPr>
          <w:p w14:paraId="5EA71EBB" w14:textId="77777777" w:rsidR="00E17B5B" w:rsidRPr="006E4BE1" w:rsidRDefault="00E17B5B" w:rsidP="00AE50C9">
            <w:pPr>
              <w:jc w:val="center"/>
              <w:rPr>
                <w:rFonts w:ascii="Arial Narrow" w:hAnsi="Arial Narrow" w:cs="Arial"/>
                <w:b/>
                <w:bCs/>
                <w:sz w:val="18"/>
                <w:szCs w:val="18"/>
                <w:lang w:val="es-ES_tradnl"/>
              </w:rPr>
            </w:pPr>
          </w:p>
        </w:tc>
        <w:tc>
          <w:tcPr>
            <w:tcW w:w="1480" w:type="dxa"/>
            <w:tcBorders>
              <w:top w:val="nil"/>
              <w:left w:val="nil"/>
              <w:bottom w:val="nil"/>
              <w:right w:val="nil"/>
            </w:tcBorders>
            <w:shd w:val="clear" w:color="auto" w:fill="auto"/>
            <w:hideMark/>
          </w:tcPr>
          <w:p w14:paraId="4C52C88B" w14:textId="77777777" w:rsidR="00E17B5B" w:rsidRPr="006E4BE1" w:rsidRDefault="00E17B5B" w:rsidP="00AE50C9">
            <w:pPr>
              <w:rPr>
                <w:rFonts w:ascii="Times New Roman" w:hAnsi="Times New Roman"/>
                <w:lang w:val="es-ES_tradnl"/>
              </w:rPr>
            </w:pPr>
          </w:p>
        </w:tc>
        <w:tc>
          <w:tcPr>
            <w:tcW w:w="1440" w:type="dxa"/>
            <w:tcBorders>
              <w:top w:val="nil"/>
              <w:left w:val="nil"/>
              <w:bottom w:val="nil"/>
              <w:right w:val="nil"/>
            </w:tcBorders>
            <w:shd w:val="clear" w:color="auto" w:fill="auto"/>
            <w:hideMark/>
          </w:tcPr>
          <w:p w14:paraId="1EE469D2" w14:textId="77777777" w:rsidR="00E17B5B" w:rsidRPr="006E4BE1" w:rsidRDefault="00E17B5B" w:rsidP="00AE50C9">
            <w:pPr>
              <w:jc w:val="center"/>
              <w:rPr>
                <w:rFonts w:ascii="Times New Roman" w:hAnsi="Times New Roman"/>
                <w:lang w:val="es-ES_tradnl"/>
              </w:rPr>
            </w:pPr>
          </w:p>
        </w:tc>
        <w:tc>
          <w:tcPr>
            <w:tcW w:w="1400" w:type="dxa"/>
            <w:tcBorders>
              <w:top w:val="nil"/>
              <w:left w:val="nil"/>
              <w:bottom w:val="nil"/>
              <w:right w:val="nil"/>
            </w:tcBorders>
            <w:shd w:val="clear" w:color="auto" w:fill="auto"/>
            <w:hideMark/>
          </w:tcPr>
          <w:p w14:paraId="3BBC514A" w14:textId="77777777" w:rsidR="00E17B5B" w:rsidRPr="006E4BE1" w:rsidRDefault="00E17B5B" w:rsidP="00AE50C9">
            <w:pPr>
              <w:jc w:val="center"/>
              <w:rPr>
                <w:rFonts w:ascii="Times New Roman" w:hAnsi="Times New Roman"/>
                <w:lang w:val="es-ES_tradnl"/>
              </w:rPr>
            </w:pPr>
          </w:p>
        </w:tc>
        <w:tc>
          <w:tcPr>
            <w:tcW w:w="1400" w:type="dxa"/>
            <w:tcBorders>
              <w:top w:val="nil"/>
              <w:left w:val="nil"/>
              <w:bottom w:val="nil"/>
              <w:right w:val="nil"/>
            </w:tcBorders>
            <w:shd w:val="clear" w:color="auto" w:fill="auto"/>
            <w:hideMark/>
          </w:tcPr>
          <w:p w14:paraId="42875FF8" w14:textId="77777777" w:rsidR="00E17B5B" w:rsidRPr="006E4BE1" w:rsidRDefault="00E17B5B" w:rsidP="00AE50C9">
            <w:pPr>
              <w:jc w:val="left"/>
              <w:rPr>
                <w:rFonts w:ascii="Times New Roman" w:hAnsi="Times New Roman"/>
                <w:lang w:val="es-ES_tradnl"/>
              </w:rPr>
            </w:pPr>
          </w:p>
        </w:tc>
      </w:tr>
      <w:tr w:rsidR="00E17B5B" w:rsidRPr="006E4BE1" w14:paraId="64E5D8AE" w14:textId="77777777" w:rsidTr="00E17B5B">
        <w:trPr>
          <w:trHeight w:val="330"/>
          <w:jc w:val="center"/>
        </w:trPr>
        <w:tc>
          <w:tcPr>
            <w:tcW w:w="2260" w:type="dxa"/>
            <w:tcBorders>
              <w:top w:val="nil"/>
              <w:left w:val="nil"/>
              <w:bottom w:val="nil"/>
              <w:right w:val="nil"/>
            </w:tcBorders>
            <w:shd w:val="clear" w:color="auto" w:fill="auto"/>
            <w:hideMark/>
          </w:tcPr>
          <w:p w14:paraId="789620D8" w14:textId="1D44FB23" w:rsidR="00E17B5B" w:rsidRPr="006E4BE1" w:rsidRDefault="000F29C9" w:rsidP="00AE50C9">
            <w:pPr>
              <w:rPr>
                <w:rFonts w:ascii="Arial Narrow" w:hAnsi="Arial Narrow" w:cs="Arial"/>
                <w:lang w:val="es-ES_tradnl"/>
              </w:rPr>
            </w:pPr>
            <w:r w:rsidRPr="006E4BE1">
              <w:rPr>
                <w:rFonts w:ascii="Arial Narrow" w:hAnsi="Arial Narrow" w:cs="Arial"/>
                <w:lang w:val="es-ES_tradnl"/>
              </w:rPr>
              <w:t>Directores</w:t>
            </w:r>
          </w:p>
        </w:tc>
        <w:tc>
          <w:tcPr>
            <w:tcW w:w="1480" w:type="dxa"/>
            <w:tcBorders>
              <w:top w:val="nil"/>
              <w:left w:val="nil"/>
              <w:bottom w:val="nil"/>
              <w:right w:val="nil"/>
            </w:tcBorders>
            <w:shd w:val="clear" w:color="auto" w:fill="auto"/>
            <w:hideMark/>
          </w:tcPr>
          <w:p w14:paraId="3276FE4C" w14:textId="77777777"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3</w:t>
            </w:r>
          </w:p>
        </w:tc>
        <w:tc>
          <w:tcPr>
            <w:tcW w:w="1440" w:type="dxa"/>
            <w:tcBorders>
              <w:top w:val="nil"/>
              <w:left w:val="nil"/>
              <w:bottom w:val="nil"/>
              <w:right w:val="nil"/>
            </w:tcBorders>
            <w:shd w:val="clear" w:color="auto" w:fill="auto"/>
            <w:hideMark/>
          </w:tcPr>
          <w:p w14:paraId="1A067EF5" w14:textId="77777777"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3</w:t>
            </w:r>
          </w:p>
        </w:tc>
        <w:tc>
          <w:tcPr>
            <w:tcW w:w="1400" w:type="dxa"/>
            <w:tcBorders>
              <w:top w:val="nil"/>
              <w:left w:val="nil"/>
              <w:bottom w:val="nil"/>
              <w:right w:val="nil"/>
            </w:tcBorders>
            <w:shd w:val="clear" w:color="auto" w:fill="auto"/>
            <w:hideMark/>
          </w:tcPr>
          <w:p w14:paraId="06412C36" w14:textId="7DC36B01"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w:t>
            </w:r>
          </w:p>
        </w:tc>
        <w:tc>
          <w:tcPr>
            <w:tcW w:w="1400" w:type="dxa"/>
            <w:tcBorders>
              <w:top w:val="nil"/>
              <w:left w:val="nil"/>
              <w:bottom w:val="nil"/>
              <w:right w:val="nil"/>
            </w:tcBorders>
            <w:shd w:val="clear" w:color="auto" w:fill="auto"/>
            <w:hideMark/>
          </w:tcPr>
          <w:p w14:paraId="0D49D7BB" w14:textId="77777777"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3</w:t>
            </w:r>
          </w:p>
        </w:tc>
      </w:tr>
      <w:tr w:rsidR="00E17B5B" w:rsidRPr="006E4BE1" w14:paraId="3105DF4E" w14:textId="77777777" w:rsidTr="00E17B5B">
        <w:trPr>
          <w:trHeight w:val="330"/>
          <w:jc w:val="center"/>
        </w:trPr>
        <w:tc>
          <w:tcPr>
            <w:tcW w:w="2260" w:type="dxa"/>
            <w:tcBorders>
              <w:top w:val="nil"/>
              <w:left w:val="nil"/>
              <w:bottom w:val="nil"/>
              <w:right w:val="nil"/>
            </w:tcBorders>
            <w:shd w:val="clear" w:color="auto" w:fill="auto"/>
            <w:hideMark/>
          </w:tcPr>
          <w:p w14:paraId="60B66A71" w14:textId="35D0DB3B" w:rsidR="00E17B5B" w:rsidRPr="006E4BE1" w:rsidRDefault="000F29C9" w:rsidP="00AE50C9">
            <w:pPr>
              <w:rPr>
                <w:rFonts w:ascii="Arial Narrow" w:hAnsi="Arial Narrow" w:cs="Arial"/>
                <w:lang w:val="es-ES_tradnl"/>
              </w:rPr>
            </w:pPr>
            <w:r w:rsidRPr="006E4BE1">
              <w:rPr>
                <w:rFonts w:ascii="Arial Narrow" w:hAnsi="Arial Narrow" w:cs="Arial"/>
                <w:lang w:val="es-ES_tradnl"/>
              </w:rPr>
              <w:t>Profesionales</w:t>
            </w:r>
          </w:p>
        </w:tc>
        <w:tc>
          <w:tcPr>
            <w:tcW w:w="1480" w:type="dxa"/>
            <w:tcBorders>
              <w:top w:val="nil"/>
              <w:left w:val="nil"/>
              <w:bottom w:val="nil"/>
              <w:right w:val="nil"/>
            </w:tcBorders>
            <w:shd w:val="clear" w:color="auto" w:fill="auto"/>
            <w:hideMark/>
          </w:tcPr>
          <w:p w14:paraId="511E6C15" w14:textId="77777777"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4</w:t>
            </w:r>
          </w:p>
        </w:tc>
        <w:tc>
          <w:tcPr>
            <w:tcW w:w="1440" w:type="dxa"/>
            <w:tcBorders>
              <w:top w:val="nil"/>
              <w:left w:val="nil"/>
              <w:bottom w:val="nil"/>
              <w:right w:val="nil"/>
            </w:tcBorders>
            <w:shd w:val="clear" w:color="auto" w:fill="auto"/>
            <w:hideMark/>
          </w:tcPr>
          <w:p w14:paraId="17254536" w14:textId="77777777"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5</w:t>
            </w:r>
          </w:p>
        </w:tc>
        <w:tc>
          <w:tcPr>
            <w:tcW w:w="1400" w:type="dxa"/>
            <w:tcBorders>
              <w:top w:val="nil"/>
              <w:left w:val="nil"/>
              <w:bottom w:val="nil"/>
              <w:right w:val="nil"/>
            </w:tcBorders>
            <w:shd w:val="clear" w:color="auto" w:fill="auto"/>
            <w:hideMark/>
          </w:tcPr>
          <w:p w14:paraId="0BDCEB75" w14:textId="193B9E56"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1</w:t>
            </w:r>
          </w:p>
        </w:tc>
        <w:tc>
          <w:tcPr>
            <w:tcW w:w="1400" w:type="dxa"/>
            <w:tcBorders>
              <w:top w:val="nil"/>
              <w:left w:val="nil"/>
              <w:bottom w:val="nil"/>
              <w:right w:val="nil"/>
            </w:tcBorders>
            <w:shd w:val="clear" w:color="auto" w:fill="auto"/>
            <w:hideMark/>
          </w:tcPr>
          <w:p w14:paraId="35419BE1" w14:textId="77777777"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6</w:t>
            </w:r>
          </w:p>
        </w:tc>
      </w:tr>
      <w:tr w:rsidR="00E17B5B" w:rsidRPr="006E4BE1" w14:paraId="2C617413" w14:textId="77777777" w:rsidTr="00E17B5B">
        <w:trPr>
          <w:trHeight w:val="330"/>
          <w:jc w:val="center"/>
        </w:trPr>
        <w:tc>
          <w:tcPr>
            <w:tcW w:w="2260" w:type="dxa"/>
            <w:tcBorders>
              <w:top w:val="nil"/>
              <w:left w:val="nil"/>
              <w:bottom w:val="nil"/>
              <w:right w:val="nil"/>
            </w:tcBorders>
            <w:shd w:val="clear" w:color="auto" w:fill="auto"/>
            <w:hideMark/>
          </w:tcPr>
          <w:p w14:paraId="495481A3" w14:textId="021ADEBB" w:rsidR="00E17B5B" w:rsidRPr="006E4BE1" w:rsidRDefault="000F29C9" w:rsidP="00AE50C9">
            <w:pPr>
              <w:rPr>
                <w:rFonts w:ascii="Arial Narrow" w:hAnsi="Arial Narrow" w:cs="Arial"/>
                <w:lang w:val="es-ES_tradnl"/>
              </w:rPr>
            </w:pPr>
            <w:r w:rsidRPr="006E4BE1">
              <w:rPr>
                <w:rFonts w:ascii="Arial Narrow" w:hAnsi="Arial Narrow" w:cs="Arial"/>
                <w:lang w:val="es-ES_tradnl"/>
              </w:rPr>
              <w:t>Servicios generales</w:t>
            </w:r>
          </w:p>
        </w:tc>
        <w:tc>
          <w:tcPr>
            <w:tcW w:w="1480" w:type="dxa"/>
            <w:tcBorders>
              <w:top w:val="nil"/>
              <w:left w:val="nil"/>
              <w:bottom w:val="nil"/>
              <w:right w:val="nil"/>
            </w:tcBorders>
            <w:shd w:val="clear" w:color="auto" w:fill="auto"/>
            <w:hideMark/>
          </w:tcPr>
          <w:p w14:paraId="49FE1CEF" w14:textId="77777777"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5</w:t>
            </w:r>
          </w:p>
        </w:tc>
        <w:tc>
          <w:tcPr>
            <w:tcW w:w="1440" w:type="dxa"/>
            <w:tcBorders>
              <w:top w:val="nil"/>
              <w:left w:val="nil"/>
              <w:bottom w:val="nil"/>
              <w:right w:val="nil"/>
            </w:tcBorders>
            <w:shd w:val="clear" w:color="auto" w:fill="auto"/>
            <w:hideMark/>
          </w:tcPr>
          <w:p w14:paraId="34A8EB0B" w14:textId="77777777"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4</w:t>
            </w:r>
          </w:p>
        </w:tc>
        <w:tc>
          <w:tcPr>
            <w:tcW w:w="1400" w:type="dxa"/>
            <w:tcBorders>
              <w:top w:val="nil"/>
              <w:left w:val="nil"/>
              <w:bottom w:val="nil"/>
              <w:right w:val="nil"/>
            </w:tcBorders>
            <w:shd w:val="clear" w:color="auto" w:fill="auto"/>
            <w:hideMark/>
          </w:tcPr>
          <w:p w14:paraId="4F4DE641" w14:textId="547BC48A"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w:t>
            </w:r>
          </w:p>
        </w:tc>
        <w:tc>
          <w:tcPr>
            <w:tcW w:w="1400" w:type="dxa"/>
            <w:tcBorders>
              <w:top w:val="nil"/>
              <w:left w:val="nil"/>
              <w:bottom w:val="nil"/>
              <w:right w:val="nil"/>
            </w:tcBorders>
            <w:shd w:val="clear" w:color="auto" w:fill="auto"/>
            <w:hideMark/>
          </w:tcPr>
          <w:p w14:paraId="7A871C9C" w14:textId="77777777"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4</w:t>
            </w:r>
          </w:p>
        </w:tc>
      </w:tr>
      <w:tr w:rsidR="00E17B5B" w:rsidRPr="006E4BE1" w14:paraId="505B56FF" w14:textId="77777777" w:rsidTr="00E17B5B">
        <w:trPr>
          <w:trHeight w:val="330"/>
          <w:jc w:val="center"/>
        </w:trPr>
        <w:tc>
          <w:tcPr>
            <w:tcW w:w="2260" w:type="dxa"/>
            <w:tcBorders>
              <w:top w:val="single" w:sz="4" w:space="0" w:color="AAB8C4"/>
              <w:left w:val="nil"/>
              <w:bottom w:val="single" w:sz="8" w:space="0" w:color="AAB8C4"/>
              <w:right w:val="nil"/>
            </w:tcBorders>
            <w:shd w:val="clear" w:color="auto" w:fill="auto"/>
            <w:vAlign w:val="center"/>
            <w:hideMark/>
          </w:tcPr>
          <w:p w14:paraId="31AEC9DB" w14:textId="77777777" w:rsidR="00E17B5B" w:rsidRPr="006E4BE1" w:rsidRDefault="00E17B5B" w:rsidP="00AE50C9">
            <w:pPr>
              <w:rPr>
                <w:rFonts w:ascii="Arial Narrow" w:hAnsi="Arial Narrow" w:cs="Arial"/>
                <w:b/>
                <w:bCs/>
                <w:lang w:val="es-ES_tradnl"/>
              </w:rPr>
            </w:pPr>
            <w:r w:rsidRPr="006E4BE1">
              <w:rPr>
                <w:rFonts w:ascii="Arial Narrow" w:hAnsi="Arial Narrow" w:cs="Arial"/>
                <w:b/>
                <w:bCs/>
                <w:lang w:val="es-ES_tradnl"/>
              </w:rPr>
              <w:t>Total</w:t>
            </w:r>
          </w:p>
        </w:tc>
        <w:tc>
          <w:tcPr>
            <w:tcW w:w="1480" w:type="dxa"/>
            <w:tcBorders>
              <w:top w:val="single" w:sz="4" w:space="0" w:color="AAB8C4"/>
              <w:left w:val="nil"/>
              <w:bottom w:val="single" w:sz="8" w:space="0" w:color="AAB8C4"/>
              <w:right w:val="nil"/>
            </w:tcBorders>
            <w:shd w:val="clear" w:color="auto" w:fill="auto"/>
            <w:vAlign w:val="center"/>
            <w:hideMark/>
          </w:tcPr>
          <w:p w14:paraId="19829EF1" w14:textId="77777777" w:rsidR="00E17B5B" w:rsidRPr="006E4BE1" w:rsidRDefault="00E17B5B" w:rsidP="00AE50C9">
            <w:pPr>
              <w:jc w:val="center"/>
              <w:rPr>
                <w:rFonts w:ascii="Arial Narrow" w:hAnsi="Arial Narrow" w:cs="Arial"/>
                <w:b/>
                <w:bCs/>
                <w:lang w:val="es-ES_tradnl"/>
              </w:rPr>
            </w:pPr>
            <w:r w:rsidRPr="006E4BE1">
              <w:rPr>
                <w:rFonts w:ascii="Arial Narrow" w:hAnsi="Arial Narrow" w:cs="Arial"/>
                <w:b/>
                <w:bCs/>
                <w:lang w:val="es-ES_tradnl"/>
              </w:rPr>
              <w:t>12</w:t>
            </w:r>
          </w:p>
        </w:tc>
        <w:tc>
          <w:tcPr>
            <w:tcW w:w="1440" w:type="dxa"/>
            <w:tcBorders>
              <w:top w:val="single" w:sz="4" w:space="0" w:color="AAB8C4"/>
              <w:left w:val="nil"/>
              <w:bottom w:val="single" w:sz="8" w:space="0" w:color="AAB8C4"/>
              <w:right w:val="nil"/>
            </w:tcBorders>
            <w:shd w:val="clear" w:color="auto" w:fill="auto"/>
            <w:vAlign w:val="center"/>
            <w:hideMark/>
          </w:tcPr>
          <w:p w14:paraId="431848DC" w14:textId="77777777" w:rsidR="00E17B5B" w:rsidRPr="006E4BE1" w:rsidRDefault="00E17B5B" w:rsidP="00AE50C9">
            <w:pPr>
              <w:jc w:val="center"/>
              <w:rPr>
                <w:rFonts w:ascii="Arial Narrow" w:hAnsi="Arial Narrow" w:cs="Arial"/>
                <w:b/>
                <w:bCs/>
                <w:lang w:val="es-ES_tradnl"/>
              </w:rPr>
            </w:pPr>
            <w:r w:rsidRPr="006E4BE1">
              <w:rPr>
                <w:rFonts w:ascii="Arial Narrow" w:hAnsi="Arial Narrow" w:cs="Arial"/>
                <w:b/>
                <w:bCs/>
                <w:lang w:val="es-ES_tradnl"/>
              </w:rPr>
              <w:t>12</w:t>
            </w:r>
          </w:p>
        </w:tc>
        <w:tc>
          <w:tcPr>
            <w:tcW w:w="1400" w:type="dxa"/>
            <w:tcBorders>
              <w:top w:val="single" w:sz="4" w:space="0" w:color="AAB8C4"/>
              <w:left w:val="nil"/>
              <w:bottom w:val="single" w:sz="8" w:space="0" w:color="AAB8C4"/>
              <w:right w:val="nil"/>
            </w:tcBorders>
            <w:shd w:val="clear" w:color="auto" w:fill="auto"/>
            <w:vAlign w:val="center"/>
            <w:hideMark/>
          </w:tcPr>
          <w:p w14:paraId="15AFFA70" w14:textId="0268A642" w:rsidR="00E17B5B" w:rsidRPr="006E4BE1" w:rsidRDefault="00E17B5B" w:rsidP="00AE50C9">
            <w:pPr>
              <w:jc w:val="center"/>
              <w:rPr>
                <w:rFonts w:ascii="Arial Narrow" w:hAnsi="Arial Narrow" w:cs="Arial"/>
                <w:lang w:val="es-ES_tradnl"/>
              </w:rPr>
            </w:pPr>
            <w:r w:rsidRPr="006E4BE1">
              <w:rPr>
                <w:rFonts w:ascii="Arial Narrow" w:hAnsi="Arial Narrow" w:cs="Arial"/>
                <w:lang w:val="es-ES_tradnl"/>
              </w:rPr>
              <w:t>1</w:t>
            </w:r>
          </w:p>
        </w:tc>
        <w:tc>
          <w:tcPr>
            <w:tcW w:w="1400" w:type="dxa"/>
            <w:tcBorders>
              <w:top w:val="single" w:sz="4" w:space="0" w:color="AAB8C4"/>
              <w:left w:val="nil"/>
              <w:bottom w:val="single" w:sz="8" w:space="0" w:color="AAB8C4"/>
              <w:right w:val="nil"/>
            </w:tcBorders>
            <w:shd w:val="clear" w:color="auto" w:fill="auto"/>
            <w:vAlign w:val="center"/>
            <w:hideMark/>
          </w:tcPr>
          <w:p w14:paraId="1B275E5A" w14:textId="77777777" w:rsidR="00E17B5B" w:rsidRPr="006E4BE1" w:rsidRDefault="00E17B5B" w:rsidP="00AE50C9">
            <w:pPr>
              <w:jc w:val="center"/>
              <w:rPr>
                <w:rFonts w:ascii="Arial Narrow" w:hAnsi="Arial Narrow" w:cs="Arial"/>
                <w:b/>
                <w:bCs/>
                <w:lang w:val="es-ES_tradnl"/>
              </w:rPr>
            </w:pPr>
            <w:r w:rsidRPr="006E4BE1">
              <w:rPr>
                <w:rFonts w:ascii="Arial Narrow" w:hAnsi="Arial Narrow" w:cs="Arial"/>
                <w:b/>
                <w:bCs/>
                <w:lang w:val="es-ES_tradnl"/>
              </w:rPr>
              <w:t>13</w:t>
            </w:r>
          </w:p>
        </w:tc>
      </w:tr>
    </w:tbl>
    <w:p w14:paraId="575DFBC7" w14:textId="77777777" w:rsidR="001240C5" w:rsidRPr="006E4BE1" w:rsidRDefault="001240C5" w:rsidP="00AE50C9">
      <w:pPr>
        <w:rPr>
          <w:spacing w:val="-2"/>
          <w:szCs w:val="24"/>
          <w:lang w:val="es-ES_tradnl"/>
        </w:rPr>
      </w:pPr>
    </w:p>
    <w:p w14:paraId="0FC6126E" w14:textId="77777777" w:rsidR="001240C5" w:rsidRPr="006E4BE1" w:rsidRDefault="000F29C9" w:rsidP="00AE50C9">
      <w:pPr>
        <w:rPr>
          <w:lang w:val="es-ES_tradnl"/>
        </w:rPr>
      </w:pPr>
      <w:bookmarkStart w:id="461" w:name="OLE_LINK9"/>
      <w:bookmarkStart w:id="462" w:name="OLE_LINK10"/>
      <w:r w:rsidRPr="006E4BE1">
        <w:rPr>
          <w:lang w:val="es-ES_tradnl"/>
        </w:rPr>
        <w:t>En la tabla siguiente se facilita información sobre los recursos humanos aparte del personal que ocupa puestos, a saber, el personal temporero, los trabajadores de agencias, los funcionarios subalternos del cuadro orgánico, los pasantes y los becarios, que pueden utilizarse en el bienio 2022-2023, en función de la disponibilidad de recursos del presupuesto ordinario, los fondos extrapresupuestarios y los recursos de personal que faciliten los miembros de la Unión.</w:t>
      </w:r>
    </w:p>
    <w:p w14:paraId="30B11882" w14:textId="4B90DEF4" w:rsidR="00917DFC" w:rsidRPr="006E4BE1" w:rsidRDefault="00917DFC" w:rsidP="00AE50C9">
      <w:pPr>
        <w:rPr>
          <w:lang w:val="es-ES_tradnl"/>
        </w:rPr>
      </w:pPr>
    </w:p>
    <w:tbl>
      <w:tblPr>
        <w:tblW w:w="6580" w:type="dxa"/>
        <w:jc w:val="center"/>
        <w:tblLook w:val="04A0" w:firstRow="1" w:lastRow="0" w:firstColumn="1" w:lastColumn="0" w:noHBand="0" w:noVBand="1"/>
      </w:tblPr>
      <w:tblGrid>
        <w:gridCol w:w="2260"/>
        <w:gridCol w:w="1480"/>
        <w:gridCol w:w="1440"/>
        <w:gridCol w:w="1400"/>
      </w:tblGrid>
      <w:tr w:rsidR="00181C7C" w:rsidRPr="006E4BE1" w14:paraId="69514BF5" w14:textId="77777777" w:rsidTr="00181C7C">
        <w:trPr>
          <w:trHeight w:val="520"/>
          <w:jc w:val="center"/>
        </w:trPr>
        <w:tc>
          <w:tcPr>
            <w:tcW w:w="2260" w:type="dxa"/>
            <w:vMerge w:val="restart"/>
            <w:tcBorders>
              <w:top w:val="nil"/>
              <w:left w:val="nil"/>
              <w:bottom w:val="nil"/>
              <w:right w:val="nil"/>
            </w:tcBorders>
            <w:shd w:val="clear" w:color="000000" w:fill="C7CFD8"/>
            <w:vAlign w:val="bottom"/>
            <w:hideMark/>
          </w:tcPr>
          <w:p w14:paraId="100FC14F" w14:textId="77777777" w:rsidR="00181C7C" w:rsidRPr="006E4BE1" w:rsidRDefault="00181C7C" w:rsidP="00AE50C9">
            <w:pPr>
              <w:jc w:val="left"/>
              <w:rPr>
                <w:rFonts w:ascii="Arial Narrow" w:hAnsi="Arial Narrow" w:cs="Arial"/>
                <w:lang w:val="es-ES_tradnl"/>
              </w:rPr>
            </w:pPr>
            <w:r w:rsidRPr="006E4BE1">
              <w:rPr>
                <w:rFonts w:ascii="Arial Narrow" w:hAnsi="Arial Narrow" w:cs="Arial"/>
                <w:lang w:val="es-ES_tradnl"/>
              </w:rPr>
              <w:t> </w:t>
            </w:r>
          </w:p>
        </w:tc>
        <w:tc>
          <w:tcPr>
            <w:tcW w:w="1480" w:type="dxa"/>
            <w:tcBorders>
              <w:top w:val="nil"/>
              <w:left w:val="nil"/>
              <w:bottom w:val="nil"/>
              <w:right w:val="nil"/>
            </w:tcBorders>
            <w:shd w:val="clear" w:color="000000" w:fill="C7CFD8"/>
            <w:vAlign w:val="center"/>
            <w:hideMark/>
          </w:tcPr>
          <w:p w14:paraId="4777AEBE" w14:textId="77777777" w:rsidR="00181C7C" w:rsidRPr="006E4BE1" w:rsidRDefault="00181C7C" w:rsidP="00AE50C9">
            <w:pPr>
              <w:jc w:val="center"/>
              <w:rPr>
                <w:rFonts w:ascii="Arial Narrow" w:hAnsi="Arial Narrow" w:cs="Arial"/>
                <w:b/>
                <w:bCs/>
                <w:i/>
                <w:iCs/>
                <w:lang w:val="es-ES_tradnl"/>
              </w:rPr>
            </w:pPr>
            <w:r w:rsidRPr="006E4BE1">
              <w:rPr>
                <w:rFonts w:ascii="Arial Narrow" w:hAnsi="Arial Narrow" w:cs="Arial"/>
                <w:b/>
                <w:bCs/>
                <w:i/>
                <w:iCs/>
                <w:lang w:val="es-ES_tradnl"/>
              </w:rPr>
              <w:t>2018-2019</w:t>
            </w:r>
          </w:p>
        </w:tc>
        <w:tc>
          <w:tcPr>
            <w:tcW w:w="1440" w:type="dxa"/>
            <w:tcBorders>
              <w:top w:val="nil"/>
              <w:left w:val="nil"/>
              <w:bottom w:val="nil"/>
              <w:right w:val="nil"/>
            </w:tcBorders>
            <w:shd w:val="clear" w:color="000000" w:fill="C7CFD8"/>
            <w:vAlign w:val="center"/>
            <w:hideMark/>
          </w:tcPr>
          <w:p w14:paraId="55778DF5" w14:textId="09BD2013" w:rsidR="00181C7C" w:rsidRPr="006E4BE1" w:rsidRDefault="000F29C9" w:rsidP="00AE50C9">
            <w:pPr>
              <w:jc w:val="center"/>
              <w:rPr>
                <w:rFonts w:ascii="Arial Narrow" w:hAnsi="Arial Narrow" w:cs="Arial"/>
                <w:b/>
                <w:bCs/>
                <w:i/>
                <w:iCs/>
                <w:lang w:val="es-ES_tradnl"/>
              </w:rPr>
            </w:pPr>
            <w:r w:rsidRPr="006E4BE1">
              <w:rPr>
                <w:rFonts w:ascii="Arial Narrow" w:hAnsi="Arial Narrow" w:cs="Arial"/>
                <w:b/>
                <w:bCs/>
                <w:iCs/>
                <w:lang w:val="es-ES_tradnl"/>
              </w:rPr>
              <w:t>2020-2021</w:t>
            </w:r>
            <w:r w:rsidRPr="006E4BE1">
              <w:rPr>
                <w:rFonts w:ascii="Arial Narrow" w:hAnsi="Arial Narrow" w:cs="Arial"/>
                <w:b/>
                <w:bCs/>
                <w:iCs/>
                <w:lang w:val="es-ES_tradnl"/>
              </w:rPr>
              <w:br/>
              <w:t>Propuesto</w:t>
            </w:r>
          </w:p>
        </w:tc>
        <w:tc>
          <w:tcPr>
            <w:tcW w:w="1400" w:type="dxa"/>
            <w:tcBorders>
              <w:top w:val="nil"/>
              <w:left w:val="nil"/>
              <w:bottom w:val="nil"/>
              <w:right w:val="nil"/>
            </w:tcBorders>
            <w:shd w:val="clear" w:color="000000" w:fill="C7CFD8"/>
            <w:vAlign w:val="center"/>
            <w:hideMark/>
          </w:tcPr>
          <w:p w14:paraId="668DCF29" w14:textId="026D1F75" w:rsidR="00181C7C" w:rsidRPr="006E4BE1" w:rsidRDefault="000F29C9" w:rsidP="00AE50C9">
            <w:pPr>
              <w:jc w:val="center"/>
              <w:rPr>
                <w:rFonts w:ascii="Arial Narrow" w:hAnsi="Arial Narrow" w:cs="Arial"/>
                <w:b/>
                <w:bCs/>
                <w:i/>
                <w:iCs/>
                <w:lang w:val="es-ES_tradnl"/>
              </w:rPr>
            </w:pPr>
            <w:r w:rsidRPr="006E4BE1">
              <w:rPr>
                <w:rFonts w:ascii="Arial Narrow" w:hAnsi="Arial Narrow" w:cs="Arial"/>
                <w:b/>
                <w:bCs/>
                <w:iCs/>
                <w:lang w:val="es-ES_tradnl"/>
              </w:rPr>
              <w:t>2022-2023</w:t>
            </w:r>
            <w:r w:rsidRPr="006E4BE1">
              <w:rPr>
                <w:rFonts w:ascii="Arial Narrow" w:hAnsi="Arial Narrow" w:cs="Arial"/>
                <w:b/>
                <w:bCs/>
                <w:iCs/>
                <w:lang w:val="es-ES_tradnl"/>
              </w:rPr>
              <w:br/>
              <w:t>Propuesto</w:t>
            </w:r>
          </w:p>
        </w:tc>
      </w:tr>
      <w:tr w:rsidR="00181C7C" w:rsidRPr="006E4BE1" w14:paraId="71EAF332" w14:textId="77777777" w:rsidTr="00181C7C">
        <w:trPr>
          <w:trHeight w:val="260"/>
          <w:jc w:val="center"/>
        </w:trPr>
        <w:tc>
          <w:tcPr>
            <w:tcW w:w="2260" w:type="dxa"/>
            <w:vMerge/>
            <w:tcBorders>
              <w:top w:val="nil"/>
              <w:left w:val="nil"/>
              <w:bottom w:val="nil"/>
              <w:right w:val="nil"/>
            </w:tcBorders>
            <w:vAlign w:val="center"/>
            <w:hideMark/>
          </w:tcPr>
          <w:p w14:paraId="6EDBDDB4" w14:textId="77777777" w:rsidR="00181C7C" w:rsidRPr="006E4BE1" w:rsidRDefault="00181C7C" w:rsidP="00AE50C9">
            <w:pPr>
              <w:jc w:val="left"/>
              <w:rPr>
                <w:rFonts w:ascii="Arial Narrow" w:hAnsi="Arial Narrow" w:cs="Arial"/>
                <w:lang w:val="es-ES_tradnl"/>
              </w:rPr>
            </w:pPr>
          </w:p>
        </w:tc>
        <w:tc>
          <w:tcPr>
            <w:tcW w:w="1480" w:type="dxa"/>
            <w:tcBorders>
              <w:top w:val="nil"/>
              <w:left w:val="nil"/>
              <w:bottom w:val="nil"/>
              <w:right w:val="nil"/>
            </w:tcBorders>
            <w:shd w:val="clear" w:color="000000" w:fill="C7CFD8"/>
            <w:vAlign w:val="center"/>
            <w:hideMark/>
          </w:tcPr>
          <w:p w14:paraId="03D52B38" w14:textId="77777777" w:rsidR="00181C7C" w:rsidRPr="006E4BE1" w:rsidRDefault="00181C7C" w:rsidP="00AE50C9">
            <w:pPr>
              <w:jc w:val="center"/>
              <w:rPr>
                <w:rFonts w:ascii="Arial Narrow" w:hAnsi="Arial Narrow" w:cs="Arial"/>
                <w:b/>
                <w:bCs/>
                <w:i/>
                <w:iCs/>
                <w:lang w:val="es-ES_tradnl"/>
              </w:rPr>
            </w:pPr>
            <w:r w:rsidRPr="006E4BE1">
              <w:rPr>
                <w:rFonts w:ascii="Arial Narrow" w:hAnsi="Arial Narrow" w:cs="Arial"/>
                <w:b/>
                <w:bCs/>
                <w:i/>
                <w:iCs/>
                <w:lang w:val="es-ES_tradnl"/>
              </w:rPr>
              <w:t>A</w:t>
            </w:r>
          </w:p>
        </w:tc>
        <w:tc>
          <w:tcPr>
            <w:tcW w:w="1440" w:type="dxa"/>
            <w:tcBorders>
              <w:top w:val="nil"/>
              <w:left w:val="nil"/>
              <w:bottom w:val="nil"/>
              <w:right w:val="nil"/>
            </w:tcBorders>
            <w:shd w:val="clear" w:color="000000" w:fill="C7CFD8"/>
            <w:vAlign w:val="center"/>
            <w:hideMark/>
          </w:tcPr>
          <w:p w14:paraId="23E7BB51" w14:textId="77777777" w:rsidR="00181C7C" w:rsidRPr="006E4BE1" w:rsidRDefault="00181C7C" w:rsidP="00AE50C9">
            <w:pPr>
              <w:jc w:val="center"/>
              <w:rPr>
                <w:rFonts w:ascii="Arial Narrow" w:hAnsi="Arial Narrow" w:cs="Arial"/>
                <w:b/>
                <w:bCs/>
                <w:i/>
                <w:iCs/>
                <w:lang w:val="es-ES_tradnl"/>
              </w:rPr>
            </w:pPr>
            <w:r w:rsidRPr="006E4BE1">
              <w:rPr>
                <w:rFonts w:ascii="Arial Narrow" w:hAnsi="Arial Narrow" w:cs="Arial"/>
                <w:b/>
                <w:bCs/>
                <w:i/>
                <w:iCs/>
                <w:lang w:val="es-ES_tradnl"/>
              </w:rPr>
              <w:t>B</w:t>
            </w:r>
          </w:p>
        </w:tc>
        <w:tc>
          <w:tcPr>
            <w:tcW w:w="1400" w:type="dxa"/>
            <w:tcBorders>
              <w:top w:val="nil"/>
              <w:left w:val="nil"/>
              <w:bottom w:val="nil"/>
              <w:right w:val="nil"/>
            </w:tcBorders>
            <w:shd w:val="clear" w:color="000000" w:fill="C7CFD8"/>
            <w:vAlign w:val="center"/>
            <w:hideMark/>
          </w:tcPr>
          <w:p w14:paraId="0C09E034" w14:textId="77777777" w:rsidR="00181C7C" w:rsidRPr="006E4BE1" w:rsidRDefault="00181C7C" w:rsidP="00AE50C9">
            <w:pPr>
              <w:jc w:val="center"/>
              <w:rPr>
                <w:rFonts w:ascii="Arial Narrow" w:hAnsi="Arial Narrow" w:cs="Arial"/>
                <w:b/>
                <w:bCs/>
                <w:i/>
                <w:iCs/>
                <w:lang w:val="es-ES_tradnl"/>
              </w:rPr>
            </w:pPr>
            <w:r w:rsidRPr="006E4BE1">
              <w:rPr>
                <w:rFonts w:ascii="Arial Narrow" w:hAnsi="Arial Narrow" w:cs="Arial"/>
                <w:b/>
                <w:bCs/>
                <w:i/>
                <w:iCs/>
                <w:lang w:val="es-ES_tradnl"/>
              </w:rPr>
              <w:t>C</w:t>
            </w:r>
          </w:p>
        </w:tc>
      </w:tr>
      <w:tr w:rsidR="00181C7C" w:rsidRPr="006E4BE1" w14:paraId="70098204" w14:textId="77777777" w:rsidTr="00181C7C">
        <w:trPr>
          <w:trHeight w:val="260"/>
          <w:jc w:val="center"/>
        </w:trPr>
        <w:tc>
          <w:tcPr>
            <w:tcW w:w="2260" w:type="dxa"/>
            <w:tcBorders>
              <w:top w:val="nil"/>
              <w:left w:val="nil"/>
              <w:bottom w:val="nil"/>
              <w:right w:val="nil"/>
            </w:tcBorders>
            <w:shd w:val="clear" w:color="auto" w:fill="auto"/>
            <w:vAlign w:val="center"/>
            <w:hideMark/>
          </w:tcPr>
          <w:p w14:paraId="5D80A9DE" w14:textId="4A65EC2E" w:rsidR="00181C7C" w:rsidRPr="006E4BE1" w:rsidRDefault="000F29C9" w:rsidP="00AE50C9">
            <w:pPr>
              <w:jc w:val="left"/>
              <w:rPr>
                <w:rFonts w:ascii="Arial Narrow" w:hAnsi="Arial Narrow" w:cs="Arial"/>
                <w:lang w:val="es-ES_tradnl"/>
              </w:rPr>
            </w:pPr>
            <w:r w:rsidRPr="006E4BE1">
              <w:rPr>
                <w:rFonts w:ascii="Arial Narrow" w:hAnsi="Arial Narrow" w:cs="Arial"/>
                <w:lang w:val="es-ES_tradnl"/>
              </w:rPr>
              <w:t>Personal temporal</w:t>
            </w:r>
          </w:p>
        </w:tc>
        <w:tc>
          <w:tcPr>
            <w:tcW w:w="1480" w:type="dxa"/>
            <w:tcBorders>
              <w:top w:val="nil"/>
              <w:left w:val="nil"/>
              <w:bottom w:val="nil"/>
              <w:right w:val="nil"/>
            </w:tcBorders>
            <w:shd w:val="clear" w:color="auto" w:fill="auto"/>
            <w:vAlign w:val="center"/>
            <w:hideMark/>
          </w:tcPr>
          <w:p w14:paraId="2C018849"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2</w:t>
            </w:r>
          </w:p>
        </w:tc>
        <w:tc>
          <w:tcPr>
            <w:tcW w:w="1440" w:type="dxa"/>
            <w:tcBorders>
              <w:top w:val="nil"/>
              <w:left w:val="nil"/>
              <w:bottom w:val="nil"/>
              <w:right w:val="nil"/>
            </w:tcBorders>
            <w:shd w:val="clear" w:color="auto" w:fill="auto"/>
            <w:vAlign w:val="center"/>
            <w:hideMark/>
          </w:tcPr>
          <w:p w14:paraId="51D61BCE"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1</w:t>
            </w:r>
          </w:p>
        </w:tc>
        <w:tc>
          <w:tcPr>
            <w:tcW w:w="1400" w:type="dxa"/>
            <w:tcBorders>
              <w:top w:val="nil"/>
              <w:left w:val="nil"/>
              <w:bottom w:val="nil"/>
              <w:right w:val="nil"/>
            </w:tcBorders>
            <w:shd w:val="clear" w:color="auto" w:fill="auto"/>
            <w:vAlign w:val="center"/>
            <w:hideMark/>
          </w:tcPr>
          <w:p w14:paraId="1DF58C06"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2</w:t>
            </w:r>
          </w:p>
        </w:tc>
      </w:tr>
      <w:tr w:rsidR="00181C7C" w:rsidRPr="006E4BE1" w14:paraId="55F0710B" w14:textId="77777777" w:rsidTr="00181C7C">
        <w:trPr>
          <w:trHeight w:val="260"/>
          <w:jc w:val="center"/>
        </w:trPr>
        <w:tc>
          <w:tcPr>
            <w:tcW w:w="2260" w:type="dxa"/>
            <w:tcBorders>
              <w:top w:val="nil"/>
              <w:left w:val="nil"/>
              <w:bottom w:val="nil"/>
              <w:right w:val="nil"/>
            </w:tcBorders>
            <w:shd w:val="clear" w:color="auto" w:fill="auto"/>
            <w:vAlign w:val="center"/>
            <w:hideMark/>
          </w:tcPr>
          <w:p w14:paraId="37CDCA5D" w14:textId="0B08B7E1" w:rsidR="00181C7C" w:rsidRPr="006E4BE1" w:rsidRDefault="000F29C9" w:rsidP="00AE50C9">
            <w:pPr>
              <w:jc w:val="left"/>
              <w:rPr>
                <w:rFonts w:ascii="Arial Narrow" w:hAnsi="Arial Narrow" w:cs="Arial"/>
                <w:lang w:val="es-ES_tradnl"/>
              </w:rPr>
            </w:pPr>
            <w:r w:rsidRPr="006E4BE1">
              <w:rPr>
                <w:rFonts w:ascii="Arial Narrow" w:hAnsi="Arial Narrow" w:cs="Arial"/>
                <w:lang w:val="es-ES_tradnl"/>
              </w:rPr>
              <w:t>Trabajadores de agencias</w:t>
            </w:r>
          </w:p>
        </w:tc>
        <w:tc>
          <w:tcPr>
            <w:tcW w:w="1480" w:type="dxa"/>
            <w:tcBorders>
              <w:top w:val="nil"/>
              <w:left w:val="nil"/>
              <w:bottom w:val="nil"/>
              <w:right w:val="nil"/>
            </w:tcBorders>
            <w:shd w:val="clear" w:color="auto" w:fill="auto"/>
            <w:vAlign w:val="center"/>
            <w:hideMark/>
          </w:tcPr>
          <w:p w14:paraId="6CD935D0"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3</w:t>
            </w:r>
          </w:p>
        </w:tc>
        <w:tc>
          <w:tcPr>
            <w:tcW w:w="1440" w:type="dxa"/>
            <w:tcBorders>
              <w:top w:val="nil"/>
              <w:left w:val="nil"/>
              <w:bottom w:val="nil"/>
              <w:right w:val="nil"/>
            </w:tcBorders>
            <w:shd w:val="clear" w:color="auto" w:fill="auto"/>
            <w:vAlign w:val="center"/>
            <w:hideMark/>
          </w:tcPr>
          <w:p w14:paraId="63F25935"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2</w:t>
            </w:r>
          </w:p>
        </w:tc>
        <w:tc>
          <w:tcPr>
            <w:tcW w:w="1400" w:type="dxa"/>
            <w:tcBorders>
              <w:top w:val="nil"/>
              <w:left w:val="nil"/>
              <w:bottom w:val="nil"/>
              <w:right w:val="nil"/>
            </w:tcBorders>
            <w:shd w:val="clear" w:color="auto" w:fill="auto"/>
            <w:vAlign w:val="center"/>
            <w:hideMark/>
          </w:tcPr>
          <w:p w14:paraId="63552EC7"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1</w:t>
            </w:r>
          </w:p>
        </w:tc>
      </w:tr>
      <w:tr w:rsidR="00181C7C" w:rsidRPr="006E4BE1" w14:paraId="1191C8DE" w14:textId="77777777" w:rsidTr="00181C7C">
        <w:trPr>
          <w:trHeight w:val="260"/>
          <w:jc w:val="center"/>
        </w:trPr>
        <w:tc>
          <w:tcPr>
            <w:tcW w:w="2260" w:type="dxa"/>
            <w:tcBorders>
              <w:top w:val="nil"/>
              <w:left w:val="nil"/>
              <w:bottom w:val="nil"/>
              <w:right w:val="nil"/>
            </w:tcBorders>
            <w:shd w:val="clear" w:color="auto" w:fill="auto"/>
            <w:vAlign w:val="center"/>
            <w:hideMark/>
          </w:tcPr>
          <w:p w14:paraId="042D8A4B" w14:textId="62F55E66" w:rsidR="00181C7C" w:rsidRPr="006E4BE1" w:rsidRDefault="000F29C9" w:rsidP="00AE50C9">
            <w:pPr>
              <w:jc w:val="left"/>
              <w:rPr>
                <w:rFonts w:ascii="Arial Narrow" w:hAnsi="Arial Narrow" w:cs="Arial"/>
                <w:lang w:val="es-ES_tradnl"/>
              </w:rPr>
            </w:pPr>
            <w:r w:rsidRPr="006E4BE1">
              <w:rPr>
                <w:rFonts w:ascii="Arial Narrow" w:hAnsi="Arial Narrow" w:cs="Arial"/>
                <w:lang w:val="es-ES_tradnl"/>
              </w:rPr>
              <w:t>Becarios</w:t>
            </w:r>
          </w:p>
        </w:tc>
        <w:tc>
          <w:tcPr>
            <w:tcW w:w="1480" w:type="dxa"/>
            <w:tcBorders>
              <w:top w:val="nil"/>
              <w:left w:val="nil"/>
              <w:bottom w:val="nil"/>
              <w:right w:val="nil"/>
            </w:tcBorders>
            <w:shd w:val="clear" w:color="auto" w:fill="auto"/>
            <w:vAlign w:val="center"/>
            <w:hideMark/>
          </w:tcPr>
          <w:p w14:paraId="621F03CF"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1</w:t>
            </w:r>
          </w:p>
        </w:tc>
        <w:tc>
          <w:tcPr>
            <w:tcW w:w="1440" w:type="dxa"/>
            <w:tcBorders>
              <w:top w:val="nil"/>
              <w:left w:val="nil"/>
              <w:bottom w:val="nil"/>
              <w:right w:val="nil"/>
            </w:tcBorders>
            <w:shd w:val="clear" w:color="auto" w:fill="auto"/>
            <w:vAlign w:val="center"/>
            <w:hideMark/>
          </w:tcPr>
          <w:p w14:paraId="5AE20E9D"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2</w:t>
            </w:r>
          </w:p>
        </w:tc>
        <w:tc>
          <w:tcPr>
            <w:tcW w:w="1400" w:type="dxa"/>
            <w:tcBorders>
              <w:top w:val="nil"/>
              <w:left w:val="nil"/>
              <w:bottom w:val="nil"/>
              <w:right w:val="nil"/>
            </w:tcBorders>
            <w:shd w:val="clear" w:color="auto" w:fill="auto"/>
            <w:vAlign w:val="center"/>
            <w:hideMark/>
          </w:tcPr>
          <w:p w14:paraId="2D5784E3"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2</w:t>
            </w:r>
          </w:p>
        </w:tc>
      </w:tr>
      <w:tr w:rsidR="00181C7C" w:rsidRPr="006E4BE1" w14:paraId="5481C0D2" w14:textId="77777777" w:rsidTr="00181C7C">
        <w:trPr>
          <w:trHeight w:val="260"/>
          <w:jc w:val="center"/>
        </w:trPr>
        <w:tc>
          <w:tcPr>
            <w:tcW w:w="2260" w:type="dxa"/>
            <w:tcBorders>
              <w:top w:val="nil"/>
              <w:left w:val="nil"/>
              <w:bottom w:val="nil"/>
              <w:right w:val="nil"/>
            </w:tcBorders>
            <w:shd w:val="clear" w:color="auto" w:fill="auto"/>
            <w:vAlign w:val="center"/>
            <w:hideMark/>
          </w:tcPr>
          <w:p w14:paraId="20D39C4E" w14:textId="1A9C2BB1" w:rsidR="00181C7C" w:rsidRPr="006E4BE1" w:rsidRDefault="000F29C9" w:rsidP="00AE50C9">
            <w:pPr>
              <w:jc w:val="left"/>
              <w:rPr>
                <w:rFonts w:ascii="Arial Narrow" w:hAnsi="Arial Narrow" w:cs="Arial"/>
                <w:lang w:val="es-ES_tradnl"/>
              </w:rPr>
            </w:pPr>
            <w:r w:rsidRPr="006E4BE1">
              <w:rPr>
                <w:rFonts w:ascii="Arial Narrow" w:hAnsi="Arial Narrow" w:cs="Arial"/>
                <w:lang w:val="es-ES_tradnl"/>
              </w:rPr>
              <w:t>Funcionarios subalternos del cuadro orgánico</w:t>
            </w:r>
          </w:p>
        </w:tc>
        <w:tc>
          <w:tcPr>
            <w:tcW w:w="1480" w:type="dxa"/>
            <w:tcBorders>
              <w:top w:val="nil"/>
              <w:left w:val="nil"/>
              <w:bottom w:val="nil"/>
              <w:right w:val="nil"/>
            </w:tcBorders>
            <w:shd w:val="clear" w:color="auto" w:fill="auto"/>
            <w:vAlign w:val="center"/>
            <w:hideMark/>
          </w:tcPr>
          <w:p w14:paraId="712023E4"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0</w:t>
            </w:r>
          </w:p>
        </w:tc>
        <w:tc>
          <w:tcPr>
            <w:tcW w:w="1440" w:type="dxa"/>
            <w:tcBorders>
              <w:top w:val="nil"/>
              <w:left w:val="nil"/>
              <w:bottom w:val="nil"/>
              <w:right w:val="nil"/>
            </w:tcBorders>
            <w:shd w:val="clear" w:color="auto" w:fill="auto"/>
            <w:vAlign w:val="center"/>
            <w:hideMark/>
          </w:tcPr>
          <w:p w14:paraId="790DCD92"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2</w:t>
            </w:r>
          </w:p>
        </w:tc>
        <w:tc>
          <w:tcPr>
            <w:tcW w:w="1400" w:type="dxa"/>
            <w:tcBorders>
              <w:top w:val="nil"/>
              <w:left w:val="nil"/>
              <w:bottom w:val="nil"/>
              <w:right w:val="nil"/>
            </w:tcBorders>
            <w:shd w:val="clear" w:color="auto" w:fill="auto"/>
            <w:vAlign w:val="center"/>
            <w:hideMark/>
          </w:tcPr>
          <w:p w14:paraId="21946209"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1</w:t>
            </w:r>
          </w:p>
        </w:tc>
      </w:tr>
      <w:tr w:rsidR="00181C7C" w:rsidRPr="006E4BE1" w14:paraId="0FAC8B46" w14:textId="77777777" w:rsidTr="00181C7C">
        <w:trPr>
          <w:trHeight w:val="260"/>
          <w:jc w:val="center"/>
        </w:trPr>
        <w:tc>
          <w:tcPr>
            <w:tcW w:w="2260" w:type="dxa"/>
            <w:tcBorders>
              <w:top w:val="nil"/>
              <w:left w:val="nil"/>
              <w:bottom w:val="nil"/>
              <w:right w:val="nil"/>
            </w:tcBorders>
            <w:shd w:val="clear" w:color="auto" w:fill="auto"/>
            <w:vAlign w:val="center"/>
            <w:hideMark/>
          </w:tcPr>
          <w:p w14:paraId="10CF120E" w14:textId="55DB23D1" w:rsidR="00181C7C" w:rsidRPr="006E4BE1" w:rsidRDefault="000F29C9" w:rsidP="00AE50C9">
            <w:pPr>
              <w:jc w:val="left"/>
              <w:rPr>
                <w:rFonts w:ascii="Arial Narrow" w:hAnsi="Arial Narrow" w:cs="Arial"/>
                <w:lang w:val="es-ES_tradnl"/>
              </w:rPr>
            </w:pPr>
            <w:r w:rsidRPr="006E4BE1">
              <w:rPr>
                <w:rFonts w:ascii="Arial Narrow" w:hAnsi="Arial Narrow" w:cs="Arial"/>
                <w:lang w:val="es-ES_tradnl"/>
              </w:rPr>
              <w:t>Pasantes</w:t>
            </w:r>
          </w:p>
        </w:tc>
        <w:tc>
          <w:tcPr>
            <w:tcW w:w="1480" w:type="dxa"/>
            <w:tcBorders>
              <w:top w:val="nil"/>
              <w:left w:val="nil"/>
              <w:bottom w:val="nil"/>
              <w:right w:val="nil"/>
            </w:tcBorders>
            <w:shd w:val="clear" w:color="auto" w:fill="auto"/>
            <w:vAlign w:val="center"/>
            <w:hideMark/>
          </w:tcPr>
          <w:p w14:paraId="72F46DC9"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1</w:t>
            </w:r>
          </w:p>
        </w:tc>
        <w:tc>
          <w:tcPr>
            <w:tcW w:w="1440" w:type="dxa"/>
            <w:tcBorders>
              <w:top w:val="nil"/>
              <w:left w:val="nil"/>
              <w:bottom w:val="nil"/>
              <w:right w:val="nil"/>
            </w:tcBorders>
            <w:shd w:val="clear" w:color="auto" w:fill="auto"/>
            <w:vAlign w:val="center"/>
            <w:hideMark/>
          </w:tcPr>
          <w:p w14:paraId="2624BBE5"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2</w:t>
            </w:r>
          </w:p>
        </w:tc>
        <w:tc>
          <w:tcPr>
            <w:tcW w:w="1400" w:type="dxa"/>
            <w:tcBorders>
              <w:top w:val="nil"/>
              <w:left w:val="nil"/>
              <w:bottom w:val="nil"/>
              <w:right w:val="nil"/>
            </w:tcBorders>
            <w:shd w:val="clear" w:color="auto" w:fill="auto"/>
            <w:vAlign w:val="center"/>
            <w:hideMark/>
          </w:tcPr>
          <w:p w14:paraId="6A490E0A" w14:textId="77777777" w:rsidR="00181C7C" w:rsidRPr="006E4BE1" w:rsidRDefault="00181C7C" w:rsidP="00AE50C9">
            <w:pPr>
              <w:jc w:val="center"/>
              <w:rPr>
                <w:rFonts w:ascii="Arial Narrow" w:hAnsi="Arial Narrow" w:cs="Arial"/>
                <w:lang w:val="es-ES_tradnl"/>
              </w:rPr>
            </w:pPr>
            <w:r w:rsidRPr="006E4BE1">
              <w:rPr>
                <w:rFonts w:ascii="Arial Narrow" w:hAnsi="Arial Narrow" w:cs="Arial"/>
                <w:lang w:val="es-ES_tradnl"/>
              </w:rPr>
              <w:t>1</w:t>
            </w:r>
          </w:p>
        </w:tc>
      </w:tr>
    </w:tbl>
    <w:p w14:paraId="586E0D9B" w14:textId="77777777" w:rsidR="001240C5" w:rsidRPr="006E4BE1" w:rsidRDefault="009E791C" w:rsidP="003618D2">
      <w:pPr>
        <w:pStyle w:val="Heading2"/>
        <w:spacing w:before="480" w:after="240"/>
        <w:ind w:left="2693" w:hanging="2693"/>
        <w:rPr>
          <w:lang w:val="es-ES_tradnl"/>
        </w:rPr>
      </w:pPr>
      <w:bookmarkStart w:id="463" w:name="_Toc78476738"/>
      <w:r w:rsidRPr="006E4BE1">
        <w:rPr>
          <w:lang w:val="es-ES_tradnl"/>
        </w:rPr>
        <w:t>Asignación de gastos por subprograma</w:t>
      </w:r>
      <w:bookmarkEnd w:id="463"/>
    </w:p>
    <w:bookmarkEnd w:id="461"/>
    <w:bookmarkEnd w:id="462"/>
    <w:p w14:paraId="32DF1FB6" w14:textId="77777777" w:rsidR="001240C5" w:rsidRPr="006E4BE1" w:rsidRDefault="009E791C" w:rsidP="00AE50C9">
      <w:pPr>
        <w:tabs>
          <w:tab w:val="left" w:pos="567"/>
        </w:tabs>
        <w:rPr>
          <w:lang w:val="es-ES_tradnl"/>
        </w:rPr>
      </w:pPr>
      <w:r w:rsidRPr="006E4BE1">
        <w:rPr>
          <w:lang w:val="es-ES_tradnl"/>
        </w:rPr>
        <w:t>La propuesta de programa y presupuesto para el bienio 2020-2021 se divide en cuatro subprogramas (véase el cuadro 6):</w:t>
      </w:r>
    </w:p>
    <w:p w14:paraId="34D05672" w14:textId="77777777" w:rsidR="001240C5" w:rsidRPr="006E4BE1" w:rsidRDefault="001240C5" w:rsidP="00AE50C9">
      <w:pPr>
        <w:tabs>
          <w:tab w:val="left" w:pos="567"/>
        </w:tabs>
        <w:rPr>
          <w:lang w:val="es-ES_tradnl"/>
        </w:rPr>
      </w:pPr>
    </w:p>
    <w:p w14:paraId="545D0C7F" w14:textId="77777777" w:rsidR="001240C5" w:rsidRPr="006E4BE1" w:rsidRDefault="009E791C" w:rsidP="00AE50C9">
      <w:pPr>
        <w:autoSpaceDE w:val="0"/>
        <w:autoSpaceDN w:val="0"/>
        <w:adjustRightInd w:val="0"/>
        <w:ind w:left="1417" w:hanging="850"/>
        <w:jc w:val="left"/>
        <w:rPr>
          <w:bCs/>
          <w:szCs w:val="24"/>
          <w:lang w:val="es-ES_tradnl"/>
        </w:rPr>
      </w:pPr>
      <w:r w:rsidRPr="006E4BE1">
        <w:rPr>
          <w:bCs/>
          <w:szCs w:val="24"/>
          <w:lang w:val="es-ES_tradnl"/>
        </w:rPr>
        <w:t>UV.1:</w:t>
      </w:r>
      <w:r w:rsidRPr="006E4BE1">
        <w:rPr>
          <w:bCs/>
          <w:szCs w:val="24"/>
          <w:lang w:val="es-ES_tradnl"/>
        </w:rPr>
        <w:tab/>
        <w:t>Política general sobre protección de las variedades vegetales</w:t>
      </w:r>
    </w:p>
    <w:p w14:paraId="14792D19" w14:textId="77777777" w:rsidR="001240C5" w:rsidRPr="006E4BE1" w:rsidRDefault="009E791C" w:rsidP="00AE50C9">
      <w:pPr>
        <w:ind w:left="1417" w:hanging="850"/>
        <w:jc w:val="left"/>
        <w:rPr>
          <w:lang w:val="es-ES_tradnl"/>
        </w:rPr>
      </w:pPr>
      <w:r w:rsidRPr="006E4BE1">
        <w:rPr>
          <w:lang w:val="es-ES_tradnl"/>
        </w:rPr>
        <w:t>UV.2:</w:t>
      </w:r>
      <w:r w:rsidRPr="006E4BE1">
        <w:rPr>
          <w:lang w:val="es-ES_tradnl"/>
        </w:rPr>
        <w:tab/>
        <w:t>Servicios prestados a la Unión para mejorar la eficacia del sistema de la UPOV</w:t>
      </w:r>
    </w:p>
    <w:p w14:paraId="7F536860" w14:textId="77777777" w:rsidR="001240C5" w:rsidRPr="006E4BE1" w:rsidRDefault="009E791C" w:rsidP="00AE50C9">
      <w:pPr>
        <w:ind w:left="1417" w:hanging="850"/>
        <w:jc w:val="left"/>
        <w:rPr>
          <w:lang w:val="es-ES_tradnl"/>
        </w:rPr>
      </w:pPr>
      <w:r w:rsidRPr="006E4BE1">
        <w:rPr>
          <w:lang w:val="es-ES_tradnl"/>
        </w:rPr>
        <w:t>UV.3:</w:t>
      </w:r>
      <w:r w:rsidRPr="006E4BE1">
        <w:rPr>
          <w:lang w:val="es-ES_tradnl"/>
        </w:rPr>
        <w:tab/>
        <w:t>Sensibilización y prestación de asistencia para la introducción y aplicación del sistema de la UPOV</w:t>
      </w:r>
    </w:p>
    <w:p w14:paraId="262AD059" w14:textId="77777777" w:rsidR="001240C5" w:rsidRPr="006E4BE1" w:rsidRDefault="009E791C" w:rsidP="00AE50C9">
      <w:pPr>
        <w:ind w:left="1417" w:hanging="850"/>
        <w:jc w:val="left"/>
        <w:rPr>
          <w:lang w:val="es-ES_tradnl"/>
        </w:rPr>
      </w:pPr>
      <w:r w:rsidRPr="006E4BE1">
        <w:rPr>
          <w:lang w:val="es-ES_tradnl"/>
        </w:rPr>
        <w:t>UV.4:</w:t>
      </w:r>
      <w:r w:rsidRPr="006E4BE1">
        <w:rPr>
          <w:lang w:val="es-ES_tradnl"/>
        </w:rPr>
        <w:tab/>
        <w:t>Relaciones exteriores</w:t>
      </w:r>
    </w:p>
    <w:p w14:paraId="53879AC8" w14:textId="77777777" w:rsidR="001240C5" w:rsidRPr="006E4BE1" w:rsidRDefault="001240C5" w:rsidP="00AE50C9">
      <w:pPr>
        <w:tabs>
          <w:tab w:val="left" w:pos="567"/>
        </w:tabs>
        <w:rPr>
          <w:lang w:val="es-ES_tradnl"/>
        </w:rPr>
      </w:pPr>
    </w:p>
    <w:p w14:paraId="6DDE83FA" w14:textId="77777777" w:rsidR="001240C5" w:rsidRPr="006E4BE1" w:rsidRDefault="009E791C" w:rsidP="00AE50C9">
      <w:pPr>
        <w:tabs>
          <w:tab w:val="left" w:pos="567"/>
        </w:tabs>
        <w:rPr>
          <w:lang w:val="es-ES_tradnl"/>
        </w:rPr>
      </w:pPr>
      <w:r w:rsidRPr="006E4BE1">
        <w:rPr>
          <w:lang w:val="es-ES_tradnl"/>
        </w:rPr>
        <w:t>Los recursos de personal se han asignado a los subprogramas en proporción a las horas de trabajo que se prevé dedicar a cada subprograma</w:t>
      </w:r>
      <w:r w:rsidR="00FE64A1" w:rsidRPr="006E4BE1">
        <w:rPr>
          <w:lang w:val="es-ES_tradnl"/>
        </w:rPr>
        <w:t xml:space="preserve">.  </w:t>
      </w:r>
      <w:r w:rsidRPr="006E4BE1">
        <w:rPr>
          <w:lang w:val="es-ES_tradnl"/>
        </w:rPr>
        <w:t>Los gastos no relativos al personal se han distribuido por subprograma en previsión de sus respectivas actividades</w:t>
      </w:r>
      <w:r w:rsidR="00FE64A1" w:rsidRPr="006E4BE1">
        <w:rPr>
          <w:lang w:val="es-ES_tradnl"/>
        </w:rPr>
        <w:t xml:space="preserve">.  </w:t>
      </w:r>
      <w:r w:rsidRPr="006E4BE1">
        <w:rPr>
          <w:lang w:val="es-ES_tradnl"/>
        </w:rPr>
        <w:t>Cabe señalar que los gastos relacionados con los servicios administrativos prestados por la OMPI a la UPOV figuran en el Subprograma UV.2</w:t>
      </w:r>
      <w:r w:rsidR="00FE64A1" w:rsidRPr="006E4BE1">
        <w:rPr>
          <w:lang w:val="es-ES_tradnl"/>
        </w:rPr>
        <w:t xml:space="preserve">.  </w:t>
      </w:r>
      <w:r w:rsidRPr="006E4BE1">
        <w:rPr>
          <w:lang w:val="es-ES_tradnl"/>
        </w:rPr>
        <w:t>Los costos de los servicios prestados y las posibles medidas destinadas a mejorar la eficiencia se examinarán en 2022</w:t>
      </w:r>
      <w:r w:rsidR="00FE64A1" w:rsidRPr="006E4BE1">
        <w:rPr>
          <w:lang w:val="es-ES_tradnl"/>
        </w:rPr>
        <w:t xml:space="preserve">.  </w:t>
      </w:r>
      <w:r w:rsidRPr="006E4BE1">
        <w:rPr>
          <w:lang w:val="es-ES_tradnl"/>
        </w:rPr>
        <w:t>Los resultados de ese análisis se reflejarán en el programa y presupuesto para el bienio 2024-2025.</w:t>
      </w:r>
    </w:p>
    <w:p w14:paraId="0C7A0748" w14:textId="77777777" w:rsidR="001240C5" w:rsidRPr="006E4BE1" w:rsidRDefault="001240C5" w:rsidP="00AE50C9">
      <w:pPr>
        <w:tabs>
          <w:tab w:val="left" w:pos="567"/>
        </w:tabs>
        <w:rPr>
          <w:lang w:val="es-ES_tradnl"/>
        </w:rPr>
      </w:pPr>
    </w:p>
    <w:p w14:paraId="0DBFA34D" w14:textId="77777777" w:rsidR="001240C5" w:rsidRPr="006E4BE1" w:rsidRDefault="009E791C" w:rsidP="00AE50C9">
      <w:pPr>
        <w:jc w:val="center"/>
        <w:rPr>
          <w:rFonts w:cs="Arial"/>
          <w:b/>
          <w:bCs/>
          <w:color w:val="26724C" w:themeColor="accent1" w:themeShade="BF"/>
          <w:lang w:val="es-ES_tradnl"/>
        </w:rPr>
      </w:pPr>
      <w:r w:rsidRPr="006E4BE1">
        <w:rPr>
          <w:rFonts w:cs="Arial"/>
          <w:b/>
          <w:bCs/>
          <w:color w:val="26724C" w:themeColor="accent1" w:themeShade="BF"/>
          <w:lang w:val="es-ES_tradnl"/>
        </w:rPr>
        <w:t>Cuadro 6. Propuesta de presupuesto para 2022-2023: asignación por categoría de gasto</w:t>
      </w:r>
    </w:p>
    <w:p w14:paraId="6E1EC496" w14:textId="77777777" w:rsidR="001240C5" w:rsidRPr="006E4BE1" w:rsidRDefault="009E791C" w:rsidP="00AE50C9">
      <w:pPr>
        <w:jc w:val="center"/>
        <w:rPr>
          <w:rFonts w:cs="Arial"/>
          <w:i/>
          <w:lang w:val="es-ES_tradnl"/>
        </w:rPr>
      </w:pPr>
      <w:r w:rsidRPr="006E4BE1">
        <w:rPr>
          <w:rFonts w:cs="Arial"/>
          <w:i/>
          <w:lang w:val="es-ES_tradnl"/>
        </w:rPr>
        <w:t>(en miles de francos suizos)</w:t>
      </w:r>
    </w:p>
    <w:p w14:paraId="34DA00B8" w14:textId="0BE8695D" w:rsidR="001240C5" w:rsidRPr="006E4BE1" w:rsidRDefault="001240C5" w:rsidP="00AE50C9">
      <w:pPr>
        <w:jc w:val="center"/>
        <w:rPr>
          <w:rFonts w:cs="Arial"/>
          <w:i/>
          <w:lang w:val="es-ES_tradnl"/>
        </w:rPr>
      </w:pPr>
    </w:p>
    <w:tbl>
      <w:tblPr>
        <w:tblW w:w="7985" w:type="dxa"/>
        <w:jc w:val="center"/>
        <w:tblLook w:val="04A0" w:firstRow="1" w:lastRow="0" w:firstColumn="1" w:lastColumn="0" w:noHBand="0" w:noVBand="1"/>
      </w:tblPr>
      <w:tblGrid>
        <w:gridCol w:w="1208"/>
        <w:gridCol w:w="2620"/>
        <w:gridCol w:w="816"/>
        <w:gridCol w:w="851"/>
        <w:gridCol w:w="819"/>
        <w:gridCol w:w="820"/>
        <w:gridCol w:w="851"/>
      </w:tblGrid>
      <w:tr w:rsidR="001240C5" w:rsidRPr="006E4BE1" w14:paraId="0D83D942" w14:textId="77777777" w:rsidTr="00D967B8">
        <w:trPr>
          <w:trHeight w:val="209"/>
          <w:jc w:val="center"/>
        </w:trPr>
        <w:tc>
          <w:tcPr>
            <w:tcW w:w="3828" w:type="dxa"/>
            <w:gridSpan w:val="2"/>
            <w:vMerge w:val="restart"/>
            <w:tcBorders>
              <w:top w:val="nil"/>
              <w:left w:val="nil"/>
              <w:bottom w:val="nil"/>
              <w:right w:val="nil"/>
            </w:tcBorders>
            <w:shd w:val="clear" w:color="000000" w:fill="C7CFD8"/>
            <w:vAlign w:val="center"/>
            <w:hideMark/>
          </w:tcPr>
          <w:p w14:paraId="66852A12" w14:textId="77777777" w:rsidR="001240C5" w:rsidRPr="006E4BE1" w:rsidRDefault="001240C5" w:rsidP="00D967B8">
            <w:pPr>
              <w:rPr>
                <w:rFonts w:ascii="Arial Narrow" w:hAnsi="Arial Narrow" w:cs="Arial"/>
                <w:b/>
                <w:bCs/>
                <w:sz w:val="18"/>
                <w:szCs w:val="18"/>
                <w:lang w:val="es-ES_tradnl"/>
              </w:rPr>
            </w:pPr>
          </w:p>
        </w:tc>
        <w:tc>
          <w:tcPr>
            <w:tcW w:w="3306" w:type="dxa"/>
            <w:gridSpan w:val="4"/>
            <w:tcBorders>
              <w:top w:val="single" w:sz="4" w:space="0" w:color="BFBFBF"/>
              <w:left w:val="nil"/>
              <w:bottom w:val="single" w:sz="4" w:space="0" w:color="748B9E"/>
              <w:right w:val="nil"/>
            </w:tcBorders>
            <w:shd w:val="clear" w:color="000000" w:fill="C7CFD8"/>
            <w:vAlign w:val="center"/>
            <w:hideMark/>
          </w:tcPr>
          <w:p w14:paraId="1DABD307" w14:textId="75223C17" w:rsidR="001240C5" w:rsidRPr="006E4BE1" w:rsidRDefault="001240C5" w:rsidP="001240C5">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Subprograma </w:t>
            </w:r>
          </w:p>
        </w:tc>
        <w:tc>
          <w:tcPr>
            <w:tcW w:w="851" w:type="dxa"/>
            <w:vMerge w:val="restart"/>
            <w:tcBorders>
              <w:top w:val="nil"/>
              <w:left w:val="nil"/>
              <w:bottom w:val="nil"/>
              <w:right w:val="nil"/>
            </w:tcBorders>
            <w:shd w:val="clear" w:color="000000" w:fill="C7CFD8"/>
            <w:vAlign w:val="center"/>
            <w:hideMark/>
          </w:tcPr>
          <w:p w14:paraId="63CB68E4" w14:textId="77777777" w:rsidR="001240C5" w:rsidRPr="006E4BE1" w:rsidRDefault="001240C5" w:rsidP="00D967B8">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Total </w:t>
            </w:r>
          </w:p>
        </w:tc>
      </w:tr>
      <w:tr w:rsidR="001240C5" w:rsidRPr="006E4BE1" w14:paraId="0AFB8148" w14:textId="77777777" w:rsidTr="00D967B8">
        <w:trPr>
          <w:trHeight w:val="202"/>
          <w:jc w:val="center"/>
        </w:trPr>
        <w:tc>
          <w:tcPr>
            <w:tcW w:w="3828" w:type="dxa"/>
            <w:gridSpan w:val="2"/>
            <w:vMerge/>
            <w:tcBorders>
              <w:top w:val="nil"/>
              <w:left w:val="nil"/>
              <w:bottom w:val="nil"/>
              <w:right w:val="nil"/>
            </w:tcBorders>
            <w:vAlign w:val="center"/>
            <w:hideMark/>
          </w:tcPr>
          <w:p w14:paraId="16327812" w14:textId="77777777" w:rsidR="001240C5" w:rsidRPr="006E4BE1" w:rsidRDefault="001240C5" w:rsidP="00D967B8">
            <w:pPr>
              <w:jc w:val="left"/>
              <w:rPr>
                <w:rFonts w:ascii="Arial Narrow" w:hAnsi="Arial Narrow" w:cs="Arial"/>
                <w:b/>
                <w:bCs/>
                <w:sz w:val="18"/>
                <w:szCs w:val="18"/>
                <w:lang w:val="es-ES_tradnl"/>
              </w:rPr>
            </w:pPr>
          </w:p>
        </w:tc>
        <w:tc>
          <w:tcPr>
            <w:tcW w:w="816" w:type="dxa"/>
            <w:tcBorders>
              <w:top w:val="nil"/>
              <w:left w:val="nil"/>
              <w:bottom w:val="nil"/>
              <w:right w:val="nil"/>
            </w:tcBorders>
            <w:shd w:val="clear" w:color="000000" w:fill="C7CFD8"/>
            <w:vAlign w:val="center"/>
            <w:hideMark/>
          </w:tcPr>
          <w:p w14:paraId="2934FBC5" w14:textId="77777777" w:rsidR="001240C5" w:rsidRPr="006E4BE1" w:rsidRDefault="001240C5" w:rsidP="00D967B8">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UV.1 </w:t>
            </w:r>
          </w:p>
        </w:tc>
        <w:tc>
          <w:tcPr>
            <w:tcW w:w="851" w:type="dxa"/>
            <w:tcBorders>
              <w:top w:val="nil"/>
              <w:left w:val="nil"/>
              <w:bottom w:val="nil"/>
              <w:right w:val="nil"/>
            </w:tcBorders>
            <w:shd w:val="clear" w:color="000000" w:fill="C7CFD8"/>
            <w:vAlign w:val="center"/>
            <w:hideMark/>
          </w:tcPr>
          <w:p w14:paraId="70AB7501" w14:textId="77777777" w:rsidR="001240C5" w:rsidRPr="006E4BE1" w:rsidRDefault="001240C5" w:rsidP="00D967B8">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UV.2 </w:t>
            </w:r>
          </w:p>
        </w:tc>
        <w:tc>
          <w:tcPr>
            <w:tcW w:w="819" w:type="dxa"/>
            <w:tcBorders>
              <w:top w:val="nil"/>
              <w:left w:val="nil"/>
              <w:bottom w:val="nil"/>
              <w:right w:val="nil"/>
            </w:tcBorders>
            <w:shd w:val="clear" w:color="000000" w:fill="C7CFD8"/>
            <w:vAlign w:val="center"/>
            <w:hideMark/>
          </w:tcPr>
          <w:p w14:paraId="7CB4894B" w14:textId="77777777" w:rsidR="001240C5" w:rsidRPr="006E4BE1" w:rsidRDefault="001240C5" w:rsidP="00D967B8">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UV.3 </w:t>
            </w:r>
          </w:p>
        </w:tc>
        <w:tc>
          <w:tcPr>
            <w:tcW w:w="820" w:type="dxa"/>
            <w:tcBorders>
              <w:top w:val="nil"/>
              <w:left w:val="nil"/>
              <w:bottom w:val="nil"/>
              <w:right w:val="nil"/>
            </w:tcBorders>
            <w:shd w:val="clear" w:color="000000" w:fill="C7CFD8"/>
            <w:vAlign w:val="center"/>
            <w:hideMark/>
          </w:tcPr>
          <w:p w14:paraId="3503EBAC" w14:textId="77777777" w:rsidR="001240C5" w:rsidRPr="006E4BE1" w:rsidRDefault="001240C5" w:rsidP="00D967B8">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UV.4 </w:t>
            </w:r>
          </w:p>
        </w:tc>
        <w:tc>
          <w:tcPr>
            <w:tcW w:w="851" w:type="dxa"/>
            <w:vMerge/>
            <w:tcBorders>
              <w:top w:val="nil"/>
              <w:left w:val="nil"/>
              <w:bottom w:val="nil"/>
              <w:right w:val="nil"/>
            </w:tcBorders>
            <w:vAlign w:val="center"/>
            <w:hideMark/>
          </w:tcPr>
          <w:p w14:paraId="7274EED6" w14:textId="77777777" w:rsidR="001240C5" w:rsidRPr="006E4BE1" w:rsidRDefault="001240C5" w:rsidP="00D967B8">
            <w:pPr>
              <w:jc w:val="left"/>
              <w:rPr>
                <w:rFonts w:ascii="Arial Narrow" w:hAnsi="Arial Narrow" w:cs="Arial"/>
                <w:b/>
                <w:bCs/>
                <w:sz w:val="18"/>
                <w:szCs w:val="18"/>
                <w:lang w:val="es-ES_tradnl"/>
              </w:rPr>
            </w:pPr>
          </w:p>
        </w:tc>
      </w:tr>
      <w:tr w:rsidR="001240C5" w:rsidRPr="006E4BE1" w14:paraId="08CA635B" w14:textId="77777777" w:rsidTr="00D967B8">
        <w:trPr>
          <w:trHeight w:val="150"/>
          <w:jc w:val="center"/>
        </w:trPr>
        <w:tc>
          <w:tcPr>
            <w:tcW w:w="3828" w:type="dxa"/>
            <w:gridSpan w:val="2"/>
            <w:tcBorders>
              <w:top w:val="nil"/>
              <w:left w:val="nil"/>
              <w:bottom w:val="nil"/>
              <w:right w:val="nil"/>
            </w:tcBorders>
            <w:shd w:val="clear" w:color="auto" w:fill="auto"/>
            <w:vAlign w:val="bottom"/>
            <w:hideMark/>
          </w:tcPr>
          <w:p w14:paraId="6D9B4C3E" w14:textId="77777777" w:rsidR="001240C5" w:rsidRPr="006E4BE1" w:rsidRDefault="001240C5" w:rsidP="00D967B8">
            <w:pPr>
              <w:jc w:val="center"/>
              <w:rPr>
                <w:rFonts w:ascii="Arial Narrow" w:hAnsi="Arial Narrow" w:cs="Arial"/>
                <w:b/>
                <w:bCs/>
                <w:sz w:val="18"/>
                <w:szCs w:val="18"/>
                <w:lang w:val="es-ES_tradnl"/>
              </w:rPr>
            </w:pPr>
          </w:p>
        </w:tc>
        <w:tc>
          <w:tcPr>
            <w:tcW w:w="816" w:type="dxa"/>
            <w:tcBorders>
              <w:top w:val="nil"/>
              <w:left w:val="nil"/>
              <w:bottom w:val="nil"/>
              <w:right w:val="nil"/>
            </w:tcBorders>
            <w:shd w:val="clear" w:color="auto" w:fill="auto"/>
            <w:vAlign w:val="bottom"/>
            <w:hideMark/>
          </w:tcPr>
          <w:p w14:paraId="79C8E35A" w14:textId="77777777" w:rsidR="001240C5" w:rsidRPr="006E4BE1" w:rsidRDefault="001240C5" w:rsidP="00D967B8">
            <w:pPr>
              <w:jc w:val="left"/>
              <w:rPr>
                <w:rFonts w:ascii="Times New Roman" w:hAnsi="Times New Roman"/>
                <w:lang w:val="es-ES_tradnl"/>
              </w:rPr>
            </w:pPr>
          </w:p>
        </w:tc>
        <w:tc>
          <w:tcPr>
            <w:tcW w:w="851" w:type="dxa"/>
            <w:tcBorders>
              <w:top w:val="nil"/>
              <w:left w:val="nil"/>
              <w:bottom w:val="nil"/>
              <w:right w:val="nil"/>
            </w:tcBorders>
            <w:shd w:val="clear" w:color="auto" w:fill="auto"/>
            <w:vAlign w:val="bottom"/>
            <w:hideMark/>
          </w:tcPr>
          <w:p w14:paraId="2AC6E537" w14:textId="77777777" w:rsidR="001240C5" w:rsidRPr="006E4BE1" w:rsidRDefault="001240C5" w:rsidP="00D967B8">
            <w:pPr>
              <w:jc w:val="right"/>
              <w:rPr>
                <w:rFonts w:ascii="Times New Roman" w:hAnsi="Times New Roman"/>
                <w:lang w:val="es-ES_tradnl"/>
              </w:rPr>
            </w:pPr>
          </w:p>
        </w:tc>
        <w:tc>
          <w:tcPr>
            <w:tcW w:w="819" w:type="dxa"/>
            <w:tcBorders>
              <w:top w:val="nil"/>
              <w:left w:val="nil"/>
              <w:bottom w:val="nil"/>
              <w:right w:val="nil"/>
            </w:tcBorders>
            <w:shd w:val="clear" w:color="auto" w:fill="auto"/>
            <w:vAlign w:val="bottom"/>
            <w:hideMark/>
          </w:tcPr>
          <w:p w14:paraId="2B5429A7" w14:textId="77777777" w:rsidR="001240C5" w:rsidRPr="006E4BE1" w:rsidRDefault="001240C5" w:rsidP="00D967B8">
            <w:pPr>
              <w:jc w:val="right"/>
              <w:rPr>
                <w:rFonts w:ascii="Times New Roman" w:hAnsi="Times New Roman"/>
                <w:lang w:val="es-ES_tradnl"/>
              </w:rPr>
            </w:pPr>
          </w:p>
        </w:tc>
        <w:tc>
          <w:tcPr>
            <w:tcW w:w="820" w:type="dxa"/>
            <w:tcBorders>
              <w:top w:val="nil"/>
              <w:left w:val="nil"/>
              <w:bottom w:val="nil"/>
              <w:right w:val="nil"/>
            </w:tcBorders>
            <w:shd w:val="clear" w:color="auto" w:fill="auto"/>
            <w:vAlign w:val="bottom"/>
            <w:hideMark/>
          </w:tcPr>
          <w:p w14:paraId="56CEA7C2" w14:textId="77777777" w:rsidR="001240C5" w:rsidRPr="006E4BE1" w:rsidRDefault="001240C5" w:rsidP="00D967B8">
            <w:pPr>
              <w:jc w:val="right"/>
              <w:rPr>
                <w:rFonts w:ascii="Times New Roman" w:hAnsi="Times New Roman"/>
                <w:lang w:val="es-ES_tradnl"/>
              </w:rPr>
            </w:pPr>
          </w:p>
        </w:tc>
        <w:tc>
          <w:tcPr>
            <w:tcW w:w="851" w:type="dxa"/>
            <w:tcBorders>
              <w:top w:val="nil"/>
              <w:left w:val="nil"/>
              <w:bottom w:val="nil"/>
              <w:right w:val="nil"/>
            </w:tcBorders>
            <w:shd w:val="clear" w:color="auto" w:fill="auto"/>
            <w:vAlign w:val="bottom"/>
            <w:hideMark/>
          </w:tcPr>
          <w:p w14:paraId="5106B13D" w14:textId="77777777" w:rsidR="001240C5" w:rsidRPr="006E4BE1" w:rsidRDefault="001240C5" w:rsidP="00D967B8">
            <w:pPr>
              <w:jc w:val="right"/>
              <w:rPr>
                <w:rFonts w:ascii="Times New Roman" w:hAnsi="Times New Roman"/>
                <w:lang w:val="es-ES_tradnl"/>
              </w:rPr>
            </w:pPr>
          </w:p>
        </w:tc>
      </w:tr>
      <w:tr w:rsidR="001240C5" w:rsidRPr="006E4BE1" w14:paraId="4A96BC5C" w14:textId="77777777" w:rsidTr="00D967B8">
        <w:trPr>
          <w:trHeight w:val="397"/>
          <w:jc w:val="center"/>
        </w:trPr>
        <w:tc>
          <w:tcPr>
            <w:tcW w:w="3828" w:type="dxa"/>
            <w:gridSpan w:val="2"/>
            <w:tcBorders>
              <w:top w:val="nil"/>
              <w:left w:val="nil"/>
              <w:bottom w:val="nil"/>
              <w:right w:val="nil"/>
            </w:tcBorders>
            <w:shd w:val="clear" w:color="auto" w:fill="auto"/>
            <w:vAlign w:val="center"/>
            <w:hideMark/>
          </w:tcPr>
          <w:p w14:paraId="575246A4" w14:textId="0F1DA615" w:rsidR="001240C5" w:rsidRPr="006E4BE1" w:rsidRDefault="001240C5" w:rsidP="001240C5">
            <w:pPr>
              <w:jc w:val="left"/>
              <w:rPr>
                <w:rFonts w:ascii="Arial Narrow" w:hAnsi="Arial Narrow" w:cs="Arial"/>
                <w:b/>
                <w:bCs/>
                <w:lang w:val="es-ES_tradnl"/>
              </w:rPr>
            </w:pPr>
            <w:r w:rsidRPr="006E4BE1">
              <w:rPr>
                <w:rFonts w:ascii="Arial Narrow" w:hAnsi="Arial Narrow" w:cs="Arial"/>
                <w:b/>
                <w:bCs/>
                <w:lang w:val="es-ES_tradnl"/>
              </w:rPr>
              <w:t>A. Recursos de personal</w:t>
            </w:r>
          </w:p>
        </w:tc>
        <w:tc>
          <w:tcPr>
            <w:tcW w:w="816" w:type="dxa"/>
            <w:tcBorders>
              <w:top w:val="nil"/>
              <w:left w:val="nil"/>
              <w:bottom w:val="nil"/>
              <w:right w:val="nil"/>
            </w:tcBorders>
            <w:shd w:val="clear" w:color="auto" w:fill="auto"/>
            <w:vAlign w:val="center"/>
            <w:hideMark/>
          </w:tcPr>
          <w:p w14:paraId="0A6CDE58" w14:textId="7777777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771</w:t>
            </w:r>
          </w:p>
        </w:tc>
        <w:tc>
          <w:tcPr>
            <w:tcW w:w="851" w:type="dxa"/>
            <w:tcBorders>
              <w:top w:val="nil"/>
              <w:left w:val="nil"/>
              <w:bottom w:val="nil"/>
              <w:right w:val="nil"/>
            </w:tcBorders>
            <w:shd w:val="clear" w:color="auto" w:fill="auto"/>
            <w:vAlign w:val="center"/>
            <w:hideMark/>
          </w:tcPr>
          <w:p w14:paraId="0D9A8481" w14:textId="66016D3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2.686</w:t>
            </w:r>
          </w:p>
        </w:tc>
        <w:tc>
          <w:tcPr>
            <w:tcW w:w="819" w:type="dxa"/>
            <w:tcBorders>
              <w:top w:val="nil"/>
              <w:left w:val="nil"/>
              <w:bottom w:val="nil"/>
              <w:right w:val="nil"/>
            </w:tcBorders>
            <w:shd w:val="clear" w:color="auto" w:fill="auto"/>
            <w:vAlign w:val="center"/>
            <w:hideMark/>
          </w:tcPr>
          <w:p w14:paraId="7BD9F49E" w14:textId="5DC95446"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1.330</w:t>
            </w:r>
          </w:p>
        </w:tc>
        <w:tc>
          <w:tcPr>
            <w:tcW w:w="820" w:type="dxa"/>
            <w:tcBorders>
              <w:top w:val="nil"/>
              <w:left w:val="nil"/>
              <w:bottom w:val="nil"/>
              <w:right w:val="nil"/>
            </w:tcBorders>
            <w:shd w:val="clear" w:color="auto" w:fill="auto"/>
            <w:vAlign w:val="center"/>
            <w:hideMark/>
          </w:tcPr>
          <w:p w14:paraId="738A5498" w14:textId="7777777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532</w:t>
            </w:r>
          </w:p>
        </w:tc>
        <w:tc>
          <w:tcPr>
            <w:tcW w:w="851" w:type="dxa"/>
            <w:tcBorders>
              <w:top w:val="nil"/>
              <w:left w:val="nil"/>
              <w:bottom w:val="nil"/>
              <w:right w:val="nil"/>
            </w:tcBorders>
            <w:shd w:val="clear" w:color="auto" w:fill="auto"/>
            <w:vAlign w:val="center"/>
            <w:hideMark/>
          </w:tcPr>
          <w:p w14:paraId="1CDC4D86" w14:textId="67F426C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5.319</w:t>
            </w:r>
          </w:p>
        </w:tc>
      </w:tr>
      <w:tr w:rsidR="001240C5" w:rsidRPr="006E4BE1" w14:paraId="4E123F2C" w14:textId="77777777" w:rsidTr="00D967B8">
        <w:trPr>
          <w:trHeight w:val="268"/>
          <w:jc w:val="center"/>
        </w:trPr>
        <w:tc>
          <w:tcPr>
            <w:tcW w:w="1208" w:type="dxa"/>
            <w:tcBorders>
              <w:top w:val="nil"/>
              <w:left w:val="nil"/>
              <w:bottom w:val="nil"/>
              <w:right w:val="nil"/>
            </w:tcBorders>
            <w:shd w:val="clear" w:color="auto" w:fill="auto"/>
            <w:hideMark/>
          </w:tcPr>
          <w:p w14:paraId="13C4F57C" w14:textId="77777777" w:rsidR="001240C5" w:rsidRPr="006E4BE1" w:rsidRDefault="001240C5" w:rsidP="00D967B8">
            <w:pPr>
              <w:jc w:val="right"/>
              <w:rPr>
                <w:rFonts w:ascii="Arial Narrow" w:hAnsi="Arial Narrow" w:cs="Arial"/>
                <w:b/>
                <w:bCs/>
                <w:lang w:val="es-ES_tradnl"/>
              </w:rPr>
            </w:pPr>
          </w:p>
        </w:tc>
        <w:tc>
          <w:tcPr>
            <w:tcW w:w="2620" w:type="dxa"/>
            <w:tcBorders>
              <w:top w:val="nil"/>
              <w:left w:val="nil"/>
              <w:bottom w:val="nil"/>
              <w:right w:val="nil"/>
            </w:tcBorders>
            <w:shd w:val="clear" w:color="auto" w:fill="auto"/>
            <w:hideMark/>
          </w:tcPr>
          <w:p w14:paraId="060A4448" w14:textId="7AA7B032"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Puestos</w:t>
            </w:r>
          </w:p>
        </w:tc>
        <w:tc>
          <w:tcPr>
            <w:tcW w:w="816" w:type="dxa"/>
            <w:tcBorders>
              <w:top w:val="nil"/>
              <w:left w:val="nil"/>
              <w:bottom w:val="nil"/>
              <w:right w:val="nil"/>
            </w:tcBorders>
            <w:shd w:val="clear" w:color="auto" w:fill="auto"/>
            <w:hideMark/>
          </w:tcPr>
          <w:p w14:paraId="52EA3467"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719</w:t>
            </w:r>
          </w:p>
        </w:tc>
        <w:tc>
          <w:tcPr>
            <w:tcW w:w="851" w:type="dxa"/>
            <w:tcBorders>
              <w:top w:val="nil"/>
              <w:left w:val="nil"/>
              <w:bottom w:val="nil"/>
              <w:right w:val="nil"/>
            </w:tcBorders>
            <w:shd w:val="clear" w:color="auto" w:fill="auto"/>
            <w:hideMark/>
          </w:tcPr>
          <w:p w14:paraId="7DE940BC" w14:textId="7393A889"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2.396</w:t>
            </w:r>
          </w:p>
        </w:tc>
        <w:tc>
          <w:tcPr>
            <w:tcW w:w="819" w:type="dxa"/>
            <w:tcBorders>
              <w:top w:val="nil"/>
              <w:left w:val="nil"/>
              <w:bottom w:val="nil"/>
              <w:right w:val="nil"/>
            </w:tcBorders>
            <w:shd w:val="clear" w:color="auto" w:fill="auto"/>
            <w:hideMark/>
          </w:tcPr>
          <w:p w14:paraId="78656D05" w14:textId="0D8DD62A"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1.198</w:t>
            </w:r>
          </w:p>
        </w:tc>
        <w:tc>
          <w:tcPr>
            <w:tcW w:w="820" w:type="dxa"/>
            <w:tcBorders>
              <w:top w:val="nil"/>
              <w:left w:val="nil"/>
              <w:bottom w:val="nil"/>
              <w:right w:val="nil"/>
            </w:tcBorders>
            <w:shd w:val="clear" w:color="auto" w:fill="auto"/>
            <w:hideMark/>
          </w:tcPr>
          <w:p w14:paraId="66145B6A"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479</w:t>
            </w:r>
          </w:p>
        </w:tc>
        <w:tc>
          <w:tcPr>
            <w:tcW w:w="851" w:type="dxa"/>
            <w:tcBorders>
              <w:top w:val="nil"/>
              <w:left w:val="nil"/>
              <w:bottom w:val="nil"/>
              <w:right w:val="nil"/>
            </w:tcBorders>
            <w:shd w:val="clear" w:color="auto" w:fill="auto"/>
            <w:hideMark/>
          </w:tcPr>
          <w:p w14:paraId="3603E26D" w14:textId="33E37EDE"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4.792</w:t>
            </w:r>
          </w:p>
        </w:tc>
      </w:tr>
      <w:tr w:rsidR="001240C5" w:rsidRPr="006E4BE1" w14:paraId="03BA7990" w14:textId="77777777" w:rsidTr="00D967B8">
        <w:trPr>
          <w:trHeight w:val="268"/>
          <w:jc w:val="center"/>
        </w:trPr>
        <w:tc>
          <w:tcPr>
            <w:tcW w:w="1208" w:type="dxa"/>
            <w:tcBorders>
              <w:top w:val="nil"/>
              <w:left w:val="nil"/>
              <w:bottom w:val="single" w:sz="4" w:space="0" w:color="AAB8C4"/>
              <w:right w:val="nil"/>
            </w:tcBorders>
            <w:shd w:val="clear" w:color="auto" w:fill="auto"/>
            <w:hideMark/>
          </w:tcPr>
          <w:p w14:paraId="2D0E5114" w14:textId="77777777" w:rsidR="001240C5" w:rsidRPr="006E4BE1" w:rsidRDefault="001240C5" w:rsidP="00D967B8">
            <w:pPr>
              <w:jc w:val="left"/>
              <w:rPr>
                <w:rFonts w:ascii="Arial Narrow" w:hAnsi="Arial Narrow" w:cs="Arial"/>
                <w:lang w:val="es-ES_tradnl"/>
              </w:rPr>
            </w:pPr>
            <w:r w:rsidRPr="006E4BE1">
              <w:rPr>
                <w:rFonts w:ascii="Arial Narrow" w:hAnsi="Arial Narrow" w:cs="Arial"/>
                <w:lang w:val="es-ES_tradnl"/>
              </w:rPr>
              <w:t> </w:t>
            </w:r>
          </w:p>
        </w:tc>
        <w:tc>
          <w:tcPr>
            <w:tcW w:w="2620" w:type="dxa"/>
            <w:tcBorders>
              <w:top w:val="nil"/>
              <w:left w:val="nil"/>
              <w:bottom w:val="single" w:sz="4" w:space="0" w:color="AAB8C4"/>
              <w:right w:val="nil"/>
            </w:tcBorders>
            <w:shd w:val="clear" w:color="auto" w:fill="auto"/>
            <w:hideMark/>
          </w:tcPr>
          <w:p w14:paraId="19493ACB" w14:textId="39C70C6D" w:rsidR="001240C5" w:rsidRPr="006E4BE1" w:rsidRDefault="001240C5" w:rsidP="001240C5">
            <w:pPr>
              <w:jc w:val="left"/>
              <w:rPr>
                <w:rFonts w:ascii="Arial Narrow" w:hAnsi="Arial Narrow" w:cs="Arial"/>
                <w:i/>
                <w:iCs/>
                <w:color w:val="000000"/>
                <w:lang w:val="es-ES_tradnl"/>
              </w:rPr>
            </w:pPr>
            <w:r w:rsidRPr="006E4BE1">
              <w:rPr>
                <w:rFonts w:ascii="Arial Narrow" w:hAnsi="Arial Narrow" w:cs="Arial"/>
                <w:i/>
                <w:iCs/>
                <w:color w:val="000000"/>
                <w:lang w:val="es-ES_tradnl"/>
              </w:rPr>
              <w:t>Personal temporal</w:t>
            </w:r>
          </w:p>
        </w:tc>
        <w:tc>
          <w:tcPr>
            <w:tcW w:w="816" w:type="dxa"/>
            <w:tcBorders>
              <w:top w:val="nil"/>
              <w:left w:val="nil"/>
              <w:bottom w:val="single" w:sz="4" w:space="0" w:color="AAB8C4"/>
              <w:right w:val="nil"/>
            </w:tcBorders>
            <w:shd w:val="clear" w:color="auto" w:fill="auto"/>
            <w:hideMark/>
          </w:tcPr>
          <w:p w14:paraId="29613F03"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53</w:t>
            </w:r>
          </w:p>
        </w:tc>
        <w:tc>
          <w:tcPr>
            <w:tcW w:w="851" w:type="dxa"/>
            <w:tcBorders>
              <w:top w:val="nil"/>
              <w:left w:val="nil"/>
              <w:bottom w:val="single" w:sz="4" w:space="0" w:color="AAB8C4"/>
              <w:right w:val="nil"/>
            </w:tcBorders>
            <w:shd w:val="clear" w:color="auto" w:fill="auto"/>
            <w:hideMark/>
          </w:tcPr>
          <w:p w14:paraId="12BB1196"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290</w:t>
            </w:r>
          </w:p>
        </w:tc>
        <w:tc>
          <w:tcPr>
            <w:tcW w:w="819" w:type="dxa"/>
            <w:tcBorders>
              <w:top w:val="nil"/>
              <w:left w:val="nil"/>
              <w:bottom w:val="single" w:sz="4" w:space="0" w:color="AAB8C4"/>
              <w:right w:val="nil"/>
            </w:tcBorders>
            <w:shd w:val="clear" w:color="auto" w:fill="auto"/>
            <w:hideMark/>
          </w:tcPr>
          <w:p w14:paraId="2D9E6383"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132</w:t>
            </w:r>
          </w:p>
        </w:tc>
        <w:tc>
          <w:tcPr>
            <w:tcW w:w="820" w:type="dxa"/>
            <w:tcBorders>
              <w:top w:val="nil"/>
              <w:left w:val="nil"/>
              <w:bottom w:val="single" w:sz="4" w:space="0" w:color="AAB8C4"/>
              <w:right w:val="nil"/>
            </w:tcBorders>
            <w:shd w:val="clear" w:color="auto" w:fill="auto"/>
            <w:hideMark/>
          </w:tcPr>
          <w:p w14:paraId="305C5F06"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53</w:t>
            </w:r>
          </w:p>
        </w:tc>
        <w:tc>
          <w:tcPr>
            <w:tcW w:w="851" w:type="dxa"/>
            <w:tcBorders>
              <w:top w:val="nil"/>
              <w:left w:val="nil"/>
              <w:bottom w:val="single" w:sz="4" w:space="0" w:color="AAB8C4"/>
              <w:right w:val="nil"/>
            </w:tcBorders>
            <w:shd w:val="clear" w:color="auto" w:fill="auto"/>
            <w:hideMark/>
          </w:tcPr>
          <w:p w14:paraId="62B63920"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526</w:t>
            </w:r>
          </w:p>
        </w:tc>
      </w:tr>
      <w:tr w:rsidR="001240C5" w:rsidRPr="006E4BE1" w14:paraId="6776BEEF" w14:textId="77777777" w:rsidTr="00D967B8">
        <w:trPr>
          <w:trHeight w:val="202"/>
          <w:jc w:val="center"/>
        </w:trPr>
        <w:tc>
          <w:tcPr>
            <w:tcW w:w="1208" w:type="dxa"/>
            <w:tcBorders>
              <w:top w:val="nil"/>
              <w:left w:val="nil"/>
              <w:bottom w:val="nil"/>
              <w:right w:val="nil"/>
            </w:tcBorders>
            <w:shd w:val="clear" w:color="auto" w:fill="auto"/>
            <w:hideMark/>
          </w:tcPr>
          <w:p w14:paraId="23D6433C" w14:textId="77777777" w:rsidR="001240C5" w:rsidRPr="006E4BE1" w:rsidRDefault="001240C5" w:rsidP="00D967B8">
            <w:pPr>
              <w:jc w:val="right"/>
              <w:rPr>
                <w:rFonts w:ascii="Arial Narrow" w:hAnsi="Arial Narrow" w:cs="Arial"/>
                <w:lang w:val="es-ES_tradnl"/>
              </w:rPr>
            </w:pPr>
          </w:p>
        </w:tc>
        <w:tc>
          <w:tcPr>
            <w:tcW w:w="2620" w:type="dxa"/>
            <w:tcBorders>
              <w:top w:val="nil"/>
              <w:left w:val="nil"/>
              <w:bottom w:val="nil"/>
              <w:right w:val="nil"/>
            </w:tcBorders>
            <w:shd w:val="clear" w:color="auto" w:fill="auto"/>
            <w:hideMark/>
          </w:tcPr>
          <w:p w14:paraId="6DDE17EE" w14:textId="77777777" w:rsidR="001240C5" w:rsidRPr="006E4BE1" w:rsidRDefault="001240C5" w:rsidP="00D967B8">
            <w:pPr>
              <w:jc w:val="left"/>
              <w:rPr>
                <w:rFonts w:ascii="Times New Roman" w:hAnsi="Times New Roman"/>
                <w:lang w:val="es-ES_tradnl"/>
              </w:rPr>
            </w:pPr>
          </w:p>
        </w:tc>
        <w:tc>
          <w:tcPr>
            <w:tcW w:w="816" w:type="dxa"/>
            <w:tcBorders>
              <w:top w:val="nil"/>
              <w:left w:val="nil"/>
              <w:bottom w:val="nil"/>
              <w:right w:val="nil"/>
            </w:tcBorders>
            <w:shd w:val="clear" w:color="auto" w:fill="auto"/>
            <w:hideMark/>
          </w:tcPr>
          <w:p w14:paraId="7C48FC12" w14:textId="77777777" w:rsidR="001240C5" w:rsidRPr="006E4BE1" w:rsidRDefault="001240C5" w:rsidP="00D967B8">
            <w:pPr>
              <w:jc w:val="right"/>
              <w:rPr>
                <w:rFonts w:ascii="Times New Roman" w:hAnsi="Times New Roman"/>
                <w:lang w:val="es-ES_tradnl"/>
              </w:rPr>
            </w:pPr>
          </w:p>
        </w:tc>
        <w:tc>
          <w:tcPr>
            <w:tcW w:w="851" w:type="dxa"/>
            <w:tcBorders>
              <w:top w:val="nil"/>
              <w:left w:val="nil"/>
              <w:bottom w:val="nil"/>
              <w:right w:val="nil"/>
            </w:tcBorders>
            <w:shd w:val="clear" w:color="auto" w:fill="auto"/>
            <w:hideMark/>
          </w:tcPr>
          <w:p w14:paraId="16FB2D10" w14:textId="77777777" w:rsidR="001240C5" w:rsidRPr="006E4BE1" w:rsidRDefault="001240C5" w:rsidP="00D967B8">
            <w:pPr>
              <w:jc w:val="right"/>
              <w:rPr>
                <w:rFonts w:ascii="Times New Roman" w:hAnsi="Times New Roman"/>
                <w:lang w:val="es-ES_tradnl"/>
              </w:rPr>
            </w:pPr>
          </w:p>
        </w:tc>
        <w:tc>
          <w:tcPr>
            <w:tcW w:w="819" w:type="dxa"/>
            <w:tcBorders>
              <w:top w:val="nil"/>
              <w:left w:val="nil"/>
              <w:bottom w:val="nil"/>
              <w:right w:val="nil"/>
            </w:tcBorders>
            <w:shd w:val="clear" w:color="auto" w:fill="auto"/>
            <w:hideMark/>
          </w:tcPr>
          <w:p w14:paraId="3CFC6F4B" w14:textId="77777777" w:rsidR="001240C5" w:rsidRPr="006E4BE1" w:rsidRDefault="001240C5" w:rsidP="00D967B8">
            <w:pPr>
              <w:jc w:val="right"/>
              <w:rPr>
                <w:rFonts w:ascii="Times New Roman" w:hAnsi="Times New Roman"/>
                <w:lang w:val="es-ES_tradnl"/>
              </w:rPr>
            </w:pPr>
          </w:p>
        </w:tc>
        <w:tc>
          <w:tcPr>
            <w:tcW w:w="820" w:type="dxa"/>
            <w:tcBorders>
              <w:top w:val="nil"/>
              <w:left w:val="nil"/>
              <w:bottom w:val="nil"/>
              <w:right w:val="nil"/>
            </w:tcBorders>
            <w:shd w:val="clear" w:color="auto" w:fill="auto"/>
            <w:hideMark/>
          </w:tcPr>
          <w:p w14:paraId="3B4657BA" w14:textId="77777777" w:rsidR="001240C5" w:rsidRPr="006E4BE1" w:rsidRDefault="001240C5" w:rsidP="00D967B8">
            <w:pPr>
              <w:jc w:val="right"/>
              <w:rPr>
                <w:rFonts w:ascii="Times New Roman" w:hAnsi="Times New Roman"/>
                <w:lang w:val="es-ES_tradnl"/>
              </w:rPr>
            </w:pPr>
          </w:p>
        </w:tc>
        <w:tc>
          <w:tcPr>
            <w:tcW w:w="851" w:type="dxa"/>
            <w:tcBorders>
              <w:top w:val="nil"/>
              <w:left w:val="nil"/>
              <w:bottom w:val="nil"/>
              <w:right w:val="nil"/>
            </w:tcBorders>
            <w:shd w:val="clear" w:color="auto" w:fill="auto"/>
            <w:hideMark/>
          </w:tcPr>
          <w:p w14:paraId="14A05F5A" w14:textId="77777777" w:rsidR="001240C5" w:rsidRPr="006E4BE1" w:rsidRDefault="001240C5" w:rsidP="00D967B8">
            <w:pPr>
              <w:jc w:val="right"/>
              <w:rPr>
                <w:rFonts w:ascii="Times New Roman" w:hAnsi="Times New Roman"/>
                <w:lang w:val="es-ES_tradnl"/>
              </w:rPr>
            </w:pPr>
          </w:p>
        </w:tc>
      </w:tr>
      <w:tr w:rsidR="001240C5" w:rsidRPr="006E4BE1" w14:paraId="229480F2" w14:textId="77777777" w:rsidTr="00D967B8">
        <w:trPr>
          <w:trHeight w:val="256"/>
          <w:jc w:val="center"/>
        </w:trPr>
        <w:tc>
          <w:tcPr>
            <w:tcW w:w="3828" w:type="dxa"/>
            <w:gridSpan w:val="2"/>
            <w:tcBorders>
              <w:top w:val="nil"/>
              <w:left w:val="nil"/>
              <w:bottom w:val="nil"/>
              <w:right w:val="nil"/>
            </w:tcBorders>
            <w:shd w:val="clear" w:color="auto" w:fill="auto"/>
            <w:vAlign w:val="center"/>
            <w:hideMark/>
          </w:tcPr>
          <w:p w14:paraId="5187BC5A" w14:textId="3C80ECA8" w:rsidR="001240C5" w:rsidRPr="006E4BE1" w:rsidRDefault="001240C5" w:rsidP="001240C5">
            <w:pPr>
              <w:jc w:val="left"/>
              <w:rPr>
                <w:rFonts w:ascii="Arial Narrow" w:hAnsi="Arial Narrow" w:cs="Arial"/>
                <w:b/>
                <w:bCs/>
                <w:lang w:val="es-ES_tradnl"/>
              </w:rPr>
            </w:pPr>
            <w:r w:rsidRPr="006E4BE1">
              <w:rPr>
                <w:rFonts w:ascii="Arial Narrow" w:hAnsi="Arial Narrow" w:cs="Arial"/>
                <w:b/>
                <w:bCs/>
                <w:lang w:val="es-ES_tradnl"/>
              </w:rPr>
              <w:t>B. Recursos no relativos a personal</w:t>
            </w:r>
          </w:p>
        </w:tc>
        <w:tc>
          <w:tcPr>
            <w:tcW w:w="816" w:type="dxa"/>
            <w:tcBorders>
              <w:top w:val="nil"/>
              <w:left w:val="nil"/>
              <w:bottom w:val="nil"/>
              <w:right w:val="nil"/>
            </w:tcBorders>
            <w:shd w:val="clear" w:color="auto" w:fill="auto"/>
            <w:vAlign w:val="center"/>
            <w:hideMark/>
          </w:tcPr>
          <w:p w14:paraId="5F51A741" w14:textId="7777777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45</w:t>
            </w:r>
          </w:p>
        </w:tc>
        <w:tc>
          <w:tcPr>
            <w:tcW w:w="851" w:type="dxa"/>
            <w:tcBorders>
              <w:top w:val="nil"/>
              <w:left w:val="nil"/>
              <w:bottom w:val="nil"/>
              <w:right w:val="nil"/>
            </w:tcBorders>
            <w:shd w:val="clear" w:color="auto" w:fill="auto"/>
            <w:vAlign w:val="center"/>
            <w:hideMark/>
          </w:tcPr>
          <w:p w14:paraId="5A8A4B4B" w14:textId="5FE0C831"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1.801</w:t>
            </w:r>
          </w:p>
        </w:tc>
        <w:tc>
          <w:tcPr>
            <w:tcW w:w="819" w:type="dxa"/>
            <w:tcBorders>
              <w:top w:val="nil"/>
              <w:left w:val="nil"/>
              <w:bottom w:val="nil"/>
              <w:right w:val="nil"/>
            </w:tcBorders>
            <w:shd w:val="clear" w:color="auto" w:fill="auto"/>
            <w:vAlign w:val="center"/>
            <w:hideMark/>
          </w:tcPr>
          <w:p w14:paraId="06775E8E" w14:textId="7777777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343</w:t>
            </w:r>
          </w:p>
        </w:tc>
        <w:tc>
          <w:tcPr>
            <w:tcW w:w="820" w:type="dxa"/>
            <w:tcBorders>
              <w:top w:val="nil"/>
              <w:left w:val="nil"/>
              <w:bottom w:val="nil"/>
              <w:right w:val="nil"/>
            </w:tcBorders>
            <w:shd w:val="clear" w:color="auto" w:fill="auto"/>
            <w:vAlign w:val="center"/>
            <w:hideMark/>
          </w:tcPr>
          <w:p w14:paraId="2C732D0D" w14:textId="7777777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128</w:t>
            </w:r>
          </w:p>
        </w:tc>
        <w:tc>
          <w:tcPr>
            <w:tcW w:w="851" w:type="dxa"/>
            <w:tcBorders>
              <w:top w:val="nil"/>
              <w:left w:val="nil"/>
              <w:bottom w:val="nil"/>
              <w:right w:val="nil"/>
            </w:tcBorders>
            <w:shd w:val="clear" w:color="auto" w:fill="auto"/>
            <w:vAlign w:val="center"/>
            <w:hideMark/>
          </w:tcPr>
          <w:p w14:paraId="59941FCA" w14:textId="7E16D4E6"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2.316</w:t>
            </w:r>
          </w:p>
        </w:tc>
      </w:tr>
      <w:tr w:rsidR="001240C5" w:rsidRPr="006E4BE1" w14:paraId="6F06C58D" w14:textId="77777777" w:rsidTr="00D967B8">
        <w:trPr>
          <w:trHeight w:val="303"/>
          <w:jc w:val="center"/>
        </w:trPr>
        <w:tc>
          <w:tcPr>
            <w:tcW w:w="3828" w:type="dxa"/>
            <w:gridSpan w:val="2"/>
            <w:tcBorders>
              <w:top w:val="nil"/>
              <w:left w:val="nil"/>
              <w:bottom w:val="nil"/>
              <w:right w:val="nil"/>
            </w:tcBorders>
            <w:shd w:val="clear" w:color="auto" w:fill="auto"/>
            <w:vAlign w:val="center"/>
            <w:hideMark/>
          </w:tcPr>
          <w:p w14:paraId="3623815B" w14:textId="09C98658" w:rsidR="001240C5" w:rsidRPr="006E4BE1" w:rsidRDefault="001240C5" w:rsidP="001240C5">
            <w:pPr>
              <w:ind w:firstLineChars="200" w:firstLine="400"/>
              <w:jc w:val="left"/>
              <w:rPr>
                <w:rFonts w:ascii="Arial Narrow" w:hAnsi="Arial Narrow" w:cs="Arial"/>
                <w:b/>
                <w:bCs/>
                <w:lang w:val="es-ES_tradnl"/>
              </w:rPr>
            </w:pPr>
            <w:r w:rsidRPr="006E4BE1">
              <w:rPr>
                <w:rFonts w:ascii="Arial Narrow" w:hAnsi="Arial Narrow" w:cs="Arial"/>
                <w:b/>
                <w:bCs/>
                <w:lang w:val="es-ES_tradnl"/>
              </w:rPr>
              <w:t>Pasantías y becas</w:t>
            </w:r>
          </w:p>
        </w:tc>
        <w:tc>
          <w:tcPr>
            <w:tcW w:w="816" w:type="dxa"/>
            <w:tcBorders>
              <w:top w:val="nil"/>
              <w:left w:val="nil"/>
              <w:bottom w:val="nil"/>
              <w:right w:val="nil"/>
            </w:tcBorders>
            <w:shd w:val="clear" w:color="auto" w:fill="auto"/>
            <w:hideMark/>
          </w:tcPr>
          <w:p w14:paraId="0B2657CE" w14:textId="77777777" w:rsidR="001240C5" w:rsidRPr="006E4BE1" w:rsidRDefault="001240C5" w:rsidP="00D967B8">
            <w:pPr>
              <w:ind w:firstLineChars="200" w:firstLine="400"/>
              <w:jc w:val="right"/>
              <w:rPr>
                <w:rFonts w:ascii="Arial Narrow" w:hAnsi="Arial Narrow" w:cs="Arial"/>
                <w:b/>
                <w:bCs/>
                <w:lang w:val="es-ES_tradnl"/>
              </w:rPr>
            </w:pPr>
          </w:p>
        </w:tc>
        <w:tc>
          <w:tcPr>
            <w:tcW w:w="851" w:type="dxa"/>
            <w:tcBorders>
              <w:top w:val="nil"/>
              <w:left w:val="nil"/>
              <w:bottom w:val="nil"/>
              <w:right w:val="nil"/>
            </w:tcBorders>
            <w:shd w:val="clear" w:color="auto" w:fill="auto"/>
            <w:hideMark/>
          </w:tcPr>
          <w:p w14:paraId="590321D9" w14:textId="77777777" w:rsidR="001240C5" w:rsidRPr="006E4BE1" w:rsidRDefault="001240C5" w:rsidP="00D967B8">
            <w:pPr>
              <w:jc w:val="right"/>
              <w:rPr>
                <w:rFonts w:ascii="Times New Roman" w:hAnsi="Times New Roman"/>
                <w:lang w:val="es-ES_tradnl"/>
              </w:rPr>
            </w:pPr>
          </w:p>
        </w:tc>
        <w:tc>
          <w:tcPr>
            <w:tcW w:w="819" w:type="dxa"/>
            <w:tcBorders>
              <w:top w:val="nil"/>
              <w:left w:val="nil"/>
              <w:bottom w:val="nil"/>
              <w:right w:val="nil"/>
            </w:tcBorders>
            <w:shd w:val="clear" w:color="auto" w:fill="auto"/>
            <w:hideMark/>
          </w:tcPr>
          <w:p w14:paraId="68365B85" w14:textId="77777777" w:rsidR="001240C5" w:rsidRPr="006E4BE1" w:rsidRDefault="001240C5" w:rsidP="00D967B8">
            <w:pPr>
              <w:jc w:val="right"/>
              <w:rPr>
                <w:rFonts w:ascii="Times New Roman" w:hAnsi="Times New Roman"/>
                <w:lang w:val="es-ES_tradnl"/>
              </w:rPr>
            </w:pPr>
          </w:p>
        </w:tc>
        <w:tc>
          <w:tcPr>
            <w:tcW w:w="820" w:type="dxa"/>
            <w:tcBorders>
              <w:top w:val="nil"/>
              <w:left w:val="nil"/>
              <w:bottom w:val="nil"/>
              <w:right w:val="nil"/>
            </w:tcBorders>
            <w:shd w:val="clear" w:color="auto" w:fill="auto"/>
            <w:hideMark/>
          </w:tcPr>
          <w:p w14:paraId="0861E76B" w14:textId="77777777" w:rsidR="001240C5" w:rsidRPr="006E4BE1" w:rsidRDefault="001240C5" w:rsidP="00D967B8">
            <w:pPr>
              <w:jc w:val="right"/>
              <w:rPr>
                <w:rFonts w:ascii="Times New Roman" w:hAnsi="Times New Roman"/>
                <w:lang w:val="es-ES_tradnl"/>
              </w:rPr>
            </w:pPr>
          </w:p>
        </w:tc>
        <w:tc>
          <w:tcPr>
            <w:tcW w:w="851" w:type="dxa"/>
            <w:tcBorders>
              <w:top w:val="nil"/>
              <w:left w:val="nil"/>
              <w:bottom w:val="nil"/>
              <w:right w:val="nil"/>
            </w:tcBorders>
            <w:shd w:val="clear" w:color="auto" w:fill="auto"/>
            <w:hideMark/>
          </w:tcPr>
          <w:p w14:paraId="2EF7AF24" w14:textId="77777777" w:rsidR="001240C5" w:rsidRPr="006E4BE1" w:rsidRDefault="001240C5" w:rsidP="00D967B8">
            <w:pPr>
              <w:jc w:val="right"/>
              <w:rPr>
                <w:rFonts w:ascii="Times New Roman" w:hAnsi="Times New Roman"/>
                <w:lang w:val="es-ES_tradnl"/>
              </w:rPr>
            </w:pPr>
          </w:p>
        </w:tc>
      </w:tr>
      <w:tr w:rsidR="001240C5" w:rsidRPr="006E4BE1" w14:paraId="01C0F7A4" w14:textId="77777777" w:rsidTr="00D967B8">
        <w:trPr>
          <w:trHeight w:val="268"/>
          <w:jc w:val="center"/>
        </w:trPr>
        <w:tc>
          <w:tcPr>
            <w:tcW w:w="1208" w:type="dxa"/>
            <w:tcBorders>
              <w:top w:val="nil"/>
              <w:left w:val="nil"/>
              <w:bottom w:val="nil"/>
              <w:right w:val="nil"/>
            </w:tcBorders>
            <w:shd w:val="clear" w:color="auto" w:fill="auto"/>
            <w:hideMark/>
          </w:tcPr>
          <w:p w14:paraId="71D5AB61" w14:textId="77777777" w:rsidR="001240C5" w:rsidRPr="006E4BE1" w:rsidRDefault="001240C5" w:rsidP="00D967B8">
            <w:pPr>
              <w:jc w:val="right"/>
              <w:rPr>
                <w:rFonts w:ascii="Times New Roman" w:hAnsi="Times New Roman"/>
                <w:lang w:val="es-ES_tradnl"/>
              </w:rPr>
            </w:pPr>
          </w:p>
        </w:tc>
        <w:tc>
          <w:tcPr>
            <w:tcW w:w="2620" w:type="dxa"/>
            <w:tcBorders>
              <w:top w:val="nil"/>
              <w:left w:val="nil"/>
              <w:bottom w:val="nil"/>
              <w:right w:val="nil"/>
            </w:tcBorders>
            <w:shd w:val="clear" w:color="auto" w:fill="auto"/>
            <w:hideMark/>
          </w:tcPr>
          <w:p w14:paraId="2D1C9D81" w14:textId="7E3FA37E"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Pasantías</w:t>
            </w:r>
          </w:p>
        </w:tc>
        <w:tc>
          <w:tcPr>
            <w:tcW w:w="816" w:type="dxa"/>
            <w:tcBorders>
              <w:top w:val="nil"/>
              <w:left w:val="nil"/>
              <w:bottom w:val="nil"/>
              <w:right w:val="nil"/>
            </w:tcBorders>
            <w:shd w:val="clear" w:color="auto" w:fill="auto"/>
            <w:hideMark/>
          </w:tcPr>
          <w:p w14:paraId="3DD31BAE"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66D9B66E"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w:t>
            </w:r>
          </w:p>
        </w:tc>
        <w:tc>
          <w:tcPr>
            <w:tcW w:w="819" w:type="dxa"/>
            <w:tcBorders>
              <w:top w:val="nil"/>
              <w:left w:val="nil"/>
              <w:bottom w:val="nil"/>
              <w:right w:val="nil"/>
            </w:tcBorders>
            <w:shd w:val="clear" w:color="auto" w:fill="auto"/>
            <w:hideMark/>
          </w:tcPr>
          <w:p w14:paraId="49387A18"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20" w:type="dxa"/>
            <w:tcBorders>
              <w:top w:val="nil"/>
              <w:left w:val="nil"/>
              <w:bottom w:val="nil"/>
              <w:right w:val="nil"/>
            </w:tcBorders>
            <w:shd w:val="clear" w:color="auto" w:fill="auto"/>
            <w:hideMark/>
          </w:tcPr>
          <w:p w14:paraId="16B0C649"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16B390A6"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w:t>
            </w:r>
          </w:p>
        </w:tc>
      </w:tr>
      <w:tr w:rsidR="001240C5" w:rsidRPr="006E4BE1" w14:paraId="3BE1C1C7" w14:textId="77777777" w:rsidTr="00D967B8">
        <w:trPr>
          <w:trHeight w:val="268"/>
          <w:jc w:val="center"/>
        </w:trPr>
        <w:tc>
          <w:tcPr>
            <w:tcW w:w="1208" w:type="dxa"/>
            <w:tcBorders>
              <w:top w:val="nil"/>
              <w:left w:val="nil"/>
              <w:bottom w:val="nil"/>
              <w:right w:val="nil"/>
            </w:tcBorders>
            <w:shd w:val="clear" w:color="auto" w:fill="auto"/>
            <w:hideMark/>
          </w:tcPr>
          <w:p w14:paraId="62E8FF0E" w14:textId="77777777" w:rsidR="001240C5" w:rsidRPr="006E4BE1" w:rsidRDefault="001240C5" w:rsidP="00D967B8">
            <w:pPr>
              <w:jc w:val="right"/>
              <w:rPr>
                <w:rFonts w:ascii="Arial Narrow" w:hAnsi="Arial Narrow" w:cs="Arial"/>
                <w:lang w:val="es-ES_tradnl"/>
              </w:rPr>
            </w:pPr>
          </w:p>
        </w:tc>
        <w:tc>
          <w:tcPr>
            <w:tcW w:w="2620" w:type="dxa"/>
            <w:tcBorders>
              <w:top w:val="nil"/>
              <w:left w:val="nil"/>
              <w:bottom w:val="nil"/>
              <w:right w:val="nil"/>
            </w:tcBorders>
            <w:shd w:val="clear" w:color="auto" w:fill="auto"/>
            <w:hideMark/>
          </w:tcPr>
          <w:p w14:paraId="1F8DA9EF" w14:textId="24B7DCA9"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Becas</w:t>
            </w:r>
          </w:p>
        </w:tc>
        <w:tc>
          <w:tcPr>
            <w:tcW w:w="816" w:type="dxa"/>
            <w:tcBorders>
              <w:top w:val="nil"/>
              <w:left w:val="nil"/>
              <w:bottom w:val="nil"/>
              <w:right w:val="nil"/>
            </w:tcBorders>
            <w:shd w:val="clear" w:color="auto" w:fill="auto"/>
            <w:hideMark/>
          </w:tcPr>
          <w:p w14:paraId="18BD0B3F"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27652610"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33</w:t>
            </w:r>
          </w:p>
        </w:tc>
        <w:tc>
          <w:tcPr>
            <w:tcW w:w="819" w:type="dxa"/>
            <w:tcBorders>
              <w:top w:val="nil"/>
              <w:left w:val="nil"/>
              <w:bottom w:val="nil"/>
              <w:right w:val="nil"/>
            </w:tcBorders>
            <w:shd w:val="clear" w:color="auto" w:fill="auto"/>
            <w:hideMark/>
          </w:tcPr>
          <w:p w14:paraId="6E71F3CC"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33</w:t>
            </w:r>
          </w:p>
        </w:tc>
        <w:tc>
          <w:tcPr>
            <w:tcW w:w="820" w:type="dxa"/>
            <w:tcBorders>
              <w:top w:val="nil"/>
              <w:left w:val="nil"/>
              <w:bottom w:val="nil"/>
              <w:right w:val="nil"/>
            </w:tcBorders>
            <w:shd w:val="clear" w:color="auto" w:fill="auto"/>
            <w:hideMark/>
          </w:tcPr>
          <w:p w14:paraId="24A2DDF6"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1729DBCB"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65</w:t>
            </w:r>
          </w:p>
        </w:tc>
      </w:tr>
      <w:tr w:rsidR="001240C5" w:rsidRPr="006E4BE1" w14:paraId="1E45161B" w14:textId="77777777" w:rsidTr="00D967B8">
        <w:trPr>
          <w:trHeight w:val="268"/>
          <w:jc w:val="center"/>
        </w:trPr>
        <w:tc>
          <w:tcPr>
            <w:tcW w:w="3828" w:type="dxa"/>
            <w:gridSpan w:val="2"/>
            <w:tcBorders>
              <w:top w:val="nil"/>
              <w:left w:val="nil"/>
              <w:bottom w:val="nil"/>
              <w:right w:val="nil"/>
            </w:tcBorders>
            <w:shd w:val="clear" w:color="auto" w:fill="auto"/>
            <w:vAlign w:val="center"/>
            <w:hideMark/>
          </w:tcPr>
          <w:p w14:paraId="5ED3D0A0" w14:textId="4328711A" w:rsidR="001240C5" w:rsidRPr="006E4BE1" w:rsidRDefault="001240C5" w:rsidP="001240C5">
            <w:pPr>
              <w:ind w:firstLineChars="200" w:firstLine="400"/>
              <w:jc w:val="left"/>
              <w:rPr>
                <w:rFonts w:ascii="Arial Narrow" w:hAnsi="Arial Narrow" w:cs="Arial"/>
                <w:b/>
                <w:bCs/>
                <w:lang w:val="es-ES_tradnl"/>
              </w:rPr>
            </w:pPr>
            <w:r w:rsidRPr="006E4BE1">
              <w:rPr>
                <w:rFonts w:ascii="Arial Narrow" w:hAnsi="Arial Narrow" w:cs="Arial"/>
                <w:b/>
                <w:bCs/>
                <w:lang w:val="es-ES_tradnl"/>
              </w:rPr>
              <w:t>Viajes, formación y subsidios</w:t>
            </w:r>
          </w:p>
        </w:tc>
        <w:tc>
          <w:tcPr>
            <w:tcW w:w="816" w:type="dxa"/>
            <w:tcBorders>
              <w:top w:val="nil"/>
              <w:left w:val="nil"/>
              <w:bottom w:val="nil"/>
              <w:right w:val="nil"/>
            </w:tcBorders>
            <w:shd w:val="clear" w:color="auto" w:fill="auto"/>
            <w:vAlign w:val="center"/>
            <w:hideMark/>
          </w:tcPr>
          <w:p w14:paraId="7EF76216" w14:textId="77777777" w:rsidR="001240C5" w:rsidRPr="006E4BE1" w:rsidRDefault="001240C5" w:rsidP="00D967B8">
            <w:pPr>
              <w:ind w:firstLineChars="200" w:firstLine="400"/>
              <w:jc w:val="right"/>
              <w:rPr>
                <w:rFonts w:ascii="Arial Narrow" w:hAnsi="Arial Narrow" w:cs="Arial"/>
                <w:b/>
                <w:bCs/>
                <w:lang w:val="es-ES_tradnl"/>
              </w:rPr>
            </w:pPr>
          </w:p>
        </w:tc>
        <w:tc>
          <w:tcPr>
            <w:tcW w:w="851" w:type="dxa"/>
            <w:tcBorders>
              <w:top w:val="nil"/>
              <w:left w:val="nil"/>
              <w:bottom w:val="nil"/>
              <w:right w:val="nil"/>
            </w:tcBorders>
            <w:shd w:val="clear" w:color="auto" w:fill="auto"/>
            <w:vAlign w:val="center"/>
            <w:hideMark/>
          </w:tcPr>
          <w:p w14:paraId="737AEFA2" w14:textId="77777777" w:rsidR="001240C5" w:rsidRPr="006E4BE1" w:rsidRDefault="001240C5" w:rsidP="00D967B8">
            <w:pPr>
              <w:jc w:val="right"/>
              <w:rPr>
                <w:rFonts w:ascii="Times New Roman" w:hAnsi="Times New Roman"/>
                <w:lang w:val="es-ES_tradnl"/>
              </w:rPr>
            </w:pPr>
          </w:p>
        </w:tc>
        <w:tc>
          <w:tcPr>
            <w:tcW w:w="819" w:type="dxa"/>
            <w:tcBorders>
              <w:top w:val="nil"/>
              <w:left w:val="nil"/>
              <w:bottom w:val="nil"/>
              <w:right w:val="nil"/>
            </w:tcBorders>
            <w:shd w:val="clear" w:color="auto" w:fill="auto"/>
            <w:vAlign w:val="center"/>
            <w:hideMark/>
          </w:tcPr>
          <w:p w14:paraId="4E480D9D" w14:textId="77777777" w:rsidR="001240C5" w:rsidRPr="006E4BE1" w:rsidRDefault="001240C5" w:rsidP="00D967B8">
            <w:pPr>
              <w:jc w:val="right"/>
              <w:rPr>
                <w:rFonts w:ascii="Times New Roman" w:hAnsi="Times New Roman"/>
                <w:lang w:val="es-ES_tradnl"/>
              </w:rPr>
            </w:pPr>
          </w:p>
        </w:tc>
        <w:tc>
          <w:tcPr>
            <w:tcW w:w="820" w:type="dxa"/>
            <w:tcBorders>
              <w:top w:val="nil"/>
              <w:left w:val="nil"/>
              <w:bottom w:val="nil"/>
              <w:right w:val="nil"/>
            </w:tcBorders>
            <w:shd w:val="clear" w:color="auto" w:fill="auto"/>
            <w:vAlign w:val="center"/>
            <w:hideMark/>
          </w:tcPr>
          <w:p w14:paraId="3D3F324D" w14:textId="77777777" w:rsidR="001240C5" w:rsidRPr="006E4BE1" w:rsidRDefault="001240C5" w:rsidP="00D967B8">
            <w:pPr>
              <w:jc w:val="right"/>
              <w:rPr>
                <w:rFonts w:ascii="Times New Roman" w:hAnsi="Times New Roman"/>
                <w:lang w:val="es-ES_tradnl"/>
              </w:rPr>
            </w:pPr>
          </w:p>
        </w:tc>
        <w:tc>
          <w:tcPr>
            <w:tcW w:w="851" w:type="dxa"/>
            <w:tcBorders>
              <w:top w:val="nil"/>
              <w:left w:val="nil"/>
              <w:bottom w:val="nil"/>
              <w:right w:val="nil"/>
            </w:tcBorders>
            <w:shd w:val="clear" w:color="auto" w:fill="auto"/>
            <w:vAlign w:val="center"/>
            <w:hideMark/>
          </w:tcPr>
          <w:p w14:paraId="3C798DE3" w14:textId="77777777" w:rsidR="001240C5" w:rsidRPr="006E4BE1" w:rsidRDefault="001240C5" w:rsidP="00D967B8">
            <w:pPr>
              <w:jc w:val="right"/>
              <w:rPr>
                <w:rFonts w:ascii="Times New Roman" w:hAnsi="Times New Roman"/>
                <w:lang w:val="es-ES_tradnl"/>
              </w:rPr>
            </w:pPr>
          </w:p>
        </w:tc>
      </w:tr>
      <w:tr w:rsidR="001240C5" w:rsidRPr="006E4BE1" w14:paraId="4977DFB7" w14:textId="77777777" w:rsidTr="00D967B8">
        <w:trPr>
          <w:trHeight w:val="268"/>
          <w:jc w:val="center"/>
        </w:trPr>
        <w:tc>
          <w:tcPr>
            <w:tcW w:w="1208" w:type="dxa"/>
            <w:tcBorders>
              <w:top w:val="nil"/>
              <w:left w:val="nil"/>
              <w:bottom w:val="nil"/>
              <w:right w:val="nil"/>
            </w:tcBorders>
            <w:shd w:val="clear" w:color="auto" w:fill="auto"/>
            <w:hideMark/>
          </w:tcPr>
          <w:p w14:paraId="5B6DDF13" w14:textId="77777777" w:rsidR="001240C5" w:rsidRPr="006E4BE1" w:rsidRDefault="001240C5" w:rsidP="00D967B8">
            <w:pPr>
              <w:jc w:val="right"/>
              <w:rPr>
                <w:rFonts w:ascii="Times New Roman" w:hAnsi="Times New Roman"/>
                <w:lang w:val="es-ES_tradnl"/>
              </w:rPr>
            </w:pPr>
          </w:p>
        </w:tc>
        <w:tc>
          <w:tcPr>
            <w:tcW w:w="2620" w:type="dxa"/>
            <w:tcBorders>
              <w:top w:val="nil"/>
              <w:left w:val="nil"/>
              <w:bottom w:val="nil"/>
              <w:right w:val="nil"/>
            </w:tcBorders>
            <w:shd w:val="clear" w:color="auto" w:fill="auto"/>
            <w:hideMark/>
          </w:tcPr>
          <w:p w14:paraId="2113D0DE" w14:textId="2A4A9C3A"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Misiones del personal</w:t>
            </w:r>
          </w:p>
        </w:tc>
        <w:tc>
          <w:tcPr>
            <w:tcW w:w="816" w:type="dxa"/>
            <w:tcBorders>
              <w:top w:val="nil"/>
              <w:left w:val="nil"/>
              <w:bottom w:val="nil"/>
              <w:right w:val="nil"/>
            </w:tcBorders>
            <w:shd w:val="clear" w:color="auto" w:fill="auto"/>
            <w:hideMark/>
          </w:tcPr>
          <w:p w14:paraId="10409CE2"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19CF417A"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70</w:t>
            </w:r>
          </w:p>
        </w:tc>
        <w:tc>
          <w:tcPr>
            <w:tcW w:w="819" w:type="dxa"/>
            <w:tcBorders>
              <w:top w:val="nil"/>
              <w:left w:val="nil"/>
              <w:bottom w:val="nil"/>
              <w:right w:val="nil"/>
            </w:tcBorders>
            <w:shd w:val="clear" w:color="auto" w:fill="auto"/>
            <w:hideMark/>
          </w:tcPr>
          <w:p w14:paraId="3F0FA1B7"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192</w:t>
            </w:r>
          </w:p>
        </w:tc>
        <w:tc>
          <w:tcPr>
            <w:tcW w:w="820" w:type="dxa"/>
            <w:tcBorders>
              <w:top w:val="nil"/>
              <w:left w:val="nil"/>
              <w:bottom w:val="nil"/>
              <w:right w:val="nil"/>
            </w:tcBorders>
            <w:shd w:val="clear" w:color="auto" w:fill="auto"/>
            <w:hideMark/>
          </w:tcPr>
          <w:p w14:paraId="55BBAC64"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87</w:t>
            </w:r>
          </w:p>
        </w:tc>
        <w:tc>
          <w:tcPr>
            <w:tcW w:w="851" w:type="dxa"/>
            <w:tcBorders>
              <w:top w:val="nil"/>
              <w:left w:val="nil"/>
              <w:bottom w:val="nil"/>
              <w:right w:val="nil"/>
            </w:tcBorders>
            <w:shd w:val="clear" w:color="auto" w:fill="auto"/>
            <w:hideMark/>
          </w:tcPr>
          <w:p w14:paraId="1BD15A0A"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349</w:t>
            </w:r>
          </w:p>
        </w:tc>
      </w:tr>
      <w:tr w:rsidR="001240C5" w:rsidRPr="006E4BE1" w14:paraId="7F7BBBD7" w14:textId="77777777" w:rsidTr="00D967B8">
        <w:trPr>
          <w:trHeight w:val="268"/>
          <w:jc w:val="center"/>
        </w:trPr>
        <w:tc>
          <w:tcPr>
            <w:tcW w:w="1208" w:type="dxa"/>
            <w:tcBorders>
              <w:top w:val="nil"/>
              <w:left w:val="nil"/>
              <w:bottom w:val="nil"/>
              <w:right w:val="nil"/>
            </w:tcBorders>
            <w:shd w:val="clear" w:color="auto" w:fill="auto"/>
            <w:hideMark/>
          </w:tcPr>
          <w:p w14:paraId="16CE3E28" w14:textId="77777777" w:rsidR="001240C5" w:rsidRPr="006E4BE1" w:rsidRDefault="001240C5" w:rsidP="00D967B8">
            <w:pPr>
              <w:jc w:val="right"/>
              <w:rPr>
                <w:rFonts w:ascii="Arial Narrow" w:hAnsi="Arial Narrow" w:cs="Arial"/>
                <w:lang w:val="es-ES_tradnl"/>
              </w:rPr>
            </w:pPr>
          </w:p>
        </w:tc>
        <w:tc>
          <w:tcPr>
            <w:tcW w:w="2620" w:type="dxa"/>
            <w:tcBorders>
              <w:top w:val="nil"/>
              <w:left w:val="nil"/>
              <w:bottom w:val="nil"/>
              <w:right w:val="nil"/>
            </w:tcBorders>
            <w:shd w:val="clear" w:color="auto" w:fill="auto"/>
            <w:hideMark/>
          </w:tcPr>
          <w:p w14:paraId="013353BC" w14:textId="44E062FB"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Viajes de terceros</w:t>
            </w:r>
          </w:p>
        </w:tc>
        <w:tc>
          <w:tcPr>
            <w:tcW w:w="816" w:type="dxa"/>
            <w:tcBorders>
              <w:top w:val="nil"/>
              <w:left w:val="nil"/>
              <w:bottom w:val="nil"/>
              <w:right w:val="nil"/>
            </w:tcBorders>
            <w:shd w:val="clear" w:color="auto" w:fill="auto"/>
            <w:hideMark/>
          </w:tcPr>
          <w:p w14:paraId="2920068D"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4CA80BFD"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19" w:type="dxa"/>
            <w:tcBorders>
              <w:top w:val="nil"/>
              <w:left w:val="nil"/>
              <w:bottom w:val="nil"/>
              <w:right w:val="nil"/>
            </w:tcBorders>
            <w:shd w:val="clear" w:color="auto" w:fill="auto"/>
            <w:hideMark/>
          </w:tcPr>
          <w:p w14:paraId="65E0DA2A"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12</w:t>
            </w:r>
          </w:p>
        </w:tc>
        <w:tc>
          <w:tcPr>
            <w:tcW w:w="820" w:type="dxa"/>
            <w:tcBorders>
              <w:top w:val="nil"/>
              <w:left w:val="nil"/>
              <w:bottom w:val="nil"/>
              <w:right w:val="nil"/>
            </w:tcBorders>
            <w:shd w:val="clear" w:color="auto" w:fill="auto"/>
            <w:hideMark/>
          </w:tcPr>
          <w:p w14:paraId="7E1E58F7"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6D480885"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12</w:t>
            </w:r>
          </w:p>
        </w:tc>
      </w:tr>
      <w:tr w:rsidR="001240C5" w:rsidRPr="006E4BE1" w14:paraId="65C0C5A4" w14:textId="77777777" w:rsidTr="00D967B8">
        <w:trPr>
          <w:trHeight w:val="268"/>
          <w:jc w:val="center"/>
        </w:trPr>
        <w:tc>
          <w:tcPr>
            <w:tcW w:w="3828" w:type="dxa"/>
            <w:gridSpan w:val="2"/>
            <w:tcBorders>
              <w:top w:val="nil"/>
              <w:left w:val="nil"/>
              <w:bottom w:val="nil"/>
              <w:right w:val="nil"/>
            </w:tcBorders>
            <w:shd w:val="clear" w:color="auto" w:fill="auto"/>
            <w:vAlign w:val="center"/>
            <w:hideMark/>
          </w:tcPr>
          <w:p w14:paraId="48E22C1A" w14:textId="3C4AD53A" w:rsidR="001240C5" w:rsidRPr="006E4BE1" w:rsidRDefault="001240C5" w:rsidP="001240C5">
            <w:pPr>
              <w:ind w:firstLineChars="200" w:firstLine="400"/>
              <w:jc w:val="left"/>
              <w:rPr>
                <w:rFonts w:ascii="Arial Narrow" w:hAnsi="Arial Narrow" w:cs="Arial"/>
                <w:b/>
                <w:bCs/>
                <w:lang w:val="es-ES_tradnl"/>
              </w:rPr>
            </w:pPr>
            <w:r w:rsidRPr="006E4BE1">
              <w:rPr>
                <w:rFonts w:ascii="Arial Narrow" w:hAnsi="Arial Narrow" w:cs="Arial"/>
                <w:b/>
                <w:bCs/>
                <w:lang w:val="es-ES_tradnl"/>
              </w:rPr>
              <w:t>Servicios contractuales</w:t>
            </w:r>
          </w:p>
        </w:tc>
        <w:tc>
          <w:tcPr>
            <w:tcW w:w="816" w:type="dxa"/>
            <w:tcBorders>
              <w:top w:val="nil"/>
              <w:left w:val="nil"/>
              <w:bottom w:val="nil"/>
              <w:right w:val="nil"/>
            </w:tcBorders>
            <w:shd w:val="clear" w:color="auto" w:fill="auto"/>
            <w:vAlign w:val="center"/>
            <w:hideMark/>
          </w:tcPr>
          <w:p w14:paraId="27C2CB2C" w14:textId="77777777" w:rsidR="001240C5" w:rsidRPr="006E4BE1" w:rsidRDefault="001240C5" w:rsidP="00D967B8">
            <w:pPr>
              <w:ind w:firstLineChars="200" w:firstLine="400"/>
              <w:jc w:val="right"/>
              <w:rPr>
                <w:rFonts w:ascii="Arial Narrow" w:hAnsi="Arial Narrow" w:cs="Arial"/>
                <w:b/>
                <w:bCs/>
                <w:lang w:val="es-ES_tradnl"/>
              </w:rPr>
            </w:pPr>
          </w:p>
        </w:tc>
        <w:tc>
          <w:tcPr>
            <w:tcW w:w="851" w:type="dxa"/>
            <w:tcBorders>
              <w:top w:val="nil"/>
              <w:left w:val="nil"/>
              <w:bottom w:val="nil"/>
              <w:right w:val="nil"/>
            </w:tcBorders>
            <w:shd w:val="clear" w:color="auto" w:fill="auto"/>
            <w:vAlign w:val="center"/>
            <w:hideMark/>
          </w:tcPr>
          <w:p w14:paraId="76F915C5" w14:textId="77777777" w:rsidR="001240C5" w:rsidRPr="006E4BE1" w:rsidRDefault="001240C5" w:rsidP="00D967B8">
            <w:pPr>
              <w:jc w:val="right"/>
              <w:rPr>
                <w:rFonts w:ascii="Times New Roman" w:hAnsi="Times New Roman"/>
                <w:lang w:val="es-ES_tradnl"/>
              </w:rPr>
            </w:pPr>
          </w:p>
        </w:tc>
        <w:tc>
          <w:tcPr>
            <w:tcW w:w="819" w:type="dxa"/>
            <w:tcBorders>
              <w:top w:val="nil"/>
              <w:left w:val="nil"/>
              <w:bottom w:val="nil"/>
              <w:right w:val="nil"/>
            </w:tcBorders>
            <w:shd w:val="clear" w:color="auto" w:fill="auto"/>
            <w:vAlign w:val="center"/>
            <w:hideMark/>
          </w:tcPr>
          <w:p w14:paraId="4CC52F03" w14:textId="77777777" w:rsidR="001240C5" w:rsidRPr="006E4BE1" w:rsidRDefault="001240C5" w:rsidP="00D967B8">
            <w:pPr>
              <w:jc w:val="right"/>
              <w:rPr>
                <w:rFonts w:ascii="Times New Roman" w:hAnsi="Times New Roman"/>
                <w:lang w:val="es-ES_tradnl"/>
              </w:rPr>
            </w:pPr>
          </w:p>
        </w:tc>
        <w:tc>
          <w:tcPr>
            <w:tcW w:w="820" w:type="dxa"/>
            <w:tcBorders>
              <w:top w:val="nil"/>
              <w:left w:val="nil"/>
              <w:bottom w:val="nil"/>
              <w:right w:val="nil"/>
            </w:tcBorders>
            <w:shd w:val="clear" w:color="auto" w:fill="auto"/>
            <w:vAlign w:val="center"/>
            <w:hideMark/>
          </w:tcPr>
          <w:p w14:paraId="43A95716" w14:textId="77777777" w:rsidR="001240C5" w:rsidRPr="006E4BE1" w:rsidRDefault="001240C5" w:rsidP="00D967B8">
            <w:pPr>
              <w:jc w:val="right"/>
              <w:rPr>
                <w:rFonts w:ascii="Times New Roman" w:hAnsi="Times New Roman"/>
                <w:lang w:val="es-ES_tradnl"/>
              </w:rPr>
            </w:pPr>
          </w:p>
        </w:tc>
        <w:tc>
          <w:tcPr>
            <w:tcW w:w="851" w:type="dxa"/>
            <w:tcBorders>
              <w:top w:val="nil"/>
              <w:left w:val="nil"/>
              <w:bottom w:val="nil"/>
              <w:right w:val="nil"/>
            </w:tcBorders>
            <w:shd w:val="clear" w:color="auto" w:fill="auto"/>
            <w:vAlign w:val="center"/>
            <w:hideMark/>
          </w:tcPr>
          <w:p w14:paraId="527ECE64" w14:textId="77777777" w:rsidR="001240C5" w:rsidRPr="006E4BE1" w:rsidRDefault="001240C5" w:rsidP="00D967B8">
            <w:pPr>
              <w:jc w:val="right"/>
              <w:rPr>
                <w:rFonts w:ascii="Times New Roman" w:hAnsi="Times New Roman"/>
                <w:lang w:val="es-ES_tradnl"/>
              </w:rPr>
            </w:pPr>
          </w:p>
        </w:tc>
      </w:tr>
      <w:tr w:rsidR="001240C5" w:rsidRPr="006E4BE1" w14:paraId="68CF86BA" w14:textId="77777777" w:rsidTr="00D967B8">
        <w:trPr>
          <w:trHeight w:val="268"/>
          <w:jc w:val="center"/>
        </w:trPr>
        <w:tc>
          <w:tcPr>
            <w:tcW w:w="1208" w:type="dxa"/>
            <w:tcBorders>
              <w:top w:val="nil"/>
              <w:left w:val="nil"/>
              <w:bottom w:val="nil"/>
              <w:right w:val="nil"/>
            </w:tcBorders>
            <w:shd w:val="clear" w:color="auto" w:fill="auto"/>
            <w:hideMark/>
          </w:tcPr>
          <w:p w14:paraId="2F6B1353" w14:textId="77777777" w:rsidR="001240C5" w:rsidRPr="006E4BE1" w:rsidRDefault="001240C5" w:rsidP="00D967B8">
            <w:pPr>
              <w:jc w:val="right"/>
              <w:rPr>
                <w:rFonts w:ascii="Times New Roman" w:hAnsi="Times New Roman"/>
                <w:lang w:val="es-ES_tradnl"/>
              </w:rPr>
            </w:pPr>
          </w:p>
        </w:tc>
        <w:tc>
          <w:tcPr>
            <w:tcW w:w="2620" w:type="dxa"/>
            <w:tcBorders>
              <w:top w:val="nil"/>
              <w:left w:val="nil"/>
              <w:bottom w:val="nil"/>
              <w:right w:val="nil"/>
            </w:tcBorders>
            <w:shd w:val="clear" w:color="auto" w:fill="auto"/>
            <w:hideMark/>
          </w:tcPr>
          <w:p w14:paraId="39D11C76" w14:textId="32FA0E3A"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Conferencias</w:t>
            </w:r>
          </w:p>
        </w:tc>
        <w:tc>
          <w:tcPr>
            <w:tcW w:w="816" w:type="dxa"/>
            <w:tcBorders>
              <w:top w:val="nil"/>
              <w:left w:val="nil"/>
              <w:bottom w:val="nil"/>
              <w:right w:val="nil"/>
            </w:tcBorders>
            <w:shd w:val="clear" w:color="auto" w:fill="auto"/>
            <w:hideMark/>
          </w:tcPr>
          <w:p w14:paraId="263DB562"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45</w:t>
            </w:r>
          </w:p>
        </w:tc>
        <w:tc>
          <w:tcPr>
            <w:tcW w:w="851" w:type="dxa"/>
            <w:tcBorders>
              <w:top w:val="nil"/>
              <w:left w:val="nil"/>
              <w:bottom w:val="nil"/>
              <w:right w:val="nil"/>
            </w:tcBorders>
            <w:shd w:val="clear" w:color="auto" w:fill="auto"/>
            <w:hideMark/>
          </w:tcPr>
          <w:p w14:paraId="28643443"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135</w:t>
            </w:r>
          </w:p>
        </w:tc>
        <w:tc>
          <w:tcPr>
            <w:tcW w:w="819" w:type="dxa"/>
            <w:tcBorders>
              <w:top w:val="nil"/>
              <w:left w:val="nil"/>
              <w:bottom w:val="nil"/>
              <w:right w:val="nil"/>
            </w:tcBorders>
            <w:shd w:val="clear" w:color="auto" w:fill="auto"/>
            <w:hideMark/>
          </w:tcPr>
          <w:p w14:paraId="2735C901"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20" w:type="dxa"/>
            <w:tcBorders>
              <w:top w:val="nil"/>
              <w:left w:val="nil"/>
              <w:bottom w:val="nil"/>
              <w:right w:val="nil"/>
            </w:tcBorders>
            <w:shd w:val="clear" w:color="auto" w:fill="auto"/>
            <w:hideMark/>
          </w:tcPr>
          <w:p w14:paraId="556CFCF6"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51313BCA"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180</w:t>
            </w:r>
          </w:p>
        </w:tc>
      </w:tr>
      <w:tr w:rsidR="001240C5" w:rsidRPr="006E4BE1" w14:paraId="0A04FBA6" w14:textId="77777777" w:rsidTr="00D967B8">
        <w:trPr>
          <w:trHeight w:val="268"/>
          <w:jc w:val="center"/>
        </w:trPr>
        <w:tc>
          <w:tcPr>
            <w:tcW w:w="1208" w:type="dxa"/>
            <w:tcBorders>
              <w:top w:val="nil"/>
              <w:left w:val="nil"/>
              <w:bottom w:val="nil"/>
              <w:right w:val="nil"/>
            </w:tcBorders>
            <w:shd w:val="clear" w:color="auto" w:fill="auto"/>
            <w:hideMark/>
          </w:tcPr>
          <w:p w14:paraId="7C707F4F" w14:textId="77777777" w:rsidR="001240C5" w:rsidRPr="006E4BE1" w:rsidRDefault="001240C5" w:rsidP="00D967B8">
            <w:pPr>
              <w:jc w:val="right"/>
              <w:rPr>
                <w:rFonts w:ascii="Arial Narrow" w:hAnsi="Arial Narrow" w:cs="Arial"/>
                <w:lang w:val="es-ES_tradnl"/>
              </w:rPr>
            </w:pPr>
          </w:p>
        </w:tc>
        <w:tc>
          <w:tcPr>
            <w:tcW w:w="2620" w:type="dxa"/>
            <w:tcBorders>
              <w:top w:val="nil"/>
              <w:left w:val="nil"/>
              <w:bottom w:val="nil"/>
              <w:right w:val="nil"/>
            </w:tcBorders>
            <w:shd w:val="clear" w:color="auto" w:fill="auto"/>
            <w:hideMark/>
          </w:tcPr>
          <w:p w14:paraId="02D0EF91" w14:textId="12341691"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Publicaciones</w:t>
            </w:r>
          </w:p>
        </w:tc>
        <w:tc>
          <w:tcPr>
            <w:tcW w:w="816" w:type="dxa"/>
            <w:tcBorders>
              <w:top w:val="nil"/>
              <w:left w:val="nil"/>
              <w:bottom w:val="nil"/>
              <w:right w:val="nil"/>
            </w:tcBorders>
            <w:shd w:val="clear" w:color="auto" w:fill="auto"/>
            <w:hideMark/>
          </w:tcPr>
          <w:p w14:paraId="24833684"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58CF1935"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19" w:type="dxa"/>
            <w:tcBorders>
              <w:top w:val="nil"/>
              <w:left w:val="nil"/>
              <w:bottom w:val="nil"/>
              <w:right w:val="nil"/>
            </w:tcBorders>
            <w:shd w:val="clear" w:color="auto" w:fill="auto"/>
            <w:hideMark/>
          </w:tcPr>
          <w:p w14:paraId="1C06DA07"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20" w:type="dxa"/>
            <w:tcBorders>
              <w:top w:val="nil"/>
              <w:left w:val="nil"/>
              <w:bottom w:val="nil"/>
              <w:right w:val="nil"/>
            </w:tcBorders>
            <w:shd w:val="clear" w:color="auto" w:fill="auto"/>
            <w:hideMark/>
          </w:tcPr>
          <w:p w14:paraId="4DE6F4DE"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304CB693"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r>
      <w:tr w:rsidR="001240C5" w:rsidRPr="006E4BE1" w14:paraId="6814C706" w14:textId="77777777" w:rsidTr="00D967B8">
        <w:trPr>
          <w:trHeight w:val="268"/>
          <w:jc w:val="center"/>
        </w:trPr>
        <w:tc>
          <w:tcPr>
            <w:tcW w:w="1208" w:type="dxa"/>
            <w:tcBorders>
              <w:top w:val="nil"/>
              <w:left w:val="nil"/>
              <w:bottom w:val="nil"/>
              <w:right w:val="nil"/>
            </w:tcBorders>
            <w:shd w:val="clear" w:color="auto" w:fill="auto"/>
            <w:hideMark/>
          </w:tcPr>
          <w:p w14:paraId="7C36C566" w14:textId="77777777" w:rsidR="001240C5" w:rsidRPr="006E4BE1" w:rsidRDefault="001240C5" w:rsidP="00D967B8">
            <w:pPr>
              <w:jc w:val="right"/>
              <w:rPr>
                <w:rFonts w:ascii="Arial Narrow" w:hAnsi="Arial Narrow" w:cs="Arial"/>
                <w:lang w:val="es-ES_tradnl"/>
              </w:rPr>
            </w:pPr>
          </w:p>
        </w:tc>
        <w:tc>
          <w:tcPr>
            <w:tcW w:w="2620" w:type="dxa"/>
            <w:tcBorders>
              <w:top w:val="nil"/>
              <w:left w:val="nil"/>
              <w:bottom w:val="nil"/>
              <w:right w:val="nil"/>
            </w:tcBorders>
            <w:shd w:val="clear" w:color="auto" w:fill="auto"/>
            <w:hideMark/>
          </w:tcPr>
          <w:p w14:paraId="5C3FDFCD" w14:textId="222AA68D"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Servicios contractuales individuales</w:t>
            </w:r>
          </w:p>
        </w:tc>
        <w:tc>
          <w:tcPr>
            <w:tcW w:w="816" w:type="dxa"/>
            <w:tcBorders>
              <w:top w:val="nil"/>
              <w:left w:val="nil"/>
              <w:bottom w:val="nil"/>
              <w:right w:val="nil"/>
            </w:tcBorders>
            <w:shd w:val="clear" w:color="auto" w:fill="auto"/>
            <w:hideMark/>
          </w:tcPr>
          <w:p w14:paraId="19799E28"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69B52079"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19" w:type="dxa"/>
            <w:tcBorders>
              <w:top w:val="nil"/>
              <w:left w:val="nil"/>
              <w:bottom w:val="nil"/>
              <w:right w:val="nil"/>
            </w:tcBorders>
            <w:shd w:val="clear" w:color="auto" w:fill="auto"/>
            <w:hideMark/>
          </w:tcPr>
          <w:p w14:paraId="64ABA7C8"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w:t>
            </w:r>
          </w:p>
        </w:tc>
        <w:tc>
          <w:tcPr>
            <w:tcW w:w="820" w:type="dxa"/>
            <w:tcBorders>
              <w:top w:val="nil"/>
              <w:left w:val="nil"/>
              <w:bottom w:val="nil"/>
              <w:right w:val="nil"/>
            </w:tcBorders>
            <w:shd w:val="clear" w:color="auto" w:fill="auto"/>
            <w:hideMark/>
          </w:tcPr>
          <w:p w14:paraId="28509E17"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37CDAA8D"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w:t>
            </w:r>
          </w:p>
        </w:tc>
      </w:tr>
      <w:tr w:rsidR="001240C5" w:rsidRPr="006E4BE1" w14:paraId="5BFF5C72" w14:textId="77777777" w:rsidTr="00D967B8">
        <w:trPr>
          <w:trHeight w:val="268"/>
          <w:jc w:val="center"/>
        </w:trPr>
        <w:tc>
          <w:tcPr>
            <w:tcW w:w="1208" w:type="dxa"/>
            <w:tcBorders>
              <w:top w:val="nil"/>
              <w:left w:val="nil"/>
              <w:bottom w:val="nil"/>
              <w:right w:val="nil"/>
            </w:tcBorders>
            <w:shd w:val="clear" w:color="auto" w:fill="auto"/>
            <w:hideMark/>
          </w:tcPr>
          <w:p w14:paraId="00242F4A" w14:textId="77777777" w:rsidR="001240C5" w:rsidRPr="006E4BE1" w:rsidRDefault="001240C5" w:rsidP="00D967B8">
            <w:pPr>
              <w:jc w:val="right"/>
              <w:rPr>
                <w:rFonts w:ascii="Arial Narrow" w:hAnsi="Arial Narrow" w:cs="Arial"/>
                <w:lang w:val="es-ES_tradnl"/>
              </w:rPr>
            </w:pPr>
          </w:p>
        </w:tc>
        <w:tc>
          <w:tcPr>
            <w:tcW w:w="2620" w:type="dxa"/>
            <w:tcBorders>
              <w:top w:val="nil"/>
              <w:left w:val="nil"/>
              <w:bottom w:val="nil"/>
              <w:right w:val="nil"/>
            </w:tcBorders>
            <w:shd w:val="clear" w:color="auto" w:fill="auto"/>
            <w:hideMark/>
          </w:tcPr>
          <w:p w14:paraId="0736D1E6" w14:textId="59A99018"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Otros servicios contractuales</w:t>
            </w:r>
          </w:p>
        </w:tc>
        <w:tc>
          <w:tcPr>
            <w:tcW w:w="816" w:type="dxa"/>
            <w:tcBorders>
              <w:top w:val="nil"/>
              <w:left w:val="nil"/>
              <w:bottom w:val="nil"/>
              <w:right w:val="nil"/>
            </w:tcBorders>
            <w:shd w:val="clear" w:color="auto" w:fill="auto"/>
            <w:hideMark/>
          </w:tcPr>
          <w:p w14:paraId="5D1F17E1"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0CE40B38"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263</w:t>
            </w:r>
          </w:p>
        </w:tc>
        <w:tc>
          <w:tcPr>
            <w:tcW w:w="819" w:type="dxa"/>
            <w:tcBorders>
              <w:top w:val="nil"/>
              <w:left w:val="nil"/>
              <w:bottom w:val="nil"/>
              <w:right w:val="nil"/>
            </w:tcBorders>
            <w:shd w:val="clear" w:color="auto" w:fill="auto"/>
            <w:hideMark/>
          </w:tcPr>
          <w:p w14:paraId="238F0A89"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101</w:t>
            </w:r>
          </w:p>
        </w:tc>
        <w:tc>
          <w:tcPr>
            <w:tcW w:w="820" w:type="dxa"/>
            <w:tcBorders>
              <w:top w:val="nil"/>
              <w:left w:val="nil"/>
              <w:bottom w:val="nil"/>
              <w:right w:val="nil"/>
            </w:tcBorders>
            <w:shd w:val="clear" w:color="auto" w:fill="auto"/>
            <w:hideMark/>
          </w:tcPr>
          <w:p w14:paraId="4193DD2C"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41</w:t>
            </w:r>
          </w:p>
        </w:tc>
        <w:tc>
          <w:tcPr>
            <w:tcW w:w="851" w:type="dxa"/>
            <w:tcBorders>
              <w:top w:val="nil"/>
              <w:left w:val="nil"/>
              <w:bottom w:val="nil"/>
              <w:right w:val="nil"/>
            </w:tcBorders>
            <w:shd w:val="clear" w:color="auto" w:fill="auto"/>
            <w:hideMark/>
          </w:tcPr>
          <w:p w14:paraId="6098ABB0"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405</w:t>
            </w:r>
          </w:p>
        </w:tc>
      </w:tr>
      <w:tr w:rsidR="001240C5" w:rsidRPr="006E4BE1" w14:paraId="6009A6B3" w14:textId="77777777" w:rsidTr="00D967B8">
        <w:trPr>
          <w:trHeight w:val="326"/>
          <w:jc w:val="center"/>
        </w:trPr>
        <w:tc>
          <w:tcPr>
            <w:tcW w:w="3828" w:type="dxa"/>
            <w:gridSpan w:val="2"/>
            <w:tcBorders>
              <w:top w:val="nil"/>
              <w:left w:val="nil"/>
              <w:bottom w:val="nil"/>
              <w:right w:val="nil"/>
            </w:tcBorders>
            <w:shd w:val="clear" w:color="auto" w:fill="auto"/>
            <w:vAlign w:val="center"/>
            <w:hideMark/>
          </w:tcPr>
          <w:p w14:paraId="6E8A75A0" w14:textId="69580E7A" w:rsidR="001240C5" w:rsidRPr="006E4BE1" w:rsidRDefault="001240C5" w:rsidP="001240C5">
            <w:pPr>
              <w:ind w:firstLineChars="200" w:firstLine="400"/>
              <w:jc w:val="left"/>
              <w:rPr>
                <w:rFonts w:ascii="Arial Narrow" w:hAnsi="Arial Narrow" w:cs="Arial"/>
                <w:b/>
                <w:bCs/>
                <w:lang w:val="es-ES_tradnl"/>
              </w:rPr>
            </w:pPr>
            <w:r w:rsidRPr="006E4BE1">
              <w:rPr>
                <w:rFonts w:ascii="Arial Narrow" w:hAnsi="Arial Narrow" w:cs="Arial"/>
                <w:b/>
                <w:bCs/>
                <w:lang w:val="es-ES_tradnl"/>
              </w:rPr>
              <w:t>Gastos de funcionamiento</w:t>
            </w:r>
          </w:p>
        </w:tc>
        <w:tc>
          <w:tcPr>
            <w:tcW w:w="816" w:type="dxa"/>
            <w:tcBorders>
              <w:top w:val="nil"/>
              <w:left w:val="nil"/>
              <w:bottom w:val="nil"/>
              <w:right w:val="nil"/>
            </w:tcBorders>
            <w:shd w:val="clear" w:color="auto" w:fill="auto"/>
            <w:vAlign w:val="center"/>
            <w:hideMark/>
          </w:tcPr>
          <w:p w14:paraId="50CF70C3"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vAlign w:val="center"/>
            <w:hideMark/>
          </w:tcPr>
          <w:p w14:paraId="4125C993" w14:textId="083008AE"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1.285</w:t>
            </w:r>
          </w:p>
        </w:tc>
        <w:tc>
          <w:tcPr>
            <w:tcW w:w="819" w:type="dxa"/>
            <w:tcBorders>
              <w:top w:val="nil"/>
              <w:left w:val="nil"/>
              <w:bottom w:val="nil"/>
              <w:right w:val="nil"/>
            </w:tcBorders>
            <w:shd w:val="clear" w:color="auto" w:fill="auto"/>
            <w:vAlign w:val="center"/>
            <w:hideMark/>
          </w:tcPr>
          <w:p w14:paraId="61B2D2FC"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20" w:type="dxa"/>
            <w:tcBorders>
              <w:top w:val="nil"/>
              <w:left w:val="nil"/>
              <w:bottom w:val="nil"/>
              <w:right w:val="nil"/>
            </w:tcBorders>
            <w:shd w:val="clear" w:color="auto" w:fill="auto"/>
            <w:vAlign w:val="center"/>
            <w:hideMark/>
          </w:tcPr>
          <w:p w14:paraId="2454EB6F"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vAlign w:val="center"/>
            <w:hideMark/>
          </w:tcPr>
          <w:p w14:paraId="68D8CBA7" w14:textId="7DCA993F"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1.285</w:t>
            </w:r>
          </w:p>
        </w:tc>
      </w:tr>
      <w:tr w:rsidR="001240C5" w:rsidRPr="006E4BE1" w14:paraId="7275110E" w14:textId="77777777" w:rsidTr="00D967B8">
        <w:trPr>
          <w:trHeight w:val="268"/>
          <w:jc w:val="center"/>
        </w:trPr>
        <w:tc>
          <w:tcPr>
            <w:tcW w:w="3828" w:type="dxa"/>
            <w:gridSpan w:val="2"/>
            <w:tcBorders>
              <w:top w:val="nil"/>
              <w:left w:val="nil"/>
              <w:bottom w:val="nil"/>
              <w:right w:val="nil"/>
            </w:tcBorders>
            <w:shd w:val="clear" w:color="auto" w:fill="auto"/>
            <w:vAlign w:val="center"/>
            <w:hideMark/>
          </w:tcPr>
          <w:p w14:paraId="6D4D037B" w14:textId="337F3632" w:rsidR="001240C5" w:rsidRPr="006E4BE1" w:rsidRDefault="001240C5" w:rsidP="001240C5">
            <w:pPr>
              <w:ind w:firstLineChars="200" w:firstLine="400"/>
              <w:jc w:val="left"/>
              <w:rPr>
                <w:rFonts w:ascii="Arial Narrow" w:hAnsi="Arial Narrow" w:cs="Arial"/>
                <w:b/>
                <w:bCs/>
                <w:lang w:val="es-ES_tradnl"/>
              </w:rPr>
            </w:pPr>
            <w:r w:rsidRPr="006E4BE1">
              <w:rPr>
                <w:rFonts w:ascii="Arial Narrow" w:hAnsi="Arial Narrow" w:cs="Arial"/>
                <w:b/>
                <w:bCs/>
                <w:lang w:val="es-ES_tradnl"/>
              </w:rPr>
              <w:t>Equipo y suministros</w:t>
            </w:r>
          </w:p>
        </w:tc>
        <w:tc>
          <w:tcPr>
            <w:tcW w:w="816" w:type="dxa"/>
            <w:tcBorders>
              <w:top w:val="nil"/>
              <w:left w:val="nil"/>
              <w:bottom w:val="nil"/>
              <w:right w:val="nil"/>
            </w:tcBorders>
            <w:shd w:val="clear" w:color="auto" w:fill="auto"/>
            <w:vAlign w:val="center"/>
            <w:hideMark/>
          </w:tcPr>
          <w:p w14:paraId="3E8B7973" w14:textId="77777777" w:rsidR="001240C5" w:rsidRPr="006E4BE1" w:rsidRDefault="001240C5" w:rsidP="00D967B8">
            <w:pPr>
              <w:ind w:firstLineChars="200" w:firstLine="400"/>
              <w:jc w:val="right"/>
              <w:rPr>
                <w:rFonts w:ascii="Arial Narrow" w:hAnsi="Arial Narrow" w:cs="Arial"/>
                <w:b/>
                <w:bCs/>
                <w:lang w:val="es-ES_tradnl"/>
              </w:rPr>
            </w:pPr>
          </w:p>
        </w:tc>
        <w:tc>
          <w:tcPr>
            <w:tcW w:w="851" w:type="dxa"/>
            <w:tcBorders>
              <w:top w:val="nil"/>
              <w:left w:val="nil"/>
              <w:bottom w:val="nil"/>
              <w:right w:val="nil"/>
            </w:tcBorders>
            <w:shd w:val="clear" w:color="auto" w:fill="auto"/>
            <w:vAlign w:val="center"/>
            <w:hideMark/>
          </w:tcPr>
          <w:p w14:paraId="07BEFCAF" w14:textId="77777777" w:rsidR="001240C5" w:rsidRPr="006E4BE1" w:rsidRDefault="001240C5" w:rsidP="00D967B8">
            <w:pPr>
              <w:jc w:val="right"/>
              <w:rPr>
                <w:rFonts w:ascii="Times New Roman" w:hAnsi="Times New Roman"/>
                <w:lang w:val="es-ES_tradnl"/>
              </w:rPr>
            </w:pPr>
          </w:p>
        </w:tc>
        <w:tc>
          <w:tcPr>
            <w:tcW w:w="819" w:type="dxa"/>
            <w:tcBorders>
              <w:top w:val="nil"/>
              <w:left w:val="nil"/>
              <w:bottom w:val="nil"/>
              <w:right w:val="nil"/>
            </w:tcBorders>
            <w:shd w:val="clear" w:color="auto" w:fill="auto"/>
            <w:vAlign w:val="center"/>
            <w:hideMark/>
          </w:tcPr>
          <w:p w14:paraId="44F07920" w14:textId="77777777" w:rsidR="001240C5" w:rsidRPr="006E4BE1" w:rsidRDefault="001240C5" w:rsidP="00D967B8">
            <w:pPr>
              <w:jc w:val="right"/>
              <w:rPr>
                <w:rFonts w:ascii="Times New Roman" w:hAnsi="Times New Roman"/>
                <w:lang w:val="es-ES_tradnl"/>
              </w:rPr>
            </w:pPr>
          </w:p>
        </w:tc>
        <w:tc>
          <w:tcPr>
            <w:tcW w:w="820" w:type="dxa"/>
            <w:tcBorders>
              <w:top w:val="nil"/>
              <w:left w:val="nil"/>
              <w:bottom w:val="nil"/>
              <w:right w:val="nil"/>
            </w:tcBorders>
            <w:shd w:val="clear" w:color="auto" w:fill="auto"/>
            <w:vAlign w:val="center"/>
            <w:hideMark/>
          </w:tcPr>
          <w:p w14:paraId="58639944" w14:textId="77777777" w:rsidR="001240C5" w:rsidRPr="006E4BE1" w:rsidRDefault="001240C5" w:rsidP="00D967B8">
            <w:pPr>
              <w:jc w:val="right"/>
              <w:rPr>
                <w:rFonts w:ascii="Times New Roman" w:hAnsi="Times New Roman"/>
                <w:lang w:val="es-ES_tradnl"/>
              </w:rPr>
            </w:pPr>
          </w:p>
        </w:tc>
        <w:tc>
          <w:tcPr>
            <w:tcW w:w="851" w:type="dxa"/>
            <w:tcBorders>
              <w:top w:val="nil"/>
              <w:left w:val="nil"/>
              <w:bottom w:val="nil"/>
              <w:right w:val="nil"/>
            </w:tcBorders>
            <w:shd w:val="clear" w:color="auto" w:fill="auto"/>
            <w:vAlign w:val="center"/>
            <w:hideMark/>
          </w:tcPr>
          <w:p w14:paraId="7FFB9AF8" w14:textId="77777777" w:rsidR="001240C5" w:rsidRPr="006E4BE1" w:rsidRDefault="001240C5" w:rsidP="00D967B8">
            <w:pPr>
              <w:jc w:val="right"/>
              <w:rPr>
                <w:rFonts w:ascii="Times New Roman" w:hAnsi="Times New Roman"/>
                <w:lang w:val="es-ES_tradnl"/>
              </w:rPr>
            </w:pPr>
          </w:p>
        </w:tc>
      </w:tr>
      <w:tr w:rsidR="001240C5" w:rsidRPr="006E4BE1" w14:paraId="470587A5" w14:textId="77777777" w:rsidTr="00D967B8">
        <w:trPr>
          <w:trHeight w:val="268"/>
          <w:jc w:val="center"/>
        </w:trPr>
        <w:tc>
          <w:tcPr>
            <w:tcW w:w="1208" w:type="dxa"/>
            <w:tcBorders>
              <w:top w:val="nil"/>
              <w:left w:val="nil"/>
              <w:bottom w:val="nil"/>
              <w:right w:val="nil"/>
            </w:tcBorders>
            <w:shd w:val="clear" w:color="auto" w:fill="auto"/>
            <w:hideMark/>
          </w:tcPr>
          <w:p w14:paraId="101C34C2" w14:textId="77777777" w:rsidR="001240C5" w:rsidRPr="006E4BE1" w:rsidRDefault="001240C5" w:rsidP="00D967B8">
            <w:pPr>
              <w:jc w:val="right"/>
              <w:rPr>
                <w:rFonts w:ascii="Times New Roman" w:hAnsi="Times New Roman"/>
                <w:lang w:val="es-ES_tradnl"/>
              </w:rPr>
            </w:pPr>
          </w:p>
        </w:tc>
        <w:tc>
          <w:tcPr>
            <w:tcW w:w="2620" w:type="dxa"/>
            <w:tcBorders>
              <w:top w:val="nil"/>
              <w:left w:val="nil"/>
              <w:bottom w:val="nil"/>
              <w:right w:val="nil"/>
            </w:tcBorders>
            <w:shd w:val="clear" w:color="auto" w:fill="auto"/>
            <w:hideMark/>
          </w:tcPr>
          <w:p w14:paraId="2520B4E5" w14:textId="73352C83"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Mobiliario y equipo</w:t>
            </w:r>
          </w:p>
        </w:tc>
        <w:tc>
          <w:tcPr>
            <w:tcW w:w="816" w:type="dxa"/>
            <w:tcBorders>
              <w:top w:val="nil"/>
              <w:left w:val="nil"/>
              <w:bottom w:val="nil"/>
              <w:right w:val="nil"/>
            </w:tcBorders>
            <w:shd w:val="clear" w:color="auto" w:fill="auto"/>
            <w:hideMark/>
          </w:tcPr>
          <w:p w14:paraId="72C8746E"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0F27857E"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w:t>
            </w:r>
          </w:p>
        </w:tc>
        <w:tc>
          <w:tcPr>
            <w:tcW w:w="819" w:type="dxa"/>
            <w:tcBorders>
              <w:top w:val="nil"/>
              <w:left w:val="nil"/>
              <w:bottom w:val="nil"/>
              <w:right w:val="nil"/>
            </w:tcBorders>
            <w:shd w:val="clear" w:color="auto" w:fill="auto"/>
            <w:hideMark/>
          </w:tcPr>
          <w:p w14:paraId="7A38EB0B"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20" w:type="dxa"/>
            <w:tcBorders>
              <w:top w:val="nil"/>
              <w:left w:val="nil"/>
              <w:bottom w:val="nil"/>
              <w:right w:val="nil"/>
            </w:tcBorders>
            <w:shd w:val="clear" w:color="auto" w:fill="auto"/>
            <w:hideMark/>
          </w:tcPr>
          <w:p w14:paraId="749DEEA4"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69D90E46"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w:t>
            </w:r>
          </w:p>
        </w:tc>
      </w:tr>
      <w:tr w:rsidR="001240C5" w:rsidRPr="006E4BE1" w14:paraId="04628D88" w14:textId="77777777" w:rsidTr="00D967B8">
        <w:trPr>
          <w:trHeight w:val="326"/>
          <w:jc w:val="center"/>
        </w:trPr>
        <w:tc>
          <w:tcPr>
            <w:tcW w:w="1208" w:type="dxa"/>
            <w:tcBorders>
              <w:top w:val="nil"/>
              <w:left w:val="nil"/>
              <w:bottom w:val="nil"/>
              <w:right w:val="nil"/>
            </w:tcBorders>
            <w:shd w:val="clear" w:color="auto" w:fill="auto"/>
            <w:hideMark/>
          </w:tcPr>
          <w:p w14:paraId="3A319437" w14:textId="77777777" w:rsidR="001240C5" w:rsidRPr="006E4BE1" w:rsidRDefault="001240C5" w:rsidP="00D967B8">
            <w:pPr>
              <w:jc w:val="right"/>
              <w:rPr>
                <w:rFonts w:ascii="Arial Narrow" w:hAnsi="Arial Narrow" w:cs="Arial"/>
                <w:lang w:val="es-ES_tradnl"/>
              </w:rPr>
            </w:pPr>
          </w:p>
        </w:tc>
        <w:tc>
          <w:tcPr>
            <w:tcW w:w="2620" w:type="dxa"/>
            <w:tcBorders>
              <w:top w:val="nil"/>
              <w:left w:val="nil"/>
              <w:bottom w:val="nil"/>
              <w:right w:val="nil"/>
            </w:tcBorders>
            <w:shd w:val="clear" w:color="auto" w:fill="auto"/>
            <w:hideMark/>
          </w:tcPr>
          <w:p w14:paraId="1B0FE291" w14:textId="4063D26B" w:rsidR="001240C5" w:rsidRPr="006E4BE1" w:rsidRDefault="001240C5" w:rsidP="001240C5">
            <w:pPr>
              <w:jc w:val="left"/>
              <w:rPr>
                <w:rFonts w:ascii="Arial Narrow" w:hAnsi="Arial Narrow" w:cs="Arial"/>
                <w:i/>
                <w:iCs/>
                <w:lang w:val="es-ES_tradnl"/>
              </w:rPr>
            </w:pPr>
            <w:r w:rsidRPr="006E4BE1">
              <w:rPr>
                <w:rFonts w:ascii="Arial Narrow" w:hAnsi="Arial Narrow" w:cs="Arial"/>
                <w:i/>
                <w:iCs/>
                <w:lang w:val="es-ES_tradnl"/>
              </w:rPr>
              <w:t>Suministros y material</w:t>
            </w:r>
          </w:p>
        </w:tc>
        <w:tc>
          <w:tcPr>
            <w:tcW w:w="816" w:type="dxa"/>
            <w:tcBorders>
              <w:top w:val="nil"/>
              <w:left w:val="nil"/>
              <w:bottom w:val="nil"/>
              <w:right w:val="nil"/>
            </w:tcBorders>
            <w:shd w:val="clear" w:color="auto" w:fill="auto"/>
            <w:hideMark/>
          </w:tcPr>
          <w:p w14:paraId="4B738D52"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2B0168EB"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w:t>
            </w:r>
          </w:p>
        </w:tc>
        <w:tc>
          <w:tcPr>
            <w:tcW w:w="819" w:type="dxa"/>
            <w:tcBorders>
              <w:top w:val="nil"/>
              <w:left w:val="nil"/>
              <w:bottom w:val="nil"/>
              <w:right w:val="nil"/>
            </w:tcBorders>
            <w:shd w:val="clear" w:color="auto" w:fill="auto"/>
            <w:hideMark/>
          </w:tcPr>
          <w:p w14:paraId="7022C8F3"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20" w:type="dxa"/>
            <w:tcBorders>
              <w:top w:val="nil"/>
              <w:left w:val="nil"/>
              <w:bottom w:val="nil"/>
              <w:right w:val="nil"/>
            </w:tcBorders>
            <w:shd w:val="clear" w:color="auto" w:fill="auto"/>
            <w:hideMark/>
          </w:tcPr>
          <w:p w14:paraId="0183FA5B"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w:t>
            </w:r>
          </w:p>
        </w:tc>
        <w:tc>
          <w:tcPr>
            <w:tcW w:w="851" w:type="dxa"/>
            <w:tcBorders>
              <w:top w:val="nil"/>
              <w:left w:val="nil"/>
              <w:bottom w:val="nil"/>
              <w:right w:val="nil"/>
            </w:tcBorders>
            <w:shd w:val="clear" w:color="auto" w:fill="auto"/>
            <w:hideMark/>
          </w:tcPr>
          <w:p w14:paraId="3F283413" w14:textId="77777777" w:rsidR="001240C5" w:rsidRPr="006E4BE1" w:rsidRDefault="001240C5" w:rsidP="00D967B8">
            <w:pPr>
              <w:jc w:val="right"/>
              <w:rPr>
                <w:rFonts w:ascii="Arial Narrow" w:hAnsi="Arial Narrow" w:cs="Arial"/>
                <w:lang w:val="es-ES_tradnl"/>
              </w:rPr>
            </w:pPr>
            <w:r w:rsidRPr="006E4BE1">
              <w:rPr>
                <w:rFonts w:ascii="Arial Narrow" w:hAnsi="Arial Narrow" w:cs="Arial"/>
                <w:lang w:val="es-ES_tradnl"/>
              </w:rPr>
              <w:t>5</w:t>
            </w:r>
          </w:p>
        </w:tc>
      </w:tr>
      <w:tr w:rsidR="001240C5" w:rsidRPr="006E4BE1" w14:paraId="74522238" w14:textId="77777777" w:rsidTr="00D967B8">
        <w:trPr>
          <w:trHeight w:val="57"/>
          <w:jc w:val="center"/>
        </w:trPr>
        <w:tc>
          <w:tcPr>
            <w:tcW w:w="1208" w:type="dxa"/>
            <w:tcBorders>
              <w:top w:val="nil"/>
              <w:left w:val="nil"/>
              <w:bottom w:val="nil"/>
              <w:right w:val="nil"/>
            </w:tcBorders>
            <w:shd w:val="clear" w:color="auto" w:fill="auto"/>
            <w:vAlign w:val="bottom"/>
            <w:hideMark/>
          </w:tcPr>
          <w:p w14:paraId="53DC4411" w14:textId="77777777" w:rsidR="001240C5" w:rsidRPr="006E4BE1" w:rsidRDefault="001240C5" w:rsidP="00D967B8">
            <w:pPr>
              <w:jc w:val="right"/>
              <w:rPr>
                <w:rFonts w:ascii="Arial Narrow" w:hAnsi="Arial Narrow" w:cs="Arial"/>
                <w:lang w:val="es-ES_tradnl"/>
              </w:rPr>
            </w:pPr>
          </w:p>
        </w:tc>
        <w:tc>
          <w:tcPr>
            <w:tcW w:w="2620" w:type="dxa"/>
            <w:tcBorders>
              <w:top w:val="nil"/>
              <w:left w:val="nil"/>
              <w:bottom w:val="nil"/>
              <w:right w:val="nil"/>
            </w:tcBorders>
            <w:shd w:val="clear" w:color="auto" w:fill="auto"/>
            <w:vAlign w:val="bottom"/>
            <w:hideMark/>
          </w:tcPr>
          <w:p w14:paraId="442C19B7" w14:textId="77777777" w:rsidR="001240C5" w:rsidRPr="006E4BE1" w:rsidRDefault="001240C5" w:rsidP="00D967B8">
            <w:pPr>
              <w:jc w:val="left"/>
              <w:rPr>
                <w:rFonts w:ascii="Times New Roman" w:hAnsi="Times New Roman"/>
                <w:lang w:val="es-ES_tradnl"/>
              </w:rPr>
            </w:pPr>
          </w:p>
        </w:tc>
        <w:tc>
          <w:tcPr>
            <w:tcW w:w="816" w:type="dxa"/>
            <w:tcBorders>
              <w:top w:val="nil"/>
              <w:left w:val="nil"/>
              <w:bottom w:val="nil"/>
              <w:right w:val="nil"/>
            </w:tcBorders>
            <w:shd w:val="clear" w:color="auto" w:fill="auto"/>
            <w:vAlign w:val="bottom"/>
            <w:hideMark/>
          </w:tcPr>
          <w:p w14:paraId="6AE35DA4" w14:textId="77777777" w:rsidR="001240C5" w:rsidRPr="006E4BE1" w:rsidRDefault="001240C5" w:rsidP="00D967B8">
            <w:pPr>
              <w:jc w:val="right"/>
              <w:rPr>
                <w:rFonts w:ascii="Times New Roman" w:hAnsi="Times New Roman"/>
                <w:lang w:val="es-ES_tradnl"/>
              </w:rPr>
            </w:pPr>
          </w:p>
        </w:tc>
        <w:tc>
          <w:tcPr>
            <w:tcW w:w="851" w:type="dxa"/>
            <w:tcBorders>
              <w:top w:val="nil"/>
              <w:left w:val="nil"/>
              <w:bottom w:val="nil"/>
              <w:right w:val="nil"/>
            </w:tcBorders>
            <w:shd w:val="clear" w:color="auto" w:fill="auto"/>
            <w:vAlign w:val="bottom"/>
            <w:hideMark/>
          </w:tcPr>
          <w:p w14:paraId="2F8C4674" w14:textId="77777777" w:rsidR="001240C5" w:rsidRPr="006E4BE1" w:rsidRDefault="001240C5" w:rsidP="00D967B8">
            <w:pPr>
              <w:jc w:val="right"/>
              <w:rPr>
                <w:rFonts w:ascii="Times New Roman" w:hAnsi="Times New Roman"/>
                <w:lang w:val="es-ES_tradnl"/>
              </w:rPr>
            </w:pPr>
          </w:p>
        </w:tc>
        <w:tc>
          <w:tcPr>
            <w:tcW w:w="819" w:type="dxa"/>
            <w:tcBorders>
              <w:top w:val="nil"/>
              <w:left w:val="nil"/>
              <w:bottom w:val="nil"/>
              <w:right w:val="nil"/>
            </w:tcBorders>
            <w:shd w:val="clear" w:color="auto" w:fill="auto"/>
            <w:vAlign w:val="bottom"/>
            <w:hideMark/>
          </w:tcPr>
          <w:p w14:paraId="33779CF1" w14:textId="77777777" w:rsidR="001240C5" w:rsidRPr="006E4BE1" w:rsidRDefault="001240C5" w:rsidP="00D967B8">
            <w:pPr>
              <w:jc w:val="right"/>
              <w:rPr>
                <w:rFonts w:ascii="Times New Roman" w:hAnsi="Times New Roman"/>
                <w:lang w:val="es-ES_tradnl"/>
              </w:rPr>
            </w:pPr>
          </w:p>
        </w:tc>
        <w:tc>
          <w:tcPr>
            <w:tcW w:w="820" w:type="dxa"/>
            <w:tcBorders>
              <w:top w:val="nil"/>
              <w:left w:val="nil"/>
              <w:bottom w:val="nil"/>
              <w:right w:val="nil"/>
            </w:tcBorders>
            <w:shd w:val="clear" w:color="auto" w:fill="auto"/>
            <w:vAlign w:val="bottom"/>
            <w:hideMark/>
          </w:tcPr>
          <w:p w14:paraId="0ECCAA5D" w14:textId="77777777" w:rsidR="001240C5" w:rsidRPr="006E4BE1" w:rsidRDefault="001240C5" w:rsidP="00D967B8">
            <w:pPr>
              <w:jc w:val="right"/>
              <w:rPr>
                <w:rFonts w:ascii="Times New Roman" w:hAnsi="Times New Roman"/>
                <w:lang w:val="es-ES_tradnl"/>
              </w:rPr>
            </w:pPr>
          </w:p>
        </w:tc>
        <w:tc>
          <w:tcPr>
            <w:tcW w:w="851" w:type="dxa"/>
            <w:tcBorders>
              <w:top w:val="nil"/>
              <w:left w:val="nil"/>
              <w:bottom w:val="nil"/>
              <w:right w:val="nil"/>
            </w:tcBorders>
            <w:shd w:val="clear" w:color="auto" w:fill="auto"/>
            <w:vAlign w:val="bottom"/>
            <w:hideMark/>
          </w:tcPr>
          <w:p w14:paraId="5CB058F9" w14:textId="77777777" w:rsidR="001240C5" w:rsidRPr="006E4BE1" w:rsidRDefault="001240C5" w:rsidP="00D967B8">
            <w:pPr>
              <w:jc w:val="right"/>
              <w:rPr>
                <w:rFonts w:ascii="Times New Roman" w:hAnsi="Times New Roman"/>
                <w:lang w:val="es-ES_tradnl"/>
              </w:rPr>
            </w:pPr>
          </w:p>
        </w:tc>
      </w:tr>
      <w:tr w:rsidR="001240C5" w:rsidRPr="006E4BE1" w14:paraId="65C65093" w14:textId="77777777" w:rsidTr="00D967B8">
        <w:trPr>
          <w:trHeight w:val="268"/>
          <w:jc w:val="center"/>
        </w:trPr>
        <w:tc>
          <w:tcPr>
            <w:tcW w:w="1208" w:type="dxa"/>
            <w:tcBorders>
              <w:top w:val="single" w:sz="4" w:space="0" w:color="AAB8C4"/>
              <w:left w:val="nil"/>
              <w:bottom w:val="single" w:sz="8" w:space="0" w:color="AAB8C4"/>
              <w:right w:val="nil"/>
            </w:tcBorders>
            <w:shd w:val="clear" w:color="auto" w:fill="auto"/>
            <w:vAlign w:val="center"/>
            <w:hideMark/>
          </w:tcPr>
          <w:p w14:paraId="0DF7AF6A" w14:textId="77777777" w:rsidR="001240C5" w:rsidRPr="006E4BE1" w:rsidRDefault="001240C5" w:rsidP="00D967B8">
            <w:pPr>
              <w:ind w:firstLineChars="200" w:firstLine="400"/>
              <w:jc w:val="left"/>
              <w:rPr>
                <w:rFonts w:ascii="Arial Narrow" w:hAnsi="Arial Narrow" w:cs="Arial"/>
                <w:b/>
                <w:bCs/>
                <w:lang w:val="es-ES_tradnl"/>
              </w:rPr>
            </w:pPr>
            <w:r w:rsidRPr="006E4BE1">
              <w:rPr>
                <w:rFonts w:ascii="Arial Narrow" w:hAnsi="Arial Narrow" w:cs="Arial"/>
                <w:b/>
                <w:bCs/>
                <w:lang w:val="es-ES_tradnl"/>
              </w:rPr>
              <w:t>TOTAL</w:t>
            </w:r>
          </w:p>
        </w:tc>
        <w:tc>
          <w:tcPr>
            <w:tcW w:w="2620" w:type="dxa"/>
            <w:tcBorders>
              <w:top w:val="single" w:sz="4" w:space="0" w:color="AAB8C4"/>
              <w:left w:val="nil"/>
              <w:bottom w:val="single" w:sz="8" w:space="0" w:color="AAB8C4"/>
              <w:right w:val="nil"/>
            </w:tcBorders>
            <w:shd w:val="clear" w:color="auto" w:fill="auto"/>
            <w:vAlign w:val="center"/>
            <w:hideMark/>
          </w:tcPr>
          <w:p w14:paraId="72112CBA" w14:textId="77777777" w:rsidR="001240C5" w:rsidRPr="006E4BE1" w:rsidRDefault="001240C5" w:rsidP="00D967B8">
            <w:pPr>
              <w:jc w:val="left"/>
              <w:rPr>
                <w:rFonts w:ascii="Arial Narrow" w:hAnsi="Arial Narrow" w:cs="Arial"/>
                <w:b/>
                <w:bCs/>
                <w:lang w:val="es-ES_tradnl"/>
              </w:rPr>
            </w:pPr>
          </w:p>
        </w:tc>
        <w:tc>
          <w:tcPr>
            <w:tcW w:w="816" w:type="dxa"/>
            <w:tcBorders>
              <w:top w:val="single" w:sz="4" w:space="0" w:color="AAB8C4"/>
              <w:left w:val="nil"/>
              <w:bottom w:val="single" w:sz="8" w:space="0" w:color="AAB8C4"/>
              <w:right w:val="nil"/>
            </w:tcBorders>
            <w:shd w:val="clear" w:color="auto" w:fill="auto"/>
            <w:vAlign w:val="center"/>
            <w:hideMark/>
          </w:tcPr>
          <w:p w14:paraId="17EDD6C1" w14:textId="7777777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816</w:t>
            </w:r>
          </w:p>
        </w:tc>
        <w:tc>
          <w:tcPr>
            <w:tcW w:w="851" w:type="dxa"/>
            <w:tcBorders>
              <w:top w:val="single" w:sz="4" w:space="0" w:color="AAB8C4"/>
              <w:left w:val="nil"/>
              <w:bottom w:val="single" w:sz="8" w:space="0" w:color="AAB8C4"/>
              <w:right w:val="nil"/>
            </w:tcBorders>
            <w:shd w:val="clear" w:color="auto" w:fill="auto"/>
            <w:vAlign w:val="center"/>
            <w:hideMark/>
          </w:tcPr>
          <w:p w14:paraId="1A547545" w14:textId="087C24BA"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4.486</w:t>
            </w:r>
          </w:p>
        </w:tc>
        <w:tc>
          <w:tcPr>
            <w:tcW w:w="819" w:type="dxa"/>
            <w:tcBorders>
              <w:top w:val="single" w:sz="4" w:space="0" w:color="AAB8C4"/>
              <w:left w:val="nil"/>
              <w:bottom w:val="single" w:sz="8" w:space="0" w:color="AAB8C4"/>
              <w:right w:val="nil"/>
            </w:tcBorders>
            <w:shd w:val="clear" w:color="auto" w:fill="auto"/>
            <w:vAlign w:val="center"/>
            <w:hideMark/>
          </w:tcPr>
          <w:p w14:paraId="352392A9" w14:textId="19C4431D"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1.672</w:t>
            </w:r>
          </w:p>
        </w:tc>
        <w:tc>
          <w:tcPr>
            <w:tcW w:w="820" w:type="dxa"/>
            <w:tcBorders>
              <w:top w:val="single" w:sz="4" w:space="0" w:color="AAB8C4"/>
              <w:left w:val="nil"/>
              <w:bottom w:val="single" w:sz="8" w:space="0" w:color="AAB8C4"/>
              <w:right w:val="nil"/>
            </w:tcBorders>
            <w:shd w:val="clear" w:color="auto" w:fill="auto"/>
            <w:vAlign w:val="center"/>
            <w:hideMark/>
          </w:tcPr>
          <w:p w14:paraId="30BE38E2" w14:textId="7777777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660</w:t>
            </w:r>
          </w:p>
        </w:tc>
        <w:tc>
          <w:tcPr>
            <w:tcW w:w="851" w:type="dxa"/>
            <w:tcBorders>
              <w:top w:val="single" w:sz="4" w:space="0" w:color="AAB8C4"/>
              <w:left w:val="nil"/>
              <w:bottom w:val="single" w:sz="8" w:space="0" w:color="AAB8C4"/>
              <w:right w:val="nil"/>
            </w:tcBorders>
            <w:shd w:val="clear" w:color="auto" w:fill="auto"/>
            <w:vAlign w:val="center"/>
            <w:hideMark/>
          </w:tcPr>
          <w:p w14:paraId="0C9907A1" w14:textId="6D3D1397" w:rsidR="001240C5" w:rsidRPr="006E4BE1" w:rsidRDefault="001240C5" w:rsidP="00D967B8">
            <w:pPr>
              <w:jc w:val="right"/>
              <w:rPr>
                <w:rFonts w:ascii="Arial Narrow" w:hAnsi="Arial Narrow" w:cs="Arial"/>
                <w:b/>
                <w:bCs/>
                <w:lang w:val="es-ES_tradnl"/>
              </w:rPr>
            </w:pPr>
            <w:r w:rsidRPr="006E4BE1">
              <w:rPr>
                <w:rFonts w:ascii="Arial Narrow" w:hAnsi="Arial Narrow" w:cs="Arial"/>
                <w:b/>
                <w:bCs/>
                <w:lang w:val="es-ES_tradnl"/>
              </w:rPr>
              <w:t>7.635</w:t>
            </w:r>
          </w:p>
        </w:tc>
      </w:tr>
    </w:tbl>
    <w:p w14:paraId="57AFAD88" w14:textId="77777777" w:rsidR="001240C5" w:rsidRPr="006E4BE1" w:rsidRDefault="0053602B">
      <w:pPr>
        <w:jc w:val="left"/>
        <w:rPr>
          <w:lang w:val="es-ES_tradnl"/>
        </w:rPr>
      </w:pPr>
      <w:r w:rsidRPr="006E4BE1">
        <w:rPr>
          <w:lang w:val="es-ES_tradnl"/>
        </w:rPr>
        <w:br w:type="page"/>
      </w:r>
    </w:p>
    <w:p w14:paraId="07EAF483" w14:textId="77777777" w:rsidR="001240C5" w:rsidRPr="006E4BE1" w:rsidRDefault="00D20B57" w:rsidP="00AE50C9">
      <w:pPr>
        <w:rPr>
          <w:lang w:val="es-ES_tradnl"/>
        </w:rPr>
      </w:pPr>
      <w:r w:rsidRPr="006E4BE1">
        <w:rPr>
          <w:lang w:val="es-ES_tradnl"/>
        </w:rPr>
        <w:lastRenderedPageBreak/>
        <w:t>En el cuadro 7 se reflejan las variaciones presupuestarias por subprogra</w:t>
      </w:r>
      <w:r w:rsidR="001161B4" w:rsidRPr="006E4BE1">
        <w:rPr>
          <w:lang w:val="es-ES_tradnl"/>
        </w:rPr>
        <w:t>ma entre el presupuesto de 2020</w:t>
      </w:r>
      <w:r w:rsidR="001161B4" w:rsidRPr="006E4BE1">
        <w:rPr>
          <w:lang w:val="es-ES_tradnl"/>
        </w:rPr>
        <w:noBreakHyphen/>
      </w:r>
      <w:r w:rsidRPr="006E4BE1">
        <w:rPr>
          <w:lang w:val="es-ES_tradnl"/>
        </w:rPr>
        <w:t>2021 y la propuesta de presupuesto para 2022-2023.</w:t>
      </w:r>
    </w:p>
    <w:p w14:paraId="5BB30906" w14:textId="77777777" w:rsidR="001240C5" w:rsidRPr="006E4BE1" w:rsidRDefault="001240C5" w:rsidP="00AE50C9">
      <w:pPr>
        <w:rPr>
          <w:lang w:val="es-ES_tradnl"/>
        </w:rPr>
      </w:pPr>
    </w:p>
    <w:p w14:paraId="6080C2EE" w14:textId="77777777" w:rsidR="001240C5" w:rsidRPr="006E4BE1" w:rsidRDefault="00D20B57" w:rsidP="00AE50C9">
      <w:pPr>
        <w:jc w:val="center"/>
        <w:rPr>
          <w:rFonts w:cs="Arial"/>
          <w:b/>
          <w:bCs/>
          <w:color w:val="26724C" w:themeColor="accent1" w:themeShade="BF"/>
          <w:lang w:val="es-ES_tradnl"/>
        </w:rPr>
      </w:pPr>
      <w:r w:rsidRPr="006E4BE1">
        <w:rPr>
          <w:rFonts w:cs="Arial"/>
          <w:b/>
          <w:bCs/>
          <w:color w:val="26724C" w:themeColor="accent1" w:themeShade="BF"/>
          <w:lang w:val="es-ES_tradnl"/>
        </w:rPr>
        <w:t>Cuadro 7.</w:t>
      </w:r>
      <w:r w:rsidRPr="006E4BE1">
        <w:rPr>
          <w:rFonts w:cs="Arial"/>
          <w:b/>
          <w:bCs/>
          <w:color w:val="26724C" w:themeColor="accent1" w:themeShade="BF"/>
          <w:lang w:val="es-ES_tradnl"/>
        </w:rPr>
        <w:tab/>
        <w:t>Variación presupuestaria por subprograma</w:t>
      </w:r>
    </w:p>
    <w:p w14:paraId="46206DEA" w14:textId="77777777" w:rsidR="001240C5" w:rsidRPr="006E4BE1" w:rsidRDefault="00D20B57" w:rsidP="00AE50C9">
      <w:pPr>
        <w:jc w:val="center"/>
        <w:rPr>
          <w:rFonts w:cs="Arial"/>
          <w:i/>
          <w:iCs/>
          <w:color w:val="000000"/>
          <w:lang w:val="es-ES_tradnl"/>
        </w:rPr>
      </w:pPr>
      <w:r w:rsidRPr="006E4BE1">
        <w:rPr>
          <w:rFonts w:cs="Arial"/>
          <w:i/>
          <w:iCs/>
          <w:color w:val="000000"/>
          <w:lang w:val="es-ES_tradnl"/>
        </w:rPr>
        <w:t>(en miles de francos suizos)</w:t>
      </w:r>
    </w:p>
    <w:p w14:paraId="394F8D36" w14:textId="46C31C45" w:rsidR="00181C7C" w:rsidRPr="006E4BE1" w:rsidRDefault="00181C7C" w:rsidP="00AE50C9">
      <w:pPr>
        <w:jc w:val="center"/>
        <w:rPr>
          <w:rFonts w:cs="Arial"/>
          <w:i/>
          <w:iCs/>
          <w:color w:val="000000"/>
          <w:lang w:val="es-ES_tradnl"/>
        </w:rPr>
      </w:pPr>
    </w:p>
    <w:tbl>
      <w:tblPr>
        <w:tblW w:w="5700" w:type="dxa"/>
        <w:jc w:val="center"/>
        <w:tblLook w:val="04A0" w:firstRow="1" w:lastRow="0" w:firstColumn="1" w:lastColumn="0" w:noHBand="0" w:noVBand="1"/>
      </w:tblPr>
      <w:tblGrid>
        <w:gridCol w:w="1176"/>
        <w:gridCol w:w="1283"/>
        <w:gridCol w:w="770"/>
        <w:gridCol w:w="976"/>
        <w:gridCol w:w="1495"/>
      </w:tblGrid>
      <w:tr w:rsidR="008E72BA" w:rsidRPr="006E4BE1" w14:paraId="2F6AD7FA" w14:textId="77777777" w:rsidTr="001240C5">
        <w:trPr>
          <w:trHeight w:val="270"/>
          <w:jc w:val="center"/>
        </w:trPr>
        <w:tc>
          <w:tcPr>
            <w:tcW w:w="1176" w:type="dxa"/>
            <w:vMerge w:val="restart"/>
            <w:tcBorders>
              <w:top w:val="nil"/>
              <w:left w:val="nil"/>
              <w:bottom w:val="nil"/>
              <w:right w:val="nil"/>
            </w:tcBorders>
            <w:shd w:val="clear" w:color="000000" w:fill="C7CFD8"/>
            <w:noWrap/>
            <w:vAlign w:val="center"/>
            <w:hideMark/>
          </w:tcPr>
          <w:p w14:paraId="2E809EDE" w14:textId="11A06B31" w:rsidR="008E72BA" w:rsidRPr="006E4BE1" w:rsidRDefault="00D20B57"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Subprograma</w:t>
            </w:r>
            <w:r w:rsidR="008E72BA" w:rsidRPr="006E4BE1">
              <w:rPr>
                <w:rFonts w:ascii="Arial Narrow" w:hAnsi="Arial Narrow" w:cs="Arial"/>
                <w:b/>
                <w:bCs/>
                <w:sz w:val="18"/>
                <w:szCs w:val="18"/>
                <w:lang w:val="es-ES_tradnl"/>
              </w:rPr>
              <w:t xml:space="preserve"> </w:t>
            </w:r>
          </w:p>
        </w:tc>
        <w:tc>
          <w:tcPr>
            <w:tcW w:w="1283" w:type="dxa"/>
            <w:tcBorders>
              <w:top w:val="nil"/>
              <w:left w:val="nil"/>
              <w:bottom w:val="nil"/>
              <w:right w:val="nil"/>
            </w:tcBorders>
            <w:shd w:val="clear" w:color="000000" w:fill="C7CFD8"/>
            <w:vAlign w:val="center"/>
            <w:hideMark/>
          </w:tcPr>
          <w:p w14:paraId="175B77E7" w14:textId="2AAFC95E" w:rsidR="008E72BA" w:rsidRPr="006E4BE1" w:rsidRDefault="008E72B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2020-2021 </w:t>
            </w:r>
          </w:p>
        </w:tc>
        <w:tc>
          <w:tcPr>
            <w:tcW w:w="1746" w:type="dxa"/>
            <w:gridSpan w:val="2"/>
            <w:tcBorders>
              <w:top w:val="nil"/>
              <w:left w:val="nil"/>
              <w:bottom w:val="single" w:sz="4" w:space="0" w:color="748B9E"/>
              <w:right w:val="nil"/>
            </w:tcBorders>
            <w:shd w:val="clear" w:color="000000" w:fill="C7CFD8"/>
            <w:vAlign w:val="center"/>
            <w:hideMark/>
          </w:tcPr>
          <w:p w14:paraId="2B1396CF" w14:textId="312163A8" w:rsidR="008E72BA" w:rsidRPr="006E4BE1" w:rsidRDefault="00D20B57"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Variación</w:t>
            </w:r>
            <w:r w:rsidR="008E72BA" w:rsidRPr="006E4BE1">
              <w:rPr>
                <w:rFonts w:ascii="Arial Narrow" w:hAnsi="Arial Narrow" w:cs="Arial"/>
                <w:b/>
                <w:bCs/>
                <w:sz w:val="18"/>
                <w:szCs w:val="18"/>
                <w:lang w:val="es-ES_tradnl"/>
              </w:rPr>
              <w:t xml:space="preserve"> </w:t>
            </w:r>
          </w:p>
        </w:tc>
        <w:tc>
          <w:tcPr>
            <w:tcW w:w="1495" w:type="dxa"/>
            <w:tcBorders>
              <w:top w:val="nil"/>
              <w:left w:val="nil"/>
              <w:bottom w:val="nil"/>
              <w:right w:val="nil"/>
            </w:tcBorders>
            <w:shd w:val="clear" w:color="000000" w:fill="C7CFD8"/>
            <w:vAlign w:val="center"/>
            <w:hideMark/>
          </w:tcPr>
          <w:p w14:paraId="298D5E63" w14:textId="4DDC5589" w:rsidR="008E72BA" w:rsidRPr="006E4BE1" w:rsidRDefault="008E72B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w:t>
            </w:r>
            <w:r w:rsidR="00750987" w:rsidRPr="006E4BE1">
              <w:rPr>
                <w:rFonts w:ascii="Arial Narrow" w:hAnsi="Arial Narrow" w:cs="Arial"/>
                <w:b/>
                <w:bCs/>
                <w:sz w:val="18"/>
                <w:szCs w:val="18"/>
                <w:lang w:val="es-ES_tradnl"/>
              </w:rPr>
              <w:t>2022</w:t>
            </w:r>
            <w:r w:rsidR="00750987" w:rsidRPr="006E4BE1">
              <w:rPr>
                <w:rFonts w:ascii="Arial Narrow" w:hAnsi="Arial Narrow" w:cs="Arial"/>
                <w:b/>
                <w:bCs/>
                <w:sz w:val="18"/>
                <w:szCs w:val="18"/>
                <w:lang w:val="es-ES_tradnl"/>
              </w:rPr>
              <w:noBreakHyphen/>
              <w:t>2023</w:t>
            </w:r>
            <w:r w:rsidRPr="006E4BE1">
              <w:rPr>
                <w:rFonts w:ascii="Arial Narrow" w:hAnsi="Arial Narrow" w:cs="Arial"/>
                <w:b/>
                <w:bCs/>
                <w:sz w:val="18"/>
                <w:szCs w:val="18"/>
                <w:lang w:val="es-ES_tradnl"/>
              </w:rPr>
              <w:t xml:space="preserve"> </w:t>
            </w:r>
          </w:p>
        </w:tc>
      </w:tr>
      <w:tr w:rsidR="008E72BA" w:rsidRPr="006E4BE1" w14:paraId="36A2579B" w14:textId="77777777" w:rsidTr="001240C5">
        <w:trPr>
          <w:trHeight w:val="240"/>
          <w:jc w:val="center"/>
        </w:trPr>
        <w:tc>
          <w:tcPr>
            <w:tcW w:w="1176" w:type="dxa"/>
            <w:vMerge/>
            <w:tcBorders>
              <w:top w:val="nil"/>
              <w:left w:val="nil"/>
              <w:bottom w:val="nil"/>
              <w:right w:val="nil"/>
            </w:tcBorders>
            <w:vAlign w:val="center"/>
            <w:hideMark/>
          </w:tcPr>
          <w:p w14:paraId="30EC6DC2" w14:textId="77777777" w:rsidR="008E72BA" w:rsidRPr="006E4BE1" w:rsidRDefault="008E72BA" w:rsidP="00AE50C9">
            <w:pPr>
              <w:jc w:val="left"/>
              <w:rPr>
                <w:rFonts w:ascii="Arial Narrow" w:hAnsi="Arial Narrow" w:cs="Arial"/>
                <w:b/>
                <w:bCs/>
                <w:sz w:val="18"/>
                <w:szCs w:val="18"/>
                <w:lang w:val="es-ES_tradnl"/>
              </w:rPr>
            </w:pPr>
          </w:p>
        </w:tc>
        <w:tc>
          <w:tcPr>
            <w:tcW w:w="1283" w:type="dxa"/>
            <w:tcBorders>
              <w:top w:val="nil"/>
              <w:left w:val="nil"/>
              <w:bottom w:val="nil"/>
              <w:right w:val="nil"/>
            </w:tcBorders>
            <w:shd w:val="clear" w:color="000000" w:fill="C7CFD8"/>
            <w:vAlign w:val="center"/>
            <w:hideMark/>
          </w:tcPr>
          <w:p w14:paraId="793B8071" w14:textId="3DD5AD2B" w:rsidR="008E72BA" w:rsidRPr="006E4BE1" w:rsidRDefault="00D20B57"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Presupuestado</w:t>
            </w:r>
            <w:r w:rsidR="008E72BA" w:rsidRPr="006E4BE1">
              <w:rPr>
                <w:rFonts w:ascii="Arial Narrow" w:hAnsi="Arial Narrow" w:cs="Arial"/>
                <w:b/>
                <w:bCs/>
                <w:sz w:val="18"/>
                <w:szCs w:val="18"/>
                <w:lang w:val="es-ES_tradnl"/>
              </w:rPr>
              <w:t xml:space="preserve"> </w:t>
            </w:r>
          </w:p>
        </w:tc>
        <w:tc>
          <w:tcPr>
            <w:tcW w:w="770" w:type="dxa"/>
            <w:tcBorders>
              <w:top w:val="nil"/>
              <w:left w:val="nil"/>
              <w:bottom w:val="nil"/>
              <w:right w:val="nil"/>
            </w:tcBorders>
            <w:shd w:val="clear" w:color="000000" w:fill="C7CFD8"/>
            <w:vAlign w:val="center"/>
            <w:hideMark/>
          </w:tcPr>
          <w:p w14:paraId="7ABB6E80" w14:textId="0868D6EB" w:rsidR="008E72BA" w:rsidRPr="006E4BE1" w:rsidRDefault="00D20B57"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Importe</w:t>
            </w:r>
            <w:r w:rsidR="008E72BA" w:rsidRPr="006E4BE1">
              <w:rPr>
                <w:rFonts w:ascii="Arial Narrow" w:hAnsi="Arial Narrow" w:cs="Arial"/>
                <w:b/>
                <w:bCs/>
                <w:sz w:val="18"/>
                <w:szCs w:val="18"/>
                <w:lang w:val="es-ES_tradnl"/>
              </w:rPr>
              <w:t xml:space="preserve"> </w:t>
            </w:r>
          </w:p>
        </w:tc>
        <w:tc>
          <w:tcPr>
            <w:tcW w:w="976" w:type="dxa"/>
            <w:tcBorders>
              <w:top w:val="nil"/>
              <w:left w:val="nil"/>
              <w:bottom w:val="nil"/>
              <w:right w:val="nil"/>
            </w:tcBorders>
            <w:shd w:val="clear" w:color="000000" w:fill="C7CFD8"/>
            <w:vAlign w:val="center"/>
            <w:hideMark/>
          </w:tcPr>
          <w:p w14:paraId="038B23A8" w14:textId="2E75A9B2" w:rsidR="008E72BA" w:rsidRPr="006E4BE1" w:rsidRDefault="008E72B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 </w:t>
            </w:r>
          </w:p>
        </w:tc>
        <w:tc>
          <w:tcPr>
            <w:tcW w:w="1495" w:type="dxa"/>
            <w:tcBorders>
              <w:top w:val="nil"/>
              <w:left w:val="nil"/>
              <w:bottom w:val="nil"/>
              <w:right w:val="nil"/>
            </w:tcBorders>
            <w:shd w:val="clear" w:color="000000" w:fill="C7CFD8"/>
            <w:vAlign w:val="center"/>
            <w:hideMark/>
          </w:tcPr>
          <w:p w14:paraId="0BE3A0F4" w14:textId="3BB008A1" w:rsidR="008E72BA" w:rsidRPr="006E4BE1" w:rsidRDefault="00D20B57"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Propuesto</w:t>
            </w:r>
            <w:r w:rsidR="008E72BA" w:rsidRPr="006E4BE1">
              <w:rPr>
                <w:rFonts w:ascii="Arial Narrow" w:hAnsi="Arial Narrow" w:cs="Arial"/>
                <w:b/>
                <w:bCs/>
                <w:sz w:val="18"/>
                <w:szCs w:val="18"/>
                <w:lang w:val="es-ES_tradnl"/>
              </w:rPr>
              <w:t xml:space="preserve"> </w:t>
            </w:r>
          </w:p>
        </w:tc>
      </w:tr>
      <w:tr w:rsidR="008E72BA" w:rsidRPr="006E4BE1" w14:paraId="025A3F47" w14:textId="77777777" w:rsidTr="001240C5">
        <w:trPr>
          <w:trHeight w:val="250"/>
          <w:jc w:val="center"/>
        </w:trPr>
        <w:tc>
          <w:tcPr>
            <w:tcW w:w="1176" w:type="dxa"/>
            <w:vMerge/>
            <w:tcBorders>
              <w:top w:val="nil"/>
              <w:left w:val="nil"/>
              <w:bottom w:val="nil"/>
              <w:right w:val="nil"/>
            </w:tcBorders>
            <w:vAlign w:val="center"/>
            <w:hideMark/>
          </w:tcPr>
          <w:p w14:paraId="0D079A2C" w14:textId="77777777" w:rsidR="008E72BA" w:rsidRPr="006E4BE1" w:rsidRDefault="008E72BA" w:rsidP="00AE50C9">
            <w:pPr>
              <w:jc w:val="left"/>
              <w:rPr>
                <w:rFonts w:ascii="Arial Narrow" w:hAnsi="Arial Narrow" w:cs="Arial"/>
                <w:b/>
                <w:bCs/>
                <w:sz w:val="18"/>
                <w:szCs w:val="18"/>
                <w:lang w:val="es-ES_tradnl"/>
              </w:rPr>
            </w:pPr>
          </w:p>
        </w:tc>
        <w:tc>
          <w:tcPr>
            <w:tcW w:w="1283" w:type="dxa"/>
            <w:tcBorders>
              <w:top w:val="nil"/>
              <w:left w:val="nil"/>
              <w:bottom w:val="nil"/>
              <w:right w:val="nil"/>
            </w:tcBorders>
            <w:shd w:val="clear" w:color="000000" w:fill="C7CFD8"/>
            <w:noWrap/>
            <w:vAlign w:val="center"/>
            <w:hideMark/>
          </w:tcPr>
          <w:p w14:paraId="77B23AAF" w14:textId="382EEEB3" w:rsidR="008E72BA" w:rsidRPr="006E4BE1" w:rsidRDefault="008E72B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A </w:t>
            </w:r>
          </w:p>
        </w:tc>
        <w:tc>
          <w:tcPr>
            <w:tcW w:w="770" w:type="dxa"/>
            <w:tcBorders>
              <w:top w:val="nil"/>
              <w:left w:val="nil"/>
              <w:bottom w:val="nil"/>
              <w:right w:val="nil"/>
            </w:tcBorders>
            <w:shd w:val="clear" w:color="000000" w:fill="C7CFD8"/>
            <w:vAlign w:val="center"/>
            <w:hideMark/>
          </w:tcPr>
          <w:p w14:paraId="0B824E54" w14:textId="56F0363E" w:rsidR="008E72BA" w:rsidRPr="006E4BE1" w:rsidRDefault="008E72B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B </w:t>
            </w:r>
          </w:p>
        </w:tc>
        <w:tc>
          <w:tcPr>
            <w:tcW w:w="976" w:type="dxa"/>
            <w:tcBorders>
              <w:top w:val="nil"/>
              <w:left w:val="nil"/>
              <w:bottom w:val="nil"/>
              <w:right w:val="nil"/>
            </w:tcBorders>
            <w:shd w:val="clear" w:color="000000" w:fill="C7CFD8"/>
            <w:vAlign w:val="center"/>
            <w:hideMark/>
          </w:tcPr>
          <w:p w14:paraId="21039EA5" w14:textId="77777777" w:rsidR="008E72BA" w:rsidRPr="006E4BE1" w:rsidRDefault="008E72B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B/A</w:t>
            </w:r>
          </w:p>
        </w:tc>
        <w:tc>
          <w:tcPr>
            <w:tcW w:w="1495" w:type="dxa"/>
            <w:tcBorders>
              <w:top w:val="nil"/>
              <w:left w:val="nil"/>
              <w:bottom w:val="nil"/>
              <w:right w:val="nil"/>
            </w:tcBorders>
            <w:shd w:val="clear" w:color="000000" w:fill="C7CFD8"/>
            <w:noWrap/>
            <w:vAlign w:val="center"/>
            <w:hideMark/>
          </w:tcPr>
          <w:p w14:paraId="22E9E746" w14:textId="1FE05A5C" w:rsidR="008E72BA" w:rsidRPr="006E4BE1" w:rsidRDefault="008E72BA"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 xml:space="preserve">C=A+B </w:t>
            </w:r>
          </w:p>
        </w:tc>
      </w:tr>
      <w:tr w:rsidR="008E72BA" w:rsidRPr="006E4BE1" w14:paraId="5F9AB90E" w14:textId="77777777" w:rsidTr="001240C5">
        <w:trPr>
          <w:trHeight w:val="105"/>
          <w:jc w:val="center"/>
        </w:trPr>
        <w:tc>
          <w:tcPr>
            <w:tcW w:w="1176" w:type="dxa"/>
            <w:tcBorders>
              <w:top w:val="nil"/>
              <w:left w:val="nil"/>
              <w:bottom w:val="nil"/>
              <w:right w:val="nil"/>
            </w:tcBorders>
            <w:shd w:val="clear" w:color="auto" w:fill="auto"/>
            <w:hideMark/>
          </w:tcPr>
          <w:p w14:paraId="5B3A27E9" w14:textId="77777777" w:rsidR="008E72BA" w:rsidRPr="006E4BE1" w:rsidRDefault="008E72BA" w:rsidP="00AE50C9">
            <w:pPr>
              <w:jc w:val="center"/>
              <w:rPr>
                <w:rFonts w:ascii="Arial Narrow" w:hAnsi="Arial Narrow" w:cs="Arial"/>
                <w:b/>
                <w:bCs/>
                <w:sz w:val="18"/>
                <w:szCs w:val="18"/>
                <w:lang w:val="es-ES_tradnl"/>
              </w:rPr>
            </w:pPr>
          </w:p>
        </w:tc>
        <w:tc>
          <w:tcPr>
            <w:tcW w:w="1283" w:type="dxa"/>
            <w:tcBorders>
              <w:top w:val="nil"/>
              <w:left w:val="nil"/>
              <w:bottom w:val="nil"/>
              <w:right w:val="nil"/>
            </w:tcBorders>
            <w:shd w:val="clear" w:color="auto" w:fill="auto"/>
            <w:hideMark/>
          </w:tcPr>
          <w:p w14:paraId="6119FA6C" w14:textId="77777777" w:rsidR="008E72BA" w:rsidRPr="006E4BE1" w:rsidRDefault="008E72BA" w:rsidP="00AE50C9">
            <w:pPr>
              <w:jc w:val="center"/>
              <w:rPr>
                <w:rFonts w:ascii="Times New Roman" w:hAnsi="Times New Roman"/>
                <w:lang w:val="es-ES_tradnl"/>
              </w:rPr>
            </w:pPr>
          </w:p>
        </w:tc>
        <w:tc>
          <w:tcPr>
            <w:tcW w:w="770" w:type="dxa"/>
            <w:tcBorders>
              <w:top w:val="nil"/>
              <w:left w:val="nil"/>
              <w:bottom w:val="nil"/>
              <w:right w:val="nil"/>
            </w:tcBorders>
            <w:shd w:val="clear" w:color="auto" w:fill="auto"/>
            <w:hideMark/>
          </w:tcPr>
          <w:p w14:paraId="3CA8FDD7" w14:textId="77777777" w:rsidR="008E72BA" w:rsidRPr="006E4BE1" w:rsidRDefault="008E72BA" w:rsidP="00AE50C9">
            <w:pPr>
              <w:jc w:val="right"/>
              <w:rPr>
                <w:rFonts w:ascii="Times New Roman" w:hAnsi="Times New Roman"/>
                <w:lang w:val="es-ES_tradnl"/>
              </w:rPr>
            </w:pPr>
          </w:p>
        </w:tc>
        <w:tc>
          <w:tcPr>
            <w:tcW w:w="976" w:type="dxa"/>
            <w:tcBorders>
              <w:top w:val="nil"/>
              <w:left w:val="nil"/>
              <w:bottom w:val="nil"/>
              <w:right w:val="nil"/>
            </w:tcBorders>
            <w:shd w:val="clear" w:color="auto" w:fill="auto"/>
            <w:hideMark/>
          </w:tcPr>
          <w:p w14:paraId="3A1EFD91" w14:textId="77777777" w:rsidR="008E72BA" w:rsidRPr="006E4BE1" w:rsidRDefault="008E72BA" w:rsidP="00AE50C9">
            <w:pPr>
              <w:jc w:val="right"/>
              <w:rPr>
                <w:rFonts w:ascii="Times New Roman" w:hAnsi="Times New Roman"/>
                <w:lang w:val="es-ES_tradnl"/>
              </w:rPr>
            </w:pPr>
          </w:p>
        </w:tc>
        <w:tc>
          <w:tcPr>
            <w:tcW w:w="1495" w:type="dxa"/>
            <w:tcBorders>
              <w:top w:val="nil"/>
              <w:left w:val="nil"/>
              <w:bottom w:val="nil"/>
              <w:right w:val="nil"/>
            </w:tcBorders>
            <w:shd w:val="clear" w:color="auto" w:fill="auto"/>
            <w:hideMark/>
          </w:tcPr>
          <w:p w14:paraId="51F2830F" w14:textId="77777777" w:rsidR="008E72BA" w:rsidRPr="006E4BE1" w:rsidRDefault="008E72BA" w:rsidP="00AE50C9">
            <w:pPr>
              <w:jc w:val="right"/>
              <w:rPr>
                <w:rFonts w:ascii="Times New Roman" w:hAnsi="Times New Roman"/>
                <w:lang w:val="es-ES_tradnl"/>
              </w:rPr>
            </w:pPr>
          </w:p>
        </w:tc>
      </w:tr>
      <w:tr w:rsidR="001240C5" w:rsidRPr="006E4BE1" w14:paraId="6E5E9B6F" w14:textId="77777777" w:rsidTr="001240C5">
        <w:trPr>
          <w:trHeight w:val="315"/>
          <w:jc w:val="center"/>
        </w:trPr>
        <w:tc>
          <w:tcPr>
            <w:tcW w:w="1176" w:type="dxa"/>
            <w:tcBorders>
              <w:top w:val="nil"/>
              <w:left w:val="nil"/>
              <w:bottom w:val="nil"/>
              <w:right w:val="nil"/>
            </w:tcBorders>
            <w:shd w:val="clear" w:color="auto" w:fill="auto"/>
            <w:hideMark/>
          </w:tcPr>
          <w:p w14:paraId="4DBA296C" w14:textId="77777777" w:rsidR="001240C5" w:rsidRPr="006E4BE1" w:rsidRDefault="001240C5" w:rsidP="001240C5">
            <w:pPr>
              <w:jc w:val="center"/>
              <w:rPr>
                <w:rFonts w:ascii="Arial Narrow" w:hAnsi="Arial Narrow" w:cs="Arial"/>
                <w:color w:val="000000"/>
                <w:lang w:val="es-ES_tradnl"/>
              </w:rPr>
            </w:pPr>
            <w:r w:rsidRPr="006E4BE1">
              <w:rPr>
                <w:rFonts w:ascii="Arial Narrow" w:hAnsi="Arial Narrow" w:cs="Arial"/>
                <w:color w:val="000000"/>
                <w:lang w:val="es-ES_tradnl"/>
              </w:rPr>
              <w:t>UV.1</w:t>
            </w:r>
          </w:p>
        </w:tc>
        <w:tc>
          <w:tcPr>
            <w:tcW w:w="1283" w:type="dxa"/>
            <w:tcBorders>
              <w:top w:val="nil"/>
              <w:left w:val="nil"/>
              <w:bottom w:val="nil"/>
              <w:right w:val="nil"/>
            </w:tcBorders>
            <w:shd w:val="clear" w:color="auto" w:fill="auto"/>
            <w:hideMark/>
          </w:tcPr>
          <w:p w14:paraId="79D3FE2E" w14:textId="77777777"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798</w:t>
            </w:r>
          </w:p>
        </w:tc>
        <w:tc>
          <w:tcPr>
            <w:tcW w:w="770" w:type="dxa"/>
            <w:tcBorders>
              <w:top w:val="nil"/>
              <w:left w:val="nil"/>
              <w:bottom w:val="nil"/>
              <w:right w:val="nil"/>
            </w:tcBorders>
            <w:shd w:val="clear" w:color="auto" w:fill="auto"/>
            <w:hideMark/>
          </w:tcPr>
          <w:p w14:paraId="54CB24C5" w14:textId="600F1BF0"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18</w:t>
            </w:r>
          </w:p>
        </w:tc>
        <w:tc>
          <w:tcPr>
            <w:tcW w:w="976" w:type="dxa"/>
            <w:tcBorders>
              <w:top w:val="nil"/>
              <w:left w:val="nil"/>
              <w:bottom w:val="nil"/>
              <w:right w:val="nil"/>
            </w:tcBorders>
            <w:shd w:val="clear" w:color="auto" w:fill="auto"/>
            <w:noWrap/>
            <w:vAlign w:val="center"/>
            <w:hideMark/>
          </w:tcPr>
          <w:p w14:paraId="104E6F5D" w14:textId="44786604" w:rsidR="001240C5" w:rsidRPr="006E4BE1" w:rsidRDefault="001240C5" w:rsidP="001240C5">
            <w:pPr>
              <w:jc w:val="right"/>
              <w:rPr>
                <w:rFonts w:ascii="Arial Narrow" w:hAnsi="Arial Narrow" w:cs="Arial"/>
                <w:lang w:val="es-ES_tradnl"/>
              </w:rPr>
            </w:pPr>
            <w:r w:rsidRPr="006E4BE1">
              <w:rPr>
                <w:rFonts w:ascii="Arial Narrow" w:hAnsi="Arial Narrow" w:cs="Arial"/>
                <w:lang w:val="es-ES_tradnl"/>
              </w:rPr>
              <w:t>2,3%</w:t>
            </w:r>
          </w:p>
        </w:tc>
        <w:tc>
          <w:tcPr>
            <w:tcW w:w="1495" w:type="dxa"/>
            <w:tcBorders>
              <w:top w:val="nil"/>
              <w:left w:val="nil"/>
              <w:bottom w:val="nil"/>
              <w:right w:val="nil"/>
            </w:tcBorders>
            <w:shd w:val="clear" w:color="auto" w:fill="auto"/>
            <w:hideMark/>
          </w:tcPr>
          <w:p w14:paraId="2C12F570" w14:textId="2E72DE4D"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816</w:t>
            </w:r>
          </w:p>
        </w:tc>
      </w:tr>
      <w:tr w:rsidR="001240C5" w:rsidRPr="006E4BE1" w14:paraId="5E1F2244" w14:textId="77777777" w:rsidTr="001240C5">
        <w:trPr>
          <w:trHeight w:val="315"/>
          <w:jc w:val="center"/>
        </w:trPr>
        <w:tc>
          <w:tcPr>
            <w:tcW w:w="1176" w:type="dxa"/>
            <w:tcBorders>
              <w:top w:val="nil"/>
              <w:left w:val="nil"/>
              <w:bottom w:val="nil"/>
              <w:right w:val="nil"/>
            </w:tcBorders>
            <w:shd w:val="clear" w:color="auto" w:fill="auto"/>
            <w:hideMark/>
          </w:tcPr>
          <w:p w14:paraId="3E7DD1AF" w14:textId="77777777" w:rsidR="001240C5" w:rsidRPr="006E4BE1" w:rsidRDefault="001240C5" w:rsidP="001240C5">
            <w:pPr>
              <w:jc w:val="center"/>
              <w:rPr>
                <w:rFonts w:ascii="Arial Narrow" w:hAnsi="Arial Narrow" w:cs="Arial"/>
                <w:color w:val="000000"/>
                <w:lang w:val="es-ES_tradnl"/>
              </w:rPr>
            </w:pPr>
            <w:r w:rsidRPr="006E4BE1">
              <w:rPr>
                <w:rFonts w:ascii="Arial Narrow" w:hAnsi="Arial Narrow" w:cs="Arial"/>
                <w:color w:val="000000"/>
                <w:lang w:val="es-ES_tradnl"/>
              </w:rPr>
              <w:t>UV.2</w:t>
            </w:r>
          </w:p>
        </w:tc>
        <w:tc>
          <w:tcPr>
            <w:tcW w:w="1283" w:type="dxa"/>
            <w:tcBorders>
              <w:top w:val="nil"/>
              <w:left w:val="nil"/>
              <w:bottom w:val="nil"/>
              <w:right w:val="nil"/>
            </w:tcBorders>
            <w:shd w:val="clear" w:color="auto" w:fill="auto"/>
            <w:hideMark/>
          </w:tcPr>
          <w:p w14:paraId="7BE1F0D3" w14:textId="53F59827"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4.268</w:t>
            </w:r>
          </w:p>
        </w:tc>
        <w:tc>
          <w:tcPr>
            <w:tcW w:w="770" w:type="dxa"/>
            <w:tcBorders>
              <w:top w:val="nil"/>
              <w:left w:val="nil"/>
              <w:bottom w:val="nil"/>
              <w:right w:val="nil"/>
            </w:tcBorders>
            <w:shd w:val="clear" w:color="auto" w:fill="auto"/>
            <w:hideMark/>
          </w:tcPr>
          <w:p w14:paraId="25E0CF15" w14:textId="778E7C3A"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218</w:t>
            </w:r>
          </w:p>
        </w:tc>
        <w:tc>
          <w:tcPr>
            <w:tcW w:w="976" w:type="dxa"/>
            <w:tcBorders>
              <w:top w:val="nil"/>
              <w:left w:val="nil"/>
              <w:bottom w:val="nil"/>
              <w:right w:val="nil"/>
            </w:tcBorders>
            <w:shd w:val="clear" w:color="auto" w:fill="auto"/>
            <w:noWrap/>
            <w:vAlign w:val="center"/>
            <w:hideMark/>
          </w:tcPr>
          <w:p w14:paraId="3C7518FE" w14:textId="5607B48F" w:rsidR="001240C5" w:rsidRPr="006E4BE1" w:rsidRDefault="001240C5" w:rsidP="001240C5">
            <w:pPr>
              <w:jc w:val="right"/>
              <w:rPr>
                <w:rFonts w:ascii="Arial Narrow" w:hAnsi="Arial Narrow" w:cs="Arial"/>
                <w:lang w:val="es-ES_tradnl"/>
              </w:rPr>
            </w:pPr>
            <w:r w:rsidRPr="006E4BE1">
              <w:rPr>
                <w:rFonts w:ascii="Arial Narrow" w:hAnsi="Arial Narrow" w:cs="Arial"/>
                <w:lang w:val="es-ES_tradnl"/>
              </w:rPr>
              <w:t>5,1%</w:t>
            </w:r>
          </w:p>
        </w:tc>
        <w:tc>
          <w:tcPr>
            <w:tcW w:w="1495" w:type="dxa"/>
            <w:tcBorders>
              <w:top w:val="nil"/>
              <w:left w:val="nil"/>
              <w:bottom w:val="nil"/>
              <w:right w:val="nil"/>
            </w:tcBorders>
            <w:shd w:val="clear" w:color="auto" w:fill="auto"/>
            <w:hideMark/>
          </w:tcPr>
          <w:p w14:paraId="734CA33C" w14:textId="040F91DC"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4.486</w:t>
            </w:r>
          </w:p>
        </w:tc>
      </w:tr>
      <w:tr w:rsidR="001240C5" w:rsidRPr="006E4BE1" w14:paraId="57179147" w14:textId="77777777" w:rsidTr="001240C5">
        <w:trPr>
          <w:trHeight w:val="330"/>
          <w:jc w:val="center"/>
        </w:trPr>
        <w:tc>
          <w:tcPr>
            <w:tcW w:w="1176" w:type="dxa"/>
            <w:tcBorders>
              <w:top w:val="nil"/>
              <w:left w:val="nil"/>
              <w:bottom w:val="nil"/>
              <w:right w:val="nil"/>
            </w:tcBorders>
            <w:shd w:val="clear" w:color="auto" w:fill="auto"/>
            <w:hideMark/>
          </w:tcPr>
          <w:p w14:paraId="6B727313" w14:textId="77777777" w:rsidR="001240C5" w:rsidRPr="006E4BE1" w:rsidRDefault="001240C5" w:rsidP="001240C5">
            <w:pPr>
              <w:jc w:val="center"/>
              <w:rPr>
                <w:rFonts w:ascii="Arial Narrow" w:hAnsi="Arial Narrow" w:cs="Arial"/>
                <w:color w:val="000000"/>
                <w:lang w:val="es-ES_tradnl"/>
              </w:rPr>
            </w:pPr>
            <w:r w:rsidRPr="006E4BE1">
              <w:rPr>
                <w:rFonts w:ascii="Arial Narrow" w:hAnsi="Arial Narrow" w:cs="Arial"/>
                <w:color w:val="000000"/>
                <w:lang w:val="es-ES_tradnl"/>
              </w:rPr>
              <w:t>UV.3</w:t>
            </w:r>
          </w:p>
        </w:tc>
        <w:tc>
          <w:tcPr>
            <w:tcW w:w="1283" w:type="dxa"/>
            <w:tcBorders>
              <w:top w:val="nil"/>
              <w:left w:val="nil"/>
              <w:bottom w:val="nil"/>
              <w:right w:val="nil"/>
            </w:tcBorders>
            <w:shd w:val="clear" w:color="auto" w:fill="auto"/>
            <w:hideMark/>
          </w:tcPr>
          <w:p w14:paraId="20B5A115" w14:textId="44A8E6E3"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1.633</w:t>
            </w:r>
          </w:p>
        </w:tc>
        <w:tc>
          <w:tcPr>
            <w:tcW w:w="770" w:type="dxa"/>
            <w:tcBorders>
              <w:top w:val="nil"/>
              <w:left w:val="nil"/>
              <w:bottom w:val="nil"/>
              <w:right w:val="nil"/>
            </w:tcBorders>
            <w:shd w:val="clear" w:color="auto" w:fill="auto"/>
            <w:hideMark/>
          </w:tcPr>
          <w:p w14:paraId="72F15BCC" w14:textId="31FF45CC"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39</w:t>
            </w:r>
          </w:p>
        </w:tc>
        <w:tc>
          <w:tcPr>
            <w:tcW w:w="976" w:type="dxa"/>
            <w:tcBorders>
              <w:top w:val="nil"/>
              <w:left w:val="nil"/>
              <w:bottom w:val="nil"/>
              <w:right w:val="nil"/>
            </w:tcBorders>
            <w:shd w:val="clear" w:color="auto" w:fill="auto"/>
            <w:noWrap/>
            <w:vAlign w:val="center"/>
            <w:hideMark/>
          </w:tcPr>
          <w:p w14:paraId="305B91A7" w14:textId="0EEB4C43" w:rsidR="001240C5" w:rsidRPr="006E4BE1" w:rsidRDefault="001240C5" w:rsidP="001240C5">
            <w:pPr>
              <w:jc w:val="right"/>
              <w:rPr>
                <w:rFonts w:ascii="Arial Narrow" w:hAnsi="Arial Narrow" w:cs="Arial"/>
                <w:lang w:val="es-ES_tradnl"/>
              </w:rPr>
            </w:pPr>
            <w:r w:rsidRPr="006E4BE1">
              <w:rPr>
                <w:rFonts w:ascii="Arial Narrow" w:hAnsi="Arial Narrow" w:cs="Arial"/>
                <w:lang w:val="es-ES_tradnl"/>
              </w:rPr>
              <w:t>2,4%</w:t>
            </w:r>
          </w:p>
        </w:tc>
        <w:tc>
          <w:tcPr>
            <w:tcW w:w="1495" w:type="dxa"/>
            <w:tcBorders>
              <w:top w:val="nil"/>
              <w:left w:val="nil"/>
              <w:bottom w:val="nil"/>
              <w:right w:val="nil"/>
            </w:tcBorders>
            <w:shd w:val="clear" w:color="auto" w:fill="auto"/>
            <w:hideMark/>
          </w:tcPr>
          <w:p w14:paraId="43EF86EA" w14:textId="288A3A9C"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1.672</w:t>
            </w:r>
          </w:p>
        </w:tc>
      </w:tr>
      <w:tr w:rsidR="001240C5" w:rsidRPr="006E4BE1" w14:paraId="1EDE75EA" w14:textId="77777777" w:rsidTr="001240C5">
        <w:trPr>
          <w:trHeight w:val="330"/>
          <w:jc w:val="center"/>
        </w:trPr>
        <w:tc>
          <w:tcPr>
            <w:tcW w:w="1176" w:type="dxa"/>
            <w:tcBorders>
              <w:top w:val="nil"/>
              <w:left w:val="nil"/>
              <w:bottom w:val="nil"/>
              <w:right w:val="nil"/>
            </w:tcBorders>
            <w:shd w:val="clear" w:color="auto" w:fill="auto"/>
            <w:hideMark/>
          </w:tcPr>
          <w:p w14:paraId="3E2D3B91" w14:textId="77777777" w:rsidR="001240C5" w:rsidRPr="006E4BE1" w:rsidRDefault="001240C5" w:rsidP="001240C5">
            <w:pPr>
              <w:jc w:val="center"/>
              <w:rPr>
                <w:rFonts w:ascii="Arial Narrow" w:hAnsi="Arial Narrow" w:cs="Arial"/>
                <w:color w:val="000000"/>
                <w:lang w:val="es-ES_tradnl"/>
              </w:rPr>
            </w:pPr>
            <w:r w:rsidRPr="006E4BE1">
              <w:rPr>
                <w:rFonts w:ascii="Arial Narrow" w:hAnsi="Arial Narrow" w:cs="Arial"/>
                <w:color w:val="000000"/>
                <w:lang w:val="es-ES_tradnl"/>
              </w:rPr>
              <w:t>UV.4</w:t>
            </w:r>
          </w:p>
        </w:tc>
        <w:tc>
          <w:tcPr>
            <w:tcW w:w="1283" w:type="dxa"/>
            <w:tcBorders>
              <w:top w:val="nil"/>
              <w:left w:val="nil"/>
              <w:bottom w:val="nil"/>
              <w:right w:val="nil"/>
            </w:tcBorders>
            <w:shd w:val="clear" w:color="auto" w:fill="auto"/>
            <w:hideMark/>
          </w:tcPr>
          <w:p w14:paraId="6852FD4B" w14:textId="77777777"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648</w:t>
            </w:r>
          </w:p>
        </w:tc>
        <w:tc>
          <w:tcPr>
            <w:tcW w:w="770" w:type="dxa"/>
            <w:tcBorders>
              <w:top w:val="nil"/>
              <w:left w:val="nil"/>
              <w:bottom w:val="nil"/>
              <w:right w:val="nil"/>
            </w:tcBorders>
            <w:shd w:val="clear" w:color="auto" w:fill="auto"/>
            <w:hideMark/>
          </w:tcPr>
          <w:p w14:paraId="52CC1B5C" w14:textId="06B4A22F"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12</w:t>
            </w:r>
          </w:p>
        </w:tc>
        <w:tc>
          <w:tcPr>
            <w:tcW w:w="976" w:type="dxa"/>
            <w:tcBorders>
              <w:top w:val="nil"/>
              <w:left w:val="nil"/>
              <w:bottom w:val="nil"/>
              <w:right w:val="nil"/>
            </w:tcBorders>
            <w:shd w:val="clear" w:color="auto" w:fill="auto"/>
            <w:noWrap/>
            <w:vAlign w:val="center"/>
            <w:hideMark/>
          </w:tcPr>
          <w:p w14:paraId="7B426E96" w14:textId="7411AA99" w:rsidR="001240C5" w:rsidRPr="006E4BE1" w:rsidRDefault="001240C5" w:rsidP="001240C5">
            <w:pPr>
              <w:jc w:val="right"/>
              <w:rPr>
                <w:rFonts w:ascii="Arial Narrow" w:hAnsi="Arial Narrow" w:cs="Arial"/>
                <w:lang w:val="es-ES_tradnl"/>
              </w:rPr>
            </w:pPr>
            <w:r w:rsidRPr="006E4BE1">
              <w:rPr>
                <w:rFonts w:ascii="Arial Narrow" w:hAnsi="Arial Narrow" w:cs="Arial"/>
                <w:lang w:val="es-ES_tradnl"/>
              </w:rPr>
              <w:t>1,8%</w:t>
            </w:r>
          </w:p>
        </w:tc>
        <w:tc>
          <w:tcPr>
            <w:tcW w:w="1495" w:type="dxa"/>
            <w:tcBorders>
              <w:top w:val="nil"/>
              <w:left w:val="nil"/>
              <w:bottom w:val="nil"/>
              <w:right w:val="nil"/>
            </w:tcBorders>
            <w:shd w:val="clear" w:color="auto" w:fill="auto"/>
            <w:hideMark/>
          </w:tcPr>
          <w:p w14:paraId="3E996C59" w14:textId="75D918A3" w:rsidR="001240C5" w:rsidRPr="006E4BE1" w:rsidRDefault="001240C5" w:rsidP="001240C5">
            <w:pPr>
              <w:jc w:val="right"/>
              <w:rPr>
                <w:rFonts w:ascii="Arial Narrow" w:hAnsi="Arial Narrow" w:cs="Arial"/>
                <w:color w:val="000000"/>
                <w:lang w:val="es-ES_tradnl"/>
              </w:rPr>
            </w:pPr>
            <w:r w:rsidRPr="006E4BE1">
              <w:rPr>
                <w:rFonts w:ascii="Arial Narrow" w:hAnsi="Arial Narrow" w:cs="Arial"/>
                <w:color w:val="000000"/>
                <w:lang w:val="es-ES_tradnl"/>
              </w:rPr>
              <w:t>660</w:t>
            </w:r>
          </w:p>
        </w:tc>
      </w:tr>
      <w:tr w:rsidR="008E72BA" w:rsidRPr="006E4BE1" w14:paraId="2AD4ECA0" w14:textId="77777777" w:rsidTr="001240C5">
        <w:trPr>
          <w:trHeight w:val="105"/>
          <w:jc w:val="center"/>
        </w:trPr>
        <w:tc>
          <w:tcPr>
            <w:tcW w:w="1176" w:type="dxa"/>
            <w:tcBorders>
              <w:top w:val="nil"/>
              <w:left w:val="nil"/>
              <w:bottom w:val="nil"/>
              <w:right w:val="nil"/>
            </w:tcBorders>
            <w:shd w:val="clear" w:color="auto" w:fill="auto"/>
            <w:hideMark/>
          </w:tcPr>
          <w:p w14:paraId="575E54D8" w14:textId="77777777" w:rsidR="008E72BA" w:rsidRPr="006E4BE1" w:rsidRDefault="008E72BA" w:rsidP="00AE50C9">
            <w:pPr>
              <w:jc w:val="right"/>
              <w:rPr>
                <w:rFonts w:ascii="Arial Narrow" w:hAnsi="Arial Narrow" w:cs="Arial"/>
                <w:color w:val="000000"/>
                <w:lang w:val="es-ES_tradnl"/>
              </w:rPr>
            </w:pPr>
          </w:p>
        </w:tc>
        <w:tc>
          <w:tcPr>
            <w:tcW w:w="1283" w:type="dxa"/>
            <w:tcBorders>
              <w:top w:val="nil"/>
              <w:left w:val="nil"/>
              <w:bottom w:val="nil"/>
              <w:right w:val="nil"/>
            </w:tcBorders>
            <w:shd w:val="clear" w:color="auto" w:fill="auto"/>
            <w:hideMark/>
          </w:tcPr>
          <w:p w14:paraId="58E9BD35" w14:textId="77777777" w:rsidR="008E72BA" w:rsidRPr="006E4BE1" w:rsidRDefault="008E72BA" w:rsidP="00AE50C9">
            <w:pPr>
              <w:jc w:val="center"/>
              <w:rPr>
                <w:rFonts w:ascii="Times New Roman" w:hAnsi="Times New Roman"/>
                <w:lang w:val="es-ES_tradnl"/>
              </w:rPr>
            </w:pPr>
          </w:p>
        </w:tc>
        <w:tc>
          <w:tcPr>
            <w:tcW w:w="770" w:type="dxa"/>
            <w:tcBorders>
              <w:top w:val="nil"/>
              <w:left w:val="nil"/>
              <w:bottom w:val="nil"/>
              <w:right w:val="nil"/>
            </w:tcBorders>
            <w:shd w:val="clear" w:color="auto" w:fill="auto"/>
            <w:hideMark/>
          </w:tcPr>
          <w:p w14:paraId="1A0C72D2" w14:textId="77777777" w:rsidR="008E72BA" w:rsidRPr="006E4BE1" w:rsidRDefault="008E72BA" w:rsidP="00AE50C9">
            <w:pPr>
              <w:jc w:val="right"/>
              <w:rPr>
                <w:rFonts w:ascii="Times New Roman" w:hAnsi="Times New Roman"/>
                <w:lang w:val="es-ES_tradnl"/>
              </w:rPr>
            </w:pPr>
          </w:p>
        </w:tc>
        <w:tc>
          <w:tcPr>
            <w:tcW w:w="976" w:type="dxa"/>
            <w:tcBorders>
              <w:top w:val="nil"/>
              <w:left w:val="nil"/>
              <w:bottom w:val="nil"/>
              <w:right w:val="nil"/>
            </w:tcBorders>
            <w:shd w:val="clear" w:color="auto" w:fill="auto"/>
            <w:noWrap/>
            <w:vAlign w:val="center"/>
            <w:hideMark/>
          </w:tcPr>
          <w:p w14:paraId="6A9DB096" w14:textId="77777777" w:rsidR="008E72BA" w:rsidRPr="006E4BE1" w:rsidRDefault="008E72BA" w:rsidP="00AE50C9">
            <w:pPr>
              <w:jc w:val="right"/>
              <w:rPr>
                <w:rFonts w:ascii="Times New Roman" w:hAnsi="Times New Roman"/>
                <w:lang w:val="es-ES_tradnl"/>
              </w:rPr>
            </w:pPr>
          </w:p>
        </w:tc>
        <w:tc>
          <w:tcPr>
            <w:tcW w:w="1495" w:type="dxa"/>
            <w:tcBorders>
              <w:top w:val="nil"/>
              <w:left w:val="nil"/>
              <w:bottom w:val="nil"/>
              <w:right w:val="nil"/>
            </w:tcBorders>
            <w:shd w:val="clear" w:color="auto" w:fill="auto"/>
            <w:hideMark/>
          </w:tcPr>
          <w:p w14:paraId="3E8C6394" w14:textId="77777777" w:rsidR="008E72BA" w:rsidRPr="006E4BE1" w:rsidRDefault="008E72BA" w:rsidP="00AE50C9">
            <w:pPr>
              <w:jc w:val="right"/>
              <w:rPr>
                <w:rFonts w:ascii="Times New Roman" w:hAnsi="Times New Roman"/>
                <w:lang w:val="es-ES_tradnl"/>
              </w:rPr>
            </w:pPr>
          </w:p>
        </w:tc>
      </w:tr>
      <w:tr w:rsidR="008E72BA" w:rsidRPr="006E4BE1" w14:paraId="5090B050" w14:textId="77777777" w:rsidTr="001240C5">
        <w:trPr>
          <w:trHeight w:val="345"/>
          <w:jc w:val="center"/>
        </w:trPr>
        <w:tc>
          <w:tcPr>
            <w:tcW w:w="1176" w:type="dxa"/>
            <w:tcBorders>
              <w:top w:val="single" w:sz="4" w:space="0" w:color="AAB8C4"/>
              <w:left w:val="nil"/>
              <w:bottom w:val="single" w:sz="8" w:space="0" w:color="AAB8C4"/>
              <w:right w:val="nil"/>
            </w:tcBorders>
            <w:shd w:val="clear" w:color="auto" w:fill="auto"/>
            <w:vAlign w:val="center"/>
            <w:hideMark/>
          </w:tcPr>
          <w:p w14:paraId="45867105" w14:textId="77777777" w:rsidR="008E72BA" w:rsidRPr="006E4BE1" w:rsidRDefault="008E72BA" w:rsidP="00AE50C9">
            <w:pPr>
              <w:jc w:val="center"/>
              <w:rPr>
                <w:rFonts w:ascii="Arial Narrow" w:hAnsi="Arial Narrow" w:cs="Arial"/>
                <w:b/>
                <w:bCs/>
                <w:color w:val="000000"/>
                <w:lang w:val="es-ES_tradnl"/>
              </w:rPr>
            </w:pPr>
            <w:r w:rsidRPr="006E4BE1">
              <w:rPr>
                <w:rFonts w:ascii="Arial Narrow" w:hAnsi="Arial Narrow" w:cs="Arial"/>
                <w:b/>
                <w:bCs/>
                <w:color w:val="000000"/>
                <w:lang w:val="es-ES_tradnl"/>
              </w:rPr>
              <w:t>TOTAL</w:t>
            </w:r>
          </w:p>
        </w:tc>
        <w:tc>
          <w:tcPr>
            <w:tcW w:w="1283" w:type="dxa"/>
            <w:tcBorders>
              <w:top w:val="single" w:sz="4" w:space="0" w:color="AAB8C4"/>
              <w:left w:val="nil"/>
              <w:bottom w:val="single" w:sz="8" w:space="0" w:color="AAB8C4"/>
              <w:right w:val="nil"/>
            </w:tcBorders>
            <w:shd w:val="clear" w:color="auto" w:fill="auto"/>
            <w:vAlign w:val="center"/>
            <w:hideMark/>
          </w:tcPr>
          <w:p w14:paraId="51AA9DD0" w14:textId="338A43C9" w:rsidR="008E72BA" w:rsidRPr="006E4BE1" w:rsidRDefault="008E72BA"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D5050B" w:rsidRPr="006E4BE1">
              <w:rPr>
                <w:rFonts w:ascii="Arial Narrow" w:hAnsi="Arial Narrow" w:cs="Arial"/>
                <w:b/>
                <w:bCs/>
                <w:color w:val="000000"/>
                <w:lang w:val="es-ES_tradnl"/>
              </w:rPr>
              <w:t>.</w:t>
            </w:r>
            <w:r w:rsidRPr="006E4BE1">
              <w:rPr>
                <w:rFonts w:ascii="Arial Narrow" w:hAnsi="Arial Narrow" w:cs="Arial"/>
                <w:b/>
                <w:bCs/>
                <w:color w:val="000000"/>
                <w:lang w:val="es-ES_tradnl"/>
              </w:rPr>
              <w:t>347</w:t>
            </w:r>
          </w:p>
        </w:tc>
        <w:tc>
          <w:tcPr>
            <w:tcW w:w="770" w:type="dxa"/>
            <w:tcBorders>
              <w:top w:val="single" w:sz="4" w:space="0" w:color="AAB8C4"/>
              <w:left w:val="nil"/>
              <w:bottom w:val="single" w:sz="8" w:space="0" w:color="AAB8C4"/>
              <w:right w:val="nil"/>
            </w:tcBorders>
            <w:shd w:val="clear" w:color="auto" w:fill="auto"/>
            <w:vAlign w:val="center"/>
            <w:hideMark/>
          </w:tcPr>
          <w:p w14:paraId="19751BF7" w14:textId="77777777" w:rsidR="008E72BA" w:rsidRPr="006E4BE1" w:rsidRDefault="008E72BA"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287</w:t>
            </w:r>
          </w:p>
        </w:tc>
        <w:tc>
          <w:tcPr>
            <w:tcW w:w="976" w:type="dxa"/>
            <w:tcBorders>
              <w:top w:val="single" w:sz="4" w:space="0" w:color="BFBFBF"/>
              <w:left w:val="nil"/>
              <w:bottom w:val="single" w:sz="8" w:space="0" w:color="BFBFBF"/>
              <w:right w:val="nil"/>
            </w:tcBorders>
            <w:shd w:val="clear" w:color="auto" w:fill="auto"/>
            <w:noWrap/>
            <w:vAlign w:val="center"/>
            <w:hideMark/>
          </w:tcPr>
          <w:p w14:paraId="3CBE9FAF" w14:textId="0DDDFEA9" w:rsidR="008E72BA" w:rsidRPr="006E4BE1" w:rsidRDefault="008E72BA" w:rsidP="00AE50C9">
            <w:pPr>
              <w:jc w:val="right"/>
              <w:rPr>
                <w:rFonts w:ascii="Arial Narrow" w:hAnsi="Arial Narrow" w:cs="Arial"/>
                <w:b/>
                <w:bCs/>
                <w:lang w:val="es-ES_tradnl"/>
              </w:rPr>
            </w:pPr>
            <w:r w:rsidRPr="006E4BE1">
              <w:rPr>
                <w:rFonts w:ascii="Arial Narrow" w:hAnsi="Arial Narrow" w:cs="Arial"/>
                <w:b/>
                <w:bCs/>
                <w:lang w:val="es-ES_tradnl"/>
              </w:rPr>
              <w:t>3</w:t>
            </w:r>
            <w:r w:rsidR="00D5050B" w:rsidRPr="006E4BE1">
              <w:rPr>
                <w:rFonts w:ascii="Arial Narrow" w:hAnsi="Arial Narrow" w:cs="Arial"/>
                <w:b/>
                <w:bCs/>
                <w:lang w:val="es-ES_tradnl"/>
              </w:rPr>
              <w:t>,</w:t>
            </w:r>
            <w:r w:rsidRPr="006E4BE1">
              <w:rPr>
                <w:rFonts w:ascii="Arial Narrow" w:hAnsi="Arial Narrow" w:cs="Arial"/>
                <w:b/>
                <w:bCs/>
                <w:lang w:val="es-ES_tradnl"/>
              </w:rPr>
              <w:t>9%</w:t>
            </w:r>
          </w:p>
        </w:tc>
        <w:tc>
          <w:tcPr>
            <w:tcW w:w="1495" w:type="dxa"/>
            <w:tcBorders>
              <w:top w:val="single" w:sz="4" w:space="0" w:color="AAB8C4"/>
              <w:left w:val="nil"/>
              <w:bottom w:val="single" w:sz="8" w:space="0" w:color="AAB8C4"/>
              <w:right w:val="nil"/>
            </w:tcBorders>
            <w:shd w:val="clear" w:color="auto" w:fill="auto"/>
            <w:vAlign w:val="center"/>
            <w:hideMark/>
          </w:tcPr>
          <w:p w14:paraId="7800C4F4" w14:textId="5BCEB24C" w:rsidR="008E72BA" w:rsidRPr="006E4BE1" w:rsidRDefault="008E72BA" w:rsidP="00AE50C9">
            <w:pPr>
              <w:jc w:val="right"/>
              <w:rPr>
                <w:rFonts w:ascii="Arial Narrow" w:hAnsi="Arial Narrow" w:cs="Arial"/>
                <w:b/>
                <w:bCs/>
                <w:color w:val="000000"/>
                <w:lang w:val="es-ES_tradnl"/>
              </w:rPr>
            </w:pPr>
            <w:r w:rsidRPr="006E4BE1">
              <w:rPr>
                <w:rFonts w:ascii="Arial Narrow" w:hAnsi="Arial Narrow" w:cs="Arial"/>
                <w:b/>
                <w:bCs/>
                <w:color w:val="000000"/>
                <w:lang w:val="es-ES_tradnl"/>
              </w:rPr>
              <w:t>7</w:t>
            </w:r>
            <w:r w:rsidR="00D5050B" w:rsidRPr="006E4BE1">
              <w:rPr>
                <w:rFonts w:ascii="Arial Narrow" w:hAnsi="Arial Narrow" w:cs="Arial"/>
                <w:b/>
                <w:bCs/>
                <w:color w:val="000000"/>
                <w:lang w:val="es-ES_tradnl"/>
              </w:rPr>
              <w:t>.</w:t>
            </w:r>
            <w:r w:rsidRPr="006E4BE1">
              <w:rPr>
                <w:rFonts w:ascii="Arial Narrow" w:hAnsi="Arial Narrow" w:cs="Arial"/>
                <w:b/>
                <w:bCs/>
                <w:color w:val="000000"/>
                <w:lang w:val="es-ES_tradnl"/>
              </w:rPr>
              <w:t>635</w:t>
            </w:r>
          </w:p>
        </w:tc>
      </w:tr>
    </w:tbl>
    <w:p w14:paraId="65258498" w14:textId="77777777" w:rsidR="001240C5" w:rsidRPr="006E4BE1" w:rsidRDefault="001240C5" w:rsidP="00AE50C9">
      <w:pPr>
        <w:jc w:val="left"/>
        <w:rPr>
          <w:b/>
          <w:lang w:val="es-ES_tradnl"/>
        </w:rPr>
      </w:pPr>
    </w:p>
    <w:p w14:paraId="5D476A28" w14:textId="77777777" w:rsidR="001240C5" w:rsidRPr="006E4BE1" w:rsidRDefault="00277D28" w:rsidP="00AE50C9">
      <w:pPr>
        <w:jc w:val="left"/>
        <w:rPr>
          <w:caps/>
          <w:color w:val="26724C" w:themeColor="accent1" w:themeShade="BF"/>
          <w:sz w:val="32"/>
          <w:szCs w:val="24"/>
          <w:lang w:val="es-ES_tradnl"/>
        </w:rPr>
      </w:pPr>
      <w:r w:rsidRPr="006E4BE1">
        <w:rPr>
          <w:lang w:val="es-ES_tradnl"/>
        </w:rPr>
        <w:br w:type="page"/>
      </w:r>
    </w:p>
    <w:p w14:paraId="0B5A04C9" w14:textId="77777777" w:rsidR="001240C5" w:rsidRPr="006E4BE1" w:rsidRDefault="00C062FD" w:rsidP="0053602B">
      <w:pPr>
        <w:pStyle w:val="Heading1"/>
        <w:keepNext w:val="0"/>
        <w:jc w:val="both"/>
        <w:rPr>
          <w:lang w:val="es-ES_tradnl"/>
        </w:rPr>
      </w:pPr>
      <w:bookmarkStart w:id="464" w:name="_Toc78476739"/>
      <w:r w:rsidRPr="006E4BE1">
        <w:rPr>
          <w:lang w:val="es-ES_tradnl"/>
        </w:rPr>
        <w:lastRenderedPageBreak/>
        <w:t>INDICADORES FINANCIEROS CORRESPONDIENTES AL PERÍODO 2016-2025</w:t>
      </w:r>
      <w:bookmarkEnd w:id="464"/>
    </w:p>
    <w:p w14:paraId="17764A8B" w14:textId="77777777" w:rsidR="001240C5" w:rsidRPr="006E4BE1" w:rsidRDefault="001240C5" w:rsidP="00AE50C9">
      <w:pPr>
        <w:rPr>
          <w:lang w:val="es-ES_tradnl"/>
        </w:rPr>
      </w:pPr>
    </w:p>
    <w:p w14:paraId="6A58FFAF" w14:textId="77777777" w:rsidR="001240C5" w:rsidRPr="006E4BE1" w:rsidRDefault="00C062FD" w:rsidP="00AE50C9">
      <w:pPr>
        <w:tabs>
          <w:tab w:val="left" w:pos="567"/>
        </w:tabs>
        <w:rPr>
          <w:lang w:val="es-ES_tradnl"/>
        </w:rPr>
      </w:pPr>
      <w:r w:rsidRPr="006E4BE1">
        <w:rPr>
          <w:lang w:val="es-ES_tradnl"/>
        </w:rPr>
        <w:t>En el programa y presupuesto para el bienio 2022-2023 se incluyen indicadores financieros que abarcan un período de 10 años y comprenden los dos años posteriores al nuevo bienio e información recabada del pasado reciente</w:t>
      </w:r>
      <w:r w:rsidR="00FE64A1" w:rsidRPr="006E4BE1">
        <w:rPr>
          <w:lang w:val="es-ES_tradnl"/>
        </w:rPr>
        <w:t xml:space="preserve">.  </w:t>
      </w:r>
      <w:r w:rsidR="001A29DE" w:rsidRPr="006E4BE1">
        <w:rPr>
          <w:lang w:val="es-ES_tradnl"/>
        </w:rPr>
        <w:t>La presentación de los indicadores financieros permite contextualizar la propuesta de presupuesto para el bienio 2022-2023, con indicación de las tendencias y una evaluación de su viabilidad financiera futura</w:t>
      </w:r>
      <w:r w:rsidR="00FE64A1" w:rsidRPr="006E4BE1">
        <w:rPr>
          <w:lang w:val="es-ES_tradnl"/>
        </w:rPr>
        <w:t xml:space="preserve">.  </w:t>
      </w:r>
      <w:r w:rsidR="001A29DE" w:rsidRPr="006E4BE1">
        <w:rPr>
          <w:lang w:val="es-ES_tradnl"/>
        </w:rPr>
        <w:t>Esta información se proporciona con objeto de facilitar a los miembros la revisión de la propuesta de programa y presupuesto, así como la adopción de decisiones al respecto, por lo que no debe interpretarse que impone compromiso financiero alguno ni aprobación con posterioridad a 2023.</w:t>
      </w:r>
    </w:p>
    <w:p w14:paraId="7355BF07" w14:textId="77777777" w:rsidR="001240C5" w:rsidRPr="006E4BE1" w:rsidRDefault="001240C5" w:rsidP="00AE50C9">
      <w:pPr>
        <w:tabs>
          <w:tab w:val="left" w:pos="567"/>
        </w:tabs>
        <w:rPr>
          <w:lang w:val="es-ES_tradnl"/>
        </w:rPr>
      </w:pPr>
    </w:p>
    <w:p w14:paraId="6084999A" w14:textId="77777777" w:rsidR="001240C5" w:rsidRPr="006E4BE1" w:rsidRDefault="001A29DE" w:rsidP="00AE50C9">
      <w:pPr>
        <w:tabs>
          <w:tab w:val="left" w:pos="567"/>
        </w:tabs>
        <w:rPr>
          <w:lang w:val="es-ES_tradnl"/>
        </w:rPr>
      </w:pPr>
      <w:r w:rsidRPr="006E4BE1">
        <w:rPr>
          <w:lang w:val="es-ES_tradnl"/>
        </w:rPr>
        <w:t>En el cuadro 8 y en el gráfico 12 se muestra la evolución prevista del presupuesto ordinario en lo que respecta a los ingresos, los gastos y los fondos de reserva y de operaciones.</w:t>
      </w:r>
    </w:p>
    <w:p w14:paraId="5A0582DC" w14:textId="77777777" w:rsidR="001240C5" w:rsidRPr="006E4BE1" w:rsidRDefault="001240C5" w:rsidP="00AE50C9">
      <w:pPr>
        <w:rPr>
          <w:spacing w:val="-2"/>
          <w:szCs w:val="24"/>
          <w:lang w:val="es-ES_tradnl"/>
        </w:rPr>
      </w:pPr>
    </w:p>
    <w:p w14:paraId="207A0A90" w14:textId="77777777" w:rsidR="001240C5" w:rsidRPr="006E4BE1" w:rsidRDefault="001240C5" w:rsidP="00AE50C9">
      <w:pPr>
        <w:rPr>
          <w:spacing w:val="-2"/>
          <w:szCs w:val="24"/>
          <w:lang w:val="es-ES_tradnl"/>
        </w:rPr>
      </w:pPr>
    </w:p>
    <w:p w14:paraId="216D21BB" w14:textId="77777777" w:rsidR="001240C5" w:rsidRPr="006E4BE1" w:rsidRDefault="001A29DE" w:rsidP="00AE50C9">
      <w:pPr>
        <w:jc w:val="center"/>
        <w:rPr>
          <w:rFonts w:cs="Arial"/>
          <w:b/>
          <w:bCs/>
          <w:color w:val="26724C" w:themeColor="accent1" w:themeShade="BF"/>
          <w:lang w:val="es-ES_tradnl"/>
        </w:rPr>
      </w:pPr>
      <w:r w:rsidRPr="006E4BE1">
        <w:rPr>
          <w:rFonts w:cs="Arial"/>
          <w:b/>
          <w:bCs/>
          <w:color w:val="26724C" w:themeColor="accent1" w:themeShade="BF"/>
          <w:lang w:val="es-ES_tradnl"/>
        </w:rPr>
        <w:t>Cuadro 8.</w:t>
      </w:r>
      <w:r w:rsidRPr="006E4BE1">
        <w:rPr>
          <w:rFonts w:cs="Arial"/>
          <w:b/>
          <w:bCs/>
          <w:color w:val="26724C" w:themeColor="accent1" w:themeShade="BF"/>
          <w:lang w:val="es-ES_tradnl"/>
        </w:rPr>
        <w:tab/>
        <w:t>Ingresos, gastos y reservas correspondientes al período 2016-2025</w:t>
      </w:r>
    </w:p>
    <w:p w14:paraId="7685E7FD" w14:textId="77777777" w:rsidR="001240C5" w:rsidRPr="006E4BE1" w:rsidRDefault="001A29DE" w:rsidP="00AE50C9">
      <w:pPr>
        <w:jc w:val="center"/>
        <w:rPr>
          <w:rFonts w:cs="Arial"/>
          <w:i/>
          <w:iCs/>
          <w:sz w:val="18"/>
          <w:szCs w:val="18"/>
          <w:lang w:val="es-ES_tradnl"/>
        </w:rPr>
      </w:pPr>
      <w:r w:rsidRPr="006E4BE1">
        <w:rPr>
          <w:rFonts w:cs="Arial"/>
          <w:i/>
          <w:iCs/>
          <w:sz w:val="18"/>
          <w:szCs w:val="18"/>
          <w:lang w:val="es-ES_tradnl"/>
        </w:rPr>
        <w:t>(en miles de francos suizos)</w:t>
      </w:r>
    </w:p>
    <w:p w14:paraId="2831D869" w14:textId="72B3CB29" w:rsidR="00C41F7C" w:rsidRPr="006E4BE1" w:rsidRDefault="00C41F7C" w:rsidP="00AE50C9">
      <w:pPr>
        <w:jc w:val="center"/>
        <w:rPr>
          <w:spacing w:val="-2"/>
          <w:sz w:val="18"/>
          <w:szCs w:val="18"/>
          <w:lang w:val="es-ES_tradnl"/>
        </w:rPr>
      </w:pPr>
    </w:p>
    <w:tbl>
      <w:tblPr>
        <w:tblW w:w="8126" w:type="dxa"/>
        <w:jc w:val="center"/>
        <w:tblLook w:val="04A0" w:firstRow="1" w:lastRow="0" w:firstColumn="1" w:lastColumn="0" w:noHBand="0" w:noVBand="1"/>
      </w:tblPr>
      <w:tblGrid>
        <w:gridCol w:w="2396"/>
        <w:gridCol w:w="1004"/>
        <w:gridCol w:w="1036"/>
        <w:gridCol w:w="1283"/>
        <w:gridCol w:w="1216"/>
        <w:gridCol w:w="1256"/>
      </w:tblGrid>
      <w:tr w:rsidR="00E62C40" w:rsidRPr="001D7D80" w14:paraId="4783E793" w14:textId="77777777" w:rsidTr="00C41F7C">
        <w:trPr>
          <w:trHeight w:val="260"/>
          <w:jc w:val="center"/>
        </w:trPr>
        <w:tc>
          <w:tcPr>
            <w:tcW w:w="2396" w:type="dxa"/>
            <w:tcBorders>
              <w:top w:val="nil"/>
              <w:left w:val="nil"/>
              <w:bottom w:val="nil"/>
              <w:right w:val="nil"/>
            </w:tcBorders>
            <w:shd w:val="clear" w:color="000000" w:fill="FFFFFF"/>
            <w:noWrap/>
            <w:vAlign w:val="bottom"/>
            <w:hideMark/>
          </w:tcPr>
          <w:p w14:paraId="5C0521A2" w14:textId="1AFAF9F6" w:rsidR="00E62C40" w:rsidRPr="006E4BE1" w:rsidRDefault="00E62C40" w:rsidP="00AE50C9">
            <w:pPr>
              <w:jc w:val="left"/>
              <w:rPr>
                <w:rFonts w:cs="Arial"/>
                <w:i/>
                <w:iCs/>
                <w:lang w:val="es-ES_tradnl"/>
              </w:rPr>
            </w:pPr>
          </w:p>
        </w:tc>
        <w:tc>
          <w:tcPr>
            <w:tcW w:w="1004" w:type="dxa"/>
            <w:tcBorders>
              <w:top w:val="nil"/>
              <w:left w:val="nil"/>
              <w:bottom w:val="nil"/>
              <w:right w:val="nil"/>
            </w:tcBorders>
            <w:shd w:val="clear" w:color="000000" w:fill="FFFFFF"/>
            <w:noWrap/>
            <w:vAlign w:val="bottom"/>
            <w:hideMark/>
          </w:tcPr>
          <w:p w14:paraId="4BE82389" w14:textId="77777777" w:rsidR="00E62C40" w:rsidRPr="006E4BE1" w:rsidRDefault="00E62C40" w:rsidP="00AE50C9">
            <w:pPr>
              <w:jc w:val="left"/>
              <w:rPr>
                <w:rFonts w:cs="Arial"/>
                <w:lang w:val="es-ES_tradnl"/>
              </w:rPr>
            </w:pPr>
            <w:r w:rsidRPr="006E4BE1">
              <w:rPr>
                <w:rFonts w:cs="Arial"/>
                <w:lang w:val="es-ES_tradnl"/>
              </w:rPr>
              <w:t> </w:t>
            </w:r>
          </w:p>
        </w:tc>
        <w:tc>
          <w:tcPr>
            <w:tcW w:w="1036" w:type="dxa"/>
            <w:tcBorders>
              <w:top w:val="nil"/>
              <w:left w:val="nil"/>
              <w:bottom w:val="nil"/>
              <w:right w:val="nil"/>
            </w:tcBorders>
            <w:shd w:val="clear" w:color="000000" w:fill="FFFFFF"/>
            <w:noWrap/>
            <w:vAlign w:val="bottom"/>
            <w:hideMark/>
          </w:tcPr>
          <w:p w14:paraId="23A816E3" w14:textId="77777777" w:rsidR="00E62C40" w:rsidRPr="006E4BE1" w:rsidRDefault="00E62C40" w:rsidP="00AE50C9">
            <w:pPr>
              <w:jc w:val="left"/>
              <w:rPr>
                <w:rFonts w:cs="Arial"/>
                <w:lang w:val="es-ES_tradnl"/>
              </w:rPr>
            </w:pPr>
            <w:r w:rsidRPr="006E4BE1">
              <w:rPr>
                <w:rFonts w:cs="Arial"/>
                <w:lang w:val="es-ES_tradnl"/>
              </w:rPr>
              <w:t> </w:t>
            </w:r>
          </w:p>
        </w:tc>
        <w:tc>
          <w:tcPr>
            <w:tcW w:w="1216" w:type="dxa"/>
            <w:tcBorders>
              <w:top w:val="nil"/>
              <w:left w:val="nil"/>
              <w:bottom w:val="nil"/>
              <w:right w:val="nil"/>
            </w:tcBorders>
            <w:shd w:val="clear" w:color="000000" w:fill="FFFFFF"/>
            <w:noWrap/>
            <w:vAlign w:val="bottom"/>
            <w:hideMark/>
          </w:tcPr>
          <w:p w14:paraId="0282CD53" w14:textId="77777777" w:rsidR="00E62C40" w:rsidRPr="006E4BE1" w:rsidRDefault="00E62C40" w:rsidP="00AE50C9">
            <w:pPr>
              <w:jc w:val="left"/>
              <w:rPr>
                <w:rFonts w:cs="Arial"/>
                <w:lang w:val="es-ES_tradnl"/>
              </w:rPr>
            </w:pPr>
            <w:r w:rsidRPr="006E4BE1">
              <w:rPr>
                <w:rFonts w:cs="Arial"/>
                <w:lang w:val="es-ES_tradnl"/>
              </w:rPr>
              <w:t> </w:t>
            </w:r>
          </w:p>
        </w:tc>
        <w:tc>
          <w:tcPr>
            <w:tcW w:w="1216" w:type="dxa"/>
            <w:tcBorders>
              <w:top w:val="nil"/>
              <w:left w:val="nil"/>
              <w:bottom w:val="nil"/>
              <w:right w:val="nil"/>
            </w:tcBorders>
            <w:shd w:val="clear" w:color="000000" w:fill="FFFFFF"/>
            <w:noWrap/>
            <w:vAlign w:val="bottom"/>
            <w:hideMark/>
          </w:tcPr>
          <w:p w14:paraId="6F0B87DF" w14:textId="77777777" w:rsidR="00E62C40" w:rsidRPr="006E4BE1" w:rsidRDefault="00E62C40" w:rsidP="00AE50C9">
            <w:pPr>
              <w:jc w:val="left"/>
              <w:rPr>
                <w:rFonts w:cs="Arial"/>
                <w:lang w:val="es-ES_tradnl"/>
              </w:rPr>
            </w:pPr>
            <w:r w:rsidRPr="006E4BE1">
              <w:rPr>
                <w:rFonts w:cs="Arial"/>
                <w:lang w:val="es-ES_tradnl"/>
              </w:rPr>
              <w:t> </w:t>
            </w:r>
          </w:p>
        </w:tc>
        <w:tc>
          <w:tcPr>
            <w:tcW w:w="1256" w:type="dxa"/>
            <w:tcBorders>
              <w:top w:val="nil"/>
              <w:left w:val="nil"/>
              <w:bottom w:val="nil"/>
              <w:right w:val="nil"/>
            </w:tcBorders>
            <w:shd w:val="clear" w:color="auto" w:fill="auto"/>
            <w:noWrap/>
            <w:vAlign w:val="bottom"/>
            <w:hideMark/>
          </w:tcPr>
          <w:p w14:paraId="286861FD" w14:textId="77777777" w:rsidR="00E62C40" w:rsidRPr="006E4BE1" w:rsidRDefault="00E62C40" w:rsidP="00AE50C9">
            <w:pPr>
              <w:jc w:val="left"/>
              <w:rPr>
                <w:rFonts w:cs="Arial"/>
                <w:lang w:val="es-ES_tradnl"/>
              </w:rPr>
            </w:pPr>
          </w:p>
        </w:tc>
      </w:tr>
      <w:tr w:rsidR="00E62C40" w:rsidRPr="006E4BE1" w14:paraId="40D6E719" w14:textId="77777777" w:rsidTr="00C41F7C">
        <w:trPr>
          <w:trHeight w:val="330"/>
          <w:jc w:val="center"/>
        </w:trPr>
        <w:tc>
          <w:tcPr>
            <w:tcW w:w="2396" w:type="dxa"/>
            <w:tcBorders>
              <w:top w:val="nil"/>
              <w:left w:val="nil"/>
              <w:bottom w:val="nil"/>
              <w:right w:val="nil"/>
            </w:tcBorders>
            <w:shd w:val="clear" w:color="000000" w:fill="C7CFD8"/>
            <w:vAlign w:val="center"/>
            <w:hideMark/>
          </w:tcPr>
          <w:p w14:paraId="2A57C2E1" w14:textId="77777777" w:rsidR="00E62C40" w:rsidRPr="006E4BE1" w:rsidRDefault="00E62C40" w:rsidP="00AE50C9">
            <w:pPr>
              <w:jc w:val="center"/>
              <w:rPr>
                <w:rFonts w:cs="Arial"/>
                <w:i/>
                <w:iCs/>
                <w:color w:val="000000"/>
                <w:lang w:val="es-ES_tradnl"/>
              </w:rPr>
            </w:pPr>
            <w:r w:rsidRPr="006E4BE1">
              <w:rPr>
                <w:rFonts w:cs="Arial"/>
                <w:i/>
                <w:iCs/>
                <w:color w:val="000000"/>
                <w:lang w:val="es-ES_tradnl"/>
              </w:rPr>
              <w:t> </w:t>
            </w:r>
          </w:p>
        </w:tc>
        <w:tc>
          <w:tcPr>
            <w:tcW w:w="2042" w:type="dxa"/>
            <w:gridSpan w:val="2"/>
            <w:tcBorders>
              <w:top w:val="nil"/>
              <w:left w:val="nil"/>
              <w:bottom w:val="single" w:sz="4" w:space="0" w:color="748B9E"/>
              <w:right w:val="nil"/>
            </w:tcBorders>
            <w:shd w:val="clear" w:color="000000" w:fill="C7CFD8"/>
            <w:vAlign w:val="center"/>
            <w:hideMark/>
          </w:tcPr>
          <w:p w14:paraId="03DBE85D" w14:textId="22199997" w:rsidR="00E62C40" w:rsidRPr="006E4BE1" w:rsidRDefault="00624EC0"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Real</w:t>
            </w:r>
            <w:r w:rsidR="00E62C40" w:rsidRPr="006E4BE1">
              <w:rPr>
                <w:rFonts w:ascii="Arial Narrow" w:hAnsi="Arial Narrow" w:cs="Arial"/>
                <w:b/>
                <w:bCs/>
                <w:sz w:val="18"/>
                <w:szCs w:val="18"/>
                <w:lang w:val="es-ES_tradnl"/>
              </w:rPr>
              <w:t xml:space="preserve"> </w:t>
            </w:r>
          </w:p>
        </w:tc>
        <w:tc>
          <w:tcPr>
            <w:tcW w:w="1216" w:type="dxa"/>
            <w:tcBorders>
              <w:top w:val="nil"/>
              <w:left w:val="nil"/>
              <w:bottom w:val="nil"/>
              <w:right w:val="nil"/>
            </w:tcBorders>
            <w:shd w:val="clear" w:color="000000" w:fill="C7CFD8"/>
            <w:vAlign w:val="center"/>
            <w:hideMark/>
          </w:tcPr>
          <w:p w14:paraId="266DFB39" w14:textId="2FDC304F" w:rsidR="00E62C40" w:rsidRPr="006E4BE1" w:rsidRDefault="00624EC0"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Presupuestado</w:t>
            </w:r>
            <w:r w:rsidR="00E62C40" w:rsidRPr="006E4BE1">
              <w:rPr>
                <w:rFonts w:ascii="Arial Narrow" w:hAnsi="Arial Narrow" w:cs="Arial"/>
                <w:b/>
                <w:bCs/>
                <w:sz w:val="18"/>
                <w:szCs w:val="18"/>
                <w:lang w:val="es-ES_tradnl"/>
              </w:rPr>
              <w:t xml:space="preserve"> </w:t>
            </w:r>
          </w:p>
        </w:tc>
        <w:tc>
          <w:tcPr>
            <w:tcW w:w="1216" w:type="dxa"/>
            <w:tcBorders>
              <w:top w:val="nil"/>
              <w:left w:val="nil"/>
              <w:bottom w:val="nil"/>
              <w:right w:val="nil"/>
            </w:tcBorders>
            <w:shd w:val="clear" w:color="000000" w:fill="C7CFD8"/>
            <w:vAlign w:val="center"/>
            <w:hideMark/>
          </w:tcPr>
          <w:p w14:paraId="644B7F77" w14:textId="4E965C90" w:rsidR="00E62C40" w:rsidRPr="006E4BE1" w:rsidRDefault="00624EC0"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Propuesto</w:t>
            </w:r>
            <w:r w:rsidR="00E62C40" w:rsidRPr="006E4BE1">
              <w:rPr>
                <w:rFonts w:ascii="Arial Narrow" w:hAnsi="Arial Narrow" w:cs="Arial"/>
                <w:b/>
                <w:bCs/>
                <w:sz w:val="18"/>
                <w:szCs w:val="18"/>
                <w:lang w:val="es-ES_tradnl"/>
              </w:rPr>
              <w:t xml:space="preserve"> </w:t>
            </w:r>
          </w:p>
        </w:tc>
        <w:tc>
          <w:tcPr>
            <w:tcW w:w="1256" w:type="dxa"/>
            <w:tcBorders>
              <w:top w:val="nil"/>
              <w:left w:val="nil"/>
              <w:bottom w:val="nil"/>
              <w:right w:val="nil"/>
            </w:tcBorders>
            <w:shd w:val="clear" w:color="000000" w:fill="C7CFD8"/>
            <w:vAlign w:val="center"/>
            <w:hideMark/>
          </w:tcPr>
          <w:p w14:paraId="3F65D631" w14:textId="767F56F8" w:rsidR="00E62C40" w:rsidRPr="006E4BE1" w:rsidRDefault="00624EC0"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Estimado</w:t>
            </w:r>
            <w:r w:rsidR="00E62C40" w:rsidRPr="006E4BE1">
              <w:rPr>
                <w:rFonts w:ascii="Arial Narrow" w:hAnsi="Arial Narrow" w:cs="Arial"/>
                <w:b/>
                <w:bCs/>
                <w:sz w:val="18"/>
                <w:szCs w:val="18"/>
                <w:lang w:val="es-ES_tradnl"/>
              </w:rPr>
              <w:t xml:space="preserve"> </w:t>
            </w:r>
          </w:p>
        </w:tc>
      </w:tr>
      <w:tr w:rsidR="00E62C40" w:rsidRPr="006E4BE1" w14:paraId="288A70A0" w14:textId="77777777" w:rsidTr="00C41F7C">
        <w:trPr>
          <w:trHeight w:val="330"/>
          <w:jc w:val="center"/>
        </w:trPr>
        <w:tc>
          <w:tcPr>
            <w:tcW w:w="2396" w:type="dxa"/>
            <w:tcBorders>
              <w:top w:val="nil"/>
              <w:left w:val="nil"/>
              <w:bottom w:val="nil"/>
              <w:right w:val="nil"/>
            </w:tcBorders>
            <w:shd w:val="clear" w:color="000000" w:fill="C7CFD8"/>
            <w:vAlign w:val="center"/>
            <w:hideMark/>
          </w:tcPr>
          <w:p w14:paraId="0F6C86FF" w14:textId="77777777" w:rsidR="00E62C40" w:rsidRPr="006E4BE1" w:rsidRDefault="00E62C40" w:rsidP="00AE50C9">
            <w:pPr>
              <w:jc w:val="right"/>
              <w:rPr>
                <w:rFonts w:cs="Arial"/>
                <w:i/>
                <w:iCs/>
                <w:color w:val="000000"/>
                <w:lang w:val="es-ES_tradnl"/>
              </w:rPr>
            </w:pPr>
            <w:r w:rsidRPr="006E4BE1">
              <w:rPr>
                <w:rFonts w:cs="Arial"/>
                <w:i/>
                <w:iCs/>
                <w:color w:val="000000"/>
                <w:lang w:val="es-ES_tradnl"/>
              </w:rPr>
              <w:t> </w:t>
            </w:r>
          </w:p>
        </w:tc>
        <w:tc>
          <w:tcPr>
            <w:tcW w:w="1004" w:type="dxa"/>
            <w:tcBorders>
              <w:top w:val="nil"/>
              <w:left w:val="nil"/>
              <w:bottom w:val="nil"/>
              <w:right w:val="nil"/>
            </w:tcBorders>
            <w:shd w:val="clear" w:color="000000" w:fill="C7CFD8"/>
            <w:vAlign w:val="center"/>
            <w:hideMark/>
          </w:tcPr>
          <w:p w14:paraId="5183A11A" w14:textId="2F94AAF8" w:rsidR="00E62C40" w:rsidRPr="006E4BE1" w:rsidRDefault="00C41F7C"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2016-20</w:t>
            </w:r>
            <w:r w:rsidR="00E62C40" w:rsidRPr="006E4BE1">
              <w:rPr>
                <w:rFonts w:ascii="Arial Narrow" w:hAnsi="Arial Narrow" w:cs="Arial"/>
                <w:b/>
                <w:bCs/>
                <w:sz w:val="18"/>
                <w:szCs w:val="18"/>
                <w:lang w:val="es-ES_tradnl"/>
              </w:rPr>
              <w:t>17</w:t>
            </w:r>
          </w:p>
        </w:tc>
        <w:tc>
          <w:tcPr>
            <w:tcW w:w="1036" w:type="dxa"/>
            <w:tcBorders>
              <w:top w:val="nil"/>
              <w:left w:val="nil"/>
              <w:bottom w:val="nil"/>
              <w:right w:val="nil"/>
            </w:tcBorders>
            <w:shd w:val="clear" w:color="000000" w:fill="C7CFD8"/>
            <w:vAlign w:val="center"/>
            <w:hideMark/>
          </w:tcPr>
          <w:p w14:paraId="41C852B0" w14:textId="4EEBDD69" w:rsidR="00E62C40" w:rsidRPr="006E4BE1" w:rsidRDefault="00E62C40"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2018</w:t>
            </w:r>
            <w:r w:rsidR="00C41F7C" w:rsidRPr="006E4BE1">
              <w:rPr>
                <w:rFonts w:ascii="Arial Narrow" w:hAnsi="Arial Narrow" w:cs="Arial"/>
                <w:b/>
                <w:bCs/>
                <w:sz w:val="18"/>
                <w:szCs w:val="18"/>
                <w:lang w:val="es-ES_tradnl"/>
              </w:rPr>
              <w:t>-20</w:t>
            </w:r>
            <w:r w:rsidRPr="006E4BE1">
              <w:rPr>
                <w:rFonts w:ascii="Arial Narrow" w:hAnsi="Arial Narrow" w:cs="Arial"/>
                <w:b/>
                <w:bCs/>
                <w:sz w:val="18"/>
                <w:szCs w:val="18"/>
                <w:lang w:val="es-ES_tradnl"/>
              </w:rPr>
              <w:t>19</w:t>
            </w:r>
          </w:p>
        </w:tc>
        <w:tc>
          <w:tcPr>
            <w:tcW w:w="1216" w:type="dxa"/>
            <w:tcBorders>
              <w:top w:val="nil"/>
              <w:left w:val="nil"/>
              <w:bottom w:val="nil"/>
              <w:right w:val="nil"/>
            </w:tcBorders>
            <w:shd w:val="clear" w:color="000000" w:fill="C7CFD8"/>
            <w:noWrap/>
            <w:vAlign w:val="center"/>
            <w:hideMark/>
          </w:tcPr>
          <w:p w14:paraId="3D190786" w14:textId="7DD12C40" w:rsidR="00E62C40" w:rsidRPr="006E4BE1" w:rsidRDefault="00E62C40"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2020</w:t>
            </w:r>
            <w:r w:rsidR="00C41F7C" w:rsidRPr="006E4BE1">
              <w:rPr>
                <w:rFonts w:ascii="Arial Narrow" w:hAnsi="Arial Narrow" w:cs="Arial"/>
                <w:b/>
                <w:bCs/>
                <w:sz w:val="18"/>
                <w:szCs w:val="18"/>
                <w:lang w:val="es-ES_tradnl"/>
              </w:rPr>
              <w:t>-20</w:t>
            </w:r>
            <w:r w:rsidRPr="006E4BE1">
              <w:rPr>
                <w:rFonts w:ascii="Arial Narrow" w:hAnsi="Arial Narrow" w:cs="Arial"/>
                <w:b/>
                <w:bCs/>
                <w:sz w:val="18"/>
                <w:szCs w:val="18"/>
                <w:lang w:val="es-ES_tradnl"/>
              </w:rPr>
              <w:t xml:space="preserve">21 </w:t>
            </w:r>
          </w:p>
        </w:tc>
        <w:tc>
          <w:tcPr>
            <w:tcW w:w="1216" w:type="dxa"/>
            <w:tcBorders>
              <w:top w:val="nil"/>
              <w:left w:val="nil"/>
              <w:bottom w:val="nil"/>
              <w:right w:val="nil"/>
            </w:tcBorders>
            <w:shd w:val="clear" w:color="000000" w:fill="C7CFD8"/>
            <w:noWrap/>
            <w:vAlign w:val="center"/>
            <w:hideMark/>
          </w:tcPr>
          <w:p w14:paraId="04427481" w14:textId="0E4646A5" w:rsidR="00E62C40" w:rsidRPr="006E4BE1" w:rsidRDefault="00E62C40"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2022</w:t>
            </w:r>
            <w:r w:rsidR="00C41F7C" w:rsidRPr="006E4BE1">
              <w:rPr>
                <w:rFonts w:ascii="Arial Narrow" w:hAnsi="Arial Narrow" w:cs="Arial"/>
                <w:b/>
                <w:bCs/>
                <w:sz w:val="18"/>
                <w:szCs w:val="18"/>
                <w:lang w:val="es-ES_tradnl"/>
              </w:rPr>
              <w:t>-20</w:t>
            </w:r>
            <w:r w:rsidRPr="006E4BE1">
              <w:rPr>
                <w:rFonts w:ascii="Arial Narrow" w:hAnsi="Arial Narrow" w:cs="Arial"/>
                <w:b/>
                <w:bCs/>
                <w:sz w:val="18"/>
                <w:szCs w:val="18"/>
                <w:lang w:val="es-ES_tradnl"/>
              </w:rPr>
              <w:t xml:space="preserve">23 </w:t>
            </w:r>
          </w:p>
        </w:tc>
        <w:tc>
          <w:tcPr>
            <w:tcW w:w="1256" w:type="dxa"/>
            <w:tcBorders>
              <w:top w:val="nil"/>
              <w:left w:val="nil"/>
              <w:bottom w:val="nil"/>
              <w:right w:val="nil"/>
            </w:tcBorders>
            <w:shd w:val="clear" w:color="000000" w:fill="C7CFD8"/>
            <w:noWrap/>
            <w:vAlign w:val="center"/>
            <w:hideMark/>
          </w:tcPr>
          <w:p w14:paraId="047C1DA8" w14:textId="10D91F98" w:rsidR="00E62C40" w:rsidRPr="006E4BE1" w:rsidRDefault="00E62C40" w:rsidP="00AE50C9">
            <w:pPr>
              <w:jc w:val="center"/>
              <w:rPr>
                <w:rFonts w:ascii="Arial Narrow" w:hAnsi="Arial Narrow" w:cs="Arial"/>
                <w:b/>
                <w:bCs/>
                <w:sz w:val="18"/>
                <w:szCs w:val="18"/>
                <w:lang w:val="es-ES_tradnl"/>
              </w:rPr>
            </w:pPr>
            <w:r w:rsidRPr="006E4BE1">
              <w:rPr>
                <w:rFonts w:ascii="Arial Narrow" w:hAnsi="Arial Narrow" w:cs="Arial"/>
                <w:b/>
                <w:bCs/>
                <w:sz w:val="18"/>
                <w:szCs w:val="18"/>
                <w:lang w:val="es-ES_tradnl"/>
              </w:rPr>
              <w:t>2024</w:t>
            </w:r>
            <w:r w:rsidR="00C41F7C" w:rsidRPr="006E4BE1">
              <w:rPr>
                <w:rFonts w:ascii="Arial Narrow" w:hAnsi="Arial Narrow" w:cs="Arial"/>
                <w:b/>
                <w:bCs/>
                <w:sz w:val="18"/>
                <w:szCs w:val="18"/>
                <w:lang w:val="es-ES_tradnl"/>
              </w:rPr>
              <w:t>-20</w:t>
            </w:r>
            <w:r w:rsidRPr="006E4BE1">
              <w:rPr>
                <w:rFonts w:ascii="Arial Narrow" w:hAnsi="Arial Narrow" w:cs="Arial"/>
                <w:b/>
                <w:bCs/>
                <w:sz w:val="18"/>
                <w:szCs w:val="18"/>
                <w:lang w:val="es-ES_tradnl"/>
              </w:rPr>
              <w:t xml:space="preserve">25 </w:t>
            </w:r>
          </w:p>
        </w:tc>
      </w:tr>
      <w:tr w:rsidR="00E62C40" w:rsidRPr="006E4BE1" w14:paraId="51AB2A44" w14:textId="77777777" w:rsidTr="00C41F7C">
        <w:trPr>
          <w:trHeight w:val="420"/>
          <w:jc w:val="center"/>
        </w:trPr>
        <w:tc>
          <w:tcPr>
            <w:tcW w:w="2396" w:type="dxa"/>
            <w:tcBorders>
              <w:top w:val="nil"/>
              <w:left w:val="nil"/>
              <w:bottom w:val="nil"/>
              <w:right w:val="nil"/>
            </w:tcBorders>
            <w:shd w:val="clear" w:color="000000" w:fill="FFFFFF"/>
            <w:vAlign w:val="center"/>
            <w:hideMark/>
          </w:tcPr>
          <w:p w14:paraId="620F859C" w14:textId="15196FBA" w:rsidR="00E62C40" w:rsidRPr="006E4BE1" w:rsidRDefault="00F83063" w:rsidP="00AE50C9">
            <w:pPr>
              <w:jc w:val="left"/>
              <w:rPr>
                <w:rFonts w:ascii="Arial Narrow" w:hAnsi="Arial Narrow" w:cs="Arial"/>
                <w:color w:val="000000"/>
                <w:lang w:val="es-ES_tradnl"/>
              </w:rPr>
            </w:pPr>
            <w:r w:rsidRPr="006E4BE1">
              <w:rPr>
                <w:rFonts w:ascii="Arial Narrow" w:hAnsi="Arial Narrow" w:cs="Arial"/>
                <w:color w:val="000000"/>
                <w:lang w:val="es-ES_tradnl"/>
              </w:rPr>
              <w:t>Ingresos</w:t>
            </w:r>
          </w:p>
        </w:tc>
        <w:tc>
          <w:tcPr>
            <w:tcW w:w="1004" w:type="dxa"/>
            <w:tcBorders>
              <w:top w:val="nil"/>
              <w:left w:val="nil"/>
              <w:bottom w:val="nil"/>
              <w:right w:val="nil"/>
            </w:tcBorders>
            <w:shd w:val="clear" w:color="000000" w:fill="FFFFFF"/>
            <w:vAlign w:val="center"/>
            <w:hideMark/>
          </w:tcPr>
          <w:p w14:paraId="0885A990" w14:textId="43FBA4AD" w:rsidR="00E62C40" w:rsidRPr="006E4BE1" w:rsidRDefault="00E62C40" w:rsidP="00AE50C9">
            <w:pPr>
              <w:jc w:val="right"/>
              <w:rPr>
                <w:rFonts w:ascii="Arial Narrow" w:hAnsi="Arial Narrow" w:cs="Arial"/>
                <w:color w:val="000000"/>
                <w:lang w:val="es-ES_tradnl"/>
              </w:rPr>
            </w:pPr>
            <w:r w:rsidRPr="006E4BE1">
              <w:rPr>
                <w:rFonts w:ascii="Arial Narrow" w:hAnsi="Arial Narrow" w:cs="Arial"/>
                <w:color w:val="000000"/>
                <w:lang w:val="es-ES_tradnl"/>
              </w:rPr>
              <w:t>6</w:t>
            </w:r>
            <w:r w:rsidR="001A29DE" w:rsidRPr="006E4BE1">
              <w:rPr>
                <w:rFonts w:ascii="Arial Narrow" w:hAnsi="Arial Narrow" w:cs="Arial"/>
                <w:color w:val="000000"/>
                <w:lang w:val="es-ES_tradnl"/>
              </w:rPr>
              <w:t>.</w:t>
            </w:r>
            <w:r w:rsidRPr="006E4BE1">
              <w:rPr>
                <w:rFonts w:ascii="Arial Narrow" w:hAnsi="Arial Narrow" w:cs="Arial"/>
                <w:color w:val="000000"/>
                <w:lang w:val="es-ES_tradnl"/>
              </w:rPr>
              <w:t>851</w:t>
            </w:r>
          </w:p>
        </w:tc>
        <w:tc>
          <w:tcPr>
            <w:tcW w:w="1036" w:type="dxa"/>
            <w:tcBorders>
              <w:top w:val="nil"/>
              <w:left w:val="nil"/>
              <w:bottom w:val="nil"/>
              <w:right w:val="nil"/>
            </w:tcBorders>
            <w:shd w:val="clear" w:color="000000" w:fill="FFFFFF"/>
            <w:vAlign w:val="center"/>
            <w:hideMark/>
          </w:tcPr>
          <w:p w14:paraId="0AC69E68" w14:textId="164663C9" w:rsidR="00E62C40" w:rsidRPr="006E4BE1" w:rsidRDefault="00E62C40" w:rsidP="00AE50C9">
            <w:pPr>
              <w:jc w:val="right"/>
              <w:rPr>
                <w:rFonts w:ascii="Arial Narrow" w:hAnsi="Arial Narrow" w:cs="Arial"/>
                <w:color w:val="000000"/>
                <w:lang w:val="es-ES_tradnl"/>
              </w:rPr>
            </w:pPr>
            <w:r w:rsidRPr="006E4BE1">
              <w:rPr>
                <w:rFonts w:ascii="Arial Narrow" w:hAnsi="Arial Narrow" w:cs="Arial"/>
                <w:color w:val="000000"/>
                <w:lang w:val="es-ES_tradnl"/>
              </w:rPr>
              <w:t>6</w:t>
            </w:r>
            <w:r w:rsidR="001A29DE" w:rsidRPr="006E4BE1">
              <w:rPr>
                <w:rFonts w:ascii="Arial Narrow" w:hAnsi="Arial Narrow" w:cs="Arial"/>
                <w:color w:val="000000"/>
                <w:lang w:val="es-ES_tradnl"/>
              </w:rPr>
              <w:t>.</w:t>
            </w:r>
            <w:r w:rsidRPr="006E4BE1">
              <w:rPr>
                <w:rFonts w:ascii="Arial Narrow" w:hAnsi="Arial Narrow" w:cs="Arial"/>
                <w:color w:val="000000"/>
                <w:lang w:val="es-ES_tradnl"/>
              </w:rPr>
              <w:t>931</w:t>
            </w:r>
          </w:p>
        </w:tc>
        <w:tc>
          <w:tcPr>
            <w:tcW w:w="1216" w:type="dxa"/>
            <w:tcBorders>
              <w:top w:val="nil"/>
              <w:left w:val="nil"/>
              <w:bottom w:val="nil"/>
              <w:right w:val="nil"/>
            </w:tcBorders>
            <w:shd w:val="clear" w:color="000000" w:fill="FFFFFF"/>
            <w:vAlign w:val="center"/>
            <w:hideMark/>
          </w:tcPr>
          <w:p w14:paraId="00B7ABE4" w14:textId="29FCAEB8" w:rsidR="00E62C40" w:rsidRPr="006E4BE1" w:rsidRDefault="00E62C40" w:rsidP="00AE50C9">
            <w:pPr>
              <w:jc w:val="right"/>
              <w:rPr>
                <w:rFonts w:ascii="Arial Narrow" w:hAnsi="Arial Narrow" w:cs="Arial"/>
                <w:color w:val="000000"/>
                <w:lang w:val="es-ES_tradnl"/>
              </w:rPr>
            </w:pPr>
            <w:r w:rsidRPr="006E4BE1">
              <w:rPr>
                <w:rFonts w:ascii="Arial Narrow" w:hAnsi="Arial Narrow" w:cs="Arial"/>
                <w:color w:val="000000"/>
                <w:lang w:val="es-ES_tradnl"/>
              </w:rPr>
              <w:t>7</w:t>
            </w:r>
            <w:r w:rsidR="001A29DE" w:rsidRPr="006E4BE1">
              <w:rPr>
                <w:rFonts w:ascii="Arial Narrow" w:hAnsi="Arial Narrow" w:cs="Arial"/>
                <w:color w:val="000000"/>
                <w:lang w:val="es-ES_tradnl"/>
              </w:rPr>
              <w:t>.</w:t>
            </w:r>
            <w:r w:rsidRPr="006E4BE1">
              <w:rPr>
                <w:rFonts w:ascii="Arial Narrow" w:hAnsi="Arial Narrow" w:cs="Arial"/>
                <w:color w:val="000000"/>
                <w:lang w:val="es-ES_tradnl"/>
              </w:rPr>
              <w:t>347</w:t>
            </w:r>
          </w:p>
        </w:tc>
        <w:tc>
          <w:tcPr>
            <w:tcW w:w="1216" w:type="dxa"/>
            <w:tcBorders>
              <w:top w:val="nil"/>
              <w:left w:val="nil"/>
              <w:bottom w:val="nil"/>
              <w:right w:val="nil"/>
            </w:tcBorders>
            <w:shd w:val="clear" w:color="000000" w:fill="FFFFFF"/>
            <w:vAlign w:val="center"/>
            <w:hideMark/>
          </w:tcPr>
          <w:p w14:paraId="2149EE78" w14:textId="49E25060" w:rsidR="00E62C40" w:rsidRPr="006E4BE1" w:rsidRDefault="00E62C40" w:rsidP="00AE50C9">
            <w:pPr>
              <w:jc w:val="right"/>
              <w:rPr>
                <w:rFonts w:ascii="Arial Narrow" w:hAnsi="Arial Narrow" w:cs="Arial"/>
                <w:lang w:val="es-ES_tradnl"/>
              </w:rPr>
            </w:pPr>
            <w:r w:rsidRPr="006E4BE1">
              <w:rPr>
                <w:rFonts w:ascii="Arial Narrow" w:hAnsi="Arial Narrow" w:cs="Arial"/>
                <w:lang w:val="es-ES_tradnl"/>
              </w:rPr>
              <w:t>7</w:t>
            </w:r>
            <w:r w:rsidR="001A29DE" w:rsidRPr="006E4BE1">
              <w:rPr>
                <w:rFonts w:ascii="Arial Narrow" w:hAnsi="Arial Narrow" w:cs="Arial"/>
                <w:lang w:val="es-ES_tradnl"/>
              </w:rPr>
              <w:t>.</w:t>
            </w:r>
            <w:r w:rsidRPr="006E4BE1">
              <w:rPr>
                <w:rFonts w:ascii="Arial Narrow" w:hAnsi="Arial Narrow" w:cs="Arial"/>
                <w:lang w:val="es-ES_tradnl"/>
              </w:rPr>
              <w:t>635</w:t>
            </w:r>
          </w:p>
        </w:tc>
        <w:tc>
          <w:tcPr>
            <w:tcW w:w="1256" w:type="dxa"/>
            <w:tcBorders>
              <w:top w:val="nil"/>
              <w:left w:val="nil"/>
              <w:bottom w:val="nil"/>
              <w:right w:val="nil"/>
            </w:tcBorders>
            <w:shd w:val="clear" w:color="000000" w:fill="FFFFFF"/>
            <w:vAlign w:val="center"/>
            <w:hideMark/>
          </w:tcPr>
          <w:p w14:paraId="2C4E449E" w14:textId="7331275E" w:rsidR="00E62C40" w:rsidRPr="006E4BE1" w:rsidRDefault="00E62C40" w:rsidP="00AE50C9">
            <w:pPr>
              <w:jc w:val="right"/>
              <w:rPr>
                <w:rFonts w:ascii="Arial Narrow" w:hAnsi="Arial Narrow" w:cs="Arial"/>
                <w:lang w:val="es-ES_tradnl"/>
              </w:rPr>
            </w:pPr>
            <w:r w:rsidRPr="006E4BE1">
              <w:rPr>
                <w:rFonts w:ascii="Arial Narrow" w:hAnsi="Arial Narrow" w:cs="Arial"/>
                <w:lang w:val="es-ES_tradnl"/>
              </w:rPr>
              <w:t>7</w:t>
            </w:r>
            <w:r w:rsidR="001A29DE" w:rsidRPr="006E4BE1">
              <w:rPr>
                <w:rFonts w:ascii="Arial Narrow" w:hAnsi="Arial Narrow" w:cs="Arial"/>
                <w:lang w:val="es-ES_tradnl"/>
              </w:rPr>
              <w:t>.</w:t>
            </w:r>
            <w:r w:rsidRPr="006E4BE1">
              <w:rPr>
                <w:rFonts w:ascii="Arial Narrow" w:hAnsi="Arial Narrow" w:cs="Arial"/>
                <w:lang w:val="es-ES_tradnl"/>
              </w:rPr>
              <w:t>769</w:t>
            </w:r>
          </w:p>
        </w:tc>
      </w:tr>
      <w:tr w:rsidR="00E62C40" w:rsidRPr="006E4BE1" w14:paraId="7A323BDF" w14:textId="77777777" w:rsidTr="00C41F7C">
        <w:trPr>
          <w:trHeight w:val="420"/>
          <w:jc w:val="center"/>
        </w:trPr>
        <w:tc>
          <w:tcPr>
            <w:tcW w:w="2396" w:type="dxa"/>
            <w:tcBorders>
              <w:top w:val="nil"/>
              <w:left w:val="nil"/>
              <w:bottom w:val="nil"/>
              <w:right w:val="nil"/>
            </w:tcBorders>
            <w:shd w:val="clear" w:color="000000" w:fill="FFFFFF"/>
            <w:vAlign w:val="center"/>
            <w:hideMark/>
          </w:tcPr>
          <w:p w14:paraId="2E815220" w14:textId="367E4C93" w:rsidR="00E62C40" w:rsidRPr="006E4BE1" w:rsidRDefault="00F83063" w:rsidP="00AE50C9">
            <w:pPr>
              <w:jc w:val="left"/>
              <w:rPr>
                <w:rFonts w:ascii="Arial Narrow" w:hAnsi="Arial Narrow" w:cs="Arial"/>
                <w:color w:val="000000"/>
                <w:lang w:val="es-ES_tradnl"/>
              </w:rPr>
            </w:pPr>
            <w:r w:rsidRPr="006E4BE1">
              <w:rPr>
                <w:rFonts w:ascii="Arial Narrow" w:hAnsi="Arial Narrow" w:cs="Arial"/>
                <w:color w:val="000000"/>
                <w:lang w:val="es-ES_tradnl"/>
              </w:rPr>
              <w:t>Gastos</w:t>
            </w:r>
          </w:p>
        </w:tc>
        <w:tc>
          <w:tcPr>
            <w:tcW w:w="1004" w:type="dxa"/>
            <w:tcBorders>
              <w:top w:val="nil"/>
              <w:left w:val="nil"/>
              <w:bottom w:val="nil"/>
              <w:right w:val="nil"/>
            </w:tcBorders>
            <w:shd w:val="clear" w:color="000000" w:fill="FFFFFF"/>
            <w:vAlign w:val="center"/>
            <w:hideMark/>
          </w:tcPr>
          <w:p w14:paraId="3238687F" w14:textId="2717A1E3" w:rsidR="00E62C40" w:rsidRPr="006E4BE1" w:rsidRDefault="00E62C40" w:rsidP="00AE50C9">
            <w:pPr>
              <w:jc w:val="right"/>
              <w:rPr>
                <w:rFonts w:ascii="Arial Narrow" w:hAnsi="Arial Narrow" w:cs="Arial"/>
                <w:color w:val="000000"/>
                <w:lang w:val="es-ES_tradnl"/>
              </w:rPr>
            </w:pPr>
            <w:r w:rsidRPr="006E4BE1">
              <w:rPr>
                <w:rFonts w:ascii="Arial Narrow" w:hAnsi="Arial Narrow" w:cs="Arial"/>
                <w:color w:val="000000"/>
                <w:lang w:val="es-ES_tradnl"/>
              </w:rPr>
              <w:t>6</w:t>
            </w:r>
            <w:r w:rsidR="001A29DE" w:rsidRPr="006E4BE1">
              <w:rPr>
                <w:rFonts w:ascii="Arial Narrow" w:hAnsi="Arial Narrow" w:cs="Arial"/>
                <w:color w:val="000000"/>
                <w:lang w:val="es-ES_tradnl"/>
              </w:rPr>
              <w:t>.</w:t>
            </w:r>
            <w:r w:rsidRPr="006E4BE1">
              <w:rPr>
                <w:rFonts w:ascii="Arial Narrow" w:hAnsi="Arial Narrow" w:cs="Arial"/>
                <w:color w:val="000000"/>
                <w:lang w:val="es-ES_tradnl"/>
              </w:rPr>
              <w:t>825</w:t>
            </w:r>
          </w:p>
        </w:tc>
        <w:tc>
          <w:tcPr>
            <w:tcW w:w="1036" w:type="dxa"/>
            <w:tcBorders>
              <w:top w:val="nil"/>
              <w:left w:val="nil"/>
              <w:bottom w:val="nil"/>
              <w:right w:val="nil"/>
            </w:tcBorders>
            <w:shd w:val="clear" w:color="000000" w:fill="FFFFFF"/>
            <w:vAlign w:val="center"/>
            <w:hideMark/>
          </w:tcPr>
          <w:p w14:paraId="390DA5EE" w14:textId="6D77940A" w:rsidR="00E62C40" w:rsidRPr="006E4BE1" w:rsidRDefault="00E62C40" w:rsidP="00AE50C9">
            <w:pPr>
              <w:jc w:val="right"/>
              <w:rPr>
                <w:rFonts w:ascii="Arial Narrow" w:hAnsi="Arial Narrow" w:cs="Arial"/>
                <w:color w:val="000000"/>
                <w:lang w:val="es-ES_tradnl"/>
              </w:rPr>
            </w:pPr>
            <w:r w:rsidRPr="006E4BE1">
              <w:rPr>
                <w:rFonts w:ascii="Arial Narrow" w:hAnsi="Arial Narrow" w:cs="Arial"/>
                <w:color w:val="000000"/>
                <w:lang w:val="es-ES_tradnl"/>
              </w:rPr>
              <w:t>6</w:t>
            </w:r>
            <w:r w:rsidR="001A29DE" w:rsidRPr="006E4BE1">
              <w:rPr>
                <w:rFonts w:ascii="Arial Narrow" w:hAnsi="Arial Narrow" w:cs="Arial"/>
                <w:color w:val="000000"/>
                <w:lang w:val="es-ES_tradnl"/>
              </w:rPr>
              <w:t>.</w:t>
            </w:r>
            <w:r w:rsidRPr="006E4BE1">
              <w:rPr>
                <w:rFonts w:ascii="Arial Narrow" w:hAnsi="Arial Narrow" w:cs="Arial"/>
                <w:color w:val="000000"/>
                <w:lang w:val="es-ES_tradnl"/>
              </w:rPr>
              <w:t>854</w:t>
            </w:r>
          </w:p>
        </w:tc>
        <w:tc>
          <w:tcPr>
            <w:tcW w:w="1216" w:type="dxa"/>
            <w:tcBorders>
              <w:top w:val="nil"/>
              <w:left w:val="nil"/>
              <w:bottom w:val="nil"/>
              <w:right w:val="nil"/>
            </w:tcBorders>
            <w:shd w:val="clear" w:color="000000" w:fill="FFFFFF"/>
            <w:vAlign w:val="center"/>
            <w:hideMark/>
          </w:tcPr>
          <w:p w14:paraId="5BA37479" w14:textId="2C1A62CF" w:rsidR="00E62C40" w:rsidRPr="006E4BE1" w:rsidRDefault="00E62C40" w:rsidP="00AE50C9">
            <w:pPr>
              <w:jc w:val="right"/>
              <w:rPr>
                <w:rFonts w:ascii="Arial Narrow" w:hAnsi="Arial Narrow" w:cs="Arial"/>
                <w:color w:val="000000"/>
                <w:lang w:val="es-ES_tradnl"/>
              </w:rPr>
            </w:pPr>
            <w:r w:rsidRPr="006E4BE1">
              <w:rPr>
                <w:rFonts w:ascii="Arial Narrow" w:hAnsi="Arial Narrow" w:cs="Arial"/>
                <w:color w:val="000000"/>
                <w:lang w:val="es-ES_tradnl"/>
              </w:rPr>
              <w:t>7</w:t>
            </w:r>
            <w:r w:rsidR="001A29DE" w:rsidRPr="006E4BE1">
              <w:rPr>
                <w:rFonts w:ascii="Arial Narrow" w:hAnsi="Arial Narrow" w:cs="Arial"/>
                <w:color w:val="000000"/>
                <w:lang w:val="es-ES_tradnl"/>
              </w:rPr>
              <w:t>.</w:t>
            </w:r>
            <w:r w:rsidRPr="006E4BE1">
              <w:rPr>
                <w:rFonts w:ascii="Arial Narrow" w:hAnsi="Arial Narrow" w:cs="Arial"/>
                <w:color w:val="000000"/>
                <w:lang w:val="es-ES_tradnl"/>
              </w:rPr>
              <w:t>347</w:t>
            </w:r>
          </w:p>
        </w:tc>
        <w:tc>
          <w:tcPr>
            <w:tcW w:w="1216" w:type="dxa"/>
            <w:tcBorders>
              <w:top w:val="nil"/>
              <w:left w:val="nil"/>
              <w:bottom w:val="nil"/>
              <w:right w:val="nil"/>
            </w:tcBorders>
            <w:shd w:val="clear" w:color="000000" w:fill="FFFFFF"/>
            <w:vAlign w:val="center"/>
            <w:hideMark/>
          </w:tcPr>
          <w:p w14:paraId="28B83E12" w14:textId="4D239C65" w:rsidR="00E62C40" w:rsidRPr="006E4BE1" w:rsidRDefault="00E62C40" w:rsidP="00AE50C9">
            <w:pPr>
              <w:jc w:val="right"/>
              <w:rPr>
                <w:rFonts w:ascii="Arial Narrow" w:hAnsi="Arial Narrow" w:cs="Arial"/>
                <w:lang w:val="es-ES_tradnl"/>
              </w:rPr>
            </w:pPr>
            <w:r w:rsidRPr="006E4BE1">
              <w:rPr>
                <w:rFonts w:ascii="Arial Narrow" w:hAnsi="Arial Narrow" w:cs="Arial"/>
                <w:lang w:val="es-ES_tradnl"/>
              </w:rPr>
              <w:t>7</w:t>
            </w:r>
            <w:r w:rsidR="001A29DE" w:rsidRPr="006E4BE1">
              <w:rPr>
                <w:rFonts w:ascii="Arial Narrow" w:hAnsi="Arial Narrow" w:cs="Arial"/>
                <w:lang w:val="es-ES_tradnl"/>
              </w:rPr>
              <w:t>.</w:t>
            </w:r>
            <w:r w:rsidRPr="006E4BE1">
              <w:rPr>
                <w:rFonts w:ascii="Arial Narrow" w:hAnsi="Arial Narrow" w:cs="Arial"/>
                <w:lang w:val="es-ES_tradnl"/>
              </w:rPr>
              <w:t>635</w:t>
            </w:r>
          </w:p>
        </w:tc>
        <w:tc>
          <w:tcPr>
            <w:tcW w:w="1256" w:type="dxa"/>
            <w:tcBorders>
              <w:top w:val="nil"/>
              <w:left w:val="nil"/>
              <w:bottom w:val="nil"/>
              <w:right w:val="nil"/>
            </w:tcBorders>
            <w:shd w:val="clear" w:color="000000" w:fill="FFFFFF"/>
            <w:vAlign w:val="center"/>
            <w:hideMark/>
          </w:tcPr>
          <w:p w14:paraId="3F31F289" w14:textId="04F7873F" w:rsidR="00E62C40" w:rsidRPr="006E4BE1" w:rsidRDefault="00E62C40" w:rsidP="00AE50C9">
            <w:pPr>
              <w:jc w:val="right"/>
              <w:rPr>
                <w:rFonts w:ascii="Arial Narrow" w:hAnsi="Arial Narrow" w:cs="Arial"/>
                <w:lang w:val="es-ES_tradnl"/>
              </w:rPr>
            </w:pPr>
            <w:r w:rsidRPr="006E4BE1">
              <w:rPr>
                <w:rFonts w:ascii="Arial Narrow" w:hAnsi="Arial Narrow" w:cs="Arial"/>
                <w:lang w:val="es-ES_tradnl"/>
              </w:rPr>
              <w:t>7</w:t>
            </w:r>
            <w:r w:rsidR="001A29DE" w:rsidRPr="006E4BE1">
              <w:rPr>
                <w:rFonts w:ascii="Arial Narrow" w:hAnsi="Arial Narrow" w:cs="Arial"/>
                <w:lang w:val="es-ES_tradnl"/>
              </w:rPr>
              <w:t>.</w:t>
            </w:r>
            <w:r w:rsidRPr="006E4BE1">
              <w:rPr>
                <w:rFonts w:ascii="Arial Narrow" w:hAnsi="Arial Narrow" w:cs="Arial"/>
                <w:lang w:val="es-ES_tradnl"/>
              </w:rPr>
              <w:t>769</w:t>
            </w:r>
          </w:p>
        </w:tc>
      </w:tr>
      <w:tr w:rsidR="00E62C40" w:rsidRPr="006E4BE1" w14:paraId="7FB756A6" w14:textId="77777777" w:rsidTr="00C41F7C">
        <w:trPr>
          <w:trHeight w:val="375"/>
          <w:jc w:val="center"/>
        </w:trPr>
        <w:tc>
          <w:tcPr>
            <w:tcW w:w="2396" w:type="dxa"/>
            <w:tcBorders>
              <w:top w:val="single" w:sz="4" w:space="0" w:color="AAB8C4"/>
              <w:left w:val="nil"/>
              <w:bottom w:val="single" w:sz="8" w:space="0" w:color="AAB8C4"/>
              <w:right w:val="nil"/>
            </w:tcBorders>
            <w:shd w:val="clear" w:color="000000" w:fill="FFFFFF"/>
            <w:vAlign w:val="center"/>
            <w:hideMark/>
          </w:tcPr>
          <w:p w14:paraId="742FCC80" w14:textId="7219AF67" w:rsidR="00E62C40" w:rsidRPr="006E4BE1" w:rsidRDefault="00F83063" w:rsidP="00AE50C9">
            <w:pPr>
              <w:ind w:firstLineChars="100" w:firstLine="200"/>
              <w:jc w:val="left"/>
              <w:rPr>
                <w:rFonts w:ascii="Arial Narrow" w:hAnsi="Arial Narrow" w:cs="Arial"/>
                <w:i/>
                <w:iCs/>
                <w:color w:val="000000"/>
                <w:lang w:val="es-ES_tradnl"/>
              </w:rPr>
            </w:pPr>
            <w:r w:rsidRPr="006E4BE1">
              <w:rPr>
                <w:rFonts w:ascii="Arial Narrow" w:hAnsi="Arial Narrow" w:cs="Arial"/>
                <w:i/>
                <w:iCs/>
                <w:color w:val="000000"/>
                <w:lang w:val="es-ES_tradnl"/>
              </w:rPr>
              <w:t>Diferencia</w:t>
            </w:r>
          </w:p>
        </w:tc>
        <w:tc>
          <w:tcPr>
            <w:tcW w:w="1004" w:type="dxa"/>
            <w:tcBorders>
              <w:top w:val="single" w:sz="4" w:space="0" w:color="AAB8C4"/>
              <w:left w:val="nil"/>
              <w:bottom w:val="single" w:sz="8" w:space="0" w:color="AAB8C4"/>
              <w:right w:val="nil"/>
            </w:tcBorders>
            <w:shd w:val="clear" w:color="000000" w:fill="FFFFFF"/>
            <w:vAlign w:val="center"/>
            <w:hideMark/>
          </w:tcPr>
          <w:p w14:paraId="68C53951" w14:textId="77777777" w:rsidR="00E62C40" w:rsidRPr="006E4BE1" w:rsidRDefault="00E62C40"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26</w:t>
            </w:r>
          </w:p>
        </w:tc>
        <w:tc>
          <w:tcPr>
            <w:tcW w:w="1036" w:type="dxa"/>
            <w:tcBorders>
              <w:top w:val="single" w:sz="4" w:space="0" w:color="AAB8C4"/>
              <w:left w:val="nil"/>
              <w:bottom w:val="single" w:sz="8" w:space="0" w:color="AAB8C4"/>
              <w:right w:val="nil"/>
            </w:tcBorders>
            <w:shd w:val="clear" w:color="000000" w:fill="FFFFFF"/>
            <w:vAlign w:val="center"/>
            <w:hideMark/>
          </w:tcPr>
          <w:p w14:paraId="7134CB23" w14:textId="77777777" w:rsidR="00E62C40" w:rsidRPr="006E4BE1" w:rsidRDefault="00E62C40"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76</w:t>
            </w:r>
          </w:p>
        </w:tc>
        <w:tc>
          <w:tcPr>
            <w:tcW w:w="1216" w:type="dxa"/>
            <w:tcBorders>
              <w:top w:val="single" w:sz="4" w:space="0" w:color="AAB8C4"/>
              <w:left w:val="nil"/>
              <w:bottom w:val="single" w:sz="8" w:space="0" w:color="AAB8C4"/>
              <w:right w:val="nil"/>
            </w:tcBorders>
            <w:shd w:val="clear" w:color="000000" w:fill="FFFFFF"/>
            <w:vAlign w:val="center"/>
            <w:hideMark/>
          </w:tcPr>
          <w:p w14:paraId="11620171" w14:textId="7B93F6E3" w:rsidR="00E62C40" w:rsidRPr="006E4BE1" w:rsidRDefault="00E62C40"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c>
          <w:tcPr>
            <w:tcW w:w="1216" w:type="dxa"/>
            <w:tcBorders>
              <w:top w:val="single" w:sz="4" w:space="0" w:color="AAB8C4"/>
              <w:left w:val="nil"/>
              <w:bottom w:val="single" w:sz="8" w:space="0" w:color="AAB8C4"/>
              <w:right w:val="nil"/>
            </w:tcBorders>
            <w:shd w:val="clear" w:color="000000" w:fill="FFFFFF"/>
            <w:vAlign w:val="center"/>
            <w:hideMark/>
          </w:tcPr>
          <w:p w14:paraId="77DE0C1D" w14:textId="076B1CB6" w:rsidR="00E62C40" w:rsidRPr="006E4BE1" w:rsidRDefault="00E62C40"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c>
          <w:tcPr>
            <w:tcW w:w="1256" w:type="dxa"/>
            <w:tcBorders>
              <w:top w:val="single" w:sz="4" w:space="0" w:color="AAB8C4"/>
              <w:left w:val="nil"/>
              <w:bottom w:val="single" w:sz="8" w:space="0" w:color="AAB8C4"/>
              <w:right w:val="nil"/>
            </w:tcBorders>
            <w:shd w:val="clear" w:color="000000" w:fill="FFFFFF"/>
            <w:vAlign w:val="center"/>
            <w:hideMark/>
          </w:tcPr>
          <w:p w14:paraId="1C8399FE" w14:textId="24FB8F14" w:rsidR="00E62C40" w:rsidRPr="006E4BE1" w:rsidRDefault="00E62C40" w:rsidP="00AE50C9">
            <w:pPr>
              <w:jc w:val="right"/>
              <w:rPr>
                <w:rFonts w:ascii="Arial Narrow" w:hAnsi="Arial Narrow" w:cs="Arial"/>
                <w:i/>
                <w:iCs/>
                <w:color w:val="000000"/>
                <w:lang w:val="es-ES_tradnl"/>
              </w:rPr>
            </w:pPr>
            <w:r w:rsidRPr="006E4BE1">
              <w:rPr>
                <w:rFonts w:ascii="Arial Narrow" w:hAnsi="Arial Narrow" w:cs="Arial"/>
                <w:i/>
                <w:iCs/>
                <w:color w:val="000000"/>
                <w:lang w:val="es-ES_tradnl"/>
              </w:rPr>
              <w:t>-</w:t>
            </w:r>
          </w:p>
        </w:tc>
      </w:tr>
    </w:tbl>
    <w:p w14:paraId="0A21DE1C" w14:textId="77777777" w:rsidR="001240C5" w:rsidRPr="006E4BE1" w:rsidRDefault="001240C5" w:rsidP="00AE50C9">
      <w:pPr>
        <w:rPr>
          <w:rFonts w:cs="Arial"/>
          <w:b/>
          <w:bCs/>
          <w:lang w:val="es-ES_tradnl"/>
        </w:rPr>
      </w:pPr>
    </w:p>
    <w:p w14:paraId="50527BC3" w14:textId="77777777" w:rsidR="001240C5" w:rsidRPr="006E4BE1" w:rsidRDefault="001240C5" w:rsidP="00AE50C9">
      <w:pPr>
        <w:rPr>
          <w:rFonts w:cs="Arial"/>
          <w:b/>
          <w:bCs/>
          <w:lang w:val="es-ES_tradnl"/>
        </w:rPr>
      </w:pPr>
    </w:p>
    <w:p w14:paraId="0762CC66" w14:textId="77777777" w:rsidR="001240C5" w:rsidRPr="006E4BE1" w:rsidRDefault="001240C5" w:rsidP="00AE50C9">
      <w:pPr>
        <w:rPr>
          <w:rFonts w:cs="Arial"/>
          <w:b/>
          <w:bCs/>
          <w:lang w:val="es-ES_tradnl"/>
        </w:rPr>
      </w:pPr>
    </w:p>
    <w:p w14:paraId="0B833ADC" w14:textId="77777777" w:rsidR="001240C5" w:rsidRPr="006E4BE1" w:rsidRDefault="00F83063" w:rsidP="00AE50C9">
      <w:pPr>
        <w:spacing w:after="240"/>
        <w:jc w:val="center"/>
        <w:rPr>
          <w:i/>
          <w:color w:val="26724C" w:themeColor="accent1" w:themeShade="BF"/>
          <w:sz w:val="18"/>
          <w:lang w:val="es-ES_tradnl"/>
        </w:rPr>
      </w:pPr>
      <w:r w:rsidRPr="006E4BE1">
        <w:rPr>
          <w:i/>
          <w:color w:val="26724C" w:themeColor="accent1" w:themeShade="BF"/>
          <w:sz w:val="18"/>
          <w:lang w:val="es-ES_tradnl"/>
        </w:rPr>
        <w:t>Gráfico 12. Evolución de los ingresos, los gastos y las reservas durante el período 2016-2024</w:t>
      </w:r>
    </w:p>
    <w:p w14:paraId="7479BD84" w14:textId="77777777" w:rsidR="001240C5" w:rsidRPr="006E4BE1" w:rsidRDefault="001161B4" w:rsidP="00AE50C9">
      <w:pPr>
        <w:jc w:val="center"/>
        <w:rPr>
          <w:i/>
          <w:color w:val="26724C" w:themeColor="accent1" w:themeShade="BF"/>
          <w:sz w:val="18"/>
          <w:lang w:val="es-ES_tradnl"/>
        </w:rPr>
      </w:pPr>
      <w:r w:rsidRPr="006E4BE1">
        <w:rPr>
          <w:noProof/>
        </w:rPr>
        <w:drawing>
          <wp:inline distT="0" distB="0" distL="0" distR="0" wp14:anchorId="681B5CD0" wp14:editId="734A4DBF">
            <wp:extent cx="6120765" cy="3142098"/>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765" cy="3142098"/>
                    </a:xfrm>
                    <a:prstGeom prst="rect">
                      <a:avLst/>
                    </a:prstGeom>
                    <a:noFill/>
                    <a:ln>
                      <a:noFill/>
                    </a:ln>
                  </pic:spPr>
                </pic:pic>
              </a:graphicData>
            </a:graphic>
          </wp:inline>
        </w:drawing>
      </w:r>
    </w:p>
    <w:p w14:paraId="7D686AB5" w14:textId="77777777" w:rsidR="001240C5" w:rsidRPr="006E4BE1" w:rsidRDefault="001240C5" w:rsidP="00AE50C9">
      <w:pPr>
        <w:rPr>
          <w:lang w:val="es-ES_tradnl"/>
        </w:rPr>
      </w:pPr>
    </w:p>
    <w:p w14:paraId="29D2A867" w14:textId="77777777" w:rsidR="001240C5" w:rsidRPr="006E4BE1" w:rsidRDefault="001240C5" w:rsidP="00AE50C9">
      <w:pPr>
        <w:ind w:left="567" w:hanging="567"/>
        <w:rPr>
          <w:lang w:val="es-ES_tradnl"/>
        </w:rPr>
      </w:pPr>
    </w:p>
    <w:p w14:paraId="11933AA2" w14:textId="77777777" w:rsidR="001240C5" w:rsidRPr="006E4BE1" w:rsidRDefault="001240C5" w:rsidP="00AE50C9">
      <w:pPr>
        <w:ind w:left="567" w:hanging="567"/>
        <w:rPr>
          <w:lang w:val="es-ES_tradnl"/>
        </w:rPr>
      </w:pPr>
    </w:p>
    <w:p w14:paraId="38AA28B7" w14:textId="77777777" w:rsidR="001240C5" w:rsidRPr="006E4BE1" w:rsidRDefault="00F83063" w:rsidP="00AE50C9">
      <w:pPr>
        <w:ind w:left="567" w:hanging="567"/>
        <w:jc w:val="right"/>
        <w:rPr>
          <w:lang w:val="es-ES_tradnl"/>
        </w:rPr>
      </w:pPr>
      <w:r w:rsidRPr="006E4BE1">
        <w:rPr>
          <w:lang w:val="es-ES_tradnl"/>
        </w:rPr>
        <w:t>[Siguen los Apéndices]</w:t>
      </w:r>
    </w:p>
    <w:p w14:paraId="72E8C4A7" w14:textId="77777777" w:rsidR="001240C5" w:rsidRPr="006E4BE1" w:rsidRDefault="001240C5" w:rsidP="00AE50C9">
      <w:pPr>
        <w:ind w:left="567" w:hanging="567"/>
        <w:jc w:val="center"/>
        <w:rPr>
          <w:lang w:val="es-ES_tradnl"/>
        </w:rPr>
      </w:pPr>
    </w:p>
    <w:p w14:paraId="028EC948" w14:textId="77777777" w:rsidR="008C5BB5" w:rsidRPr="006E4BE1" w:rsidRDefault="008C5BB5" w:rsidP="00AE50C9">
      <w:pPr>
        <w:ind w:left="567" w:hanging="567"/>
        <w:jc w:val="right"/>
        <w:rPr>
          <w:lang w:val="es-ES_tradnl"/>
        </w:rPr>
        <w:sectPr w:rsidR="008C5BB5" w:rsidRPr="006E4BE1" w:rsidSect="00CA64DC">
          <w:headerReference w:type="default" r:id="rId31"/>
          <w:headerReference w:type="first" r:id="rId32"/>
          <w:pgSz w:w="11907" w:h="16840" w:code="9"/>
          <w:pgMar w:top="510" w:right="1134" w:bottom="709" w:left="1134" w:header="510" w:footer="680" w:gutter="0"/>
          <w:pgNumType w:start="1"/>
          <w:cols w:space="720"/>
          <w:titlePg/>
          <w:docGrid w:linePitch="272"/>
        </w:sectPr>
      </w:pPr>
    </w:p>
    <w:p w14:paraId="15F7D1B3" w14:textId="77777777" w:rsidR="001240C5" w:rsidRPr="006E4BE1" w:rsidRDefault="002E40D2" w:rsidP="00AE50C9">
      <w:pPr>
        <w:pStyle w:val="Heading1"/>
        <w:keepNext w:val="0"/>
        <w:rPr>
          <w:lang w:val="es-ES_tradnl"/>
        </w:rPr>
      </w:pPr>
      <w:bookmarkStart w:id="465" w:name="_Toc78476740"/>
      <w:r w:rsidRPr="006E4BE1">
        <w:rPr>
          <w:lang w:val="es-ES_tradnl"/>
        </w:rPr>
        <w:lastRenderedPageBreak/>
        <w:t>APÉNDICES</w:t>
      </w:r>
      <w:bookmarkEnd w:id="465"/>
    </w:p>
    <w:p w14:paraId="5F3487F5" w14:textId="77777777" w:rsidR="001240C5" w:rsidRPr="006E4BE1" w:rsidRDefault="001240C5" w:rsidP="00AE50C9">
      <w:pPr>
        <w:pStyle w:val="Heading2"/>
        <w:keepNext w:val="0"/>
        <w:rPr>
          <w:lang w:val="es-ES_tradnl"/>
        </w:rPr>
      </w:pPr>
    </w:p>
    <w:p w14:paraId="44474B84" w14:textId="27D7FAC9" w:rsidR="001240C5" w:rsidRPr="006E4BE1" w:rsidRDefault="002E40D2" w:rsidP="00F7408A">
      <w:pPr>
        <w:pStyle w:val="Heading9"/>
        <w:keepNext w:val="0"/>
        <w:ind w:left="1843" w:hanging="1843"/>
        <w:rPr>
          <w:lang w:val="es-ES_tradnl"/>
        </w:rPr>
      </w:pPr>
      <w:bookmarkStart w:id="466" w:name="_Toc63091108"/>
      <w:bookmarkStart w:id="467" w:name="_Toc63091305"/>
      <w:bookmarkStart w:id="468" w:name="_Toc63091835"/>
      <w:bookmarkStart w:id="469" w:name="_Toc63091109"/>
      <w:bookmarkStart w:id="470" w:name="_Toc63091306"/>
      <w:bookmarkStart w:id="471" w:name="_Toc63091836"/>
      <w:bookmarkStart w:id="472" w:name="_Toc78476741"/>
      <w:bookmarkEnd w:id="466"/>
      <w:bookmarkEnd w:id="467"/>
      <w:bookmarkEnd w:id="468"/>
      <w:bookmarkEnd w:id="469"/>
      <w:bookmarkEnd w:id="470"/>
      <w:bookmarkEnd w:id="471"/>
      <w:r w:rsidRPr="006E4BE1">
        <w:rPr>
          <w:lang w:val="es-ES_tradnl"/>
        </w:rPr>
        <w:t>APÉNDICE I</w:t>
      </w:r>
      <w:r w:rsidR="005E78BB" w:rsidRPr="006E4BE1">
        <w:rPr>
          <w:lang w:val="es-ES_tradnl"/>
        </w:rPr>
        <w:tab/>
      </w:r>
      <w:r w:rsidRPr="006E4BE1">
        <w:rPr>
          <w:lang w:val="es-ES_tradnl"/>
        </w:rPr>
        <w:t xml:space="preserve">Situación respecto de la Unión Internacional para la Protección de las Obtenciones Vegetales (UPOV) al </w:t>
      </w:r>
      <w:r w:rsidR="00AF2567" w:rsidRPr="006E4BE1">
        <w:rPr>
          <w:lang w:val="es-ES_tradnl"/>
        </w:rPr>
        <w:t>31</w:t>
      </w:r>
      <w:r w:rsidRPr="006E4BE1">
        <w:rPr>
          <w:lang w:val="es-ES_tradnl"/>
        </w:rPr>
        <w:t xml:space="preserve"> de </w:t>
      </w:r>
      <w:r w:rsidR="00AF2567" w:rsidRPr="006E4BE1">
        <w:rPr>
          <w:lang w:val="es-ES_tradnl"/>
        </w:rPr>
        <w:t xml:space="preserve">marzo </w:t>
      </w:r>
      <w:r w:rsidRPr="006E4BE1">
        <w:rPr>
          <w:lang w:val="es-ES_tradnl"/>
        </w:rPr>
        <w:t>de 2021</w:t>
      </w:r>
      <w:bookmarkEnd w:id="472"/>
    </w:p>
    <w:p w14:paraId="7E28D15A" w14:textId="77777777" w:rsidR="001240C5" w:rsidRPr="006E4BE1" w:rsidRDefault="001240C5" w:rsidP="00AE50C9">
      <w:pPr>
        <w:ind w:left="2268" w:hanging="1984"/>
        <w:jc w:val="center"/>
        <w:rPr>
          <w:b/>
          <w:lang w:val="es-ES_tradnl"/>
        </w:rPr>
      </w:pPr>
    </w:p>
    <w:p w14:paraId="7EF4780E" w14:textId="77777777" w:rsidR="001240C5" w:rsidRPr="006E4BE1" w:rsidRDefault="001240C5" w:rsidP="00AE50C9">
      <w:pPr>
        <w:rPr>
          <w:rFonts w:cs="Arial"/>
          <w:i/>
          <w:sz w:val="16"/>
          <w:szCs w:val="24"/>
          <w:lang w:val="es-ES_tradnl"/>
        </w:rPr>
      </w:pPr>
    </w:p>
    <w:p w14:paraId="6080ADDE" w14:textId="77777777" w:rsidR="001240C5" w:rsidRPr="006E4BE1" w:rsidRDefault="002E40D2" w:rsidP="00AE50C9">
      <w:pPr>
        <w:ind w:left="284" w:hanging="284"/>
        <w:jc w:val="left"/>
        <w:rPr>
          <w:rFonts w:cs="Arial"/>
          <w:b/>
          <w:color w:val="26724C" w:themeColor="accent1" w:themeShade="BF"/>
          <w:sz w:val="18"/>
          <w:lang w:val="es-ES_tradnl"/>
        </w:rPr>
      </w:pPr>
      <w:r w:rsidRPr="006E4BE1">
        <w:rPr>
          <w:rFonts w:cs="Arial"/>
          <w:b/>
          <w:color w:val="26724C" w:themeColor="accent1" w:themeShade="BF"/>
          <w:sz w:val="18"/>
          <w:lang w:val="es-ES_tradnl"/>
        </w:rPr>
        <w:t>A.</w:t>
      </w:r>
      <w:r w:rsidRPr="006E4BE1">
        <w:rPr>
          <w:rFonts w:cs="Arial"/>
          <w:b/>
          <w:color w:val="26724C" w:themeColor="accent1" w:themeShade="BF"/>
          <w:sz w:val="18"/>
          <w:lang w:val="es-ES_tradnl"/>
        </w:rPr>
        <w:tab/>
        <w:t>Miembros de la UPOV</w:t>
      </w:r>
    </w:p>
    <w:p w14:paraId="439B1349" w14:textId="77777777" w:rsidR="001240C5" w:rsidRPr="006E4BE1" w:rsidRDefault="001240C5" w:rsidP="00AE50C9">
      <w:pPr>
        <w:pStyle w:val="BodyText"/>
        <w:spacing w:before="120"/>
        <w:rPr>
          <w:rFonts w:cs="Arial"/>
          <w:sz w:val="16"/>
          <w:szCs w:val="16"/>
          <w:lang w:val="es-ES_tradnl"/>
        </w:rPr>
      </w:pPr>
    </w:p>
    <w:p w14:paraId="12294A2C" w14:textId="77777777" w:rsidR="00D23EBB" w:rsidRPr="006E4BE1" w:rsidRDefault="00D23EBB" w:rsidP="00AE50C9">
      <w:pPr>
        <w:spacing w:before="40"/>
        <w:rPr>
          <w:rFonts w:cs="Arial"/>
          <w:sz w:val="16"/>
          <w:szCs w:val="16"/>
          <w:lang w:val="es-ES_tradnl"/>
        </w:rPr>
        <w:sectPr w:rsidR="00D23EBB" w:rsidRPr="006E4BE1" w:rsidSect="0016531D">
          <w:headerReference w:type="even" r:id="rId33"/>
          <w:headerReference w:type="default" r:id="rId34"/>
          <w:footerReference w:type="even" r:id="rId35"/>
          <w:footerReference w:type="default" r:id="rId36"/>
          <w:headerReference w:type="first" r:id="rId37"/>
          <w:footerReference w:type="first" r:id="rId38"/>
          <w:pgSz w:w="11907" w:h="16840" w:code="9"/>
          <w:pgMar w:top="510" w:right="1134" w:bottom="851" w:left="1134" w:header="510" w:footer="624" w:gutter="0"/>
          <w:cols w:space="720"/>
          <w:docGrid w:linePitch="272"/>
        </w:sectPr>
      </w:pPr>
    </w:p>
    <w:p w14:paraId="2F67E909"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Albania</w:t>
      </w:r>
      <w:r w:rsidRPr="006E4BE1">
        <w:rPr>
          <w:rFonts w:cs="Arial"/>
          <w:sz w:val="16"/>
          <w:szCs w:val="16"/>
          <w:vertAlign w:val="superscript"/>
          <w:lang w:val="es-ES_tradnl"/>
        </w:rPr>
        <w:t>2</w:t>
      </w:r>
    </w:p>
    <w:p w14:paraId="4CC07162"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Alemania</w:t>
      </w:r>
      <w:r w:rsidRPr="006E4BE1">
        <w:rPr>
          <w:rStyle w:val="FootnoteReference"/>
          <w:rFonts w:cs="Arial"/>
          <w:sz w:val="16"/>
          <w:szCs w:val="16"/>
          <w:lang w:val="es-ES_tradnl"/>
        </w:rPr>
        <w:t>2</w:t>
      </w:r>
    </w:p>
    <w:p w14:paraId="32A0A034"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Argentina</w:t>
      </w:r>
      <w:r w:rsidRPr="006E4BE1">
        <w:rPr>
          <w:rStyle w:val="FootnoteReference"/>
          <w:rFonts w:cs="Arial"/>
          <w:sz w:val="16"/>
          <w:szCs w:val="16"/>
          <w:lang w:val="es-ES_tradnl"/>
        </w:rPr>
        <w:t>1</w:t>
      </w:r>
    </w:p>
    <w:p w14:paraId="362763A9"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Australia</w:t>
      </w:r>
      <w:r w:rsidRPr="006E4BE1">
        <w:rPr>
          <w:rFonts w:cs="Arial"/>
          <w:sz w:val="16"/>
          <w:szCs w:val="16"/>
          <w:vertAlign w:val="superscript"/>
          <w:lang w:val="es-ES_tradnl"/>
        </w:rPr>
        <w:t>2</w:t>
      </w:r>
    </w:p>
    <w:p w14:paraId="1877E58A"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Austria</w:t>
      </w:r>
      <w:r w:rsidRPr="006E4BE1">
        <w:rPr>
          <w:rStyle w:val="FootnoteReference"/>
          <w:rFonts w:cs="Arial"/>
          <w:sz w:val="16"/>
          <w:szCs w:val="16"/>
          <w:lang w:val="es-ES_tradnl"/>
        </w:rPr>
        <w:t>2</w:t>
      </w:r>
    </w:p>
    <w:p w14:paraId="03EECD88"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Azerbaiyán</w:t>
      </w:r>
      <w:r w:rsidRPr="006E4BE1">
        <w:rPr>
          <w:rFonts w:cs="Arial"/>
          <w:sz w:val="16"/>
          <w:szCs w:val="16"/>
          <w:vertAlign w:val="superscript"/>
          <w:lang w:val="es-ES_tradnl"/>
        </w:rPr>
        <w:t>2</w:t>
      </w:r>
    </w:p>
    <w:p w14:paraId="3698620D"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Belarús</w:t>
      </w:r>
      <w:r w:rsidRPr="006E4BE1">
        <w:rPr>
          <w:rFonts w:cs="Arial"/>
          <w:sz w:val="16"/>
          <w:szCs w:val="16"/>
          <w:vertAlign w:val="superscript"/>
          <w:lang w:val="es-ES_tradnl"/>
        </w:rPr>
        <w:t>2</w:t>
      </w:r>
    </w:p>
    <w:p w14:paraId="1A5F9B4D" w14:textId="77777777" w:rsidR="001240C5" w:rsidRPr="006E4BE1" w:rsidRDefault="00F97F1E" w:rsidP="00AE50C9">
      <w:pPr>
        <w:spacing w:before="40"/>
        <w:jc w:val="left"/>
        <w:rPr>
          <w:rFonts w:cs="Arial"/>
          <w:sz w:val="16"/>
          <w:szCs w:val="16"/>
          <w:vertAlign w:val="superscript"/>
          <w:lang w:val="es-ES_tradnl"/>
        </w:rPr>
      </w:pPr>
      <w:r w:rsidRPr="006E4BE1">
        <w:rPr>
          <w:rFonts w:cs="Arial"/>
          <w:sz w:val="16"/>
          <w:szCs w:val="16"/>
          <w:lang w:val="es-ES_tradnl"/>
        </w:rPr>
        <w:t>Bélgica</w:t>
      </w:r>
      <w:r w:rsidRPr="006E4BE1">
        <w:rPr>
          <w:rStyle w:val="FootnoteReference"/>
          <w:rFonts w:cs="Arial"/>
          <w:sz w:val="16"/>
          <w:szCs w:val="16"/>
          <w:lang w:val="es-ES_tradnl"/>
        </w:rPr>
        <w:t>2</w:t>
      </w:r>
    </w:p>
    <w:p w14:paraId="7F2E7EC5" w14:textId="77777777" w:rsidR="001240C5" w:rsidRPr="006E4BE1" w:rsidRDefault="00F97F1E" w:rsidP="00AE50C9">
      <w:pPr>
        <w:spacing w:before="40"/>
        <w:jc w:val="left"/>
        <w:rPr>
          <w:rFonts w:cs="Arial"/>
          <w:sz w:val="16"/>
          <w:szCs w:val="16"/>
          <w:vertAlign w:val="superscript"/>
          <w:lang w:val="es-ES_tradnl"/>
        </w:rPr>
      </w:pPr>
      <w:r w:rsidRPr="006E4BE1">
        <w:rPr>
          <w:rFonts w:cs="Arial"/>
          <w:sz w:val="16"/>
          <w:szCs w:val="16"/>
          <w:lang w:val="es-ES_tradnl"/>
        </w:rPr>
        <w:t>Bolivia (Estado Plurinacional de)</w:t>
      </w:r>
      <w:r w:rsidRPr="006E4BE1">
        <w:rPr>
          <w:rFonts w:cs="Arial"/>
          <w:sz w:val="16"/>
          <w:szCs w:val="16"/>
          <w:vertAlign w:val="superscript"/>
          <w:lang w:val="es-ES_tradnl"/>
        </w:rPr>
        <w:t>1</w:t>
      </w:r>
    </w:p>
    <w:p w14:paraId="773B34D5"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Bosnia y Herzegovina</w:t>
      </w:r>
      <w:r w:rsidRPr="006E4BE1">
        <w:rPr>
          <w:rFonts w:cs="Arial"/>
          <w:sz w:val="16"/>
          <w:szCs w:val="16"/>
          <w:vertAlign w:val="superscript"/>
          <w:lang w:val="es-ES_tradnl"/>
        </w:rPr>
        <w:t>2</w:t>
      </w:r>
    </w:p>
    <w:p w14:paraId="417618A3"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Brasil</w:t>
      </w:r>
      <w:r w:rsidRPr="006E4BE1">
        <w:rPr>
          <w:rFonts w:cs="Arial"/>
          <w:sz w:val="16"/>
          <w:szCs w:val="16"/>
          <w:vertAlign w:val="superscript"/>
          <w:lang w:val="es-ES_tradnl"/>
        </w:rPr>
        <w:t>1</w:t>
      </w:r>
    </w:p>
    <w:p w14:paraId="7BAEC39C"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Bulgaria</w:t>
      </w:r>
      <w:r w:rsidRPr="006E4BE1">
        <w:rPr>
          <w:rFonts w:cs="Arial"/>
          <w:sz w:val="16"/>
          <w:szCs w:val="16"/>
          <w:vertAlign w:val="superscript"/>
          <w:lang w:val="es-ES_tradnl"/>
        </w:rPr>
        <w:t>2</w:t>
      </w:r>
    </w:p>
    <w:p w14:paraId="7DA5349A"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Canadá</w:t>
      </w:r>
      <w:r w:rsidRPr="006E4BE1">
        <w:rPr>
          <w:rStyle w:val="FootnoteReference"/>
          <w:rFonts w:cs="Arial"/>
          <w:sz w:val="16"/>
          <w:szCs w:val="16"/>
          <w:lang w:val="es-ES_tradnl"/>
        </w:rPr>
        <w:t>2</w:t>
      </w:r>
    </w:p>
    <w:p w14:paraId="3D1A11B9"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Colombia</w:t>
      </w:r>
      <w:r w:rsidRPr="006E4BE1">
        <w:rPr>
          <w:rFonts w:cs="Arial"/>
          <w:sz w:val="16"/>
          <w:szCs w:val="16"/>
          <w:vertAlign w:val="superscript"/>
          <w:lang w:val="es-ES_tradnl"/>
        </w:rPr>
        <w:t>1</w:t>
      </w:r>
    </w:p>
    <w:p w14:paraId="65AAFDA4"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Costa Rica</w:t>
      </w:r>
      <w:r w:rsidRPr="006E4BE1">
        <w:rPr>
          <w:rFonts w:cs="Arial"/>
          <w:sz w:val="16"/>
          <w:szCs w:val="16"/>
          <w:vertAlign w:val="superscript"/>
          <w:lang w:val="es-ES_tradnl"/>
        </w:rPr>
        <w:t>2</w:t>
      </w:r>
    </w:p>
    <w:p w14:paraId="5CC14C71" w14:textId="77777777" w:rsidR="001240C5" w:rsidRPr="006E4BE1" w:rsidRDefault="00F97F1E" w:rsidP="00AE50C9">
      <w:pPr>
        <w:spacing w:before="40"/>
        <w:jc w:val="left"/>
        <w:rPr>
          <w:rFonts w:cs="Arial"/>
          <w:sz w:val="16"/>
          <w:szCs w:val="16"/>
          <w:vertAlign w:val="superscript"/>
          <w:lang w:val="es-ES_tradnl"/>
        </w:rPr>
      </w:pPr>
      <w:r w:rsidRPr="006E4BE1">
        <w:rPr>
          <w:rFonts w:cs="Arial"/>
          <w:sz w:val="16"/>
          <w:szCs w:val="16"/>
          <w:lang w:val="es-ES_tradnl"/>
        </w:rPr>
        <w:t>Croacia</w:t>
      </w:r>
      <w:r w:rsidRPr="006E4BE1">
        <w:rPr>
          <w:rFonts w:cs="Arial"/>
          <w:sz w:val="16"/>
          <w:szCs w:val="16"/>
          <w:vertAlign w:val="superscript"/>
          <w:lang w:val="es-ES_tradnl"/>
        </w:rPr>
        <w:t>2</w:t>
      </w:r>
    </w:p>
    <w:p w14:paraId="1FA238B5" w14:textId="77777777" w:rsidR="001240C5" w:rsidRPr="006E4BE1" w:rsidRDefault="00F97F1E" w:rsidP="00F971CD">
      <w:pPr>
        <w:spacing w:before="40"/>
        <w:jc w:val="left"/>
        <w:rPr>
          <w:rFonts w:cs="Arial"/>
          <w:sz w:val="16"/>
          <w:szCs w:val="16"/>
          <w:lang w:val="es-ES_tradnl"/>
        </w:rPr>
      </w:pPr>
      <w:r w:rsidRPr="006E4BE1">
        <w:rPr>
          <w:rFonts w:cs="Arial"/>
          <w:sz w:val="16"/>
          <w:szCs w:val="16"/>
          <w:lang w:val="es-ES_tradnl"/>
        </w:rPr>
        <w:t>Chile</w:t>
      </w:r>
      <w:r w:rsidRPr="006E4BE1">
        <w:rPr>
          <w:rFonts w:cs="Arial"/>
          <w:sz w:val="16"/>
          <w:szCs w:val="16"/>
          <w:vertAlign w:val="superscript"/>
          <w:lang w:val="es-ES_tradnl"/>
        </w:rPr>
        <w:t>1</w:t>
      </w:r>
    </w:p>
    <w:p w14:paraId="44E2B91B"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China</w:t>
      </w:r>
      <w:r w:rsidRPr="006E4BE1">
        <w:rPr>
          <w:rFonts w:cs="Arial"/>
          <w:sz w:val="16"/>
          <w:szCs w:val="16"/>
          <w:vertAlign w:val="superscript"/>
          <w:lang w:val="es-ES_tradnl"/>
        </w:rPr>
        <w:t>1</w:t>
      </w:r>
    </w:p>
    <w:p w14:paraId="6F278345"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Dinamarca</w:t>
      </w:r>
      <w:r w:rsidRPr="006E4BE1">
        <w:rPr>
          <w:rStyle w:val="FootnoteReference"/>
          <w:rFonts w:cs="Arial"/>
          <w:sz w:val="16"/>
          <w:szCs w:val="16"/>
          <w:lang w:val="es-ES_tradnl"/>
        </w:rPr>
        <w:t>2</w:t>
      </w:r>
    </w:p>
    <w:p w14:paraId="18219FDA"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Ecuador</w:t>
      </w:r>
      <w:r w:rsidRPr="006E4BE1">
        <w:rPr>
          <w:rFonts w:cs="Arial"/>
          <w:sz w:val="16"/>
          <w:szCs w:val="16"/>
          <w:vertAlign w:val="superscript"/>
          <w:lang w:val="es-ES_tradnl"/>
        </w:rPr>
        <w:t>1</w:t>
      </w:r>
    </w:p>
    <w:p w14:paraId="1C89B338" w14:textId="77777777" w:rsidR="001240C5" w:rsidRPr="006E4BE1" w:rsidRDefault="00F97F1E" w:rsidP="00AE50C9">
      <w:pPr>
        <w:spacing w:before="40"/>
        <w:ind w:left="142"/>
        <w:jc w:val="left"/>
        <w:rPr>
          <w:rFonts w:cs="Arial"/>
          <w:sz w:val="16"/>
          <w:szCs w:val="16"/>
          <w:vertAlign w:val="superscript"/>
          <w:lang w:val="es-ES_tradnl"/>
        </w:rPr>
      </w:pPr>
      <w:r w:rsidRPr="006E4BE1">
        <w:rPr>
          <w:rFonts w:cs="Arial"/>
          <w:sz w:val="16"/>
          <w:szCs w:val="16"/>
          <w:lang w:val="es-ES_tradnl"/>
        </w:rPr>
        <w:t>Egipto</w:t>
      </w:r>
      <w:r w:rsidRPr="006E4BE1">
        <w:rPr>
          <w:rFonts w:cs="Arial"/>
          <w:sz w:val="16"/>
          <w:szCs w:val="16"/>
          <w:vertAlign w:val="superscript"/>
          <w:lang w:val="es-ES_tradnl"/>
        </w:rPr>
        <w:t>2</w:t>
      </w:r>
    </w:p>
    <w:p w14:paraId="33AEF701" w14:textId="77777777" w:rsidR="001240C5" w:rsidRPr="006E4BE1" w:rsidRDefault="00F97F1E" w:rsidP="00AE50C9">
      <w:pPr>
        <w:spacing w:before="40"/>
        <w:ind w:left="142"/>
        <w:jc w:val="left"/>
        <w:rPr>
          <w:rFonts w:cs="Arial"/>
          <w:sz w:val="16"/>
          <w:szCs w:val="16"/>
          <w:vertAlign w:val="superscript"/>
          <w:lang w:val="es-ES_tradnl"/>
        </w:rPr>
      </w:pPr>
      <w:r w:rsidRPr="006E4BE1">
        <w:rPr>
          <w:rFonts w:cs="Arial"/>
          <w:sz w:val="16"/>
          <w:szCs w:val="16"/>
          <w:lang w:val="es-ES_tradnl"/>
        </w:rPr>
        <w:t>Eslovaquia</w:t>
      </w:r>
      <w:r w:rsidRPr="006E4BE1">
        <w:rPr>
          <w:rFonts w:cs="Arial"/>
          <w:sz w:val="16"/>
          <w:szCs w:val="16"/>
          <w:vertAlign w:val="superscript"/>
          <w:lang w:val="es-ES_tradnl"/>
        </w:rPr>
        <w:t>2</w:t>
      </w:r>
    </w:p>
    <w:p w14:paraId="62415CD5"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Eslovenia</w:t>
      </w:r>
      <w:r w:rsidRPr="006E4BE1">
        <w:rPr>
          <w:rFonts w:cs="Arial"/>
          <w:sz w:val="16"/>
          <w:szCs w:val="16"/>
          <w:vertAlign w:val="superscript"/>
          <w:lang w:val="es-ES_tradnl"/>
        </w:rPr>
        <w:t>2</w:t>
      </w:r>
    </w:p>
    <w:p w14:paraId="2F18265D"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España</w:t>
      </w:r>
      <w:r w:rsidRPr="006E4BE1">
        <w:rPr>
          <w:rStyle w:val="FootnoteReference"/>
          <w:rFonts w:cs="Arial"/>
          <w:sz w:val="16"/>
          <w:szCs w:val="16"/>
          <w:lang w:val="es-ES_tradnl"/>
        </w:rPr>
        <w:t>2</w:t>
      </w:r>
    </w:p>
    <w:p w14:paraId="1377EC4C"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Estados Unidos de América</w:t>
      </w:r>
      <w:r w:rsidRPr="006E4BE1">
        <w:rPr>
          <w:rFonts w:cs="Arial"/>
          <w:sz w:val="16"/>
          <w:szCs w:val="16"/>
          <w:vertAlign w:val="superscript"/>
          <w:lang w:val="es-ES_tradnl"/>
        </w:rPr>
        <w:t>2</w:t>
      </w:r>
    </w:p>
    <w:p w14:paraId="6C68271E"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Estonia</w:t>
      </w:r>
      <w:r w:rsidRPr="006E4BE1">
        <w:rPr>
          <w:rFonts w:cs="Arial"/>
          <w:sz w:val="16"/>
          <w:szCs w:val="16"/>
          <w:vertAlign w:val="superscript"/>
          <w:lang w:val="es-ES_tradnl"/>
        </w:rPr>
        <w:t>2</w:t>
      </w:r>
    </w:p>
    <w:p w14:paraId="25057720" w14:textId="77777777" w:rsidR="001240C5" w:rsidRPr="006E4BE1" w:rsidRDefault="00F97F1E" w:rsidP="00AE50C9">
      <w:pPr>
        <w:pStyle w:val="BodyTextKeep"/>
        <w:keepNext w:val="0"/>
        <w:spacing w:before="40" w:after="0"/>
        <w:ind w:left="142"/>
        <w:rPr>
          <w:rFonts w:ascii="Arial" w:hAnsi="Arial" w:cs="Arial"/>
          <w:sz w:val="16"/>
          <w:szCs w:val="16"/>
          <w:lang w:val="es-ES_tradnl"/>
        </w:rPr>
      </w:pPr>
      <w:r w:rsidRPr="006E4BE1">
        <w:rPr>
          <w:rFonts w:ascii="Arial" w:hAnsi="Arial" w:cs="Arial"/>
          <w:sz w:val="16"/>
          <w:szCs w:val="16"/>
          <w:lang w:val="es-ES_tradnl"/>
        </w:rPr>
        <w:t>Federación de Rusia</w:t>
      </w:r>
      <w:r w:rsidRPr="006E4BE1">
        <w:rPr>
          <w:rFonts w:ascii="Arial" w:hAnsi="Arial" w:cs="Arial"/>
          <w:sz w:val="16"/>
          <w:szCs w:val="16"/>
          <w:vertAlign w:val="superscript"/>
          <w:lang w:val="es-ES_tradnl"/>
        </w:rPr>
        <w:t>2</w:t>
      </w:r>
    </w:p>
    <w:p w14:paraId="6F062B1C"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Finlandia</w:t>
      </w:r>
      <w:r w:rsidRPr="006E4BE1">
        <w:rPr>
          <w:rStyle w:val="FootnoteReference"/>
          <w:rFonts w:cs="Arial"/>
          <w:sz w:val="16"/>
          <w:szCs w:val="16"/>
          <w:lang w:val="es-ES_tradnl"/>
        </w:rPr>
        <w:t>2</w:t>
      </w:r>
    </w:p>
    <w:p w14:paraId="4CBEDD39"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Francia</w:t>
      </w:r>
      <w:r w:rsidRPr="006E4BE1">
        <w:rPr>
          <w:rStyle w:val="FootnoteReference"/>
          <w:rFonts w:cs="Arial"/>
          <w:sz w:val="16"/>
          <w:szCs w:val="16"/>
          <w:lang w:val="es-ES_tradnl"/>
        </w:rPr>
        <w:t>2</w:t>
      </w:r>
    </w:p>
    <w:p w14:paraId="2FBD6343"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Georgia</w:t>
      </w:r>
      <w:r w:rsidRPr="006E4BE1">
        <w:rPr>
          <w:rFonts w:cs="Arial"/>
          <w:sz w:val="16"/>
          <w:szCs w:val="16"/>
          <w:vertAlign w:val="superscript"/>
          <w:lang w:val="es-ES_tradnl"/>
        </w:rPr>
        <w:t>2</w:t>
      </w:r>
    </w:p>
    <w:p w14:paraId="00460512" w14:textId="77777777" w:rsidR="001240C5" w:rsidRPr="006E4BE1" w:rsidRDefault="00F97F1E" w:rsidP="00AE50C9">
      <w:pPr>
        <w:spacing w:before="40"/>
        <w:ind w:left="142"/>
        <w:jc w:val="left"/>
        <w:rPr>
          <w:rFonts w:cs="Arial"/>
          <w:sz w:val="16"/>
          <w:szCs w:val="16"/>
          <w:lang w:val="es-ES_tradnl"/>
        </w:rPr>
      </w:pPr>
      <w:r w:rsidRPr="006E4BE1">
        <w:rPr>
          <w:rFonts w:cs="Arial"/>
          <w:sz w:val="16"/>
          <w:szCs w:val="16"/>
          <w:lang w:val="es-ES_tradnl"/>
        </w:rPr>
        <w:t>Hungría</w:t>
      </w:r>
      <w:r w:rsidRPr="006E4BE1">
        <w:rPr>
          <w:rStyle w:val="FootnoteReference"/>
          <w:rFonts w:cs="Arial"/>
          <w:sz w:val="16"/>
          <w:szCs w:val="16"/>
          <w:lang w:val="es-ES_tradnl"/>
        </w:rPr>
        <w:t>2</w:t>
      </w:r>
    </w:p>
    <w:p w14:paraId="5E37B1D2" w14:textId="77777777" w:rsidR="001240C5" w:rsidRPr="006E4BE1" w:rsidRDefault="00F97F1E" w:rsidP="00F971CD">
      <w:pPr>
        <w:spacing w:before="40"/>
        <w:ind w:left="142"/>
        <w:jc w:val="left"/>
        <w:rPr>
          <w:rFonts w:cs="Arial"/>
          <w:sz w:val="16"/>
          <w:szCs w:val="16"/>
          <w:lang w:val="es-ES_tradnl"/>
        </w:rPr>
      </w:pPr>
      <w:r w:rsidRPr="006E4BE1">
        <w:rPr>
          <w:rFonts w:cs="Arial"/>
          <w:sz w:val="16"/>
          <w:szCs w:val="16"/>
          <w:lang w:val="es-ES_tradnl"/>
        </w:rPr>
        <w:t>Irlanda</w:t>
      </w:r>
      <w:r w:rsidRPr="006E4BE1">
        <w:rPr>
          <w:rStyle w:val="FootnoteReference"/>
          <w:rFonts w:cs="Arial"/>
          <w:sz w:val="16"/>
          <w:szCs w:val="16"/>
          <w:lang w:val="es-ES_tradnl"/>
        </w:rPr>
        <w:t>2</w:t>
      </w:r>
    </w:p>
    <w:p w14:paraId="379ACDBC" w14:textId="77777777" w:rsidR="001240C5" w:rsidRPr="006E4BE1" w:rsidRDefault="00F97F1E" w:rsidP="00F971CD">
      <w:pPr>
        <w:spacing w:before="40"/>
        <w:ind w:left="142"/>
        <w:jc w:val="left"/>
        <w:rPr>
          <w:rFonts w:cs="Arial"/>
          <w:sz w:val="16"/>
          <w:szCs w:val="16"/>
          <w:lang w:val="es-ES_tradnl"/>
        </w:rPr>
      </w:pPr>
      <w:r w:rsidRPr="006E4BE1">
        <w:rPr>
          <w:rFonts w:cs="Arial"/>
          <w:sz w:val="16"/>
          <w:szCs w:val="16"/>
          <w:lang w:val="es-ES_tradnl"/>
        </w:rPr>
        <w:t>Islandia</w:t>
      </w:r>
      <w:r w:rsidRPr="006E4BE1">
        <w:rPr>
          <w:rStyle w:val="FootnoteReference"/>
          <w:rFonts w:cs="Arial"/>
          <w:sz w:val="16"/>
          <w:szCs w:val="16"/>
          <w:lang w:val="es-ES_tradnl"/>
        </w:rPr>
        <w:t>2</w:t>
      </w:r>
    </w:p>
    <w:p w14:paraId="72D8895F" w14:textId="77777777" w:rsidR="001240C5" w:rsidRPr="006E4BE1" w:rsidRDefault="00F97F1E" w:rsidP="00AE50C9">
      <w:pPr>
        <w:spacing w:before="40"/>
        <w:jc w:val="left"/>
        <w:rPr>
          <w:rFonts w:cs="Arial"/>
          <w:sz w:val="16"/>
          <w:szCs w:val="16"/>
          <w:vertAlign w:val="superscript"/>
          <w:lang w:val="es-ES_tradnl"/>
        </w:rPr>
      </w:pPr>
      <w:r w:rsidRPr="006E4BE1">
        <w:rPr>
          <w:rFonts w:cs="Arial"/>
          <w:sz w:val="16"/>
          <w:szCs w:val="16"/>
          <w:lang w:val="es-ES_tradnl"/>
        </w:rPr>
        <w:t>Israel</w:t>
      </w:r>
      <w:r w:rsidRPr="006E4BE1">
        <w:rPr>
          <w:rFonts w:cs="Arial"/>
          <w:sz w:val="16"/>
          <w:szCs w:val="16"/>
          <w:vertAlign w:val="superscript"/>
          <w:lang w:val="es-ES_tradnl"/>
        </w:rPr>
        <w:t>2</w:t>
      </w:r>
    </w:p>
    <w:p w14:paraId="3ACDCCE4"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Italia</w:t>
      </w:r>
      <w:r w:rsidRPr="006E4BE1">
        <w:rPr>
          <w:rStyle w:val="FootnoteReference"/>
          <w:rFonts w:cs="Arial"/>
          <w:sz w:val="16"/>
          <w:szCs w:val="16"/>
          <w:lang w:val="es-ES_tradnl"/>
        </w:rPr>
        <w:t>1</w:t>
      </w:r>
    </w:p>
    <w:p w14:paraId="41B13813"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Japón</w:t>
      </w:r>
      <w:r w:rsidRPr="006E4BE1">
        <w:rPr>
          <w:rFonts w:cs="Arial"/>
          <w:sz w:val="16"/>
          <w:szCs w:val="16"/>
          <w:vertAlign w:val="superscript"/>
          <w:lang w:val="es-ES_tradnl"/>
        </w:rPr>
        <w:t>2</w:t>
      </w:r>
    </w:p>
    <w:p w14:paraId="7589BAEB"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Jordania</w:t>
      </w:r>
      <w:r w:rsidRPr="006E4BE1">
        <w:rPr>
          <w:rFonts w:cs="Arial"/>
          <w:sz w:val="16"/>
          <w:szCs w:val="16"/>
          <w:vertAlign w:val="superscript"/>
          <w:lang w:val="es-ES_tradnl"/>
        </w:rPr>
        <w:t>2</w:t>
      </w:r>
    </w:p>
    <w:p w14:paraId="60266B14"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Kenya</w:t>
      </w:r>
      <w:r w:rsidRPr="006E4BE1">
        <w:rPr>
          <w:rFonts w:cs="Arial"/>
          <w:sz w:val="16"/>
          <w:szCs w:val="16"/>
          <w:vertAlign w:val="superscript"/>
          <w:lang w:val="es-ES_tradnl"/>
        </w:rPr>
        <w:t>2</w:t>
      </w:r>
    </w:p>
    <w:p w14:paraId="7F701915"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Kirguistán</w:t>
      </w:r>
      <w:r w:rsidRPr="006E4BE1">
        <w:rPr>
          <w:rFonts w:cs="Arial"/>
          <w:sz w:val="16"/>
          <w:szCs w:val="16"/>
          <w:vertAlign w:val="superscript"/>
          <w:lang w:val="es-ES_tradnl"/>
        </w:rPr>
        <w:t>2</w:t>
      </w:r>
    </w:p>
    <w:p w14:paraId="4CFB3AD2"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Letonia</w:t>
      </w:r>
      <w:r w:rsidRPr="006E4BE1">
        <w:rPr>
          <w:rFonts w:cs="Arial"/>
          <w:sz w:val="16"/>
          <w:szCs w:val="16"/>
          <w:vertAlign w:val="superscript"/>
          <w:lang w:val="es-ES_tradnl"/>
        </w:rPr>
        <w:t>2</w:t>
      </w:r>
    </w:p>
    <w:p w14:paraId="3E0E474F"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Lituania</w:t>
      </w:r>
      <w:r w:rsidRPr="006E4BE1">
        <w:rPr>
          <w:rFonts w:cs="Arial"/>
          <w:sz w:val="16"/>
          <w:szCs w:val="16"/>
          <w:vertAlign w:val="superscript"/>
          <w:lang w:val="es-ES_tradnl"/>
        </w:rPr>
        <w:t>2</w:t>
      </w:r>
    </w:p>
    <w:p w14:paraId="59C60FB5" w14:textId="77777777" w:rsidR="001240C5" w:rsidRPr="006E4BE1" w:rsidRDefault="00F97F1E" w:rsidP="00AE50C9">
      <w:pPr>
        <w:spacing w:before="40"/>
        <w:jc w:val="left"/>
        <w:rPr>
          <w:rFonts w:cs="Arial"/>
          <w:sz w:val="16"/>
          <w:szCs w:val="16"/>
          <w:vertAlign w:val="superscript"/>
          <w:lang w:val="es-ES_tradnl"/>
        </w:rPr>
      </w:pPr>
      <w:r w:rsidRPr="006E4BE1">
        <w:rPr>
          <w:rFonts w:cs="Arial"/>
          <w:sz w:val="16"/>
          <w:szCs w:val="16"/>
          <w:lang w:val="es-ES_tradnl"/>
        </w:rPr>
        <w:t>Macedonia del Norte</w:t>
      </w:r>
      <w:r w:rsidRPr="006E4BE1">
        <w:rPr>
          <w:rFonts w:cs="Arial"/>
          <w:sz w:val="16"/>
          <w:szCs w:val="16"/>
          <w:vertAlign w:val="superscript"/>
          <w:lang w:val="es-ES_tradnl"/>
        </w:rPr>
        <w:t>2</w:t>
      </w:r>
    </w:p>
    <w:p w14:paraId="527543E0"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Marruecos</w:t>
      </w:r>
      <w:r w:rsidRPr="006E4BE1">
        <w:rPr>
          <w:rStyle w:val="FootnoteReference"/>
          <w:rFonts w:cs="Arial"/>
          <w:sz w:val="16"/>
          <w:szCs w:val="16"/>
          <w:lang w:val="es-ES_tradnl"/>
        </w:rPr>
        <w:t>2</w:t>
      </w:r>
    </w:p>
    <w:p w14:paraId="2DF1D76B" w14:textId="77777777" w:rsidR="001240C5" w:rsidRPr="006E4BE1" w:rsidRDefault="00F97F1E" w:rsidP="00AE50C9">
      <w:pPr>
        <w:spacing w:before="40"/>
        <w:jc w:val="left"/>
        <w:rPr>
          <w:rFonts w:cs="Arial"/>
          <w:sz w:val="16"/>
          <w:szCs w:val="16"/>
          <w:vertAlign w:val="superscript"/>
          <w:lang w:val="es-ES_tradnl"/>
        </w:rPr>
      </w:pPr>
      <w:r w:rsidRPr="006E4BE1">
        <w:rPr>
          <w:rFonts w:cs="Arial"/>
          <w:sz w:val="16"/>
          <w:szCs w:val="16"/>
          <w:lang w:val="es-ES_tradnl"/>
        </w:rPr>
        <w:t>México</w:t>
      </w:r>
      <w:r w:rsidRPr="006E4BE1">
        <w:rPr>
          <w:rFonts w:cs="Arial"/>
          <w:sz w:val="16"/>
          <w:szCs w:val="16"/>
          <w:vertAlign w:val="superscript"/>
          <w:lang w:val="es-ES_tradnl"/>
        </w:rPr>
        <w:t>1</w:t>
      </w:r>
    </w:p>
    <w:p w14:paraId="44E90B23" w14:textId="77777777" w:rsidR="001240C5" w:rsidRPr="006E4BE1" w:rsidRDefault="00F97F1E" w:rsidP="00AE50C9">
      <w:pPr>
        <w:spacing w:before="40"/>
        <w:jc w:val="left"/>
        <w:rPr>
          <w:rFonts w:cs="Arial"/>
          <w:sz w:val="16"/>
          <w:szCs w:val="16"/>
          <w:vertAlign w:val="superscript"/>
          <w:lang w:val="es-ES_tradnl"/>
        </w:rPr>
      </w:pPr>
      <w:r w:rsidRPr="006E4BE1">
        <w:rPr>
          <w:rFonts w:cs="Arial"/>
          <w:sz w:val="16"/>
          <w:szCs w:val="16"/>
          <w:lang w:val="es-ES_tradnl"/>
        </w:rPr>
        <w:t>Montenegro</w:t>
      </w:r>
      <w:r w:rsidRPr="006E4BE1">
        <w:rPr>
          <w:rFonts w:cs="Arial"/>
          <w:sz w:val="16"/>
          <w:szCs w:val="16"/>
          <w:vertAlign w:val="superscript"/>
          <w:lang w:val="es-ES_tradnl"/>
        </w:rPr>
        <w:t>2</w:t>
      </w:r>
    </w:p>
    <w:p w14:paraId="7AF64FEE"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Nicaragua</w:t>
      </w:r>
      <w:r w:rsidRPr="006E4BE1">
        <w:rPr>
          <w:rFonts w:cs="Arial"/>
          <w:sz w:val="16"/>
          <w:szCs w:val="16"/>
          <w:vertAlign w:val="superscript"/>
          <w:lang w:val="es-ES_tradnl"/>
        </w:rPr>
        <w:t>1</w:t>
      </w:r>
    </w:p>
    <w:p w14:paraId="09A4960F"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Noruega</w:t>
      </w:r>
      <w:r w:rsidRPr="006E4BE1">
        <w:rPr>
          <w:rStyle w:val="FootnoteReference"/>
          <w:rFonts w:cs="Arial"/>
          <w:sz w:val="16"/>
          <w:szCs w:val="16"/>
          <w:lang w:val="es-ES_tradnl"/>
        </w:rPr>
        <w:t>1</w:t>
      </w:r>
    </w:p>
    <w:p w14:paraId="29258761"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Nueva Zelandia</w:t>
      </w:r>
      <w:r w:rsidRPr="006E4BE1">
        <w:rPr>
          <w:rStyle w:val="FootnoteReference"/>
          <w:rFonts w:cs="Arial"/>
          <w:sz w:val="16"/>
          <w:szCs w:val="16"/>
          <w:lang w:val="es-ES_tradnl"/>
        </w:rPr>
        <w:t>1</w:t>
      </w:r>
    </w:p>
    <w:p w14:paraId="3F5E37E1"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Omán</w:t>
      </w:r>
      <w:r w:rsidRPr="006E4BE1">
        <w:rPr>
          <w:rFonts w:cs="Arial"/>
          <w:sz w:val="16"/>
          <w:szCs w:val="16"/>
          <w:vertAlign w:val="superscript"/>
          <w:lang w:val="es-ES_tradnl"/>
        </w:rPr>
        <w:t>2</w:t>
      </w:r>
    </w:p>
    <w:p w14:paraId="3D80F76E"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Organización Africana de la Propiedad Intelectual</w:t>
      </w:r>
      <w:r w:rsidRPr="006E4BE1">
        <w:rPr>
          <w:rFonts w:cs="Arial"/>
          <w:sz w:val="16"/>
          <w:szCs w:val="16"/>
          <w:vertAlign w:val="superscript"/>
          <w:lang w:val="es-ES_tradnl"/>
        </w:rPr>
        <w:t>2, 4</w:t>
      </w:r>
    </w:p>
    <w:p w14:paraId="171750C8"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Países Bajos</w:t>
      </w:r>
      <w:r w:rsidRPr="006E4BE1">
        <w:rPr>
          <w:rFonts w:cs="Arial"/>
          <w:sz w:val="16"/>
          <w:szCs w:val="16"/>
          <w:vertAlign w:val="superscript"/>
          <w:lang w:val="es-ES_tradnl"/>
        </w:rPr>
        <w:t>2</w:t>
      </w:r>
    </w:p>
    <w:p w14:paraId="553EE41E" w14:textId="77777777" w:rsidR="001240C5" w:rsidRPr="006E4BE1" w:rsidRDefault="00F97F1E" w:rsidP="00AE50C9">
      <w:pPr>
        <w:spacing w:before="40"/>
        <w:jc w:val="left"/>
        <w:rPr>
          <w:rFonts w:cs="Arial"/>
          <w:sz w:val="16"/>
          <w:szCs w:val="16"/>
          <w:vertAlign w:val="superscript"/>
          <w:lang w:val="es-ES_tradnl"/>
        </w:rPr>
      </w:pPr>
      <w:r w:rsidRPr="006E4BE1">
        <w:rPr>
          <w:rFonts w:cs="Arial"/>
          <w:sz w:val="16"/>
          <w:szCs w:val="16"/>
          <w:lang w:val="es-ES_tradnl"/>
        </w:rPr>
        <w:t>Panamá</w:t>
      </w:r>
      <w:r w:rsidRPr="006E4BE1">
        <w:rPr>
          <w:rFonts w:cs="Arial"/>
          <w:sz w:val="16"/>
          <w:szCs w:val="16"/>
          <w:vertAlign w:val="superscript"/>
          <w:lang w:val="es-ES_tradnl"/>
        </w:rPr>
        <w:t>2</w:t>
      </w:r>
    </w:p>
    <w:p w14:paraId="0040320A"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Paraguay</w:t>
      </w:r>
      <w:r w:rsidRPr="006E4BE1">
        <w:rPr>
          <w:rFonts w:cs="Arial"/>
          <w:sz w:val="16"/>
          <w:szCs w:val="16"/>
          <w:vertAlign w:val="superscript"/>
          <w:lang w:val="es-ES_tradnl"/>
        </w:rPr>
        <w:t>1</w:t>
      </w:r>
    </w:p>
    <w:p w14:paraId="6D6AEBE2"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Perú</w:t>
      </w:r>
      <w:r w:rsidRPr="006E4BE1">
        <w:rPr>
          <w:rFonts w:cs="Arial"/>
          <w:sz w:val="16"/>
          <w:szCs w:val="16"/>
          <w:vertAlign w:val="superscript"/>
          <w:lang w:val="es-ES_tradnl"/>
        </w:rPr>
        <w:t>2</w:t>
      </w:r>
    </w:p>
    <w:p w14:paraId="1899A3BB" w14:textId="77777777" w:rsidR="001240C5" w:rsidRPr="006E4BE1" w:rsidRDefault="00F97F1E" w:rsidP="00AE50C9">
      <w:pPr>
        <w:pStyle w:val="BodyTextKeep"/>
        <w:keepNext w:val="0"/>
        <w:spacing w:before="40" w:after="0"/>
        <w:rPr>
          <w:rFonts w:ascii="Arial" w:hAnsi="Arial" w:cs="Arial"/>
          <w:sz w:val="16"/>
          <w:szCs w:val="16"/>
          <w:vertAlign w:val="superscript"/>
          <w:lang w:val="es-ES_tradnl"/>
        </w:rPr>
      </w:pPr>
      <w:r w:rsidRPr="006E4BE1">
        <w:rPr>
          <w:rFonts w:ascii="Arial" w:hAnsi="Arial" w:cs="Arial"/>
          <w:sz w:val="16"/>
          <w:szCs w:val="16"/>
          <w:lang w:val="es-ES_tradnl"/>
        </w:rPr>
        <w:t>Polonia</w:t>
      </w:r>
      <w:r w:rsidRPr="006E4BE1">
        <w:rPr>
          <w:rStyle w:val="FootnoteReference"/>
          <w:rFonts w:cs="Arial"/>
          <w:sz w:val="16"/>
          <w:szCs w:val="16"/>
          <w:lang w:val="es-ES_tradnl"/>
        </w:rPr>
        <w:t>2</w:t>
      </w:r>
    </w:p>
    <w:p w14:paraId="609A8F33" w14:textId="77777777" w:rsidR="001240C5" w:rsidRPr="006E4BE1" w:rsidRDefault="00F97F1E" w:rsidP="00AE50C9">
      <w:pPr>
        <w:pStyle w:val="BodyTextKeep"/>
        <w:keepNext w:val="0"/>
        <w:spacing w:before="40" w:after="0"/>
        <w:rPr>
          <w:rFonts w:ascii="Arial" w:hAnsi="Arial" w:cs="Arial"/>
          <w:sz w:val="16"/>
          <w:szCs w:val="16"/>
          <w:vertAlign w:val="superscript"/>
          <w:lang w:val="es-ES_tradnl"/>
        </w:rPr>
      </w:pPr>
      <w:r w:rsidRPr="006E4BE1">
        <w:rPr>
          <w:rFonts w:ascii="Arial" w:hAnsi="Arial" w:cs="Arial"/>
          <w:sz w:val="16"/>
          <w:szCs w:val="16"/>
          <w:lang w:val="es-ES_tradnl"/>
        </w:rPr>
        <w:t>Portugal</w:t>
      </w:r>
      <w:r w:rsidRPr="006E4BE1">
        <w:rPr>
          <w:rFonts w:ascii="Arial" w:hAnsi="Arial" w:cs="Arial"/>
          <w:sz w:val="16"/>
          <w:szCs w:val="16"/>
          <w:vertAlign w:val="superscript"/>
          <w:lang w:val="es-ES_tradnl"/>
        </w:rPr>
        <w:t>1</w:t>
      </w:r>
    </w:p>
    <w:p w14:paraId="27105C91"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Reino Unido</w:t>
      </w:r>
      <w:r w:rsidRPr="006E4BE1">
        <w:rPr>
          <w:rFonts w:cs="Arial"/>
          <w:sz w:val="16"/>
          <w:szCs w:val="16"/>
          <w:vertAlign w:val="superscript"/>
          <w:lang w:val="es-ES_tradnl"/>
        </w:rPr>
        <w:t>2</w:t>
      </w:r>
    </w:p>
    <w:p w14:paraId="782B2AA3"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República Checa</w:t>
      </w:r>
      <w:r w:rsidRPr="006E4BE1">
        <w:rPr>
          <w:rFonts w:cs="Arial"/>
          <w:sz w:val="16"/>
          <w:szCs w:val="16"/>
          <w:vertAlign w:val="superscript"/>
          <w:lang w:val="es-ES_tradnl"/>
        </w:rPr>
        <w:t>2</w:t>
      </w:r>
    </w:p>
    <w:p w14:paraId="1211A17C" w14:textId="77777777" w:rsidR="001240C5" w:rsidRPr="006E4BE1" w:rsidRDefault="00F97F1E" w:rsidP="00AE50C9">
      <w:pPr>
        <w:pStyle w:val="BodyTextKeep"/>
        <w:keepNext w:val="0"/>
        <w:spacing w:before="40" w:after="0"/>
        <w:rPr>
          <w:rFonts w:ascii="Arial" w:hAnsi="Arial" w:cs="Arial"/>
          <w:sz w:val="16"/>
          <w:szCs w:val="16"/>
          <w:vertAlign w:val="superscript"/>
          <w:lang w:val="es-ES_tradnl"/>
        </w:rPr>
      </w:pPr>
      <w:r w:rsidRPr="006E4BE1">
        <w:rPr>
          <w:rFonts w:ascii="Arial" w:hAnsi="Arial" w:cs="Arial"/>
          <w:sz w:val="16"/>
          <w:szCs w:val="16"/>
          <w:lang w:val="es-ES_tradnl"/>
        </w:rPr>
        <w:t>República de Corea</w:t>
      </w:r>
      <w:r w:rsidRPr="006E4BE1">
        <w:rPr>
          <w:rFonts w:ascii="Arial" w:hAnsi="Arial" w:cs="Arial"/>
          <w:sz w:val="16"/>
          <w:szCs w:val="16"/>
          <w:vertAlign w:val="superscript"/>
          <w:lang w:val="es-ES_tradnl"/>
        </w:rPr>
        <w:t>2</w:t>
      </w:r>
    </w:p>
    <w:p w14:paraId="6BA92572" w14:textId="77777777" w:rsidR="001240C5" w:rsidRPr="006E4BE1" w:rsidRDefault="00F97F1E" w:rsidP="00AE50C9">
      <w:pPr>
        <w:pStyle w:val="BodyTextKeep"/>
        <w:keepNext w:val="0"/>
        <w:spacing w:before="40" w:after="0"/>
        <w:rPr>
          <w:rFonts w:ascii="Arial" w:hAnsi="Arial" w:cs="Arial"/>
          <w:sz w:val="16"/>
          <w:szCs w:val="16"/>
          <w:vertAlign w:val="superscript"/>
          <w:lang w:val="es-ES_tradnl"/>
        </w:rPr>
      </w:pPr>
      <w:r w:rsidRPr="006E4BE1">
        <w:rPr>
          <w:rFonts w:ascii="Arial" w:hAnsi="Arial" w:cs="Arial"/>
          <w:sz w:val="16"/>
          <w:szCs w:val="16"/>
          <w:lang w:val="es-ES_tradnl"/>
        </w:rPr>
        <w:t>República de Moldova</w:t>
      </w:r>
      <w:r w:rsidRPr="006E4BE1">
        <w:rPr>
          <w:rFonts w:ascii="Arial" w:hAnsi="Arial" w:cs="Arial"/>
          <w:sz w:val="16"/>
          <w:szCs w:val="16"/>
          <w:vertAlign w:val="superscript"/>
          <w:lang w:val="es-ES_tradnl"/>
        </w:rPr>
        <w:t>2</w:t>
      </w:r>
    </w:p>
    <w:p w14:paraId="6D91A11D" w14:textId="77777777" w:rsidR="001240C5" w:rsidRPr="006E4BE1" w:rsidRDefault="00F97F1E" w:rsidP="00AE50C9">
      <w:pPr>
        <w:spacing w:before="40"/>
        <w:jc w:val="left"/>
        <w:rPr>
          <w:rFonts w:cs="Arial"/>
          <w:sz w:val="16"/>
          <w:szCs w:val="16"/>
          <w:lang w:val="es-ES_tradnl"/>
        </w:rPr>
      </w:pPr>
      <w:r w:rsidRPr="006E4BE1">
        <w:rPr>
          <w:rFonts w:cs="Arial"/>
          <w:sz w:val="16"/>
          <w:szCs w:val="16"/>
          <w:lang w:val="es-ES_tradnl"/>
        </w:rPr>
        <w:t>República Dominicana</w:t>
      </w:r>
      <w:r w:rsidRPr="006E4BE1">
        <w:rPr>
          <w:rFonts w:cs="Arial"/>
          <w:sz w:val="16"/>
          <w:szCs w:val="16"/>
          <w:vertAlign w:val="superscript"/>
          <w:lang w:val="es-ES_tradnl"/>
        </w:rPr>
        <w:t>2</w:t>
      </w:r>
    </w:p>
    <w:p w14:paraId="2BA6BD69" w14:textId="77777777" w:rsidR="001240C5" w:rsidRPr="006E4BE1" w:rsidRDefault="00F97F1E" w:rsidP="00AF2567">
      <w:pPr>
        <w:spacing w:before="40"/>
        <w:jc w:val="left"/>
        <w:rPr>
          <w:rFonts w:cs="Arial"/>
          <w:sz w:val="16"/>
          <w:szCs w:val="16"/>
          <w:lang w:val="es-ES_tradnl"/>
        </w:rPr>
      </w:pPr>
      <w:r w:rsidRPr="006E4BE1">
        <w:rPr>
          <w:rFonts w:cs="Arial"/>
          <w:sz w:val="16"/>
          <w:szCs w:val="16"/>
          <w:lang w:val="es-ES_tradnl"/>
        </w:rPr>
        <w:t>República Unida de Tanzanía</w:t>
      </w:r>
      <w:r w:rsidRPr="006E4BE1">
        <w:rPr>
          <w:rFonts w:cs="Arial"/>
          <w:sz w:val="16"/>
          <w:szCs w:val="16"/>
          <w:vertAlign w:val="superscript"/>
          <w:lang w:val="es-ES_tradnl"/>
        </w:rPr>
        <w:t>2</w:t>
      </w:r>
    </w:p>
    <w:p w14:paraId="10B0EE90" w14:textId="77777777" w:rsidR="001240C5" w:rsidRPr="006E4BE1" w:rsidRDefault="00F97F1E" w:rsidP="00AF2567">
      <w:pPr>
        <w:spacing w:before="40"/>
        <w:jc w:val="left"/>
        <w:rPr>
          <w:rFonts w:cs="Arial"/>
          <w:sz w:val="16"/>
          <w:szCs w:val="16"/>
          <w:vertAlign w:val="superscript"/>
          <w:lang w:val="es-ES_tradnl"/>
        </w:rPr>
      </w:pPr>
      <w:r w:rsidRPr="006E4BE1">
        <w:rPr>
          <w:rFonts w:cs="Arial"/>
          <w:sz w:val="16"/>
          <w:szCs w:val="16"/>
          <w:lang w:val="es-ES_tradnl"/>
        </w:rPr>
        <w:t>Rumania</w:t>
      </w:r>
      <w:r w:rsidRPr="006E4BE1">
        <w:rPr>
          <w:rFonts w:cs="Arial"/>
          <w:sz w:val="16"/>
          <w:szCs w:val="16"/>
          <w:vertAlign w:val="superscript"/>
          <w:lang w:val="es-ES_tradnl"/>
        </w:rPr>
        <w:t>2</w:t>
      </w:r>
    </w:p>
    <w:p w14:paraId="3737EEE1" w14:textId="08D6F4C6" w:rsidR="00AF2567" w:rsidRPr="006E4BE1" w:rsidRDefault="00AF2567" w:rsidP="00AE50C9">
      <w:pPr>
        <w:pStyle w:val="BodyTextKeep"/>
        <w:keepNext w:val="0"/>
        <w:spacing w:before="40" w:after="0"/>
        <w:ind w:left="284"/>
        <w:rPr>
          <w:rFonts w:ascii="Arial" w:hAnsi="Arial" w:cs="Arial"/>
          <w:sz w:val="16"/>
          <w:szCs w:val="16"/>
          <w:lang w:val="es-ES_tradnl"/>
        </w:rPr>
      </w:pPr>
      <w:r w:rsidRPr="006E4BE1">
        <w:rPr>
          <w:rFonts w:ascii="Arial" w:hAnsi="Arial" w:cs="Arial"/>
          <w:sz w:val="16"/>
          <w:szCs w:val="16"/>
          <w:lang w:val="es-ES_tradnl"/>
        </w:rPr>
        <w:t>San Vicente y las Granadinas</w:t>
      </w:r>
      <w:r w:rsidRPr="006E4BE1">
        <w:rPr>
          <w:rFonts w:ascii="Arial" w:hAnsi="Arial" w:cs="Arial"/>
          <w:sz w:val="16"/>
          <w:szCs w:val="16"/>
          <w:vertAlign w:val="superscript"/>
          <w:lang w:val="es-ES_tradnl"/>
        </w:rPr>
        <w:t>2</w:t>
      </w:r>
    </w:p>
    <w:p w14:paraId="5D6FF606" w14:textId="2FBE6BBD" w:rsidR="001240C5" w:rsidRPr="006E4BE1" w:rsidRDefault="00F97F1E" w:rsidP="00AE50C9">
      <w:pPr>
        <w:pStyle w:val="BodyTextKeep"/>
        <w:keepNext w:val="0"/>
        <w:spacing w:before="40" w:after="0"/>
        <w:ind w:left="284"/>
        <w:rPr>
          <w:rFonts w:ascii="Arial" w:hAnsi="Arial" w:cs="Arial"/>
          <w:sz w:val="16"/>
          <w:szCs w:val="16"/>
          <w:lang w:val="es-ES_tradnl"/>
        </w:rPr>
      </w:pPr>
      <w:r w:rsidRPr="006E4BE1">
        <w:rPr>
          <w:rFonts w:ascii="Arial" w:hAnsi="Arial" w:cs="Arial"/>
          <w:sz w:val="16"/>
          <w:szCs w:val="16"/>
          <w:lang w:val="es-ES_tradnl"/>
        </w:rPr>
        <w:t>Serbia</w:t>
      </w:r>
      <w:r w:rsidRPr="006E4BE1">
        <w:rPr>
          <w:rFonts w:ascii="Arial" w:hAnsi="Arial" w:cs="Arial"/>
          <w:sz w:val="16"/>
          <w:szCs w:val="16"/>
          <w:vertAlign w:val="superscript"/>
          <w:lang w:val="es-ES_tradnl"/>
        </w:rPr>
        <w:t>2</w:t>
      </w:r>
    </w:p>
    <w:p w14:paraId="09857252" w14:textId="77777777" w:rsidR="001240C5" w:rsidRPr="006E4BE1" w:rsidRDefault="00F97F1E" w:rsidP="00AE50C9">
      <w:pPr>
        <w:pStyle w:val="BodyTextKeep"/>
        <w:keepNext w:val="0"/>
        <w:spacing w:before="40" w:after="0"/>
        <w:ind w:left="284"/>
        <w:rPr>
          <w:rFonts w:ascii="Arial" w:hAnsi="Arial" w:cs="Arial"/>
          <w:sz w:val="16"/>
          <w:szCs w:val="16"/>
          <w:lang w:val="es-ES_tradnl"/>
        </w:rPr>
      </w:pPr>
      <w:r w:rsidRPr="006E4BE1">
        <w:rPr>
          <w:rFonts w:ascii="Arial" w:hAnsi="Arial" w:cs="Arial"/>
          <w:sz w:val="16"/>
          <w:szCs w:val="16"/>
          <w:lang w:val="es-ES_tradnl"/>
        </w:rPr>
        <w:t>Singapur</w:t>
      </w:r>
      <w:r w:rsidRPr="006E4BE1">
        <w:rPr>
          <w:rFonts w:ascii="Arial" w:hAnsi="Arial" w:cs="Arial"/>
          <w:sz w:val="16"/>
          <w:szCs w:val="16"/>
          <w:vertAlign w:val="superscript"/>
          <w:lang w:val="es-ES_tradnl"/>
        </w:rPr>
        <w:t>2</w:t>
      </w:r>
    </w:p>
    <w:p w14:paraId="33E341CF" w14:textId="77777777" w:rsidR="001240C5" w:rsidRPr="006E4BE1" w:rsidRDefault="00F97F1E" w:rsidP="00AE50C9">
      <w:pPr>
        <w:spacing w:before="40"/>
        <w:ind w:left="284"/>
        <w:jc w:val="left"/>
        <w:rPr>
          <w:rFonts w:cs="Arial"/>
          <w:sz w:val="16"/>
          <w:szCs w:val="16"/>
          <w:lang w:val="es-ES_tradnl"/>
        </w:rPr>
      </w:pPr>
      <w:r w:rsidRPr="006E4BE1">
        <w:rPr>
          <w:rFonts w:cs="Arial"/>
          <w:sz w:val="16"/>
          <w:szCs w:val="16"/>
          <w:lang w:val="es-ES_tradnl"/>
        </w:rPr>
        <w:t>Sudáfrica</w:t>
      </w:r>
      <w:r w:rsidRPr="006E4BE1">
        <w:rPr>
          <w:rStyle w:val="FootnoteReference"/>
          <w:rFonts w:cs="Arial"/>
          <w:sz w:val="16"/>
          <w:szCs w:val="16"/>
          <w:lang w:val="es-ES_tradnl"/>
        </w:rPr>
        <w:t>1</w:t>
      </w:r>
    </w:p>
    <w:p w14:paraId="0049DFE5" w14:textId="77777777" w:rsidR="001240C5" w:rsidRPr="006E4BE1" w:rsidRDefault="00F97F1E" w:rsidP="00AE50C9">
      <w:pPr>
        <w:pStyle w:val="BodyTextKeep"/>
        <w:keepNext w:val="0"/>
        <w:spacing w:before="40" w:after="0"/>
        <w:ind w:left="284"/>
        <w:rPr>
          <w:rFonts w:ascii="Arial" w:hAnsi="Arial" w:cs="Arial"/>
          <w:sz w:val="16"/>
          <w:szCs w:val="16"/>
          <w:lang w:val="es-ES_tradnl"/>
        </w:rPr>
      </w:pPr>
      <w:r w:rsidRPr="006E4BE1">
        <w:rPr>
          <w:rFonts w:ascii="Arial" w:hAnsi="Arial" w:cs="Arial"/>
          <w:sz w:val="16"/>
          <w:szCs w:val="16"/>
          <w:lang w:val="es-ES_tradnl"/>
        </w:rPr>
        <w:t>Suecia</w:t>
      </w:r>
      <w:r w:rsidRPr="006E4BE1">
        <w:rPr>
          <w:rFonts w:ascii="Arial" w:hAnsi="Arial" w:cs="Arial"/>
          <w:sz w:val="16"/>
          <w:szCs w:val="16"/>
          <w:vertAlign w:val="superscript"/>
          <w:lang w:val="es-ES_tradnl"/>
        </w:rPr>
        <w:t>2</w:t>
      </w:r>
    </w:p>
    <w:p w14:paraId="1B3F33BF" w14:textId="77777777" w:rsidR="001240C5" w:rsidRPr="006E4BE1" w:rsidRDefault="00F97F1E" w:rsidP="00AE50C9">
      <w:pPr>
        <w:spacing w:before="40"/>
        <w:ind w:left="284"/>
        <w:jc w:val="left"/>
        <w:rPr>
          <w:rFonts w:cs="Arial"/>
          <w:sz w:val="16"/>
          <w:szCs w:val="16"/>
          <w:lang w:val="es-ES_tradnl"/>
        </w:rPr>
      </w:pPr>
      <w:r w:rsidRPr="006E4BE1">
        <w:rPr>
          <w:rFonts w:cs="Arial"/>
          <w:sz w:val="16"/>
          <w:szCs w:val="16"/>
          <w:lang w:val="es-ES_tradnl"/>
        </w:rPr>
        <w:t>Suiza</w:t>
      </w:r>
      <w:r w:rsidRPr="006E4BE1">
        <w:rPr>
          <w:rFonts w:cs="Arial"/>
          <w:sz w:val="16"/>
          <w:szCs w:val="16"/>
          <w:vertAlign w:val="superscript"/>
          <w:lang w:val="es-ES_tradnl"/>
        </w:rPr>
        <w:t>2</w:t>
      </w:r>
    </w:p>
    <w:p w14:paraId="34BCCF4E" w14:textId="77777777" w:rsidR="001240C5" w:rsidRPr="006E4BE1" w:rsidRDefault="00F97F1E" w:rsidP="00AE50C9">
      <w:pPr>
        <w:spacing w:before="40"/>
        <w:ind w:left="284"/>
        <w:jc w:val="left"/>
        <w:rPr>
          <w:rFonts w:cs="Arial"/>
          <w:sz w:val="16"/>
          <w:szCs w:val="16"/>
          <w:lang w:val="es-ES_tradnl"/>
        </w:rPr>
      </w:pPr>
      <w:r w:rsidRPr="006E4BE1">
        <w:rPr>
          <w:rFonts w:cs="Arial"/>
          <w:sz w:val="16"/>
          <w:szCs w:val="16"/>
          <w:lang w:val="es-ES_tradnl"/>
        </w:rPr>
        <w:t>Trinidad y Tabago</w:t>
      </w:r>
      <w:r w:rsidRPr="006E4BE1">
        <w:rPr>
          <w:rFonts w:cs="Arial"/>
          <w:sz w:val="16"/>
          <w:szCs w:val="16"/>
          <w:vertAlign w:val="superscript"/>
          <w:lang w:val="es-ES_tradnl"/>
        </w:rPr>
        <w:t>1</w:t>
      </w:r>
    </w:p>
    <w:p w14:paraId="532414B2" w14:textId="77777777" w:rsidR="001240C5" w:rsidRPr="006E4BE1" w:rsidRDefault="00F97F1E" w:rsidP="00AE50C9">
      <w:pPr>
        <w:spacing w:before="40"/>
        <w:ind w:left="284"/>
        <w:jc w:val="left"/>
        <w:rPr>
          <w:rFonts w:cs="Arial"/>
          <w:sz w:val="16"/>
          <w:szCs w:val="16"/>
          <w:lang w:val="es-ES_tradnl"/>
        </w:rPr>
      </w:pPr>
      <w:r w:rsidRPr="006E4BE1">
        <w:rPr>
          <w:rFonts w:cs="Arial"/>
          <w:sz w:val="16"/>
          <w:szCs w:val="16"/>
          <w:lang w:val="es-ES_tradnl"/>
        </w:rPr>
        <w:t>Túnez</w:t>
      </w:r>
      <w:r w:rsidRPr="006E4BE1">
        <w:rPr>
          <w:rFonts w:cs="Arial"/>
          <w:sz w:val="16"/>
          <w:szCs w:val="16"/>
          <w:vertAlign w:val="superscript"/>
          <w:lang w:val="es-ES_tradnl"/>
        </w:rPr>
        <w:t>2</w:t>
      </w:r>
    </w:p>
    <w:p w14:paraId="2C550A17" w14:textId="77777777" w:rsidR="001240C5" w:rsidRPr="006E4BE1" w:rsidRDefault="00F97F1E" w:rsidP="00AE50C9">
      <w:pPr>
        <w:spacing w:before="40"/>
        <w:ind w:left="284"/>
        <w:jc w:val="left"/>
        <w:rPr>
          <w:rFonts w:cs="Arial"/>
          <w:sz w:val="16"/>
          <w:szCs w:val="16"/>
          <w:lang w:val="es-ES_tradnl"/>
        </w:rPr>
      </w:pPr>
      <w:r w:rsidRPr="006E4BE1">
        <w:rPr>
          <w:rFonts w:cs="Arial"/>
          <w:sz w:val="16"/>
          <w:szCs w:val="16"/>
          <w:lang w:val="es-ES_tradnl"/>
        </w:rPr>
        <w:t>Turquía</w:t>
      </w:r>
      <w:r w:rsidRPr="006E4BE1">
        <w:rPr>
          <w:rFonts w:cs="Arial"/>
          <w:sz w:val="16"/>
          <w:szCs w:val="16"/>
          <w:vertAlign w:val="superscript"/>
          <w:lang w:val="es-ES_tradnl"/>
        </w:rPr>
        <w:t>2</w:t>
      </w:r>
    </w:p>
    <w:p w14:paraId="644735AF" w14:textId="77777777" w:rsidR="001240C5" w:rsidRPr="006E4BE1" w:rsidRDefault="00F97F1E" w:rsidP="00AE50C9">
      <w:pPr>
        <w:spacing w:before="40"/>
        <w:ind w:left="284"/>
        <w:jc w:val="left"/>
        <w:rPr>
          <w:rFonts w:cs="Arial"/>
          <w:sz w:val="16"/>
          <w:szCs w:val="16"/>
          <w:lang w:val="es-ES_tradnl"/>
        </w:rPr>
      </w:pPr>
      <w:r w:rsidRPr="006E4BE1">
        <w:rPr>
          <w:rFonts w:cs="Arial"/>
          <w:sz w:val="16"/>
          <w:szCs w:val="16"/>
          <w:lang w:val="es-ES_tradnl"/>
        </w:rPr>
        <w:t>Ucrania</w:t>
      </w:r>
      <w:r w:rsidRPr="006E4BE1">
        <w:rPr>
          <w:rFonts w:cs="Arial"/>
          <w:sz w:val="16"/>
          <w:szCs w:val="16"/>
          <w:vertAlign w:val="superscript"/>
          <w:lang w:val="es-ES_tradnl"/>
        </w:rPr>
        <w:t>2</w:t>
      </w:r>
    </w:p>
    <w:p w14:paraId="2263078E" w14:textId="77777777" w:rsidR="001240C5" w:rsidRPr="006E4BE1" w:rsidRDefault="00F97F1E" w:rsidP="00AE50C9">
      <w:pPr>
        <w:spacing w:before="40"/>
        <w:ind w:left="284"/>
        <w:jc w:val="left"/>
        <w:rPr>
          <w:rFonts w:cs="Arial"/>
          <w:sz w:val="16"/>
          <w:szCs w:val="16"/>
          <w:vertAlign w:val="superscript"/>
          <w:lang w:val="es-ES_tradnl"/>
        </w:rPr>
      </w:pPr>
      <w:r w:rsidRPr="006E4BE1">
        <w:rPr>
          <w:rFonts w:cs="Arial"/>
          <w:sz w:val="16"/>
          <w:szCs w:val="16"/>
          <w:lang w:val="es-ES_tradnl"/>
        </w:rPr>
        <w:t>Unión Europea</w:t>
      </w:r>
      <w:r w:rsidRPr="006E4BE1">
        <w:rPr>
          <w:rFonts w:cs="Arial"/>
          <w:sz w:val="16"/>
          <w:szCs w:val="16"/>
          <w:vertAlign w:val="superscript"/>
          <w:lang w:val="es-ES_tradnl"/>
        </w:rPr>
        <w:t>2, 3</w:t>
      </w:r>
    </w:p>
    <w:p w14:paraId="5A047DE9" w14:textId="77777777" w:rsidR="001240C5" w:rsidRPr="006E4BE1" w:rsidRDefault="00F97F1E" w:rsidP="00AE50C9">
      <w:pPr>
        <w:spacing w:before="40"/>
        <w:ind w:left="284"/>
        <w:jc w:val="left"/>
        <w:rPr>
          <w:rFonts w:cs="Arial"/>
          <w:sz w:val="16"/>
          <w:szCs w:val="16"/>
          <w:lang w:val="es-ES_tradnl"/>
        </w:rPr>
      </w:pPr>
      <w:r w:rsidRPr="006E4BE1">
        <w:rPr>
          <w:rFonts w:cs="Arial"/>
          <w:sz w:val="16"/>
          <w:szCs w:val="16"/>
          <w:lang w:val="es-ES_tradnl"/>
        </w:rPr>
        <w:t>Uruguay</w:t>
      </w:r>
      <w:r w:rsidRPr="006E4BE1">
        <w:rPr>
          <w:rFonts w:cs="Arial"/>
          <w:sz w:val="16"/>
          <w:szCs w:val="16"/>
          <w:vertAlign w:val="superscript"/>
          <w:lang w:val="es-ES_tradnl"/>
        </w:rPr>
        <w:t>1</w:t>
      </w:r>
    </w:p>
    <w:p w14:paraId="540D37F5" w14:textId="77777777" w:rsidR="001240C5" w:rsidRPr="006E4BE1" w:rsidRDefault="00F97F1E" w:rsidP="00AE50C9">
      <w:pPr>
        <w:spacing w:before="40"/>
        <w:ind w:left="284"/>
        <w:jc w:val="left"/>
        <w:rPr>
          <w:rFonts w:cs="Arial"/>
          <w:sz w:val="16"/>
          <w:szCs w:val="16"/>
          <w:lang w:val="es-ES_tradnl"/>
        </w:rPr>
      </w:pPr>
      <w:r w:rsidRPr="006E4BE1">
        <w:rPr>
          <w:rFonts w:cs="Arial"/>
          <w:sz w:val="16"/>
          <w:szCs w:val="16"/>
          <w:lang w:val="es-ES_tradnl"/>
        </w:rPr>
        <w:t>Uzbekistán</w:t>
      </w:r>
      <w:r w:rsidRPr="006E4BE1">
        <w:rPr>
          <w:rFonts w:cs="Arial"/>
          <w:sz w:val="16"/>
          <w:szCs w:val="16"/>
          <w:vertAlign w:val="superscript"/>
          <w:lang w:val="es-ES_tradnl"/>
        </w:rPr>
        <w:t>2</w:t>
      </w:r>
    </w:p>
    <w:p w14:paraId="23AE8AEE" w14:textId="77777777" w:rsidR="001240C5" w:rsidRPr="006E4BE1" w:rsidRDefault="00F97F1E" w:rsidP="00AE50C9">
      <w:pPr>
        <w:spacing w:before="40"/>
        <w:ind w:left="284"/>
        <w:jc w:val="left"/>
        <w:rPr>
          <w:rFonts w:cs="Arial"/>
          <w:sz w:val="16"/>
          <w:szCs w:val="16"/>
          <w:lang w:val="es-ES_tradnl"/>
        </w:rPr>
      </w:pPr>
      <w:r w:rsidRPr="006E4BE1">
        <w:rPr>
          <w:rFonts w:cs="Arial"/>
          <w:sz w:val="16"/>
          <w:szCs w:val="16"/>
          <w:lang w:val="es-ES_tradnl"/>
        </w:rPr>
        <w:t>Viet Nam</w:t>
      </w:r>
      <w:r w:rsidRPr="006E4BE1">
        <w:rPr>
          <w:rFonts w:cs="Arial"/>
          <w:sz w:val="16"/>
          <w:szCs w:val="16"/>
          <w:vertAlign w:val="superscript"/>
          <w:lang w:val="es-ES_tradnl"/>
        </w:rPr>
        <w:t>2</w:t>
      </w:r>
      <w:r w:rsidRPr="006E4BE1">
        <w:rPr>
          <w:noProof/>
        </w:rPr>
        <mc:AlternateContent>
          <mc:Choice Requires="wps">
            <w:drawing>
              <wp:anchor distT="0" distB="0" distL="114300" distR="114300" simplePos="0" relativeHeight="251659264" behindDoc="0" locked="0" layoutInCell="0" allowOverlap="1" wp14:anchorId="4C4607CD" wp14:editId="35A633F1">
                <wp:simplePos x="0" y="0"/>
                <wp:positionH relativeFrom="column">
                  <wp:posOffset>535305</wp:posOffset>
                </wp:positionH>
                <wp:positionV relativeFrom="paragraph">
                  <wp:posOffset>367665</wp:posOffset>
                </wp:positionV>
                <wp:extent cx="892175" cy="228600"/>
                <wp:effectExtent l="0" t="0"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5850" w14:textId="3F23F80C" w:rsidR="009C0981" w:rsidRDefault="009C0981" w:rsidP="00F97F1E">
                            <w:pPr>
                              <w:ind w:right="53"/>
                              <w:jc w:val="right"/>
                              <w:rPr>
                                <w:rFonts w:cs="Arial"/>
                              </w:rPr>
                            </w:pPr>
                            <w:r>
                              <w:rPr>
                                <w:rFonts w:cs="Arial"/>
                                <w:sz w:val="16"/>
                                <w:szCs w:val="16"/>
                              </w:rPr>
                              <w:t>(Total 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607CD" id="_x0000_t202" coordsize="21600,21600" o:spt="202" path="m,l,21600r21600,l21600,xe">
                <v:stroke joinstyle="miter"/>
                <v:path gradientshapeok="t" o:connecttype="rect"/>
              </v:shapetype>
              <v:shape id="Text Box 16" o:spid="_x0000_s1026" type="#_x0000_t202" style="position:absolute;left:0;text-align:left;margin-left:42.15pt;margin-top:28.95pt;width:7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FrgIAAKo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" o:allowincell="f" filled="f" stroked="f">
                <v:textbox inset="0,0,0,0">
                  <w:txbxContent>
                    <w:p w14:paraId="399F5850" w14:textId="3F23F80C" w:rsidR="009C0981" w:rsidRDefault="009C0981" w:rsidP="00F97F1E">
                      <w:pPr>
                        <w:ind w:right="53"/>
                        <w:jc w:val="right"/>
                        <w:rPr>
                          <w:rFonts w:cs="Arial"/>
                        </w:rPr>
                      </w:pPr>
                      <w:r>
                        <w:rPr>
                          <w:rFonts w:cs="Arial"/>
                          <w:sz w:val="16"/>
                          <w:szCs w:val="16"/>
                        </w:rPr>
                        <w:t>(Total 77)</w:t>
                      </w:r>
                    </w:p>
                  </w:txbxContent>
                </v:textbox>
              </v:shape>
            </w:pict>
          </mc:Fallback>
        </mc:AlternateContent>
      </w:r>
    </w:p>
    <w:p w14:paraId="1991B36F" w14:textId="1A28A0D3" w:rsidR="00F97F1E" w:rsidRPr="006E4BE1" w:rsidRDefault="00F97F1E" w:rsidP="00AE50C9">
      <w:pPr>
        <w:spacing w:before="40"/>
        <w:ind w:left="142"/>
        <w:rPr>
          <w:rFonts w:cs="Arial"/>
          <w:sz w:val="16"/>
          <w:szCs w:val="16"/>
          <w:lang w:val="es-ES_tradnl"/>
        </w:rPr>
        <w:sectPr w:rsidR="00F97F1E" w:rsidRPr="006E4BE1" w:rsidSect="00F7408A">
          <w:headerReference w:type="even" r:id="rId39"/>
          <w:footerReference w:type="even" r:id="rId40"/>
          <w:footerReference w:type="default" r:id="rId41"/>
          <w:headerReference w:type="first" r:id="rId42"/>
          <w:footerReference w:type="first" r:id="rId43"/>
          <w:type w:val="continuous"/>
          <w:pgSz w:w="11907" w:h="16840" w:code="9"/>
          <w:pgMar w:top="340" w:right="851" w:bottom="567" w:left="1134" w:header="510" w:footer="284" w:gutter="0"/>
          <w:cols w:num="5" w:space="1057" w:equalWidth="0">
            <w:col w:w="2478" w:space="0"/>
            <w:col w:w="1972" w:space="0"/>
            <w:col w:w="1728" w:space="0"/>
            <w:col w:w="1759" w:space="0"/>
            <w:col w:w="2268"/>
          </w:cols>
          <w:docGrid w:linePitch="272"/>
        </w:sectPr>
      </w:pPr>
    </w:p>
    <w:p w14:paraId="11525B97" w14:textId="77777777" w:rsidR="001240C5" w:rsidRPr="006E4BE1" w:rsidRDefault="001240C5" w:rsidP="00AE50C9">
      <w:pPr>
        <w:spacing w:before="40"/>
        <w:jc w:val="right"/>
        <w:rPr>
          <w:rFonts w:cs="Arial"/>
          <w:sz w:val="16"/>
          <w:szCs w:val="16"/>
          <w:lang w:val="es-ES_tradnl"/>
        </w:rPr>
      </w:pPr>
    </w:p>
    <w:p w14:paraId="033F2E89" w14:textId="77777777" w:rsidR="001240C5" w:rsidRPr="006E4BE1" w:rsidRDefault="00F97F1E" w:rsidP="00AE50C9">
      <w:pPr>
        <w:tabs>
          <w:tab w:val="left" w:pos="1418"/>
        </w:tabs>
        <w:spacing w:before="40" w:after="120"/>
        <w:jc w:val="left"/>
        <w:rPr>
          <w:sz w:val="16"/>
          <w:u w:val="single"/>
          <w:lang w:val="es-ES_tradnl"/>
        </w:rPr>
      </w:pPr>
      <w:r w:rsidRPr="006E4BE1">
        <w:rPr>
          <w:sz w:val="16"/>
          <w:u w:val="single"/>
          <w:lang w:val="es-ES_tradnl"/>
        </w:rPr>
        <w:tab/>
      </w:r>
    </w:p>
    <w:p w14:paraId="67B8585A" w14:textId="77777777" w:rsidR="001240C5" w:rsidRPr="006E4BE1" w:rsidRDefault="00F97F1E" w:rsidP="00AE50C9">
      <w:pPr>
        <w:tabs>
          <w:tab w:val="left" w:pos="284"/>
        </w:tabs>
        <w:spacing w:after="60"/>
        <w:ind w:left="84"/>
        <w:rPr>
          <w:rFonts w:cs="Arial"/>
          <w:sz w:val="14"/>
          <w:szCs w:val="16"/>
          <w:lang w:val="es-ES_tradnl"/>
        </w:rPr>
      </w:pPr>
      <w:r w:rsidRPr="006E4BE1">
        <w:rPr>
          <w:rFonts w:cs="Arial"/>
          <w:sz w:val="14"/>
          <w:szCs w:val="16"/>
          <w:vertAlign w:val="superscript"/>
          <w:lang w:val="es-ES_tradnl"/>
        </w:rPr>
        <w:t>1</w:t>
      </w:r>
      <w:r w:rsidRPr="006E4BE1">
        <w:rPr>
          <w:rFonts w:cs="Arial"/>
          <w:sz w:val="14"/>
          <w:szCs w:val="16"/>
          <w:lang w:val="es-ES_tradnl"/>
        </w:rPr>
        <w:tab/>
      </w:r>
      <w:r w:rsidR="002610B6" w:rsidRPr="006E4BE1">
        <w:rPr>
          <w:rFonts w:cs="Arial"/>
          <w:sz w:val="14"/>
          <w:szCs w:val="16"/>
          <w:lang w:val="es-ES_tradnl"/>
        </w:rPr>
        <w:t>El Acta de 1978 es la última Acta por la que 17 Estados están vinculados.</w:t>
      </w:r>
    </w:p>
    <w:p w14:paraId="124D5458" w14:textId="5FCEC780" w:rsidR="001240C5" w:rsidRPr="006E4BE1" w:rsidRDefault="00F97F1E" w:rsidP="00AE50C9">
      <w:pPr>
        <w:tabs>
          <w:tab w:val="left" w:pos="284"/>
        </w:tabs>
        <w:spacing w:after="60"/>
        <w:ind w:left="84"/>
        <w:rPr>
          <w:rFonts w:cs="Arial"/>
          <w:sz w:val="14"/>
          <w:szCs w:val="16"/>
          <w:lang w:val="es-ES_tradnl"/>
        </w:rPr>
      </w:pPr>
      <w:r w:rsidRPr="006E4BE1">
        <w:rPr>
          <w:rFonts w:cs="Arial"/>
          <w:sz w:val="14"/>
          <w:szCs w:val="16"/>
          <w:vertAlign w:val="superscript"/>
          <w:lang w:val="es-ES_tradnl"/>
        </w:rPr>
        <w:t>2</w:t>
      </w:r>
      <w:r w:rsidRPr="006E4BE1">
        <w:rPr>
          <w:rFonts w:cs="Arial"/>
          <w:sz w:val="14"/>
          <w:szCs w:val="16"/>
          <w:lang w:val="es-ES_tradnl"/>
        </w:rPr>
        <w:tab/>
      </w:r>
      <w:r w:rsidR="002610B6" w:rsidRPr="006E4BE1">
        <w:rPr>
          <w:rFonts w:cs="Arial"/>
          <w:sz w:val="14"/>
          <w:szCs w:val="16"/>
          <w:lang w:val="es-ES_tradnl"/>
        </w:rPr>
        <w:t>El Acta de 1991 es la última Acta por la que 5</w:t>
      </w:r>
      <w:r w:rsidR="00F971CD" w:rsidRPr="006E4BE1">
        <w:rPr>
          <w:rFonts w:cs="Arial"/>
          <w:sz w:val="14"/>
          <w:szCs w:val="16"/>
          <w:lang w:val="es-ES_tradnl"/>
        </w:rPr>
        <w:t>8</w:t>
      </w:r>
      <w:r w:rsidR="002610B6" w:rsidRPr="006E4BE1">
        <w:rPr>
          <w:rFonts w:cs="Arial"/>
          <w:sz w:val="14"/>
          <w:szCs w:val="16"/>
          <w:lang w:val="es-ES_tradnl"/>
        </w:rPr>
        <w:t xml:space="preserve"> Estados y dos organizaciones están vinculados.</w:t>
      </w:r>
    </w:p>
    <w:p w14:paraId="6C59F8F0" w14:textId="77777777" w:rsidR="001240C5" w:rsidRPr="006E4BE1" w:rsidRDefault="00F97F1E" w:rsidP="00AE50C9">
      <w:pPr>
        <w:tabs>
          <w:tab w:val="left" w:pos="284"/>
        </w:tabs>
        <w:spacing w:after="60"/>
        <w:ind w:left="284" w:hanging="200"/>
        <w:rPr>
          <w:rFonts w:cs="Arial"/>
          <w:sz w:val="14"/>
          <w:szCs w:val="16"/>
          <w:lang w:val="es-ES_tradnl"/>
        </w:rPr>
      </w:pPr>
      <w:r w:rsidRPr="006E4BE1">
        <w:rPr>
          <w:rFonts w:cs="Arial"/>
          <w:sz w:val="14"/>
          <w:szCs w:val="16"/>
          <w:vertAlign w:val="superscript"/>
          <w:lang w:val="es-ES_tradnl"/>
        </w:rPr>
        <w:t>3</w:t>
      </w:r>
      <w:r w:rsidRPr="006E4BE1">
        <w:rPr>
          <w:rFonts w:cs="Arial"/>
          <w:sz w:val="14"/>
          <w:szCs w:val="16"/>
          <w:lang w:val="es-ES_tradnl"/>
        </w:rPr>
        <w:tab/>
      </w:r>
      <w:r w:rsidR="00904D05" w:rsidRPr="006E4BE1">
        <w:rPr>
          <w:rFonts w:cs="Arial"/>
          <w:sz w:val="14"/>
          <w:szCs w:val="16"/>
          <w:lang w:val="es-ES_tradnl"/>
        </w:rPr>
        <w:t>Cuenta con un sistema de derechos de obtentor que se aplica en el territorio de sus 27 Estados miembros</w:t>
      </w:r>
      <w:r w:rsidR="006F22BF" w:rsidRPr="006E4BE1">
        <w:rPr>
          <w:rFonts w:cs="Arial"/>
          <w:sz w:val="14"/>
          <w:szCs w:val="16"/>
          <w:lang w:val="es-ES_tradnl"/>
        </w:rPr>
        <w:t xml:space="preserve"> </w:t>
      </w:r>
      <w:r w:rsidRPr="006E4BE1">
        <w:rPr>
          <w:rFonts w:cs="Arial"/>
          <w:sz w:val="14"/>
          <w:szCs w:val="16"/>
          <w:lang w:val="es-ES_tradnl"/>
        </w:rPr>
        <w:t>(Alemania, Austria, Bélgica, Bulgaria, Chipre, Croacia, Dinamarca, Eslovaquia, Eslovenia, España, Estonia, Finlandia, Francia, Grecia, Hungría, Irlanda, Italia, Letonia, Lituania, Luxemburgo, Malta, Países Bajos, Polonia, Portugal, República Checa, Rumania</w:t>
      </w:r>
      <w:r w:rsidR="007C5BB2" w:rsidRPr="006E4BE1">
        <w:rPr>
          <w:rFonts w:cs="Arial"/>
          <w:sz w:val="14"/>
          <w:szCs w:val="16"/>
          <w:lang w:val="es-ES_tradnl"/>
        </w:rPr>
        <w:t xml:space="preserve"> y</w:t>
      </w:r>
      <w:r w:rsidRPr="006E4BE1">
        <w:rPr>
          <w:rFonts w:cs="Arial"/>
          <w:sz w:val="14"/>
          <w:szCs w:val="16"/>
          <w:lang w:val="es-ES_tradnl"/>
        </w:rPr>
        <w:t xml:space="preserve"> Suecia).</w:t>
      </w:r>
    </w:p>
    <w:p w14:paraId="4576B614" w14:textId="77777777" w:rsidR="001240C5" w:rsidRPr="006E4BE1" w:rsidRDefault="00F97F1E" w:rsidP="00AE50C9">
      <w:pPr>
        <w:tabs>
          <w:tab w:val="left" w:pos="284"/>
        </w:tabs>
        <w:spacing w:after="60"/>
        <w:ind w:left="284" w:hanging="200"/>
        <w:rPr>
          <w:rFonts w:cs="Arial"/>
          <w:sz w:val="14"/>
          <w:szCs w:val="16"/>
          <w:lang w:val="es-ES_tradnl"/>
        </w:rPr>
      </w:pPr>
      <w:r w:rsidRPr="006E4BE1">
        <w:rPr>
          <w:rFonts w:cs="Arial"/>
          <w:sz w:val="14"/>
          <w:szCs w:val="16"/>
          <w:vertAlign w:val="superscript"/>
          <w:lang w:val="es-ES_tradnl"/>
        </w:rPr>
        <w:t>4</w:t>
      </w:r>
      <w:r w:rsidRPr="006E4BE1">
        <w:rPr>
          <w:rFonts w:cs="Arial"/>
          <w:sz w:val="14"/>
          <w:szCs w:val="16"/>
          <w:lang w:val="es-ES_tradnl"/>
        </w:rPr>
        <w:tab/>
      </w:r>
      <w:r w:rsidR="00904D05" w:rsidRPr="006E4BE1">
        <w:rPr>
          <w:rFonts w:cs="Arial"/>
          <w:sz w:val="14"/>
          <w:szCs w:val="16"/>
          <w:lang w:val="es-ES_tradnl"/>
        </w:rPr>
        <w:t>Cuenta con un sistema de derechos de obtentor que se aplica en el territ</w:t>
      </w:r>
      <w:r w:rsidR="006F22BF" w:rsidRPr="006E4BE1">
        <w:rPr>
          <w:rFonts w:cs="Arial"/>
          <w:sz w:val="14"/>
          <w:szCs w:val="16"/>
          <w:lang w:val="es-ES_tradnl"/>
        </w:rPr>
        <w:t xml:space="preserve">orio de sus 17 Estados miembros </w:t>
      </w:r>
      <w:r w:rsidRPr="006E4BE1">
        <w:rPr>
          <w:rFonts w:cs="Arial"/>
          <w:sz w:val="14"/>
          <w:szCs w:val="16"/>
          <w:lang w:val="es-ES_tradnl"/>
        </w:rPr>
        <w:t>(Benin, Burkina Faso, Camerún, Chad, Comoras, Congo, Côte d’Ivoire, Gabón, Guinea, Guinea Bissau, Guinea Ecuatorial, Malí, Mauritania, Níger, República Centroafricana, Senegal</w:t>
      </w:r>
      <w:r w:rsidR="007C5BB2" w:rsidRPr="006E4BE1">
        <w:rPr>
          <w:rFonts w:cs="Arial"/>
          <w:sz w:val="14"/>
          <w:szCs w:val="16"/>
          <w:lang w:val="es-ES_tradnl"/>
        </w:rPr>
        <w:t xml:space="preserve"> y</w:t>
      </w:r>
      <w:r w:rsidRPr="006E4BE1">
        <w:rPr>
          <w:rFonts w:cs="Arial"/>
          <w:sz w:val="14"/>
          <w:szCs w:val="16"/>
          <w:lang w:val="es-ES_tradnl"/>
        </w:rPr>
        <w:t xml:space="preserve"> Togo).</w:t>
      </w:r>
    </w:p>
    <w:p w14:paraId="76340A35" w14:textId="77777777" w:rsidR="001240C5" w:rsidRPr="006E4BE1" w:rsidRDefault="001240C5" w:rsidP="00AE50C9">
      <w:pPr>
        <w:pStyle w:val="BodyText3"/>
        <w:tabs>
          <w:tab w:val="left" w:pos="284"/>
        </w:tabs>
        <w:spacing w:after="0" w:line="360" w:lineRule="auto"/>
        <w:jc w:val="both"/>
        <w:rPr>
          <w:rFonts w:ascii="Arial" w:hAnsi="Arial" w:cs="Arial"/>
          <w:sz w:val="18"/>
          <w:szCs w:val="20"/>
          <w:lang w:val="es-ES_tradnl"/>
        </w:rPr>
      </w:pPr>
    </w:p>
    <w:p w14:paraId="3E58FA44" w14:textId="77777777" w:rsidR="001240C5" w:rsidRPr="006E4BE1" w:rsidRDefault="00904D05" w:rsidP="00AE50C9">
      <w:pPr>
        <w:ind w:left="284" w:hanging="284"/>
        <w:jc w:val="left"/>
        <w:rPr>
          <w:rFonts w:cs="Arial"/>
          <w:b/>
          <w:color w:val="26724C" w:themeColor="accent1" w:themeShade="BF"/>
          <w:spacing w:val="-2"/>
          <w:sz w:val="18"/>
          <w:szCs w:val="16"/>
          <w:lang w:val="es-ES_tradnl"/>
        </w:rPr>
      </w:pPr>
      <w:r w:rsidRPr="006E4BE1">
        <w:rPr>
          <w:rFonts w:cs="Arial"/>
          <w:b/>
          <w:color w:val="26724C" w:themeColor="accent1" w:themeShade="BF"/>
          <w:spacing w:val="-2"/>
          <w:sz w:val="18"/>
          <w:szCs w:val="16"/>
          <w:lang w:val="es-ES_tradnl"/>
        </w:rPr>
        <w:t>B.</w:t>
      </w:r>
      <w:r w:rsidRPr="006E4BE1">
        <w:rPr>
          <w:rFonts w:cs="Arial"/>
          <w:b/>
          <w:color w:val="26724C" w:themeColor="accent1" w:themeShade="BF"/>
          <w:spacing w:val="-2"/>
          <w:sz w:val="18"/>
          <w:szCs w:val="16"/>
          <w:lang w:val="es-ES_tradnl"/>
        </w:rPr>
        <w:tab/>
        <w:t>Estados y organizaciones intergubernamentales que han iniciado el procedimiento de adhesión al Convenio de la UPOV</w:t>
      </w:r>
    </w:p>
    <w:p w14:paraId="7685EAB3" w14:textId="77777777" w:rsidR="001240C5" w:rsidRPr="006E4BE1" w:rsidRDefault="001240C5" w:rsidP="00AE50C9">
      <w:pPr>
        <w:tabs>
          <w:tab w:val="left" w:pos="284"/>
        </w:tabs>
        <w:ind w:left="284"/>
        <w:rPr>
          <w:rFonts w:cs="Arial"/>
          <w:sz w:val="16"/>
          <w:szCs w:val="16"/>
          <w:lang w:val="es-ES_tradnl"/>
        </w:rPr>
      </w:pPr>
    </w:p>
    <w:p w14:paraId="6572826B" w14:textId="3B8505C5" w:rsidR="001240C5" w:rsidRPr="006E4BE1" w:rsidRDefault="00F97F1E" w:rsidP="00AE50C9">
      <w:pPr>
        <w:rPr>
          <w:rFonts w:cs="Arial"/>
          <w:i/>
          <w:sz w:val="16"/>
          <w:szCs w:val="16"/>
          <w:lang w:val="es-ES_tradnl"/>
        </w:rPr>
      </w:pPr>
      <w:r w:rsidRPr="006E4BE1">
        <w:rPr>
          <w:rFonts w:cs="Arial"/>
          <w:i/>
          <w:sz w:val="16"/>
          <w:szCs w:val="16"/>
          <w:lang w:val="es-ES_tradnl"/>
        </w:rPr>
        <w:t>Estados (</w:t>
      </w:r>
      <w:r w:rsidR="00F971CD" w:rsidRPr="006E4BE1">
        <w:rPr>
          <w:rFonts w:cs="Arial"/>
          <w:i/>
          <w:sz w:val="16"/>
          <w:szCs w:val="16"/>
          <w:lang w:val="es-ES_tradnl"/>
        </w:rPr>
        <w:t>19</w:t>
      </w:r>
      <w:r w:rsidRPr="006E4BE1">
        <w:rPr>
          <w:rFonts w:cs="Arial"/>
          <w:i/>
          <w:sz w:val="16"/>
          <w:szCs w:val="16"/>
          <w:lang w:val="es-ES_tradnl"/>
        </w:rPr>
        <w:t>):</w:t>
      </w:r>
    </w:p>
    <w:p w14:paraId="75023881" w14:textId="77777777" w:rsidR="001240C5" w:rsidRPr="006E4BE1" w:rsidRDefault="001240C5" w:rsidP="00AE50C9">
      <w:pPr>
        <w:rPr>
          <w:rFonts w:cs="Arial"/>
          <w:sz w:val="10"/>
          <w:szCs w:val="16"/>
          <w:lang w:val="es-ES_tradnl"/>
        </w:rPr>
      </w:pPr>
    </w:p>
    <w:p w14:paraId="0D84EB49" w14:textId="07AD0410" w:rsidR="001240C5" w:rsidRPr="006E4BE1" w:rsidRDefault="00F97F1E" w:rsidP="00AE50C9">
      <w:pPr>
        <w:rPr>
          <w:rFonts w:cs="Arial"/>
          <w:spacing w:val="-2"/>
          <w:sz w:val="16"/>
          <w:szCs w:val="16"/>
          <w:lang w:val="es-ES_tradnl"/>
        </w:rPr>
      </w:pPr>
      <w:r w:rsidRPr="006E4BE1">
        <w:rPr>
          <w:rFonts w:cs="Arial"/>
          <w:spacing w:val="-2"/>
          <w:sz w:val="16"/>
          <w:szCs w:val="16"/>
          <w:lang w:val="es-ES_tradnl"/>
        </w:rPr>
        <w:t>Afganistán, Armenia, Brunei Darussalam, Emiratos Árabes Unidos, Filipinas, Ghana, Guatemala, Honduras, India, Irán (República Islámica del), Kazajstán, Malasia, Mauricio, Mongolia, Myanmar, Nigeria, Tayikistán, Venezuela (República Bolivariana de) y Zimbabwe</w:t>
      </w:r>
    </w:p>
    <w:p w14:paraId="3F431654" w14:textId="77777777" w:rsidR="001240C5" w:rsidRPr="006E4BE1" w:rsidRDefault="001240C5" w:rsidP="00AE50C9">
      <w:pPr>
        <w:rPr>
          <w:rFonts w:cs="Arial"/>
          <w:sz w:val="16"/>
          <w:szCs w:val="16"/>
          <w:lang w:val="es-ES_tradnl"/>
        </w:rPr>
      </w:pPr>
    </w:p>
    <w:p w14:paraId="54DFE1E1" w14:textId="77777777" w:rsidR="001240C5" w:rsidRPr="006E4BE1" w:rsidRDefault="00F97F1E" w:rsidP="00AE50C9">
      <w:pPr>
        <w:rPr>
          <w:rFonts w:cs="Arial"/>
          <w:i/>
          <w:spacing w:val="-2"/>
          <w:sz w:val="16"/>
          <w:szCs w:val="16"/>
          <w:lang w:val="es-ES_tradnl"/>
        </w:rPr>
      </w:pPr>
      <w:r w:rsidRPr="006E4BE1">
        <w:rPr>
          <w:rFonts w:cs="Arial"/>
          <w:i/>
          <w:spacing w:val="-2"/>
          <w:sz w:val="16"/>
          <w:szCs w:val="16"/>
          <w:lang w:val="es-ES_tradnl"/>
        </w:rPr>
        <w:t>Organización (1):</w:t>
      </w:r>
    </w:p>
    <w:p w14:paraId="2BE956E5" w14:textId="77777777" w:rsidR="001240C5" w:rsidRPr="006E4BE1" w:rsidRDefault="001240C5" w:rsidP="00AE50C9">
      <w:pPr>
        <w:rPr>
          <w:rFonts w:cs="Arial"/>
          <w:spacing w:val="-2"/>
          <w:sz w:val="12"/>
          <w:szCs w:val="16"/>
          <w:lang w:val="es-ES_tradnl"/>
        </w:rPr>
      </w:pPr>
    </w:p>
    <w:p w14:paraId="63FA6CF0" w14:textId="77777777" w:rsidR="001240C5" w:rsidRPr="006E4BE1" w:rsidRDefault="00F97F1E" w:rsidP="00AE50C9">
      <w:pPr>
        <w:rPr>
          <w:rFonts w:cs="Arial"/>
          <w:sz w:val="16"/>
          <w:szCs w:val="24"/>
          <w:lang w:val="es-ES_tradnl"/>
        </w:rPr>
      </w:pPr>
      <w:r w:rsidRPr="006E4BE1">
        <w:rPr>
          <w:rFonts w:cs="Arial"/>
          <w:sz w:val="16"/>
          <w:szCs w:val="24"/>
          <w:lang w:val="es-ES_tradnl"/>
        </w:rPr>
        <w:t xml:space="preserve">Organización Regional Africana de la Propiedad Intelectual (ARIPO) </w:t>
      </w:r>
    </w:p>
    <w:p w14:paraId="34A8637C" w14:textId="77777777" w:rsidR="001240C5" w:rsidRPr="006E4BE1" w:rsidRDefault="00904D05" w:rsidP="00AE50C9">
      <w:pPr>
        <w:rPr>
          <w:rFonts w:cs="Arial"/>
          <w:sz w:val="16"/>
          <w:szCs w:val="16"/>
          <w:lang w:val="es-ES_tradnl"/>
        </w:rPr>
      </w:pPr>
      <w:r w:rsidRPr="006E4BE1">
        <w:rPr>
          <w:rFonts w:cs="Arial"/>
          <w:i/>
          <w:sz w:val="16"/>
          <w:szCs w:val="24"/>
          <w:lang w:val="es-ES_tradnl"/>
        </w:rPr>
        <w:t>(Estados miembros de la ARIPO (20):</w:t>
      </w:r>
      <w:r w:rsidR="00F97F1E" w:rsidRPr="006E4BE1">
        <w:rPr>
          <w:rFonts w:cs="Arial"/>
          <w:i/>
          <w:sz w:val="16"/>
          <w:szCs w:val="24"/>
          <w:lang w:val="es-ES_tradnl"/>
        </w:rPr>
        <w:t xml:space="preserve"> Botswana, </w:t>
      </w:r>
      <w:r w:rsidR="006F22BF" w:rsidRPr="006E4BE1">
        <w:rPr>
          <w:rFonts w:cs="Arial"/>
          <w:i/>
          <w:sz w:val="16"/>
          <w:szCs w:val="24"/>
          <w:lang w:val="es-ES_tradnl"/>
        </w:rPr>
        <w:t xml:space="preserve">Eswatini, </w:t>
      </w:r>
      <w:r w:rsidR="00F97F1E" w:rsidRPr="006E4BE1">
        <w:rPr>
          <w:rFonts w:cs="Arial"/>
          <w:i/>
          <w:sz w:val="16"/>
          <w:szCs w:val="24"/>
          <w:lang w:val="es-ES_tradnl"/>
        </w:rPr>
        <w:t>Gambia, Ghana, Kenya, Lesotho, Liberia, Malawi, Mauricio, Mozambique, Namibia, República Unida de Tanzanía, Rwanda, Santo Tomé y Príncipe, Sierra Leona, Somalia, Sudán, Uganda, Zambia</w:t>
      </w:r>
      <w:r w:rsidR="007C5BB2" w:rsidRPr="006E4BE1">
        <w:rPr>
          <w:rFonts w:cs="Arial"/>
          <w:i/>
          <w:sz w:val="16"/>
          <w:szCs w:val="24"/>
          <w:lang w:val="es-ES_tradnl"/>
        </w:rPr>
        <w:t xml:space="preserve"> y</w:t>
      </w:r>
      <w:r w:rsidR="00F97F1E" w:rsidRPr="006E4BE1">
        <w:rPr>
          <w:rFonts w:cs="Arial"/>
          <w:i/>
          <w:sz w:val="16"/>
          <w:szCs w:val="24"/>
          <w:lang w:val="es-ES_tradnl"/>
        </w:rPr>
        <w:t xml:space="preserve"> Zimbabwe)</w:t>
      </w:r>
    </w:p>
    <w:p w14:paraId="3AFD66A3" w14:textId="77777777" w:rsidR="001240C5" w:rsidRPr="006E4BE1" w:rsidRDefault="001240C5" w:rsidP="00AE50C9">
      <w:pPr>
        <w:rPr>
          <w:rFonts w:cs="Arial"/>
          <w:sz w:val="16"/>
          <w:szCs w:val="16"/>
          <w:lang w:val="es-ES_tradnl"/>
        </w:rPr>
      </w:pPr>
    </w:p>
    <w:p w14:paraId="265745D8" w14:textId="77777777" w:rsidR="001240C5" w:rsidRPr="006E4BE1" w:rsidRDefault="001240C5" w:rsidP="00AE50C9">
      <w:pPr>
        <w:rPr>
          <w:rFonts w:cs="Arial"/>
          <w:sz w:val="16"/>
          <w:szCs w:val="16"/>
          <w:lang w:val="es-ES_tradnl"/>
        </w:rPr>
      </w:pPr>
    </w:p>
    <w:p w14:paraId="33CDB310" w14:textId="77777777" w:rsidR="001240C5" w:rsidRPr="006E4BE1" w:rsidRDefault="00904D05" w:rsidP="00AE50C9">
      <w:pPr>
        <w:ind w:left="284" w:hanging="284"/>
        <w:jc w:val="left"/>
        <w:rPr>
          <w:rFonts w:cs="Arial"/>
          <w:b/>
          <w:color w:val="26724C" w:themeColor="accent1" w:themeShade="BF"/>
          <w:sz w:val="18"/>
          <w:szCs w:val="24"/>
          <w:lang w:val="es-ES_tradnl"/>
        </w:rPr>
      </w:pPr>
      <w:r w:rsidRPr="006E4BE1">
        <w:rPr>
          <w:rFonts w:cs="Arial"/>
          <w:b/>
          <w:color w:val="26724C" w:themeColor="accent1" w:themeShade="BF"/>
          <w:sz w:val="18"/>
          <w:szCs w:val="24"/>
          <w:lang w:val="es-ES_tradnl"/>
        </w:rPr>
        <w:t>C.</w:t>
      </w:r>
      <w:r w:rsidRPr="006E4BE1">
        <w:rPr>
          <w:rFonts w:cs="Arial"/>
          <w:b/>
          <w:color w:val="26724C" w:themeColor="accent1" w:themeShade="BF"/>
          <w:sz w:val="18"/>
          <w:szCs w:val="24"/>
          <w:lang w:val="es-ES_tradnl"/>
        </w:rPr>
        <w:tab/>
        <w:t>Estados y organizaciones intergubernamentales que han entrado en contacto con la Oficina de la Unión para solicitarle asistencia en la elaboración de leyes basadas en el Convenio de la UPOV</w:t>
      </w:r>
    </w:p>
    <w:p w14:paraId="755B3BDC" w14:textId="77777777" w:rsidR="001240C5" w:rsidRPr="006E4BE1" w:rsidRDefault="001240C5" w:rsidP="00AE50C9">
      <w:pPr>
        <w:jc w:val="center"/>
        <w:rPr>
          <w:rFonts w:cs="Arial"/>
          <w:b/>
          <w:sz w:val="18"/>
          <w:szCs w:val="24"/>
          <w:lang w:val="es-ES_tradnl"/>
        </w:rPr>
      </w:pPr>
    </w:p>
    <w:p w14:paraId="4FA5C0E3" w14:textId="77777777" w:rsidR="001240C5" w:rsidRPr="006E4BE1" w:rsidRDefault="00F97F1E" w:rsidP="00AE50C9">
      <w:pPr>
        <w:rPr>
          <w:rFonts w:cs="Arial"/>
          <w:i/>
          <w:sz w:val="16"/>
          <w:szCs w:val="24"/>
          <w:lang w:val="es-ES_tradnl"/>
        </w:rPr>
      </w:pPr>
      <w:r w:rsidRPr="006E4BE1">
        <w:rPr>
          <w:rFonts w:cs="Arial"/>
          <w:i/>
          <w:sz w:val="16"/>
          <w:szCs w:val="24"/>
          <w:lang w:val="es-ES_tradnl"/>
        </w:rPr>
        <w:t>Estados (23):</w:t>
      </w:r>
    </w:p>
    <w:p w14:paraId="24E5B768" w14:textId="77777777" w:rsidR="001240C5" w:rsidRPr="006E4BE1" w:rsidRDefault="001240C5" w:rsidP="00AE50C9">
      <w:pPr>
        <w:rPr>
          <w:rFonts w:cs="Arial"/>
          <w:sz w:val="10"/>
          <w:szCs w:val="24"/>
          <w:lang w:val="es-ES_tradnl"/>
        </w:rPr>
      </w:pPr>
    </w:p>
    <w:p w14:paraId="4453FF7D" w14:textId="77777777" w:rsidR="001240C5" w:rsidRPr="006E4BE1" w:rsidRDefault="00904D05" w:rsidP="00AE50C9">
      <w:pPr>
        <w:suppressAutoHyphens/>
        <w:rPr>
          <w:rFonts w:cs="Arial"/>
          <w:spacing w:val="-2"/>
          <w:sz w:val="16"/>
          <w:szCs w:val="24"/>
          <w:lang w:val="es-ES_tradnl"/>
        </w:rPr>
      </w:pPr>
      <w:r w:rsidRPr="006E4BE1">
        <w:rPr>
          <w:rFonts w:cs="Arial"/>
          <w:spacing w:val="-2"/>
          <w:sz w:val="16"/>
          <w:szCs w:val="24"/>
          <w:lang w:val="es-ES_tradnl"/>
        </w:rPr>
        <w:t>Arabia Saudita, Argelia, Bahrein, Barbados, Camboya, Chipre, Cuba, El Salvador, Indonesia, Iraq, Jamaica, Libia, Liechtenstein, Malawi, Mozambique, Namibia, Pakistán, República Democrática Popular Lao, Sudán, Tailandia, Tonga, Turkmenistán y Zambia</w:t>
      </w:r>
    </w:p>
    <w:p w14:paraId="657D370C" w14:textId="77777777" w:rsidR="001240C5" w:rsidRPr="006E4BE1" w:rsidRDefault="001240C5" w:rsidP="00AE50C9">
      <w:pPr>
        <w:rPr>
          <w:rFonts w:cs="Arial"/>
          <w:sz w:val="16"/>
          <w:szCs w:val="24"/>
          <w:lang w:val="es-ES_tradnl"/>
        </w:rPr>
      </w:pPr>
    </w:p>
    <w:p w14:paraId="4B0658DF" w14:textId="77777777" w:rsidR="001240C5" w:rsidRPr="006E4BE1" w:rsidRDefault="00F97F1E" w:rsidP="00AE50C9">
      <w:pPr>
        <w:rPr>
          <w:rFonts w:cs="Arial"/>
          <w:i/>
          <w:sz w:val="16"/>
          <w:szCs w:val="24"/>
          <w:lang w:val="es-ES_tradnl"/>
        </w:rPr>
      </w:pPr>
      <w:r w:rsidRPr="006E4BE1">
        <w:rPr>
          <w:rFonts w:cs="Arial"/>
          <w:i/>
          <w:sz w:val="16"/>
          <w:szCs w:val="24"/>
          <w:lang w:val="es-ES_tradnl"/>
        </w:rPr>
        <w:t>Organización (1):</w:t>
      </w:r>
    </w:p>
    <w:p w14:paraId="4D8C519B" w14:textId="77777777" w:rsidR="001240C5" w:rsidRPr="006E4BE1" w:rsidRDefault="001240C5" w:rsidP="00AE50C9">
      <w:pPr>
        <w:rPr>
          <w:rFonts w:cs="Arial"/>
          <w:sz w:val="10"/>
          <w:szCs w:val="24"/>
          <w:lang w:val="es-ES_tradnl"/>
        </w:rPr>
      </w:pPr>
    </w:p>
    <w:p w14:paraId="3CB3D9C1" w14:textId="77777777" w:rsidR="001240C5" w:rsidRPr="006E4BE1" w:rsidRDefault="00904D05" w:rsidP="00AE50C9">
      <w:pPr>
        <w:rPr>
          <w:rFonts w:cs="Arial"/>
          <w:sz w:val="16"/>
          <w:szCs w:val="24"/>
          <w:lang w:val="es-ES_tradnl"/>
        </w:rPr>
      </w:pPr>
      <w:r w:rsidRPr="006E4BE1">
        <w:rPr>
          <w:rFonts w:cs="Arial"/>
          <w:sz w:val="16"/>
          <w:szCs w:val="24"/>
          <w:lang w:val="es-ES_tradnl"/>
        </w:rPr>
        <w:t>Comunidad de África Meridional para el Desarrollo (SADC)</w:t>
      </w:r>
      <w:r w:rsidR="00F97F1E" w:rsidRPr="006E4BE1">
        <w:rPr>
          <w:rFonts w:cs="Arial"/>
          <w:sz w:val="16"/>
          <w:szCs w:val="24"/>
          <w:lang w:val="es-ES_tradnl"/>
        </w:rPr>
        <w:t xml:space="preserve"> </w:t>
      </w:r>
    </w:p>
    <w:p w14:paraId="0096BBE4" w14:textId="77777777" w:rsidR="001240C5" w:rsidRPr="006E4BE1" w:rsidRDefault="006F22BF" w:rsidP="00AE50C9">
      <w:pPr>
        <w:rPr>
          <w:rFonts w:cs="Arial"/>
          <w:i/>
          <w:sz w:val="16"/>
          <w:szCs w:val="24"/>
          <w:lang w:val="es-ES_tradnl"/>
        </w:rPr>
      </w:pPr>
      <w:r w:rsidRPr="006E4BE1">
        <w:rPr>
          <w:rFonts w:cs="Arial"/>
          <w:i/>
          <w:sz w:val="16"/>
          <w:szCs w:val="24"/>
          <w:lang w:val="es-ES_tradnl"/>
        </w:rPr>
        <w:t>(Estados miembros de la SADC (15):</w:t>
      </w:r>
      <w:r w:rsidR="00F97F1E" w:rsidRPr="006E4BE1">
        <w:rPr>
          <w:rFonts w:cs="Arial"/>
          <w:i/>
          <w:sz w:val="16"/>
          <w:szCs w:val="24"/>
          <w:lang w:val="es-ES_tradnl"/>
        </w:rPr>
        <w:t xml:space="preserve"> Angola, Botswana, Eswatini, Lesotho, Madagascar, Malawi, Mauricio, Mozambique, Namibia, República Democrática del Congo, República Unida de Tanzanía, Seychelles, Sudáfrica, Zambia</w:t>
      </w:r>
      <w:r w:rsidR="007C5BB2" w:rsidRPr="006E4BE1">
        <w:rPr>
          <w:rFonts w:cs="Arial"/>
          <w:i/>
          <w:sz w:val="16"/>
          <w:szCs w:val="24"/>
          <w:lang w:val="es-ES_tradnl"/>
        </w:rPr>
        <w:t xml:space="preserve"> y</w:t>
      </w:r>
      <w:r w:rsidR="00F97F1E" w:rsidRPr="006E4BE1">
        <w:rPr>
          <w:rFonts w:cs="Arial"/>
          <w:i/>
          <w:sz w:val="16"/>
          <w:szCs w:val="24"/>
          <w:lang w:val="es-ES_tradnl"/>
        </w:rPr>
        <w:t xml:space="preserve"> Zimbabwe)</w:t>
      </w:r>
    </w:p>
    <w:p w14:paraId="31B2C7E9" w14:textId="77777777" w:rsidR="001240C5" w:rsidRPr="006E4BE1" w:rsidRDefault="001240C5" w:rsidP="00AE50C9">
      <w:pPr>
        <w:rPr>
          <w:rFonts w:cs="Arial"/>
          <w:snapToGrid w:val="0"/>
          <w:color w:val="000000"/>
          <w:lang w:val="es-ES_tradnl"/>
        </w:rPr>
      </w:pPr>
    </w:p>
    <w:p w14:paraId="32AC0452" w14:textId="77777777" w:rsidR="001240C5" w:rsidRPr="006E4BE1" w:rsidRDefault="001240C5" w:rsidP="00AE50C9">
      <w:pPr>
        <w:rPr>
          <w:rFonts w:cs="Arial"/>
          <w:snapToGrid w:val="0"/>
          <w:color w:val="000000"/>
          <w:lang w:val="es-ES_tradnl"/>
        </w:rPr>
      </w:pPr>
    </w:p>
    <w:p w14:paraId="729CDBAC" w14:textId="77777777" w:rsidR="001240C5" w:rsidRPr="006E4BE1" w:rsidRDefault="006F22BF" w:rsidP="00AE50C9">
      <w:pPr>
        <w:pStyle w:val="Endofdocument"/>
        <w:jc w:val="right"/>
        <w:rPr>
          <w:rFonts w:ascii="Arial" w:hAnsi="Arial" w:cs="Arial"/>
          <w:snapToGrid w:val="0"/>
          <w:color w:val="000000"/>
          <w:sz w:val="20"/>
          <w:lang w:val="es-ES_tradnl"/>
        </w:rPr>
      </w:pPr>
      <w:r w:rsidRPr="006E4BE1">
        <w:rPr>
          <w:rFonts w:ascii="Arial" w:hAnsi="Arial" w:cs="Arial"/>
          <w:snapToGrid w:val="0"/>
          <w:color w:val="000000"/>
          <w:sz w:val="20"/>
          <w:lang w:val="es-ES_tradnl"/>
        </w:rPr>
        <w:t>[Sigue el Apéndice II]</w:t>
      </w:r>
    </w:p>
    <w:p w14:paraId="44F0B590" w14:textId="0C2E987E" w:rsidR="008C5BB5" w:rsidRPr="006E4BE1" w:rsidRDefault="008C5BB5" w:rsidP="00AE50C9">
      <w:pPr>
        <w:pStyle w:val="Endofdocument"/>
        <w:jc w:val="both"/>
        <w:rPr>
          <w:rFonts w:ascii="Arial" w:hAnsi="Arial" w:cs="Arial"/>
          <w:snapToGrid w:val="0"/>
          <w:color w:val="000000"/>
          <w:sz w:val="20"/>
          <w:lang w:val="es-ES_tradnl"/>
        </w:rPr>
        <w:sectPr w:rsidR="008C5BB5" w:rsidRPr="006E4BE1" w:rsidSect="008577A0">
          <w:headerReference w:type="even" r:id="rId44"/>
          <w:footerReference w:type="even" r:id="rId45"/>
          <w:footerReference w:type="default" r:id="rId46"/>
          <w:headerReference w:type="first" r:id="rId47"/>
          <w:footerReference w:type="first" r:id="rId48"/>
          <w:type w:val="continuous"/>
          <w:pgSz w:w="11907" w:h="16840" w:code="9"/>
          <w:pgMar w:top="510" w:right="1134" w:bottom="1134" w:left="1134" w:header="510" w:footer="624" w:gutter="0"/>
          <w:cols w:space="720"/>
        </w:sectPr>
      </w:pPr>
    </w:p>
    <w:p w14:paraId="32483151" w14:textId="7D4D3400" w:rsidR="001240C5" w:rsidRPr="006E4BE1" w:rsidRDefault="00977B25" w:rsidP="00BF33AF">
      <w:pPr>
        <w:pStyle w:val="Heading9"/>
        <w:keepNext w:val="0"/>
        <w:ind w:left="1843" w:hanging="1843"/>
        <w:rPr>
          <w:lang w:val="es-ES_tradnl"/>
        </w:rPr>
      </w:pPr>
      <w:bookmarkStart w:id="473" w:name="_Toc78476742"/>
      <w:r w:rsidRPr="006E4BE1">
        <w:rPr>
          <w:lang w:val="es-ES_tradnl"/>
        </w:rPr>
        <w:lastRenderedPageBreak/>
        <w:t>APÉNDICE II</w:t>
      </w:r>
      <w:r w:rsidR="006C64A1" w:rsidRPr="006E4BE1">
        <w:rPr>
          <w:lang w:val="es-ES_tradnl"/>
        </w:rPr>
        <w:tab/>
      </w:r>
      <w:r w:rsidRPr="006E4BE1">
        <w:rPr>
          <w:lang w:val="es-ES_tradnl"/>
        </w:rPr>
        <w:t xml:space="preserve">Contribuciones de los miembros al </w:t>
      </w:r>
      <w:r w:rsidR="00F971CD" w:rsidRPr="006E4BE1">
        <w:rPr>
          <w:lang w:val="es-ES_tradnl"/>
        </w:rPr>
        <w:t>31 de marzo</w:t>
      </w:r>
      <w:r w:rsidRPr="006E4BE1">
        <w:rPr>
          <w:lang w:val="es-ES_tradnl"/>
        </w:rPr>
        <w:t xml:space="preserve"> de 2021</w:t>
      </w:r>
      <w:bookmarkEnd w:id="473"/>
    </w:p>
    <w:p w14:paraId="1698C120" w14:textId="77777777" w:rsidR="001240C5" w:rsidRPr="006E4BE1" w:rsidRDefault="001240C5" w:rsidP="00AE50C9">
      <w:pPr>
        <w:jc w:val="center"/>
        <w:rPr>
          <w:i/>
          <w:sz w:val="18"/>
          <w:szCs w:val="18"/>
          <w:lang w:val="es-ES_tradnl"/>
        </w:rPr>
      </w:pPr>
    </w:p>
    <w:p w14:paraId="199AF83B" w14:textId="67839F09" w:rsidR="008C5BB5" w:rsidRPr="006E4BE1" w:rsidRDefault="00977B25" w:rsidP="00AE50C9">
      <w:pPr>
        <w:spacing w:after="120"/>
        <w:jc w:val="center"/>
        <w:rPr>
          <w:i/>
          <w:sz w:val="18"/>
          <w:szCs w:val="18"/>
          <w:lang w:val="es-ES_tradnl"/>
        </w:rPr>
      </w:pPr>
      <w:r w:rsidRPr="006E4BE1">
        <w:rPr>
          <w:i/>
          <w:sz w:val="18"/>
          <w:szCs w:val="18"/>
          <w:lang w:val="es-ES_tradnl"/>
        </w:rPr>
        <w:t>(en francos suizos)</w:t>
      </w:r>
    </w:p>
    <w:tbl>
      <w:tblPr>
        <w:tblW w:w="9781" w:type="dxa"/>
        <w:tblLook w:val="04A0" w:firstRow="1" w:lastRow="0" w:firstColumn="1" w:lastColumn="0" w:noHBand="0" w:noVBand="1"/>
      </w:tblPr>
      <w:tblGrid>
        <w:gridCol w:w="1276"/>
        <w:gridCol w:w="1276"/>
        <w:gridCol w:w="3474"/>
        <w:gridCol w:w="1001"/>
        <w:gridCol w:w="1392"/>
        <w:gridCol w:w="1362"/>
      </w:tblGrid>
      <w:tr w:rsidR="00977B25" w:rsidRPr="006E4BE1" w14:paraId="26A2FA4E" w14:textId="77777777" w:rsidTr="006161F4">
        <w:trPr>
          <w:trHeight w:val="472"/>
          <w:tblHeader/>
        </w:trPr>
        <w:tc>
          <w:tcPr>
            <w:tcW w:w="1276" w:type="dxa"/>
            <w:tcBorders>
              <w:top w:val="nil"/>
              <w:left w:val="nil"/>
              <w:bottom w:val="nil"/>
              <w:right w:val="nil"/>
            </w:tcBorders>
            <w:shd w:val="clear" w:color="000000" w:fill="C7CFD8"/>
            <w:vAlign w:val="center"/>
            <w:hideMark/>
          </w:tcPr>
          <w:p w14:paraId="21AA2860" w14:textId="77777777"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2020</w:t>
            </w:r>
          </w:p>
        </w:tc>
        <w:tc>
          <w:tcPr>
            <w:tcW w:w="1276" w:type="dxa"/>
            <w:tcBorders>
              <w:top w:val="nil"/>
              <w:left w:val="nil"/>
              <w:bottom w:val="nil"/>
              <w:right w:val="nil"/>
            </w:tcBorders>
            <w:shd w:val="clear" w:color="000000" w:fill="C7CFD8"/>
            <w:vAlign w:val="center"/>
            <w:hideMark/>
          </w:tcPr>
          <w:p w14:paraId="17DB9F54" w14:textId="77777777"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2021</w:t>
            </w:r>
          </w:p>
        </w:tc>
        <w:tc>
          <w:tcPr>
            <w:tcW w:w="3474" w:type="dxa"/>
            <w:vMerge w:val="restart"/>
            <w:tcBorders>
              <w:top w:val="nil"/>
              <w:left w:val="nil"/>
              <w:bottom w:val="single" w:sz="8" w:space="0" w:color="BFBFBF"/>
              <w:right w:val="nil"/>
            </w:tcBorders>
            <w:shd w:val="clear" w:color="000000" w:fill="C7CFD8"/>
            <w:vAlign w:val="center"/>
            <w:hideMark/>
          </w:tcPr>
          <w:p w14:paraId="5F7C1E30" w14:textId="2740EE07"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Miembros</w:t>
            </w:r>
          </w:p>
        </w:tc>
        <w:tc>
          <w:tcPr>
            <w:tcW w:w="1001" w:type="dxa"/>
            <w:vMerge w:val="restart"/>
            <w:tcBorders>
              <w:top w:val="nil"/>
              <w:left w:val="nil"/>
              <w:right w:val="nil"/>
            </w:tcBorders>
            <w:shd w:val="clear" w:color="000000" w:fill="C7CFD8"/>
            <w:vAlign w:val="center"/>
            <w:hideMark/>
          </w:tcPr>
          <w:p w14:paraId="379EF044" w14:textId="3C31E907"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Número de unidades</w:t>
            </w:r>
          </w:p>
        </w:tc>
        <w:tc>
          <w:tcPr>
            <w:tcW w:w="1392" w:type="dxa"/>
            <w:tcBorders>
              <w:top w:val="nil"/>
              <w:left w:val="nil"/>
              <w:bottom w:val="nil"/>
              <w:right w:val="nil"/>
            </w:tcBorders>
            <w:shd w:val="clear" w:color="000000" w:fill="C7CFD8"/>
            <w:vAlign w:val="center"/>
            <w:hideMark/>
          </w:tcPr>
          <w:p w14:paraId="6774342C" w14:textId="77777777"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2022</w:t>
            </w:r>
          </w:p>
        </w:tc>
        <w:tc>
          <w:tcPr>
            <w:tcW w:w="1362" w:type="dxa"/>
            <w:tcBorders>
              <w:top w:val="nil"/>
              <w:left w:val="nil"/>
              <w:bottom w:val="nil"/>
              <w:right w:val="nil"/>
            </w:tcBorders>
            <w:shd w:val="clear" w:color="000000" w:fill="C7CFD8"/>
            <w:vAlign w:val="center"/>
            <w:hideMark/>
          </w:tcPr>
          <w:p w14:paraId="70026328" w14:textId="77777777"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2023</w:t>
            </w:r>
          </w:p>
        </w:tc>
      </w:tr>
      <w:tr w:rsidR="00977B25" w:rsidRPr="006E4BE1" w14:paraId="2BDF8E23" w14:textId="77777777" w:rsidTr="006161F4">
        <w:trPr>
          <w:trHeight w:val="462"/>
          <w:tblHeader/>
        </w:trPr>
        <w:tc>
          <w:tcPr>
            <w:tcW w:w="1276" w:type="dxa"/>
            <w:tcBorders>
              <w:top w:val="nil"/>
              <w:left w:val="nil"/>
              <w:bottom w:val="single" w:sz="8" w:space="0" w:color="BFBFBF"/>
              <w:right w:val="nil"/>
            </w:tcBorders>
            <w:shd w:val="clear" w:color="000000" w:fill="C7CFD8"/>
            <w:hideMark/>
          </w:tcPr>
          <w:p w14:paraId="55695714" w14:textId="672F538A"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Facturado</w:t>
            </w:r>
          </w:p>
        </w:tc>
        <w:tc>
          <w:tcPr>
            <w:tcW w:w="1276" w:type="dxa"/>
            <w:tcBorders>
              <w:top w:val="nil"/>
              <w:left w:val="nil"/>
              <w:bottom w:val="single" w:sz="8" w:space="0" w:color="BFBFBF"/>
              <w:right w:val="nil"/>
            </w:tcBorders>
            <w:shd w:val="clear" w:color="000000" w:fill="C7CFD8"/>
            <w:hideMark/>
          </w:tcPr>
          <w:p w14:paraId="453E84D0" w14:textId="5B72B6A1"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Facturado</w:t>
            </w:r>
          </w:p>
        </w:tc>
        <w:tc>
          <w:tcPr>
            <w:tcW w:w="3474" w:type="dxa"/>
            <w:vMerge/>
            <w:tcBorders>
              <w:top w:val="nil"/>
              <w:left w:val="nil"/>
              <w:bottom w:val="single" w:sz="8" w:space="0" w:color="BFBFBF"/>
              <w:right w:val="nil"/>
            </w:tcBorders>
            <w:vAlign w:val="center"/>
            <w:hideMark/>
          </w:tcPr>
          <w:p w14:paraId="0A7A04A5" w14:textId="77777777" w:rsidR="00977B25" w:rsidRPr="006E4BE1" w:rsidRDefault="00977B25" w:rsidP="00AE50C9">
            <w:pPr>
              <w:jc w:val="left"/>
              <w:rPr>
                <w:rFonts w:ascii="Arial Narrow" w:hAnsi="Arial Narrow" w:cs="Arial"/>
                <w:b/>
                <w:bCs/>
                <w:color w:val="000000"/>
                <w:sz w:val="18"/>
                <w:szCs w:val="18"/>
                <w:lang w:val="es-ES_tradnl"/>
              </w:rPr>
            </w:pPr>
          </w:p>
        </w:tc>
        <w:tc>
          <w:tcPr>
            <w:tcW w:w="1001" w:type="dxa"/>
            <w:vMerge/>
            <w:tcBorders>
              <w:left w:val="nil"/>
              <w:bottom w:val="single" w:sz="8" w:space="0" w:color="BFBFBF"/>
              <w:right w:val="nil"/>
            </w:tcBorders>
            <w:shd w:val="clear" w:color="000000" w:fill="C7CFD8"/>
            <w:hideMark/>
          </w:tcPr>
          <w:p w14:paraId="0610E2B2" w14:textId="62CE17E4" w:rsidR="00977B25" w:rsidRPr="006E4BE1" w:rsidRDefault="00977B25" w:rsidP="00AE50C9">
            <w:pPr>
              <w:jc w:val="center"/>
              <w:rPr>
                <w:rFonts w:ascii="Arial Narrow" w:hAnsi="Arial Narrow" w:cs="Arial"/>
                <w:b/>
                <w:bCs/>
                <w:color w:val="000000"/>
                <w:sz w:val="18"/>
                <w:szCs w:val="18"/>
                <w:lang w:val="es-ES_tradnl"/>
              </w:rPr>
            </w:pPr>
          </w:p>
        </w:tc>
        <w:tc>
          <w:tcPr>
            <w:tcW w:w="1392" w:type="dxa"/>
            <w:tcBorders>
              <w:top w:val="nil"/>
              <w:left w:val="nil"/>
              <w:bottom w:val="single" w:sz="8" w:space="0" w:color="BFBFBF"/>
              <w:right w:val="nil"/>
            </w:tcBorders>
            <w:shd w:val="clear" w:color="000000" w:fill="C7CFD8"/>
            <w:vAlign w:val="center"/>
            <w:hideMark/>
          </w:tcPr>
          <w:p w14:paraId="50D57558" w14:textId="466736D6"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Estimado para facturar</w:t>
            </w:r>
          </w:p>
        </w:tc>
        <w:tc>
          <w:tcPr>
            <w:tcW w:w="1362" w:type="dxa"/>
            <w:tcBorders>
              <w:top w:val="nil"/>
              <w:left w:val="nil"/>
              <w:bottom w:val="single" w:sz="8" w:space="0" w:color="BFBFBF"/>
              <w:right w:val="nil"/>
            </w:tcBorders>
            <w:shd w:val="clear" w:color="000000" w:fill="C7CFD8"/>
            <w:vAlign w:val="center"/>
            <w:hideMark/>
          </w:tcPr>
          <w:p w14:paraId="28039107" w14:textId="1B41D3E7" w:rsidR="00977B25" w:rsidRPr="006E4BE1" w:rsidRDefault="00977B25" w:rsidP="00AE50C9">
            <w:pPr>
              <w:jc w:val="center"/>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Estimado para facturar</w:t>
            </w:r>
          </w:p>
        </w:tc>
      </w:tr>
      <w:tr w:rsidR="00C05E9C" w:rsidRPr="006E4BE1" w14:paraId="4E7939E7" w14:textId="77777777" w:rsidTr="006161F4">
        <w:trPr>
          <w:trHeight w:val="162"/>
          <w:tblHeader/>
        </w:trPr>
        <w:tc>
          <w:tcPr>
            <w:tcW w:w="1276" w:type="dxa"/>
            <w:tcBorders>
              <w:top w:val="nil"/>
              <w:left w:val="nil"/>
              <w:bottom w:val="nil"/>
              <w:right w:val="nil"/>
            </w:tcBorders>
            <w:shd w:val="clear" w:color="auto" w:fill="auto"/>
            <w:vAlign w:val="center"/>
            <w:hideMark/>
          </w:tcPr>
          <w:p w14:paraId="3A5CB154" w14:textId="77777777" w:rsidR="00C05E9C" w:rsidRPr="006E4BE1" w:rsidRDefault="00C05E9C" w:rsidP="00AE50C9">
            <w:pPr>
              <w:jc w:val="center"/>
              <w:rPr>
                <w:rFonts w:ascii="Arial Narrow" w:hAnsi="Arial Narrow" w:cs="Arial"/>
                <w:b/>
                <w:bCs/>
                <w:color w:val="000000"/>
                <w:sz w:val="18"/>
                <w:szCs w:val="18"/>
                <w:lang w:val="es-ES_tradnl"/>
              </w:rPr>
            </w:pPr>
          </w:p>
        </w:tc>
        <w:tc>
          <w:tcPr>
            <w:tcW w:w="1276" w:type="dxa"/>
            <w:tcBorders>
              <w:top w:val="nil"/>
              <w:left w:val="nil"/>
              <w:bottom w:val="nil"/>
              <w:right w:val="nil"/>
            </w:tcBorders>
            <w:shd w:val="clear" w:color="auto" w:fill="auto"/>
            <w:vAlign w:val="center"/>
            <w:hideMark/>
          </w:tcPr>
          <w:p w14:paraId="110BAA7A" w14:textId="77777777" w:rsidR="00C05E9C" w:rsidRPr="006E4BE1" w:rsidRDefault="00C05E9C" w:rsidP="00AE50C9">
            <w:pPr>
              <w:jc w:val="right"/>
              <w:rPr>
                <w:rFonts w:ascii="Times New Roman" w:hAnsi="Times New Roman"/>
                <w:lang w:val="es-ES_tradnl"/>
              </w:rPr>
            </w:pPr>
          </w:p>
        </w:tc>
        <w:tc>
          <w:tcPr>
            <w:tcW w:w="3474" w:type="dxa"/>
            <w:tcBorders>
              <w:top w:val="nil"/>
              <w:left w:val="nil"/>
              <w:bottom w:val="nil"/>
              <w:right w:val="nil"/>
            </w:tcBorders>
            <w:shd w:val="clear" w:color="auto" w:fill="auto"/>
            <w:vAlign w:val="center"/>
            <w:hideMark/>
          </w:tcPr>
          <w:p w14:paraId="0797BE53" w14:textId="77777777" w:rsidR="00C05E9C" w:rsidRPr="006E4BE1" w:rsidRDefault="00C05E9C" w:rsidP="00AE50C9">
            <w:pPr>
              <w:jc w:val="right"/>
              <w:rPr>
                <w:rFonts w:ascii="Times New Roman" w:hAnsi="Times New Roman"/>
                <w:lang w:val="es-ES_tradnl"/>
              </w:rPr>
            </w:pPr>
          </w:p>
        </w:tc>
        <w:tc>
          <w:tcPr>
            <w:tcW w:w="1001" w:type="dxa"/>
            <w:tcBorders>
              <w:top w:val="nil"/>
              <w:left w:val="nil"/>
              <w:bottom w:val="nil"/>
              <w:right w:val="nil"/>
            </w:tcBorders>
            <w:shd w:val="clear" w:color="auto" w:fill="auto"/>
            <w:vAlign w:val="center"/>
            <w:hideMark/>
          </w:tcPr>
          <w:p w14:paraId="636D2BE0" w14:textId="77777777" w:rsidR="00C05E9C" w:rsidRPr="006E4BE1" w:rsidRDefault="00C05E9C" w:rsidP="00AE50C9">
            <w:pPr>
              <w:rPr>
                <w:rFonts w:ascii="Times New Roman" w:hAnsi="Times New Roman"/>
                <w:lang w:val="es-ES_tradnl"/>
              </w:rPr>
            </w:pPr>
          </w:p>
        </w:tc>
        <w:tc>
          <w:tcPr>
            <w:tcW w:w="1392" w:type="dxa"/>
            <w:tcBorders>
              <w:top w:val="nil"/>
              <w:left w:val="nil"/>
              <w:bottom w:val="nil"/>
              <w:right w:val="nil"/>
            </w:tcBorders>
            <w:shd w:val="clear" w:color="auto" w:fill="auto"/>
            <w:vAlign w:val="center"/>
            <w:hideMark/>
          </w:tcPr>
          <w:p w14:paraId="6E391347" w14:textId="77777777" w:rsidR="00C05E9C" w:rsidRPr="006E4BE1" w:rsidRDefault="00C05E9C" w:rsidP="00AE50C9">
            <w:pPr>
              <w:jc w:val="left"/>
              <w:rPr>
                <w:rFonts w:ascii="Times New Roman" w:hAnsi="Times New Roman"/>
                <w:lang w:val="es-ES_tradnl"/>
              </w:rPr>
            </w:pPr>
          </w:p>
        </w:tc>
        <w:tc>
          <w:tcPr>
            <w:tcW w:w="1362" w:type="dxa"/>
            <w:tcBorders>
              <w:top w:val="nil"/>
              <w:left w:val="nil"/>
              <w:bottom w:val="nil"/>
              <w:right w:val="nil"/>
            </w:tcBorders>
            <w:shd w:val="clear" w:color="auto" w:fill="auto"/>
            <w:vAlign w:val="center"/>
            <w:hideMark/>
          </w:tcPr>
          <w:p w14:paraId="1EA58202" w14:textId="77777777" w:rsidR="00C05E9C" w:rsidRPr="006E4BE1" w:rsidRDefault="00C05E9C" w:rsidP="00AE50C9">
            <w:pPr>
              <w:jc w:val="right"/>
              <w:rPr>
                <w:rFonts w:ascii="Times New Roman" w:hAnsi="Times New Roman"/>
                <w:lang w:val="es-ES_tradnl"/>
              </w:rPr>
            </w:pPr>
          </w:p>
        </w:tc>
      </w:tr>
      <w:tr w:rsidR="00FF12AF" w:rsidRPr="006E4BE1" w14:paraId="62DFB5DE" w14:textId="77777777" w:rsidTr="006161F4">
        <w:trPr>
          <w:trHeight w:val="256"/>
        </w:trPr>
        <w:tc>
          <w:tcPr>
            <w:tcW w:w="1276" w:type="dxa"/>
            <w:tcBorders>
              <w:top w:val="nil"/>
              <w:left w:val="nil"/>
              <w:bottom w:val="nil"/>
              <w:right w:val="nil"/>
            </w:tcBorders>
            <w:shd w:val="clear" w:color="auto" w:fill="auto"/>
            <w:vAlign w:val="center"/>
          </w:tcPr>
          <w:p w14:paraId="1BAF2F15" w14:textId="588AC71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2AADFC24" w14:textId="5F046E9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6FAEBDCD" w14:textId="481330EE"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Albania</w:t>
            </w:r>
          </w:p>
        </w:tc>
        <w:tc>
          <w:tcPr>
            <w:tcW w:w="1001" w:type="dxa"/>
            <w:tcBorders>
              <w:top w:val="nil"/>
              <w:left w:val="nil"/>
              <w:bottom w:val="nil"/>
              <w:right w:val="nil"/>
            </w:tcBorders>
            <w:shd w:val="clear" w:color="auto" w:fill="auto"/>
            <w:vAlign w:val="center"/>
          </w:tcPr>
          <w:p w14:paraId="1DB461AD" w14:textId="2348FC6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2C13FB99" w14:textId="420771A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15A7D694" w14:textId="32A0E28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11EA5E46" w14:textId="77777777" w:rsidTr="006161F4">
        <w:trPr>
          <w:trHeight w:val="256"/>
        </w:trPr>
        <w:tc>
          <w:tcPr>
            <w:tcW w:w="1276" w:type="dxa"/>
            <w:tcBorders>
              <w:top w:val="nil"/>
              <w:left w:val="nil"/>
              <w:bottom w:val="nil"/>
              <w:right w:val="nil"/>
            </w:tcBorders>
            <w:shd w:val="clear" w:color="auto" w:fill="auto"/>
            <w:vAlign w:val="center"/>
          </w:tcPr>
          <w:p w14:paraId="3B50F824" w14:textId="611EFF0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276" w:type="dxa"/>
            <w:tcBorders>
              <w:top w:val="nil"/>
              <w:left w:val="nil"/>
              <w:bottom w:val="nil"/>
              <w:right w:val="nil"/>
            </w:tcBorders>
            <w:shd w:val="clear" w:color="auto" w:fill="auto"/>
            <w:vAlign w:val="center"/>
          </w:tcPr>
          <w:p w14:paraId="2C4C4589" w14:textId="7D29986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3474" w:type="dxa"/>
            <w:tcBorders>
              <w:top w:val="nil"/>
              <w:left w:val="nil"/>
              <w:bottom w:val="nil"/>
              <w:right w:val="nil"/>
            </w:tcBorders>
            <w:shd w:val="clear" w:color="auto" w:fill="auto"/>
            <w:vAlign w:val="center"/>
          </w:tcPr>
          <w:p w14:paraId="0514650D" w14:textId="3FC8E630"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Alemania</w:t>
            </w:r>
          </w:p>
        </w:tc>
        <w:tc>
          <w:tcPr>
            <w:tcW w:w="1001" w:type="dxa"/>
            <w:tcBorders>
              <w:top w:val="nil"/>
              <w:left w:val="nil"/>
              <w:bottom w:val="nil"/>
              <w:right w:val="nil"/>
            </w:tcBorders>
            <w:shd w:val="clear" w:color="auto" w:fill="auto"/>
            <w:vAlign w:val="center"/>
          </w:tcPr>
          <w:p w14:paraId="7A7553C0" w14:textId="1933849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5,00</w:t>
            </w:r>
          </w:p>
        </w:tc>
        <w:tc>
          <w:tcPr>
            <w:tcW w:w="1392" w:type="dxa"/>
            <w:tcBorders>
              <w:top w:val="nil"/>
              <w:left w:val="nil"/>
              <w:bottom w:val="nil"/>
              <w:right w:val="nil"/>
            </w:tcBorders>
            <w:shd w:val="clear" w:color="auto" w:fill="auto"/>
            <w:vAlign w:val="center"/>
          </w:tcPr>
          <w:p w14:paraId="021AD727" w14:textId="6872AE2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362" w:type="dxa"/>
            <w:tcBorders>
              <w:top w:val="nil"/>
              <w:left w:val="nil"/>
              <w:bottom w:val="nil"/>
              <w:right w:val="nil"/>
            </w:tcBorders>
            <w:shd w:val="clear" w:color="auto" w:fill="auto"/>
            <w:vAlign w:val="center"/>
          </w:tcPr>
          <w:p w14:paraId="5ABCA3F2" w14:textId="129026C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r>
      <w:tr w:rsidR="00FF12AF" w:rsidRPr="006E4BE1" w14:paraId="4279E8E4" w14:textId="77777777" w:rsidTr="006161F4">
        <w:trPr>
          <w:trHeight w:val="256"/>
        </w:trPr>
        <w:tc>
          <w:tcPr>
            <w:tcW w:w="1276" w:type="dxa"/>
            <w:tcBorders>
              <w:top w:val="nil"/>
              <w:left w:val="nil"/>
              <w:bottom w:val="nil"/>
              <w:right w:val="nil"/>
            </w:tcBorders>
            <w:shd w:val="clear" w:color="auto" w:fill="auto"/>
            <w:vAlign w:val="center"/>
          </w:tcPr>
          <w:p w14:paraId="672F685D" w14:textId="3F2D3A0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276" w:type="dxa"/>
            <w:tcBorders>
              <w:top w:val="nil"/>
              <w:left w:val="nil"/>
              <w:bottom w:val="nil"/>
              <w:right w:val="nil"/>
            </w:tcBorders>
            <w:shd w:val="clear" w:color="auto" w:fill="auto"/>
            <w:vAlign w:val="center"/>
          </w:tcPr>
          <w:p w14:paraId="20C395D3" w14:textId="4517D0D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3474" w:type="dxa"/>
            <w:tcBorders>
              <w:top w:val="nil"/>
              <w:left w:val="nil"/>
              <w:bottom w:val="nil"/>
              <w:right w:val="nil"/>
            </w:tcBorders>
            <w:shd w:val="clear" w:color="auto" w:fill="auto"/>
            <w:vAlign w:val="center"/>
          </w:tcPr>
          <w:p w14:paraId="0A57718F" w14:textId="3DB2DD8F"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Argentina</w:t>
            </w:r>
          </w:p>
        </w:tc>
        <w:tc>
          <w:tcPr>
            <w:tcW w:w="1001" w:type="dxa"/>
            <w:tcBorders>
              <w:top w:val="nil"/>
              <w:left w:val="nil"/>
              <w:bottom w:val="nil"/>
              <w:right w:val="nil"/>
            </w:tcBorders>
            <w:shd w:val="clear" w:color="auto" w:fill="auto"/>
            <w:vAlign w:val="center"/>
          </w:tcPr>
          <w:p w14:paraId="57AC2D60" w14:textId="11EA858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0,50</w:t>
            </w:r>
          </w:p>
        </w:tc>
        <w:tc>
          <w:tcPr>
            <w:tcW w:w="1392" w:type="dxa"/>
            <w:tcBorders>
              <w:top w:val="nil"/>
              <w:left w:val="nil"/>
              <w:bottom w:val="nil"/>
              <w:right w:val="nil"/>
            </w:tcBorders>
            <w:shd w:val="clear" w:color="auto" w:fill="auto"/>
            <w:vAlign w:val="center"/>
          </w:tcPr>
          <w:p w14:paraId="03559F16" w14:textId="6D123A7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362" w:type="dxa"/>
            <w:tcBorders>
              <w:top w:val="nil"/>
              <w:left w:val="nil"/>
              <w:bottom w:val="nil"/>
              <w:right w:val="nil"/>
            </w:tcBorders>
            <w:shd w:val="clear" w:color="auto" w:fill="auto"/>
            <w:vAlign w:val="center"/>
          </w:tcPr>
          <w:p w14:paraId="06C4AEFE" w14:textId="6F5951E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r>
      <w:tr w:rsidR="00FF12AF" w:rsidRPr="006E4BE1" w14:paraId="193CEE76" w14:textId="77777777" w:rsidTr="006161F4">
        <w:trPr>
          <w:trHeight w:val="256"/>
        </w:trPr>
        <w:tc>
          <w:tcPr>
            <w:tcW w:w="1276" w:type="dxa"/>
            <w:tcBorders>
              <w:top w:val="nil"/>
              <w:left w:val="nil"/>
              <w:bottom w:val="nil"/>
              <w:right w:val="nil"/>
            </w:tcBorders>
            <w:shd w:val="clear" w:color="auto" w:fill="auto"/>
            <w:vAlign w:val="center"/>
          </w:tcPr>
          <w:p w14:paraId="59E84985" w14:textId="50A6E13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276" w:type="dxa"/>
            <w:tcBorders>
              <w:top w:val="nil"/>
              <w:left w:val="nil"/>
              <w:bottom w:val="nil"/>
              <w:right w:val="nil"/>
            </w:tcBorders>
            <w:shd w:val="clear" w:color="auto" w:fill="auto"/>
            <w:vAlign w:val="center"/>
          </w:tcPr>
          <w:p w14:paraId="3F59533A" w14:textId="2D1A783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3474" w:type="dxa"/>
            <w:tcBorders>
              <w:top w:val="nil"/>
              <w:left w:val="nil"/>
              <w:bottom w:val="nil"/>
              <w:right w:val="nil"/>
            </w:tcBorders>
            <w:shd w:val="clear" w:color="auto" w:fill="auto"/>
            <w:vAlign w:val="center"/>
          </w:tcPr>
          <w:p w14:paraId="60DA9EBA" w14:textId="6B826DCE"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Australia</w:t>
            </w:r>
          </w:p>
        </w:tc>
        <w:tc>
          <w:tcPr>
            <w:tcW w:w="1001" w:type="dxa"/>
            <w:tcBorders>
              <w:top w:val="nil"/>
              <w:left w:val="nil"/>
              <w:bottom w:val="nil"/>
              <w:right w:val="nil"/>
            </w:tcBorders>
            <w:shd w:val="clear" w:color="auto" w:fill="auto"/>
            <w:vAlign w:val="center"/>
          </w:tcPr>
          <w:p w14:paraId="3E082A6D" w14:textId="05BB6EE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1,00</w:t>
            </w:r>
          </w:p>
        </w:tc>
        <w:tc>
          <w:tcPr>
            <w:tcW w:w="1392" w:type="dxa"/>
            <w:tcBorders>
              <w:top w:val="nil"/>
              <w:left w:val="nil"/>
              <w:bottom w:val="nil"/>
              <w:right w:val="nil"/>
            </w:tcBorders>
            <w:shd w:val="clear" w:color="auto" w:fill="auto"/>
            <w:vAlign w:val="center"/>
          </w:tcPr>
          <w:p w14:paraId="5A505DCE" w14:textId="029A392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362" w:type="dxa"/>
            <w:tcBorders>
              <w:top w:val="nil"/>
              <w:left w:val="nil"/>
              <w:bottom w:val="nil"/>
              <w:right w:val="nil"/>
            </w:tcBorders>
            <w:shd w:val="clear" w:color="auto" w:fill="auto"/>
            <w:vAlign w:val="center"/>
          </w:tcPr>
          <w:p w14:paraId="582B893E" w14:textId="718F97E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r>
      <w:tr w:rsidR="00FF12AF" w:rsidRPr="006E4BE1" w14:paraId="29E35DD9" w14:textId="77777777" w:rsidTr="006161F4">
        <w:trPr>
          <w:trHeight w:val="256"/>
        </w:trPr>
        <w:tc>
          <w:tcPr>
            <w:tcW w:w="1276" w:type="dxa"/>
            <w:tcBorders>
              <w:top w:val="nil"/>
              <w:left w:val="nil"/>
              <w:bottom w:val="nil"/>
              <w:right w:val="nil"/>
            </w:tcBorders>
            <w:shd w:val="clear" w:color="auto" w:fill="auto"/>
            <w:vAlign w:val="center"/>
          </w:tcPr>
          <w:p w14:paraId="5194DDA9" w14:textId="2CC494F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40.231</w:t>
            </w:r>
          </w:p>
        </w:tc>
        <w:tc>
          <w:tcPr>
            <w:tcW w:w="1276" w:type="dxa"/>
            <w:tcBorders>
              <w:top w:val="nil"/>
              <w:left w:val="nil"/>
              <w:bottom w:val="nil"/>
              <w:right w:val="nil"/>
            </w:tcBorders>
            <w:shd w:val="clear" w:color="auto" w:fill="auto"/>
            <w:vAlign w:val="center"/>
          </w:tcPr>
          <w:p w14:paraId="57089075" w14:textId="0C93190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40.231</w:t>
            </w:r>
          </w:p>
        </w:tc>
        <w:tc>
          <w:tcPr>
            <w:tcW w:w="3474" w:type="dxa"/>
            <w:tcBorders>
              <w:top w:val="nil"/>
              <w:left w:val="nil"/>
              <w:bottom w:val="nil"/>
              <w:right w:val="nil"/>
            </w:tcBorders>
            <w:shd w:val="clear" w:color="auto" w:fill="auto"/>
            <w:vAlign w:val="center"/>
          </w:tcPr>
          <w:p w14:paraId="7E9AC033" w14:textId="0234DB59"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Austria</w:t>
            </w:r>
            <w:r w:rsidRPr="006E4BE1">
              <w:rPr>
                <w:rFonts w:ascii="Arial Narrow" w:hAnsi="Arial Narrow" w:cs="Arial"/>
                <w:color w:val="000000"/>
                <w:sz w:val="18"/>
                <w:szCs w:val="18"/>
                <w:vertAlign w:val="superscript"/>
                <w:lang w:val="es-ES_tradnl"/>
              </w:rPr>
              <w:t xml:space="preserve"> </w:t>
            </w:r>
          </w:p>
        </w:tc>
        <w:tc>
          <w:tcPr>
            <w:tcW w:w="1001" w:type="dxa"/>
            <w:tcBorders>
              <w:top w:val="nil"/>
              <w:left w:val="nil"/>
              <w:bottom w:val="nil"/>
              <w:right w:val="nil"/>
            </w:tcBorders>
            <w:shd w:val="clear" w:color="auto" w:fill="auto"/>
            <w:vAlign w:val="center"/>
          </w:tcPr>
          <w:p w14:paraId="11CC73B8" w14:textId="40CF8DB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0,75</w:t>
            </w:r>
          </w:p>
        </w:tc>
        <w:tc>
          <w:tcPr>
            <w:tcW w:w="1392" w:type="dxa"/>
            <w:tcBorders>
              <w:top w:val="nil"/>
              <w:left w:val="nil"/>
              <w:bottom w:val="nil"/>
              <w:right w:val="nil"/>
            </w:tcBorders>
            <w:shd w:val="clear" w:color="auto" w:fill="auto"/>
            <w:vAlign w:val="center"/>
          </w:tcPr>
          <w:p w14:paraId="6B8011D0" w14:textId="757CA20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40.231</w:t>
            </w:r>
          </w:p>
        </w:tc>
        <w:tc>
          <w:tcPr>
            <w:tcW w:w="1362" w:type="dxa"/>
            <w:tcBorders>
              <w:top w:val="nil"/>
              <w:left w:val="nil"/>
              <w:bottom w:val="nil"/>
              <w:right w:val="nil"/>
            </w:tcBorders>
            <w:shd w:val="clear" w:color="auto" w:fill="auto"/>
            <w:vAlign w:val="center"/>
          </w:tcPr>
          <w:p w14:paraId="2B384CB4" w14:textId="4960399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40.231</w:t>
            </w:r>
          </w:p>
        </w:tc>
      </w:tr>
      <w:tr w:rsidR="00FF12AF" w:rsidRPr="006E4BE1" w14:paraId="0336CC17" w14:textId="77777777" w:rsidTr="006161F4">
        <w:trPr>
          <w:trHeight w:val="256"/>
        </w:trPr>
        <w:tc>
          <w:tcPr>
            <w:tcW w:w="1276" w:type="dxa"/>
            <w:tcBorders>
              <w:top w:val="nil"/>
              <w:left w:val="nil"/>
              <w:bottom w:val="nil"/>
              <w:right w:val="nil"/>
            </w:tcBorders>
            <w:shd w:val="clear" w:color="auto" w:fill="auto"/>
            <w:vAlign w:val="center"/>
          </w:tcPr>
          <w:p w14:paraId="12941A1D" w14:textId="0B8E09E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56BA7A90" w14:textId="631FD28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AFCD0B6" w14:textId="56DBF0BD"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Azerbaiyán</w:t>
            </w:r>
          </w:p>
        </w:tc>
        <w:tc>
          <w:tcPr>
            <w:tcW w:w="1001" w:type="dxa"/>
            <w:tcBorders>
              <w:top w:val="nil"/>
              <w:left w:val="nil"/>
              <w:bottom w:val="nil"/>
              <w:right w:val="nil"/>
            </w:tcBorders>
            <w:shd w:val="clear" w:color="auto" w:fill="auto"/>
            <w:vAlign w:val="center"/>
          </w:tcPr>
          <w:p w14:paraId="5FDFAD42" w14:textId="4EAF53E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2306A055" w14:textId="3731DB0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5041B12C" w14:textId="0EAD1BF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0F8F8721" w14:textId="77777777" w:rsidTr="006161F4">
        <w:trPr>
          <w:trHeight w:val="256"/>
        </w:trPr>
        <w:tc>
          <w:tcPr>
            <w:tcW w:w="1276" w:type="dxa"/>
            <w:tcBorders>
              <w:top w:val="nil"/>
              <w:left w:val="nil"/>
              <w:bottom w:val="nil"/>
              <w:right w:val="nil"/>
            </w:tcBorders>
            <w:shd w:val="clear" w:color="auto" w:fill="auto"/>
            <w:vAlign w:val="center"/>
          </w:tcPr>
          <w:p w14:paraId="68403F6E" w14:textId="221602C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03CE5E32" w14:textId="417593C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1F00589E" w14:textId="56B28943"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Belarús</w:t>
            </w:r>
          </w:p>
        </w:tc>
        <w:tc>
          <w:tcPr>
            <w:tcW w:w="1001" w:type="dxa"/>
            <w:tcBorders>
              <w:top w:val="nil"/>
              <w:left w:val="nil"/>
              <w:bottom w:val="nil"/>
              <w:right w:val="nil"/>
            </w:tcBorders>
            <w:shd w:val="clear" w:color="auto" w:fill="auto"/>
            <w:vAlign w:val="center"/>
          </w:tcPr>
          <w:p w14:paraId="6B545E91" w14:textId="1A48BEF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1EBCD138" w14:textId="73D395B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4CB32497" w14:textId="1724B62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1D2350DF" w14:textId="77777777" w:rsidTr="006161F4">
        <w:trPr>
          <w:trHeight w:val="256"/>
        </w:trPr>
        <w:tc>
          <w:tcPr>
            <w:tcW w:w="1276" w:type="dxa"/>
            <w:tcBorders>
              <w:top w:val="nil"/>
              <w:left w:val="nil"/>
              <w:bottom w:val="nil"/>
              <w:right w:val="nil"/>
            </w:tcBorders>
            <w:shd w:val="clear" w:color="auto" w:fill="auto"/>
            <w:vAlign w:val="center"/>
          </w:tcPr>
          <w:p w14:paraId="103FC167" w14:textId="766DA48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1276" w:type="dxa"/>
            <w:tcBorders>
              <w:top w:val="nil"/>
              <w:left w:val="nil"/>
              <w:bottom w:val="nil"/>
              <w:right w:val="nil"/>
            </w:tcBorders>
            <w:shd w:val="clear" w:color="auto" w:fill="auto"/>
            <w:vAlign w:val="center"/>
          </w:tcPr>
          <w:p w14:paraId="78EB39AC" w14:textId="674CBFA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3474" w:type="dxa"/>
            <w:tcBorders>
              <w:top w:val="nil"/>
              <w:left w:val="nil"/>
              <w:bottom w:val="nil"/>
              <w:right w:val="nil"/>
            </w:tcBorders>
            <w:shd w:val="clear" w:color="auto" w:fill="auto"/>
            <w:vAlign w:val="center"/>
          </w:tcPr>
          <w:p w14:paraId="73107098" w14:textId="06606A85"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Bélgica</w:t>
            </w:r>
            <w:r w:rsidRPr="006E4BE1">
              <w:rPr>
                <w:rFonts w:ascii="Arial Narrow" w:hAnsi="Arial Narrow" w:cs="Arial"/>
                <w:color w:val="000000"/>
                <w:sz w:val="18"/>
                <w:szCs w:val="18"/>
                <w:vertAlign w:val="superscript"/>
                <w:lang w:val="es-ES_tradnl"/>
              </w:rPr>
              <w:t xml:space="preserve"> </w:t>
            </w:r>
          </w:p>
        </w:tc>
        <w:tc>
          <w:tcPr>
            <w:tcW w:w="1001" w:type="dxa"/>
            <w:tcBorders>
              <w:top w:val="nil"/>
              <w:left w:val="nil"/>
              <w:bottom w:val="nil"/>
              <w:right w:val="nil"/>
            </w:tcBorders>
            <w:shd w:val="clear" w:color="auto" w:fill="auto"/>
            <w:vAlign w:val="center"/>
          </w:tcPr>
          <w:p w14:paraId="58BC73D3" w14:textId="3BE31A6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1,50</w:t>
            </w:r>
          </w:p>
        </w:tc>
        <w:tc>
          <w:tcPr>
            <w:tcW w:w="1392" w:type="dxa"/>
            <w:tcBorders>
              <w:top w:val="nil"/>
              <w:left w:val="nil"/>
              <w:bottom w:val="nil"/>
              <w:right w:val="nil"/>
            </w:tcBorders>
            <w:shd w:val="clear" w:color="auto" w:fill="auto"/>
            <w:vAlign w:val="center"/>
          </w:tcPr>
          <w:p w14:paraId="50B44230" w14:textId="1279A49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1362" w:type="dxa"/>
            <w:tcBorders>
              <w:top w:val="nil"/>
              <w:left w:val="nil"/>
              <w:bottom w:val="nil"/>
              <w:right w:val="nil"/>
            </w:tcBorders>
            <w:shd w:val="clear" w:color="auto" w:fill="auto"/>
            <w:vAlign w:val="center"/>
          </w:tcPr>
          <w:p w14:paraId="2E5C11CA" w14:textId="5FABD1E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r>
      <w:tr w:rsidR="00FF12AF" w:rsidRPr="006E4BE1" w14:paraId="17940DE4" w14:textId="77777777" w:rsidTr="006161F4">
        <w:trPr>
          <w:trHeight w:val="256"/>
        </w:trPr>
        <w:tc>
          <w:tcPr>
            <w:tcW w:w="1276" w:type="dxa"/>
            <w:tcBorders>
              <w:top w:val="nil"/>
              <w:left w:val="nil"/>
              <w:bottom w:val="nil"/>
              <w:right w:val="nil"/>
            </w:tcBorders>
            <w:shd w:val="clear" w:color="auto" w:fill="auto"/>
            <w:vAlign w:val="center"/>
          </w:tcPr>
          <w:p w14:paraId="6EE2305C" w14:textId="5DA15D3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76661FD9" w14:textId="12820B4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6E0AD5C" w14:textId="21F880A3"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Bolivia (Estado Plurinacional de)</w:t>
            </w:r>
          </w:p>
        </w:tc>
        <w:tc>
          <w:tcPr>
            <w:tcW w:w="1001" w:type="dxa"/>
            <w:tcBorders>
              <w:top w:val="nil"/>
              <w:left w:val="nil"/>
              <w:bottom w:val="nil"/>
              <w:right w:val="nil"/>
            </w:tcBorders>
            <w:shd w:val="clear" w:color="auto" w:fill="auto"/>
            <w:vAlign w:val="center"/>
          </w:tcPr>
          <w:p w14:paraId="3467810F" w14:textId="556BA3C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01CEDFBD" w14:textId="1D7652A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786A0D7B" w14:textId="5F4E5A5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27EA9B7D" w14:textId="77777777" w:rsidTr="006161F4">
        <w:trPr>
          <w:trHeight w:val="256"/>
        </w:trPr>
        <w:tc>
          <w:tcPr>
            <w:tcW w:w="1276" w:type="dxa"/>
            <w:tcBorders>
              <w:top w:val="nil"/>
              <w:left w:val="nil"/>
              <w:bottom w:val="nil"/>
              <w:right w:val="nil"/>
            </w:tcBorders>
            <w:shd w:val="clear" w:color="auto" w:fill="auto"/>
            <w:vAlign w:val="center"/>
          </w:tcPr>
          <w:p w14:paraId="25E5A518" w14:textId="5BED7F5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75FB4535" w14:textId="413C345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39B0B00" w14:textId="3DB06C08"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 xml:space="preserve">Bosnia y Herzegovina </w:t>
            </w:r>
          </w:p>
        </w:tc>
        <w:tc>
          <w:tcPr>
            <w:tcW w:w="1001" w:type="dxa"/>
            <w:tcBorders>
              <w:top w:val="nil"/>
              <w:left w:val="nil"/>
              <w:bottom w:val="nil"/>
              <w:right w:val="nil"/>
            </w:tcBorders>
            <w:shd w:val="clear" w:color="auto" w:fill="auto"/>
            <w:vAlign w:val="center"/>
          </w:tcPr>
          <w:p w14:paraId="2E01C582" w14:textId="342D4FD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1502E325" w14:textId="495DACC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2AD0D0E5" w14:textId="29B9F97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6B219C6F" w14:textId="77777777" w:rsidTr="006161F4">
        <w:trPr>
          <w:trHeight w:val="256"/>
        </w:trPr>
        <w:tc>
          <w:tcPr>
            <w:tcW w:w="1276" w:type="dxa"/>
            <w:tcBorders>
              <w:top w:val="nil"/>
              <w:left w:val="nil"/>
              <w:bottom w:val="nil"/>
              <w:right w:val="nil"/>
            </w:tcBorders>
            <w:shd w:val="clear" w:color="auto" w:fill="auto"/>
            <w:vAlign w:val="center"/>
          </w:tcPr>
          <w:p w14:paraId="6E5BCA06" w14:textId="5EA3A29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13.410</w:t>
            </w:r>
          </w:p>
        </w:tc>
        <w:tc>
          <w:tcPr>
            <w:tcW w:w="1276" w:type="dxa"/>
            <w:tcBorders>
              <w:top w:val="nil"/>
              <w:left w:val="nil"/>
              <w:bottom w:val="nil"/>
              <w:right w:val="nil"/>
            </w:tcBorders>
            <w:shd w:val="clear" w:color="auto" w:fill="auto"/>
            <w:vAlign w:val="center"/>
          </w:tcPr>
          <w:p w14:paraId="52622A2F" w14:textId="46A177B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13.410</w:t>
            </w:r>
          </w:p>
        </w:tc>
        <w:tc>
          <w:tcPr>
            <w:tcW w:w="3474" w:type="dxa"/>
            <w:tcBorders>
              <w:top w:val="nil"/>
              <w:left w:val="nil"/>
              <w:bottom w:val="nil"/>
              <w:right w:val="nil"/>
            </w:tcBorders>
            <w:shd w:val="clear" w:color="auto" w:fill="auto"/>
            <w:vAlign w:val="center"/>
          </w:tcPr>
          <w:p w14:paraId="1AF93D65" w14:textId="3B7965F1"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Brasil</w:t>
            </w:r>
          </w:p>
        </w:tc>
        <w:tc>
          <w:tcPr>
            <w:tcW w:w="1001" w:type="dxa"/>
            <w:tcBorders>
              <w:top w:val="nil"/>
              <w:left w:val="nil"/>
              <w:bottom w:val="nil"/>
              <w:right w:val="nil"/>
            </w:tcBorders>
            <w:shd w:val="clear" w:color="auto" w:fill="auto"/>
            <w:vAlign w:val="center"/>
          </w:tcPr>
          <w:p w14:paraId="66B509E1" w14:textId="3B48A19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0,25</w:t>
            </w:r>
          </w:p>
        </w:tc>
        <w:tc>
          <w:tcPr>
            <w:tcW w:w="1392" w:type="dxa"/>
            <w:tcBorders>
              <w:top w:val="nil"/>
              <w:left w:val="nil"/>
              <w:bottom w:val="nil"/>
              <w:right w:val="nil"/>
            </w:tcBorders>
            <w:shd w:val="clear" w:color="auto" w:fill="auto"/>
            <w:vAlign w:val="center"/>
          </w:tcPr>
          <w:p w14:paraId="4A48F3CD" w14:textId="6C6B41C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13.410</w:t>
            </w:r>
          </w:p>
        </w:tc>
        <w:tc>
          <w:tcPr>
            <w:tcW w:w="1362" w:type="dxa"/>
            <w:tcBorders>
              <w:top w:val="nil"/>
              <w:left w:val="nil"/>
              <w:bottom w:val="nil"/>
              <w:right w:val="nil"/>
            </w:tcBorders>
            <w:shd w:val="clear" w:color="auto" w:fill="auto"/>
            <w:vAlign w:val="center"/>
          </w:tcPr>
          <w:p w14:paraId="6BBDCAFF" w14:textId="69C6F35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13.410</w:t>
            </w:r>
          </w:p>
        </w:tc>
      </w:tr>
      <w:tr w:rsidR="00FF12AF" w:rsidRPr="006E4BE1" w14:paraId="32C77F6A" w14:textId="77777777" w:rsidTr="006161F4">
        <w:trPr>
          <w:trHeight w:val="256"/>
        </w:trPr>
        <w:tc>
          <w:tcPr>
            <w:tcW w:w="1276" w:type="dxa"/>
            <w:tcBorders>
              <w:top w:val="nil"/>
              <w:left w:val="nil"/>
              <w:bottom w:val="nil"/>
              <w:right w:val="nil"/>
            </w:tcBorders>
            <w:shd w:val="clear" w:color="auto" w:fill="auto"/>
            <w:vAlign w:val="center"/>
          </w:tcPr>
          <w:p w14:paraId="037B3BA6" w14:textId="1072234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29AC0362" w14:textId="05BF358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70A834B" w14:textId="137454E2"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Bulgaria</w:t>
            </w:r>
          </w:p>
        </w:tc>
        <w:tc>
          <w:tcPr>
            <w:tcW w:w="1001" w:type="dxa"/>
            <w:tcBorders>
              <w:top w:val="nil"/>
              <w:left w:val="nil"/>
              <w:bottom w:val="nil"/>
              <w:right w:val="nil"/>
            </w:tcBorders>
            <w:shd w:val="clear" w:color="auto" w:fill="auto"/>
            <w:vAlign w:val="center"/>
          </w:tcPr>
          <w:p w14:paraId="795BB307" w14:textId="70E90C5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4DF00B21" w14:textId="378C105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0CE7C6EF" w14:textId="135BE19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5BC98644" w14:textId="77777777" w:rsidTr="006161F4">
        <w:trPr>
          <w:trHeight w:val="256"/>
        </w:trPr>
        <w:tc>
          <w:tcPr>
            <w:tcW w:w="1276" w:type="dxa"/>
            <w:tcBorders>
              <w:top w:val="nil"/>
              <w:left w:val="nil"/>
              <w:bottom w:val="nil"/>
              <w:right w:val="nil"/>
            </w:tcBorders>
            <w:shd w:val="clear" w:color="auto" w:fill="auto"/>
            <w:vAlign w:val="center"/>
          </w:tcPr>
          <w:p w14:paraId="2A6FCF04" w14:textId="46EA9E6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276" w:type="dxa"/>
            <w:tcBorders>
              <w:top w:val="nil"/>
              <w:left w:val="nil"/>
              <w:bottom w:val="nil"/>
              <w:right w:val="nil"/>
            </w:tcBorders>
            <w:shd w:val="clear" w:color="auto" w:fill="auto"/>
            <w:vAlign w:val="center"/>
          </w:tcPr>
          <w:p w14:paraId="1E658733" w14:textId="31CC680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3474" w:type="dxa"/>
            <w:tcBorders>
              <w:top w:val="nil"/>
              <w:left w:val="nil"/>
              <w:bottom w:val="nil"/>
              <w:right w:val="nil"/>
            </w:tcBorders>
            <w:shd w:val="clear" w:color="auto" w:fill="auto"/>
            <w:vAlign w:val="center"/>
          </w:tcPr>
          <w:p w14:paraId="38007297" w14:textId="09BFC9BC"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Canadá</w:t>
            </w:r>
          </w:p>
        </w:tc>
        <w:tc>
          <w:tcPr>
            <w:tcW w:w="1001" w:type="dxa"/>
            <w:tcBorders>
              <w:top w:val="nil"/>
              <w:left w:val="nil"/>
              <w:bottom w:val="nil"/>
              <w:right w:val="nil"/>
            </w:tcBorders>
            <w:shd w:val="clear" w:color="auto" w:fill="auto"/>
            <w:vAlign w:val="center"/>
          </w:tcPr>
          <w:p w14:paraId="0438D424" w14:textId="1DAAE81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1,00</w:t>
            </w:r>
          </w:p>
        </w:tc>
        <w:tc>
          <w:tcPr>
            <w:tcW w:w="1392" w:type="dxa"/>
            <w:tcBorders>
              <w:top w:val="nil"/>
              <w:left w:val="nil"/>
              <w:bottom w:val="nil"/>
              <w:right w:val="nil"/>
            </w:tcBorders>
            <w:shd w:val="clear" w:color="auto" w:fill="auto"/>
            <w:vAlign w:val="center"/>
          </w:tcPr>
          <w:p w14:paraId="132F0EEC" w14:textId="4095CBE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362" w:type="dxa"/>
            <w:tcBorders>
              <w:top w:val="nil"/>
              <w:left w:val="nil"/>
              <w:bottom w:val="nil"/>
              <w:right w:val="nil"/>
            </w:tcBorders>
            <w:shd w:val="clear" w:color="auto" w:fill="auto"/>
            <w:vAlign w:val="center"/>
          </w:tcPr>
          <w:p w14:paraId="0F5C1CCC" w14:textId="4DBC8D8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r>
      <w:tr w:rsidR="00FF12AF" w:rsidRPr="006E4BE1" w14:paraId="496A377D" w14:textId="77777777" w:rsidTr="006161F4">
        <w:trPr>
          <w:trHeight w:val="256"/>
        </w:trPr>
        <w:tc>
          <w:tcPr>
            <w:tcW w:w="1276" w:type="dxa"/>
            <w:tcBorders>
              <w:top w:val="nil"/>
              <w:left w:val="nil"/>
              <w:bottom w:val="nil"/>
              <w:right w:val="nil"/>
            </w:tcBorders>
            <w:shd w:val="clear" w:color="auto" w:fill="auto"/>
            <w:vAlign w:val="center"/>
          </w:tcPr>
          <w:p w14:paraId="5D30B578" w14:textId="558E2C6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30AEA379" w14:textId="4A49C29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36C21B7F" w14:textId="0ABAA832"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Chile</w:t>
            </w:r>
          </w:p>
        </w:tc>
        <w:tc>
          <w:tcPr>
            <w:tcW w:w="1001" w:type="dxa"/>
            <w:tcBorders>
              <w:top w:val="nil"/>
              <w:left w:val="nil"/>
              <w:bottom w:val="nil"/>
              <w:right w:val="nil"/>
            </w:tcBorders>
            <w:shd w:val="clear" w:color="auto" w:fill="auto"/>
            <w:vAlign w:val="center"/>
          </w:tcPr>
          <w:p w14:paraId="4FA59600" w14:textId="35D3466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1E78670D" w14:textId="053FC44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0C162A87" w14:textId="7A59340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78D3E508" w14:textId="77777777" w:rsidTr="006161F4">
        <w:trPr>
          <w:trHeight w:val="256"/>
        </w:trPr>
        <w:tc>
          <w:tcPr>
            <w:tcW w:w="1276" w:type="dxa"/>
            <w:tcBorders>
              <w:top w:val="nil"/>
              <w:left w:val="nil"/>
              <w:bottom w:val="nil"/>
              <w:right w:val="nil"/>
            </w:tcBorders>
            <w:shd w:val="clear" w:color="auto" w:fill="auto"/>
            <w:vAlign w:val="center"/>
          </w:tcPr>
          <w:p w14:paraId="0ADF83F7" w14:textId="4B2EBE4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276" w:type="dxa"/>
            <w:tcBorders>
              <w:top w:val="nil"/>
              <w:left w:val="nil"/>
              <w:bottom w:val="nil"/>
              <w:right w:val="nil"/>
            </w:tcBorders>
            <w:shd w:val="clear" w:color="auto" w:fill="auto"/>
            <w:vAlign w:val="center"/>
          </w:tcPr>
          <w:p w14:paraId="3BD64E22" w14:textId="5B465E7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3474" w:type="dxa"/>
            <w:tcBorders>
              <w:top w:val="nil"/>
              <w:left w:val="nil"/>
              <w:bottom w:val="nil"/>
              <w:right w:val="nil"/>
            </w:tcBorders>
            <w:shd w:val="clear" w:color="auto" w:fill="auto"/>
            <w:vAlign w:val="center"/>
          </w:tcPr>
          <w:p w14:paraId="2780390F" w14:textId="35A2EFAC"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China</w:t>
            </w:r>
          </w:p>
        </w:tc>
        <w:tc>
          <w:tcPr>
            <w:tcW w:w="1001" w:type="dxa"/>
            <w:tcBorders>
              <w:top w:val="nil"/>
              <w:left w:val="nil"/>
              <w:bottom w:val="nil"/>
              <w:right w:val="nil"/>
            </w:tcBorders>
            <w:shd w:val="clear" w:color="auto" w:fill="auto"/>
            <w:vAlign w:val="center"/>
          </w:tcPr>
          <w:p w14:paraId="7D19AB98" w14:textId="46D1574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2,00</w:t>
            </w:r>
          </w:p>
        </w:tc>
        <w:tc>
          <w:tcPr>
            <w:tcW w:w="1392" w:type="dxa"/>
            <w:tcBorders>
              <w:top w:val="nil"/>
              <w:left w:val="nil"/>
              <w:bottom w:val="nil"/>
              <w:right w:val="nil"/>
            </w:tcBorders>
            <w:shd w:val="clear" w:color="auto" w:fill="auto"/>
            <w:vAlign w:val="center"/>
          </w:tcPr>
          <w:p w14:paraId="5CD8DA6E" w14:textId="680EF93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362" w:type="dxa"/>
            <w:tcBorders>
              <w:top w:val="nil"/>
              <w:left w:val="nil"/>
              <w:bottom w:val="nil"/>
              <w:right w:val="nil"/>
            </w:tcBorders>
            <w:shd w:val="clear" w:color="auto" w:fill="auto"/>
            <w:vAlign w:val="center"/>
          </w:tcPr>
          <w:p w14:paraId="0640A3AD" w14:textId="217AACF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r>
      <w:tr w:rsidR="00FF12AF" w:rsidRPr="006E4BE1" w14:paraId="0E7F2B92" w14:textId="77777777" w:rsidTr="006161F4">
        <w:trPr>
          <w:trHeight w:val="256"/>
        </w:trPr>
        <w:tc>
          <w:tcPr>
            <w:tcW w:w="1276" w:type="dxa"/>
            <w:tcBorders>
              <w:top w:val="nil"/>
              <w:left w:val="nil"/>
              <w:bottom w:val="nil"/>
              <w:right w:val="nil"/>
            </w:tcBorders>
            <w:shd w:val="clear" w:color="auto" w:fill="auto"/>
            <w:vAlign w:val="center"/>
          </w:tcPr>
          <w:p w14:paraId="74066528" w14:textId="7A49286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3463961C" w14:textId="639F367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6B827D45" w14:textId="6DF8EDE8"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Colombia</w:t>
            </w:r>
          </w:p>
        </w:tc>
        <w:tc>
          <w:tcPr>
            <w:tcW w:w="1001" w:type="dxa"/>
            <w:tcBorders>
              <w:top w:val="nil"/>
              <w:left w:val="nil"/>
              <w:bottom w:val="nil"/>
              <w:right w:val="nil"/>
            </w:tcBorders>
            <w:shd w:val="clear" w:color="auto" w:fill="auto"/>
            <w:vAlign w:val="center"/>
          </w:tcPr>
          <w:p w14:paraId="080CBCC0" w14:textId="01CBE17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6BB1CED0" w14:textId="059508D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1F580331" w14:textId="4181EB7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2409A8B2" w14:textId="77777777" w:rsidTr="006161F4">
        <w:trPr>
          <w:trHeight w:val="256"/>
        </w:trPr>
        <w:tc>
          <w:tcPr>
            <w:tcW w:w="1276" w:type="dxa"/>
            <w:tcBorders>
              <w:top w:val="nil"/>
              <w:left w:val="nil"/>
              <w:bottom w:val="nil"/>
              <w:right w:val="nil"/>
            </w:tcBorders>
            <w:shd w:val="clear" w:color="auto" w:fill="auto"/>
            <w:vAlign w:val="center"/>
          </w:tcPr>
          <w:p w14:paraId="3FB73F6E" w14:textId="303220C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74092C0F" w14:textId="0E1FB7C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1EEC3822" w14:textId="71DA0616"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Costa Rica</w:t>
            </w:r>
          </w:p>
        </w:tc>
        <w:tc>
          <w:tcPr>
            <w:tcW w:w="1001" w:type="dxa"/>
            <w:tcBorders>
              <w:top w:val="nil"/>
              <w:left w:val="nil"/>
              <w:bottom w:val="nil"/>
              <w:right w:val="nil"/>
            </w:tcBorders>
            <w:shd w:val="clear" w:color="auto" w:fill="auto"/>
            <w:vAlign w:val="center"/>
          </w:tcPr>
          <w:p w14:paraId="67322D6B" w14:textId="54286E0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0B053D23" w14:textId="2E12F6D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63072454" w14:textId="289545B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33C2B9BA" w14:textId="77777777" w:rsidTr="006161F4">
        <w:trPr>
          <w:trHeight w:val="256"/>
        </w:trPr>
        <w:tc>
          <w:tcPr>
            <w:tcW w:w="1276" w:type="dxa"/>
            <w:tcBorders>
              <w:top w:val="nil"/>
              <w:left w:val="nil"/>
              <w:bottom w:val="nil"/>
              <w:right w:val="nil"/>
            </w:tcBorders>
            <w:shd w:val="clear" w:color="auto" w:fill="auto"/>
            <w:vAlign w:val="center"/>
          </w:tcPr>
          <w:p w14:paraId="21998A02" w14:textId="01A057A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1A50444C" w14:textId="7F4E35F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1458DBB9" w14:textId="76784DD1"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Croacia</w:t>
            </w:r>
          </w:p>
        </w:tc>
        <w:tc>
          <w:tcPr>
            <w:tcW w:w="1001" w:type="dxa"/>
            <w:tcBorders>
              <w:top w:val="nil"/>
              <w:left w:val="nil"/>
              <w:bottom w:val="nil"/>
              <w:right w:val="nil"/>
            </w:tcBorders>
            <w:shd w:val="clear" w:color="auto" w:fill="auto"/>
            <w:vAlign w:val="center"/>
          </w:tcPr>
          <w:p w14:paraId="2FF1FFF4" w14:textId="004E4CA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71F512DF" w14:textId="56DE802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61E1F00B" w14:textId="30E70C7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1240CDE3" w14:textId="77777777" w:rsidTr="006161F4">
        <w:trPr>
          <w:trHeight w:val="256"/>
        </w:trPr>
        <w:tc>
          <w:tcPr>
            <w:tcW w:w="1276" w:type="dxa"/>
            <w:tcBorders>
              <w:top w:val="nil"/>
              <w:left w:val="nil"/>
              <w:bottom w:val="nil"/>
              <w:right w:val="nil"/>
            </w:tcBorders>
            <w:shd w:val="clear" w:color="auto" w:fill="auto"/>
            <w:vAlign w:val="center"/>
          </w:tcPr>
          <w:p w14:paraId="505BE558" w14:textId="2AD6379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276" w:type="dxa"/>
            <w:tcBorders>
              <w:top w:val="nil"/>
              <w:left w:val="nil"/>
              <w:bottom w:val="nil"/>
              <w:right w:val="nil"/>
            </w:tcBorders>
            <w:shd w:val="clear" w:color="auto" w:fill="auto"/>
            <w:vAlign w:val="center"/>
          </w:tcPr>
          <w:p w14:paraId="707A3376" w14:textId="771EF66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3474" w:type="dxa"/>
            <w:tcBorders>
              <w:top w:val="nil"/>
              <w:left w:val="nil"/>
              <w:bottom w:val="nil"/>
              <w:right w:val="nil"/>
            </w:tcBorders>
            <w:shd w:val="clear" w:color="auto" w:fill="auto"/>
            <w:vAlign w:val="center"/>
          </w:tcPr>
          <w:p w14:paraId="1B15358C" w14:textId="79DF3B0F"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Dinamarca</w:t>
            </w:r>
          </w:p>
        </w:tc>
        <w:tc>
          <w:tcPr>
            <w:tcW w:w="1001" w:type="dxa"/>
            <w:tcBorders>
              <w:top w:val="nil"/>
              <w:left w:val="nil"/>
              <w:bottom w:val="nil"/>
              <w:right w:val="nil"/>
            </w:tcBorders>
            <w:shd w:val="clear" w:color="auto" w:fill="auto"/>
            <w:vAlign w:val="center"/>
          </w:tcPr>
          <w:p w14:paraId="17B4031E" w14:textId="03E99B7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0,50</w:t>
            </w:r>
          </w:p>
        </w:tc>
        <w:tc>
          <w:tcPr>
            <w:tcW w:w="1392" w:type="dxa"/>
            <w:tcBorders>
              <w:top w:val="nil"/>
              <w:left w:val="nil"/>
              <w:bottom w:val="nil"/>
              <w:right w:val="nil"/>
            </w:tcBorders>
            <w:shd w:val="clear" w:color="auto" w:fill="auto"/>
            <w:vAlign w:val="center"/>
          </w:tcPr>
          <w:p w14:paraId="6FE865C5" w14:textId="33FE2F8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362" w:type="dxa"/>
            <w:tcBorders>
              <w:top w:val="nil"/>
              <w:left w:val="nil"/>
              <w:bottom w:val="nil"/>
              <w:right w:val="nil"/>
            </w:tcBorders>
            <w:shd w:val="clear" w:color="auto" w:fill="auto"/>
            <w:vAlign w:val="center"/>
          </w:tcPr>
          <w:p w14:paraId="41952888" w14:textId="3971F4D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r>
      <w:tr w:rsidR="00FF12AF" w:rsidRPr="006E4BE1" w14:paraId="1CF8F78C" w14:textId="77777777" w:rsidTr="006161F4">
        <w:trPr>
          <w:trHeight w:val="256"/>
        </w:trPr>
        <w:tc>
          <w:tcPr>
            <w:tcW w:w="1276" w:type="dxa"/>
            <w:tcBorders>
              <w:top w:val="nil"/>
              <w:left w:val="nil"/>
              <w:bottom w:val="nil"/>
              <w:right w:val="nil"/>
            </w:tcBorders>
            <w:shd w:val="clear" w:color="auto" w:fill="auto"/>
            <w:vAlign w:val="center"/>
          </w:tcPr>
          <w:p w14:paraId="5B274731" w14:textId="63CB52D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0CE318D1" w14:textId="0A3607C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7F3BC09F" w14:textId="55D538EE"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Ecuador</w:t>
            </w:r>
          </w:p>
        </w:tc>
        <w:tc>
          <w:tcPr>
            <w:tcW w:w="1001" w:type="dxa"/>
            <w:tcBorders>
              <w:top w:val="nil"/>
              <w:left w:val="nil"/>
              <w:bottom w:val="nil"/>
              <w:right w:val="nil"/>
            </w:tcBorders>
            <w:shd w:val="clear" w:color="auto" w:fill="auto"/>
            <w:vAlign w:val="center"/>
          </w:tcPr>
          <w:p w14:paraId="32598488" w14:textId="6FF5E1E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2F3E171F" w14:textId="46E8DDF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7C09BF33" w14:textId="6E97643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0A1B5D83" w14:textId="77777777" w:rsidTr="006161F4">
        <w:trPr>
          <w:trHeight w:val="256"/>
        </w:trPr>
        <w:tc>
          <w:tcPr>
            <w:tcW w:w="1276" w:type="dxa"/>
            <w:tcBorders>
              <w:top w:val="nil"/>
              <w:left w:val="nil"/>
              <w:bottom w:val="nil"/>
              <w:right w:val="nil"/>
            </w:tcBorders>
            <w:shd w:val="clear" w:color="auto" w:fill="auto"/>
            <w:vAlign w:val="center"/>
          </w:tcPr>
          <w:p w14:paraId="163D7E9E" w14:textId="40EC102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502F352F" w14:textId="3B35A72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3E183859" w14:textId="14595E7B"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Egipto</w:t>
            </w:r>
          </w:p>
        </w:tc>
        <w:tc>
          <w:tcPr>
            <w:tcW w:w="1001" w:type="dxa"/>
            <w:tcBorders>
              <w:top w:val="nil"/>
              <w:left w:val="nil"/>
              <w:bottom w:val="nil"/>
              <w:right w:val="nil"/>
            </w:tcBorders>
            <w:shd w:val="clear" w:color="auto" w:fill="auto"/>
            <w:vAlign w:val="center"/>
          </w:tcPr>
          <w:p w14:paraId="423673DE" w14:textId="438A3EB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3E07D4B4" w14:textId="2994EED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4D77DB0D" w14:textId="519C5BD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054E1A1D" w14:textId="77777777" w:rsidTr="006161F4">
        <w:trPr>
          <w:trHeight w:val="256"/>
        </w:trPr>
        <w:tc>
          <w:tcPr>
            <w:tcW w:w="1276" w:type="dxa"/>
            <w:tcBorders>
              <w:top w:val="nil"/>
              <w:left w:val="nil"/>
              <w:bottom w:val="nil"/>
              <w:right w:val="nil"/>
            </w:tcBorders>
            <w:shd w:val="clear" w:color="auto" w:fill="auto"/>
            <w:vAlign w:val="center"/>
          </w:tcPr>
          <w:p w14:paraId="56DF319F" w14:textId="767C32D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276" w:type="dxa"/>
            <w:tcBorders>
              <w:top w:val="nil"/>
              <w:left w:val="nil"/>
              <w:bottom w:val="nil"/>
              <w:right w:val="nil"/>
            </w:tcBorders>
            <w:shd w:val="clear" w:color="auto" w:fill="auto"/>
            <w:vAlign w:val="center"/>
          </w:tcPr>
          <w:p w14:paraId="4B7F8218" w14:textId="15B7B6A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3474" w:type="dxa"/>
            <w:tcBorders>
              <w:top w:val="nil"/>
              <w:left w:val="nil"/>
              <w:bottom w:val="nil"/>
              <w:right w:val="nil"/>
            </w:tcBorders>
            <w:shd w:val="clear" w:color="auto" w:fill="auto"/>
            <w:vAlign w:val="center"/>
          </w:tcPr>
          <w:p w14:paraId="75AEAAAE" w14:textId="43E7F0D3"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Eslovaquia</w:t>
            </w:r>
          </w:p>
        </w:tc>
        <w:tc>
          <w:tcPr>
            <w:tcW w:w="1001" w:type="dxa"/>
            <w:tcBorders>
              <w:top w:val="nil"/>
              <w:left w:val="nil"/>
              <w:bottom w:val="nil"/>
              <w:right w:val="nil"/>
            </w:tcBorders>
            <w:shd w:val="clear" w:color="auto" w:fill="auto"/>
            <w:vAlign w:val="center"/>
          </w:tcPr>
          <w:p w14:paraId="48D6DEDB" w14:textId="340EB0A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0,50</w:t>
            </w:r>
          </w:p>
        </w:tc>
        <w:tc>
          <w:tcPr>
            <w:tcW w:w="1392" w:type="dxa"/>
            <w:tcBorders>
              <w:top w:val="nil"/>
              <w:left w:val="nil"/>
              <w:bottom w:val="nil"/>
              <w:right w:val="nil"/>
            </w:tcBorders>
            <w:shd w:val="clear" w:color="auto" w:fill="auto"/>
            <w:vAlign w:val="center"/>
          </w:tcPr>
          <w:p w14:paraId="763044F5" w14:textId="329C0D5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362" w:type="dxa"/>
            <w:tcBorders>
              <w:top w:val="nil"/>
              <w:left w:val="nil"/>
              <w:bottom w:val="nil"/>
              <w:right w:val="nil"/>
            </w:tcBorders>
            <w:shd w:val="clear" w:color="auto" w:fill="auto"/>
            <w:vAlign w:val="center"/>
          </w:tcPr>
          <w:p w14:paraId="34D25D32" w14:textId="27B8F3E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r>
      <w:tr w:rsidR="00FF12AF" w:rsidRPr="006E4BE1" w14:paraId="15660C91" w14:textId="77777777" w:rsidTr="006161F4">
        <w:trPr>
          <w:trHeight w:val="256"/>
        </w:trPr>
        <w:tc>
          <w:tcPr>
            <w:tcW w:w="1276" w:type="dxa"/>
            <w:tcBorders>
              <w:top w:val="nil"/>
              <w:left w:val="nil"/>
              <w:bottom w:val="nil"/>
              <w:right w:val="nil"/>
            </w:tcBorders>
            <w:shd w:val="clear" w:color="auto" w:fill="auto"/>
            <w:vAlign w:val="center"/>
          </w:tcPr>
          <w:p w14:paraId="204C80EF" w14:textId="7D711C2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31FB25B8" w14:textId="775242C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0AE2D5F8" w14:textId="29D8F675"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Eslovenia</w:t>
            </w:r>
          </w:p>
        </w:tc>
        <w:tc>
          <w:tcPr>
            <w:tcW w:w="1001" w:type="dxa"/>
            <w:tcBorders>
              <w:top w:val="nil"/>
              <w:left w:val="nil"/>
              <w:bottom w:val="nil"/>
              <w:right w:val="nil"/>
            </w:tcBorders>
            <w:shd w:val="clear" w:color="auto" w:fill="auto"/>
            <w:vAlign w:val="center"/>
          </w:tcPr>
          <w:p w14:paraId="3B374191" w14:textId="0373AD7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51DB3389" w14:textId="07D2623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61550322" w14:textId="2D0F4D8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3B6672F7" w14:textId="77777777" w:rsidTr="006161F4">
        <w:trPr>
          <w:trHeight w:val="256"/>
        </w:trPr>
        <w:tc>
          <w:tcPr>
            <w:tcW w:w="1276" w:type="dxa"/>
            <w:tcBorders>
              <w:top w:val="nil"/>
              <w:left w:val="nil"/>
              <w:bottom w:val="nil"/>
              <w:right w:val="nil"/>
            </w:tcBorders>
            <w:shd w:val="clear" w:color="auto" w:fill="auto"/>
            <w:vAlign w:val="center"/>
          </w:tcPr>
          <w:p w14:paraId="06FCC8A8" w14:textId="3F1DCA3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276" w:type="dxa"/>
            <w:tcBorders>
              <w:top w:val="nil"/>
              <w:left w:val="nil"/>
              <w:bottom w:val="nil"/>
              <w:right w:val="nil"/>
            </w:tcBorders>
            <w:shd w:val="clear" w:color="auto" w:fill="auto"/>
            <w:vAlign w:val="center"/>
          </w:tcPr>
          <w:p w14:paraId="2AAA8E6E" w14:textId="74E3BD8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3474" w:type="dxa"/>
            <w:tcBorders>
              <w:top w:val="nil"/>
              <w:left w:val="nil"/>
              <w:bottom w:val="nil"/>
              <w:right w:val="nil"/>
            </w:tcBorders>
            <w:shd w:val="clear" w:color="auto" w:fill="auto"/>
            <w:vAlign w:val="center"/>
          </w:tcPr>
          <w:p w14:paraId="6C26CAAE" w14:textId="5FEBCA0C"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España</w:t>
            </w:r>
          </w:p>
        </w:tc>
        <w:tc>
          <w:tcPr>
            <w:tcW w:w="1001" w:type="dxa"/>
            <w:tcBorders>
              <w:top w:val="nil"/>
              <w:left w:val="nil"/>
              <w:bottom w:val="nil"/>
              <w:right w:val="nil"/>
            </w:tcBorders>
            <w:shd w:val="clear" w:color="auto" w:fill="auto"/>
            <w:vAlign w:val="center"/>
          </w:tcPr>
          <w:p w14:paraId="273A624F" w14:textId="73B32A1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2,00</w:t>
            </w:r>
          </w:p>
        </w:tc>
        <w:tc>
          <w:tcPr>
            <w:tcW w:w="1392" w:type="dxa"/>
            <w:tcBorders>
              <w:top w:val="nil"/>
              <w:left w:val="nil"/>
              <w:bottom w:val="nil"/>
              <w:right w:val="nil"/>
            </w:tcBorders>
            <w:shd w:val="clear" w:color="auto" w:fill="auto"/>
            <w:vAlign w:val="center"/>
          </w:tcPr>
          <w:p w14:paraId="05DA3629" w14:textId="3B61A3B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362" w:type="dxa"/>
            <w:tcBorders>
              <w:top w:val="nil"/>
              <w:left w:val="nil"/>
              <w:bottom w:val="nil"/>
              <w:right w:val="nil"/>
            </w:tcBorders>
            <w:shd w:val="clear" w:color="auto" w:fill="auto"/>
            <w:vAlign w:val="center"/>
          </w:tcPr>
          <w:p w14:paraId="1F5C84FC" w14:textId="2BD39AA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r>
      <w:tr w:rsidR="00FF12AF" w:rsidRPr="006E4BE1" w14:paraId="61DB68BF" w14:textId="77777777" w:rsidTr="006161F4">
        <w:trPr>
          <w:trHeight w:val="256"/>
        </w:trPr>
        <w:tc>
          <w:tcPr>
            <w:tcW w:w="1276" w:type="dxa"/>
            <w:tcBorders>
              <w:top w:val="nil"/>
              <w:left w:val="nil"/>
              <w:bottom w:val="nil"/>
              <w:right w:val="nil"/>
            </w:tcBorders>
            <w:shd w:val="clear" w:color="auto" w:fill="auto"/>
            <w:vAlign w:val="center"/>
          </w:tcPr>
          <w:p w14:paraId="64554924" w14:textId="6FE097F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276" w:type="dxa"/>
            <w:tcBorders>
              <w:top w:val="nil"/>
              <w:left w:val="nil"/>
              <w:bottom w:val="nil"/>
              <w:right w:val="nil"/>
            </w:tcBorders>
            <w:shd w:val="clear" w:color="auto" w:fill="auto"/>
            <w:vAlign w:val="center"/>
          </w:tcPr>
          <w:p w14:paraId="36E3DAFF" w14:textId="16339BE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3474" w:type="dxa"/>
            <w:tcBorders>
              <w:top w:val="nil"/>
              <w:left w:val="nil"/>
              <w:bottom w:val="nil"/>
              <w:right w:val="nil"/>
            </w:tcBorders>
            <w:shd w:val="clear" w:color="auto" w:fill="auto"/>
            <w:vAlign w:val="center"/>
          </w:tcPr>
          <w:p w14:paraId="5E553836" w14:textId="54F0C269"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Estados Unidos de América</w:t>
            </w:r>
          </w:p>
        </w:tc>
        <w:tc>
          <w:tcPr>
            <w:tcW w:w="1001" w:type="dxa"/>
            <w:tcBorders>
              <w:top w:val="nil"/>
              <w:left w:val="nil"/>
              <w:bottom w:val="nil"/>
              <w:right w:val="nil"/>
            </w:tcBorders>
            <w:shd w:val="clear" w:color="auto" w:fill="auto"/>
            <w:vAlign w:val="center"/>
          </w:tcPr>
          <w:p w14:paraId="065A45B7" w14:textId="335F19A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5,00</w:t>
            </w:r>
          </w:p>
        </w:tc>
        <w:tc>
          <w:tcPr>
            <w:tcW w:w="1392" w:type="dxa"/>
            <w:tcBorders>
              <w:top w:val="nil"/>
              <w:left w:val="nil"/>
              <w:bottom w:val="nil"/>
              <w:right w:val="nil"/>
            </w:tcBorders>
            <w:shd w:val="clear" w:color="auto" w:fill="auto"/>
            <w:vAlign w:val="center"/>
          </w:tcPr>
          <w:p w14:paraId="503125A4" w14:textId="6267D78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362" w:type="dxa"/>
            <w:tcBorders>
              <w:top w:val="nil"/>
              <w:left w:val="nil"/>
              <w:bottom w:val="nil"/>
              <w:right w:val="nil"/>
            </w:tcBorders>
            <w:shd w:val="clear" w:color="auto" w:fill="auto"/>
            <w:vAlign w:val="center"/>
          </w:tcPr>
          <w:p w14:paraId="087DEC35" w14:textId="44C481A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r>
      <w:tr w:rsidR="00FF12AF" w:rsidRPr="006E4BE1" w14:paraId="474834D5" w14:textId="77777777" w:rsidTr="006161F4">
        <w:trPr>
          <w:trHeight w:val="256"/>
        </w:trPr>
        <w:tc>
          <w:tcPr>
            <w:tcW w:w="1276" w:type="dxa"/>
            <w:tcBorders>
              <w:top w:val="nil"/>
              <w:left w:val="nil"/>
              <w:bottom w:val="nil"/>
              <w:right w:val="nil"/>
            </w:tcBorders>
            <w:shd w:val="clear" w:color="auto" w:fill="auto"/>
            <w:vAlign w:val="center"/>
          </w:tcPr>
          <w:p w14:paraId="394E49C5" w14:textId="41ADD5A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0B70D101" w14:textId="44EB460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020EBCF4" w14:textId="10EA883C"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Estonia</w:t>
            </w:r>
          </w:p>
        </w:tc>
        <w:tc>
          <w:tcPr>
            <w:tcW w:w="1001" w:type="dxa"/>
            <w:tcBorders>
              <w:top w:val="nil"/>
              <w:left w:val="nil"/>
              <w:bottom w:val="nil"/>
              <w:right w:val="nil"/>
            </w:tcBorders>
            <w:shd w:val="clear" w:color="auto" w:fill="auto"/>
            <w:vAlign w:val="center"/>
          </w:tcPr>
          <w:p w14:paraId="0A7388DA" w14:textId="10792BC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0D55CD1F" w14:textId="1391642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2FAAD207" w14:textId="4BBC3DD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64EFB6C6" w14:textId="77777777" w:rsidTr="006161F4">
        <w:trPr>
          <w:trHeight w:val="256"/>
        </w:trPr>
        <w:tc>
          <w:tcPr>
            <w:tcW w:w="1276" w:type="dxa"/>
            <w:tcBorders>
              <w:top w:val="nil"/>
              <w:left w:val="nil"/>
              <w:bottom w:val="nil"/>
              <w:right w:val="nil"/>
            </w:tcBorders>
            <w:shd w:val="clear" w:color="auto" w:fill="auto"/>
            <w:vAlign w:val="center"/>
          </w:tcPr>
          <w:p w14:paraId="381F9D9B" w14:textId="0F9CCC0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276" w:type="dxa"/>
            <w:tcBorders>
              <w:top w:val="nil"/>
              <w:left w:val="nil"/>
              <w:bottom w:val="nil"/>
              <w:right w:val="nil"/>
            </w:tcBorders>
            <w:shd w:val="clear" w:color="auto" w:fill="auto"/>
            <w:vAlign w:val="center"/>
          </w:tcPr>
          <w:p w14:paraId="2FEE0F10" w14:textId="0D4CE6F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3474" w:type="dxa"/>
            <w:tcBorders>
              <w:top w:val="nil"/>
              <w:left w:val="nil"/>
              <w:bottom w:val="nil"/>
              <w:right w:val="nil"/>
            </w:tcBorders>
            <w:shd w:val="clear" w:color="auto" w:fill="auto"/>
            <w:vAlign w:val="center"/>
          </w:tcPr>
          <w:p w14:paraId="5AC4A4CA" w14:textId="5A4650B3"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 xml:space="preserve">Federación de Rusia </w:t>
            </w:r>
          </w:p>
        </w:tc>
        <w:tc>
          <w:tcPr>
            <w:tcW w:w="1001" w:type="dxa"/>
            <w:tcBorders>
              <w:top w:val="nil"/>
              <w:left w:val="nil"/>
              <w:bottom w:val="nil"/>
              <w:right w:val="nil"/>
            </w:tcBorders>
            <w:shd w:val="clear" w:color="auto" w:fill="auto"/>
            <w:vAlign w:val="center"/>
          </w:tcPr>
          <w:p w14:paraId="44F2BA44" w14:textId="5692C63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2,00</w:t>
            </w:r>
          </w:p>
        </w:tc>
        <w:tc>
          <w:tcPr>
            <w:tcW w:w="1392" w:type="dxa"/>
            <w:tcBorders>
              <w:top w:val="nil"/>
              <w:left w:val="nil"/>
              <w:bottom w:val="nil"/>
              <w:right w:val="nil"/>
            </w:tcBorders>
            <w:shd w:val="clear" w:color="auto" w:fill="auto"/>
            <w:vAlign w:val="center"/>
          </w:tcPr>
          <w:p w14:paraId="2EE09739" w14:textId="57CBB22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362" w:type="dxa"/>
            <w:tcBorders>
              <w:top w:val="nil"/>
              <w:left w:val="nil"/>
              <w:bottom w:val="nil"/>
              <w:right w:val="nil"/>
            </w:tcBorders>
            <w:shd w:val="clear" w:color="auto" w:fill="auto"/>
            <w:vAlign w:val="center"/>
          </w:tcPr>
          <w:p w14:paraId="79163B59" w14:textId="3C7E718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r>
      <w:tr w:rsidR="00FF12AF" w:rsidRPr="006E4BE1" w14:paraId="082A171B" w14:textId="77777777" w:rsidTr="006161F4">
        <w:trPr>
          <w:trHeight w:val="256"/>
        </w:trPr>
        <w:tc>
          <w:tcPr>
            <w:tcW w:w="1276" w:type="dxa"/>
            <w:tcBorders>
              <w:top w:val="nil"/>
              <w:left w:val="nil"/>
              <w:bottom w:val="nil"/>
              <w:right w:val="nil"/>
            </w:tcBorders>
            <w:shd w:val="clear" w:color="auto" w:fill="auto"/>
            <w:vAlign w:val="center"/>
          </w:tcPr>
          <w:p w14:paraId="5B43A411" w14:textId="59D5854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276" w:type="dxa"/>
            <w:tcBorders>
              <w:top w:val="nil"/>
              <w:left w:val="nil"/>
              <w:bottom w:val="nil"/>
              <w:right w:val="nil"/>
            </w:tcBorders>
            <w:shd w:val="clear" w:color="auto" w:fill="auto"/>
            <w:vAlign w:val="center"/>
          </w:tcPr>
          <w:p w14:paraId="4CFA0DB8" w14:textId="6F66FB1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3474" w:type="dxa"/>
            <w:tcBorders>
              <w:top w:val="nil"/>
              <w:left w:val="nil"/>
              <w:bottom w:val="nil"/>
              <w:right w:val="nil"/>
            </w:tcBorders>
            <w:shd w:val="clear" w:color="auto" w:fill="auto"/>
            <w:vAlign w:val="center"/>
          </w:tcPr>
          <w:p w14:paraId="2FED3B1D" w14:textId="5CBA81D5"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Finlandia</w:t>
            </w:r>
          </w:p>
        </w:tc>
        <w:tc>
          <w:tcPr>
            <w:tcW w:w="1001" w:type="dxa"/>
            <w:tcBorders>
              <w:top w:val="nil"/>
              <w:left w:val="nil"/>
              <w:bottom w:val="nil"/>
              <w:right w:val="nil"/>
            </w:tcBorders>
            <w:shd w:val="clear" w:color="auto" w:fill="auto"/>
            <w:vAlign w:val="center"/>
          </w:tcPr>
          <w:p w14:paraId="3B019742" w14:textId="7A13AD4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1,00</w:t>
            </w:r>
          </w:p>
        </w:tc>
        <w:tc>
          <w:tcPr>
            <w:tcW w:w="1392" w:type="dxa"/>
            <w:tcBorders>
              <w:top w:val="nil"/>
              <w:left w:val="nil"/>
              <w:bottom w:val="nil"/>
              <w:right w:val="nil"/>
            </w:tcBorders>
            <w:shd w:val="clear" w:color="auto" w:fill="auto"/>
            <w:vAlign w:val="center"/>
          </w:tcPr>
          <w:p w14:paraId="4714A301" w14:textId="5FEC7CE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362" w:type="dxa"/>
            <w:tcBorders>
              <w:top w:val="nil"/>
              <w:left w:val="nil"/>
              <w:bottom w:val="nil"/>
              <w:right w:val="nil"/>
            </w:tcBorders>
            <w:shd w:val="clear" w:color="auto" w:fill="auto"/>
            <w:vAlign w:val="center"/>
          </w:tcPr>
          <w:p w14:paraId="7DBE4A02" w14:textId="0E7F7AD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r>
      <w:tr w:rsidR="00FF12AF" w:rsidRPr="006E4BE1" w14:paraId="5C7D6B89" w14:textId="77777777" w:rsidTr="006161F4">
        <w:trPr>
          <w:trHeight w:val="256"/>
        </w:trPr>
        <w:tc>
          <w:tcPr>
            <w:tcW w:w="1276" w:type="dxa"/>
            <w:tcBorders>
              <w:top w:val="nil"/>
              <w:left w:val="nil"/>
              <w:bottom w:val="nil"/>
              <w:right w:val="nil"/>
            </w:tcBorders>
            <w:shd w:val="clear" w:color="auto" w:fill="auto"/>
            <w:vAlign w:val="center"/>
          </w:tcPr>
          <w:p w14:paraId="51C51B55" w14:textId="4B97447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276" w:type="dxa"/>
            <w:tcBorders>
              <w:top w:val="nil"/>
              <w:left w:val="nil"/>
              <w:bottom w:val="nil"/>
              <w:right w:val="nil"/>
            </w:tcBorders>
            <w:shd w:val="clear" w:color="auto" w:fill="auto"/>
            <w:vAlign w:val="center"/>
          </w:tcPr>
          <w:p w14:paraId="11B67262" w14:textId="05299CD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3474" w:type="dxa"/>
            <w:tcBorders>
              <w:top w:val="nil"/>
              <w:left w:val="nil"/>
              <w:bottom w:val="nil"/>
              <w:right w:val="nil"/>
            </w:tcBorders>
            <w:shd w:val="clear" w:color="auto" w:fill="auto"/>
            <w:vAlign w:val="center"/>
          </w:tcPr>
          <w:p w14:paraId="1F4EDFA9" w14:textId="28719169"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Francia</w:t>
            </w:r>
          </w:p>
        </w:tc>
        <w:tc>
          <w:tcPr>
            <w:tcW w:w="1001" w:type="dxa"/>
            <w:tcBorders>
              <w:top w:val="nil"/>
              <w:left w:val="nil"/>
              <w:bottom w:val="nil"/>
              <w:right w:val="nil"/>
            </w:tcBorders>
            <w:shd w:val="clear" w:color="auto" w:fill="auto"/>
            <w:vAlign w:val="center"/>
          </w:tcPr>
          <w:p w14:paraId="2FE729DE" w14:textId="27E4255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5,00</w:t>
            </w:r>
          </w:p>
        </w:tc>
        <w:tc>
          <w:tcPr>
            <w:tcW w:w="1392" w:type="dxa"/>
            <w:tcBorders>
              <w:top w:val="nil"/>
              <w:left w:val="nil"/>
              <w:bottom w:val="nil"/>
              <w:right w:val="nil"/>
            </w:tcBorders>
            <w:shd w:val="clear" w:color="auto" w:fill="auto"/>
            <w:vAlign w:val="center"/>
          </w:tcPr>
          <w:p w14:paraId="523DEA76" w14:textId="7678426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362" w:type="dxa"/>
            <w:tcBorders>
              <w:top w:val="nil"/>
              <w:left w:val="nil"/>
              <w:bottom w:val="nil"/>
              <w:right w:val="nil"/>
            </w:tcBorders>
            <w:shd w:val="clear" w:color="auto" w:fill="auto"/>
            <w:vAlign w:val="center"/>
          </w:tcPr>
          <w:p w14:paraId="2C588F47" w14:textId="7E99640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r>
      <w:tr w:rsidR="00FF12AF" w:rsidRPr="006E4BE1" w14:paraId="78D839A9" w14:textId="77777777" w:rsidTr="006161F4">
        <w:trPr>
          <w:trHeight w:val="256"/>
        </w:trPr>
        <w:tc>
          <w:tcPr>
            <w:tcW w:w="1276" w:type="dxa"/>
            <w:tcBorders>
              <w:top w:val="nil"/>
              <w:left w:val="nil"/>
              <w:bottom w:val="nil"/>
              <w:right w:val="nil"/>
            </w:tcBorders>
            <w:shd w:val="clear" w:color="auto" w:fill="auto"/>
            <w:vAlign w:val="center"/>
          </w:tcPr>
          <w:p w14:paraId="52935151" w14:textId="5D9F5A4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78A37580" w14:textId="45581C4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31DFB0FA" w14:textId="6040D31C"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Georgia</w:t>
            </w:r>
          </w:p>
        </w:tc>
        <w:tc>
          <w:tcPr>
            <w:tcW w:w="1001" w:type="dxa"/>
            <w:tcBorders>
              <w:top w:val="nil"/>
              <w:left w:val="nil"/>
              <w:bottom w:val="nil"/>
              <w:right w:val="nil"/>
            </w:tcBorders>
            <w:shd w:val="clear" w:color="auto" w:fill="auto"/>
            <w:vAlign w:val="center"/>
          </w:tcPr>
          <w:p w14:paraId="6D953BDD" w14:textId="31EFCFC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11266D59" w14:textId="58031A1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0A3D9DB7" w14:textId="0A0D273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5ADD0943" w14:textId="77777777" w:rsidTr="006161F4">
        <w:trPr>
          <w:trHeight w:val="256"/>
        </w:trPr>
        <w:tc>
          <w:tcPr>
            <w:tcW w:w="1276" w:type="dxa"/>
            <w:tcBorders>
              <w:top w:val="nil"/>
              <w:left w:val="nil"/>
              <w:bottom w:val="nil"/>
              <w:right w:val="nil"/>
            </w:tcBorders>
            <w:shd w:val="clear" w:color="auto" w:fill="auto"/>
            <w:vAlign w:val="center"/>
          </w:tcPr>
          <w:p w14:paraId="1A2913D7" w14:textId="35A7608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276" w:type="dxa"/>
            <w:tcBorders>
              <w:top w:val="nil"/>
              <w:left w:val="nil"/>
              <w:bottom w:val="nil"/>
              <w:right w:val="nil"/>
            </w:tcBorders>
            <w:shd w:val="clear" w:color="auto" w:fill="auto"/>
            <w:vAlign w:val="center"/>
          </w:tcPr>
          <w:p w14:paraId="34EAD3EE" w14:textId="712EB6D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3474" w:type="dxa"/>
            <w:tcBorders>
              <w:top w:val="nil"/>
              <w:left w:val="nil"/>
              <w:bottom w:val="nil"/>
              <w:right w:val="nil"/>
            </w:tcBorders>
            <w:shd w:val="clear" w:color="auto" w:fill="auto"/>
            <w:vAlign w:val="center"/>
          </w:tcPr>
          <w:p w14:paraId="2FD12D79" w14:textId="28293EDB"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Hungría</w:t>
            </w:r>
          </w:p>
        </w:tc>
        <w:tc>
          <w:tcPr>
            <w:tcW w:w="1001" w:type="dxa"/>
            <w:tcBorders>
              <w:top w:val="nil"/>
              <w:left w:val="nil"/>
              <w:bottom w:val="nil"/>
              <w:right w:val="nil"/>
            </w:tcBorders>
            <w:shd w:val="clear" w:color="auto" w:fill="auto"/>
            <w:vAlign w:val="center"/>
          </w:tcPr>
          <w:p w14:paraId="06CA56E6" w14:textId="515D2F0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0,50</w:t>
            </w:r>
          </w:p>
        </w:tc>
        <w:tc>
          <w:tcPr>
            <w:tcW w:w="1392" w:type="dxa"/>
            <w:tcBorders>
              <w:top w:val="nil"/>
              <w:left w:val="nil"/>
              <w:bottom w:val="nil"/>
              <w:right w:val="nil"/>
            </w:tcBorders>
            <w:shd w:val="clear" w:color="auto" w:fill="auto"/>
            <w:vAlign w:val="center"/>
          </w:tcPr>
          <w:p w14:paraId="1B74642A" w14:textId="7EE0EBD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362" w:type="dxa"/>
            <w:tcBorders>
              <w:top w:val="nil"/>
              <w:left w:val="nil"/>
              <w:bottom w:val="nil"/>
              <w:right w:val="nil"/>
            </w:tcBorders>
            <w:shd w:val="clear" w:color="auto" w:fill="auto"/>
            <w:vAlign w:val="center"/>
          </w:tcPr>
          <w:p w14:paraId="5B3351FC" w14:textId="15C5677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r>
      <w:tr w:rsidR="00FF12AF" w:rsidRPr="006E4BE1" w14:paraId="381D216B" w14:textId="77777777" w:rsidTr="006161F4">
        <w:trPr>
          <w:trHeight w:val="256"/>
        </w:trPr>
        <w:tc>
          <w:tcPr>
            <w:tcW w:w="1276" w:type="dxa"/>
            <w:tcBorders>
              <w:top w:val="nil"/>
              <w:left w:val="nil"/>
              <w:bottom w:val="nil"/>
              <w:right w:val="nil"/>
            </w:tcBorders>
            <w:shd w:val="clear" w:color="auto" w:fill="auto"/>
            <w:vAlign w:val="center"/>
          </w:tcPr>
          <w:p w14:paraId="6CB92B93" w14:textId="511EDC2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276" w:type="dxa"/>
            <w:tcBorders>
              <w:top w:val="nil"/>
              <w:left w:val="nil"/>
              <w:bottom w:val="nil"/>
              <w:right w:val="nil"/>
            </w:tcBorders>
            <w:shd w:val="clear" w:color="auto" w:fill="auto"/>
            <w:vAlign w:val="center"/>
          </w:tcPr>
          <w:p w14:paraId="16C9973F" w14:textId="27F1A10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3474" w:type="dxa"/>
            <w:tcBorders>
              <w:top w:val="nil"/>
              <w:left w:val="nil"/>
              <w:bottom w:val="nil"/>
              <w:right w:val="nil"/>
            </w:tcBorders>
            <w:shd w:val="clear" w:color="auto" w:fill="auto"/>
            <w:vAlign w:val="center"/>
          </w:tcPr>
          <w:p w14:paraId="4EBC14A4" w14:textId="7BBBA551"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Irlanda</w:t>
            </w:r>
          </w:p>
        </w:tc>
        <w:tc>
          <w:tcPr>
            <w:tcW w:w="1001" w:type="dxa"/>
            <w:tcBorders>
              <w:top w:val="nil"/>
              <w:left w:val="nil"/>
              <w:bottom w:val="nil"/>
              <w:right w:val="nil"/>
            </w:tcBorders>
            <w:shd w:val="clear" w:color="auto" w:fill="auto"/>
            <w:vAlign w:val="center"/>
          </w:tcPr>
          <w:p w14:paraId="2070BFBB" w14:textId="68C2067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1,00</w:t>
            </w:r>
          </w:p>
        </w:tc>
        <w:tc>
          <w:tcPr>
            <w:tcW w:w="1392" w:type="dxa"/>
            <w:tcBorders>
              <w:top w:val="nil"/>
              <w:left w:val="nil"/>
              <w:bottom w:val="nil"/>
              <w:right w:val="nil"/>
            </w:tcBorders>
            <w:shd w:val="clear" w:color="auto" w:fill="auto"/>
            <w:vAlign w:val="center"/>
          </w:tcPr>
          <w:p w14:paraId="20782ED8" w14:textId="767EEEC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362" w:type="dxa"/>
            <w:tcBorders>
              <w:top w:val="nil"/>
              <w:left w:val="nil"/>
              <w:bottom w:val="nil"/>
              <w:right w:val="nil"/>
            </w:tcBorders>
            <w:shd w:val="clear" w:color="auto" w:fill="auto"/>
            <w:vAlign w:val="center"/>
          </w:tcPr>
          <w:p w14:paraId="3DA9DA01" w14:textId="7E9A2EB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r>
      <w:tr w:rsidR="00FF12AF" w:rsidRPr="006E4BE1" w14:paraId="371C08E6" w14:textId="77777777" w:rsidTr="006161F4">
        <w:trPr>
          <w:trHeight w:val="256"/>
        </w:trPr>
        <w:tc>
          <w:tcPr>
            <w:tcW w:w="1276" w:type="dxa"/>
            <w:tcBorders>
              <w:top w:val="nil"/>
              <w:left w:val="nil"/>
              <w:bottom w:val="nil"/>
              <w:right w:val="nil"/>
            </w:tcBorders>
            <w:shd w:val="clear" w:color="auto" w:fill="auto"/>
            <w:vAlign w:val="center"/>
          </w:tcPr>
          <w:p w14:paraId="5097E388" w14:textId="7BFE085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6E00B431" w14:textId="5B934C9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2C0DA933" w14:textId="3CEF4734"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Islandia</w:t>
            </w:r>
          </w:p>
        </w:tc>
        <w:tc>
          <w:tcPr>
            <w:tcW w:w="1001" w:type="dxa"/>
            <w:tcBorders>
              <w:top w:val="nil"/>
              <w:left w:val="nil"/>
              <w:bottom w:val="nil"/>
              <w:right w:val="nil"/>
            </w:tcBorders>
            <w:shd w:val="clear" w:color="auto" w:fill="auto"/>
            <w:vAlign w:val="center"/>
          </w:tcPr>
          <w:p w14:paraId="2320C47F" w14:textId="428B6EC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3B1F141A" w14:textId="7A24CC4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32530CBA" w14:textId="70BDF51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1B6BD824" w14:textId="77777777" w:rsidTr="006161F4">
        <w:trPr>
          <w:trHeight w:val="256"/>
        </w:trPr>
        <w:tc>
          <w:tcPr>
            <w:tcW w:w="1276" w:type="dxa"/>
            <w:tcBorders>
              <w:top w:val="nil"/>
              <w:left w:val="nil"/>
              <w:bottom w:val="nil"/>
              <w:right w:val="nil"/>
            </w:tcBorders>
            <w:shd w:val="clear" w:color="auto" w:fill="auto"/>
            <w:vAlign w:val="center"/>
          </w:tcPr>
          <w:p w14:paraId="498E246A" w14:textId="42716F9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276" w:type="dxa"/>
            <w:tcBorders>
              <w:top w:val="nil"/>
              <w:left w:val="nil"/>
              <w:bottom w:val="nil"/>
              <w:right w:val="nil"/>
            </w:tcBorders>
            <w:shd w:val="clear" w:color="auto" w:fill="auto"/>
            <w:vAlign w:val="center"/>
          </w:tcPr>
          <w:p w14:paraId="6D17CD92" w14:textId="14D3D3A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3474" w:type="dxa"/>
            <w:tcBorders>
              <w:top w:val="nil"/>
              <w:left w:val="nil"/>
              <w:bottom w:val="nil"/>
              <w:right w:val="nil"/>
            </w:tcBorders>
            <w:shd w:val="clear" w:color="auto" w:fill="auto"/>
            <w:vAlign w:val="center"/>
          </w:tcPr>
          <w:p w14:paraId="45365CCA" w14:textId="1D6B3337"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Israel</w:t>
            </w:r>
          </w:p>
        </w:tc>
        <w:tc>
          <w:tcPr>
            <w:tcW w:w="1001" w:type="dxa"/>
            <w:tcBorders>
              <w:top w:val="nil"/>
              <w:left w:val="nil"/>
              <w:bottom w:val="nil"/>
              <w:right w:val="nil"/>
            </w:tcBorders>
            <w:shd w:val="clear" w:color="auto" w:fill="auto"/>
            <w:vAlign w:val="center"/>
          </w:tcPr>
          <w:p w14:paraId="519289DF" w14:textId="3498896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0,50</w:t>
            </w:r>
          </w:p>
        </w:tc>
        <w:tc>
          <w:tcPr>
            <w:tcW w:w="1392" w:type="dxa"/>
            <w:tcBorders>
              <w:top w:val="nil"/>
              <w:left w:val="nil"/>
              <w:bottom w:val="nil"/>
              <w:right w:val="nil"/>
            </w:tcBorders>
            <w:shd w:val="clear" w:color="auto" w:fill="auto"/>
            <w:vAlign w:val="center"/>
          </w:tcPr>
          <w:p w14:paraId="7DC01DB4" w14:textId="5ADB94F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362" w:type="dxa"/>
            <w:tcBorders>
              <w:top w:val="nil"/>
              <w:left w:val="nil"/>
              <w:bottom w:val="nil"/>
              <w:right w:val="nil"/>
            </w:tcBorders>
            <w:shd w:val="clear" w:color="auto" w:fill="auto"/>
            <w:vAlign w:val="center"/>
          </w:tcPr>
          <w:p w14:paraId="4E407F98" w14:textId="34EDFD0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r>
      <w:tr w:rsidR="00FF12AF" w:rsidRPr="006E4BE1" w14:paraId="5E30EB07" w14:textId="77777777" w:rsidTr="006161F4">
        <w:trPr>
          <w:trHeight w:val="256"/>
        </w:trPr>
        <w:tc>
          <w:tcPr>
            <w:tcW w:w="1276" w:type="dxa"/>
            <w:tcBorders>
              <w:top w:val="nil"/>
              <w:left w:val="nil"/>
              <w:bottom w:val="nil"/>
              <w:right w:val="nil"/>
            </w:tcBorders>
            <w:shd w:val="clear" w:color="auto" w:fill="auto"/>
            <w:vAlign w:val="center"/>
          </w:tcPr>
          <w:p w14:paraId="134FA277" w14:textId="2910CBB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276" w:type="dxa"/>
            <w:tcBorders>
              <w:top w:val="nil"/>
              <w:left w:val="nil"/>
              <w:bottom w:val="nil"/>
              <w:right w:val="nil"/>
            </w:tcBorders>
            <w:shd w:val="clear" w:color="auto" w:fill="auto"/>
            <w:vAlign w:val="center"/>
          </w:tcPr>
          <w:p w14:paraId="71186A59" w14:textId="0463DA9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3474" w:type="dxa"/>
            <w:tcBorders>
              <w:top w:val="nil"/>
              <w:left w:val="nil"/>
              <w:bottom w:val="nil"/>
              <w:right w:val="nil"/>
            </w:tcBorders>
            <w:shd w:val="clear" w:color="auto" w:fill="auto"/>
            <w:vAlign w:val="center"/>
          </w:tcPr>
          <w:p w14:paraId="50B4BE3C" w14:textId="05C6762E"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Italia</w:t>
            </w:r>
          </w:p>
        </w:tc>
        <w:tc>
          <w:tcPr>
            <w:tcW w:w="1001" w:type="dxa"/>
            <w:tcBorders>
              <w:top w:val="nil"/>
              <w:left w:val="nil"/>
              <w:bottom w:val="nil"/>
              <w:right w:val="nil"/>
            </w:tcBorders>
            <w:shd w:val="clear" w:color="auto" w:fill="auto"/>
            <w:vAlign w:val="center"/>
          </w:tcPr>
          <w:p w14:paraId="40F2DED6" w14:textId="29B07E9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2,00</w:t>
            </w:r>
          </w:p>
        </w:tc>
        <w:tc>
          <w:tcPr>
            <w:tcW w:w="1392" w:type="dxa"/>
            <w:tcBorders>
              <w:top w:val="nil"/>
              <w:left w:val="nil"/>
              <w:bottom w:val="nil"/>
              <w:right w:val="nil"/>
            </w:tcBorders>
            <w:shd w:val="clear" w:color="auto" w:fill="auto"/>
            <w:vAlign w:val="center"/>
          </w:tcPr>
          <w:p w14:paraId="405B85D1" w14:textId="72F4D29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362" w:type="dxa"/>
            <w:tcBorders>
              <w:top w:val="nil"/>
              <w:left w:val="nil"/>
              <w:bottom w:val="nil"/>
              <w:right w:val="nil"/>
            </w:tcBorders>
            <w:shd w:val="clear" w:color="auto" w:fill="auto"/>
            <w:vAlign w:val="center"/>
          </w:tcPr>
          <w:p w14:paraId="1229871C" w14:textId="35411C5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r>
      <w:tr w:rsidR="00FF12AF" w:rsidRPr="006E4BE1" w14:paraId="199F7BCC" w14:textId="77777777" w:rsidTr="006161F4">
        <w:trPr>
          <w:trHeight w:val="256"/>
        </w:trPr>
        <w:tc>
          <w:tcPr>
            <w:tcW w:w="1276" w:type="dxa"/>
            <w:tcBorders>
              <w:top w:val="nil"/>
              <w:left w:val="nil"/>
              <w:bottom w:val="nil"/>
              <w:right w:val="nil"/>
            </w:tcBorders>
            <w:shd w:val="clear" w:color="auto" w:fill="auto"/>
            <w:vAlign w:val="center"/>
          </w:tcPr>
          <w:p w14:paraId="15B54BAE" w14:textId="1DE8215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276" w:type="dxa"/>
            <w:tcBorders>
              <w:top w:val="nil"/>
              <w:left w:val="nil"/>
              <w:bottom w:val="nil"/>
              <w:right w:val="nil"/>
            </w:tcBorders>
            <w:shd w:val="clear" w:color="auto" w:fill="auto"/>
            <w:vAlign w:val="center"/>
          </w:tcPr>
          <w:p w14:paraId="67250768" w14:textId="6D53351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3474" w:type="dxa"/>
            <w:tcBorders>
              <w:top w:val="nil"/>
              <w:left w:val="nil"/>
              <w:bottom w:val="nil"/>
              <w:right w:val="nil"/>
            </w:tcBorders>
            <w:shd w:val="clear" w:color="auto" w:fill="auto"/>
            <w:vAlign w:val="center"/>
          </w:tcPr>
          <w:p w14:paraId="129A1FA3" w14:textId="2C284EDB"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Japón</w:t>
            </w:r>
          </w:p>
        </w:tc>
        <w:tc>
          <w:tcPr>
            <w:tcW w:w="1001" w:type="dxa"/>
            <w:tcBorders>
              <w:top w:val="nil"/>
              <w:left w:val="nil"/>
              <w:bottom w:val="nil"/>
              <w:right w:val="nil"/>
            </w:tcBorders>
            <w:shd w:val="clear" w:color="auto" w:fill="auto"/>
            <w:vAlign w:val="center"/>
          </w:tcPr>
          <w:p w14:paraId="3DBC778C" w14:textId="2165F48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5,00</w:t>
            </w:r>
          </w:p>
        </w:tc>
        <w:tc>
          <w:tcPr>
            <w:tcW w:w="1392" w:type="dxa"/>
            <w:tcBorders>
              <w:top w:val="nil"/>
              <w:left w:val="nil"/>
              <w:bottom w:val="nil"/>
              <w:right w:val="nil"/>
            </w:tcBorders>
            <w:shd w:val="clear" w:color="auto" w:fill="auto"/>
            <w:vAlign w:val="center"/>
          </w:tcPr>
          <w:p w14:paraId="02430CB5" w14:textId="5F620DF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362" w:type="dxa"/>
            <w:tcBorders>
              <w:top w:val="nil"/>
              <w:left w:val="nil"/>
              <w:bottom w:val="nil"/>
              <w:right w:val="nil"/>
            </w:tcBorders>
            <w:shd w:val="clear" w:color="auto" w:fill="auto"/>
            <w:vAlign w:val="center"/>
          </w:tcPr>
          <w:p w14:paraId="614B1CDF" w14:textId="4FBECEC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r>
      <w:tr w:rsidR="00FF12AF" w:rsidRPr="006E4BE1" w14:paraId="67AAC3A1" w14:textId="77777777" w:rsidTr="006161F4">
        <w:trPr>
          <w:trHeight w:val="256"/>
        </w:trPr>
        <w:tc>
          <w:tcPr>
            <w:tcW w:w="1276" w:type="dxa"/>
            <w:tcBorders>
              <w:top w:val="nil"/>
              <w:left w:val="nil"/>
              <w:bottom w:val="nil"/>
              <w:right w:val="nil"/>
            </w:tcBorders>
            <w:shd w:val="clear" w:color="auto" w:fill="auto"/>
            <w:vAlign w:val="center"/>
          </w:tcPr>
          <w:p w14:paraId="165CF0FE" w14:textId="660F0FB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0695F660" w14:textId="6ADAC98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21979E5" w14:textId="66713486"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Jordania</w:t>
            </w:r>
          </w:p>
        </w:tc>
        <w:tc>
          <w:tcPr>
            <w:tcW w:w="1001" w:type="dxa"/>
            <w:tcBorders>
              <w:top w:val="nil"/>
              <w:left w:val="nil"/>
              <w:bottom w:val="nil"/>
              <w:right w:val="nil"/>
            </w:tcBorders>
            <w:shd w:val="clear" w:color="auto" w:fill="auto"/>
            <w:vAlign w:val="center"/>
          </w:tcPr>
          <w:p w14:paraId="666628CC" w14:textId="1FF8F0C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7837F572" w14:textId="2C3A55B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15D0005E" w14:textId="54F8242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788E5771" w14:textId="77777777" w:rsidTr="006161F4">
        <w:trPr>
          <w:trHeight w:val="256"/>
        </w:trPr>
        <w:tc>
          <w:tcPr>
            <w:tcW w:w="1276" w:type="dxa"/>
            <w:tcBorders>
              <w:top w:val="nil"/>
              <w:left w:val="nil"/>
              <w:bottom w:val="nil"/>
              <w:right w:val="nil"/>
            </w:tcBorders>
            <w:shd w:val="clear" w:color="auto" w:fill="auto"/>
            <w:vAlign w:val="center"/>
          </w:tcPr>
          <w:p w14:paraId="1D1FDB25" w14:textId="4E8ED21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6A26E43E" w14:textId="581F915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710F1B80" w14:textId="4E181C56"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Kenya</w:t>
            </w:r>
          </w:p>
        </w:tc>
        <w:tc>
          <w:tcPr>
            <w:tcW w:w="1001" w:type="dxa"/>
            <w:tcBorders>
              <w:top w:val="nil"/>
              <w:left w:val="nil"/>
              <w:bottom w:val="nil"/>
              <w:right w:val="nil"/>
            </w:tcBorders>
            <w:shd w:val="clear" w:color="auto" w:fill="auto"/>
            <w:vAlign w:val="center"/>
          </w:tcPr>
          <w:p w14:paraId="6B9EFCCD" w14:textId="0E03E5A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4D5535B0" w14:textId="468D624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58F98C75" w14:textId="38FF086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68C1FEC5" w14:textId="77777777" w:rsidTr="006161F4">
        <w:trPr>
          <w:trHeight w:val="256"/>
        </w:trPr>
        <w:tc>
          <w:tcPr>
            <w:tcW w:w="1276" w:type="dxa"/>
            <w:tcBorders>
              <w:top w:val="nil"/>
              <w:left w:val="nil"/>
              <w:bottom w:val="nil"/>
              <w:right w:val="nil"/>
            </w:tcBorders>
            <w:shd w:val="clear" w:color="auto" w:fill="auto"/>
            <w:vAlign w:val="center"/>
          </w:tcPr>
          <w:p w14:paraId="07BD7C52" w14:textId="2AF1C7A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0B57096B" w14:textId="188658D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2511071E" w14:textId="750C23BF"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Kirguistán</w:t>
            </w:r>
          </w:p>
        </w:tc>
        <w:tc>
          <w:tcPr>
            <w:tcW w:w="1001" w:type="dxa"/>
            <w:tcBorders>
              <w:top w:val="nil"/>
              <w:left w:val="nil"/>
              <w:bottom w:val="nil"/>
              <w:right w:val="nil"/>
            </w:tcBorders>
            <w:shd w:val="clear" w:color="auto" w:fill="auto"/>
            <w:vAlign w:val="center"/>
          </w:tcPr>
          <w:p w14:paraId="194ADB0C" w14:textId="6DC4543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67C22A55" w14:textId="1FDEB4B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1EDEE9F4" w14:textId="3DC8A7E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6FBC7461" w14:textId="77777777" w:rsidTr="006161F4">
        <w:trPr>
          <w:trHeight w:val="256"/>
        </w:trPr>
        <w:tc>
          <w:tcPr>
            <w:tcW w:w="1276" w:type="dxa"/>
            <w:tcBorders>
              <w:top w:val="nil"/>
              <w:left w:val="nil"/>
              <w:bottom w:val="nil"/>
              <w:right w:val="nil"/>
            </w:tcBorders>
            <w:shd w:val="clear" w:color="auto" w:fill="auto"/>
            <w:vAlign w:val="center"/>
          </w:tcPr>
          <w:p w14:paraId="7557B031" w14:textId="55DD27D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400F45D5" w14:textId="204D8F4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24F6C3F0" w14:textId="5A7DCD5D"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Letonia</w:t>
            </w:r>
          </w:p>
        </w:tc>
        <w:tc>
          <w:tcPr>
            <w:tcW w:w="1001" w:type="dxa"/>
            <w:tcBorders>
              <w:top w:val="nil"/>
              <w:left w:val="nil"/>
              <w:bottom w:val="nil"/>
              <w:right w:val="nil"/>
            </w:tcBorders>
            <w:shd w:val="clear" w:color="auto" w:fill="auto"/>
            <w:vAlign w:val="center"/>
          </w:tcPr>
          <w:p w14:paraId="29C79393" w14:textId="273C425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68752985" w14:textId="4DC9465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71C6B937" w14:textId="3D9B54F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45855350" w14:textId="77777777" w:rsidTr="006161F4">
        <w:trPr>
          <w:trHeight w:val="256"/>
        </w:trPr>
        <w:tc>
          <w:tcPr>
            <w:tcW w:w="1276" w:type="dxa"/>
            <w:tcBorders>
              <w:top w:val="nil"/>
              <w:left w:val="nil"/>
              <w:bottom w:val="nil"/>
              <w:right w:val="nil"/>
            </w:tcBorders>
            <w:shd w:val="clear" w:color="auto" w:fill="auto"/>
            <w:vAlign w:val="center"/>
          </w:tcPr>
          <w:p w14:paraId="2BC9A1C1" w14:textId="0B1647E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714F2DF8" w14:textId="70D1B5D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05A38087" w14:textId="383A1781"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Lituania</w:t>
            </w:r>
          </w:p>
        </w:tc>
        <w:tc>
          <w:tcPr>
            <w:tcW w:w="1001" w:type="dxa"/>
            <w:tcBorders>
              <w:top w:val="nil"/>
              <w:left w:val="nil"/>
              <w:bottom w:val="nil"/>
              <w:right w:val="nil"/>
            </w:tcBorders>
            <w:shd w:val="clear" w:color="auto" w:fill="auto"/>
            <w:vAlign w:val="center"/>
          </w:tcPr>
          <w:p w14:paraId="6C867137" w14:textId="27A4896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7CB23154" w14:textId="6E38109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5B1B6883" w14:textId="77E0E7A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BF33AF" w:rsidRPr="006E4BE1" w14:paraId="75911994" w14:textId="77777777" w:rsidTr="006161F4">
        <w:trPr>
          <w:trHeight w:val="256"/>
        </w:trPr>
        <w:tc>
          <w:tcPr>
            <w:tcW w:w="1276" w:type="dxa"/>
            <w:tcBorders>
              <w:top w:val="nil"/>
              <w:left w:val="nil"/>
              <w:bottom w:val="nil"/>
              <w:right w:val="nil"/>
            </w:tcBorders>
            <w:shd w:val="clear" w:color="auto" w:fill="auto"/>
            <w:vAlign w:val="center"/>
          </w:tcPr>
          <w:p w14:paraId="66CD56CA" w14:textId="77777777" w:rsidR="00BF33AF" w:rsidRPr="006E4BE1" w:rsidRDefault="00BF33AF" w:rsidP="007116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6E877A5E" w14:textId="77777777" w:rsidR="00BF33AF" w:rsidRPr="006E4BE1" w:rsidRDefault="00BF33AF" w:rsidP="007116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5E6E5312" w14:textId="77777777" w:rsidR="00BF33AF" w:rsidRPr="006E4BE1" w:rsidRDefault="00BF33AF" w:rsidP="007116CD">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Macedonia del Norte</w:t>
            </w:r>
          </w:p>
        </w:tc>
        <w:tc>
          <w:tcPr>
            <w:tcW w:w="1001" w:type="dxa"/>
            <w:tcBorders>
              <w:top w:val="nil"/>
              <w:left w:val="nil"/>
              <w:bottom w:val="nil"/>
              <w:right w:val="nil"/>
            </w:tcBorders>
            <w:shd w:val="clear" w:color="auto" w:fill="auto"/>
            <w:vAlign w:val="center"/>
          </w:tcPr>
          <w:p w14:paraId="4975BB2C" w14:textId="77777777" w:rsidR="00BF33AF" w:rsidRPr="006E4BE1" w:rsidRDefault="00BF33AF" w:rsidP="007116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449A5476" w14:textId="77777777" w:rsidR="00BF33AF" w:rsidRPr="006E4BE1" w:rsidRDefault="00BF33AF" w:rsidP="007116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6FA705A9" w14:textId="77777777" w:rsidR="00BF33AF" w:rsidRPr="006E4BE1" w:rsidRDefault="00BF33AF" w:rsidP="007116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2BAE9ADF" w14:textId="77777777" w:rsidTr="006161F4">
        <w:trPr>
          <w:trHeight w:val="256"/>
        </w:trPr>
        <w:tc>
          <w:tcPr>
            <w:tcW w:w="1276" w:type="dxa"/>
            <w:tcBorders>
              <w:top w:val="nil"/>
              <w:left w:val="nil"/>
              <w:bottom w:val="nil"/>
              <w:right w:val="nil"/>
            </w:tcBorders>
            <w:shd w:val="clear" w:color="auto" w:fill="auto"/>
            <w:vAlign w:val="center"/>
          </w:tcPr>
          <w:p w14:paraId="26DA0938" w14:textId="0A234B6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15A06511" w14:textId="070FA92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551E7BC" w14:textId="7ED7DEC7"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Marruecos</w:t>
            </w:r>
          </w:p>
        </w:tc>
        <w:tc>
          <w:tcPr>
            <w:tcW w:w="1001" w:type="dxa"/>
            <w:tcBorders>
              <w:top w:val="nil"/>
              <w:left w:val="nil"/>
              <w:bottom w:val="nil"/>
              <w:right w:val="nil"/>
            </w:tcBorders>
            <w:shd w:val="clear" w:color="auto" w:fill="auto"/>
            <w:vAlign w:val="center"/>
          </w:tcPr>
          <w:p w14:paraId="7233F7BA" w14:textId="3A8A744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4EB39201" w14:textId="6C9C792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59F51EE2" w14:textId="49DFA19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614A1F9B" w14:textId="77777777" w:rsidTr="006161F4">
        <w:trPr>
          <w:trHeight w:val="256"/>
        </w:trPr>
        <w:tc>
          <w:tcPr>
            <w:tcW w:w="1276" w:type="dxa"/>
            <w:tcBorders>
              <w:top w:val="nil"/>
              <w:left w:val="nil"/>
              <w:bottom w:val="nil"/>
              <w:right w:val="nil"/>
            </w:tcBorders>
            <w:shd w:val="clear" w:color="auto" w:fill="auto"/>
            <w:vAlign w:val="center"/>
          </w:tcPr>
          <w:p w14:paraId="64781D86" w14:textId="2346ACC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40.231</w:t>
            </w:r>
          </w:p>
        </w:tc>
        <w:tc>
          <w:tcPr>
            <w:tcW w:w="1276" w:type="dxa"/>
            <w:tcBorders>
              <w:top w:val="nil"/>
              <w:left w:val="nil"/>
              <w:bottom w:val="nil"/>
              <w:right w:val="nil"/>
            </w:tcBorders>
            <w:shd w:val="clear" w:color="auto" w:fill="auto"/>
            <w:vAlign w:val="center"/>
          </w:tcPr>
          <w:p w14:paraId="6F118694" w14:textId="695EBAA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40.231</w:t>
            </w:r>
          </w:p>
        </w:tc>
        <w:tc>
          <w:tcPr>
            <w:tcW w:w="3474" w:type="dxa"/>
            <w:tcBorders>
              <w:top w:val="nil"/>
              <w:left w:val="nil"/>
              <w:bottom w:val="nil"/>
              <w:right w:val="nil"/>
            </w:tcBorders>
            <w:shd w:val="clear" w:color="auto" w:fill="auto"/>
            <w:vAlign w:val="center"/>
          </w:tcPr>
          <w:p w14:paraId="0E64C0FF" w14:textId="722BCEF7"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México</w:t>
            </w:r>
          </w:p>
        </w:tc>
        <w:tc>
          <w:tcPr>
            <w:tcW w:w="1001" w:type="dxa"/>
            <w:tcBorders>
              <w:top w:val="nil"/>
              <w:left w:val="nil"/>
              <w:bottom w:val="nil"/>
              <w:right w:val="nil"/>
            </w:tcBorders>
            <w:shd w:val="clear" w:color="auto" w:fill="auto"/>
            <w:vAlign w:val="center"/>
          </w:tcPr>
          <w:p w14:paraId="4A4CB966" w14:textId="15AFD75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0,75</w:t>
            </w:r>
          </w:p>
        </w:tc>
        <w:tc>
          <w:tcPr>
            <w:tcW w:w="1392" w:type="dxa"/>
            <w:tcBorders>
              <w:top w:val="nil"/>
              <w:left w:val="nil"/>
              <w:bottom w:val="nil"/>
              <w:right w:val="nil"/>
            </w:tcBorders>
            <w:shd w:val="clear" w:color="auto" w:fill="auto"/>
            <w:vAlign w:val="center"/>
          </w:tcPr>
          <w:p w14:paraId="7C7151D2" w14:textId="15E3DC0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40.231</w:t>
            </w:r>
          </w:p>
        </w:tc>
        <w:tc>
          <w:tcPr>
            <w:tcW w:w="1362" w:type="dxa"/>
            <w:tcBorders>
              <w:top w:val="nil"/>
              <w:left w:val="nil"/>
              <w:bottom w:val="nil"/>
              <w:right w:val="nil"/>
            </w:tcBorders>
            <w:shd w:val="clear" w:color="auto" w:fill="auto"/>
            <w:vAlign w:val="center"/>
          </w:tcPr>
          <w:p w14:paraId="225CE857" w14:textId="617CA25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40.231</w:t>
            </w:r>
          </w:p>
        </w:tc>
      </w:tr>
      <w:tr w:rsidR="00FF12AF" w:rsidRPr="006E4BE1" w14:paraId="66620946" w14:textId="77777777" w:rsidTr="006161F4">
        <w:trPr>
          <w:trHeight w:val="256"/>
        </w:trPr>
        <w:tc>
          <w:tcPr>
            <w:tcW w:w="1276" w:type="dxa"/>
            <w:tcBorders>
              <w:top w:val="nil"/>
              <w:left w:val="nil"/>
              <w:bottom w:val="nil"/>
              <w:right w:val="nil"/>
            </w:tcBorders>
            <w:shd w:val="clear" w:color="auto" w:fill="auto"/>
            <w:vAlign w:val="center"/>
          </w:tcPr>
          <w:p w14:paraId="73AB5A84" w14:textId="056D3E2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0FBC78A9" w14:textId="4AF6F1E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C6DA4DD" w14:textId="7EAB158A"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Montenegro</w:t>
            </w:r>
          </w:p>
        </w:tc>
        <w:tc>
          <w:tcPr>
            <w:tcW w:w="1001" w:type="dxa"/>
            <w:tcBorders>
              <w:top w:val="nil"/>
              <w:left w:val="nil"/>
              <w:bottom w:val="nil"/>
              <w:right w:val="nil"/>
            </w:tcBorders>
            <w:shd w:val="clear" w:color="auto" w:fill="auto"/>
            <w:vAlign w:val="center"/>
          </w:tcPr>
          <w:p w14:paraId="255A9857" w14:textId="04663B2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1F930438" w14:textId="60F92AD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66159E2D" w14:textId="51EDD08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2A7AD00A" w14:textId="77777777" w:rsidTr="006161F4">
        <w:trPr>
          <w:trHeight w:val="256"/>
        </w:trPr>
        <w:tc>
          <w:tcPr>
            <w:tcW w:w="1276" w:type="dxa"/>
            <w:tcBorders>
              <w:top w:val="nil"/>
              <w:left w:val="nil"/>
              <w:bottom w:val="nil"/>
              <w:right w:val="nil"/>
            </w:tcBorders>
            <w:shd w:val="clear" w:color="auto" w:fill="auto"/>
            <w:vAlign w:val="center"/>
          </w:tcPr>
          <w:p w14:paraId="5A0AB5F8" w14:textId="2B66858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67F3C861" w14:textId="171D000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0E5B108D" w14:textId="4E97F087"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Nicaragua</w:t>
            </w:r>
          </w:p>
        </w:tc>
        <w:tc>
          <w:tcPr>
            <w:tcW w:w="1001" w:type="dxa"/>
            <w:tcBorders>
              <w:top w:val="nil"/>
              <w:left w:val="nil"/>
              <w:bottom w:val="nil"/>
              <w:right w:val="nil"/>
            </w:tcBorders>
            <w:shd w:val="clear" w:color="auto" w:fill="auto"/>
            <w:vAlign w:val="center"/>
          </w:tcPr>
          <w:p w14:paraId="5696A67F" w14:textId="35F343E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6C7E3598" w14:textId="5081057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40DAF1CB" w14:textId="00BB1BB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51B3D3F8" w14:textId="77777777" w:rsidTr="006161F4">
        <w:trPr>
          <w:trHeight w:val="256"/>
        </w:trPr>
        <w:tc>
          <w:tcPr>
            <w:tcW w:w="1276" w:type="dxa"/>
            <w:tcBorders>
              <w:top w:val="nil"/>
              <w:left w:val="nil"/>
              <w:bottom w:val="nil"/>
              <w:right w:val="nil"/>
            </w:tcBorders>
            <w:shd w:val="clear" w:color="auto" w:fill="auto"/>
            <w:vAlign w:val="center"/>
          </w:tcPr>
          <w:p w14:paraId="6ACA1F81" w14:textId="4283CA2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276" w:type="dxa"/>
            <w:tcBorders>
              <w:top w:val="nil"/>
              <w:left w:val="nil"/>
              <w:bottom w:val="nil"/>
              <w:right w:val="nil"/>
            </w:tcBorders>
            <w:shd w:val="clear" w:color="auto" w:fill="auto"/>
            <w:vAlign w:val="center"/>
          </w:tcPr>
          <w:p w14:paraId="672779A5" w14:textId="54F03DD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3474" w:type="dxa"/>
            <w:tcBorders>
              <w:top w:val="nil"/>
              <w:left w:val="nil"/>
              <w:bottom w:val="nil"/>
              <w:right w:val="nil"/>
            </w:tcBorders>
            <w:shd w:val="clear" w:color="auto" w:fill="auto"/>
            <w:vAlign w:val="center"/>
          </w:tcPr>
          <w:p w14:paraId="70728A6D" w14:textId="1F818055"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Noruega</w:t>
            </w:r>
          </w:p>
        </w:tc>
        <w:tc>
          <w:tcPr>
            <w:tcW w:w="1001" w:type="dxa"/>
            <w:tcBorders>
              <w:top w:val="nil"/>
              <w:left w:val="nil"/>
              <w:bottom w:val="nil"/>
              <w:right w:val="nil"/>
            </w:tcBorders>
            <w:shd w:val="clear" w:color="auto" w:fill="auto"/>
            <w:vAlign w:val="center"/>
          </w:tcPr>
          <w:p w14:paraId="75356F7B" w14:textId="4624EFD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1,00</w:t>
            </w:r>
          </w:p>
        </w:tc>
        <w:tc>
          <w:tcPr>
            <w:tcW w:w="1392" w:type="dxa"/>
            <w:tcBorders>
              <w:top w:val="nil"/>
              <w:left w:val="nil"/>
              <w:bottom w:val="nil"/>
              <w:right w:val="nil"/>
            </w:tcBorders>
            <w:shd w:val="clear" w:color="auto" w:fill="auto"/>
            <w:vAlign w:val="center"/>
          </w:tcPr>
          <w:p w14:paraId="1E02B381" w14:textId="121185A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362" w:type="dxa"/>
            <w:tcBorders>
              <w:top w:val="nil"/>
              <w:left w:val="nil"/>
              <w:bottom w:val="nil"/>
              <w:right w:val="nil"/>
            </w:tcBorders>
            <w:shd w:val="clear" w:color="auto" w:fill="auto"/>
            <w:vAlign w:val="center"/>
          </w:tcPr>
          <w:p w14:paraId="68AD0C0A" w14:textId="45408E1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r>
      <w:tr w:rsidR="00FF12AF" w:rsidRPr="006E4BE1" w14:paraId="761D32E7" w14:textId="77777777" w:rsidTr="006161F4">
        <w:trPr>
          <w:trHeight w:val="256"/>
        </w:trPr>
        <w:tc>
          <w:tcPr>
            <w:tcW w:w="1276" w:type="dxa"/>
            <w:tcBorders>
              <w:top w:val="nil"/>
              <w:left w:val="nil"/>
              <w:bottom w:val="nil"/>
              <w:right w:val="nil"/>
            </w:tcBorders>
            <w:shd w:val="clear" w:color="auto" w:fill="auto"/>
            <w:vAlign w:val="center"/>
          </w:tcPr>
          <w:p w14:paraId="7AD79FFD" w14:textId="5897D3F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lastRenderedPageBreak/>
              <w:t>53.641</w:t>
            </w:r>
          </w:p>
        </w:tc>
        <w:tc>
          <w:tcPr>
            <w:tcW w:w="1276" w:type="dxa"/>
            <w:tcBorders>
              <w:top w:val="nil"/>
              <w:left w:val="nil"/>
              <w:bottom w:val="nil"/>
              <w:right w:val="nil"/>
            </w:tcBorders>
            <w:shd w:val="clear" w:color="auto" w:fill="auto"/>
            <w:vAlign w:val="center"/>
          </w:tcPr>
          <w:p w14:paraId="3D21B761" w14:textId="53AB426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3474" w:type="dxa"/>
            <w:tcBorders>
              <w:top w:val="nil"/>
              <w:left w:val="nil"/>
              <w:bottom w:val="nil"/>
              <w:right w:val="nil"/>
            </w:tcBorders>
            <w:shd w:val="clear" w:color="auto" w:fill="auto"/>
            <w:vAlign w:val="center"/>
          </w:tcPr>
          <w:p w14:paraId="5184D17D" w14:textId="6C1F78E7"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Nueva Zelandia</w:t>
            </w:r>
          </w:p>
        </w:tc>
        <w:tc>
          <w:tcPr>
            <w:tcW w:w="1001" w:type="dxa"/>
            <w:tcBorders>
              <w:top w:val="nil"/>
              <w:left w:val="nil"/>
              <w:bottom w:val="nil"/>
              <w:right w:val="nil"/>
            </w:tcBorders>
            <w:shd w:val="clear" w:color="auto" w:fill="auto"/>
            <w:vAlign w:val="center"/>
          </w:tcPr>
          <w:p w14:paraId="6F658CA9" w14:textId="0E6E300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1,00</w:t>
            </w:r>
          </w:p>
        </w:tc>
        <w:tc>
          <w:tcPr>
            <w:tcW w:w="1392" w:type="dxa"/>
            <w:tcBorders>
              <w:top w:val="nil"/>
              <w:left w:val="nil"/>
              <w:bottom w:val="nil"/>
              <w:right w:val="nil"/>
            </w:tcBorders>
            <w:shd w:val="clear" w:color="auto" w:fill="auto"/>
            <w:vAlign w:val="center"/>
          </w:tcPr>
          <w:p w14:paraId="25D230F3" w14:textId="34363F8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362" w:type="dxa"/>
            <w:tcBorders>
              <w:top w:val="nil"/>
              <w:left w:val="nil"/>
              <w:bottom w:val="nil"/>
              <w:right w:val="nil"/>
            </w:tcBorders>
            <w:shd w:val="clear" w:color="auto" w:fill="auto"/>
            <w:vAlign w:val="center"/>
          </w:tcPr>
          <w:p w14:paraId="0BAC9001" w14:textId="20312CD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r>
      <w:tr w:rsidR="00FF12AF" w:rsidRPr="006E4BE1" w14:paraId="278CF3A5" w14:textId="77777777" w:rsidTr="006161F4">
        <w:trPr>
          <w:trHeight w:val="256"/>
        </w:trPr>
        <w:tc>
          <w:tcPr>
            <w:tcW w:w="1276" w:type="dxa"/>
            <w:tcBorders>
              <w:top w:val="nil"/>
              <w:left w:val="nil"/>
              <w:bottom w:val="nil"/>
              <w:right w:val="nil"/>
            </w:tcBorders>
            <w:shd w:val="clear" w:color="auto" w:fill="auto"/>
            <w:vAlign w:val="center"/>
          </w:tcPr>
          <w:p w14:paraId="5936BF21" w14:textId="1990F59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276" w:type="dxa"/>
            <w:tcBorders>
              <w:top w:val="nil"/>
              <w:left w:val="nil"/>
              <w:bottom w:val="nil"/>
              <w:right w:val="nil"/>
            </w:tcBorders>
            <w:shd w:val="clear" w:color="auto" w:fill="auto"/>
            <w:vAlign w:val="center"/>
          </w:tcPr>
          <w:p w14:paraId="244F2E88" w14:textId="6929728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3474" w:type="dxa"/>
            <w:tcBorders>
              <w:top w:val="nil"/>
              <w:left w:val="nil"/>
              <w:bottom w:val="nil"/>
              <w:right w:val="nil"/>
            </w:tcBorders>
            <w:shd w:val="clear" w:color="auto" w:fill="auto"/>
            <w:vAlign w:val="center"/>
          </w:tcPr>
          <w:p w14:paraId="0CB8CD35" w14:textId="761B5704"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Omán</w:t>
            </w:r>
          </w:p>
        </w:tc>
        <w:tc>
          <w:tcPr>
            <w:tcW w:w="1001" w:type="dxa"/>
            <w:tcBorders>
              <w:top w:val="nil"/>
              <w:left w:val="nil"/>
              <w:bottom w:val="nil"/>
              <w:right w:val="nil"/>
            </w:tcBorders>
            <w:shd w:val="clear" w:color="auto" w:fill="auto"/>
            <w:vAlign w:val="center"/>
          </w:tcPr>
          <w:p w14:paraId="28A52DC4" w14:textId="11E63A9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1,00</w:t>
            </w:r>
          </w:p>
        </w:tc>
        <w:tc>
          <w:tcPr>
            <w:tcW w:w="1392" w:type="dxa"/>
            <w:tcBorders>
              <w:top w:val="nil"/>
              <w:left w:val="nil"/>
              <w:bottom w:val="nil"/>
              <w:right w:val="nil"/>
            </w:tcBorders>
            <w:shd w:val="clear" w:color="auto" w:fill="auto"/>
            <w:vAlign w:val="center"/>
          </w:tcPr>
          <w:p w14:paraId="63D984EE" w14:textId="4861F8A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362" w:type="dxa"/>
            <w:tcBorders>
              <w:top w:val="nil"/>
              <w:left w:val="nil"/>
              <w:bottom w:val="nil"/>
              <w:right w:val="nil"/>
            </w:tcBorders>
            <w:shd w:val="clear" w:color="auto" w:fill="auto"/>
            <w:vAlign w:val="center"/>
          </w:tcPr>
          <w:p w14:paraId="2ACD784D" w14:textId="718C59E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r>
      <w:tr w:rsidR="00FF12AF" w:rsidRPr="006E4BE1" w14:paraId="5FD5B50D" w14:textId="77777777" w:rsidTr="006161F4">
        <w:trPr>
          <w:trHeight w:val="256"/>
        </w:trPr>
        <w:tc>
          <w:tcPr>
            <w:tcW w:w="1276" w:type="dxa"/>
            <w:tcBorders>
              <w:top w:val="nil"/>
              <w:left w:val="nil"/>
              <w:bottom w:val="nil"/>
              <w:right w:val="nil"/>
            </w:tcBorders>
            <w:shd w:val="clear" w:color="auto" w:fill="auto"/>
            <w:vAlign w:val="center"/>
          </w:tcPr>
          <w:p w14:paraId="656BDA54" w14:textId="1819E22B" w:rsidR="00FF12AF" w:rsidRPr="006E4BE1" w:rsidRDefault="00FF12AF" w:rsidP="00AE50C9">
            <w:pPr>
              <w:jc w:val="right"/>
              <w:rPr>
                <w:rFonts w:ascii="Arial Narrow" w:hAnsi="Arial Narrow" w:cs="Arial"/>
                <w:color w:val="000000"/>
                <w:sz w:val="18"/>
                <w:szCs w:val="18"/>
                <w:lang w:val="es-ES_tradnl"/>
              </w:rPr>
            </w:pPr>
            <w:bookmarkStart w:id="474" w:name="RANGE!A10"/>
            <w:r w:rsidRPr="006E4BE1">
              <w:rPr>
                <w:rFonts w:ascii="Arial Narrow" w:hAnsi="Arial Narrow" w:cs="Arial"/>
                <w:color w:val="000000"/>
                <w:sz w:val="18"/>
                <w:szCs w:val="18"/>
                <w:lang w:val="es-ES_tradnl"/>
              </w:rPr>
              <w:t>10.728</w:t>
            </w:r>
            <w:bookmarkEnd w:id="474"/>
          </w:p>
        </w:tc>
        <w:tc>
          <w:tcPr>
            <w:tcW w:w="1276" w:type="dxa"/>
            <w:tcBorders>
              <w:top w:val="nil"/>
              <w:left w:val="nil"/>
              <w:bottom w:val="nil"/>
              <w:right w:val="nil"/>
            </w:tcBorders>
            <w:shd w:val="clear" w:color="auto" w:fill="auto"/>
            <w:vAlign w:val="center"/>
          </w:tcPr>
          <w:p w14:paraId="75A3BD1A" w14:textId="17AFFA7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259A8090" w14:textId="552948C1"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Organización Africana de Propiedad Intelectual (OAPI)</w:t>
            </w:r>
          </w:p>
        </w:tc>
        <w:tc>
          <w:tcPr>
            <w:tcW w:w="1001" w:type="dxa"/>
            <w:tcBorders>
              <w:top w:val="nil"/>
              <w:left w:val="nil"/>
              <w:bottom w:val="nil"/>
              <w:right w:val="nil"/>
            </w:tcBorders>
            <w:shd w:val="clear" w:color="auto" w:fill="auto"/>
            <w:vAlign w:val="center"/>
          </w:tcPr>
          <w:p w14:paraId="3342E05E" w14:textId="2BD8E88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27A637A3" w14:textId="3B5E84A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2EB1389D" w14:textId="3412BD5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066604B5" w14:textId="77777777" w:rsidTr="006161F4">
        <w:trPr>
          <w:trHeight w:val="256"/>
        </w:trPr>
        <w:tc>
          <w:tcPr>
            <w:tcW w:w="1276" w:type="dxa"/>
            <w:tcBorders>
              <w:top w:val="nil"/>
              <w:left w:val="nil"/>
              <w:bottom w:val="nil"/>
              <w:right w:val="nil"/>
            </w:tcBorders>
            <w:shd w:val="clear" w:color="auto" w:fill="auto"/>
            <w:vAlign w:val="center"/>
          </w:tcPr>
          <w:p w14:paraId="248FA1A5" w14:textId="4DF5F2C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160.923</w:t>
            </w:r>
          </w:p>
        </w:tc>
        <w:tc>
          <w:tcPr>
            <w:tcW w:w="1276" w:type="dxa"/>
            <w:tcBorders>
              <w:top w:val="nil"/>
              <w:left w:val="nil"/>
              <w:bottom w:val="nil"/>
              <w:right w:val="nil"/>
            </w:tcBorders>
            <w:shd w:val="clear" w:color="auto" w:fill="auto"/>
            <w:vAlign w:val="center"/>
          </w:tcPr>
          <w:p w14:paraId="3538FC53" w14:textId="6F6F2C5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160.923</w:t>
            </w:r>
          </w:p>
        </w:tc>
        <w:tc>
          <w:tcPr>
            <w:tcW w:w="3474" w:type="dxa"/>
            <w:tcBorders>
              <w:top w:val="nil"/>
              <w:left w:val="nil"/>
              <w:bottom w:val="nil"/>
              <w:right w:val="nil"/>
            </w:tcBorders>
            <w:shd w:val="clear" w:color="auto" w:fill="auto"/>
            <w:vAlign w:val="center"/>
          </w:tcPr>
          <w:p w14:paraId="6634DDA2" w14:textId="17049EA2"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 xml:space="preserve">Países Bajos </w:t>
            </w:r>
          </w:p>
        </w:tc>
        <w:tc>
          <w:tcPr>
            <w:tcW w:w="1001" w:type="dxa"/>
            <w:tcBorders>
              <w:top w:val="nil"/>
              <w:left w:val="nil"/>
              <w:bottom w:val="nil"/>
              <w:right w:val="nil"/>
            </w:tcBorders>
            <w:shd w:val="clear" w:color="auto" w:fill="auto"/>
            <w:vAlign w:val="center"/>
          </w:tcPr>
          <w:p w14:paraId="152775C2" w14:textId="27467A1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3,00</w:t>
            </w:r>
          </w:p>
        </w:tc>
        <w:tc>
          <w:tcPr>
            <w:tcW w:w="1392" w:type="dxa"/>
            <w:tcBorders>
              <w:top w:val="nil"/>
              <w:left w:val="nil"/>
              <w:bottom w:val="nil"/>
              <w:right w:val="nil"/>
            </w:tcBorders>
            <w:shd w:val="clear" w:color="auto" w:fill="auto"/>
            <w:vAlign w:val="center"/>
          </w:tcPr>
          <w:p w14:paraId="25DD4827" w14:textId="55C71BB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160.923</w:t>
            </w:r>
          </w:p>
        </w:tc>
        <w:tc>
          <w:tcPr>
            <w:tcW w:w="1362" w:type="dxa"/>
            <w:tcBorders>
              <w:top w:val="nil"/>
              <w:left w:val="nil"/>
              <w:bottom w:val="nil"/>
              <w:right w:val="nil"/>
            </w:tcBorders>
            <w:shd w:val="clear" w:color="auto" w:fill="auto"/>
            <w:vAlign w:val="center"/>
          </w:tcPr>
          <w:p w14:paraId="3525CE3F" w14:textId="527E7D3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160.923</w:t>
            </w:r>
          </w:p>
        </w:tc>
      </w:tr>
      <w:tr w:rsidR="00FF12AF" w:rsidRPr="006E4BE1" w14:paraId="6283A17F" w14:textId="77777777" w:rsidTr="006161F4">
        <w:trPr>
          <w:trHeight w:val="256"/>
        </w:trPr>
        <w:tc>
          <w:tcPr>
            <w:tcW w:w="1276" w:type="dxa"/>
            <w:tcBorders>
              <w:top w:val="nil"/>
              <w:left w:val="nil"/>
              <w:bottom w:val="nil"/>
              <w:right w:val="nil"/>
            </w:tcBorders>
            <w:shd w:val="clear" w:color="auto" w:fill="auto"/>
            <w:vAlign w:val="center"/>
          </w:tcPr>
          <w:p w14:paraId="12CF419D" w14:textId="599682F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3414DDCE" w14:textId="7E2C263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1F8E0367" w14:textId="7EC2BA95"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Panamá</w:t>
            </w:r>
          </w:p>
        </w:tc>
        <w:tc>
          <w:tcPr>
            <w:tcW w:w="1001" w:type="dxa"/>
            <w:tcBorders>
              <w:top w:val="nil"/>
              <w:left w:val="nil"/>
              <w:bottom w:val="nil"/>
              <w:right w:val="nil"/>
            </w:tcBorders>
            <w:shd w:val="clear" w:color="auto" w:fill="auto"/>
            <w:vAlign w:val="center"/>
          </w:tcPr>
          <w:p w14:paraId="2625388C" w14:textId="0F7CE5B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7CF71A30" w14:textId="45861DA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2EB4A0A5" w14:textId="452CB75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7AE8AAF1" w14:textId="77777777" w:rsidTr="006161F4">
        <w:trPr>
          <w:trHeight w:val="256"/>
        </w:trPr>
        <w:tc>
          <w:tcPr>
            <w:tcW w:w="1276" w:type="dxa"/>
            <w:tcBorders>
              <w:top w:val="nil"/>
              <w:left w:val="nil"/>
              <w:bottom w:val="nil"/>
              <w:right w:val="nil"/>
            </w:tcBorders>
            <w:shd w:val="clear" w:color="auto" w:fill="auto"/>
            <w:vAlign w:val="center"/>
          </w:tcPr>
          <w:p w14:paraId="6ED770E2" w14:textId="5F830B8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5A126F95" w14:textId="415E225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104F8D1C" w14:textId="53585DD0"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Paraguay</w:t>
            </w:r>
          </w:p>
        </w:tc>
        <w:tc>
          <w:tcPr>
            <w:tcW w:w="1001" w:type="dxa"/>
            <w:tcBorders>
              <w:top w:val="nil"/>
              <w:left w:val="nil"/>
              <w:bottom w:val="nil"/>
              <w:right w:val="nil"/>
            </w:tcBorders>
            <w:shd w:val="clear" w:color="auto" w:fill="auto"/>
            <w:vAlign w:val="center"/>
          </w:tcPr>
          <w:p w14:paraId="56E526D0" w14:textId="0013D83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300EE9E2" w14:textId="145AA62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472F414B" w14:textId="74A4D66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7867BE7B" w14:textId="77777777" w:rsidTr="006161F4">
        <w:trPr>
          <w:trHeight w:val="256"/>
        </w:trPr>
        <w:tc>
          <w:tcPr>
            <w:tcW w:w="1276" w:type="dxa"/>
            <w:tcBorders>
              <w:top w:val="nil"/>
              <w:left w:val="nil"/>
              <w:bottom w:val="nil"/>
              <w:right w:val="nil"/>
            </w:tcBorders>
            <w:shd w:val="clear" w:color="auto" w:fill="auto"/>
            <w:vAlign w:val="center"/>
          </w:tcPr>
          <w:p w14:paraId="4AF2D171" w14:textId="72C2D3D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6059B97C" w14:textId="374557B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6D2DB74A" w14:textId="7A41D586"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Perú</w:t>
            </w:r>
          </w:p>
        </w:tc>
        <w:tc>
          <w:tcPr>
            <w:tcW w:w="1001" w:type="dxa"/>
            <w:tcBorders>
              <w:top w:val="nil"/>
              <w:left w:val="nil"/>
              <w:bottom w:val="nil"/>
              <w:right w:val="nil"/>
            </w:tcBorders>
            <w:shd w:val="clear" w:color="auto" w:fill="auto"/>
            <w:vAlign w:val="center"/>
          </w:tcPr>
          <w:p w14:paraId="0DDD8BA5" w14:textId="4AA966A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0742F2DD" w14:textId="5FD4AB0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2E6BCB6C" w14:textId="7CB1FD8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65402406" w14:textId="77777777" w:rsidTr="006161F4">
        <w:trPr>
          <w:trHeight w:val="256"/>
        </w:trPr>
        <w:tc>
          <w:tcPr>
            <w:tcW w:w="1276" w:type="dxa"/>
            <w:tcBorders>
              <w:top w:val="nil"/>
              <w:left w:val="nil"/>
              <w:bottom w:val="nil"/>
              <w:right w:val="nil"/>
            </w:tcBorders>
            <w:shd w:val="clear" w:color="auto" w:fill="auto"/>
            <w:vAlign w:val="center"/>
          </w:tcPr>
          <w:p w14:paraId="3F036321" w14:textId="53577FD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276" w:type="dxa"/>
            <w:tcBorders>
              <w:top w:val="nil"/>
              <w:left w:val="nil"/>
              <w:bottom w:val="nil"/>
              <w:right w:val="nil"/>
            </w:tcBorders>
            <w:shd w:val="clear" w:color="auto" w:fill="auto"/>
            <w:vAlign w:val="center"/>
          </w:tcPr>
          <w:p w14:paraId="7FFEB8EF" w14:textId="5ED0B25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3474" w:type="dxa"/>
            <w:tcBorders>
              <w:top w:val="nil"/>
              <w:left w:val="nil"/>
              <w:bottom w:val="nil"/>
              <w:right w:val="nil"/>
            </w:tcBorders>
            <w:shd w:val="clear" w:color="auto" w:fill="auto"/>
            <w:vAlign w:val="center"/>
          </w:tcPr>
          <w:p w14:paraId="6A09A1C2" w14:textId="0757E119"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Polonia</w:t>
            </w:r>
          </w:p>
        </w:tc>
        <w:tc>
          <w:tcPr>
            <w:tcW w:w="1001" w:type="dxa"/>
            <w:tcBorders>
              <w:top w:val="nil"/>
              <w:left w:val="nil"/>
              <w:bottom w:val="nil"/>
              <w:right w:val="nil"/>
            </w:tcBorders>
            <w:shd w:val="clear" w:color="auto" w:fill="auto"/>
            <w:vAlign w:val="center"/>
          </w:tcPr>
          <w:p w14:paraId="0E8F6FEA" w14:textId="516335D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0,50</w:t>
            </w:r>
          </w:p>
        </w:tc>
        <w:tc>
          <w:tcPr>
            <w:tcW w:w="1392" w:type="dxa"/>
            <w:tcBorders>
              <w:top w:val="nil"/>
              <w:left w:val="nil"/>
              <w:bottom w:val="nil"/>
              <w:right w:val="nil"/>
            </w:tcBorders>
            <w:shd w:val="clear" w:color="auto" w:fill="auto"/>
            <w:vAlign w:val="center"/>
          </w:tcPr>
          <w:p w14:paraId="2FC50EB8" w14:textId="6615C7C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362" w:type="dxa"/>
            <w:tcBorders>
              <w:top w:val="nil"/>
              <w:left w:val="nil"/>
              <w:bottom w:val="nil"/>
              <w:right w:val="nil"/>
            </w:tcBorders>
            <w:shd w:val="clear" w:color="auto" w:fill="auto"/>
            <w:vAlign w:val="center"/>
          </w:tcPr>
          <w:p w14:paraId="35D270DA" w14:textId="6C9D35F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r>
      <w:tr w:rsidR="00FF12AF" w:rsidRPr="006E4BE1" w14:paraId="5F2BF899" w14:textId="77777777" w:rsidTr="006161F4">
        <w:trPr>
          <w:trHeight w:val="256"/>
        </w:trPr>
        <w:tc>
          <w:tcPr>
            <w:tcW w:w="1276" w:type="dxa"/>
            <w:tcBorders>
              <w:top w:val="nil"/>
              <w:left w:val="nil"/>
              <w:bottom w:val="nil"/>
              <w:right w:val="nil"/>
            </w:tcBorders>
            <w:shd w:val="clear" w:color="auto" w:fill="auto"/>
            <w:vAlign w:val="center"/>
          </w:tcPr>
          <w:p w14:paraId="68B2E94C" w14:textId="662C326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32ACF0C3" w14:textId="4897567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2F9D2EC0" w14:textId="70DBF488"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Portugal</w:t>
            </w:r>
          </w:p>
        </w:tc>
        <w:tc>
          <w:tcPr>
            <w:tcW w:w="1001" w:type="dxa"/>
            <w:tcBorders>
              <w:top w:val="nil"/>
              <w:left w:val="nil"/>
              <w:bottom w:val="nil"/>
              <w:right w:val="nil"/>
            </w:tcBorders>
            <w:shd w:val="clear" w:color="auto" w:fill="auto"/>
            <w:vAlign w:val="center"/>
          </w:tcPr>
          <w:p w14:paraId="3C174149" w14:textId="4140EA2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63305693" w14:textId="7264F2C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50762310" w14:textId="25C19C4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07F521D1" w14:textId="77777777" w:rsidTr="006161F4">
        <w:trPr>
          <w:trHeight w:val="256"/>
        </w:trPr>
        <w:tc>
          <w:tcPr>
            <w:tcW w:w="1276" w:type="dxa"/>
            <w:tcBorders>
              <w:top w:val="nil"/>
              <w:left w:val="nil"/>
              <w:bottom w:val="nil"/>
              <w:right w:val="nil"/>
            </w:tcBorders>
            <w:shd w:val="clear" w:color="auto" w:fill="auto"/>
            <w:vAlign w:val="center"/>
          </w:tcPr>
          <w:p w14:paraId="34ECF2FA" w14:textId="0F93F75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276" w:type="dxa"/>
            <w:tcBorders>
              <w:top w:val="nil"/>
              <w:left w:val="nil"/>
              <w:bottom w:val="nil"/>
              <w:right w:val="nil"/>
            </w:tcBorders>
            <w:shd w:val="clear" w:color="auto" w:fill="auto"/>
            <w:vAlign w:val="center"/>
          </w:tcPr>
          <w:p w14:paraId="01324228" w14:textId="3A840E3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3474" w:type="dxa"/>
            <w:tcBorders>
              <w:top w:val="nil"/>
              <w:left w:val="nil"/>
              <w:bottom w:val="nil"/>
              <w:right w:val="nil"/>
            </w:tcBorders>
            <w:shd w:val="clear" w:color="auto" w:fill="auto"/>
            <w:vAlign w:val="center"/>
          </w:tcPr>
          <w:p w14:paraId="0020AA23" w14:textId="7721E609"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Reino Unido</w:t>
            </w:r>
          </w:p>
        </w:tc>
        <w:tc>
          <w:tcPr>
            <w:tcW w:w="1001" w:type="dxa"/>
            <w:tcBorders>
              <w:top w:val="nil"/>
              <w:left w:val="nil"/>
              <w:bottom w:val="nil"/>
              <w:right w:val="nil"/>
            </w:tcBorders>
            <w:shd w:val="clear" w:color="auto" w:fill="auto"/>
            <w:vAlign w:val="center"/>
          </w:tcPr>
          <w:p w14:paraId="002BBDA3" w14:textId="6A82DED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2,00</w:t>
            </w:r>
          </w:p>
        </w:tc>
        <w:tc>
          <w:tcPr>
            <w:tcW w:w="1392" w:type="dxa"/>
            <w:tcBorders>
              <w:top w:val="nil"/>
              <w:left w:val="nil"/>
              <w:bottom w:val="nil"/>
              <w:right w:val="nil"/>
            </w:tcBorders>
            <w:shd w:val="clear" w:color="auto" w:fill="auto"/>
            <w:vAlign w:val="center"/>
          </w:tcPr>
          <w:p w14:paraId="2916C8AE" w14:textId="39AC4D8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c>
          <w:tcPr>
            <w:tcW w:w="1362" w:type="dxa"/>
            <w:tcBorders>
              <w:top w:val="nil"/>
              <w:left w:val="nil"/>
              <w:bottom w:val="nil"/>
              <w:right w:val="nil"/>
            </w:tcBorders>
            <w:shd w:val="clear" w:color="auto" w:fill="auto"/>
            <w:vAlign w:val="center"/>
          </w:tcPr>
          <w:p w14:paraId="6A1D7A99" w14:textId="22260E7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107.282</w:t>
            </w:r>
          </w:p>
        </w:tc>
      </w:tr>
      <w:tr w:rsidR="00FF12AF" w:rsidRPr="006E4BE1" w14:paraId="6B05A88B" w14:textId="77777777" w:rsidTr="006161F4">
        <w:trPr>
          <w:trHeight w:val="256"/>
        </w:trPr>
        <w:tc>
          <w:tcPr>
            <w:tcW w:w="1276" w:type="dxa"/>
            <w:tcBorders>
              <w:top w:val="nil"/>
              <w:left w:val="nil"/>
              <w:bottom w:val="nil"/>
              <w:right w:val="nil"/>
            </w:tcBorders>
            <w:shd w:val="clear" w:color="auto" w:fill="auto"/>
            <w:vAlign w:val="center"/>
          </w:tcPr>
          <w:p w14:paraId="621F076C" w14:textId="290541A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276" w:type="dxa"/>
            <w:tcBorders>
              <w:top w:val="nil"/>
              <w:left w:val="nil"/>
              <w:bottom w:val="nil"/>
              <w:right w:val="nil"/>
            </w:tcBorders>
            <w:shd w:val="clear" w:color="auto" w:fill="auto"/>
            <w:vAlign w:val="center"/>
          </w:tcPr>
          <w:p w14:paraId="5B6C926C" w14:textId="49B4380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3474" w:type="dxa"/>
            <w:tcBorders>
              <w:top w:val="nil"/>
              <w:left w:val="nil"/>
              <w:bottom w:val="nil"/>
              <w:right w:val="nil"/>
            </w:tcBorders>
            <w:shd w:val="clear" w:color="auto" w:fill="auto"/>
            <w:vAlign w:val="center"/>
          </w:tcPr>
          <w:p w14:paraId="6F3A316B" w14:textId="21D70DC9"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 xml:space="preserve">República Checa </w:t>
            </w:r>
          </w:p>
        </w:tc>
        <w:tc>
          <w:tcPr>
            <w:tcW w:w="1001" w:type="dxa"/>
            <w:tcBorders>
              <w:top w:val="nil"/>
              <w:left w:val="nil"/>
              <w:bottom w:val="nil"/>
              <w:right w:val="nil"/>
            </w:tcBorders>
            <w:shd w:val="clear" w:color="auto" w:fill="auto"/>
            <w:vAlign w:val="center"/>
          </w:tcPr>
          <w:p w14:paraId="2686BD33" w14:textId="5238A14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0,50</w:t>
            </w:r>
          </w:p>
        </w:tc>
        <w:tc>
          <w:tcPr>
            <w:tcW w:w="1392" w:type="dxa"/>
            <w:tcBorders>
              <w:top w:val="nil"/>
              <w:left w:val="nil"/>
              <w:bottom w:val="nil"/>
              <w:right w:val="nil"/>
            </w:tcBorders>
            <w:shd w:val="clear" w:color="auto" w:fill="auto"/>
            <w:vAlign w:val="center"/>
          </w:tcPr>
          <w:p w14:paraId="1A151397" w14:textId="6190D32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362" w:type="dxa"/>
            <w:tcBorders>
              <w:top w:val="nil"/>
              <w:left w:val="nil"/>
              <w:bottom w:val="nil"/>
              <w:right w:val="nil"/>
            </w:tcBorders>
            <w:shd w:val="clear" w:color="auto" w:fill="auto"/>
            <w:vAlign w:val="center"/>
          </w:tcPr>
          <w:p w14:paraId="359D34F7" w14:textId="0C0234C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r>
      <w:tr w:rsidR="00FF12AF" w:rsidRPr="006E4BE1" w14:paraId="5C3D8BE7" w14:textId="77777777" w:rsidTr="006161F4">
        <w:trPr>
          <w:trHeight w:val="256"/>
        </w:trPr>
        <w:tc>
          <w:tcPr>
            <w:tcW w:w="1276" w:type="dxa"/>
            <w:tcBorders>
              <w:top w:val="nil"/>
              <w:left w:val="nil"/>
              <w:bottom w:val="nil"/>
              <w:right w:val="nil"/>
            </w:tcBorders>
            <w:shd w:val="clear" w:color="auto" w:fill="auto"/>
            <w:vAlign w:val="center"/>
          </w:tcPr>
          <w:p w14:paraId="531FBAE8" w14:textId="4BAF581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1276" w:type="dxa"/>
            <w:tcBorders>
              <w:top w:val="nil"/>
              <w:left w:val="nil"/>
              <w:bottom w:val="nil"/>
              <w:right w:val="nil"/>
            </w:tcBorders>
            <w:shd w:val="clear" w:color="auto" w:fill="auto"/>
            <w:vAlign w:val="center"/>
          </w:tcPr>
          <w:p w14:paraId="03522B07" w14:textId="20D31AC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3474" w:type="dxa"/>
            <w:tcBorders>
              <w:top w:val="nil"/>
              <w:left w:val="nil"/>
              <w:bottom w:val="nil"/>
              <w:right w:val="nil"/>
            </w:tcBorders>
            <w:shd w:val="clear" w:color="auto" w:fill="auto"/>
            <w:vAlign w:val="center"/>
          </w:tcPr>
          <w:p w14:paraId="02496FBB" w14:textId="5DB66B5A"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República de Corea</w:t>
            </w:r>
          </w:p>
        </w:tc>
        <w:tc>
          <w:tcPr>
            <w:tcW w:w="1001" w:type="dxa"/>
            <w:tcBorders>
              <w:top w:val="nil"/>
              <w:left w:val="nil"/>
              <w:bottom w:val="nil"/>
              <w:right w:val="nil"/>
            </w:tcBorders>
            <w:shd w:val="clear" w:color="auto" w:fill="auto"/>
            <w:vAlign w:val="center"/>
          </w:tcPr>
          <w:p w14:paraId="565017A6" w14:textId="3A41449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1,50</w:t>
            </w:r>
          </w:p>
        </w:tc>
        <w:tc>
          <w:tcPr>
            <w:tcW w:w="1392" w:type="dxa"/>
            <w:tcBorders>
              <w:top w:val="nil"/>
              <w:left w:val="nil"/>
              <w:bottom w:val="nil"/>
              <w:right w:val="nil"/>
            </w:tcBorders>
            <w:shd w:val="clear" w:color="auto" w:fill="auto"/>
            <w:vAlign w:val="center"/>
          </w:tcPr>
          <w:p w14:paraId="59A82D6A" w14:textId="74F1607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1362" w:type="dxa"/>
            <w:tcBorders>
              <w:top w:val="nil"/>
              <w:left w:val="nil"/>
              <w:bottom w:val="nil"/>
              <w:right w:val="nil"/>
            </w:tcBorders>
            <w:shd w:val="clear" w:color="auto" w:fill="auto"/>
            <w:vAlign w:val="center"/>
          </w:tcPr>
          <w:p w14:paraId="23E32635" w14:textId="6B0DDE7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r>
      <w:tr w:rsidR="00FF12AF" w:rsidRPr="006E4BE1" w14:paraId="367541E9" w14:textId="77777777" w:rsidTr="006161F4">
        <w:trPr>
          <w:trHeight w:val="256"/>
        </w:trPr>
        <w:tc>
          <w:tcPr>
            <w:tcW w:w="1276" w:type="dxa"/>
            <w:tcBorders>
              <w:top w:val="nil"/>
              <w:left w:val="nil"/>
              <w:bottom w:val="nil"/>
              <w:right w:val="nil"/>
            </w:tcBorders>
            <w:shd w:val="clear" w:color="auto" w:fill="auto"/>
            <w:vAlign w:val="center"/>
          </w:tcPr>
          <w:p w14:paraId="402D1627" w14:textId="0E1C482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1CB7ABF7" w14:textId="6E09FB8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D4CD562" w14:textId="10035CB0"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República de Moldova</w:t>
            </w:r>
          </w:p>
        </w:tc>
        <w:tc>
          <w:tcPr>
            <w:tcW w:w="1001" w:type="dxa"/>
            <w:tcBorders>
              <w:top w:val="nil"/>
              <w:left w:val="nil"/>
              <w:bottom w:val="nil"/>
              <w:right w:val="nil"/>
            </w:tcBorders>
            <w:shd w:val="clear" w:color="auto" w:fill="auto"/>
            <w:vAlign w:val="center"/>
          </w:tcPr>
          <w:p w14:paraId="17A2E25A" w14:textId="6C077C1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5ED250B0" w14:textId="76315CD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456E6068" w14:textId="5EC4A60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236D2986" w14:textId="77777777" w:rsidTr="006161F4">
        <w:trPr>
          <w:trHeight w:val="256"/>
        </w:trPr>
        <w:tc>
          <w:tcPr>
            <w:tcW w:w="1276" w:type="dxa"/>
            <w:tcBorders>
              <w:top w:val="nil"/>
              <w:left w:val="nil"/>
              <w:bottom w:val="nil"/>
              <w:right w:val="nil"/>
            </w:tcBorders>
            <w:shd w:val="clear" w:color="auto" w:fill="auto"/>
            <w:vAlign w:val="center"/>
          </w:tcPr>
          <w:p w14:paraId="4B6E501A" w14:textId="39237F9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6203C1B8" w14:textId="21E1A9A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52BAC99" w14:textId="69364C8C"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República Dominicana</w:t>
            </w:r>
          </w:p>
        </w:tc>
        <w:tc>
          <w:tcPr>
            <w:tcW w:w="1001" w:type="dxa"/>
            <w:tcBorders>
              <w:top w:val="nil"/>
              <w:left w:val="nil"/>
              <w:bottom w:val="nil"/>
              <w:right w:val="nil"/>
            </w:tcBorders>
            <w:shd w:val="clear" w:color="auto" w:fill="auto"/>
            <w:vAlign w:val="center"/>
          </w:tcPr>
          <w:p w14:paraId="378953FB" w14:textId="632391B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2A679B54" w14:textId="669AFBA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63BEA281" w14:textId="62B59A3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70A9B661" w14:textId="77777777" w:rsidTr="006161F4">
        <w:trPr>
          <w:trHeight w:val="256"/>
        </w:trPr>
        <w:tc>
          <w:tcPr>
            <w:tcW w:w="1276" w:type="dxa"/>
            <w:tcBorders>
              <w:top w:val="nil"/>
              <w:left w:val="nil"/>
              <w:bottom w:val="nil"/>
              <w:right w:val="nil"/>
            </w:tcBorders>
            <w:shd w:val="clear" w:color="auto" w:fill="auto"/>
            <w:vAlign w:val="center"/>
          </w:tcPr>
          <w:p w14:paraId="2DDEBA6B" w14:textId="6BE9708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54A27250" w14:textId="758E578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77083FED" w14:textId="70C20075"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República Unida de Tanzanía</w:t>
            </w:r>
          </w:p>
        </w:tc>
        <w:tc>
          <w:tcPr>
            <w:tcW w:w="1001" w:type="dxa"/>
            <w:tcBorders>
              <w:top w:val="nil"/>
              <w:left w:val="nil"/>
              <w:bottom w:val="nil"/>
              <w:right w:val="nil"/>
            </w:tcBorders>
            <w:shd w:val="clear" w:color="auto" w:fill="auto"/>
            <w:vAlign w:val="center"/>
          </w:tcPr>
          <w:p w14:paraId="12895146" w14:textId="5D987DE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38FFACBE" w14:textId="3E236C2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4392C559" w14:textId="6FF7D39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7474DAE6" w14:textId="77777777" w:rsidTr="006161F4">
        <w:trPr>
          <w:trHeight w:val="256"/>
        </w:trPr>
        <w:tc>
          <w:tcPr>
            <w:tcW w:w="1276" w:type="dxa"/>
            <w:tcBorders>
              <w:top w:val="nil"/>
              <w:left w:val="nil"/>
              <w:bottom w:val="nil"/>
              <w:right w:val="nil"/>
            </w:tcBorders>
            <w:shd w:val="clear" w:color="auto" w:fill="auto"/>
            <w:vAlign w:val="center"/>
          </w:tcPr>
          <w:p w14:paraId="39C69948" w14:textId="117D9BD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12F32451" w14:textId="1ACFE89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14C50401" w14:textId="351B8549"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Rumania</w:t>
            </w:r>
          </w:p>
        </w:tc>
        <w:tc>
          <w:tcPr>
            <w:tcW w:w="1001" w:type="dxa"/>
            <w:tcBorders>
              <w:top w:val="nil"/>
              <w:left w:val="nil"/>
              <w:bottom w:val="nil"/>
              <w:right w:val="nil"/>
            </w:tcBorders>
            <w:shd w:val="clear" w:color="auto" w:fill="auto"/>
            <w:vAlign w:val="center"/>
          </w:tcPr>
          <w:p w14:paraId="65376644" w14:textId="7BD5087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195B189F" w14:textId="36B30AA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56CC3E0A" w14:textId="0DADB7D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971CD" w:rsidRPr="006E4BE1" w14:paraId="6D57F3CF" w14:textId="77777777" w:rsidTr="006161F4">
        <w:trPr>
          <w:trHeight w:val="256"/>
        </w:trPr>
        <w:tc>
          <w:tcPr>
            <w:tcW w:w="1276" w:type="dxa"/>
            <w:tcBorders>
              <w:top w:val="nil"/>
              <w:left w:val="nil"/>
              <w:bottom w:val="nil"/>
              <w:right w:val="nil"/>
            </w:tcBorders>
            <w:shd w:val="clear" w:color="auto" w:fill="auto"/>
            <w:vAlign w:val="center"/>
          </w:tcPr>
          <w:p w14:paraId="66F43EED" w14:textId="3C5C62F1" w:rsidR="00F971CD" w:rsidRPr="006E4BE1" w:rsidRDefault="00F971CD" w:rsidP="00F971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w:t>
            </w:r>
          </w:p>
        </w:tc>
        <w:tc>
          <w:tcPr>
            <w:tcW w:w="1276" w:type="dxa"/>
            <w:tcBorders>
              <w:top w:val="nil"/>
              <w:left w:val="nil"/>
              <w:bottom w:val="nil"/>
              <w:right w:val="nil"/>
            </w:tcBorders>
            <w:shd w:val="clear" w:color="auto" w:fill="auto"/>
            <w:vAlign w:val="center"/>
          </w:tcPr>
          <w:p w14:paraId="431EF5EB" w14:textId="3F4C7CC9" w:rsidR="00F971CD" w:rsidRPr="006E4BE1" w:rsidRDefault="00F971CD" w:rsidP="00F971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w:t>
            </w:r>
          </w:p>
        </w:tc>
        <w:tc>
          <w:tcPr>
            <w:tcW w:w="3474" w:type="dxa"/>
            <w:tcBorders>
              <w:top w:val="nil"/>
              <w:left w:val="nil"/>
              <w:bottom w:val="nil"/>
              <w:right w:val="nil"/>
            </w:tcBorders>
            <w:shd w:val="clear" w:color="auto" w:fill="auto"/>
            <w:vAlign w:val="center"/>
          </w:tcPr>
          <w:p w14:paraId="15CD20D3" w14:textId="492926CA" w:rsidR="00F971CD" w:rsidRPr="006E4BE1" w:rsidRDefault="00F971CD" w:rsidP="00F971CD">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San Vicente y las Granadinas</w:t>
            </w:r>
          </w:p>
        </w:tc>
        <w:tc>
          <w:tcPr>
            <w:tcW w:w="1001" w:type="dxa"/>
            <w:tcBorders>
              <w:top w:val="nil"/>
              <w:left w:val="nil"/>
              <w:bottom w:val="nil"/>
              <w:right w:val="nil"/>
            </w:tcBorders>
            <w:shd w:val="clear" w:color="auto" w:fill="auto"/>
            <w:vAlign w:val="center"/>
          </w:tcPr>
          <w:p w14:paraId="7970FA11" w14:textId="46049E7C" w:rsidR="00F971CD" w:rsidRPr="006E4BE1" w:rsidRDefault="00F971CD" w:rsidP="00F971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7E365FF3" w14:textId="7502E3FC" w:rsidR="00F971CD" w:rsidRPr="006E4BE1" w:rsidRDefault="00F971CD" w:rsidP="00F971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070BDE33" w14:textId="60BDE79F" w:rsidR="00F971CD" w:rsidRPr="006E4BE1" w:rsidRDefault="00F971CD" w:rsidP="00F971CD">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69ED51D1" w14:textId="77777777" w:rsidTr="006161F4">
        <w:trPr>
          <w:trHeight w:val="256"/>
        </w:trPr>
        <w:tc>
          <w:tcPr>
            <w:tcW w:w="1276" w:type="dxa"/>
            <w:tcBorders>
              <w:top w:val="nil"/>
              <w:left w:val="nil"/>
              <w:bottom w:val="nil"/>
              <w:right w:val="nil"/>
            </w:tcBorders>
            <w:shd w:val="clear" w:color="auto" w:fill="auto"/>
            <w:vAlign w:val="center"/>
          </w:tcPr>
          <w:p w14:paraId="41FE9E85" w14:textId="5C71710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60141C9F" w14:textId="070A7B9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7E9AE476" w14:textId="38349D29"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Serbia</w:t>
            </w:r>
          </w:p>
        </w:tc>
        <w:tc>
          <w:tcPr>
            <w:tcW w:w="1001" w:type="dxa"/>
            <w:tcBorders>
              <w:top w:val="nil"/>
              <w:left w:val="nil"/>
              <w:bottom w:val="nil"/>
              <w:right w:val="nil"/>
            </w:tcBorders>
            <w:shd w:val="clear" w:color="auto" w:fill="auto"/>
            <w:vAlign w:val="center"/>
          </w:tcPr>
          <w:p w14:paraId="173B87DE" w14:textId="557DFC0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61D81302" w14:textId="5D3B1D2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395E18E1" w14:textId="3FD9E48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02D83018" w14:textId="77777777" w:rsidTr="006161F4">
        <w:trPr>
          <w:trHeight w:val="256"/>
        </w:trPr>
        <w:tc>
          <w:tcPr>
            <w:tcW w:w="1276" w:type="dxa"/>
            <w:tcBorders>
              <w:top w:val="nil"/>
              <w:left w:val="nil"/>
              <w:bottom w:val="nil"/>
              <w:right w:val="nil"/>
            </w:tcBorders>
            <w:shd w:val="clear" w:color="auto" w:fill="auto"/>
            <w:vAlign w:val="center"/>
          </w:tcPr>
          <w:p w14:paraId="5068B636" w14:textId="252162A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5C23160C" w14:textId="0CD2059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4911C1CB" w14:textId="702E68A5"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Singapur</w:t>
            </w:r>
          </w:p>
        </w:tc>
        <w:tc>
          <w:tcPr>
            <w:tcW w:w="1001" w:type="dxa"/>
            <w:tcBorders>
              <w:top w:val="nil"/>
              <w:left w:val="nil"/>
              <w:bottom w:val="nil"/>
              <w:right w:val="nil"/>
            </w:tcBorders>
            <w:shd w:val="clear" w:color="auto" w:fill="auto"/>
            <w:vAlign w:val="center"/>
          </w:tcPr>
          <w:p w14:paraId="4944771D" w14:textId="3F71718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629A82BA" w14:textId="7E1C73E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5C9608B0" w14:textId="2497191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04C446CF" w14:textId="77777777" w:rsidTr="006161F4">
        <w:trPr>
          <w:trHeight w:val="256"/>
        </w:trPr>
        <w:tc>
          <w:tcPr>
            <w:tcW w:w="1276" w:type="dxa"/>
            <w:tcBorders>
              <w:top w:val="nil"/>
              <w:left w:val="nil"/>
              <w:bottom w:val="nil"/>
              <w:right w:val="nil"/>
            </w:tcBorders>
            <w:shd w:val="clear" w:color="auto" w:fill="auto"/>
            <w:vAlign w:val="center"/>
          </w:tcPr>
          <w:p w14:paraId="3AB9A844" w14:textId="53A98B3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276" w:type="dxa"/>
            <w:tcBorders>
              <w:top w:val="nil"/>
              <w:left w:val="nil"/>
              <w:bottom w:val="nil"/>
              <w:right w:val="nil"/>
            </w:tcBorders>
            <w:shd w:val="clear" w:color="auto" w:fill="auto"/>
            <w:vAlign w:val="center"/>
          </w:tcPr>
          <w:p w14:paraId="7F78FE3C" w14:textId="2A4DFE3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3474" w:type="dxa"/>
            <w:tcBorders>
              <w:top w:val="nil"/>
              <w:left w:val="nil"/>
              <w:bottom w:val="nil"/>
              <w:right w:val="nil"/>
            </w:tcBorders>
            <w:shd w:val="clear" w:color="auto" w:fill="auto"/>
            <w:vAlign w:val="center"/>
          </w:tcPr>
          <w:p w14:paraId="5FBE4A37" w14:textId="0D1D6F67"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Sudáfrica</w:t>
            </w:r>
          </w:p>
        </w:tc>
        <w:tc>
          <w:tcPr>
            <w:tcW w:w="1001" w:type="dxa"/>
            <w:tcBorders>
              <w:top w:val="nil"/>
              <w:left w:val="nil"/>
              <w:bottom w:val="nil"/>
              <w:right w:val="nil"/>
            </w:tcBorders>
            <w:shd w:val="clear" w:color="auto" w:fill="auto"/>
            <w:vAlign w:val="center"/>
          </w:tcPr>
          <w:p w14:paraId="22321B17" w14:textId="3D476E7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1,00</w:t>
            </w:r>
          </w:p>
        </w:tc>
        <w:tc>
          <w:tcPr>
            <w:tcW w:w="1392" w:type="dxa"/>
            <w:tcBorders>
              <w:top w:val="nil"/>
              <w:left w:val="nil"/>
              <w:bottom w:val="nil"/>
              <w:right w:val="nil"/>
            </w:tcBorders>
            <w:shd w:val="clear" w:color="auto" w:fill="auto"/>
            <w:vAlign w:val="center"/>
          </w:tcPr>
          <w:p w14:paraId="7746058A" w14:textId="786610A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c>
          <w:tcPr>
            <w:tcW w:w="1362" w:type="dxa"/>
            <w:tcBorders>
              <w:top w:val="nil"/>
              <w:left w:val="nil"/>
              <w:bottom w:val="nil"/>
              <w:right w:val="nil"/>
            </w:tcBorders>
            <w:shd w:val="clear" w:color="auto" w:fill="auto"/>
            <w:vAlign w:val="center"/>
          </w:tcPr>
          <w:p w14:paraId="544F6436" w14:textId="7E9A3B7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53.641</w:t>
            </w:r>
          </w:p>
        </w:tc>
      </w:tr>
      <w:tr w:rsidR="00FF12AF" w:rsidRPr="006E4BE1" w14:paraId="14B3FAFE" w14:textId="77777777" w:rsidTr="006161F4">
        <w:trPr>
          <w:trHeight w:val="256"/>
        </w:trPr>
        <w:tc>
          <w:tcPr>
            <w:tcW w:w="1276" w:type="dxa"/>
            <w:tcBorders>
              <w:top w:val="nil"/>
              <w:left w:val="nil"/>
              <w:bottom w:val="nil"/>
              <w:right w:val="nil"/>
            </w:tcBorders>
            <w:shd w:val="clear" w:color="auto" w:fill="auto"/>
            <w:vAlign w:val="center"/>
          </w:tcPr>
          <w:p w14:paraId="78DD28D8" w14:textId="7DE96D2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1276" w:type="dxa"/>
            <w:tcBorders>
              <w:top w:val="nil"/>
              <w:left w:val="nil"/>
              <w:bottom w:val="nil"/>
              <w:right w:val="nil"/>
            </w:tcBorders>
            <w:shd w:val="clear" w:color="auto" w:fill="auto"/>
            <w:vAlign w:val="center"/>
          </w:tcPr>
          <w:p w14:paraId="5774E8C5" w14:textId="7F0D27F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3474" w:type="dxa"/>
            <w:tcBorders>
              <w:top w:val="nil"/>
              <w:left w:val="nil"/>
              <w:bottom w:val="nil"/>
              <w:right w:val="nil"/>
            </w:tcBorders>
            <w:shd w:val="clear" w:color="auto" w:fill="auto"/>
            <w:vAlign w:val="center"/>
          </w:tcPr>
          <w:p w14:paraId="3B12A29C" w14:textId="36C21A00"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Suecia</w:t>
            </w:r>
          </w:p>
        </w:tc>
        <w:tc>
          <w:tcPr>
            <w:tcW w:w="1001" w:type="dxa"/>
            <w:tcBorders>
              <w:top w:val="nil"/>
              <w:left w:val="nil"/>
              <w:bottom w:val="nil"/>
              <w:right w:val="nil"/>
            </w:tcBorders>
            <w:shd w:val="clear" w:color="auto" w:fill="auto"/>
            <w:vAlign w:val="center"/>
          </w:tcPr>
          <w:p w14:paraId="54F51ABB" w14:textId="4F6C368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1,50</w:t>
            </w:r>
          </w:p>
        </w:tc>
        <w:tc>
          <w:tcPr>
            <w:tcW w:w="1392" w:type="dxa"/>
            <w:tcBorders>
              <w:top w:val="nil"/>
              <w:left w:val="nil"/>
              <w:bottom w:val="nil"/>
              <w:right w:val="nil"/>
            </w:tcBorders>
            <w:shd w:val="clear" w:color="auto" w:fill="auto"/>
            <w:vAlign w:val="center"/>
          </w:tcPr>
          <w:p w14:paraId="5A0F4C87" w14:textId="0575ED8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1362" w:type="dxa"/>
            <w:tcBorders>
              <w:top w:val="nil"/>
              <w:left w:val="nil"/>
              <w:bottom w:val="nil"/>
              <w:right w:val="nil"/>
            </w:tcBorders>
            <w:shd w:val="clear" w:color="auto" w:fill="auto"/>
            <w:vAlign w:val="center"/>
          </w:tcPr>
          <w:p w14:paraId="17F7B3A8" w14:textId="18255AB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r>
      <w:tr w:rsidR="00FF12AF" w:rsidRPr="006E4BE1" w14:paraId="600EE913" w14:textId="77777777" w:rsidTr="006161F4">
        <w:trPr>
          <w:trHeight w:val="256"/>
        </w:trPr>
        <w:tc>
          <w:tcPr>
            <w:tcW w:w="1276" w:type="dxa"/>
            <w:tcBorders>
              <w:top w:val="nil"/>
              <w:left w:val="nil"/>
              <w:bottom w:val="nil"/>
              <w:right w:val="nil"/>
            </w:tcBorders>
            <w:shd w:val="clear" w:color="auto" w:fill="auto"/>
            <w:vAlign w:val="center"/>
          </w:tcPr>
          <w:p w14:paraId="57B09646" w14:textId="6C16B536"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1276" w:type="dxa"/>
            <w:tcBorders>
              <w:top w:val="nil"/>
              <w:left w:val="nil"/>
              <w:bottom w:val="nil"/>
              <w:right w:val="nil"/>
            </w:tcBorders>
            <w:shd w:val="clear" w:color="auto" w:fill="auto"/>
            <w:vAlign w:val="center"/>
          </w:tcPr>
          <w:p w14:paraId="2C81D785" w14:textId="3E32CD6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3474" w:type="dxa"/>
            <w:tcBorders>
              <w:top w:val="nil"/>
              <w:left w:val="nil"/>
              <w:bottom w:val="nil"/>
              <w:right w:val="nil"/>
            </w:tcBorders>
            <w:shd w:val="clear" w:color="auto" w:fill="auto"/>
            <w:vAlign w:val="center"/>
          </w:tcPr>
          <w:p w14:paraId="0C35C5DD" w14:textId="3DFFD5B2"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Suiza</w:t>
            </w:r>
          </w:p>
        </w:tc>
        <w:tc>
          <w:tcPr>
            <w:tcW w:w="1001" w:type="dxa"/>
            <w:tcBorders>
              <w:top w:val="nil"/>
              <w:left w:val="nil"/>
              <w:bottom w:val="nil"/>
              <w:right w:val="nil"/>
            </w:tcBorders>
            <w:shd w:val="clear" w:color="auto" w:fill="auto"/>
            <w:vAlign w:val="center"/>
          </w:tcPr>
          <w:p w14:paraId="05F459C6" w14:textId="1AB5D44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1,50</w:t>
            </w:r>
          </w:p>
        </w:tc>
        <w:tc>
          <w:tcPr>
            <w:tcW w:w="1392" w:type="dxa"/>
            <w:tcBorders>
              <w:top w:val="nil"/>
              <w:left w:val="nil"/>
              <w:bottom w:val="nil"/>
              <w:right w:val="nil"/>
            </w:tcBorders>
            <w:shd w:val="clear" w:color="auto" w:fill="auto"/>
            <w:vAlign w:val="center"/>
          </w:tcPr>
          <w:p w14:paraId="0A24B409" w14:textId="4C9C52C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c>
          <w:tcPr>
            <w:tcW w:w="1362" w:type="dxa"/>
            <w:tcBorders>
              <w:top w:val="nil"/>
              <w:left w:val="nil"/>
              <w:bottom w:val="nil"/>
              <w:right w:val="nil"/>
            </w:tcBorders>
            <w:shd w:val="clear" w:color="auto" w:fill="auto"/>
            <w:vAlign w:val="center"/>
          </w:tcPr>
          <w:p w14:paraId="3D1B6C1A" w14:textId="2420404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80.462</w:t>
            </w:r>
          </w:p>
        </w:tc>
      </w:tr>
      <w:tr w:rsidR="00FF12AF" w:rsidRPr="006E4BE1" w14:paraId="70552D14" w14:textId="77777777" w:rsidTr="006161F4">
        <w:trPr>
          <w:trHeight w:val="256"/>
        </w:trPr>
        <w:tc>
          <w:tcPr>
            <w:tcW w:w="1276" w:type="dxa"/>
            <w:tcBorders>
              <w:top w:val="nil"/>
              <w:left w:val="nil"/>
              <w:bottom w:val="nil"/>
              <w:right w:val="nil"/>
            </w:tcBorders>
            <w:shd w:val="clear" w:color="auto" w:fill="auto"/>
            <w:vAlign w:val="center"/>
          </w:tcPr>
          <w:p w14:paraId="3710709E" w14:textId="044E050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0CBD3AC3" w14:textId="4023002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52840AC1" w14:textId="19CAD87A"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Trinidad y Tabago</w:t>
            </w:r>
          </w:p>
        </w:tc>
        <w:tc>
          <w:tcPr>
            <w:tcW w:w="1001" w:type="dxa"/>
            <w:tcBorders>
              <w:top w:val="nil"/>
              <w:left w:val="nil"/>
              <w:bottom w:val="nil"/>
              <w:right w:val="nil"/>
            </w:tcBorders>
            <w:shd w:val="clear" w:color="auto" w:fill="auto"/>
            <w:vAlign w:val="center"/>
          </w:tcPr>
          <w:p w14:paraId="2E9D65A2" w14:textId="15DF8C2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6750B152" w14:textId="3C1060C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1DAF7CD8" w14:textId="5B5C828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51206321" w14:textId="77777777" w:rsidTr="006161F4">
        <w:trPr>
          <w:trHeight w:val="256"/>
        </w:trPr>
        <w:tc>
          <w:tcPr>
            <w:tcW w:w="1276" w:type="dxa"/>
            <w:tcBorders>
              <w:top w:val="nil"/>
              <w:left w:val="nil"/>
              <w:bottom w:val="nil"/>
              <w:right w:val="nil"/>
            </w:tcBorders>
            <w:shd w:val="clear" w:color="auto" w:fill="auto"/>
            <w:vAlign w:val="center"/>
          </w:tcPr>
          <w:p w14:paraId="0EAF4477" w14:textId="0707B07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74E247CB" w14:textId="4D0A572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27E92A4A" w14:textId="20BEE976"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Túnez</w:t>
            </w:r>
          </w:p>
        </w:tc>
        <w:tc>
          <w:tcPr>
            <w:tcW w:w="1001" w:type="dxa"/>
            <w:tcBorders>
              <w:top w:val="nil"/>
              <w:left w:val="nil"/>
              <w:bottom w:val="nil"/>
              <w:right w:val="nil"/>
            </w:tcBorders>
            <w:shd w:val="clear" w:color="auto" w:fill="auto"/>
            <w:vAlign w:val="center"/>
          </w:tcPr>
          <w:p w14:paraId="37080FF5" w14:textId="570F095D"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4B58F0E3" w14:textId="76E7292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2E1E07DD" w14:textId="1D22740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06EC60DF" w14:textId="77777777" w:rsidTr="006161F4">
        <w:trPr>
          <w:trHeight w:val="256"/>
        </w:trPr>
        <w:tc>
          <w:tcPr>
            <w:tcW w:w="1276" w:type="dxa"/>
            <w:tcBorders>
              <w:top w:val="nil"/>
              <w:left w:val="nil"/>
              <w:bottom w:val="nil"/>
              <w:right w:val="nil"/>
            </w:tcBorders>
            <w:shd w:val="clear" w:color="auto" w:fill="auto"/>
            <w:vAlign w:val="center"/>
          </w:tcPr>
          <w:p w14:paraId="6287CB84" w14:textId="4DC995C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276" w:type="dxa"/>
            <w:tcBorders>
              <w:top w:val="nil"/>
              <w:left w:val="nil"/>
              <w:bottom w:val="nil"/>
              <w:right w:val="nil"/>
            </w:tcBorders>
            <w:shd w:val="clear" w:color="auto" w:fill="auto"/>
            <w:vAlign w:val="center"/>
          </w:tcPr>
          <w:p w14:paraId="0E9781B0" w14:textId="49846C81"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3474" w:type="dxa"/>
            <w:tcBorders>
              <w:top w:val="nil"/>
              <w:left w:val="nil"/>
              <w:bottom w:val="nil"/>
              <w:right w:val="nil"/>
            </w:tcBorders>
            <w:shd w:val="clear" w:color="auto" w:fill="auto"/>
            <w:vAlign w:val="center"/>
          </w:tcPr>
          <w:p w14:paraId="655704A4" w14:textId="78436FF2"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Turquía</w:t>
            </w:r>
          </w:p>
        </w:tc>
        <w:tc>
          <w:tcPr>
            <w:tcW w:w="1001" w:type="dxa"/>
            <w:tcBorders>
              <w:top w:val="nil"/>
              <w:left w:val="nil"/>
              <w:bottom w:val="nil"/>
              <w:right w:val="nil"/>
            </w:tcBorders>
            <w:shd w:val="clear" w:color="auto" w:fill="auto"/>
            <w:vAlign w:val="center"/>
          </w:tcPr>
          <w:p w14:paraId="565A0143" w14:textId="4E2A8402"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0,50</w:t>
            </w:r>
          </w:p>
        </w:tc>
        <w:tc>
          <w:tcPr>
            <w:tcW w:w="1392" w:type="dxa"/>
            <w:tcBorders>
              <w:top w:val="nil"/>
              <w:left w:val="nil"/>
              <w:bottom w:val="nil"/>
              <w:right w:val="nil"/>
            </w:tcBorders>
            <w:shd w:val="clear" w:color="auto" w:fill="auto"/>
            <w:vAlign w:val="center"/>
          </w:tcPr>
          <w:p w14:paraId="55EF4094" w14:textId="50172C8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c>
          <w:tcPr>
            <w:tcW w:w="1362" w:type="dxa"/>
            <w:tcBorders>
              <w:top w:val="nil"/>
              <w:left w:val="nil"/>
              <w:bottom w:val="nil"/>
              <w:right w:val="nil"/>
            </w:tcBorders>
            <w:shd w:val="clear" w:color="auto" w:fill="auto"/>
            <w:vAlign w:val="center"/>
          </w:tcPr>
          <w:p w14:paraId="568D546B" w14:textId="2414DF5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w:t>
            </w:r>
          </w:p>
        </w:tc>
      </w:tr>
      <w:tr w:rsidR="00FF12AF" w:rsidRPr="006E4BE1" w14:paraId="01401456" w14:textId="77777777" w:rsidTr="006161F4">
        <w:trPr>
          <w:trHeight w:val="256"/>
        </w:trPr>
        <w:tc>
          <w:tcPr>
            <w:tcW w:w="1276" w:type="dxa"/>
            <w:tcBorders>
              <w:top w:val="nil"/>
              <w:left w:val="nil"/>
              <w:bottom w:val="nil"/>
              <w:right w:val="nil"/>
            </w:tcBorders>
            <w:shd w:val="clear" w:color="auto" w:fill="auto"/>
            <w:vAlign w:val="center"/>
          </w:tcPr>
          <w:p w14:paraId="354CEFE1" w14:textId="4FC7BB7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639B4C4C" w14:textId="3C70391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57CAFD57" w14:textId="384B3EA3"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Ucrania</w:t>
            </w:r>
          </w:p>
        </w:tc>
        <w:tc>
          <w:tcPr>
            <w:tcW w:w="1001" w:type="dxa"/>
            <w:tcBorders>
              <w:top w:val="nil"/>
              <w:left w:val="nil"/>
              <w:bottom w:val="nil"/>
              <w:right w:val="nil"/>
            </w:tcBorders>
            <w:shd w:val="clear" w:color="auto" w:fill="auto"/>
            <w:vAlign w:val="center"/>
          </w:tcPr>
          <w:p w14:paraId="2165C481" w14:textId="39AEC2CA"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583050CB" w14:textId="0073957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509863F8" w14:textId="6D3A37D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15451C64" w14:textId="77777777" w:rsidTr="006161F4">
        <w:trPr>
          <w:trHeight w:val="256"/>
        </w:trPr>
        <w:tc>
          <w:tcPr>
            <w:tcW w:w="1276" w:type="dxa"/>
            <w:tcBorders>
              <w:top w:val="nil"/>
              <w:left w:val="nil"/>
              <w:bottom w:val="nil"/>
              <w:right w:val="nil"/>
            </w:tcBorders>
            <w:shd w:val="clear" w:color="auto" w:fill="auto"/>
            <w:vAlign w:val="center"/>
          </w:tcPr>
          <w:p w14:paraId="1258E8A8" w14:textId="6D7D411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276" w:type="dxa"/>
            <w:tcBorders>
              <w:top w:val="nil"/>
              <w:left w:val="nil"/>
              <w:bottom w:val="nil"/>
              <w:right w:val="nil"/>
            </w:tcBorders>
            <w:shd w:val="clear" w:color="auto" w:fill="auto"/>
            <w:vAlign w:val="center"/>
          </w:tcPr>
          <w:p w14:paraId="77E23E76" w14:textId="7937233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3474" w:type="dxa"/>
            <w:tcBorders>
              <w:top w:val="nil"/>
              <w:left w:val="nil"/>
              <w:bottom w:val="nil"/>
              <w:right w:val="nil"/>
            </w:tcBorders>
            <w:shd w:val="clear" w:color="auto" w:fill="auto"/>
            <w:vAlign w:val="center"/>
          </w:tcPr>
          <w:p w14:paraId="3D831A82" w14:textId="534DD0D0"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Unión Europea</w:t>
            </w:r>
          </w:p>
        </w:tc>
        <w:tc>
          <w:tcPr>
            <w:tcW w:w="1001" w:type="dxa"/>
            <w:tcBorders>
              <w:top w:val="nil"/>
              <w:left w:val="nil"/>
              <w:bottom w:val="nil"/>
              <w:right w:val="nil"/>
            </w:tcBorders>
            <w:shd w:val="clear" w:color="auto" w:fill="auto"/>
            <w:vAlign w:val="center"/>
          </w:tcPr>
          <w:p w14:paraId="699CC32B" w14:textId="6B509673"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5,00</w:t>
            </w:r>
          </w:p>
        </w:tc>
        <w:tc>
          <w:tcPr>
            <w:tcW w:w="1392" w:type="dxa"/>
            <w:tcBorders>
              <w:top w:val="nil"/>
              <w:left w:val="nil"/>
              <w:bottom w:val="nil"/>
              <w:right w:val="nil"/>
            </w:tcBorders>
            <w:shd w:val="clear" w:color="auto" w:fill="auto"/>
            <w:vAlign w:val="center"/>
          </w:tcPr>
          <w:p w14:paraId="3DF82F93" w14:textId="0DA8A04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c>
          <w:tcPr>
            <w:tcW w:w="1362" w:type="dxa"/>
            <w:tcBorders>
              <w:top w:val="nil"/>
              <w:left w:val="nil"/>
              <w:bottom w:val="nil"/>
              <w:right w:val="nil"/>
            </w:tcBorders>
            <w:shd w:val="clear" w:color="auto" w:fill="auto"/>
            <w:vAlign w:val="center"/>
          </w:tcPr>
          <w:p w14:paraId="7545E3E7" w14:textId="1919B03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268.205</w:t>
            </w:r>
          </w:p>
        </w:tc>
      </w:tr>
      <w:tr w:rsidR="00FF12AF" w:rsidRPr="006E4BE1" w14:paraId="618FFFA3" w14:textId="77777777" w:rsidTr="006161F4">
        <w:trPr>
          <w:trHeight w:val="256"/>
        </w:trPr>
        <w:tc>
          <w:tcPr>
            <w:tcW w:w="1276" w:type="dxa"/>
            <w:tcBorders>
              <w:top w:val="nil"/>
              <w:left w:val="nil"/>
              <w:bottom w:val="nil"/>
              <w:right w:val="nil"/>
            </w:tcBorders>
            <w:shd w:val="clear" w:color="auto" w:fill="auto"/>
            <w:vAlign w:val="center"/>
          </w:tcPr>
          <w:p w14:paraId="175EEB64" w14:textId="098A0174"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2F79249C" w14:textId="0E667FF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557E40DF" w14:textId="0D47920E"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Uruguay</w:t>
            </w:r>
          </w:p>
        </w:tc>
        <w:tc>
          <w:tcPr>
            <w:tcW w:w="1001" w:type="dxa"/>
            <w:tcBorders>
              <w:top w:val="nil"/>
              <w:left w:val="nil"/>
              <w:bottom w:val="nil"/>
              <w:right w:val="nil"/>
            </w:tcBorders>
            <w:shd w:val="clear" w:color="auto" w:fill="auto"/>
            <w:vAlign w:val="center"/>
          </w:tcPr>
          <w:p w14:paraId="678BA0CC" w14:textId="0DBAD178"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72A4A0A0" w14:textId="5302ACC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30B31742" w14:textId="28AB335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35F896C2" w14:textId="77777777" w:rsidTr="006161F4">
        <w:trPr>
          <w:trHeight w:val="256"/>
        </w:trPr>
        <w:tc>
          <w:tcPr>
            <w:tcW w:w="1276" w:type="dxa"/>
            <w:tcBorders>
              <w:top w:val="nil"/>
              <w:left w:val="nil"/>
              <w:bottom w:val="nil"/>
              <w:right w:val="nil"/>
            </w:tcBorders>
            <w:shd w:val="clear" w:color="auto" w:fill="auto"/>
            <w:vAlign w:val="center"/>
          </w:tcPr>
          <w:p w14:paraId="6C4F070C" w14:textId="4ADE9EA0"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nil"/>
              <w:right w:val="nil"/>
            </w:tcBorders>
            <w:shd w:val="clear" w:color="auto" w:fill="auto"/>
            <w:vAlign w:val="center"/>
          </w:tcPr>
          <w:p w14:paraId="2ECE5AB6" w14:textId="5978352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nil"/>
              <w:right w:val="nil"/>
            </w:tcBorders>
            <w:shd w:val="clear" w:color="auto" w:fill="auto"/>
            <w:vAlign w:val="center"/>
          </w:tcPr>
          <w:p w14:paraId="3D7ABBA1" w14:textId="739C92AD"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Uzbekistán</w:t>
            </w:r>
          </w:p>
        </w:tc>
        <w:tc>
          <w:tcPr>
            <w:tcW w:w="1001" w:type="dxa"/>
            <w:tcBorders>
              <w:top w:val="nil"/>
              <w:left w:val="nil"/>
              <w:bottom w:val="nil"/>
              <w:right w:val="nil"/>
            </w:tcBorders>
            <w:shd w:val="clear" w:color="auto" w:fill="auto"/>
            <w:vAlign w:val="center"/>
          </w:tcPr>
          <w:p w14:paraId="287CDC37" w14:textId="58B3F1CE"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nil"/>
              <w:right w:val="nil"/>
            </w:tcBorders>
            <w:shd w:val="clear" w:color="auto" w:fill="auto"/>
            <w:vAlign w:val="center"/>
          </w:tcPr>
          <w:p w14:paraId="591903D1" w14:textId="0A504887"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nil"/>
              <w:right w:val="nil"/>
            </w:tcBorders>
            <w:shd w:val="clear" w:color="auto" w:fill="auto"/>
            <w:vAlign w:val="center"/>
          </w:tcPr>
          <w:p w14:paraId="2FB460F6" w14:textId="44FB0A9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FF12AF" w:rsidRPr="006E4BE1" w14:paraId="7258608B" w14:textId="77777777" w:rsidTr="006161F4">
        <w:trPr>
          <w:trHeight w:val="256"/>
        </w:trPr>
        <w:tc>
          <w:tcPr>
            <w:tcW w:w="1276" w:type="dxa"/>
            <w:tcBorders>
              <w:top w:val="nil"/>
              <w:left w:val="nil"/>
              <w:bottom w:val="single" w:sz="8" w:space="0" w:color="BFBFBF"/>
              <w:right w:val="nil"/>
            </w:tcBorders>
            <w:shd w:val="clear" w:color="auto" w:fill="auto"/>
            <w:vAlign w:val="center"/>
          </w:tcPr>
          <w:p w14:paraId="1CBC5EB4" w14:textId="6DD2B28C"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276" w:type="dxa"/>
            <w:tcBorders>
              <w:top w:val="nil"/>
              <w:left w:val="nil"/>
              <w:bottom w:val="single" w:sz="8" w:space="0" w:color="BFBFBF"/>
              <w:right w:val="nil"/>
            </w:tcBorders>
            <w:shd w:val="clear" w:color="auto" w:fill="auto"/>
            <w:vAlign w:val="center"/>
          </w:tcPr>
          <w:p w14:paraId="0189EB26" w14:textId="4718A7AF"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3474" w:type="dxa"/>
            <w:tcBorders>
              <w:top w:val="nil"/>
              <w:left w:val="nil"/>
              <w:bottom w:val="single" w:sz="8" w:space="0" w:color="BFBFBF"/>
              <w:right w:val="nil"/>
            </w:tcBorders>
            <w:shd w:val="clear" w:color="auto" w:fill="auto"/>
            <w:vAlign w:val="center"/>
          </w:tcPr>
          <w:p w14:paraId="230EB66C" w14:textId="17E5C41C" w:rsidR="00FF12AF" w:rsidRPr="006E4BE1" w:rsidRDefault="00FF12AF" w:rsidP="00AE50C9">
            <w:pPr>
              <w:jc w:val="lef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Viet Nam</w:t>
            </w:r>
          </w:p>
        </w:tc>
        <w:tc>
          <w:tcPr>
            <w:tcW w:w="1001" w:type="dxa"/>
            <w:tcBorders>
              <w:top w:val="nil"/>
              <w:left w:val="nil"/>
              <w:bottom w:val="single" w:sz="8" w:space="0" w:color="BFBFBF"/>
              <w:right w:val="nil"/>
            </w:tcBorders>
            <w:shd w:val="clear" w:color="auto" w:fill="auto"/>
            <w:vAlign w:val="center"/>
          </w:tcPr>
          <w:p w14:paraId="067907C2" w14:textId="64A13059"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0,20</w:t>
            </w:r>
          </w:p>
        </w:tc>
        <w:tc>
          <w:tcPr>
            <w:tcW w:w="1392" w:type="dxa"/>
            <w:tcBorders>
              <w:top w:val="nil"/>
              <w:left w:val="nil"/>
              <w:bottom w:val="single" w:sz="8" w:space="0" w:color="BFBFBF"/>
              <w:right w:val="nil"/>
            </w:tcBorders>
            <w:shd w:val="clear" w:color="auto" w:fill="auto"/>
            <w:vAlign w:val="center"/>
          </w:tcPr>
          <w:p w14:paraId="6C2B5722" w14:textId="16C8BFCB"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c>
          <w:tcPr>
            <w:tcW w:w="1362" w:type="dxa"/>
            <w:tcBorders>
              <w:top w:val="nil"/>
              <w:left w:val="nil"/>
              <w:bottom w:val="single" w:sz="8" w:space="0" w:color="BFBFBF"/>
              <w:right w:val="nil"/>
            </w:tcBorders>
            <w:shd w:val="clear" w:color="auto" w:fill="auto"/>
            <w:vAlign w:val="center"/>
          </w:tcPr>
          <w:p w14:paraId="55BA97A4" w14:textId="2E729315" w:rsidR="00FF12AF" w:rsidRPr="006E4BE1" w:rsidRDefault="00FF12AF" w:rsidP="00AE50C9">
            <w:pPr>
              <w:jc w:val="right"/>
              <w:rPr>
                <w:rFonts w:ascii="Arial Narrow" w:hAnsi="Arial Narrow" w:cs="Arial"/>
                <w:color w:val="000000"/>
                <w:sz w:val="18"/>
                <w:szCs w:val="18"/>
                <w:lang w:val="es-ES_tradnl"/>
              </w:rPr>
            </w:pPr>
            <w:r w:rsidRPr="006E4BE1">
              <w:rPr>
                <w:rFonts w:ascii="Arial Narrow" w:hAnsi="Arial Narrow" w:cs="Arial"/>
                <w:color w:val="000000"/>
                <w:sz w:val="18"/>
                <w:szCs w:val="18"/>
                <w:lang w:val="es-ES_tradnl"/>
              </w:rPr>
              <w:t>10.728</w:t>
            </w:r>
          </w:p>
        </w:tc>
      </w:tr>
      <w:tr w:rsidR="00017186" w:rsidRPr="006E4BE1" w14:paraId="3BBEA46D" w14:textId="77777777" w:rsidTr="006161F4">
        <w:trPr>
          <w:trHeight w:val="275"/>
        </w:trPr>
        <w:tc>
          <w:tcPr>
            <w:tcW w:w="1276" w:type="dxa"/>
            <w:tcBorders>
              <w:top w:val="nil"/>
              <w:left w:val="nil"/>
              <w:bottom w:val="single" w:sz="8" w:space="0" w:color="BFBFBF"/>
              <w:right w:val="nil"/>
            </w:tcBorders>
            <w:shd w:val="clear" w:color="auto" w:fill="auto"/>
            <w:vAlign w:val="center"/>
          </w:tcPr>
          <w:p w14:paraId="437C98E6" w14:textId="7C815947" w:rsidR="00017186" w:rsidRPr="006E4BE1" w:rsidRDefault="00017186" w:rsidP="00017186">
            <w:pPr>
              <w:jc w:val="right"/>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3.548.342</w:t>
            </w:r>
          </w:p>
        </w:tc>
        <w:tc>
          <w:tcPr>
            <w:tcW w:w="1276" w:type="dxa"/>
            <w:tcBorders>
              <w:top w:val="nil"/>
              <w:left w:val="nil"/>
              <w:bottom w:val="single" w:sz="8" w:space="0" w:color="BFBFBF"/>
              <w:right w:val="nil"/>
            </w:tcBorders>
            <w:shd w:val="clear" w:color="auto" w:fill="auto"/>
            <w:vAlign w:val="center"/>
          </w:tcPr>
          <w:p w14:paraId="1E0298AE" w14:textId="094AF208" w:rsidR="00017186" w:rsidRPr="006E4BE1" w:rsidRDefault="00017186" w:rsidP="00017186">
            <w:pPr>
              <w:jc w:val="right"/>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3.548.342</w:t>
            </w:r>
          </w:p>
        </w:tc>
        <w:tc>
          <w:tcPr>
            <w:tcW w:w="3474" w:type="dxa"/>
            <w:tcBorders>
              <w:top w:val="nil"/>
              <w:left w:val="nil"/>
              <w:bottom w:val="single" w:sz="8" w:space="0" w:color="BFBFBF"/>
              <w:right w:val="nil"/>
            </w:tcBorders>
            <w:shd w:val="clear" w:color="auto" w:fill="auto"/>
            <w:vAlign w:val="center"/>
          </w:tcPr>
          <w:p w14:paraId="64A81EFB" w14:textId="1B33CC7D" w:rsidR="00017186" w:rsidRPr="006E4BE1" w:rsidRDefault="00017186" w:rsidP="00017186">
            <w:pPr>
              <w:jc w:val="right"/>
              <w:rPr>
                <w:rFonts w:ascii="Arial Narrow" w:hAnsi="Arial Narrow" w:cs="Arial"/>
                <w:b/>
                <w:bCs/>
                <w:color w:val="000000"/>
                <w:sz w:val="18"/>
                <w:szCs w:val="18"/>
                <w:lang w:val="es-ES_tradnl"/>
              </w:rPr>
            </w:pPr>
            <w:r w:rsidRPr="006E4BE1">
              <w:rPr>
                <w:rFonts w:ascii="Arial Narrow" w:hAnsi="Arial Narrow" w:cs="Arial"/>
                <w:b/>
                <w:bCs/>
                <w:color w:val="000000"/>
                <w:sz w:val="18"/>
                <w:szCs w:val="18"/>
                <w:vertAlign w:val="superscript"/>
                <w:lang w:val="es-ES_tradnl"/>
              </w:rPr>
              <w:t> </w:t>
            </w:r>
          </w:p>
        </w:tc>
        <w:tc>
          <w:tcPr>
            <w:tcW w:w="1001" w:type="dxa"/>
            <w:tcBorders>
              <w:top w:val="nil"/>
              <w:left w:val="nil"/>
              <w:bottom w:val="single" w:sz="8" w:space="0" w:color="BFBFBF"/>
              <w:right w:val="nil"/>
            </w:tcBorders>
            <w:shd w:val="clear" w:color="auto" w:fill="auto"/>
            <w:vAlign w:val="center"/>
          </w:tcPr>
          <w:p w14:paraId="20B95FDF" w14:textId="371E55D6" w:rsidR="00017186" w:rsidRPr="006E4BE1" w:rsidRDefault="00017186" w:rsidP="00017186">
            <w:pPr>
              <w:jc w:val="right"/>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66,35</w:t>
            </w:r>
          </w:p>
        </w:tc>
        <w:tc>
          <w:tcPr>
            <w:tcW w:w="1392" w:type="dxa"/>
            <w:tcBorders>
              <w:top w:val="nil"/>
              <w:left w:val="nil"/>
              <w:bottom w:val="single" w:sz="8" w:space="0" w:color="BFBFBF"/>
              <w:right w:val="nil"/>
            </w:tcBorders>
            <w:shd w:val="clear" w:color="auto" w:fill="auto"/>
            <w:vAlign w:val="center"/>
          </w:tcPr>
          <w:p w14:paraId="029FBBF1" w14:textId="718D653A" w:rsidR="00017186" w:rsidRPr="006E4BE1" w:rsidRDefault="00017186" w:rsidP="00017186">
            <w:pPr>
              <w:jc w:val="right"/>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3.559.070</w:t>
            </w:r>
          </w:p>
        </w:tc>
        <w:tc>
          <w:tcPr>
            <w:tcW w:w="1362" w:type="dxa"/>
            <w:tcBorders>
              <w:top w:val="nil"/>
              <w:left w:val="nil"/>
              <w:bottom w:val="single" w:sz="8" w:space="0" w:color="BFBFBF"/>
              <w:right w:val="nil"/>
            </w:tcBorders>
            <w:shd w:val="clear" w:color="auto" w:fill="auto"/>
            <w:vAlign w:val="center"/>
          </w:tcPr>
          <w:p w14:paraId="44F9BC6E" w14:textId="68E93935" w:rsidR="00017186" w:rsidRPr="006E4BE1" w:rsidRDefault="00017186" w:rsidP="00017186">
            <w:pPr>
              <w:jc w:val="right"/>
              <w:rPr>
                <w:rFonts w:ascii="Arial Narrow" w:hAnsi="Arial Narrow" w:cs="Arial"/>
                <w:b/>
                <w:bCs/>
                <w:color w:val="000000"/>
                <w:sz w:val="18"/>
                <w:szCs w:val="18"/>
                <w:lang w:val="es-ES_tradnl"/>
              </w:rPr>
            </w:pPr>
            <w:r w:rsidRPr="006E4BE1">
              <w:rPr>
                <w:rFonts w:ascii="Arial Narrow" w:hAnsi="Arial Narrow" w:cs="Arial"/>
                <w:b/>
                <w:bCs/>
                <w:color w:val="000000"/>
                <w:sz w:val="18"/>
                <w:szCs w:val="18"/>
                <w:lang w:val="es-ES_tradnl"/>
              </w:rPr>
              <w:t>3.559.070</w:t>
            </w:r>
          </w:p>
        </w:tc>
      </w:tr>
    </w:tbl>
    <w:p w14:paraId="7D35B426" w14:textId="77777777" w:rsidR="001240C5" w:rsidRPr="006E4BE1" w:rsidRDefault="001240C5" w:rsidP="00AE50C9">
      <w:pPr>
        <w:rPr>
          <w:lang w:val="es-ES_tradnl"/>
        </w:rPr>
      </w:pPr>
    </w:p>
    <w:p w14:paraId="104D199B" w14:textId="77777777" w:rsidR="001240C5" w:rsidRPr="006E4BE1" w:rsidRDefault="001240C5" w:rsidP="00AE50C9">
      <w:pPr>
        <w:rPr>
          <w:lang w:val="es-ES_tradnl"/>
        </w:rPr>
      </w:pPr>
    </w:p>
    <w:p w14:paraId="78DC1643" w14:textId="77777777" w:rsidR="001240C5" w:rsidRPr="006E4BE1" w:rsidRDefault="001240C5" w:rsidP="00AE50C9">
      <w:pPr>
        <w:rPr>
          <w:lang w:val="es-ES_tradnl"/>
        </w:rPr>
      </w:pPr>
    </w:p>
    <w:p w14:paraId="291BAD6A" w14:textId="77777777" w:rsidR="001240C5" w:rsidRPr="006E4BE1" w:rsidRDefault="00977B25" w:rsidP="00AE50C9">
      <w:pPr>
        <w:pStyle w:val="Endofdocument"/>
        <w:jc w:val="right"/>
        <w:rPr>
          <w:rFonts w:ascii="Arial" w:hAnsi="Arial" w:cs="Arial"/>
          <w:snapToGrid w:val="0"/>
          <w:color w:val="000000"/>
          <w:sz w:val="20"/>
          <w:lang w:val="es-ES_tradnl"/>
        </w:rPr>
      </w:pPr>
      <w:r w:rsidRPr="006E4BE1">
        <w:rPr>
          <w:rFonts w:ascii="Arial" w:hAnsi="Arial" w:cs="Arial"/>
          <w:snapToGrid w:val="0"/>
          <w:color w:val="000000"/>
          <w:sz w:val="20"/>
          <w:lang w:val="es-ES_tradnl"/>
        </w:rPr>
        <w:t>[Sigue el Apéndice III]</w:t>
      </w:r>
    </w:p>
    <w:p w14:paraId="5F2493D4" w14:textId="2E4F0911" w:rsidR="008C5BB5" w:rsidRPr="006E4BE1" w:rsidRDefault="00C05E9C" w:rsidP="00AE50C9">
      <w:pPr>
        <w:rPr>
          <w:rFonts w:cs="Arial"/>
          <w:b/>
          <w:color w:val="0000FF"/>
          <w:lang w:val="es-ES_tradnl"/>
        </w:rPr>
        <w:sectPr w:rsidR="008C5BB5" w:rsidRPr="006E4BE1" w:rsidSect="00277D28">
          <w:headerReference w:type="even" r:id="rId49"/>
          <w:headerReference w:type="default" r:id="rId50"/>
          <w:footerReference w:type="even" r:id="rId51"/>
          <w:footerReference w:type="default" r:id="rId52"/>
          <w:headerReference w:type="first" r:id="rId53"/>
          <w:footerReference w:type="first" r:id="rId54"/>
          <w:pgSz w:w="11907" w:h="16840" w:code="9"/>
          <w:pgMar w:top="510" w:right="1134" w:bottom="1134" w:left="1134" w:header="510" w:footer="624" w:gutter="0"/>
          <w:cols w:space="720"/>
          <w:docGrid w:linePitch="272"/>
        </w:sectPr>
      </w:pPr>
      <w:r w:rsidRPr="006E4BE1">
        <w:rPr>
          <w:rFonts w:cs="Arial"/>
          <w:b/>
          <w:color w:val="0000FF"/>
          <w:lang w:val="es-ES_tradnl"/>
        </w:rPr>
        <w:t xml:space="preserve"> </w:t>
      </w:r>
    </w:p>
    <w:p w14:paraId="16260095" w14:textId="77777777" w:rsidR="001240C5" w:rsidRPr="006E4BE1" w:rsidRDefault="009535C3" w:rsidP="00957CB0">
      <w:pPr>
        <w:pStyle w:val="Heading9"/>
        <w:keepNext w:val="0"/>
        <w:ind w:left="1985" w:hanging="1985"/>
        <w:rPr>
          <w:lang w:val="es-ES_tradnl"/>
        </w:rPr>
      </w:pPr>
      <w:bookmarkStart w:id="475" w:name="_Toc78476743"/>
      <w:r w:rsidRPr="006E4BE1">
        <w:rPr>
          <w:lang w:val="es-ES_tradnl"/>
        </w:rPr>
        <w:lastRenderedPageBreak/>
        <w:t>APÉNDICE III</w:t>
      </w:r>
      <w:r w:rsidRPr="006E4BE1">
        <w:rPr>
          <w:lang w:val="es-ES_tradnl"/>
        </w:rPr>
        <w:tab/>
        <w:t>Definición de las fuentes de ingresos y categorías de gasto</w:t>
      </w:r>
      <w:bookmarkEnd w:id="475"/>
    </w:p>
    <w:p w14:paraId="4AF10E46" w14:textId="77777777" w:rsidR="001240C5" w:rsidRPr="006E4BE1" w:rsidRDefault="001240C5" w:rsidP="00AE50C9">
      <w:pPr>
        <w:rPr>
          <w:lang w:val="es-ES_tradnl"/>
        </w:rPr>
      </w:pPr>
    </w:p>
    <w:p w14:paraId="1CBD6B79" w14:textId="77777777" w:rsidR="001240C5" w:rsidRPr="006E4BE1" w:rsidRDefault="001240C5" w:rsidP="00AE50C9">
      <w:pPr>
        <w:rPr>
          <w:lang w:val="es-ES_tradnl"/>
        </w:rPr>
      </w:pPr>
    </w:p>
    <w:p w14:paraId="491C5BAC" w14:textId="77777777" w:rsidR="001240C5" w:rsidRPr="006E4BE1" w:rsidRDefault="009535C3" w:rsidP="00AE50C9">
      <w:pPr>
        <w:rPr>
          <w:color w:val="26724C" w:themeColor="accent1" w:themeShade="BF"/>
          <w:sz w:val="28"/>
          <w:lang w:val="es-ES_tradnl"/>
        </w:rPr>
      </w:pPr>
      <w:r w:rsidRPr="006E4BE1">
        <w:rPr>
          <w:color w:val="26724C" w:themeColor="accent1" w:themeShade="BF"/>
          <w:sz w:val="28"/>
          <w:lang w:val="es-ES_tradnl"/>
        </w:rPr>
        <w:t>Fuentes de ingresos</w:t>
      </w:r>
    </w:p>
    <w:p w14:paraId="5FF5C114" w14:textId="77777777" w:rsidR="001240C5" w:rsidRPr="006E4BE1" w:rsidRDefault="001240C5" w:rsidP="00AE50C9">
      <w:pPr>
        <w:rPr>
          <w:lang w:val="es-ES_tradnl"/>
        </w:rPr>
      </w:pPr>
    </w:p>
    <w:p w14:paraId="15488422" w14:textId="77777777" w:rsidR="001240C5" w:rsidRPr="006E4BE1" w:rsidRDefault="009535C3" w:rsidP="00AE50C9">
      <w:pPr>
        <w:rPr>
          <w:lang w:val="es-ES_tradnl"/>
        </w:rPr>
      </w:pPr>
      <w:r w:rsidRPr="006E4BE1">
        <w:rPr>
          <w:lang w:val="es-ES_tradnl"/>
        </w:rPr>
        <w:t>Contribuciones: contribuciones de los miembros de la Unión en virtud del Convenio de la UPOV (artículo 29 del Acta de 1991 y artículo 26 del Acta de 1978).</w:t>
      </w:r>
    </w:p>
    <w:p w14:paraId="1A01C06E" w14:textId="77777777" w:rsidR="001240C5" w:rsidRPr="006E4BE1" w:rsidRDefault="001240C5" w:rsidP="00AE50C9">
      <w:pPr>
        <w:rPr>
          <w:lang w:val="es-ES_tradnl"/>
        </w:rPr>
      </w:pPr>
    </w:p>
    <w:p w14:paraId="4132FD74" w14:textId="77777777" w:rsidR="001240C5" w:rsidRPr="006E4BE1" w:rsidRDefault="009535C3" w:rsidP="00AE50C9">
      <w:pPr>
        <w:spacing w:after="40"/>
        <w:rPr>
          <w:lang w:val="es-ES_tradnl"/>
        </w:rPr>
      </w:pPr>
      <w:r w:rsidRPr="006E4BE1">
        <w:rPr>
          <w:lang w:val="es-ES_tradnl"/>
        </w:rPr>
        <w:t>Tasas por herramientas y servicios informáticos de la UPOV: tasas en concepto de bases de datos y herramientas y servicios informáticos de la UPOV.</w:t>
      </w:r>
    </w:p>
    <w:p w14:paraId="5C321C5D" w14:textId="77777777" w:rsidR="001240C5" w:rsidRPr="006E4BE1" w:rsidRDefault="001240C5" w:rsidP="00AE50C9">
      <w:pPr>
        <w:rPr>
          <w:lang w:val="es-ES_tradnl"/>
        </w:rPr>
      </w:pPr>
    </w:p>
    <w:p w14:paraId="33245386" w14:textId="77777777" w:rsidR="001240C5" w:rsidRPr="006E4BE1" w:rsidRDefault="00EB697E" w:rsidP="00AE50C9">
      <w:pPr>
        <w:spacing w:after="40"/>
        <w:rPr>
          <w:lang w:val="es-ES_tradnl"/>
        </w:rPr>
      </w:pPr>
      <w:r w:rsidRPr="006E4BE1">
        <w:rPr>
          <w:lang w:val="es-ES_tradnl"/>
        </w:rPr>
        <w:t>Ingresos diversos: ajustes contables (créditos) respecto de años anteriores, ajustes por fluctuación cambiaria, ingresos destinados a sufragar los gastos relativos a actividades extrapresupuestarias ejecutadas por la UPOV y financiadas mediante fondos fiduciarios, y tasas de los programas de enseñanza a distancia.</w:t>
      </w:r>
    </w:p>
    <w:p w14:paraId="13A50530" w14:textId="77777777" w:rsidR="001240C5" w:rsidRPr="006E4BE1" w:rsidRDefault="001240C5" w:rsidP="00AE50C9">
      <w:pPr>
        <w:rPr>
          <w:sz w:val="24"/>
          <w:lang w:val="es-ES_tradnl"/>
        </w:rPr>
      </w:pPr>
    </w:p>
    <w:p w14:paraId="3CC4BD2F" w14:textId="77777777" w:rsidR="001240C5" w:rsidRPr="006E4BE1" w:rsidRDefault="001240C5" w:rsidP="00AE50C9">
      <w:pPr>
        <w:rPr>
          <w:sz w:val="24"/>
          <w:lang w:val="es-ES_tradnl"/>
        </w:rPr>
      </w:pPr>
    </w:p>
    <w:p w14:paraId="5AD942FE" w14:textId="77777777" w:rsidR="001240C5" w:rsidRPr="006E4BE1" w:rsidRDefault="00EB697E" w:rsidP="00AE50C9">
      <w:pPr>
        <w:rPr>
          <w:color w:val="26724C" w:themeColor="accent1" w:themeShade="BF"/>
          <w:sz w:val="28"/>
          <w:szCs w:val="24"/>
          <w:lang w:val="es-ES_tradnl"/>
        </w:rPr>
      </w:pPr>
      <w:r w:rsidRPr="006E4BE1">
        <w:rPr>
          <w:color w:val="26724C" w:themeColor="accent1" w:themeShade="BF"/>
          <w:sz w:val="28"/>
          <w:szCs w:val="24"/>
          <w:lang w:val="es-ES_tradnl"/>
        </w:rPr>
        <w:t>Categorías de gasto</w:t>
      </w:r>
    </w:p>
    <w:p w14:paraId="5BEBFCD6" w14:textId="77777777" w:rsidR="001240C5" w:rsidRPr="006E4BE1" w:rsidRDefault="001240C5" w:rsidP="00AE50C9">
      <w:pPr>
        <w:rPr>
          <w:lang w:val="es-ES_tradnl"/>
        </w:rPr>
      </w:pPr>
    </w:p>
    <w:p w14:paraId="12DB9091" w14:textId="77777777" w:rsidR="001240C5" w:rsidRPr="006E4BE1" w:rsidRDefault="00D22DE3" w:rsidP="00AE50C9">
      <w:pPr>
        <w:rPr>
          <w:b/>
          <w:color w:val="26724C" w:themeColor="accent1" w:themeShade="BF"/>
          <w:lang w:val="es-ES_tradnl"/>
        </w:rPr>
      </w:pPr>
      <w:r w:rsidRPr="006E4BE1">
        <w:rPr>
          <w:b/>
          <w:color w:val="26724C" w:themeColor="accent1" w:themeShade="BF"/>
          <w:lang w:val="es-ES_tradnl"/>
        </w:rPr>
        <w:t>Recursos de personal</w:t>
      </w:r>
    </w:p>
    <w:p w14:paraId="0C45BB15" w14:textId="77777777" w:rsidR="001240C5" w:rsidRPr="006E4BE1" w:rsidRDefault="001240C5" w:rsidP="00AE50C9">
      <w:pPr>
        <w:rPr>
          <w:lang w:val="es-ES_tradnl"/>
        </w:rPr>
      </w:pPr>
    </w:p>
    <w:p w14:paraId="6ECBAEFA" w14:textId="77777777" w:rsidR="001240C5" w:rsidRPr="006E4BE1" w:rsidRDefault="00F602C7" w:rsidP="00AE50C9">
      <w:pPr>
        <w:spacing w:after="40"/>
        <w:rPr>
          <w:lang w:val="es-ES_tradnl"/>
        </w:rPr>
      </w:pPr>
      <w:r w:rsidRPr="006E4BE1">
        <w:rPr>
          <w:b/>
          <w:lang w:val="es-ES_tradnl"/>
        </w:rPr>
        <w:t xml:space="preserve">Puestos: </w:t>
      </w:r>
      <w:r w:rsidRPr="006E4BE1">
        <w:rPr>
          <w:lang w:val="es-ES_tradnl"/>
        </w:rPr>
        <w:t>remuneración recibida por los miembros del personal, en particular, sueldos, ajustes por lugar de destino, prestaciones por personas a cargo, primas de idiomas y horas extraordinarias, subsidios de no residentes, primas por asignación y subsidios por gastos de representación.</w:t>
      </w:r>
    </w:p>
    <w:p w14:paraId="1704920D" w14:textId="77777777" w:rsidR="001240C5" w:rsidRPr="006E4BE1" w:rsidRDefault="001240C5" w:rsidP="00AE50C9">
      <w:pPr>
        <w:rPr>
          <w:color w:val="7F7F7F" w:themeColor="text1" w:themeTint="80"/>
          <w:lang w:val="es-ES_tradnl"/>
        </w:rPr>
      </w:pPr>
    </w:p>
    <w:p w14:paraId="7EB5CBD0" w14:textId="77777777" w:rsidR="001240C5" w:rsidRPr="006E4BE1" w:rsidRDefault="00F602C7" w:rsidP="00AE50C9">
      <w:pPr>
        <w:rPr>
          <w:lang w:val="es-ES_tradnl"/>
        </w:rPr>
      </w:pPr>
      <w:r w:rsidRPr="006E4BE1">
        <w:rPr>
          <w:b/>
          <w:lang w:val="es-ES_tradnl"/>
        </w:rPr>
        <w:t xml:space="preserve">Personal temporal: </w:t>
      </w:r>
      <w:r w:rsidRPr="006E4BE1">
        <w:rPr>
          <w:lang w:val="es-ES_tradnl"/>
        </w:rPr>
        <w:t>remuneración y subsidios pagados a profesionales o empleados de servicios generales con contratos de corta duración.</w:t>
      </w:r>
    </w:p>
    <w:p w14:paraId="1F58ED9D" w14:textId="77777777" w:rsidR="001240C5" w:rsidRPr="006E4BE1" w:rsidRDefault="001240C5" w:rsidP="00AE50C9">
      <w:pPr>
        <w:rPr>
          <w:lang w:val="es-ES_tradnl"/>
        </w:rPr>
      </w:pPr>
    </w:p>
    <w:p w14:paraId="72AA2C7A" w14:textId="77777777" w:rsidR="001240C5" w:rsidRPr="006E4BE1" w:rsidRDefault="00F602C7" w:rsidP="00AE50C9">
      <w:pPr>
        <w:rPr>
          <w:b/>
          <w:color w:val="26724C" w:themeColor="accent1" w:themeShade="BF"/>
          <w:lang w:val="es-ES_tradnl"/>
        </w:rPr>
      </w:pPr>
      <w:r w:rsidRPr="006E4BE1">
        <w:rPr>
          <w:b/>
          <w:color w:val="26724C" w:themeColor="accent1" w:themeShade="BF"/>
          <w:lang w:val="es-ES_tradnl"/>
        </w:rPr>
        <w:t>Recursos no relativos a personal</w:t>
      </w:r>
    </w:p>
    <w:p w14:paraId="05794307" w14:textId="77777777" w:rsidR="001240C5" w:rsidRPr="006E4BE1" w:rsidRDefault="001240C5" w:rsidP="00AE50C9">
      <w:pPr>
        <w:rPr>
          <w:b/>
          <w:color w:val="26724C" w:themeColor="accent1" w:themeShade="BF"/>
          <w:lang w:val="es-ES_tradnl"/>
        </w:rPr>
      </w:pPr>
    </w:p>
    <w:p w14:paraId="4A1EE224" w14:textId="77777777" w:rsidR="001240C5" w:rsidRPr="006E4BE1" w:rsidRDefault="00F602C7" w:rsidP="00AE50C9">
      <w:pPr>
        <w:rPr>
          <w:rFonts w:cs="Arial"/>
          <w:bCs/>
          <w:i/>
          <w:color w:val="26724C" w:themeColor="accent1" w:themeShade="BF"/>
          <w:lang w:val="es-ES_tradnl"/>
        </w:rPr>
      </w:pPr>
      <w:r w:rsidRPr="006E4BE1">
        <w:rPr>
          <w:rFonts w:cs="Arial"/>
          <w:bCs/>
          <w:i/>
          <w:color w:val="26724C" w:themeColor="accent1" w:themeShade="BF"/>
          <w:lang w:val="es-ES_tradnl"/>
        </w:rPr>
        <w:t>Pasantías y becas</w:t>
      </w:r>
    </w:p>
    <w:p w14:paraId="1DD6680E" w14:textId="77777777" w:rsidR="001240C5" w:rsidRPr="006E4BE1" w:rsidRDefault="001240C5" w:rsidP="00AE50C9">
      <w:pPr>
        <w:rPr>
          <w:rFonts w:cs="Arial"/>
          <w:lang w:val="es-ES_tradnl"/>
        </w:rPr>
      </w:pPr>
    </w:p>
    <w:p w14:paraId="74AA6A4C" w14:textId="77777777" w:rsidR="001240C5" w:rsidRPr="006E4BE1" w:rsidRDefault="00F602C7" w:rsidP="00AE50C9">
      <w:pPr>
        <w:rPr>
          <w:rFonts w:cs="Arial"/>
          <w:lang w:val="es-ES_tradnl"/>
        </w:rPr>
      </w:pPr>
      <w:r w:rsidRPr="006E4BE1">
        <w:rPr>
          <w:rFonts w:cs="Arial"/>
          <w:b/>
          <w:lang w:val="es-ES_tradnl"/>
        </w:rPr>
        <w:t xml:space="preserve">Pasantías: </w:t>
      </w:r>
      <w:r w:rsidRPr="006E4BE1">
        <w:rPr>
          <w:rFonts w:cs="Arial"/>
          <w:lang w:val="es-ES_tradnl"/>
        </w:rPr>
        <w:t>remuneración y subsidios pagados a los pasantes.</w:t>
      </w:r>
    </w:p>
    <w:p w14:paraId="48BCD926" w14:textId="77777777" w:rsidR="001240C5" w:rsidRPr="006E4BE1" w:rsidRDefault="001240C5" w:rsidP="00AE50C9">
      <w:pPr>
        <w:rPr>
          <w:lang w:val="es-ES_tradnl"/>
        </w:rPr>
      </w:pPr>
    </w:p>
    <w:p w14:paraId="21896568" w14:textId="77777777" w:rsidR="001240C5" w:rsidRPr="006E4BE1" w:rsidRDefault="00F602C7" w:rsidP="00AE50C9">
      <w:pPr>
        <w:rPr>
          <w:rFonts w:cs="Arial"/>
          <w:lang w:val="es-ES_tradnl"/>
        </w:rPr>
      </w:pPr>
      <w:r w:rsidRPr="006E4BE1">
        <w:rPr>
          <w:rFonts w:cs="Arial"/>
          <w:b/>
          <w:lang w:val="es-ES_tradnl"/>
        </w:rPr>
        <w:t>Becas:</w:t>
      </w:r>
      <w:r w:rsidRPr="006E4BE1">
        <w:rPr>
          <w:rFonts w:cs="Arial"/>
          <w:lang w:val="es-ES_tradnl"/>
        </w:rPr>
        <w:t xml:space="preserve"> gastos relacionados con una actividad de formación para la que se concede una subvención económica a personas cualificadas a fin de que cumplan determinados objetivos de aprendizaje.</w:t>
      </w:r>
    </w:p>
    <w:p w14:paraId="2F041A2E" w14:textId="77777777" w:rsidR="001240C5" w:rsidRPr="006E4BE1" w:rsidRDefault="001240C5" w:rsidP="00AE50C9">
      <w:pPr>
        <w:rPr>
          <w:u w:val="single"/>
          <w:lang w:val="es-ES_tradnl"/>
        </w:rPr>
      </w:pPr>
    </w:p>
    <w:p w14:paraId="3220FA1E" w14:textId="77777777" w:rsidR="001240C5" w:rsidRPr="006E4BE1" w:rsidRDefault="00F602C7" w:rsidP="00AE50C9">
      <w:pPr>
        <w:rPr>
          <w:rFonts w:cs="Arial"/>
          <w:bCs/>
          <w:i/>
          <w:color w:val="26724C" w:themeColor="accent1" w:themeShade="BF"/>
          <w:lang w:val="es-ES_tradnl"/>
        </w:rPr>
      </w:pPr>
      <w:r w:rsidRPr="006E4BE1">
        <w:rPr>
          <w:rFonts w:cs="Arial"/>
          <w:bCs/>
          <w:i/>
          <w:color w:val="26724C" w:themeColor="accent1" w:themeShade="BF"/>
          <w:lang w:val="es-ES_tradnl"/>
        </w:rPr>
        <w:t>Viajes, formación y subsidios</w:t>
      </w:r>
    </w:p>
    <w:p w14:paraId="36282545" w14:textId="77777777" w:rsidR="001240C5" w:rsidRPr="006E4BE1" w:rsidRDefault="001240C5" w:rsidP="00AE50C9">
      <w:pPr>
        <w:rPr>
          <w:u w:val="single"/>
          <w:lang w:val="es-ES_tradnl"/>
        </w:rPr>
      </w:pPr>
    </w:p>
    <w:p w14:paraId="24DA7240" w14:textId="77777777" w:rsidR="001240C5" w:rsidRPr="006E4BE1" w:rsidRDefault="00F602C7" w:rsidP="00AE50C9">
      <w:pPr>
        <w:rPr>
          <w:rFonts w:cs="Arial"/>
          <w:color w:val="000000"/>
          <w:lang w:val="es-ES_tradnl"/>
        </w:rPr>
      </w:pPr>
      <w:r w:rsidRPr="006E4BE1">
        <w:rPr>
          <w:rFonts w:cs="Arial"/>
          <w:b/>
          <w:color w:val="000000"/>
          <w:lang w:val="es-ES_tradnl"/>
        </w:rPr>
        <w:t xml:space="preserve">Misiones del personal: </w:t>
      </w:r>
      <w:r w:rsidRPr="006E4BE1">
        <w:rPr>
          <w:rFonts w:cs="Arial"/>
          <w:color w:val="000000"/>
          <w:lang w:val="es-ES_tradnl"/>
        </w:rPr>
        <w:t>gastos de viaje y dietas para el personal que efectúa viajes oficiales.</w:t>
      </w:r>
    </w:p>
    <w:p w14:paraId="6B5DDA7D" w14:textId="77777777" w:rsidR="001240C5" w:rsidRPr="006E4BE1" w:rsidRDefault="001240C5" w:rsidP="00AE50C9">
      <w:pPr>
        <w:rPr>
          <w:lang w:val="es-ES_tradnl"/>
        </w:rPr>
      </w:pPr>
    </w:p>
    <w:p w14:paraId="643B3DF5" w14:textId="77777777" w:rsidR="001240C5" w:rsidRPr="006E4BE1" w:rsidRDefault="00F602C7" w:rsidP="00AE50C9">
      <w:pPr>
        <w:rPr>
          <w:rFonts w:cs="Arial"/>
          <w:color w:val="000000"/>
          <w:lang w:val="es-ES_tradnl"/>
        </w:rPr>
      </w:pPr>
      <w:r w:rsidRPr="006E4BE1">
        <w:rPr>
          <w:rFonts w:cs="Arial"/>
          <w:b/>
          <w:color w:val="000000"/>
          <w:lang w:val="es-ES_tradnl"/>
        </w:rPr>
        <w:t xml:space="preserve">Viajes de terceros: </w:t>
      </w:r>
      <w:r w:rsidRPr="006E4BE1">
        <w:rPr>
          <w:rFonts w:cs="Arial"/>
          <w:color w:val="000000"/>
          <w:lang w:val="es-ES_tradnl"/>
        </w:rPr>
        <w:t>gastos de viaje y dietas para terceros, incluidos los gastos de viaje de funcionarios gubernamentales, participantes y conferenciantes que asistan a reuniones financiadas por la UPOV.</w:t>
      </w:r>
    </w:p>
    <w:p w14:paraId="4FC4B92B" w14:textId="77777777" w:rsidR="001240C5" w:rsidRPr="006E4BE1" w:rsidRDefault="001240C5" w:rsidP="00AE50C9">
      <w:pPr>
        <w:rPr>
          <w:lang w:val="es-ES_tradnl"/>
        </w:rPr>
      </w:pPr>
    </w:p>
    <w:p w14:paraId="342D3674" w14:textId="77777777" w:rsidR="001240C5" w:rsidRPr="006E4BE1" w:rsidRDefault="00007805" w:rsidP="00AE50C9">
      <w:pPr>
        <w:rPr>
          <w:rFonts w:cs="Arial"/>
          <w:color w:val="000000"/>
          <w:lang w:val="es-ES_tradnl"/>
        </w:rPr>
      </w:pPr>
      <w:r w:rsidRPr="006E4BE1">
        <w:rPr>
          <w:rFonts w:cs="Arial"/>
          <w:b/>
          <w:color w:val="000000"/>
          <w:lang w:val="es-ES_tradnl"/>
        </w:rPr>
        <w:t xml:space="preserve">Subvenciones para formación y viajes conexos: </w:t>
      </w:r>
      <w:r w:rsidRPr="006E4BE1">
        <w:rPr>
          <w:rFonts w:cs="Arial"/>
          <w:color w:val="000000"/>
          <w:lang w:val="es-ES_tradnl"/>
        </w:rPr>
        <w:t>gastos de viaje, dietas, formación y otros gastos de personas en formación inscritas en cursos, seminarios y becas.</w:t>
      </w:r>
    </w:p>
    <w:p w14:paraId="458ECAFE" w14:textId="77777777" w:rsidR="001240C5" w:rsidRPr="006E4BE1" w:rsidRDefault="001240C5" w:rsidP="00AE50C9">
      <w:pPr>
        <w:rPr>
          <w:lang w:val="es-ES_tradnl"/>
        </w:rPr>
      </w:pPr>
    </w:p>
    <w:p w14:paraId="4C2E47D1" w14:textId="77777777" w:rsidR="001240C5" w:rsidRPr="006E4BE1" w:rsidRDefault="00007805" w:rsidP="00AE50C9">
      <w:pPr>
        <w:rPr>
          <w:rFonts w:cs="Arial"/>
          <w:bCs/>
          <w:i/>
          <w:color w:val="26724C" w:themeColor="accent1" w:themeShade="BF"/>
          <w:lang w:val="es-ES_tradnl"/>
        </w:rPr>
      </w:pPr>
      <w:r w:rsidRPr="006E4BE1">
        <w:rPr>
          <w:rFonts w:cs="Arial"/>
          <w:bCs/>
          <w:i/>
          <w:color w:val="26724C" w:themeColor="accent1" w:themeShade="BF"/>
          <w:lang w:val="es-ES_tradnl"/>
        </w:rPr>
        <w:t>Servicios contractuales</w:t>
      </w:r>
    </w:p>
    <w:p w14:paraId="2685ECF3" w14:textId="77777777" w:rsidR="001240C5" w:rsidRPr="006E4BE1" w:rsidRDefault="001240C5" w:rsidP="00AE50C9">
      <w:pPr>
        <w:rPr>
          <w:u w:val="single"/>
          <w:lang w:val="es-ES_tradnl"/>
        </w:rPr>
      </w:pPr>
    </w:p>
    <w:p w14:paraId="7E65D116" w14:textId="77777777" w:rsidR="001240C5" w:rsidRPr="006E4BE1" w:rsidRDefault="00634D93" w:rsidP="00AE50C9">
      <w:pPr>
        <w:rPr>
          <w:color w:val="000000"/>
          <w:szCs w:val="22"/>
          <w:lang w:val="es-ES_tradnl"/>
        </w:rPr>
      </w:pPr>
      <w:r w:rsidRPr="006E4BE1">
        <w:rPr>
          <w:b/>
          <w:color w:val="000000"/>
          <w:szCs w:val="22"/>
          <w:lang w:val="es-ES_tradnl"/>
        </w:rPr>
        <w:t>Conferencias:</w:t>
      </w:r>
      <w:r w:rsidRPr="006E4BE1">
        <w:rPr>
          <w:color w:val="000000"/>
          <w:szCs w:val="22"/>
          <w:lang w:val="es-ES_tradnl"/>
        </w:rPr>
        <w:t xml:space="preserve"> remuneración, gastos de viaje y dietas para intérpretes; alquiler de locales para conferencias y de equipo y plataformas de interpretación; refrigerios y recepciones.</w:t>
      </w:r>
    </w:p>
    <w:p w14:paraId="23132305" w14:textId="77777777" w:rsidR="001240C5" w:rsidRPr="006E4BE1" w:rsidRDefault="001240C5" w:rsidP="00AE50C9">
      <w:pPr>
        <w:rPr>
          <w:lang w:val="es-ES_tradnl"/>
        </w:rPr>
      </w:pPr>
    </w:p>
    <w:p w14:paraId="360CCF5E" w14:textId="77777777" w:rsidR="001240C5" w:rsidRPr="006E4BE1" w:rsidRDefault="00634D93" w:rsidP="00AE50C9">
      <w:pPr>
        <w:rPr>
          <w:color w:val="000000"/>
          <w:szCs w:val="22"/>
          <w:lang w:val="es-ES_tradnl"/>
        </w:rPr>
      </w:pPr>
      <w:r w:rsidRPr="006E4BE1">
        <w:rPr>
          <w:b/>
          <w:color w:val="000000"/>
          <w:szCs w:val="22"/>
          <w:lang w:val="es-ES_tradnl"/>
        </w:rPr>
        <w:t xml:space="preserve">Publicaciones: </w:t>
      </w:r>
      <w:r w:rsidRPr="006E4BE1">
        <w:rPr>
          <w:color w:val="000000"/>
          <w:szCs w:val="22"/>
          <w:lang w:val="es-ES_tradnl"/>
        </w:rPr>
        <w:t>impresión y encuadernación externas; revistas; papel e impresión; otro material impreso (reimpresión de artículos publicados en revistas); folletos; tratados; colecciones de textos; manuales; formularios de trabajo y demás material impreso; vídeos y otras formas de publicación electrónica.</w:t>
      </w:r>
    </w:p>
    <w:p w14:paraId="247C1773" w14:textId="77777777" w:rsidR="001240C5" w:rsidRPr="006E4BE1" w:rsidRDefault="001240C5" w:rsidP="00AE50C9">
      <w:pPr>
        <w:rPr>
          <w:lang w:val="es-ES_tradnl"/>
        </w:rPr>
      </w:pPr>
    </w:p>
    <w:p w14:paraId="56881B5B" w14:textId="77777777" w:rsidR="001240C5" w:rsidRPr="006E4BE1" w:rsidRDefault="00F3578F" w:rsidP="00AE50C9">
      <w:pPr>
        <w:rPr>
          <w:color w:val="000000"/>
          <w:szCs w:val="22"/>
          <w:lang w:val="es-ES_tradnl"/>
        </w:rPr>
      </w:pPr>
      <w:r w:rsidRPr="006E4BE1">
        <w:rPr>
          <w:b/>
          <w:color w:val="000000"/>
          <w:szCs w:val="22"/>
          <w:lang w:val="es-ES_tradnl"/>
        </w:rPr>
        <w:t xml:space="preserve">Servicios contractuales individuales: </w:t>
      </w:r>
      <w:r w:rsidRPr="006E4BE1">
        <w:rPr>
          <w:color w:val="000000"/>
          <w:szCs w:val="22"/>
          <w:lang w:val="es-ES_tradnl"/>
        </w:rPr>
        <w:t>remuneración pagada en concepto de servicios prestados por individuos bajo contrato.</w:t>
      </w:r>
    </w:p>
    <w:p w14:paraId="3E8E5351" w14:textId="77777777" w:rsidR="001240C5" w:rsidRPr="006E4BE1" w:rsidRDefault="001240C5" w:rsidP="00AE50C9">
      <w:pPr>
        <w:rPr>
          <w:lang w:val="es-ES_tradnl"/>
        </w:rPr>
      </w:pPr>
    </w:p>
    <w:p w14:paraId="456BE5A3" w14:textId="77777777" w:rsidR="001240C5" w:rsidRPr="006E4BE1" w:rsidRDefault="00F3578F" w:rsidP="00AE50C9">
      <w:pPr>
        <w:rPr>
          <w:color w:val="000000"/>
          <w:szCs w:val="22"/>
          <w:lang w:val="es-ES_tradnl"/>
        </w:rPr>
      </w:pPr>
      <w:r w:rsidRPr="006E4BE1">
        <w:rPr>
          <w:b/>
          <w:color w:val="000000"/>
          <w:szCs w:val="22"/>
          <w:lang w:val="es-ES_tradnl"/>
        </w:rPr>
        <w:t xml:space="preserve">Otros servicios contractuales: </w:t>
      </w:r>
      <w:r w:rsidRPr="006E4BE1">
        <w:rPr>
          <w:color w:val="000000"/>
          <w:szCs w:val="22"/>
          <w:lang w:val="es-ES_tradnl"/>
        </w:rPr>
        <w:t>incluye el resto de servicios contractuales prestados por proveedores comerciales y no comerciales.</w:t>
      </w:r>
    </w:p>
    <w:p w14:paraId="57556B2A" w14:textId="77777777" w:rsidR="001240C5" w:rsidRPr="006E4BE1" w:rsidRDefault="001240C5" w:rsidP="00AE50C9">
      <w:pPr>
        <w:rPr>
          <w:color w:val="000000"/>
          <w:szCs w:val="22"/>
          <w:lang w:val="es-ES_tradnl"/>
        </w:rPr>
      </w:pPr>
    </w:p>
    <w:p w14:paraId="42B500AC" w14:textId="77777777" w:rsidR="001240C5" w:rsidRPr="006E4BE1" w:rsidRDefault="00F3578F" w:rsidP="00AE50C9">
      <w:pPr>
        <w:rPr>
          <w:rFonts w:cs="Arial"/>
          <w:bCs/>
          <w:i/>
          <w:color w:val="26724C" w:themeColor="accent1" w:themeShade="BF"/>
          <w:lang w:val="es-ES_tradnl"/>
        </w:rPr>
      </w:pPr>
      <w:r w:rsidRPr="006E4BE1">
        <w:rPr>
          <w:rFonts w:cs="Arial"/>
          <w:bCs/>
          <w:i/>
          <w:color w:val="26724C" w:themeColor="accent1" w:themeShade="BF"/>
          <w:lang w:val="es-ES_tradnl"/>
        </w:rPr>
        <w:t>Gastos de funcionamiento</w:t>
      </w:r>
    </w:p>
    <w:p w14:paraId="34E7A100" w14:textId="77777777" w:rsidR="001240C5" w:rsidRPr="006E4BE1" w:rsidRDefault="001240C5" w:rsidP="00AE50C9">
      <w:pPr>
        <w:rPr>
          <w:b/>
          <w:u w:val="single"/>
          <w:lang w:val="es-ES_tradnl"/>
        </w:rPr>
      </w:pPr>
    </w:p>
    <w:p w14:paraId="01E7E65C" w14:textId="77777777" w:rsidR="001240C5" w:rsidRPr="006E4BE1" w:rsidRDefault="00F3578F" w:rsidP="00AE50C9">
      <w:pPr>
        <w:rPr>
          <w:b/>
          <w:lang w:val="es-ES_tradnl"/>
        </w:rPr>
      </w:pPr>
      <w:r w:rsidRPr="006E4BE1">
        <w:rPr>
          <w:lang w:val="es-ES_tradnl"/>
        </w:rPr>
        <w:t>Todos los gastos derivados de la adquisición, alquiler, mejora y mantenimiento del espacio de oficinas, y alquiler o mantenimiento de equipo y mobiliario</w:t>
      </w:r>
      <w:r w:rsidR="00FE64A1" w:rsidRPr="006E4BE1">
        <w:rPr>
          <w:lang w:val="es-ES_tradnl"/>
        </w:rPr>
        <w:t xml:space="preserve">.  </w:t>
      </w:r>
      <w:r w:rsidRPr="006E4BE1">
        <w:rPr>
          <w:lang w:val="es-ES_tradnl"/>
        </w:rPr>
        <w:t>Gastos de comunicación tales como teléfono, internet, fax y correo; otros gastos tales como la asistencia médica, el servicio de alojamiento, el Tribunal Administrativo, la Asociación de Personal, las atenciones sociales; las cargas bancarias; los intereses sobre préstamos bancarios y de otro tipo (salvo los intereses sobre préstamos inmobiliarios); los ajustes monetarios (débitos); los gastos de auditoría; los gastos imprevistos y los ajustes contables (débitos) relacionados con años anteriores; contribuciones a actividades administrativas conjuntas en el seno del sistema de las Naciones Unidas</w:t>
      </w:r>
      <w:r w:rsidR="00FE64A1" w:rsidRPr="006E4BE1">
        <w:rPr>
          <w:lang w:val="es-ES_tradnl"/>
        </w:rPr>
        <w:t xml:space="preserve">.  </w:t>
      </w:r>
      <w:r w:rsidR="008950D7" w:rsidRPr="006E4BE1">
        <w:rPr>
          <w:color w:val="000000"/>
          <w:lang w:val="es-ES_tradnl"/>
        </w:rPr>
        <w:t>Además, todos los gastos comunes relativos a actividades efectuadas con la OMPI o a servicios prestados por esta organización.</w:t>
      </w:r>
    </w:p>
    <w:p w14:paraId="387D037B" w14:textId="77777777" w:rsidR="001240C5" w:rsidRPr="006E4BE1" w:rsidRDefault="001240C5" w:rsidP="00AE50C9">
      <w:pPr>
        <w:rPr>
          <w:b/>
          <w:lang w:val="es-ES_tradnl"/>
        </w:rPr>
      </w:pPr>
    </w:p>
    <w:p w14:paraId="7B6D0D49" w14:textId="77777777" w:rsidR="001240C5" w:rsidRPr="006E4BE1" w:rsidRDefault="008950D7" w:rsidP="00AE50C9">
      <w:pPr>
        <w:rPr>
          <w:rFonts w:cs="Arial"/>
          <w:bCs/>
          <w:i/>
          <w:color w:val="26724C" w:themeColor="accent1" w:themeShade="BF"/>
          <w:lang w:val="es-ES_tradnl"/>
        </w:rPr>
      </w:pPr>
      <w:r w:rsidRPr="006E4BE1">
        <w:rPr>
          <w:rFonts w:cs="Arial"/>
          <w:bCs/>
          <w:i/>
          <w:color w:val="26724C" w:themeColor="accent1" w:themeShade="BF"/>
          <w:lang w:val="es-ES_tradnl"/>
        </w:rPr>
        <w:t>Equipo y suministros</w:t>
      </w:r>
    </w:p>
    <w:p w14:paraId="21A39651" w14:textId="77777777" w:rsidR="001240C5" w:rsidRPr="006E4BE1" w:rsidRDefault="001240C5" w:rsidP="00AE50C9">
      <w:pPr>
        <w:rPr>
          <w:rFonts w:cs="Arial"/>
          <w:lang w:val="es-ES_tradnl"/>
        </w:rPr>
      </w:pPr>
    </w:p>
    <w:p w14:paraId="406C4272" w14:textId="77777777" w:rsidR="001240C5" w:rsidRPr="006E4BE1" w:rsidRDefault="008950D7" w:rsidP="00AE50C9">
      <w:pPr>
        <w:rPr>
          <w:rFonts w:cs="Arial"/>
          <w:color w:val="000000"/>
          <w:lang w:val="es-ES_tradnl"/>
        </w:rPr>
      </w:pPr>
      <w:r w:rsidRPr="006E4BE1">
        <w:rPr>
          <w:rFonts w:cs="Arial"/>
          <w:b/>
          <w:color w:val="000000"/>
          <w:lang w:val="es-ES_tradnl"/>
        </w:rPr>
        <w:t>Mobiliario y equipo</w:t>
      </w:r>
      <w:r w:rsidRPr="006E4BE1">
        <w:rPr>
          <w:rFonts w:cs="Arial"/>
          <w:color w:val="000000"/>
          <w:lang w:val="es-ES_tradnl"/>
        </w:rPr>
        <w:t xml:space="preserve">: compra de mobiliario y máquinas de oficina; equipo informático (computadoras de </w:t>
      </w:r>
      <w:r w:rsidR="00AF0FBF" w:rsidRPr="006E4BE1">
        <w:rPr>
          <w:rFonts w:cs="Arial"/>
          <w:color w:val="000000"/>
          <w:lang w:val="es-ES_tradnl"/>
        </w:rPr>
        <w:t>sobremesa</w:t>
      </w:r>
      <w:r w:rsidRPr="006E4BE1">
        <w:rPr>
          <w:rFonts w:cs="Arial"/>
          <w:color w:val="000000"/>
          <w:lang w:val="es-ES_tradnl"/>
        </w:rPr>
        <w:t xml:space="preserve"> y portátiles, impresoras, servidores, etc.); equipo para servicios de conferencias; equipo de reproducción; y equipo de transporte.</w:t>
      </w:r>
    </w:p>
    <w:p w14:paraId="143DEFB3" w14:textId="77777777" w:rsidR="001240C5" w:rsidRPr="006E4BE1" w:rsidRDefault="001240C5" w:rsidP="00AE50C9">
      <w:pPr>
        <w:rPr>
          <w:lang w:val="es-ES_tradnl"/>
        </w:rPr>
      </w:pPr>
    </w:p>
    <w:p w14:paraId="47CC4082" w14:textId="77777777" w:rsidR="001240C5" w:rsidRPr="006E4BE1" w:rsidRDefault="008950D7" w:rsidP="00AE50C9">
      <w:pPr>
        <w:rPr>
          <w:rFonts w:cs="Arial"/>
          <w:color w:val="000000"/>
          <w:lang w:val="es-ES_tradnl"/>
        </w:rPr>
      </w:pPr>
      <w:r w:rsidRPr="006E4BE1">
        <w:rPr>
          <w:rFonts w:cs="Arial"/>
          <w:b/>
          <w:color w:val="000000"/>
          <w:lang w:val="es-ES_tradnl"/>
        </w:rPr>
        <w:t xml:space="preserve">Suministros y material: </w:t>
      </w:r>
      <w:r w:rsidRPr="006E4BE1">
        <w:rPr>
          <w:rFonts w:cs="Arial"/>
          <w:color w:val="000000"/>
          <w:lang w:val="es-ES_tradnl"/>
        </w:rPr>
        <w:t>papel y material para oficina; material de reproducción interna (</w:t>
      </w:r>
      <w:r w:rsidRPr="006E4BE1">
        <w:rPr>
          <w:rFonts w:cs="Arial"/>
          <w:i/>
          <w:color w:val="000000"/>
          <w:lang w:val="es-ES_tradnl"/>
        </w:rPr>
        <w:t>offset</w:t>
      </w:r>
      <w:r w:rsidRPr="006E4BE1">
        <w:rPr>
          <w:rFonts w:cs="Arial"/>
          <w:color w:val="000000"/>
          <w:lang w:val="es-ES_tradnl"/>
        </w:rPr>
        <w:t>, microfilms, etc.); libros para la Biblioteca y suscripciones a revistas y publicaciones periódicas; uniformes; material para computadoras; programas informáticos y licencias conexas.</w:t>
      </w:r>
    </w:p>
    <w:p w14:paraId="01D38350" w14:textId="77777777" w:rsidR="001240C5" w:rsidRPr="006E4BE1" w:rsidRDefault="001240C5" w:rsidP="00AE50C9">
      <w:pPr>
        <w:rPr>
          <w:rFonts w:cs="Arial"/>
          <w:color w:val="000000"/>
          <w:lang w:val="es-ES_tradnl"/>
        </w:rPr>
      </w:pPr>
    </w:p>
    <w:p w14:paraId="5A7859BE" w14:textId="29106974" w:rsidR="0019254D" w:rsidRPr="006E4BE1" w:rsidRDefault="00865E9C" w:rsidP="00FC19C5">
      <w:pPr>
        <w:pStyle w:val="endofdoc"/>
        <w:rPr>
          <w:lang w:val="es-ES_tradnl"/>
        </w:rPr>
      </w:pPr>
      <w:r w:rsidRPr="006E4BE1">
        <w:rPr>
          <w:lang w:val="es-ES_tradnl"/>
        </w:rPr>
        <w:t>[Fin del Apéndice III y del documento]</w:t>
      </w:r>
    </w:p>
    <w:sectPr w:rsidR="0019254D" w:rsidRPr="006E4BE1" w:rsidSect="00F1091C">
      <w:headerReference w:type="even" r:id="rId55"/>
      <w:headerReference w:type="default" r:id="rId56"/>
      <w:footerReference w:type="even" r:id="rId57"/>
      <w:footerReference w:type="default" r:id="rId58"/>
      <w:headerReference w:type="first" r:id="rId59"/>
      <w:footerReference w:type="first" r:id="rId60"/>
      <w:pgSz w:w="11907" w:h="16840" w:code="9"/>
      <w:pgMar w:top="510" w:right="1134" w:bottom="993"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83A4C" w14:textId="77777777" w:rsidR="009C0981" w:rsidRDefault="009C0981" w:rsidP="006655D3">
      <w:r>
        <w:separator/>
      </w:r>
    </w:p>
    <w:p w14:paraId="1E1133F4" w14:textId="77777777" w:rsidR="009C0981" w:rsidRDefault="009C0981" w:rsidP="006655D3"/>
    <w:p w14:paraId="1502CFEA" w14:textId="77777777" w:rsidR="009C0981" w:rsidRDefault="009C0981" w:rsidP="006655D3"/>
  </w:endnote>
  <w:endnote w:type="continuationSeparator" w:id="0">
    <w:p w14:paraId="17F7A66F" w14:textId="77777777" w:rsidR="009C0981" w:rsidRDefault="009C0981" w:rsidP="006655D3">
      <w:r>
        <w:separator/>
      </w:r>
    </w:p>
    <w:p w14:paraId="12B8B02B" w14:textId="77777777" w:rsidR="009C0981" w:rsidRPr="00294751" w:rsidRDefault="009C0981">
      <w:pPr>
        <w:pStyle w:val="Footer"/>
        <w:spacing w:after="60"/>
        <w:rPr>
          <w:sz w:val="18"/>
          <w:lang w:val="fr-FR"/>
        </w:rPr>
      </w:pPr>
      <w:r w:rsidRPr="00294751">
        <w:rPr>
          <w:sz w:val="18"/>
          <w:lang w:val="fr-FR"/>
        </w:rPr>
        <w:t>[Suite de la note de la page précédente]</w:t>
      </w:r>
    </w:p>
    <w:p w14:paraId="524B0BCE" w14:textId="77777777" w:rsidR="009C0981" w:rsidRPr="00294751" w:rsidRDefault="009C0981" w:rsidP="006655D3">
      <w:pPr>
        <w:rPr>
          <w:lang w:val="fr-FR"/>
        </w:rPr>
      </w:pPr>
    </w:p>
    <w:p w14:paraId="2410C1CB" w14:textId="77777777" w:rsidR="009C0981" w:rsidRPr="00294751" w:rsidRDefault="009C0981" w:rsidP="006655D3">
      <w:pPr>
        <w:rPr>
          <w:lang w:val="fr-FR"/>
        </w:rPr>
      </w:pPr>
    </w:p>
  </w:endnote>
  <w:endnote w:type="continuationNotice" w:id="1">
    <w:p w14:paraId="10C453F3" w14:textId="77777777" w:rsidR="009C0981" w:rsidRPr="00294751" w:rsidRDefault="009C0981" w:rsidP="006655D3">
      <w:pPr>
        <w:rPr>
          <w:lang w:val="fr-FR"/>
        </w:rPr>
      </w:pPr>
      <w:r w:rsidRPr="00294751">
        <w:rPr>
          <w:lang w:val="fr-FR"/>
        </w:rPr>
        <w:t>[Suite de la note page suivante]</w:t>
      </w:r>
    </w:p>
    <w:p w14:paraId="56D5455A" w14:textId="77777777" w:rsidR="009C0981" w:rsidRPr="00294751" w:rsidRDefault="009C0981" w:rsidP="006655D3">
      <w:pPr>
        <w:rPr>
          <w:lang w:val="fr-FR"/>
        </w:rPr>
      </w:pPr>
    </w:p>
    <w:p w14:paraId="4ED270C0" w14:textId="77777777" w:rsidR="009C0981" w:rsidRPr="00294751" w:rsidRDefault="009C098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Hei">
    <w:altName w:val="黑体"/>
    <w:panose1 w:val="02010609060101010101"/>
    <w:charset w:val="86"/>
    <w:family w:val="modern"/>
    <w:pitch w:val="fixed"/>
    <w:sig w:usb0="00000001" w:usb1="080E0000" w:usb2="00000010" w:usb3="00000000" w:csb0="00040000" w:csb1="00000000"/>
  </w:font>
  <w:font w:name="Cordia New">
    <w:panose1 w:val="020B0304020202020204"/>
    <w:charset w:val="DE"/>
    <w:family w:val="swiss"/>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1C31" w14:textId="77777777" w:rsidR="009C0981" w:rsidRDefault="009C0981" w:rsidP="008224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0673" w14:textId="77777777" w:rsidR="009C0981" w:rsidRDefault="009C0981" w:rsidP="0077481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CE5B" w14:textId="77777777" w:rsidR="009C0981" w:rsidRDefault="009C0981" w:rsidP="0077481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25BB" w14:textId="77777777" w:rsidR="009C0981" w:rsidRDefault="009C0981" w:rsidP="0077481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5BF" w14:textId="77777777" w:rsidR="009C0981" w:rsidRDefault="009C0981" w:rsidP="008224B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46B4" w14:textId="77777777" w:rsidR="009C0981" w:rsidRDefault="009C098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D915" w14:textId="77777777" w:rsidR="009C0981" w:rsidRDefault="009C0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23CA" w14:textId="77777777" w:rsidR="009C0981" w:rsidRDefault="009C0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FD84" w14:textId="77777777" w:rsidR="009C0981" w:rsidRDefault="009C09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C5E4" w14:textId="77777777" w:rsidR="009C0981" w:rsidRDefault="009C0981" w:rsidP="008224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0ADA2" w14:textId="77777777" w:rsidR="009C0981" w:rsidRDefault="009C09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E05D" w14:textId="77777777" w:rsidR="009C0981" w:rsidRDefault="009C0981" w:rsidP="008224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7C77" w14:textId="77777777" w:rsidR="009C0981" w:rsidRDefault="009C0981" w:rsidP="008224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0EB0" w14:textId="77777777" w:rsidR="009C0981" w:rsidRDefault="009C098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326A" w14:textId="77777777" w:rsidR="009C0981" w:rsidRDefault="009C0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1FF0D" w14:textId="77777777" w:rsidR="009C0981" w:rsidRDefault="009C0981" w:rsidP="006655D3">
      <w:r>
        <w:separator/>
      </w:r>
    </w:p>
  </w:footnote>
  <w:footnote w:type="continuationSeparator" w:id="0">
    <w:p w14:paraId="504A536C" w14:textId="77777777" w:rsidR="009C0981" w:rsidRDefault="009C0981" w:rsidP="006655D3">
      <w:r>
        <w:separator/>
      </w:r>
    </w:p>
  </w:footnote>
  <w:footnote w:type="continuationNotice" w:id="1">
    <w:p w14:paraId="1CB36222" w14:textId="77777777" w:rsidR="009C0981" w:rsidRPr="00AB530F" w:rsidRDefault="009C0981" w:rsidP="00AB530F">
      <w:pPr>
        <w:pStyle w:val="Footer"/>
      </w:pPr>
    </w:p>
  </w:footnote>
  <w:footnote w:id="2">
    <w:p w14:paraId="7B0F7CD0" w14:textId="055E187D" w:rsidR="009C0981" w:rsidRPr="00C85670" w:rsidRDefault="009C0981" w:rsidP="00273C97">
      <w:pPr>
        <w:pStyle w:val="FootnoteText"/>
        <w:rPr>
          <w:lang w:val="es-ES"/>
        </w:rPr>
      </w:pPr>
      <w:r>
        <w:rPr>
          <w:rStyle w:val="FootnoteReference"/>
        </w:rPr>
        <w:footnoteRef/>
      </w:r>
      <w:r w:rsidRPr="00C85670">
        <w:rPr>
          <w:lang w:val="es-ES"/>
        </w:rPr>
        <w:t xml:space="preserve"> </w:t>
      </w:r>
      <w:r w:rsidRPr="00273C97">
        <w:rPr>
          <w:lang w:val="es-ES_tradnl"/>
        </w:rPr>
        <w:t>Preguntas frecuentes de la UPOV:</w:t>
      </w:r>
      <w:r>
        <w:rPr>
          <w:lang w:val="es-ES_tradnl"/>
        </w:rPr>
        <w:t xml:space="preserve"> </w:t>
      </w:r>
      <w:hyperlink r:id="rId1" w:anchor="QG31" w:history="1">
        <w:r w:rsidRPr="00273C97">
          <w:rPr>
            <w:rStyle w:val="Hyperlink"/>
            <w:lang w:val="es-ES_tradnl"/>
          </w:rPr>
          <w:t>https://www.upov.int/about/es/faq.html#QG31</w:t>
        </w:r>
      </w:hyperlink>
      <w:r w:rsidRPr="00273C97">
        <w:rPr>
          <w:lang w:val="es-ES_tradnl"/>
        </w:rPr>
        <w:t>.</w:t>
      </w:r>
    </w:p>
  </w:footnote>
  <w:footnote w:id="3">
    <w:p w14:paraId="2B515BD7" w14:textId="7D6298D5" w:rsidR="009C0981" w:rsidRPr="00C85670" w:rsidRDefault="009C0981" w:rsidP="007B4723">
      <w:pPr>
        <w:pStyle w:val="FootnoteText"/>
        <w:rPr>
          <w:lang w:val="es-ES"/>
        </w:rPr>
      </w:pPr>
      <w:r>
        <w:rPr>
          <w:rStyle w:val="FootnoteReference"/>
        </w:rPr>
        <w:footnoteRef/>
      </w:r>
      <w:r w:rsidRPr="00C85670">
        <w:rPr>
          <w:lang w:val="es-ES"/>
        </w:rPr>
        <w:t xml:space="preserve"> </w:t>
      </w:r>
      <w:r w:rsidRPr="007B4723">
        <w:rPr>
          <w:lang w:val="es-ES_tradnl"/>
        </w:rPr>
        <w:t xml:space="preserve">Preguntas frecuentes de la UPOV: </w:t>
      </w:r>
      <w:hyperlink r:id="rId2" w:anchor="QS11" w:history="1">
        <w:r w:rsidRPr="00F72573">
          <w:rPr>
            <w:rStyle w:val="Hyperlink"/>
            <w:lang w:val="es-ES_tradnl"/>
          </w:rPr>
          <w:t>https://www.upov.int/about/es/faq.html#QS11</w:t>
        </w:r>
      </w:hyperlink>
      <w:r w:rsidRPr="007B4723">
        <w:rPr>
          <w:lang w:val="es-ES_tradnl"/>
        </w:rPr>
        <w:t>.</w:t>
      </w:r>
    </w:p>
  </w:footnote>
  <w:footnote w:id="4">
    <w:p w14:paraId="54879F66" w14:textId="330D34E6" w:rsidR="009C0981" w:rsidRPr="006E4BE1" w:rsidRDefault="009C0981" w:rsidP="00543479">
      <w:pPr>
        <w:pStyle w:val="FootnoteText"/>
        <w:rPr>
          <w:lang w:val="es-ES"/>
        </w:rPr>
      </w:pPr>
      <w:r>
        <w:rPr>
          <w:rStyle w:val="FootnoteReference"/>
        </w:rPr>
        <w:footnoteRef/>
      </w:r>
      <w:r w:rsidRPr="006E4BE1">
        <w:rPr>
          <w:lang w:val="es-ES"/>
        </w:rPr>
        <w:t xml:space="preserve"> </w:t>
      </w:r>
      <w:r w:rsidRPr="006E4BE1">
        <w:rPr>
          <w:lang w:val="es-ES"/>
        </w:rPr>
        <w:tab/>
      </w:r>
      <w:r w:rsidRPr="00543479">
        <w:rPr>
          <w:lang w:val="es-ES_tradnl"/>
        </w:rPr>
        <w:t>El procedimiento para el examen de los documentos por correspondencia se expone en la Circular E-20/094, de 23 de julio de 2020 (que puede consultarse en las páginas web de las sesiones TC</w:t>
      </w:r>
      <w:r>
        <w:rPr>
          <w:lang w:val="es-ES_tradnl"/>
        </w:rPr>
        <w:t>/56</w:t>
      </w:r>
      <w:r w:rsidRPr="00543479">
        <w:rPr>
          <w:lang w:val="es-ES_tradnl"/>
        </w:rPr>
        <w:t xml:space="preserve">, </w:t>
      </w:r>
      <w:r>
        <w:rPr>
          <w:lang w:val="es-ES_tradnl"/>
        </w:rPr>
        <w:t>CAJ/</w:t>
      </w:r>
      <w:r w:rsidRPr="00543479">
        <w:rPr>
          <w:lang w:val="es-ES_tradnl"/>
        </w:rPr>
        <w:t>77</w:t>
      </w:r>
      <w:r>
        <w:rPr>
          <w:lang w:val="es-ES_tradnl"/>
        </w:rPr>
        <w:t xml:space="preserve"> </w:t>
      </w:r>
      <w:r w:rsidRPr="00543479">
        <w:rPr>
          <w:lang w:val="es-ES_tradnl"/>
        </w:rPr>
        <w:t>y </w:t>
      </w:r>
      <w:r>
        <w:rPr>
          <w:lang w:val="es-ES_tradnl"/>
        </w:rPr>
        <w:t>C/</w:t>
      </w:r>
      <w:r w:rsidRPr="00543479">
        <w:rPr>
          <w:lang w:val="es-ES_tradnl"/>
        </w:rPr>
        <w:t>54).</w:t>
      </w:r>
    </w:p>
  </w:footnote>
  <w:footnote w:id="5">
    <w:p w14:paraId="3563001E" w14:textId="5E291094" w:rsidR="009C0981" w:rsidRPr="00C85670" w:rsidRDefault="009C0981" w:rsidP="00D76873">
      <w:pPr>
        <w:pStyle w:val="FootnoteText"/>
        <w:rPr>
          <w:lang w:val="es-ES"/>
        </w:rPr>
      </w:pPr>
      <w:r>
        <w:rPr>
          <w:rStyle w:val="FootnoteReference"/>
        </w:rPr>
        <w:footnoteRef/>
      </w:r>
      <w:r w:rsidRPr="00C85670">
        <w:rPr>
          <w:lang w:val="es-ES"/>
        </w:rPr>
        <w:t xml:space="preserve"> </w:t>
      </w:r>
      <w:r>
        <w:rPr>
          <w:lang w:val="es-ES"/>
        </w:rPr>
        <w:tab/>
      </w:r>
      <w:r w:rsidRPr="00D76873">
        <w:rPr>
          <w:lang w:val="es-ES_tradnl"/>
        </w:rPr>
        <w:t xml:space="preserve">Véase la pregunta </w:t>
      </w:r>
      <w:r>
        <w:rPr>
          <w:lang w:val="es-ES_tradnl"/>
        </w:rPr>
        <w:t>“</w:t>
      </w:r>
      <w:r w:rsidRPr="00D76873">
        <w:rPr>
          <w:lang w:val="es-ES_tradnl"/>
        </w:rPr>
        <w:t>¿Qué hace la UPOV?</w:t>
      </w:r>
      <w:r>
        <w:rPr>
          <w:lang w:val="es-ES_tradnl"/>
        </w:rPr>
        <w:t>”</w:t>
      </w:r>
      <w:r w:rsidRPr="00D76873">
        <w:rPr>
          <w:lang w:val="es-ES_tradnl"/>
        </w:rPr>
        <w:t xml:space="preserve"> en el apartado de preguntas frecuentes: </w:t>
      </w:r>
      <w:hyperlink r:id="rId3" w:anchor="QG10" w:history="1">
        <w:r w:rsidRPr="00D76873">
          <w:rPr>
            <w:rStyle w:val="Hyperlink"/>
            <w:lang w:val="es-ES_tradnl"/>
          </w:rPr>
          <w:t>https://www.upov.int/about/es/faq.html#QG10</w:t>
        </w:r>
      </w:hyperlink>
      <w:r w:rsidRPr="00D76873">
        <w:rPr>
          <w:lang w:val="es-ES_tradnl"/>
        </w:rPr>
        <w:t>.</w:t>
      </w:r>
    </w:p>
  </w:footnote>
  <w:footnote w:id="6">
    <w:p w14:paraId="708F212F" w14:textId="6E2EAC78" w:rsidR="009C0981" w:rsidRPr="00C85670" w:rsidRDefault="009C0981">
      <w:pPr>
        <w:pStyle w:val="FootnoteText"/>
        <w:rPr>
          <w:lang w:val="es-ES"/>
        </w:rPr>
      </w:pPr>
      <w:r>
        <w:rPr>
          <w:rStyle w:val="FootnoteReference"/>
        </w:rPr>
        <w:footnoteRef/>
      </w:r>
      <w:r w:rsidRPr="00C85670">
        <w:rPr>
          <w:lang w:val="es-ES"/>
        </w:rPr>
        <w:t xml:space="preserve"> </w:t>
      </w:r>
      <w:hyperlink r:id="rId4" w:history="1">
        <w:r w:rsidRPr="00C85670">
          <w:rPr>
            <w:rStyle w:val="Hyperlink"/>
            <w:lang w:val="es-ES"/>
          </w:rPr>
          <w:t>https://www.upov.int/edocs/infdocs/es/upov_inf_15.pdf</w:t>
        </w:r>
      </w:hyperlink>
      <w:r w:rsidRPr="00C85670">
        <w:rPr>
          <w:lang w:val="es-ES"/>
        </w:rPr>
        <w:t>.</w:t>
      </w:r>
    </w:p>
  </w:footnote>
  <w:footnote w:id="7">
    <w:p w14:paraId="5A75F862" w14:textId="7B5CCFB5" w:rsidR="009C0981" w:rsidRPr="00C85670" w:rsidRDefault="009C0981" w:rsidP="00E50515">
      <w:pPr>
        <w:pStyle w:val="FootnoteText"/>
        <w:rPr>
          <w:lang w:val="es-ES"/>
        </w:rPr>
      </w:pPr>
      <w:r>
        <w:rPr>
          <w:rStyle w:val="FootnoteReference"/>
        </w:rPr>
        <w:footnoteRef/>
      </w:r>
      <w:r w:rsidRPr="00C85670">
        <w:rPr>
          <w:lang w:val="es-ES"/>
        </w:rPr>
        <w:t xml:space="preserve"> </w:t>
      </w:r>
      <w:r w:rsidRPr="00C85670">
        <w:rPr>
          <w:lang w:val="es-ES"/>
        </w:rPr>
        <w:tab/>
      </w:r>
      <w:r w:rsidRPr="00E50515">
        <w:rPr>
          <w:lang w:val="es-ES_tradnl"/>
        </w:rPr>
        <w:t>Estos ejemplos de la situación existente en 2020 no deben interpretarse en el sentido de que constituyen compromiso financiero alguno ni aprobación con posterioridad al año 2016.</w:t>
      </w:r>
    </w:p>
  </w:footnote>
  <w:footnote w:id="8">
    <w:p w14:paraId="1A1A62FE" w14:textId="520A6C39" w:rsidR="009C0981" w:rsidRPr="00C85670" w:rsidRDefault="009C0981" w:rsidP="00697B3A">
      <w:pPr>
        <w:pStyle w:val="FootnoteText"/>
        <w:rPr>
          <w:lang w:val="es-ES"/>
        </w:rPr>
      </w:pPr>
      <w:r>
        <w:rPr>
          <w:rStyle w:val="FootnoteReference"/>
        </w:rPr>
        <w:footnoteRef/>
      </w:r>
      <w:r w:rsidRPr="00C85670">
        <w:rPr>
          <w:lang w:val="es-ES"/>
        </w:rPr>
        <w:t xml:space="preserve"> </w:t>
      </w:r>
      <w:r w:rsidRPr="00C85670">
        <w:rPr>
          <w:lang w:val="es-ES"/>
        </w:rPr>
        <w:tab/>
      </w:r>
      <w:r w:rsidRPr="00697B3A">
        <w:rPr>
          <w:lang w:val="es-ES_tradnl"/>
        </w:rPr>
        <w:t>Es posible que las cifras de los cuadros 1 a 8 no se correspondan con el total debido al redondeo de los importes.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DA557" w14:textId="77777777" w:rsidR="009C0981" w:rsidRPr="00696FB8" w:rsidRDefault="009C0981" w:rsidP="00495E48">
    <w:pPr>
      <w:pStyle w:val="Header"/>
      <w:jc w:val="right"/>
      <w:rPr>
        <w:b/>
        <w:color w:val="26724C" w:themeColor="accent1" w:themeShade="BF"/>
      </w:rPr>
    </w:pPr>
    <w:r w:rsidRPr="00696FB8">
      <w:rPr>
        <w:b/>
        <w:color w:val="26724C" w:themeColor="accent1" w:themeShade="BF"/>
      </w:rPr>
      <w:t>UPOV</w:t>
    </w:r>
  </w:p>
  <w:p w14:paraId="67BCD125" w14:textId="33C47D03" w:rsidR="009C0981" w:rsidRPr="00495E48" w:rsidRDefault="009C0981" w:rsidP="00495E48">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Program </w:t>
    </w:r>
    <w:r>
      <w:rPr>
        <w:color w:val="26724C" w:themeColor="accent1" w:themeShade="BF"/>
      </w:rPr>
      <w:t>and Budget 2022</w:t>
    </w:r>
    <w:r>
      <w:rPr>
        <w:color w:val="26724C" w:themeColor="accent1" w:themeShade="BF"/>
      </w:rPr>
      <w:noBreakHyphen/>
      <w:t>2023</w:t>
    </w:r>
  </w:p>
  <w:p w14:paraId="59F9C4AC" w14:textId="7F154D0E" w:rsidR="009C0981" w:rsidRPr="008B40C0" w:rsidRDefault="009C0981" w:rsidP="008B40C0">
    <w:pPr>
      <w:pStyle w:val="Header"/>
      <w:pBdr>
        <w:bottom w:val="single" w:sz="4" w:space="1" w:color="auto"/>
      </w:pBdr>
      <w:jc w:val="right"/>
      <w:rPr>
        <w:color w:val="26724C" w:themeColor="accent1" w:themeShade="BF"/>
      </w:rPr>
    </w:pPr>
    <w:r w:rsidRPr="008B40C0">
      <w:rPr>
        <w:color w:val="26724C" w:themeColor="accent1" w:themeShade="BF"/>
      </w:rPr>
      <w:t xml:space="preserve">page </w:t>
    </w:r>
    <w:sdt>
      <w:sdtPr>
        <w:rPr>
          <w:color w:val="26724C" w:themeColor="accent1" w:themeShade="BF"/>
        </w:rPr>
        <w:id w:val="-621460889"/>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1</w:t>
        </w:r>
        <w:r w:rsidRPr="008B40C0">
          <w:rPr>
            <w:noProof/>
            <w:color w:val="26724C" w:themeColor="accent1" w:themeShade="BF"/>
          </w:rPr>
          <w:fldChar w:fldCharType="end"/>
        </w:r>
      </w:sdtContent>
    </w:sdt>
  </w:p>
  <w:p w14:paraId="5DFAD6B8" w14:textId="77777777" w:rsidR="009C0981" w:rsidRPr="00FE0119" w:rsidRDefault="009C0981" w:rsidP="008224B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22B3" w14:textId="695B73E3" w:rsidR="009C0981" w:rsidRPr="00C5280D" w:rsidRDefault="009C0981" w:rsidP="008224BD">
    <w:pPr>
      <w:pStyle w:val="Header"/>
      <w:rPr>
        <w:rStyle w:val="PageNumber"/>
      </w:rPr>
    </w:pPr>
    <w:r>
      <w:t xml:space="preserve">Preliminary </w:t>
    </w:r>
    <w:r w:rsidRPr="008211E4">
      <w:t xml:space="preserve">Draft Program and Budget for the </w:t>
    </w:r>
    <w:r>
      <w:t>2022</w:t>
    </w:r>
    <w:r>
      <w:noBreakHyphen/>
      <w:t>2023 </w:t>
    </w:r>
    <w:r w:rsidRPr="008211E4">
      <w:t>Biennium</w:t>
    </w:r>
  </w:p>
  <w:p w14:paraId="26AAD3EB" w14:textId="42D8E7D0" w:rsidR="009C0981" w:rsidRPr="00FE0119" w:rsidRDefault="009C0981" w:rsidP="008224BD">
    <w:pPr>
      <w:pStyle w:val="Header"/>
    </w:pPr>
    <w:r w:rsidRPr="00FE0119">
      <w:t>Annex</w:t>
    </w:r>
    <w:r>
      <w:t xml:space="preserve"> II</w:t>
    </w:r>
    <w:r w:rsidRPr="00FE0119">
      <w:t xml:space="preserve">, page </w:t>
    </w:r>
    <w:sdt>
      <w:sdtPr>
        <w:id w:val="134158820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02909C44" w14:textId="77777777" w:rsidR="009C0981" w:rsidRPr="00FE0119" w:rsidRDefault="009C0981" w:rsidP="008224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EA0D" w14:textId="2F849E7F" w:rsidR="009C0981" w:rsidRPr="00C5280D" w:rsidRDefault="009C0981" w:rsidP="001A7881">
    <w:pPr>
      <w:pStyle w:val="Header"/>
      <w:rPr>
        <w:rStyle w:val="PageNumber"/>
      </w:rPr>
    </w:pPr>
    <w:r>
      <w:t xml:space="preserve">Preliminary </w:t>
    </w:r>
    <w:r w:rsidRPr="008211E4">
      <w:t xml:space="preserve">Draft Program and Budget for the </w:t>
    </w:r>
    <w:r>
      <w:t>2022</w:t>
    </w:r>
    <w:r>
      <w:noBreakHyphen/>
      <w:t>2023 </w:t>
    </w:r>
    <w:r w:rsidRPr="008211E4">
      <w:t>Biennium</w:t>
    </w:r>
  </w:p>
  <w:p w14:paraId="05F1B850" w14:textId="77777777" w:rsidR="009C0981" w:rsidRPr="001A7881" w:rsidRDefault="009C0981" w:rsidP="001A78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FB22" w14:textId="77777777" w:rsidR="009C0981" w:rsidRPr="00696FB8" w:rsidRDefault="009C0981" w:rsidP="00495E48">
    <w:pPr>
      <w:pStyle w:val="Header"/>
      <w:jc w:val="right"/>
      <w:rPr>
        <w:b/>
        <w:color w:val="26724C" w:themeColor="accent1" w:themeShade="BF"/>
      </w:rPr>
    </w:pPr>
    <w:r w:rsidRPr="00696FB8">
      <w:rPr>
        <w:b/>
        <w:color w:val="26724C" w:themeColor="accent1" w:themeShade="BF"/>
      </w:rPr>
      <w:t>UPOV</w:t>
    </w:r>
  </w:p>
  <w:p w14:paraId="084B0AB7" w14:textId="47AE9920" w:rsidR="009C0981" w:rsidRPr="00495E48" w:rsidRDefault="009C0981" w:rsidP="00495E48">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w:t>
    </w:r>
    <w:r w:rsidRPr="00495E48">
      <w:rPr>
        <w:color w:val="26724C" w:themeColor="accent1" w:themeShade="BF"/>
      </w:rPr>
      <w:t xml:space="preserve">Program and Budget </w:t>
    </w:r>
    <w:r>
      <w:rPr>
        <w:color w:val="26724C" w:themeColor="accent1" w:themeShade="BF"/>
      </w:rPr>
      <w:t>2022</w:t>
    </w:r>
    <w:r>
      <w:rPr>
        <w:color w:val="26724C" w:themeColor="accent1" w:themeShade="BF"/>
      </w:rPr>
      <w:noBreakHyphen/>
      <w:t>2023</w:t>
    </w:r>
  </w:p>
  <w:p w14:paraId="41E6CD45" w14:textId="75B0A21C" w:rsidR="009C0981" w:rsidRPr="008B40C0" w:rsidRDefault="009C0981" w:rsidP="008B40C0">
    <w:pPr>
      <w:pStyle w:val="Header"/>
      <w:pBdr>
        <w:bottom w:val="single" w:sz="4" w:space="1" w:color="auto"/>
      </w:pBdr>
      <w:jc w:val="right"/>
      <w:rPr>
        <w:color w:val="26724C" w:themeColor="accent1" w:themeShade="BF"/>
        <w:lang w:val="fr-CH"/>
      </w:rPr>
    </w:pPr>
    <w:r w:rsidRPr="008B40C0">
      <w:rPr>
        <w:color w:val="26724C" w:themeColor="accent1" w:themeShade="BF"/>
        <w:lang w:val="fr-CH"/>
      </w:rPr>
      <w:t>Appendix II</w:t>
    </w:r>
    <w:r>
      <w:rPr>
        <w:color w:val="26724C" w:themeColor="accent1" w:themeShade="BF"/>
        <w:lang w:val="fr-CH"/>
      </w:rPr>
      <w:t>,</w:t>
    </w:r>
    <w:r w:rsidRPr="00495E48">
      <w:rPr>
        <w:lang w:val="fr-CH"/>
      </w:rPr>
      <w:t xml:space="preserve"> </w:t>
    </w:r>
    <w:r w:rsidRPr="008B40C0">
      <w:rPr>
        <w:color w:val="26724C" w:themeColor="accent1" w:themeShade="BF"/>
        <w:lang w:val="fr-CH"/>
      </w:rPr>
      <w:t xml:space="preserve">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38</w:t>
    </w:r>
    <w:r w:rsidRPr="008B40C0">
      <w:rPr>
        <w:color w:val="26724C" w:themeColor="accent1" w:themeShade="BF"/>
      </w:rPr>
      <w:fldChar w:fldCharType="end"/>
    </w:r>
  </w:p>
  <w:p w14:paraId="0DECF7BE" w14:textId="77777777" w:rsidR="009C0981" w:rsidRPr="00D4705E" w:rsidRDefault="009C0981" w:rsidP="00495E48">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E72D" w14:textId="77777777" w:rsidR="009C0981" w:rsidRPr="00C85670" w:rsidRDefault="009C0981" w:rsidP="00277D28">
    <w:pPr>
      <w:pStyle w:val="Header"/>
      <w:jc w:val="right"/>
      <w:rPr>
        <w:b/>
        <w:color w:val="26724C" w:themeColor="accent1" w:themeShade="BF"/>
        <w:lang w:val="es-ES"/>
      </w:rPr>
    </w:pPr>
    <w:r w:rsidRPr="00C85670">
      <w:rPr>
        <w:b/>
        <w:color w:val="26724C" w:themeColor="accent1" w:themeShade="BF"/>
        <w:lang w:val="es-ES"/>
      </w:rPr>
      <w:t>UPOV</w:t>
    </w:r>
  </w:p>
  <w:p w14:paraId="0A429DDD" w14:textId="2D82CA37" w:rsidR="009C0981" w:rsidRPr="00C85670" w:rsidRDefault="00FC19C5" w:rsidP="00865E9C">
    <w:pPr>
      <w:pStyle w:val="Header"/>
      <w:jc w:val="right"/>
      <w:rPr>
        <w:color w:val="26724C" w:themeColor="accent1" w:themeShade="BF"/>
        <w:lang w:val="es-ES"/>
      </w:rPr>
    </w:pPr>
    <w:r>
      <w:rPr>
        <w:color w:val="26724C" w:themeColor="accent1" w:themeShade="BF"/>
        <w:lang w:val="es-ES_tradnl"/>
      </w:rPr>
      <w:t>P</w:t>
    </w:r>
    <w:r w:rsidR="009C0981" w:rsidRPr="00865E9C">
      <w:rPr>
        <w:color w:val="26724C" w:themeColor="accent1" w:themeShade="BF"/>
        <w:lang w:val="es-ES_tradnl"/>
      </w:rPr>
      <w:t>rograma y presupuesto para el bienio 2022-2023</w:t>
    </w:r>
  </w:p>
  <w:p w14:paraId="38AEEC25" w14:textId="185ECD57" w:rsidR="009C0981" w:rsidRPr="008B40C0" w:rsidRDefault="009C0981" w:rsidP="00865E9C">
    <w:pPr>
      <w:pStyle w:val="Header"/>
      <w:pBdr>
        <w:bottom w:val="single" w:sz="4" w:space="1" w:color="auto"/>
      </w:pBdr>
      <w:jc w:val="right"/>
      <w:rPr>
        <w:color w:val="26724C" w:themeColor="accent1" w:themeShade="BF"/>
      </w:rPr>
    </w:pPr>
    <w:r w:rsidRPr="00865E9C">
      <w:rPr>
        <w:color w:val="26724C" w:themeColor="accent1" w:themeShade="BF"/>
        <w:lang w:val="es-ES_tradnl"/>
      </w:rPr>
      <w:t>Apéndice II, página</w:t>
    </w:r>
    <w:r>
      <w:rPr>
        <w:color w:val="26724C" w:themeColor="accent1" w:themeShade="BF"/>
        <w:lang w:val="es-ES_tradnl"/>
      </w:rPr>
      <w:t xml:space="preserve"> </w:t>
    </w:r>
    <w:sdt>
      <w:sdtPr>
        <w:rPr>
          <w:color w:val="26724C" w:themeColor="accent1" w:themeShade="BF"/>
        </w:rPr>
        <w:id w:val="-121272556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1D7D80">
          <w:rPr>
            <w:noProof/>
            <w:color w:val="26724C" w:themeColor="accent1" w:themeShade="BF"/>
          </w:rPr>
          <w:t>36</w:t>
        </w:r>
        <w:r w:rsidRPr="008B40C0">
          <w:rPr>
            <w:noProof/>
            <w:color w:val="26724C" w:themeColor="accent1" w:themeShade="BF"/>
          </w:rPr>
          <w:fldChar w:fldCharType="end"/>
        </w:r>
      </w:sdtContent>
    </w:sdt>
  </w:p>
  <w:p w14:paraId="29A61E83" w14:textId="77777777" w:rsidR="009C0981" w:rsidRPr="008B40C0" w:rsidRDefault="009C0981" w:rsidP="00277D28">
    <w:pPr>
      <w:pStyle w:val="Header"/>
      <w:jc w:val="right"/>
      <w:rPr>
        <w:color w:val="26724C" w:themeColor="accent1" w:themeShade="BF"/>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9730" w14:textId="77777777" w:rsidR="009C0981" w:rsidRPr="00696FB8" w:rsidRDefault="009C0981" w:rsidP="00495E48">
    <w:pPr>
      <w:pStyle w:val="Header"/>
      <w:jc w:val="right"/>
      <w:rPr>
        <w:b/>
        <w:color w:val="26724C" w:themeColor="accent1" w:themeShade="BF"/>
      </w:rPr>
    </w:pPr>
    <w:r w:rsidRPr="00696FB8">
      <w:rPr>
        <w:b/>
        <w:color w:val="26724C" w:themeColor="accent1" w:themeShade="BF"/>
      </w:rPr>
      <w:t>UPOV</w:t>
    </w:r>
  </w:p>
  <w:p w14:paraId="5DEDB0A0" w14:textId="23D521AE" w:rsidR="009C0981" w:rsidRPr="00495E48" w:rsidRDefault="009C0981" w:rsidP="00495E48">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w:t>
    </w:r>
    <w:r w:rsidRPr="00495E48">
      <w:rPr>
        <w:color w:val="26724C" w:themeColor="accent1" w:themeShade="BF"/>
      </w:rPr>
      <w:t xml:space="preserve">Program and Budget </w:t>
    </w:r>
    <w:r>
      <w:rPr>
        <w:color w:val="26724C" w:themeColor="accent1" w:themeShade="BF"/>
      </w:rPr>
      <w:t>2022</w:t>
    </w:r>
    <w:r>
      <w:rPr>
        <w:color w:val="26724C" w:themeColor="accent1" w:themeShade="BF"/>
      </w:rPr>
      <w:noBreakHyphen/>
      <w:t>2023</w:t>
    </w:r>
  </w:p>
  <w:p w14:paraId="6629EC50" w14:textId="05DE666F" w:rsidR="009C0981" w:rsidRPr="008B40C0" w:rsidRDefault="009C0981" w:rsidP="008B40C0">
    <w:pPr>
      <w:pStyle w:val="Header"/>
      <w:pBdr>
        <w:bottom w:val="single" w:sz="4" w:space="1" w:color="auto"/>
      </w:pBdr>
      <w:jc w:val="right"/>
      <w:rPr>
        <w:color w:val="26724C" w:themeColor="accent1" w:themeShade="BF"/>
      </w:rPr>
    </w:pPr>
    <w:r w:rsidRPr="00696FB8">
      <w:rPr>
        <w:color w:val="26724C" w:themeColor="accent1" w:themeShade="BF"/>
      </w:rPr>
      <w:t xml:space="preserve">Appendix </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37</w:t>
        </w:r>
        <w:r w:rsidRPr="008B40C0">
          <w:rPr>
            <w:noProof/>
            <w:color w:val="26724C" w:themeColor="accent1" w:themeShade="BF"/>
          </w:rPr>
          <w:fldChar w:fldCharType="end"/>
        </w:r>
      </w:sdtContent>
    </w:sdt>
  </w:p>
  <w:p w14:paraId="20A38F66" w14:textId="77777777" w:rsidR="009C0981" w:rsidRPr="001522BD" w:rsidRDefault="009C0981" w:rsidP="008B40C0">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5EB1" w14:textId="77777777" w:rsidR="009C0981" w:rsidRPr="00696FB8" w:rsidRDefault="009C0981" w:rsidP="00E43F04">
    <w:pPr>
      <w:pStyle w:val="Header"/>
      <w:jc w:val="right"/>
      <w:rPr>
        <w:b/>
        <w:color w:val="26724C" w:themeColor="accent1" w:themeShade="BF"/>
      </w:rPr>
    </w:pPr>
    <w:r w:rsidRPr="00696FB8">
      <w:rPr>
        <w:b/>
        <w:color w:val="26724C" w:themeColor="accent1" w:themeShade="BF"/>
      </w:rPr>
      <w:t>UPOV</w:t>
    </w:r>
  </w:p>
  <w:p w14:paraId="2F72797A" w14:textId="542FC14B" w:rsidR="009C0981" w:rsidRPr="00495E48" w:rsidRDefault="009C0981" w:rsidP="00E43F04">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w:t>
    </w:r>
    <w:r w:rsidRPr="00495E48">
      <w:rPr>
        <w:color w:val="26724C" w:themeColor="accent1" w:themeShade="BF"/>
      </w:rPr>
      <w:t xml:space="preserve">Program and Budget </w:t>
    </w:r>
    <w:r>
      <w:rPr>
        <w:color w:val="26724C" w:themeColor="accent1" w:themeShade="BF"/>
      </w:rPr>
      <w:t>2022</w:t>
    </w:r>
    <w:r>
      <w:rPr>
        <w:color w:val="26724C" w:themeColor="accent1" w:themeShade="BF"/>
      </w:rPr>
      <w:noBreakHyphen/>
      <w:t>2023</w:t>
    </w:r>
  </w:p>
  <w:p w14:paraId="6EB734FD" w14:textId="5AD4167D" w:rsidR="009C0981" w:rsidRPr="008B40C0" w:rsidRDefault="009C0981" w:rsidP="008B40C0">
    <w:pPr>
      <w:pStyle w:val="Header"/>
      <w:pBdr>
        <w:bottom w:val="single" w:sz="4" w:space="1" w:color="auto"/>
      </w:pBdr>
      <w:jc w:val="right"/>
      <w:rPr>
        <w:color w:val="26724C" w:themeColor="accent1" w:themeShade="BF"/>
        <w:lang w:val="fr-CH"/>
      </w:rPr>
    </w:pPr>
    <w:r w:rsidRPr="00E43F04">
      <w:rPr>
        <w:color w:val="26724C" w:themeColor="accent1" w:themeShade="BF"/>
      </w:rPr>
      <w:t>Appendix</w:t>
    </w:r>
    <w:r>
      <w:rPr>
        <w:color w:val="26724C" w:themeColor="accent1" w:themeShade="BF"/>
      </w:rPr>
      <w:t xml:space="preserve"> III</w:t>
    </w:r>
    <w:r w:rsidRPr="00E43F04">
      <w:rPr>
        <w:color w:val="26724C" w:themeColor="accent1" w:themeShade="BF"/>
      </w:rPr>
      <w:t>,</w:t>
    </w:r>
    <w:r w:rsidRPr="008B40C0">
      <w:rPr>
        <w:color w:val="26724C" w:themeColor="accent1" w:themeShade="BF"/>
        <w:lang w:val="fr-CH"/>
      </w:rPr>
      <w:t xml:space="preserve"> 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40</w:t>
    </w:r>
    <w:r w:rsidRPr="008B40C0">
      <w:rPr>
        <w:color w:val="26724C" w:themeColor="accent1" w:themeShade="BF"/>
      </w:rPr>
      <w:fldChar w:fldCharType="end"/>
    </w:r>
  </w:p>
  <w:p w14:paraId="0578C354" w14:textId="77777777" w:rsidR="009C0981" w:rsidRPr="00D4705E" w:rsidRDefault="009C0981" w:rsidP="008224BD">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93A05" w14:textId="77777777" w:rsidR="009C0981" w:rsidRPr="00C85670" w:rsidRDefault="009C0981" w:rsidP="00277D28">
    <w:pPr>
      <w:pStyle w:val="Header"/>
      <w:jc w:val="right"/>
      <w:rPr>
        <w:b/>
        <w:color w:val="26724C" w:themeColor="accent1" w:themeShade="BF"/>
        <w:lang w:val="es-ES"/>
      </w:rPr>
    </w:pPr>
    <w:r w:rsidRPr="00C85670">
      <w:rPr>
        <w:b/>
        <w:color w:val="26724C" w:themeColor="accent1" w:themeShade="BF"/>
        <w:lang w:val="es-ES"/>
      </w:rPr>
      <w:t>UPOV</w:t>
    </w:r>
  </w:p>
  <w:p w14:paraId="61039BC5" w14:textId="48AC67D4" w:rsidR="009C0981" w:rsidRPr="00C85670" w:rsidRDefault="00FC19C5" w:rsidP="00865E9C">
    <w:pPr>
      <w:pStyle w:val="Header"/>
      <w:jc w:val="right"/>
      <w:rPr>
        <w:color w:val="26724C" w:themeColor="accent1" w:themeShade="BF"/>
        <w:lang w:val="es-ES"/>
      </w:rPr>
    </w:pPr>
    <w:r>
      <w:rPr>
        <w:color w:val="26724C" w:themeColor="accent1" w:themeShade="BF"/>
        <w:lang w:val="es-ES_tradnl"/>
      </w:rPr>
      <w:t>P</w:t>
    </w:r>
    <w:r w:rsidR="009C0981" w:rsidRPr="00865E9C">
      <w:rPr>
        <w:color w:val="26724C" w:themeColor="accent1" w:themeShade="BF"/>
        <w:lang w:val="es-ES_tradnl"/>
      </w:rPr>
      <w:t>rograma y presupuesto para el bienio 2022-2023</w:t>
    </w:r>
  </w:p>
  <w:p w14:paraId="627BB91E" w14:textId="324EC1FC" w:rsidR="009C0981" w:rsidRPr="008B40C0" w:rsidRDefault="009C0981" w:rsidP="00865E9C">
    <w:pPr>
      <w:pStyle w:val="Header"/>
      <w:pBdr>
        <w:bottom w:val="single" w:sz="4" w:space="1" w:color="auto"/>
      </w:pBdr>
      <w:jc w:val="right"/>
      <w:rPr>
        <w:color w:val="26724C" w:themeColor="accent1" w:themeShade="BF"/>
      </w:rPr>
    </w:pPr>
    <w:r w:rsidRPr="00865E9C">
      <w:rPr>
        <w:color w:val="26724C" w:themeColor="accent1" w:themeShade="BF"/>
        <w:lang w:val="es-ES_tradnl"/>
      </w:rPr>
      <w:t>Apéndice III, página</w:t>
    </w:r>
    <w:r>
      <w:rPr>
        <w:color w:val="26724C" w:themeColor="accent1" w:themeShade="BF"/>
        <w:lang w:val="es-ES_tradnl"/>
      </w:rPr>
      <w:t xml:space="preserve"> </w:t>
    </w:r>
    <w:sdt>
      <w:sdtPr>
        <w:rPr>
          <w:color w:val="26724C" w:themeColor="accent1" w:themeShade="BF"/>
        </w:rPr>
        <w:id w:val="-781261850"/>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1D7D80">
          <w:rPr>
            <w:noProof/>
            <w:color w:val="26724C" w:themeColor="accent1" w:themeShade="BF"/>
          </w:rPr>
          <w:t>38</w:t>
        </w:r>
        <w:r w:rsidRPr="008B40C0">
          <w:rPr>
            <w:noProof/>
            <w:color w:val="26724C" w:themeColor="accent1" w:themeShade="BF"/>
          </w:rPr>
          <w:fldChar w:fldCharType="end"/>
        </w:r>
      </w:sdtContent>
    </w:sdt>
  </w:p>
  <w:p w14:paraId="05D56A72" w14:textId="77777777" w:rsidR="009C0981" w:rsidRPr="00277D28" w:rsidRDefault="009C0981" w:rsidP="00277D28">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DB6C" w14:textId="77777777" w:rsidR="009C0981" w:rsidRPr="00696FB8" w:rsidRDefault="009C0981" w:rsidP="00495E48">
    <w:pPr>
      <w:pStyle w:val="Header"/>
      <w:jc w:val="right"/>
      <w:rPr>
        <w:b/>
        <w:color w:val="26724C" w:themeColor="accent1" w:themeShade="BF"/>
      </w:rPr>
    </w:pPr>
    <w:r w:rsidRPr="00696FB8">
      <w:rPr>
        <w:b/>
        <w:color w:val="26724C" w:themeColor="accent1" w:themeShade="BF"/>
      </w:rPr>
      <w:t>UPOV</w:t>
    </w:r>
  </w:p>
  <w:p w14:paraId="2C7FBF7D" w14:textId="4B1C3F71" w:rsidR="009C0981" w:rsidRPr="00495E48" w:rsidRDefault="009C0981" w:rsidP="00495E48">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w:t>
    </w:r>
    <w:r w:rsidRPr="00495E48">
      <w:rPr>
        <w:color w:val="26724C" w:themeColor="accent1" w:themeShade="BF"/>
      </w:rPr>
      <w:t xml:space="preserve">Program and Budget </w:t>
    </w:r>
    <w:r>
      <w:rPr>
        <w:color w:val="26724C" w:themeColor="accent1" w:themeShade="BF"/>
      </w:rPr>
      <w:t>2022</w:t>
    </w:r>
    <w:r>
      <w:rPr>
        <w:color w:val="26724C" w:themeColor="accent1" w:themeShade="BF"/>
      </w:rPr>
      <w:noBreakHyphen/>
      <w:t>2023</w:t>
    </w:r>
  </w:p>
  <w:p w14:paraId="1FB68624" w14:textId="70D8EEAB" w:rsidR="009C0981" w:rsidRPr="008B40C0" w:rsidRDefault="009C0981" w:rsidP="008B40C0">
    <w:pPr>
      <w:pStyle w:val="Header"/>
      <w:pBdr>
        <w:bottom w:val="single" w:sz="4" w:space="1" w:color="auto"/>
      </w:pBdr>
      <w:jc w:val="right"/>
      <w:rPr>
        <w:color w:val="26724C" w:themeColor="accent1" w:themeShade="BF"/>
      </w:rPr>
    </w:pPr>
    <w:r w:rsidRPr="00696FB8">
      <w:rPr>
        <w:color w:val="26724C" w:themeColor="accent1" w:themeShade="BF"/>
      </w:rPr>
      <w:t>Appendix I</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1759521486"/>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39</w:t>
        </w:r>
        <w:r w:rsidRPr="008B40C0">
          <w:rPr>
            <w:noProof/>
            <w:color w:val="26724C" w:themeColor="accent1" w:themeShade="BF"/>
          </w:rPr>
          <w:fldChar w:fldCharType="end"/>
        </w:r>
      </w:sdtContent>
    </w:sdt>
  </w:p>
  <w:p w14:paraId="7D168FDC" w14:textId="77777777" w:rsidR="009C0981" w:rsidRPr="001522BD" w:rsidRDefault="009C0981" w:rsidP="00051507">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F563" w14:textId="77777777" w:rsidR="009C0981" w:rsidRPr="00C85670" w:rsidRDefault="009C0981" w:rsidP="00495E48">
    <w:pPr>
      <w:pStyle w:val="Header"/>
      <w:jc w:val="right"/>
      <w:rPr>
        <w:b/>
        <w:color w:val="26724C" w:themeColor="accent1" w:themeShade="BF"/>
        <w:lang w:val="es-ES"/>
      </w:rPr>
    </w:pPr>
    <w:r w:rsidRPr="00C85670">
      <w:rPr>
        <w:b/>
        <w:color w:val="26724C" w:themeColor="accent1" w:themeShade="BF"/>
        <w:lang w:val="es-ES"/>
      </w:rPr>
      <w:t>UPOV</w:t>
    </w:r>
  </w:p>
  <w:p w14:paraId="34F04D75" w14:textId="0F9CB573" w:rsidR="009C0981" w:rsidRPr="00C85670" w:rsidRDefault="00AD3089" w:rsidP="00865E9C">
    <w:pPr>
      <w:pStyle w:val="Header"/>
      <w:jc w:val="right"/>
      <w:rPr>
        <w:color w:val="26724C" w:themeColor="accent1" w:themeShade="BF"/>
        <w:lang w:val="es-ES"/>
      </w:rPr>
    </w:pPr>
    <w:r>
      <w:rPr>
        <w:color w:val="26724C" w:themeColor="accent1" w:themeShade="BF"/>
        <w:lang w:val="es-ES_tradnl"/>
      </w:rPr>
      <w:t>Programa</w:t>
    </w:r>
    <w:r w:rsidR="009C0981" w:rsidRPr="00865E9C">
      <w:rPr>
        <w:color w:val="26724C" w:themeColor="accent1" w:themeShade="BF"/>
        <w:lang w:val="es-ES_tradnl"/>
      </w:rPr>
      <w:t xml:space="preserve"> y presupuesto para el bienio 2022-2023</w:t>
    </w:r>
  </w:p>
  <w:p w14:paraId="6748B2E6" w14:textId="241E5D67" w:rsidR="009C0981" w:rsidRDefault="009C0981" w:rsidP="00865E9C">
    <w:pPr>
      <w:pStyle w:val="Header"/>
      <w:pBdr>
        <w:bottom w:val="single" w:sz="4" w:space="1" w:color="auto"/>
      </w:pBdr>
      <w:jc w:val="right"/>
      <w:rPr>
        <w:color w:val="26724C" w:themeColor="accent1" w:themeShade="BF"/>
      </w:rPr>
    </w:pPr>
    <w:r w:rsidRPr="00865E9C">
      <w:rPr>
        <w:color w:val="26724C" w:themeColor="accent1" w:themeShade="BF"/>
        <w:lang w:val="es-ES_tradnl"/>
      </w:rPr>
      <w:t>página</w:t>
    </w:r>
    <w:r>
      <w:rPr>
        <w:color w:val="26724C" w:themeColor="accent1" w:themeShade="BF"/>
        <w:lang w:val="es-ES_tradnl"/>
      </w:rPr>
      <w:t xml:space="preserve"> </w:t>
    </w:r>
    <w:sdt>
      <w:sdtPr>
        <w:rPr>
          <w:color w:val="26724C" w:themeColor="accent1" w:themeShade="BF"/>
        </w:rPr>
        <w:id w:val="156983997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AD3089">
          <w:rPr>
            <w:noProof/>
            <w:color w:val="26724C" w:themeColor="accent1" w:themeShade="BF"/>
          </w:rPr>
          <w:t>1</w:t>
        </w:r>
        <w:r w:rsidRPr="008B40C0">
          <w:rPr>
            <w:noProof/>
            <w:color w:val="26724C" w:themeColor="accent1" w:themeShade="BF"/>
          </w:rPr>
          <w:fldChar w:fldCharType="end"/>
        </w:r>
      </w:sdtContent>
    </w:sdt>
  </w:p>
  <w:p w14:paraId="1586D724" w14:textId="141AE826" w:rsidR="009C0981" w:rsidRPr="008B40C0" w:rsidRDefault="009C0981" w:rsidP="00051507">
    <w:pPr>
      <w:pStyle w:val="Header"/>
      <w:rPr>
        <w:color w:val="194C33" w:themeColor="accent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6F94F" w14:textId="77777777" w:rsidR="009C0981" w:rsidRPr="00C85670" w:rsidRDefault="009C0981" w:rsidP="00495E48">
    <w:pPr>
      <w:pStyle w:val="Header"/>
      <w:jc w:val="right"/>
      <w:rPr>
        <w:b/>
        <w:color w:val="26724C" w:themeColor="accent1" w:themeShade="BF"/>
        <w:lang w:val="es-ES"/>
      </w:rPr>
    </w:pPr>
    <w:r w:rsidRPr="00C85670">
      <w:rPr>
        <w:b/>
        <w:color w:val="26724C" w:themeColor="accent1" w:themeShade="BF"/>
        <w:lang w:val="es-ES"/>
      </w:rPr>
      <w:t>UPOV</w:t>
    </w:r>
  </w:p>
  <w:p w14:paraId="34870180" w14:textId="11B24E0E" w:rsidR="009C0981" w:rsidRPr="00C85670" w:rsidRDefault="00FC19C5" w:rsidP="00865E9C">
    <w:pPr>
      <w:pStyle w:val="Header"/>
      <w:jc w:val="right"/>
      <w:rPr>
        <w:color w:val="26724C" w:themeColor="accent1" w:themeShade="BF"/>
        <w:lang w:val="es-ES"/>
      </w:rPr>
    </w:pPr>
    <w:r>
      <w:rPr>
        <w:color w:val="26724C" w:themeColor="accent1" w:themeShade="BF"/>
        <w:lang w:val="es-ES_tradnl"/>
      </w:rPr>
      <w:t>P</w:t>
    </w:r>
    <w:r w:rsidR="009C0981" w:rsidRPr="00865E9C">
      <w:rPr>
        <w:color w:val="26724C" w:themeColor="accent1" w:themeShade="BF"/>
        <w:lang w:val="es-ES_tradnl"/>
      </w:rPr>
      <w:t>rograma y presupuesto para el bienio 2022-2023</w:t>
    </w:r>
  </w:p>
  <w:p w14:paraId="3A514F03" w14:textId="0297FF2C" w:rsidR="009C0981" w:rsidRDefault="009C0981" w:rsidP="00865E9C">
    <w:pPr>
      <w:pStyle w:val="Header"/>
      <w:pBdr>
        <w:bottom w:val="single" w:sz="4" w:space="1" w:color="auto"/>
      </w:pBdr>
      <w:jc w:val="right"/>
      <w:rPr>
        <w:color w:val="26724C" w:themeColor="accent1" w:themeShade="BF"/>
      </w:rPr>
    </w:pPr>
    <w:r w:rsidRPr="00865E9C">
      <w:rPr>
        <w:color w:val="26724C" w:themeColor="accent1" w:themeShade="BF"/>
        <w:lang w:val="es-ES_tradnl"/>
      </w:rPr>
      <w:t>página</w:t>
    </w:r>
    <w:r>
      <w:rPr>
        <w:color w:val="26724C" w:themeColor="accent1" w:themeShade="BF"/>
        <w:lang w:val="es-ES_tradnl"/>
      </w:rPr>
      <w:t xml:space="preserve"> </w:t>
    </w:r>
    <w:sdt>
      <w:sdtPr>
        <w:rPr>
          <w:color w:val="26724C" w:themeColor="accent1" w:themeShade="BF"/>
        </w:rPr>
        <w:id w:val="33010910"/>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1D7D80">
          <w:rPr>
            <w:noProof/>
            <w:color w:val="26724C" w:themeColor="accent1" w:themeShade="BF"/>
          </w:rPr>
          <w:t>20</w:t>
        </w:r>
        <w:r w:rsidRPr="008B40C0">
          <w:rPr>
            <w:noProof/>
            <w:color w:val="26724C" w:themeColor="accent1" w:themeShade="BF"/>
          </w:rPr>
          <w:fldChar w:fldCharType="end"/>
        </w:r>
      </w:sdtContent>
    </w:sdt>
  </w:p>
  <w:p w14:paraId="5C50F2D1" w14:textId="77777777" w:rsidR="009C0981" w:rsidRPr="008B40C0" w:rsidRDefault="009C0981" w:rsidP="00051507">
    <w:pPr>
      <w:pStyle w:val="Header"/>
      <w:rPr>
        <w:color w:val="194C33" w:themeColor="accent1" w:themeShade="8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292E" w14:textId="6310F1F1" w:rsidR="009C0981" w:rsidRDefault="00AD3089" w:rsidP="00CA64DC">
    <w:pPr>
      <w:pStyle w:val="Header"/>
    </w:pPr>
    <w:r>
      <w:t>C/55/4 Rev.</w:t>
    </w:r>
  </w:p>
  <w:p w14:paraId="72E0D735" w14:textId="5710EEA9" w:rsidR="009C0981" w:rsidRDefault="009C0981" w:rsidP="00CA64DC">
    <w:pPr>
      <w:pStyle w:val="Header"/>
    </w:pPr>
  </w:p>
  <w:p w14:paraId="3FA0B2E5" w14:textId="42957218" w:rsidR="009C0981" w:rsidRDefault="009C0981" w:rsidP="00CA64DC">
    <w:pPr>
      <w:pStyle w:val="Header"/>
    </w:pPr>
    <w:r>
      <w:t>ANEXO</w:t>
    </w:r>
  </w:p>
  <w:p w14:paraId="7A46CF71" w14:textId="77D883E6" w:rsidR="009C0981" w:rsidRDefault="009C0981" w:rsidP="00CA64DC">
    <w:pPr>
      <w:pStyle w:val="Header"/>
    </w:pPr>
  </w:p>
  <w:p w14:paraId="48491906" w14:textId="77777777" w:rsidR="009C0981" w:rsidRPr="001A7881" w:rsidRDefault="009C0981" w:rsidP="00CA64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2D71" w14:textId="049F97CA" w:rsidR="009C0981" w:rsidRPr="00C5280D" w:rsidRDefault="009C0981" w:rsidP="008224BD">
    <w:pPr>
      <w:pStyle w:val="Header"/>
      <w:rPr>
        <w:rStyle w:val="PageNumber"/>
      </w:rPr>
    </w:pPr>
    <w:r>
      <w:t xml:space="preserve">Preliminary </w:t>
    </w:r>
    <w:r w:rsidRPr="008211E4">
      <w:t xml:space="preserve">Draft Program and Budget for the </w:t>
    </w:r>
    <w:r>
      <w:t>2022</w:t>
    </w:r>
    <w:r>
      <w:noBreakHyphen/>
      <w:t>2023 </w:t>
    </w:r>
    <w:r w:rsidRPr="008211E4">
      <w:t>Biennium</w:t>
    </w:r>
  </w:p>
  <w:p w14:paraId="52AC28A2" w14:textId="322E1AE1" w:rsidR="009C0981" w:rsidRPr="00FE0119" w:rsidRDefault="009C0981" w:rsidP="008224BD">
    <w:pPr>
      <w:pStyle w:val="Header"/>
    </w:pPr>
    <w:r w:rsidRPr="00FE0119">
      <w:t>Annex</w:t>
    </w:r>
    <w:r>
      <w:t xml:space="preserve"> II</w:t>
    </w:r>
    <w:r w:rsidRPr="00FE0119">
      <w:t xml:space="preserve">, page </w:t>
    </w:r>
    <w:sdt>
      <w:sdtPr>
        <w:id w:val="187265039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319FADDD" w14:textId="77777777" w:rsidR="009C0981" w:rsidRPr="00FE0119" w:rsidRDefault="009C0981" w:rsidP="008224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A9E7" w14:textId="77777777" w:rsidR="009C0981" w:rsidRPr="00C85670" w:rsidRDefault="009C0981" w:rsidP="00277D28">
    <w:pPr>
      <w:pStyle w:val="Header"/>
      <w:jc w:val="right"/>
      <w:rPr>
        <w:b/>
        <w:color w:val="26724C" w:themeColor="accent1" w:themeShade="BF"/>
        <w:lang w:val="es-ES"/>
      </w:rPr>
    </w:pPr>
    <w:r w:rsidRPr="00C85670">
      <w:rPr>
        <w:b/>
        <w:color w:val="26724C" w:themeColor="accent1" w:themeShade="BF"/>
        <w:lang w:val="es-ES"/>
      </w:rPr>
      <w:t>UPOV</w:t>
    </w:r>
  </w:p>
  <w:p w14:paraId="046D0913" w14:textId="14968FA5" w:rsidR="009C0981" w:rsidRDefault="00FC19C5" w:rsidP="00865E9C">
    <w:pPr>
      <w:pStyle w:val="Header"/>
      <w:pBdr>
        <w:bottom w:val="single" w:sz="4" w:space="1" w:color="auto"/>
      </w:pBdr>
      <w:jc w:val="right"/>
      <w:rPr>
        <w:color w:val="26724C" w:themeColor="accent1" w:themeShade="BF"/>
        <w:lang w:val="es-ES_tradnl"/>
      </w:rPr>
    </w:pPr>
    <w:r>
      <w:rPr>
        <w:color w:val="26724C" w:themeColor="accent1" w:themeShade="BF"/>
        <w:lang w:val="es-ES_tradnl"/>
      </w:rPr>
      <w:t>P</w:t>
    </w:r>
    <w:r w:rsidR="009C0981" w:rsidRPr="00865E9C">
      <w:rPr>
        <w:color w:val="26724C" w:themeColor="accent1" w:themeShade="BF"/>
        <w:lang w:val="es-ES_tradnl"/>
      </w:rPr>
      <w:t>rograma y presupuesto para el bienio 2022-2023</w:t>
    </w:r>
  </w:p>
  <w:p w14:paraId="7F466460" w14:textId="7B6963A9" w:rsidR="009C0981" w:rsidRPr="008B40C0" w:rsidRDefault="009C0981" w:rsidP="00865E9C">
    <w:pPr>
      <w:pStyle w:val="Header"/>
      <w:pBdr>
        <w:bottom w:val="single" w:sz="4" w:space="1" w:color="auto"/>
      </w:pBdr>
      <w:jc w:val="right"/>
      <w:rPr>
        <w:color w:val="26724C" w:themeColor="accent1" w:themeShade="BF"/>
      </w:rPr>
    </w:pPr>
    <w:r w:rsidRPr="00865E9C">
      <w:rPr>
        <w:color w:val="26724C" w:themeColor="accent1" w:themeShade="BF"/>
        <w:lang w:val="es-ES_tradnl"/>
      </w:rPr>
      <w:t>Apéndice I, página</w:t>
    </w:r>
    <w:r>
      <w:rPr>
        <w:color w:val="26724C" w:themeColor="accent1" w:themeShade="BF"/>
        <w:lang w:val="es-ES_tradnl"/>
      </w:rPr>
      <w:t xml:space="preserve"> </w:t>
    </w:r>
    <w:sdt>
      <w:sdtPr>
        <w:rPr>
          <w:color w:val="26724C" w:themeColor="accent1" w:themeShade="BF"/>
        </w:rPr>
        <w:id w:val="1225410642"/>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1D7D80">
          <w:rPr>
            <w:noProof/>
            <w:color w:val="26724C" w:themeColor="accent1" w:themeShade="BF"/>
          </w:rPr>
          <w:t>34</w:t>
        </w:r>
        <w:r w:rsidRPr="008B40C0">
          <w:rPr>
            <w:noProof/>
            <w:color w:val="26724C" w:themeColor="accent1" w:themeShade="BF"/>
          </w:rPr>
          <w:fldChar w:fldCharType="end"/>
        </w:r>
      </w:sdtContent>
    </w:sdt>
  </w:p>
  <w:p w14:paraId="4A85BF3F" w14:textId="77777777" w:rsidR="009C0981" w:rsidRPr="008B40C0" w:rsidRDefault="009C0981" w:rsidP="00277D28">
    <w:pPr>
      <w:pStyle w:val="Header"/>
      <w:jc w:val="right"/>
      <w:rPr>
        <w:color w:val="26724C" w:themeColor="accent1" w:themeShade="BF"/>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F44E" w14:textId="77777777" w:rsidR="009C0981" w:rsidRPr="00696FB8" w:rsidRDefault="009C0981" w:rsidP="00495E48">
    <w:pPr>
      <w:pStyle w:val="Header"/>
      <w:jc w:val="right"/>
      <w:rPr>
        <w:b/>
        <w:color w:val="26724C" w:themeColor="accent1" w:themeShade="BF"/>
      </w:rPr>
    </w:pPr>
    <w:r w:rsidRPr="00696FB8">
      <w:rPr>
        <w:b/>
        <w:color w:val="26724C" w:themeColor="accent1" w:themeShade="BF"/>
      </w:rPr>
      <w:t>UPOV</w:t>
    </w:r>
  </w:p>
  <w:p w14:paraId="13157BA8" w14:textId="26A87589" w:rsidR="009C0981" w:rsidRPr="00495E48" w:rsidRDefault="009C0981" w:rsidP="008B40C0">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w:t>
    </w:r>
    <w:r>
      <w:rPr>
        <w:color w:val="26724C" w:themeColor="accent1" w:themeShade="BF"/>
      </w:rPr>
      <w:t>Program and Budget 2022</w:t>
    </w:r>
    <w:r>
      <w:rPr>
        <w:color w:val="26724C" w:themeColor="accent1" w:themeShade="BF"/>
      </w:rPr>
      <w:noBreakHyphen/>
      <w:t>2023</w:t>
    </w:r>
  </w:p>
  <w:p w14:paraId="55767277" w14:textId="60DD4033" w:rsidR="009C0981" w:rsidRPr="008B40C0" w:rsidRDefault="009C0981" w:rsidP="008B40C0">
    <w:pPr>
      <w:pStyle w:val="Header"/>
      <w:pBdr>
        <w:bottom w:val="single" w:sz="4" w:space="1" w:color="auto"/>
      </w:pBdr>
      <w:jc w:val="right"/>
      <w:rPr>
        <w:color w:val="26724C" w:themeColor="accent1" w:themeShade="BF"/>
      </w:rPr>
    </w:pPr>
    <w:r w:rsidRPr="008B40C0">
      <w:rPr>
        <w:color w:val="26724C" w:themeColor="accent1" w:themeShade="BF"/>
      </w:rPr>
      <w:t>Appendix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38</w:t>
        </w:r>
        <w:r w:rsidRPr="008B40C0">
          <w:rPr>
            <w:noProof/>
            <w:color w:val="26724C" w:themeColor="accent1" w:themeShade="BF"/>
          </w:rPr>
          <w:fldChar w:fldCharType="end"/>
        </w:r>
      </w:sdtContent>
    </w:sdt>
  </w:p>
  <w:p w14:paraId="1F6A6D99" w14:textId="77777777" w:rsidR="009C0981" w:rsidRPr="008B40C0" w:rsidRDefault="009C0981" w:rsidP="008B40C0">
    <w:pPr>
      <w:pStyle w:val="Header"/>
      <w:jc w:val="right"/>
      <w:rPr>
        <w:color w:val="26724C" w:themeColor="accent1" w:themeShade="BF"/>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70AE" w14:textId="77777777" w:rsidR="009C0981" w:rsidRPr="00C5280D" w:rsidRDefault="009C0981" w:rsidP="008224BD">
    <w:pPr>
      <w:pStyle w:val="Header"/>
      <w:rPr>
        <w:rStyle w:val="PageNumber"/>
      </w:rPr>
    </w:pPr>
    <w:r>
      <w:t xml:space="preserve">Preliminary </w:t>
    </w:r>
    <w:r w:rsidRPr="008211E4">
      <w:t xml:space="preserve">Draft Program and Budget for the </w:t>
    </w:r>
    <w:r>
      <w:t>2022</w:t>
    </w:r>
    <w:r>
      <w:noBreakHyphen/>
      <w:t>2023 </w:t>
    </w:r>
    <w:r w:rsidRPr="008211E4">
      <w:t>Biennium</w:t>
    </w:r>
  </w:p>
  <w:p w14:paraId="1EA68BAB" w14:textId="77777777" w:rsidR="009C0981" w:rsidRPr="00FE0119" w:rsidRDefault="009C0981" w:rsidP="008224BD">
    <w:pPr>
      <w:pStyle w:val="Header"/>
    </w:pPr>
    <w:r w:rsidRPr="00FE0119">
      <w:t>Annex</w:t>
    </w:r>
    <w:r>
      <w:t xml:space="preserve"> II</w:t>
    </w:r>
    <w:r w:rsidRPr="00FE0119">
      <w:t xml:space="preserve">, page </w:t>
    </w:r>
    <w:sdt>
      <w:sdtPr>
        <w:id w:val="-113872334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7648EB65" w14:textId="77777777" w:rsidR="009C0981" w:rsidRPr="00FE0119" w:rsidRDefault="009C0981" w:rsidP="008224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33D4" w14:textId="77777777" w:rsidR="009C0981" w:rsidRPr="00C5280D" w:rsidRDefault="009C0981" w:rsidP="008224BD">
    <w:pPr>
      <w:pStyle w:val="Header"/>
      <w:rPr>
        <w:rStyle w:val="PageNumber"/>
      </w:rPr>
    </w:pPr>
    <w:r>
      <w:t xml:space="preserve">Preliminary </w:t>
    </w:r>
    <w:r w:rsidRPr="008211E4">
      <w:t xml:space="preserve">Draft Program and Budget for the </w:t>
    </w:r>
    <w:r>
      <w:t>2022</w:t>
    </w:r>
    <w:r>
      <w:noBreakHyphen/>
      <w:t>2023 </w:t>
    </w:r>
    <w:r w:rsidRPr="008211E4">
      <w:t>Biennium</w:t>
    </w:r>
  </w:p>
  <w:p w14:paraId="2A17433A" w14:textId="77777777" w:rsidR="009C0981" w:rsidRPr="00FE0119" w:rsidRDefault="009C0981" w:rsidP="008224BD">
    <w:pPr>
      <w:pStyle w:val="Header"/>
    </w:pPr>
    <w:r w:rsidRPr="00FE0119">
      <w:t>Annex</w:t>
    </w:r>
    <w:r>
      <w:t xml:space="preserve"> II</w:t>
    </w:r>
    <w:r w:rsidRPr="00FE0119">
      <w:t xml:space="preserve">, page </w:t>
    </w:r>
    <w:sdt>
      <w:sdtPr>
        <w:id w:val="-203648950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597AE189" w14:textId="77777777" w:rsidR="009C0981" w:rsidRPr="00FE0119" w:rsidRDefault="009C0981" w:rsidP="0082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553"/>
    <w:multiLevelType w:val="hybridMultilevel"/>
    <w:tmpl w:val="5226D9B2"/>
    <w:lvl w:ilvl="0" w:tplc="31920AC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A08C5"/>
    <w:multiLevelType w:val="hybridMultilevel"/>
    <w:tmpl w:val="191A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E338E"/>
    <w:multiLevelType w:val="multilevel"/>
    <w:tmpl w:val="5734F63E"/>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4649A8"/>
    <w:multiLevelType w:val="hybridMultilevel"/>
    <w:tmpl w:val="BDFE3BF6"/>
    <w:lvl w:ilvl="0" w:tplc="CAF47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6BFE"/>
    <w:multiLevelType w:val="hybridMultilevel"/>
    <w:tmpl w:val="3340856A"/>
    <w:lvl w:ilvl="0" w:tplc="04090001">
      <w:start w:val="1"/>
      <w:numFmt w:val="bullet"/>
      <w:lvlText w:val=""/>
      <w:lvlJc w:val="left"/>
      <w:pPr>
        <w:ind w:left="1260" w:hanging="360"/>
      </w:pPr>
      <w:rPr>
        <w:rFonts w:ascii="Symbol" w:hAnsi="Symbol" w:hint="default"/>
      </w:rPr>
    </w:lvl>
    <w:lvl w:ilvl="1" w:tplc="A0E05A16">
      <w:numFmt w:val="bullet"/>
      <w:lvlText w:val="•"/>
      <w:lvlJc w:val="left"/>
      <w:pPr>
        <w:ind w:left="2184" w:hanging="564"/>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C3464C2"/>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FB35C7"/>
    <w:multiLevelType w:val="hybridMultilevel"/>
    <w:tmpl w:val="4704CDA2"/>
    <w:lvl w:ilvl="0" w:tplc="3F667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86BF5"/>
    <w:multiLevelType w:val="hybridMultilevel"/>
    <w:tmpl w:val="2AF0A412"/>
    <w:lvl w:ilvl="0" w:tplc="10E0B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B2D03"/>
    <w:multiLevelType w:val="hybridMultilevel"/>
    <w:tmpl w:val="E1344AAE"/>
    <w:lvl w:ilvl="0" w:tplc="9DA0ACBA">
      <w:start w:val="1"/>
      <w:numFmt w:val="upperRoman"/>
      <w:lvlText w:val="%1."/>
      <w:lvlJc w:val="left"/>
      <w:pPr>
        <w:ind w:left="1080" w:hanging="720"/>
      </w:pPr>
      <w:rPr>
        <w:rFonts w:hint="default"/>
        <w:color w:val="00808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0" w15:restartNumberingAfterBreak="0">
    <w:nsid w:val="113F47FD"/>
    <w:multiLevelType w:val="hybridMultilevel"/>
    <w:tmpl w:val="48E85FAA"/>
    <w:lvl w:ilvl="0" w:tplc="E1F4D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A94932"/>
    <w:multiLevelType w:val="hybridMultilevel"/>
    <w:tmpl w:val="25C442F8"/>
    <w:lvl w:ilvl="0" w:tplc="251CFAFC">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439C4"/>
    <w:multiLevelType w:val="hybridMultilevel"/>
    <w:tmpl w:val="E19CA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2D170B"/>
    <w:multiLevelType w:val="hybridMultilevel"/>
    <w:tmpl w:val="14929590"/>
    <w:lvl w:ilvl="0" w:tplc="49768F62">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5F68D5"/>
    <w:multiLevelType w:val="multilevel"/>
    <w:tmpl w:val="5AEEF616"/>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 w15:restartNumberingAfterBreak="0">
    <w:nsid w:val="1A9F765D"/>
    <w:multiLevelType w:val="hybridMultilevel"/>
    <w:tmpl w:val="2FEE17B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A2717"/>
    <w:multiLevelType w:val="hybridMultilevel"/>
    <w:tmpl w:val="C47C4D12"/>
    <w:lvl w:ilvl="0" w:tplc="B1C8D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B2D48"/>
    <w:multiLevelType w:val="hybridMultilevel"/>
    <w:tmpl w:val="908A7A3C"/>
    <w:lvl w:ilvl="0" w:tplc="7AC0BAB6">
      <w:start w:val="1"/>
      <w:numFmt w:val="upperRoman"/>
      <w:lvlText w:val="%1."/>
      <w:lvlJc w:val="left"/>
      <w:pPr>
        <w:ind w:left="1080" w:hanging="72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1A7FFC"/>
    <w:multiLevelType w:val="hybridMultilevel"/>
    <w:tmpl w:val="F514CBEA"/>
    <w:lvl w:ilvl="0" w:tplc="49768F62">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15CB8"/>
    <w:multiLevelType w:val="hybridMultilevel"/>
    <w:tmpl w:val="DA78BD98"/>
    <w:lvl w:ilvl="0" w:tplc="0E22812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FB61E63"/>
    <w:multiLevelType w:val="hybridMultilevel"/>
    <w:tmpl w:val="DCC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31"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3F850675"/>
    <w:multiLevelType w:val="hybridMultilevel"/>
    <w:tmpl w:val="376C9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313078"/>
    <w:multiLevelType w:val="hybridMultilevel"/>
    <w:tmpl w:val="29DC695C"/>
    <w:lvl w:ilvl="0" w:tplc="49768F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1C65081"/>
    <w:multiLevelType w:val="hybridMultilevel"/>
    <w:tmpl w:val="ADE4AABE"/>
    <w:lvl w:ilvl="0" w:tplc="04090017">
      <w:start w:val="1"/>
      <w:numFmt w:val="low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588700E3"/>
    <w:multiLevelType w:val="hybridMultilevel"/>
    <w:tmpl w:val="24CCECBA"/>
    <w:lvl w:ilvl="0" w:tplc="49768F62">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46"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052E69"/>
    <w:multiLevelType w:val="hybridMultilevel"/>
    <w:tmpl w:val="11A65C02"/>
    <w:lvl w:ilvl="0" w:tplc="1890D324">
      <w:start w:val="1"/>
      <w:numFmt w:val="lowerRoman"/>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6A9804E5"/>
    <w:multiLevelType w:val="hybridMultilevel"/>
    <w:tmpl w:val="3C48E942"/>
    <w:lvl w:ilvl="0" w:tplc="3642D7B2">
      <w:start w:val="1"/>
      <w:numFmt w:val="upperRoman"/>
      <w:lvlText w:val="%1."/>
      <w:lvlJc w:val="left"/>
      <w:pPr>
        <w:ind w:left="1080" w:hanging="720"/>
      </w:pPr>
      <w:rPr>
        <w:rFonts w:hint="default"/>
        <w:color w:val="00808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EF74BE"/>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4B1D37"/>
    <w:multiLevelType w:val="hybridMultilevel"/>
    <w:tmpl w:val="E8B28892"/>
    <w:lvl w:ilvl="0" w:tplc="4F6A18AC">
      <w:start w:val="1"/>
      <w:numFmt w:val="upperRoman"/>
      <w:lvlText w:val="%1."/>
      <w:lvlJc w:val="left"/>
      <w:pPr>
        <w:ind w:left="1080" w:hanging="72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895FAC"/>
    <w:multiLevelType w:val="hybridMultilevel"/>
    <w:tmpl w:val="9274E84E"/>
    <w:lvl w:ilvl="0" w:tplc="7598A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5D17B8"/>
    <w:multiLevelType w:val="hybridMultilevel"/>
    <w:tmpl w:val="610EF32A"/>
    <w:lvl w:ilvl="0" w:tplc="3B4E6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1"/>
  </w:num>
  <w:num w:numId="2">
    <w:abstractNumId w:val="32"/>
  </w:num>
  <w:num w:numId="3">
    <w:abstractNumId w:val="20"/>
  </w:num>
  <w:num w:numId="4">
    <w:abstractNumId w:val="11"/>
  </w:num>
  <w:num w:numId="5">
    <w:abstractNumId w:val="23"/>
  </w:num>
  <w:num w:numId="6">
    <w:abstractNumId w:val="33"/>
  </w:num>
  <w:num w:numId="7">
    <w:abstractNumId w:val="27"/>
  </w:num>
  <w:num w:numId="8">
    <w:abstractNumId w:val="46"/>
  </w:num>
  <w:num w:numId="9">
    <w:abstractNumId w:val="53"/>
  </w:num>
  <w:num w:numId="10">
    <w:abstractNumId w:val="22"/>
  </w:num>
  <w:num w:numId="11">
    <w:abstractNumId w:val="15"/>
  </w:num>
  <w:num w:numId="12">
    <w:abstractNumId w:val="41"/>
  </w:num>
  <w:num w:numId="13">
    <w:abstractNumId w:val="36"/>
  </w:num>
  <w:num w:numId="14">
    <w:abstractNumId w:val="25"/>
  </w:num>
  <w:num w:numId="15">
    <w:abstractNumId w:val="48"/>
  </w:num>
  <w:num w:numId="16">
    <w:abstractNumId w:val="30"/>
  </w:num>
  <w:num w:numId="17">
    <w:abstractNumId w:val="42"/>
  </w:num>
  <w:num w:numId="18">
    <w:abstractNumId w:val="28"/>
  </w:num>
  <w:num w:numId="19">
    <w:abstractNumId w:val="24"/>
  </w:num>
  <w:num w:numId="20">
    <w:abstractNumId w:val="56"/>
  </w:num>
  <w:num w:numId="21">
    <w:abstractNumId w:val="35"/>
  </w:num>
  <w:num w:numId="22">
    <w:abstractNumId w:val="21"/>
  </w:num>
  <w:num w:numId="23">
    <w:abstractNumId w:val="44"/>
  </w:num>
  <w:num w:numId="24">
    <w:abstractNumId w:val="34"/>
  </w:num>
  <w:num w:numId="25">
    <w:abstractNumId w:val="39"/>
  </w:num>
  <w:num w:numId="26">
    <w:abstractNumId w:val="40"/>
  </w:num>
  <w:num w:numId="27">
    <w:abstractNumId w:val="9"/>
  </w:num>
  <w:num w:numId="28">
    <w:abstractNumId w:val="38"/>
  </w:num>
  <w:num w:numId="29">
    <w:abstractNumId w:val="54"/>
  </w:num>
  <w:num w:numId="30">
    <w:abstractNumId w:val="38"/>
  </w:num>
  <w:num w:numId="31">
    <w:abstractNumId w:val="4"/>
  </w:num>
  <w:num w:numId="32">
    <w:abstractNumId w:val="2"/>
  </w:num>
  <w:num w:numId="33">
    <w:abstractNumId w:val="29"/>
  </w:num>
  <w:num w:numId="34">
    <w:abstractNumId w:val="26"/>
  </w:num>
  <w:num w:numId="35">
    <w:abstractNumId w:val="16"/>
  </w:num>
  <w:num w:numId="36">
    <w:abstractNumId w:val="47"/>
  </w:num>
  <w:num w:numId="37">
    <w:abstractNumId w:val="5"/>
  </w:num>
  <w:num w:numId="38">
    <w:abstractNumId w:val="1"/>
  </w:num>
  <w:num w:numId="39">
    <w:abstractNumId w:val="13"/>
  </w:num>
  <w:num w:numId="40">
    <w:abstractNumId w:val="43"/>
  </w:num>
  <w:num w:numId="41">
    <w:abstractNumId w:val="14"/>
  </w:num>
  <w:num w:numId="42">
    <w:abstractNumId w:val="50"/>
  </w:num>
  <w:num w:numId="43">
    <w:abstractNumId w:val="55"/>
  </w:num>
  <w:num w:numId="44">
    <w:abstractNumId w:val="6"/>
  </w:num>
  <w:num w:numId="45">
    <w:abstractNumId w:val="6"/>
    <w:lvlOverride w:ilvl="0">
      <w:startOverride w:val="1"/>
    </w:lvlOverride>
  </w:num>
  <w:num w:numId="46">
    <w:abstractNumId w:val="52"/>
  </w:num>
  <w:num w:numId="47">
    <w:abstractNumId w:val="17"/>
  </w:num>
  <w:num w:numId="48">
    <w:abstractNumId w:val="10"/>
  </w:num>
  <w:num w:numId="49">
    <w:abstractNumId w:val="19"/>
  </w:num>
  <w:num w:numId="50">
    <w:abstractNumId w:val="51"/>
  </w:num>
  <w:num w:numId="51">
    <w:abstractNumId w:val="7"/>
  </w:num>
  <w:num w:numId="52">
    <w:abstractNumId w:val="3"/>
  </w:num>
  <w:num w:numId="53">
    <w:abstractNumId w:val="49"/>
  </w:num>
  <w:num w:numId="54">
    <w:abstractNumId w:val="8"/>
  </w:num>
  <w:num w:numId="55">
    <w:abstractNumId w:val="0"/>
  </w:num>
  <w:num w:numId="56">
    <w:abstractNumId w:val="45"/>
  </w:num>
  <w:num w:numId="57">
    <w:abstractNumId w:val="18"/>
  </w:num>
  <w:num w:numId="58">
    <w:abstractNumId w:val="37"/>
  </w:num>
  <w:num w:numId="59">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Administration &amp; Finance\FAB Main|TextBase TMs\WorkspaceSTS\Outreach\POW Main|TextBase TMs\WorkspaceSTS\Administration &amp; Finance\Current Budget|TextBase TMs\WorkspaceSTS\Copyright\C Instruments|TextBase TMs\WorkspaceSTS\Outreach\Economist|TextBase TMs\WorkspaceSTS\Outreach\IP Advantage|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Development\Dev_Agenda|TextBase TMs\WorkspaceSTS\Copyright\Copyright|TextBase TMs\WorkspaceSTS\UPOV\TGPs|TextBase TMs\WorkspaceSTS\UPOV\TGs|TextBase TMs\WorkspaceSTS\UPOV\TGs Template|TextBase TMs\WorkspaceSTS\UPOV\U Instruments|TextBase TMs\WorkspaceSTS\UPOV\UPOV Main"/>
    <w:docVar w:name="TextBaseURL" w:val="empty"/>
    <w:docVar w:name="UILng" w:val="en"/>
  </w:docVars>
  <w:rsids>
    <w:rsidRoot w:val="00FC5924"/>
    <w:rsid w:val="00001E0A"/>
    <w:rsid w:val="0000307B"/>
    <w:rsid w:val="00004998"/>
    <w:rsid w:val="0000738E"/>
    <w:rsid w:val="00007805"/>
    <w:rsid w:val="00010CF3"/>
    <w:rsid w:val="00010ECA"/>
    <w:rsid w:val="00011E27"/>
    <w:rsid w:val="0001307A"/>
    <w:rsid w:val="000148BC"/>
    <w:rsid w:val="00015174"/>
    <w:rsid w:val="00016057"/>
    <w:rsid w:val="0001668A"/>
    <w:rsid w:val="00017084"/>
    <w:rsid w:val="00017186"/>
    <w:rsid w:val="0002068D"/>
    <w:rsid w:val="00020C60"/>
    <w:rsid w:val="0002224C"/>
    <w:rsid w:val="00023B82"/>
    <w:rsid w:val="00024AB8"/>
    <w:rsid w:val="000261D4"/>
    <w:rsid w:val="00026B74"/>
    <w:rsid w:val="00030854"/>
    <w:rsid w:val="00031400"/>
    <w:rsid w:val="00032F63"/>
    <w:rsid w:val="00036028"/>
    <w:rsid w:val="0003647E"/>
    <w:rsid w:val="000410EB"/>
    <w:rsid w:val="000422BA"/>
    <w:rsid w:val="00042398"/>
    <w:rsid w:val="00042420"/>
    <w:rsid w:val="000428CD"/>
    <w:rsid w:val="00043861"/>
    <w:rsid w:val="00044642"/>
    <w:rsid w:val="000446B9"/>
    <w:rsid w:val="00047E21"/>
    <w:rsid w:val="00050E16"/>
    <w:rsid w:val="00051507"/>
    <w:rsid w:val="00055270"/>
    <w:rsid w:val="000559D3"/>
    <w:rsid w:val="000603A6"/>
    <w:rsid w:val="000619E3"/>
    <w:rsid w:val="00062887"/>
    <w:rsid w:val="00062CD1"/>
    <w:rsid w:val="000631E2"/>
    <w:rsid w:val="0006499D"/>
    <w:rsid w:val="00065343"/>
    <w:rsid w:val="00066C57"/>
    <w:rsid w:val="00070585"/>
    <w:rsid w:val="0007470B"/>
    <w:rsid w:val="00074D11"/>
    <w:rsid w:val="00077C3E"/>
    <w:rsid w:val="00080EBB"/>
    <w:rsid w:val="00080F09"/>
    <w:rsid w:val="00084A2E"/>
    <w:rsid w:val="0008513A"/>
    <w:rsid w:val="00085358"/>
    <w:rsid w:val="00085435"/>
    <w:rsid w:val="00085505"/>
    <w:rsid w:val="000864D3"/>
    <w:rsid w:val="00092F2A"/>
    <w:rsid w:val="000947A2"/>
    <w:rsid w:val="00096166"/>
    <w:rsid w:val="000966B2"/>
    <w:rsid w:val="00096E23"/>
    <w:rsid w:val="00096FA0"/>
    <w:rsid w:val="000A0B96"/>
    <w:rsid w:val="000A3046"/>
    <w:rsid w:val="000A5504"/>
    <w:rsid w:val="000A7D06"/>
    <w:rsid w:val="000A7E8F"/>
    <w:rsid w:val="000B0549"/>
    <w:rsid w:val="000B0EEE"/>
    <w:rsid w:val="000B51E7"/>
    <w:rsid w:val="000B6247"/>
    <w:rsid w:val="000C0187"/>
    <w:rsid w:val="000C4595"/>
    <w:rsid w:val="000C4E25"/>
    <w:rsid w:val="000C7021"/>
    <w:rsid w:val="000D3171"/>
    <w:rsid w:val="000D6BBC"/>
    <w:rsid w:val="000D6C0F"/>
    <w:rsid w:val="000D7780"/>
    <w:rsid w:val="000D7FD5"/>
    <w:rsid w:val="000E189D"/>
    <w:rsid w:val="000E43D8"/>
    <w:rsid w:val="000E636A"/>
    <w:rsid w:val="000F2465"/>
    <w:rsid w:val="000F29C9"/>
    <w:rsid w:val="000F2F11"/>
    <w:rsid w:val="001036C8"/>
    <w:rsid w:val="00105929"/>
    <w:rsid w:val="00110A2F"/>
    <w:rsid w:val="00110C36"/>
    <w:rsid w:val="0011219E"/>
    <w:rsid w:val="001131D5"/>
    <w:rsid w:val="0011332B"/>
    <w:rsid w:val="00113345"/>
    <w:rsid w:val="0011422C"/>
    <w:rsid w:val="0011466D"/>
    <w:rsid w:val="00115442"/>
    <w:rsid w:val="001161B4"/>
    <w:rsid w:val="00117ABD"/>
    <w:rsid w:val="001218DB"/>
    <w:rsid w:val="00123F1F"/>
    <w:rsid w:val="00123FC7"/>
    <w:rsid w:val="001240C5"/>
    <w:rsid w:val="00124286"/>
    <w:rsid w:val="00125DCE"/>
    <w:rsid w:val="0012775E"/>
    <w:rsid w:val="00127AE8"/>
    <w:rsid w:val="00133027"/>
    <w:rsid w:val="00135F54"/>
    <w:rsid w:val="001361DC"/>
    <w:rsid w:val="0013660D"/>
    <w:rsid w:val="00136CAD"/>
    <w:rsid w:val="00136F5C"/>
    <w:rsid w:val="001376F0"/>
    <w:rsid w:val="001413A0"/>
    <w:rsid w:val="00141702"/>
    <w:rsid w:val="001418C5"/>
    <w:rsid w:val="00141DB8"/>
    <w:rsid w:val="0014253D"/>
    <w:rsid w:val="00143904"/>
    <w:rsid w:val="001441B2"/>
    <w:rsid w:val="001443EF"/>
    <w:rsid w:val="0014671E"/>
    <w:rsid w:val="001467DA"/>
    <w:rsid w:val="001522BD"/>
    <w:rsid w:val="001523C1"/>
    <w:rsid w:val="0015331C"/>
    <w:rsid w:val="0015697A"/>
    <w:rsid w:val="00156BF7"/>
    <w:rsid w:val="001572C5"/>
    <w:rsid w:val="00157BDC"/>
    <w:rsid w:val="00164A4E"/>
    <w:rsid w:val="0016531D"/>
    <w:rsid w:val="001669D8"/>
    <w:rsid w:val="00167B47"/>
    <w:rsid w:val="00170B8A"/>
    <w:rsid w:val="00172084"/>
    <w:rsid w:val="00172DFD"/>
    <w:rsid w:val="0017474A"/>
    <w:rsid w:val="00175031"/>
    <w:rsid w:val="001758C6"/>
    <w:rsid w:val="00175BA3"/>
    <w:rsid w:val="00176FAC"/>
    <w:rsid w:val="0017700E"/>
    <w:rsid w:val="001804EC"/>
    <w:rsid w:val="00181C7C"/>
    <w:rsid w:val="00182B99"/>
    <w:rsid w:val="001842C0"/>
    <w:rsid w:val="00184EF8"/>
    <w:rsid w:val="00185DC3"/>
    <w:rsid w:val="001901CC"/>
    <w:rsid w:val="0019254D"/>
    <w:rsid w:val="0019299C"/>
    <w:rsid w:val="001A019F"/>
    <w:rsid w:val="001A0293"/>
    <w:rsid w:val="001A06F7"/>
    <w:rsid w:val="001A1C67"/>
    <w:rsid w:val="001A29DE"/>
    <w:rsid w:val="001A7881"/>
    <w:rsid w:val="001A7AEB"/>
    <w:rsid w:val="001B206F"/>
    <w:rsid w:val="001C1525"/>
    <w:rsid w:val="001C1AF0"/>
    <w:rsid w:val="001C349A"/>
    <w:rsid w:val="001C3C92"/>
    <w:rsid w:val="001C5F0D"/>
    <w:rsid w:val="001C71E7"/>
    <w:rsid w:val="001D14A1"/>
    <w:rsid w:val="001D35E2"/>
    <w:rsid w:val="001D425D"/>
    <w:rsid w:val="001D45D6"/>
    <w:rsid w:val="001D4F08"/>
    <w:rsid w:val="001D5211"/>
    <w:rsid w:val="001D6EC1"/>
    <w:rsid w:val="001D7D80"/>
    <w:rsid w:val="001E0415"/>
    <w:rsid w:val="001E041C"/>
    <w:rsid w:val="001E09FC"/>
    <w:rsid w:val="001E1414"/>
    <w:rsid w:val="001E29B1"/>
    <w:rsid w:val="001E68A3"/>
    <w:rsid w:val="001F07FF"/>
    <w:rsid w:val="001F188D"/>
    <w:rsid w:val="001F3663"/>
    <w:rsid w:val="001F609B"/>
    <w:rsid w:val="001F63FE"/>
    <w:rsid w:val="002022CC"/>
    <w:rsid w:val="00203BAE"/>
    <w:rsid w:val="0020546F"/>
    <w:rsid w:val="0021332C"/>
    <w:rsid w:val="00213982"/>
    <w:rsid w:val="00213EC3"/>
    <w:rsid w:val="00214C72"/>
    <w:rsid w:val="002223C2"/>
    <w:rsid w:val="0022343E"/>
    <w:rsid w:val="002235C7"/>
    <w:rsid w:val="00232B1E"/>
    <w:rsid w:val="00234351"/>
    <w:rsid w:val="00234E38"/>
    <w:rsid w:val="00235419"/>
    <w:rsid w:val="00236FCE"/>
    <w:rsid w:val="0024002F"/>
    <w:rsid w:val="00240DA7"/>
    <w:rsid w:val="0024416D"/>
    <w:rsid w:val="0024507C"/>
    <w:rsid w:val="00247DDD"/>
    <w:rsid w:val="0025178E"/>
    <w:rsid w:val="00252E6F"/>
    <w:rsid w:val="002535CD"/>
    <w:rsid w:val="00253BC9"/>
    <w:rsid w:val="00255AE6"/>
    <w:rsid w:val="0025671C"/>
    <w:rsid w:val="0025738D"/>
    <w:rsid w:val="002610B6"/>
    <w:rsid w:val="00261575"/>
    <w:rsid w:val="002615C2"/>
    <w:rsid w:val="00261C74"/>
    <w:rsid w:val="00262F02"/>
    <w:rsid w:val="00265068"/>
    <w:rsid w:val="0026515D"/>
    <w:rsid w:val="00266D4C"/>
    <w:rsid w:val="00270C7C"/>
    <w:rsid w:val="00271911"/>
    <w:rsid w:val="00271A5F"/>
    <w:rsid w:val="00273C97"/>
    <w:rsid w:val="00273D3A"/>
    <w:rsid w:val="00277D28"/>
    <w:rsid w:val="002800A0"/>
    <w:rsid w:val="002801B3"/>
    <w:rsid w:val="00280361"/>
    <w:rsid w:val="00281060"/>
    <w:rsid w:val="00281975"/>
    <w:rsid w:val="002841E9"/>
    <w:rsid w:val="00284422"/>
    <w:rsid w:val="002878EF"/>
    <w:rsid w:val="00287921"/>
    <w:rsid w:val="002906C2"/>
    <w:rsid w:val="00291DAB"/>
    <w:rsid w:val="00292968"/>
    <w:rsid w:val="00292C78"/>
    <w:rsid w:val="00292DC3"/>
    <w:rsid w:val="002940E8"/>
    <w:rsid w:val="002943AE"/>
    <w:rsid w:val="00294751"/>
    <w:rsid w:val="00297127"/>
    <w:rsid w:val="00297E7D"/>
    <w:rsid w:val="002A08E7"/>
    <w:rsid w:val="002A18AA"/>
    <w:rsid w:val="002A3015"/>
    <w:rsid w:val="002A6E50"/>
    <w:rsid w:val="002B4298"/>
    <w:rsid w:val="002B5FB4"/>
    <w:rsid w:val="002B64BF"/>
    <w:rsid w:val="002B7E03"/>
    <w:rsid w:val="002C0A4F"/>
    <w:rsid w:val="002C256A"/>
    <w:rsid w:val="002D12EB"/>
    <w:rsid w:val="002D3286"/>
    <w:rsid w:val="002D34D1"/>
    <w:rsid w:val="002D3806"/>
    <w:rsid w:val="002D4833"/>
    <w:rsid w:val="002D6C40"/>
    <w:rsid w:val="002D7639"/>
    <w:rsid w:val="002D7B56"/>
    <w:rsid w:val="002E04DE"/>
    <w:rsid w:val="002E2505"/>
    <w:rsid w:val="002E279B"/>
    <w:rsid w:val="002E40D2"/>
    <w:rsid w:val="002E41E1"/>
    <w:rsid w:val="002E4C9B"/>
    <w:rsid w:val="002E51A3"/>
    <w:rsid w:val="002E6377"/>
    <w:rsid w:val="002E6F8D"/>
    <w:rsid w:val="002E79D3"/>
    <w:rsid w:val="002F007A"/>
    <w:rsid w:val="002F1680"/>
    <w:rsid w:val="002F17D9"/>
    <w:rsid w:val="002F1EDA"/>
    <w:rsid w:val="002F4238"/>
    <w:rsid w:val="002F4684"/>
    <w:rsid w:val="002F4DAD"/>
    <w:rsid w:val="002F60E0"/>
    <w:rsid w:val="002F6179"/>
    <w:rsid w:val="002F65DE"/>
    <w:rsid w:val="002F7809"/>
    <w:rsid w:val="002F7B8D"/>
    <w:rsid w:val="00300C31"/>
    <w:rsid w:val="00304497"/>
    <w:rsid w:val="00304B21"/>
    <w:rsid w:val="00305435"/>
    <w:rsid w:val="00305681"/>
    <w:rsid w:val="00305A7F"/>
    <w:rsid w:val="00310C55"/>
    <w:rsid w:val="003152FE"/>
    <w:rsid w:val="00315310"/>
    <w:rsid w:val="00316B61"/>
    <w:rsid w:val="003203B8"/>
    <w:rsid w:val="00320980"/>
    <w:rsid w:val="003233BB"/>
    <w:rsid w:val="003252C6"/>
    <w:rsid w:val="00325897"/>
    <w:rsid w:val="00326791"/>
    <w:rsid w:val="00327003"/>
    <w:rsid w:val="00327436"/>
    <w:rsid w:val="00327F0F"/>
    <w:rsid w:val="00332C74"/>
    <w:rsid w:val="003334D2"/>
    <w:rsid w:val="00344BD6"/>
    <w:rsid w:val="003474B0"/>
    <w:rsid w:val="00351264"/>
    <w:rsid w:val="003515BE"/>
    <w:rsid w:val="003544F6"/>
    <w:rsid w:val="0035528D"/>
    <w:rsid w:val="00361821"/>
    <w:rsid w:val="003618D2"/>
    <w:rsid w:val="00361E9E"/>
    <w:rsid w:val="00362930"/>
    <w:rsid w:val="00364154"/>
    <w:rsid w:val="00365317"/>
    <w:rsid w:val="00371C7D"/>
    <w:rsid w:val="00372116"/>
    <w:rsid w:val="00372723"/>
    <w:rsid w:val="003732FA"/>
    <w:rsid w:val="00373A5C"/>
    <w:rsid w:val="00373BA1"/>
    <w:rsid w:val="00381257"/>
    <w:rsid w:val="003847A9"/>
    <w:rsid w:val="003854FF"/>
    <w:rsid w:val="00386393"/>
    <w:rsid w:val="00391EDC"/>
    <w:rsid w:val="003935FE"/>
    <w:rsid w:val="0039581A"/>
    <w:rsid w:val="0039633A"/>
    <w:rsid w:val="00397AC5"/>
    <w:rsid w:val="003A0098"/>
    <w:rsid w:val="003A0F25"/>
    <w:rsid w:val="003A2B8C"/>
    <w:rsid w:val="003A3722"/>
    <w:rsid w:val="003A5C03"/>
    <w:rsid w:val="003A6DDB"/>
    <w:rsid w:val="003A78E3"/>
    <w:rsid w:val="003B02DC"/>
    <w:rsid w:val="003B5C64"/>
    <w:rsid w:val="003C2934"/>
    <w:rsid w:val="003C5B8E"/>
    <w:rsid w:val="003C5EA6"/>
    <w:rsid w:val="003C6EEA"/>
    <w:rsid w:val="003C78E6"/>
    <w:rsid w:val="003C794B"/>
    <w:rsid w:val="003C7FBE"/>
    <w:rsid w:val="003D227C"/>
    <w:rsid w:val="003D2B4D"/>
    <w:rsid w:val="003D50F0"/>
    <w:rsid w:val="003D5385"/>
    <w:rsid w:val="003D5837"/>
    <w:rsid w:val="003D7259"/>
    <w:rsid w:val="003E067D"/>
    <w:rsid w:val="003E09BE"/>
    <w:rsid w:val="003E128F"/>
    <w:rsid w:val="003E1935"/>
    <w:rsid w:val="003E2EE0"/>
    <w:rsid w:val="003E3B77"/>
    <w:rsid w:val="003E593B"/>
    <w:rsid w:val="003E6664"/>
    <w:rsid w:val="003E73CE"/>
    <w:rsid w:val="003F2BAB"/>
    <w:rsid w:val="003F3C00"/>
    <w:rsid w:val="003F5113"/>
    <w:rsid w:val="003F5446"/>
    <w:rsid w:val="003F5F2B"/>
    <w:rsid w:val="003F66A8"/>
    <w:rsid w:val="00405BB9"/>
    <w:rsid w:val="00405E79"/>
    <w:rsid w:val="00407E0F"/>
    <w:rsid w:val="0041640A"/>
    <w:rsid w:val="00416CCE"/>
    <w:rsid w:val="004170EF"/>
    <w:rsid w:val="004172E1"/>
    <w:rsid w:val="00421986"/>
    <w:rsid w:val="00421C29"/>
    <w:rsid w:val="00423345"/>
    <w:rsid w:val="004264B9"/>
    <w:rsid w:val="00427512"/>
    <w:rsid w:val="004301C0"/>
    <w:rsid w:val="0043114C"/>
    <w:rsid w:val="004358F3"/>
    <w:rsid w:val="004402AE"/>
    <w:rsid w:val="004429BB"/>
    <w:rsid w:val="00444A88"/>
    <w:rsid w:val="0045173C"/>
    <w:rsid w:val="004518F7"/>
    <w:rsid w:val="00453BC3"/>
    <w:rsid w:val="00456238"/>
    <w:rsid w:val="00456872"/>
    <w:rsid w:val="00460C0D"/>
    <w:rsid w:val="00462E90"/>
    <w:rsid w:val="00464447"/>
    <w:rsid w:val="004646FA"/>
    <w:rsid w:val="00466F02"/>
    <w:rsid w:val="00467654"/>
    <w:rsid w:val="00472B4B"/>
    <w:rsid w:val="00472C55"/>
    <w:rsid w:val="00474DA4"/>
    <w:rsid w:val="00476B4D"/>
    <w:rsid w:val="004805FA"/>
    <w:rsid w:val="00482F4E"/>
    <w:rsid w:val="0048303A"/>
    <w:rsid w:val="00485031"/>
    <w:rsid w:val="004870C3"/>
    <w:rsid w:val="0048733E"/>
    <w:rsid w:val="00487A0A"/>
    <w:rsid w:val="00491A96"/>
    <w:rsid w:val="004935D2"/>
    <w:rsid w:val="004937E0"/>
    <w:rsid w:val="00494157"/>
    <w:rsid w:val="00494AAB"/>
    <w:rsid w:val="00495E48"/>
    <w:rsid w:val="004A0CB3"/>
    <w:rsid w:val="004A1109"/>
    <w:rsid w:val="004A18D8"/>
    <w:rsid w:val="004A5CF3"/>
    <w:rsid w:val="004A78CE"/>
    <w:rsid w:val="004B1215"/>
    <w:rsid w:val="004B1B6D"/>
    <w:rsid w:val="004B3057"/>
    <w:rsid w:val="004B60AA"/>
    <w:rsid w:val="004C08A9"/>
    <w:rsid w:val="004C31F2"/>
    <w:rsid w:val="004C3BB3"/>
    <w:rsid w:val="004C58A1"/>
    <w:rsid w:val="004C75B5"/>
    <w:rsid w:val="004C7BD9"/>
    <w:rsid w:val="004D01D9"/>
    <w:rsid w:val="004D047D"/>
    <w:rsid w:val="004D08B9"/>
    <w:rsid w:val="004D1E36"/>
    <w:rsid w:val="004D5ABD"/>
    <w:rsid w:val="004D6D68"/>
    <w:rsid w:val="004E0C43"/>
    <w:rsid w:val="004E130B"/>
    <w:rsid w:val="004E1445"/>
    <w:rsid w:val="004E23FB"/>
    <w:rsid w:val="004E4A53"/>
    <w:rsid w:val="004E4CC5"/>
    <w:rsid w:val="004E620B"/>
    <w:rsid w:val="004E6944"/>
    <w:rsid w:val="004E6E2F"/>
    <w:rsid w:val="004E7CB7"/>
    <w:rsid w:val="004F09E2"/>
    <w:rsid w:val="004F1E9E"/>
    <w:rsid w:val="004F305A"/>
    <w:rsid w:val="004F4000"/>
    <w:rsid w:val="00500F56"/>
    <w:rsid w:val="00501C77"/>
    <w:rsid w:val="00504B5F"/>
    <w:rsid w:val="00505459"/>
    <w:rsid w:val="00512164"/>
    <w:rsid w:val="00514B54"/>
    <w:rsid w:val="0051798B"/>
    <w:rsid w:val="00517A59"/>
    <w:rsid w:val="00517D0D"/>
    <w:rsid w:val="00520297"/>
    <w:rsid w:val="00521D26"/>
    <w:rsid w:val="00521E06"/>
    <w:rsid w:val="0052552C"/>
    <w:rsid w:val="00526296"/>
    <w:rsid w:val="0052770B"/>
    <w:rsid w:val="00527740"/>
    <w:rsid w:val="00531AAA"/>
    <w:rsid w:val="0053267A"/>
    <w:rsid w:val="005338F9"/>
    <w:rsid w:val="0053602B"/>
    <w:rsid w:val="005370D8"/>
    <w:rsid w:val="00540339"/>
    <w:rsid w:val="0054281C"/>
    <w:rsid w:val="00543479"/>
    <w:rsid w:val="00544581"/>
    <w:rsid w:val="00547029"/>
    <w:rsid w:val="005475DD"/>
    <w:rsid w:val="005520D5"/>
    <w:rsid w:val="0055268D"/>
    <w:rsid w:val="00552DDB"/>
    <w:rsid w:val="00553CF5"/>
    <w:rsid w:val="00554EF1"/>
    <w:rsid w:val="00555ABD"/>
    <w:rsid w:val="00556787"/>
    <w:rsid w:val="00557F69"/>
    <w:rsid w:val="0056102F"/>
    <w:rsid w:val="00561875"/>
    <w:rsid w:val="0056213A"/>
    <w:rsid w:val="005623BF"/>
    <w:rsid w:val="00563BE0"/>
    <w:rsid w:val="00564211"/>
    <w:rsid w:val="00564351"/>
    <w:rsid w:val="00564B43"/>
    <w:rsid w:val="00566608"/>
    <w:rsid w:val="00570265"/>
    <w:rsid w:val="005703FD"/>
    <w:rsid w:val="00571298"/>
    <w:rsid w:val="00571E13"/>
    <w:rsid w:val="00573C2C"/>
    <w:rsid w:val="00576BE4"/>
    <w:rsid w:val="0058683C"/>
    <w:rsid w:val="0059123B"/>
    <w:rsid w:val="0059148A"/>
    <w:rsid w:val="00593F21"/>
    <w:rsid w:val="0059654E"/>
    <w:rsid w:val="005A229F"/>
    <w:rsid w:val="005A369D"/>
    <w:rsid w:val="005A400A"/>
    <w:rsid w:val="005A6AAA"/>
    <w:rsid w:val="005A748B"/>
    <w:rsid w:val="005B08A6"/>
    <w:rsid w:val="005B08FD"/>
    <w:rsid w:val="005B416F"/>
    <w:rsid w:val="005B48F8"/>
    <w:rsid w:val="005B66E2"/>
    <w:rsid w:val="005B6F09"/>
    <w:rsid w:val="005C1019"/>
    <w:rsid w:val="005C2AAD"/>
    <w:rsid w:val="005C7C14"/>
    <w:rsid w:val="005D098D"/>
    <w:rsid w:val="005D1C8C"/>
    <w:rsid w:val="005D3D99"/>
    <w:rsid w:val="005D7E81"/>
    <w:rsid w:val="005E0886"/>
    <w:rsid w:val="005E4D3F"/>
    <w:rsid w:val="005E60D5"/>
    <w:rsid w:val="005E71E2"/>
    <w:rsid w:val="005E78BB"/>
    <w:rsid w:val="005F0237"/>
    <w:rsid w:val="005F0EDA"/>
    <w:rsid w:val="005F7B14"/>
    <w:rsid w:val="005F7B92"/>
    <w:rsid w:val="00600B4E"/>
    <w:rsid w:val="006044B0"/>
    <w:rsid w:val="0060615B"/>
    <w:rsid w:val="006065F6"/>
    <w:rsid w:val="00612379"/>
    <w:rsid w:val="006128AE"/>
    <w:rsid w:val="0061364E"/>
    <w:rsid w:val="0061490D"/>
    <w:rsid w:val="006153B6"/>
    <w:rsid w:val="0061555F"/>
    <w:rsid w:val="006161F4"/>
    <w:rsid w:val="00616DC7"/>
    <w:rsid w:val="00620B7A"/>
    <w:rsid w:val="00621590"/>
    <w:rsid w:val="00621FB9"/>
    <w:rsid w:val="00624A63"/>
    <w:rsid w:val="00624D95"/>
    <w:rsid w:val="00624EAB"/>
    <w:rsid w:val="00624EC0"/>
    <w:rsid w:val="00634D93"/>
    <w:rsid w:val="00636CA6"/>
    <w:rsid w:val="00641200"/>
    <w:rsid w:val="00645CA8"/>
    <w:rsid w:val="006478C9"/>
    <w:rsid w:val="00651C04"/>
    <w:rsid w:val="006537FA"/>
    <w:rsid w:val="006546C3"/>
    <w:rsid w:val="00657E39"/>
    <w:rsid w:val="00660E77"/>
    <w:rsid w:val="00663DC7"/>
    <w:rsid w:val="00665321"/>
    <w:rsid w:val="006655D3"/>
    <w:rsid w:val="006672DD"/>
    <w:rsid w:val="00667404"/>
    <w:rsid w:val="00667E62"/>
    <w:rsid w:val="0067000F"/>
    <w:rsid w:val="00671DCB"/>
    <w:rsid w:val="0067406A"/>
    <w:rsid w:val="006846DE"/>
    <w:rsid w:val="006848FA"/>
    <w:rsid w:val="00685A6E"/>
    <w:rsid w:val="00685E2C"/>
    <w:rsid w:val="00687790"/>
    <w:rsid w:val="00687EB4"/>
    <w:rsid w:val="00691B59"/>
    <w:rsid w:val="0069285C"/>
    <w:rsid w:val="00693021"/>
    <w:rsid w:val="006931E4"/>
    <w:rsid w:val="00694A62"/>
    <w:rsid w:val="006953D3"/>
    <w:rsid w:val="00695C56"/>
    <w:rsid w:val="00697B3A"/>
    <w:rsid w:val="006A0F0F"/>
    <w:rsid w:val="006A3547"/>
    <w:rsid w:val="006A508C"/>
    <w:rsid w:val="006A5CDE"/>
    <w:rsid w:val="006A644A"/>
    <w:rsid w:val="006A6A68"/>
    <w:rsid w:val="006B17D2"/>
    <w:rsid w:val="006B428A"/>
    <w:rsid w:val="006B6A3D"/>
    <w:rsid w:val="006C165B"/>
    <w:rsid w:val="006C1CB2"/>
    <w:rsid w:val="006C224E"/>
    <w:rsid w:val="006C3FD6"/>
    <w:rsid w:val="006C64A1"/>
    <w:rsid w:val="006C68D2"/>
    <w:rsid w:val="006C7A02"/>
    <w:rsid w:val="006D0997"/>
    <w:rsid w:val="006D0E2E"/>
    <w:rsid w:val="006D10BF"/>
    <w:rsid w:val="006D118B"/>
    <w:rsid w:val="006D3A62"/>
    <w:rsid w:val="006D5FCE"/>
    <w:rsid w:val="006D71A3"/>
    <w:rsid w:val="006D780A"/>
    <w:rsid w:val="006E0AD2"/>
    <w:rsid w:val="006E1A2B"/>
    <w:rsid w:val="006E4A6A"/>
    <w:rsid w:val="006E4BE1"/>
    <w:rsid w:val="006E50A7"/>
    <w:rsid w:val="006E57E4"/>
    <w:rsid w:val="006F0BF7"/>
    <w:rsid w:val="006F22BF"/>
    <w:rsid w:val="006F2788"/>
    <w:rsid w:val="006F3E5E"/>
    <w:rsid w:val="006F3FC1"/>
    <w:rsid w:val="006F472B"/>
    <w:rsid w:val="006F4B4B"/>
    <w:rsid w:val="006F6FA3"/>
    <w:rsid w:val="00703DCE"/>
    <w:rsid w:val="007116CD"/>
    <w:rsid w:val="00711926"/>
    <w:rsid w:val="0071271E"/>
    <w:rsid w:val="0071290E"/>
    <w:rsid w:val="007129C0"/>
    <w:rsid w:val="00712D5F"/>
    <w:rsid w:val="00713CE6"/>
    <w:rsid w:val="0071539C"/>
    <w:rsid w:val="00715DD5"/>
    <w:rsid w:val="00716453"/>
    <w:rsid w:val="00717240"/>
    <w:rsid w:val="0071734F"/>
    <w:rsid w:val="007179BE"/>
    <w:rsid w:val="00721B62"/>
    <w:rsid w:val="00725793"/>
    <w:rsid w:val="00731007"/>
    <w:rsid w:val="00732DEC"/>
    <w:rsid w:val="00735517"/>
    <w:rsid w:val="00735634"/>
    <w:rsid w:val="00735BD5"/>
    <w:rsid w:val="00736F2D"/>
    <w:rsid w:val="00737508"/>
    <w:rsid w:val="007422FA"/>
    <w:rsid w:val="007441E9"/>
    <w:rsid w:val="00744E13"/>
    <w:rsid w:val="007451EC"/>
    <w:rsid w:val="00745B99"/>
    <w:rsid w:val="0074787C"/>
    <w:rsid w:val="00750987"/>
    <w:rsid w:val="00751613"/>
    <w:rsid w:val="007556F6"/>
    <w:rsid w:val="00755D48"/>
    <w:rsid w:val="00757B73"/>
    <w:rsid w:val="00760EEF"/>
    <w:rsid w:val="00765DE0"/>
    <w:rsid w:val="0076685C"/>
    <w:rsid w:val="00772D48"/>
    <w:rsid w:val="00772EEA"/>
    <w:rsid w:val="00773A73"/>
    <w:rsid w:val="0077481D"/>
    <w:rsid w:val="00775351"/>
    <w:rsid w:val="00777EE5"/>
    <w:rsid w:val="00784836"/>
    <w:rsid w:val="00784AEA"/>
    <w:rsid w:val="0078737D"/>
    <w:rsid w:val="00787E93"/>
    <w:rsid w:val="0079023E"/>
    <w:rsid w:val="00794FE2"/>
    <w:rsid w:val="007A11B9"/>
    <w:rsid w:val="007A2854"/>
    <w:rsid w:val="007A37EF"/>
    <w:rsid w:val="007A52A9"/>
    <w:rsid w:val="007A6BBF"/>
    <w:rsid w:val="007A6E4B"/>
    <w:rsid w:val="007B03B2"/>
    <w:rsid w:val="007B0688"/>
    <w:rsid w:val="007B13C3"/>
    <w:rsid w:val="007B15B6"/>
    <w:rsid w:val="007B4723"/>
    <w:rsid w:val="007C1D92"/>
    <w:rsid w:val="007C4CB9"/>
    <w:rsid w:val="007C4FB7"/>
    <w:rsid w:val="007C5A31"/>
    <w:rsid w:val="007C5BB2"/>
    <w:rsid w:val="007C6B9B"/>
    <w:rsid w:val="007C739A"/>
    <w:rsid w:val="007D0789"/>
    <w:rsid w:val="007D0B9D"/>
    <w:rsid w:val="007D1467"/>
    <w:rsid w:val="007D19B0"/>
    <w:rsid w:val="007D4635"/>
    <w:rsid w:val="007D5A17"/>
    <w:rsid w:val="007E420E"/>
    <w:rsid w:val="007E5554"/>
    <w:rsid w:val="007E6808"/>
    <w:rsid w:val="007E7D93"/>
    <w:rsid w:val="007F064F"/>
    <w:rsid w:val="007F0B35"/>
    <w:rsid w:val="007F19B8"/>
    <w:rsid w:val="007F2973"/>
    <w:rsid w:val="007F2F58"/>
    <w:rsid w:val="007F314E"/>
    <w:rsid w:val="007F498F"/>
    <w:rsid w:val="007F6021"/>
    <w:rsid w:val="007F6CA5"/>
    <w:rsid w:val="00801165"/>
    <w:rsid w:val="00802B6E"/>
    <w:rsid w:val="008064EC"/>
    <w:rsid w:val="0080679D"/>
    <w:rsid w:val="008105BC"/>
    <w:rsid w:val="008108B0"/>
    <w:rsid w:val="00811B20"/>
    <w:rsid w:val="00811D76"/>
    <w:rsid w:val="00813268"/>
    <w:rsid w:val="00814C68"/>
    <w:rsid w:val="008158E6"/>
    <w:rsid w:val="008162BD"/>
    <w:rsid w:val="0081751B"/>
    <w:rsid w:val="008211B5"/>
    <w:rsid w:val="008224BD"/>
    <w:rsid w:val="0082296E"/>
    <w:rsid w:val="00824099"/>
    <w:rsid w:val="00824C5B"/>
    <w:rsid w:val="00826002"/>
    <w:rsid w:val="00831855"/>
    <w:rsid w:val="00836CE7"/>
    <w:rsid w:val="0084256C"/>
    <w:rsid w:val="00843EF1"/>
    <w:rsid w:val="0084658B"/>
    <w:rsid w:val="00846D7C"/>
    <w:rsid w:val="008507E2"/>
    <w:rsid w:val="008518CB"/>
    <w:rsid w:val="00852209"/>
    <w:rsid w:val="00855FB5"/>
    <w:rsid w:val="008577A0"/>
    <w:rsid w:val="00861F9A"/>
    <w:rsid w:val="0086387C"/>
    <w:rsid w:val="00864EC2"/>
    <w:rsid w:val="00865E9C"/>
    <w:rsid w:val="00867AC1"/>
    <w:rsid w:val="00870B99"/>
    <w:rsid w:val="00871D0E"/>
    <w:rsid w:val="0087226C"/>
    <w:rsid w:val="00873B39"/>
    <w:rsid w:val="0088107F"/>
    <w:rsid w:val="00883170"/>
    <w:rsid w:val="00886036"/>
    <w:rsid w:val="008871A4"/>
    <w:rsid w:val="00887619"/>
    <w:rsid w:val="00890DF8"/>
    <w:rsid w:val="00891DB9"/>
    <w:rsid w:val="008950D7"/>
    <w:rsid w:val="00897907"/>
    <w:rsid w:val="00897D33"/>
    <w:rsid w:val="008A3809"/>
    <w:rsid w:val="008A743F"/>
    <w:rsid w:val="008B3C3B"/>
    <w:rsid w:val="008B40C0"/>
    <w:rsid w:val="008B4AC6"/>
    <w:rsid w:val="008C0970"/>
    <w:rsid w:val="008C1AF2"/>
    <w:rsid w:val="008C40AE"/>
    <w:rsid w:val="008C5BB5"/>
    <w:rsid w:val="008C72BC"/>
    <w:rsid w:val="008D0BC5"/>
    <w:rsid w:val="008D2563"/>
    <w:rsid w:val="008D2CF7"/>
    <w:rsid w:val="008E2AFE"/>
    <w:rsid w:val="008E3544"/>
    <w:rsid w:val="008E4BF9"/>
    <w:rsid w:val="008E72BA"/>
    <w:rsid w:val="008E7F7F"/>
    <w:rsid w:val="00900B52"/>
    <w:rsid w:val="00900BEF"/>
    <w:rsid w:val="00900C26"/>
    <w:rsid w:val="009017B5"/>
    <w:rsid w:val="0090197F"/>
    <w:rsid w:val="00903264"/>
    <w:rsid w:val="00903B45"/>
    <w:rsid w:val="00904495"/>
    <w:rsid w:val="00904D05"/>
    <w:rsid w:val="00906DDC"/>
    <w:rsid w:val="00907396"/>
    <w:rsid w:val="00907AF3"/>
    <w:rsid w:val="0091010C"/>
    <w:rsid w:val="0091142A"/>
    <w:rsid w:val="009136C3"/>
    <w:rsid w:val="009145A4"/>
    <w:rsid w:val="00917DFC"/>
    <w:rsid w:val="00922CEF"/>
    <w:rsid w:val="009263E2"/>
    <w:rsid w:val="00926600"/>
    <w:rsid w:val="0092788D"/>
    <w:rsid w:val="00933C47"/>
    <w:rsid w:val="00934E09"/>
    <w:rsid w:val="00936253"/>
    <w:rsid w:val="00936F20"/>
    <w:rsid w:val="009372FF"/>
    <w:rsid w:val="00940AA6"/>
    <w:rsid w:val="00940D46"/>
    <w:rsid w:val="00940F6F"/>
    <w:rsid w:val="0095067F"/>
    <w:rsid w:val="00950CF1"/>
    <w:rsid w:val="00952DD4"/>
    <w:rsid w:val="009535C3"/>
    <w:rsid w:val="00953B98"/>
    <w:rsid w:val="00955636"/>
    <w:rsid w:val="00956CB7"/>
    <w:rsid w:val="00957947"/>
    <w:rsid w:val="00957CB0"/>
    <w:rsid w:val="009600AE"/>
    <w:rsid w:val="009609CC"/>
    <w:rsid w:val="00961E69"/>
    <w:rsid w:val="0096287C"/>
    <w:rsid w:val="00962C3F"/>
    <w:rsid w:val="0096327A"/>
    <w:rsid w:val="0096401B"/>
    <w:rsid w:val="00965AE7"/>
    <w:rsid w:val="00966430"/>
    <w:rsid w:val="00966965"/>
    <w:rsid w:val="00970FED"/>
    <w:rsid w:val="00973782"/>
    <w:rsid w:val="00974868"/>
    <w:rsid w:val="00977B25"/>
    <w:rsid w:val="0098077D"/>
    <w:rsid w:val="00982797"/>
    <w:rsid w:val="009867DC"/>
    <w:rsid w:val="00986854"/>
    <w:rsid w:val="009870E6"/>
    <w:rsid w:val="0098779F"/>
    <w:rsid w:val="00992385"/>
    <w:rsid w:val="00992D82"/>
    <w:rsid w:val="00997029"/>
    <w:rsid w:val="009A1754"/>
    <w:rsid w:val="009A3558"/>
    <w:rsid w:val="009A3DA0"/>
    <w:rsid w:val="009A5334"/>
    <w:rsid w:val="009A7339"/>
    <w:rsid w:val="009B05E1"/>
    <w:rsid w:val="009B0AF0"/>
    <w:rsid w:val="009B207B"/>
    <w:rsid w:val="009B32DD"/>
    <w:rsid w:val="009B3B8B"/>
    <w:rsid w:val="009B440E"/>
    <w:rsid w:val="009B48FC"/>
    <w:rsid w:val="009B5431"/>
    <w:rsid w:val="009B556C"/>
    <w:rsid w:val="009B5BE1"/>
    <w:rsid w:val="009B67E2"/>
    <w:rsid w:val="009B6B13"/>
    <w:rsid w:val="009C05B5"/>
    <w:rsid w:val="009C0981"/>
    <w:rsid w:val="009C4C78"/>
    <w:rsid w:val="009C6675"/>
    <w:rsid w:val="009C70DA"/>
    <w:rsid w:val="009D30F0"/>
    <w:rsid w:val="009D325D"/>
    <w:rsid w:val="009D45F3"/>
    <w:rsid w:val="009D6816"/>
    <w:rsid w:val="009D690D"/>
    <w:rsid w:val="009E08DA"/>
    <w:rsid w:val="009E1027"/>
    <w:rsid w:val="009E1BC8"/>
    <w:rsid w:val="009E25C8"/>
    <w:rsid w:val="009E2EF9"/>
    <w:rsid w:val="009E42A0"/>
    <w:rsid w:val="009E65B6"/>
    <w:rsid w:val="009E6B8D"/>
    <w:rsid w:val="009E6EFE"/>
    <w:rsid w:val="009E791C"/>
    <w:rsid w:val="009E7ED5"/>
    <w:rsid w:val="009F1C4A"/>
    <w:rsid w:val="009F7725"/>
    <w:rsid w:val="009F77CF"/>
    <w:rsid w:val="00A002DC"/>
    <w:rsid w:val="00A01CBF"/>
    <w:rsid w:val="00A02299"/>
    <w:rsid w:val="00A04EB1"/>
    <w:rsid w:val="00A05689"/>
    <w:rsid w:val="00A05B97"/>
    <w:rsid w:val="00A10777"/>
    <w:rsid w:val="00A11A55"/>
    <w:rsid w:val="00A11AA7"/>
    <w:rsid w:val="00A1336E"/>
    <w:rsid w:val="00A13D1F"/>
    <w:rsid w:val="00A20000"/>
    <w:rsid w:val="00A205DC"/>
    <w:rsid w:val="00A21216"/>
    <w:rsid w:val="00A21D19"/>
    <w:rsid w:val="00A24C10"/>
    <w:rsid w:val="00A3090B"/>
    <w:rsid w:val="00A3101B"/>
    <w:rsid w:val="00A34DA6"/>
    <w:rsid w:val="00A40FBE"/>
    <w:rsid w:val="00A41E95"/>
    <w:rsid w:val="00A42AC3"/>
    <w:rsid w:val="00A430CF"/>
    <w:rsid w:val="00A451BF"/>
    <w:rsid w:val="00A53272"/>
    <w:rsid w:val="00A538C9"/>
    <w:rsid w:val="00A54309"/>
    <w:rsid w:val="00A54FFA"/>
    <w:rsid w:val="00A56003"/>
    <w:rsid w:val="00A56CBC"/>
    <w:rsid w:val="00A609BC"/>
    <w:rsid w:val="00A61EBA"/>
    <w:rsid w:val="00A6284C"/>
    <w:rsid w:val="00A63E38"/>
    <w:rsid w:val="00A6558F"/>
    <w:rsid w:val="00A67833"/>
    <w:rsid w:val="00A70F08"/>
    <w:rsid w:val="00A72D42"/>
    <w:rsid w:val="00A7304C"/>
    <w:rsid w:val="00A74DC7"/>
    <w:rsid w:val="00A75EB9"/>
    <w:rsid w:val="00A76AA5"/>
    <w:rsid w:val="00A76FAA"/>
    <w:rsid w:val="00A80640"/>
    <w:rsid w:val="00A80799"/>
    <w:rsid w:val="00A80833"/>
    <w:rsid w:val="00A809B8"/>
    <w:rsid w:val="00A817DC"/>
    <w:rsid w:val="00A81F57"/>
    <w:rsid w:val="00A83A5C"/>
    <w:rsid w:val="00A83F4E"/>
    <w:rsid w:val="00A869D1"/>
    <w:rsid w:val="00A90773"/>
    <w:rsid w:val="00A91903"/>
    <w:rsid w:val="00A948FF"/>
    <w:rsid w:val="00A9493C"/>
    <w:rsid w:val="00A958FA"/>
    <w:rsid w:val="00AA04F2"/>
    <w:rsid w:val="00AA09CA"/>
    <w:rsid w:val="00AA1424"/>
    <w:rsid w:val="00AA1A0D"/>
    <w:rsid w:val="00AA7C62"/>
    <w:rsid w:val="00AA7DC1"/>
    <w:rsid w:val="00AB246A"/>
    <w:rsid w:val="00AB2B93"/>
    <w:rsid w:val="00AB3517"/>
    <w:rsid w:val="00AB530F"/>
    <w:rsid w:val="00AB59FB"/>
    <w:rsid w:val="00AB7E5B"/>
    <w:rsid w:val="00AC14E5"/>
    <w:rsid w:val="00AC2883"/>
    <w:rsid w:val="00AC2A7A"/>
    <w:rsid w:val="00AC6A66"/>
    <w:rsid w:val="00AD18A1"/>
    <w:rsid w:val="00AD1DE6"/>
    <w:rsid w:val="00AD23EE"/>
    <w:rsid w:val="00AD3089"/>
    <w:rsid w:val="00AD3DBC"/>
    <w:rsid w:val="00AD5D0D"/>
    <w:rsid w:val="00AD6DDB"/>
    <w:rsid w:val="00AE0EF1"/>
    <w:rsid w:val="00AE1C5B"/>
    <w:rsid w:val="00AE260F"/>
    <w:rsid w:val="00AE2937"/>
    <w:rsid w:val="00AE39ED"/>
    <w:rsid w:val="00AE50C9"/>
    <w:rsid w:val="00AE6754"/>
    <w:rsid w:val="00AE7F9E"/>
    <w:rsid w:val="00AF0E44"/>
    <w:rsid w:val="00AF0FBF"/>
    <w:rsid w:val="00AF2567"/>
    <w:rsid w:val="00AF305D"/>
    <w:rsid w:val="00AF3133"/>
    <w:rsid w:val="00AF3B60"/>
    <w:rsid w:val="00AF3CF9"/>
    <w:rsid w:val="00B012B5"/>
    <w:rsid w:val="00B02939"/>
    <w:rsid w:val="00B041C5"/>
    <w:rsid w:val="00B0647A"/>
    <w:rsid w:val="00B07301"/>
    <w:rsid w:val="00B10A9A"/>
    <w:rsid w:val="00B11F3E"/>
    <w:rsid w:val="00B12441"/>
    <w:rsid w:val="00B15601"/>
    <w:rsid w:val="00B15C54"/>
    <w:rsid w:val="00B224DE"/>
    <w:rsid w:val="00B24CC9"/>
    <w:rsid w:val="00B25118"/>
    <w:rsid w:val="00B305D6"/>
    <w:rsid w:val="00B324D4"/>
    <w:rsid w:val="00B33807"/>
    <w:rsid w:val="00B35C14"/>
    <w:rsid w:val="00B35CBC"/>
    <w:rsid w:val="00B36A5D"/>
    <w:rsid w:val="00B40373"/>
    <w:rsid w:val="00B41444"/>
    <w:rsid w:val="00B41854"/>
    <w:rsid w:val="00B418EE"/>
    <w:rsid w:val="00B42B8F"/>
    <w:rsid w:val="00B46575"/>
    <w:rsid w:val="00B4680B"/>
    <w:rsid w:val="00B4729D"/>
    <w:rsid w:val="00B47C93"/>
    <w:rsid w:val="00B47D60"/>
    <w:rsid w:val="00B5209D"/>
    <w:rsid w:val="00B5223A"/>
    <w:rsid w:val="00B60AD3"/>
    <w:rsid w:val="00B60DB4"/>
    <w:rsid w:val="00B60E92"/>
    <w:rsid w:val="00B61777"/>
    <w:rsid w:val="00B626E2"/>
    <w:rsid w:val="00B6347C"/>
    <w:rsid w:val="00B63F86"/>
    <w:rsid w:val="00B6573F"/>
    <w:rsid w:val="00B677B0"/>
    <w:rsid w:val="00B724B0"/>
    <w:rsid w:val="00B80EB0"/>
    <w:rsid w:val="00B8195B"/>
    <w:rsid w:val="00B8251D"/>
    <w:rsid w:val="00B84BBD"/>
    <w:rsid w:val="00B87753"/>
    <w:rsid w:val="00B87881"/>
    <w:rsid w:val="00B91626"/>
    <w:rsid w:val="00B917D2"/>
    <w:rsid w:val="00B93785"/>
    <w:rsid w:val="00B94618"/>
    <w:rsid w:val="00BA0027"/>
    <w:rsid w:val="00BA2D70"/>
    <w:rsid w:val="00BA2EBD"/>
    <w:rsid w:val="00BA43FB"/>
    <w:rsid w:val="00BA581A"/>
    <w:rsid w:val="00BA646D"/>
    <w:rsid w:val="00BA7C45"/>
    <w:rsid w:val="00BB14B3"/>
    <w:rsid w:val="00BB2469"/>
    <w:rsid w:val="00BB2474"/>
    <w:rsid w:val="00BB2FB4"/>
    <w:rsid w:val="00BB30ED"/>
    <w:rsid w:val="00BC127D"/>
    <w:rsid w:val="00BC1E8F"/>
    <w:rsid w:val="00BC1FE6"/>
    <w:rsid w:val="00BC5123"/>
    <w:rsid w:val="00BC6F3B"/>
    <w:rsid w:val="00BC7476"/>
    <w:rsid w:val="00BC7B8F"/>
    <w:rsid w:val="00BD392C"/>
    <w:rsid w:val="00BD6CC8"/>
    <w:rsid w:val="00BD6E98"/>
    <w:rsid w:val="00BE0E98"/>
    <w:rsid w:val="00BE36F8"/>
    <w:rsid w:val="00BE3860"/>
    <w:rsid w:val="00BE594F"/>
    <w:rsid w:val="00BE5D3A"/>
    <w:rsid w:val="00BF33AF"/>
    <w:rsid w:val="00C04737"/>
    <w:rsid w:val="00C04845"/>
    <w:rsid w:val="00C04913"/>
    <w:rsid w:val="00C04E4A"/>
    <w:rsid w:val="00C05E9C"/>
    <w:rsid w:val="00C061B6"/>
    <w:rsid w:val="00C062FD"/>
    <w:rsid w:val="00C069CE"/>
    <w:rsid w:val="00C10BC4"/>
    <w:rsid w:val="00C11796"/>
    <w:rsid w:val="00C147C9"/>
    <w:rsid w:val="00C15B97"/>
    <w:rsid w:val="00C175CB"/>
    <w:rsid w:val="00C178AA"/>
    <w:rsid w:val="00C17AEB"/>
    <w:rsid w:val="00C20B94"/>
    <w:rsid w:val="00C20B9B"/>
    <w:rsid w:val="00C20E60"/>
    <w:rsid w:val="00C20EC4"/>
    <w:rsid w:val="00C20F3E"/>
    <w:rsid w:val="00C2278B"/>
    <w:rsid w:val="00C227EC"/>
    <w:rsid w:val="00C242C8"/>
    <w:rsid w:val="00C2446C"/>
    <w:rsid w:val="00C264D7"/>
    <w:rsid w:val="00C26FE0"/>
    <w:rsid w:val="00C31B90"/>
    <w:rsid w:val="00C35031"/>
    <w:rsid w:val="00C36AE5"/>
    <w:rsid w:val="00C41225"/>
    <w:rsid w:val="00C41483"/>
    <w:rsid w:val="00C41F17"/>
    <w:rsid w:val="00C41F7C"/>
    <w:rsid w:val="00C42DD8"/>
    <w:rsid w:val="00C46028"/>
    <w:rsid w:val="00C46703"/>
    <w:rsid w:val="00C52492"/>
    <w:rsid w:val="00C527FA"/>
    <w:rsid w:val="00C5280D"/>
    <w:rsid w:val="00C53E6D"/>
    <w:rsid w:val="00C53EB3"/>
    <w:rsid w:val="00C54A28"/>
    <w:rsid w:val="00C560B0"/>
    <w:rsid w:val="00C56357"/>
    <w:rsid w:val="00C5791C"/>
    <w:rsid w:val="00C611A2"/>
    <w:rsid w:val="00C618F5"/>
    <w:rsid w:val="00C61AB8"/>
    <w:rsid w:val="00C62339"/>
    <w:rsid w:val="00C6506E"/>
    <w:rsid w:val="00C66290"/>
    <w:rsid w:val="00C6633D"/>
    <w:rsid w:val="00C66BE5"/>
    <w:rsid w:val="00C72AFF"/>
    <w:rsid w:val="00C72B7A"/>
    <w:rsid w:val="00C758E9"/>
    <w:rsid w:val="00C759CE"/>
    <w:rsid w:val="00C814C5"/>
    <w:rsid w:val="00C82A73"/>
    <w:rsid w:val="00C84A8C"/>
    <w:rsid w:val="00C85670"/>
    <w:rsid w:val="00C875B9"/>
    <w:rsid w:val="00C90FCF"/>
    <w:rsid w:val="00C93362"/>
    <w:rsid w:val="00C93FE1"/>
    <w:rsid w:val="00C944FF"/>
    <w:rsid w:val="00C959CA"/>
    <w:rsid w:val="00C973F2"/>
    <w:rsid w:val="00CA172F"/>
    <w:rsid w:val="00CA1D31"/>
    <w:rsid w:val="00CA2E6E"/>
    <w:rsid w:val="00CA304C"/>
    <w:rsid w:val="00CA4171"/>
    <w:rsid w:val="00CA5381"/>
    <w:rsid w:val="00CA64DC"/>
    <w:rsid w:val="00CA774A"/>
    <w:rsid w:val="00CA7C07"/>
    <w:rsid w:val="00CB2E3C"/>
    <w:rsid w:val="00CB6C6F"/>
    <w:rsid w:val="00CB76C1"/>
    <w:rsid w:val="00CC0BCA"/>
    <w:rsid w:val="00CC11B0"/>
    <w:rsid w:val="00CC2841"/>
    <w:rsid w:val="00CC38A9"/>
    <w:rsid w:val="00CC5EE7"/>
    <w:rsid w:val="00CC744C"/>
    <w:rsid w:val="00CC7991"/>
    <w:rsid w:val="00CD13C6"/>
    <w:rsid w:val="00CD3AD0"/>
    <w:rsid w:val="00CD3B95"/>
    <w:rsid w:val="00CD517B"/>
    <w:rsid w:val="00CD5C18"/>
    <w:rsid w:val="00CE1F99"/>
    <w:rsid w:val="00CE30C4"/>
    <w:rsid w:val="00CE510F"/>
    <w:rsid w:val="00CE59C3"/>
    <w:rsid w:val="00CE6E32"/>
    <w:rsid w:val="00CF1330"/>
    <w:rsid w:val="00CF3133"/>
    <w:rsid w:val="00CF3B66"/>
    <w:rsid w:val="00CF444A"/>
    <w:rsid w:val="00CF7E36"/>
    <w:rsid w:val="00D021D1"/>
    <w:rsid w:val="00D03159"/>
    <w:rsid w:val="00D078F3"/>
    <w:rsid w:val="00D10F24"/>
    <w:rsid w:val="00D13D51"/>
    <w:rsid w:val="00D14F3E"/>
    <w:rsid w:val="00D157B3"/>
    <w:rsid w:val="00D20B57"/>
    <w:rsid w:val="00D22DE3"/>
    <w:rsid w:val="00D232C2"/>
    <w:rsid w:val="00D23EBB"/>
    <w:rsid w:val="00D3016C"/>
    <w:rsid w:val="00D32A63"/>
    <w:rsid w:val="00D35722"/>
    <w:rsid w:val="00D3708D"/>
    <w:rsid w:val="00D37513"/>
    <w:rsid w:val="00D40426"/>
    <w:rsid w:val="00D40701"/>
    <w:rsid w:val="00D41B68"/>
    <w:rsid w:val="00D42402"/>
    <w:rsid w:val="00D4322A"/>
    <w:rsid w:val="00D44604"/>
    <w:rsid w:val="00D4541A"/>
    <w:rsid w:val="00D4705E"/>
    <w:rsid w:val="00D5050B"/>
    <w:rsid w:val="00D50530"/>
    <w:rsid w:val="00D511EC"/>
    <w:rsid w:val="00D55DB6"/>
    <w:rsid w:val="00D560F3"/>
    <w:rsid w:val="00D56225"/>
    <w:rsid w:val="00D57C96"/>
    <w:rsid w:val="00D57D18"/>
    <w:rsid w:val="00D604FB"/>
    <w:rsid w:val="00D60B91"/>
    <w:rsid w:val="00D61337"/>
    <w:rsid w:val="00D62687"/>
    <w:rsid w:val="00D636F9"/>
    <w:rsid w:val="00D70BFB"/>
    <w:rsid w:val="00D75406"/>
    <w:rsid w:val="00D75794"/>
    <w:rsid w:val="00D75F00"/>
    <w:rsid w:val="00D76873"/>
    <w:rsid w:val="00D77023"/>
    <w:rsid w:val="00D77302"/>
    <w:rsid w:val="00D82CB6"/>
    <w:rsid w:val="00D842C5"/>
    <w:rsid w:val="00D84F89"/>
    <w:rsid w:val="00D8518C"/>
    <w:rsid w:val="00D86866"/>
    <w:rsid w:val="00D90522"/>
    <w:rsid w:val="00D9062C"/>
    <w:rsid w:val="00D90857"/>
    <w:rsid w:val="00D90BAD"/>
    <w:rsid w:val="00D91203"/>
    <w:rsid w:val="00D94903"/>
    <w:rsid w:val="00D95174"/>
    <w:rsid w:val="00D9535F"/>
    <w:rsid w:val="00D95B0C"/>
    <w:rsid w:val="00D967B8"/>
    <w:rsid w:val="00D970EC"/>
    <w:rsid w:val="00DA01CD"/>
    <w:rsid w:val="00DA1216"/>
    <w:rsid w:val="00DA2320"/>
    <w:rsid w:val="00DA3AA9"/>
    <w:rsid w:val="00DA42F6"/>
    <w:rsid w:val="00DA4973"/>
    <w:rsid w:val="00DA5ACB"/>
    <w:rsid w:val="00DA6B8F"/>
    <w:rsid w:val="00DA6F36"/>
    <w:rsid w:val="00DA74D1"/>
    <w:rsid w:val="00DB07F3"/>
    <w:rsid w:val="00DB14DD"/>
    <w:rsid w:val="00DB24D8"/>
    <w:rsid w:val="00DB2F11"/>
    <w:rsid w:val="00DB43E4"/>
    <w:rsid w:val="00DB44FE"/>
    <w:rsid w:val="00DB5364"/>
    <w:rsid w:val="00DB58AA"/>
    <w:rsid w:val="00DB596E"/>
    <w:rsid w:val="00DB7773"/>
    <w:rsid w:val="00DB7971"/>
    <w:rsid w:val="00DC00EA"/>
    <w:rsid w:val="00DC0277"/>
    <w:rsid w:val="00DC1233"/>
    <w:rsid w:val="00DC3724"/>
    <w:rsid w:val="00DC3802"/>
    <w:rsid w:val="00DC59C0"/>
    <w:rsid w:val="00DC730C"/>
    <w:rsid w:val="00DC7BCC"/>
    <w:rsid w:val="00DD0591"/>
    <w:rsid w:val="00DD1663"/>
    <w:rsid w:val="00DD18DB"/>
    <w:rsid w:val="00DD5138"/>
    <w:rsid w:val="00DD6565"/>
    <w:rsid w:val="00DE0104"/>
    <w:rsid w:val="00DE3DB3"/>
    <w:rsid w:val="00DE67DC"/>
    <w:rsid w:val="00DE75B0"/>
    <w:rsid w:val="00DF056E"/>
    <w:rsid w:val="00DF067B"/>
    <w:rsid w:val="00DF0E8F"/>
    <w:rsid w:val="00DF39DF"/>
    <w:rsid w:val="00DF43AA"/>
    <w:rsid w:val="00DF4BCD"/>
    <w:rsid w:val="00DF4CF2"/>
    <w:rsid w:val="00E01CAB"/>
    <w:rsid w:val="00E04EE1"/>
    <w:rsid w:val="00E073A2"/>
    <w:rsid w:val="00E07D87"/>
    <w:rsid w:val="00E111CD"/>
    <w:rsid w:val="00E12872"/>
    <w:rsid w:val="00E1290F"/>
    <w:rsid w:val="00E1484C"/>
    <w:rsid w:val="00E149D2"/>
    <w:rsid w:val="00E15C20"/>
    <w:rsid w:val="00E15DB8"/>
    <w:rsid w:val="00E16F03"/>
    <w:rsid w:val="00E17B5B"/>
    <w:rsid w:val="00E20F2C"/>
    <w:rsid w:val="00E216CA"/>
    <w:rsid w:val="00E22664"/>
    <w:rsid w:val="00E2374F"/>
    <w:rsid w:val="00E251B1"/>
    <w:rsid w:val="00E30F53"/>
    <w:rsid w:val="00E327D3"/>
    <w:rsid w:val="00E32F7E"/>
    <w:rsid w:val="00E3714A"/>
    <w:rsid w:val="00E40929"/>
    <w:rsid w:val="00E43F04"/>
    <w:rsid w:val="00E45456"/>
    <w:rsid w:val="00E459C2"/>
    <w:rsid w:val="00E45DCB"/>
    <w:rsid w:val="00E50515"/>
    <w:rsid w:val="00E50B4D"/>
    <w:rsid w:val="00E511A6"/>
    <w:rsid w:val="00E514C6"/>
    <w:rsid w:val="00E5267B"/>
    <w:rsid w:val="00E533F3"/>
    <w:rsid w:val="00E61D8D"/>
    <w:rsid w:val="00E62C40"/>
    <w:rsid w:val="00E63435"/>
    <w:rsid w:val="00E63C0E"/>
    <w:rsid w:val="00E6451A"/>
    <w:rsid w:val="00E650D4"/>
    <w:rsid w:val="00E7195F"/>
    <w:rsid w:val="00E72D49"/>
    <w:rsid w:val="00E7593C"/>
    <w:rsid w:val="00E7678A"/>
    <w:rsid w:val="00E769F2"/>
    <w:rsid w:val="00E8101B"/>
    <w:rsid w:val="00E819B6"/>
    <w:rsid w:val="00E82912"/>
    <w:rsid w:val="00E84436"/>
    <w:rsid w:val="00E854DB"/>
    <w:rsid w:val="00E92858"/>
    <w:rsid w:val="00E935F1"/>
    <w:rsid w:val="00E94A81"/>
    <w:rsid w:val="00E94B57"/>
    <w:rsid w:val="00E95388"/>
    <w:rsid w:val="00E96286"/>
    <w:rsid w:val="00EA05AC"/>
    <w:rsid w:val="00EA08F5"/>
    <w:rsid w:val="00EA1FFB"/>
    <w:rsid w:val="00EA4D77"/>
    <w:rsid w:val="00EA4F22"/>
    <w:rsid w:val="00EB048E"/>
    <w:rsid w:val="00EB499B"/>
    <w:rsid w:val="00EB4E9C"/>
    <w:rsid w:val="00EB697E"/>
    <w:rsid w:val="00EB7E86"/>
    <w:rsid w:val="00EC11A5"/>
    <w:rsid w:val="00EC1F3A"/>
    <w:rsid w:val="00EC2275"/>
    <w:rsid w:val="00EC2A02"/>
    <w:rsid w:val="00EC6E5A"/>
    <w:rsid w:val="00ED00D9"/>
    <w:rsid w:val="00ED0440"/>
    <w:rsid w:val="00ED152B"/>
    <w:rsid w:val="00ED325F"/>
    <w:rsid w:val="00ED3702"/>
    <w:rsid w:val="00ED3AAE"/>
    <w:rsid w:val="00ED4C91"/>
    <w:rsid w:val="00ED4F07"/>
    <w:rsid w:val="00EE13E6"/>
    <w:rsid w:val="00EE2AD3"/>
    <w:rsid w:val="00EE34DF"/>
    <w:rsid w:val="00EE4A13"/>
    <w:rsid w:val="00EF0CC7"/>
    <w:rsid w:val="00EF10A8"/>
    <w:rsid w:val="00EF2F89"/>
    <w:rsid w:val="00EF3088"/>
    <w:rsid w:val="00EF42F6"/>
    <w:rsid w:val="00EF73DD"/>
    <w:rsid w:val="00F017AD"/>
    <w:rsid w:val="00F02F2A"/>
    <w:rsid w:val="00F03E98"/>
    <w:rsid w:val="00F079E7"/>
    <w:rsid w:val="00F10013"/>
    <w:rsid w:val="00F10394"/>
    <w:rsid w:val="00F1091C"/>
    <w:rsid w:val="00F1237A"/>
    <w:rsid w:val="00F13FBB"/>
    <w:rsid w:val="00F146D8"/>
    <w:rsid w:val="00F15D73"/>
    <w:rsid w:val="00F160AA"/>
    <w:rsid w:val="00F1641C"/>
    <w:rsid w:val="00F16D30"/>
    <w:rsid w:val="00F16DBA"/>
    <w:rsid w:val="00F17295"/>
    <w:rsid w:val="00F20474"/>
    <w:rsid w:val="00F22CBD"/>
    <w:rsid w:val="00F25D97"/>
    <w:rsid w:val="00F272F1"/>
    <w:rsid w:val="00F31506"/>
    <w:rsid w:val="00F32848"/>
    <w:rsid w:val="00F32E53"/>
    <w:rsid w:val="00F3573E"/>
    <w:rsid w:val="00F3578F"/>
    <w:rsid w:val="00F36C30"/>
    <w:rsid w:val="00F40496"/>
    <w:rsid w:val="00F40535"/>
    <w:rsid w:val="00F40DEC"/>
    <w:rsid w:val="00F40FD5"/>
    <w:rsid w:val="00F42F7E"/>
    <w:rsid w:val="00F43BC1"/>
    <w:rsid w:val="00F45372"/>
    <w:rsid w:val="00F46BF2"/>
    <w:rsid w:val="00F55C18"/>
    <w:rsid w:val="00F560F7"/>
    <w:rsid w:val="00F56AA0"/>
    <w:rsid w:val="00F579EC"/>
    <w:rsid w:val="00F57CB7"/>
    <w:rsid w:val="00F602C7"/>
    <w:rsid w:val="00F60967"/>
    <w:rsid w:val="00F6334D"/>
    <w:rsid w:val="00F63599"/>
    <w:rsid w:val="00F66FB8"/>
    <w:rsid w:val="00F67AEC"/>
    <w:rsid w:val="00F72265"/>
    <w:rsid w:val="00F72310"/>
    <w:rsid w:val="00F72573"/>
    <w:rsid w:val="00F7408A"/>
    <w:rsid w:val="00F75F6D"/>
    <w:rsid w:val="00F77273"/>
    <w:rsid w:val="00F7795E"/>
    <w:rsid w:val="00F809BE"/>
    <w:rsid w:val="00F81525"/>
    <w:rsid w:val="00F8253B"/>
    <w:rsid w:val="00F83063"/>
    <w:rsid w:val="00F87DC8"/>
    <w:rsid w:val="00F91E9A"/>
    <w:rsid w:val="00F921CD"/>
    <w:rsid w:val="00F95C4C"/>
    <w:rsid w:val="00F971CD"/>
    <w:rsid w:val="00F97F1E"/>
    <w:rsid w:val="00FA0A4B"/>
    <w:rsid w:val="00FA4776"/>
    <w:rsid w:val="00FA49AB"/>
    <w:rsid w:val="00FA6552"/>
    <w:rsid w:val="00FA67B8"/>
    <w:rsid w:val="00FB4886"/>
    <w:rsid w:val="00FB4A79"/>
    <w:rsid w:val="00FB7FEA"/>
    <w:rsid w:val="00FC0290"/>
    <w:rsid w:val="00FC19C5"/>
    <w:rsid w:val="00FC25EE"/>
    <w:rsid w:val="00FC27ED"/>
    <w:rsid w:val="00FC2C52"/>
    <w:rsid w:val="00FC32E1"/>
    <w:rsid w:val="00FC40EE"/>
    <w:rsid w:val="00FC4D29"/>
    <w:rsid w:val="00FC5924"/>
    <w:rsid w:val="00FC70C4"/>
    <w:rsid w:val="00FC77E5"/>
    <w:rsid w:val="00FD1E90"/>
    <w:rsid w:val="00FD2D6B"/>
    <w:rsid w:val="00FD3292"/>
    <w:rsid w:val="00FD46BC"/>
    <w:rsid w:val="00FD6209"/>
    <w:rsid w:val="00FD6CDA"/>
    <w:rsid w:val="00FE2A3B"/>
    <w:rsid w:val="00FE39C7"/>
    <w:rsid w:val="00FE4BCA"/>
    <w:rsid w:val="00FE64A1"/>
    <w:rsid w:val="00FF12AF"/>
    <w:rsid w:val="00FF4D07"/>
    <w:rsid w:val="00FF5DA3"/>
    <w:rsid w:val="00FF5F9E"/>
    <w:rsid w:val="00FF66F3"/>
    <w:rsid w:val="00FF74CE"/>
    <w:rsid w:val="00FF79C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7BF7F6"/>
  <w15:docId w15:val="{B7AF8F75-6465-4945-BC6A-31843AA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qFormat/>
    <w:rsid w:val="008162BD"/>
    <w:pPr>
      <w:keepNext/>
      <w:numPr>
        <w:numId w:val="55"/>
      </w:numPr>
      <w:ind w:left="567" w:hanging="567"/>
      <w:outlineLvl w:val="0"/>
    </w:pPr>
    <w:rPr>
      <w:rFonts w:ascii="Arial" w:hAnsi="Arial"/>
      <w:caps/>
      <w:color w:val="26724C" w:themeColor="accent1" w:themeShade="BF"/>
      <w:sz w:val="32"/>
      <w:szCs w:val="24"/>
    </w:rPr>
  </w:style>
  <w:style w:type="paragraph" w:styleId="Heading2">
    <w:name w:val="heading 2"/>
    <w:next w:val="Normal"/>
    <w:qFormat/>
    <w:rsid w:val="00E533F3"/>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B60E92"/>
    <w:pPr>
      <w:keepNext/>
      <w:keepLines/>
      <w:jc w:val="both"/>
      <w:outlineLvl w:val="2"/>
    </w:pPr>
    <w:rPr>
      <w:rFonts w:ascii="Arial" w:hAnsi="Arial"/>
      <w:b/>
      <w:color w:val="26724C" w:themeColor="accent1" w:themeShade="BF"/>
      <w:sz w:val="22"/>
      <w:lang w:val="es-ES_tradnl"/>
    </w:rPr>
  </w:style>
  <w:style w:type="paragraph" w:styleId="Heading4">
    <w:name w:val="heading 4"/>
    <w:next w:val="Normal"/>
    <w:autoRedefine/>
    <w:qFormat/>
    <w:rsid w:val="001D45D6"/>
    <w:pPr>
      <w:keepNext/>
      <w:tabs>
        <w:tab w:val="left" w:pos="1418"/>
      </w:tabs>
      <w:ind w:left="567"/>
      <w:jc w:val="both"/>
      <w:outlineLvl w:val="3"/>
    </w:pPr>
    <w:rPr>
      <w:rFonts w:ascii="Arial" w:hAnsi="Arial"/>
      <w:u w:val="single"/>
    </w:rPr>
  </w:style>
  <w:style w:type="paragraph" w:styleId="Heading5">
    <w:name w:val="heading 5"/>
    <w:next w:val="Normal"/>
    <w:autoRedefine/>
    <w:qFormat/>
    <w:rsid w:val="005C2AAD"/>
    <w:pPr>
      <w:keepNext/>
      <w:keepLines/>
      <w:ind w:left="567" w:hanging="567"/>
      <w:jc w:val="both"/>
      <w:outlineLvl w:val="4"/>
    </w:pPr>
    <w:rPr>
      <w:rFonts w:ascii="Arial" w:hAnsi="Arial"/>
      <w:i/>
      <w:color w:val="26724C" w:themeColor="accent1" w:themeShade="BF"/>
    </w:rPr>
  </w:style>
  <w:style w:type="paragraph" w:styleId="Heading9">
    <w:name w:val="heading 9"/>
    <w:basedOn w:val="Heading2"/>
    <w:next w:val="Normal"/>
    <w:qFormat/>
    <w:rsid w:val="005E78BB"/>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D3A62"/>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127AE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C19C5"/>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967B8"/>
    <w:pPr>
      <w:tabs>
        <w:tab w:val="right" w:pos="9629"/>
      </w:tabs>
      <w:spacing w:before="60"/>
      <w:ind w:left="567" w:right="567"/>
    </w:pPr>
    <w:rPr>
      <w:rFonts w:ascii="Arial" w:hAnsi="Arial" w:cstheme="minorHAnsi"/>
      <w:iCs/>
      <w:noProof/>
    </w:rPr>
  </w:style>
  <w:style w:type="paragraph" w:styleId="TOC3">
    <w:name w:val="toc 3"/>
    <w:next w:val="Normal"/>
    <w:autoRedefine/>
    <w:uiPriority w:val="39"/>
    <w:rsid w:val="003474B0"/>
    <w:pPr>
      <w:tabs>
        <w:tab w:val="right" w:pos="9629"/>
      </w:tabs>
      <w:spacing w:before="120" w:after="120"/>
      <w:ind w:left="1134" w:right="284"/>
      <w:contextualSpacing/>
    </w:pPr>
    <w:rPr>
      <w:rFonts w:ascii="Arial" w:hAnsi="Arial" w:cstheme="minorHAnsi"/>
      <w:i/>
      <w:noProof/>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474B0"/>
    <w:pPr>
      <w:tabs>
        <w:tab w:val="left" w:pos="1985"/>
        <w:tab w:val="right" w:pos="9629"/>
      </w:tabs>
      <w:spacing w:before="100"/>
      <w:ind w:left="1984" w:right="567" w:hanging="1383"/>
    </w:pPr>
    <w:rPr>
      <w:rFonts w:asciiTheme="minorHAnsi" w:hAnsiTheme="minorHAnsi" w:cstheme="minorHAnsi"/>
    </w:rPr>
  </w:style>
  <w:style w:type="paragraph" w:styleId="TOC1">
    <w:name w:val="toc 1"/>
    <w:next w:val="Normal"/>
    <w:autoRedefine/>
    <w:uiPriority w:val="39"/>
    <w:rsid w:val="00D967B8"/>
    <w:pPr>
      <w:tabs>
        <w:tab w:val="left" w:pos="400"/>
        <w:tab w:val="right" w:pos="9629"/>
      </w:tabs>
      <w:spacing w:before="180" w:after="120"/>
      <w:ind w:right="284"/>
    </w:pPr>
    <w:rPr>
      <w:rFonts w:ascii="Arial" w:hAnsi="Arial" w:cstheme="minorHAnsi"/>
      <w:bCs/>
      <w:noProof/>
    </w:rPr>
  </w:style>
  <w:style w:type="paragraph" w:styleId="TOC5">
    <w:name w:val="toc 5"/>
    <w:next w:val="Normal"/>
    <w:autoRedefine/>
    <w:uiPriority w:val="39"/>
    <w:rsid w:val="003F5F2B"/>
    <w:pPr>
      <w:ind w:left="8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C5B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3A0F25"/>
    <w:pPr>
      <w:spacing w:before="120"/>
      <w:ind w:left="567" w:right="707"/>
    </w:pPr>
    <w:rPr>
      <w:rFonts w:cs="Arial"/>
    </w:rPr>
  </w:style>
  <w:style w:type="paragraph" w:customStyle="1" w:styleId="Inf4Heading4">
    <w:name w:val="Inf_4_Heading_4"/>
    <w:basedOn w:val="Heading4"/>
    <w:next w:val="Normal"/>
    <w:rsid w:val="008C5BB5"/>
    <w:pPr>
      <w:spacing w:before="120"/>
      <w:ind w:left="0"/>
    </w:pPr>
    <w:rPr>
      <w:rFonts w:ascii="Times New Roman" w:hAnsi="Times New Roman"/>
      <w:b/>
      <w:bCs/>
      <w:sz w:val="22"/>
      <w:u w:val="none"/>
    </w:rPr>
  </w:style>
  <w:style w:type="paragraph" w:customStyle="1" w:styleId="Inf4Heading6">
    <w:name w:val="Inf_4_Heading_6"/>
    <w:basedOn w:val="Normal"/>
    <w:rsid w:val="003A0F25"/>
    <w:pPr>
      <w:keepNext/>
      <w:spacing w:before="108"/>
      <w:ind w:left="567"/>
      <w:outlineLvl w:val="5"/>
    </w:pPr>
    <w:rPr>
      <w:b/>
      <w:bCs/>
      <w:szCs w:val="24"/>
    </w:rPr>
  </w:style>
  <w:style w:type="paragraph" w:customStyle="1" w:styleId="Inf4Heading3">
    <w:name w:val="Inf_4_Heading_3"/>
    <w:basedOn w:val="Heading3"/>
    <w:rsid w:val="008C5BB5"/>
    <w:pPr>
      <w:keepNext w:val="0"/>
      <w:spacing w:before="240"/>
      <w:jc w:val="center"/>
    </w:pPr>
    <w:rPr>
      <w:rFonts w:cs="Arial"/>
      <w:b w:val="0"/>
      <w:bCs/>
      <w:i/>
    </w:rPr>
  </w:style>
  <w:style w:type="character" w:customStyle="1" w:styleId="Heading3Char">
    <w:name w:val="Heading 3 Char"/>
    <w:basedOn w:val="DefaultParagraphFont"/>
    <w:link w:val="Heading3"/>
    <w:rsid w:val="00B60E92"/>
    <w:rPr>
      <w:rFonts w:ascii="Arial" w:hAnsi="Arial"/>
      <w:b/>
      <w:color w:val="26724C" w:themeColor="accent1" w:themeShade="BF"/>
      <w:sz w:val="22"/>
      <w:lang w:val="es-ES_tradnl"/>
    </w:rPr>
  </w:style>
  <w:style w:type="paragraph" w:customStyle="1" w:styleId="StyleDocoriginalNotBold">
    <w:name w:val="Style Doc_original + Not Bold"/>
    <w:basedOn w:val="Docoriginal"/>
    <w:link w:val="StyleDocoriginalNotBoldChar"/>
    <w:autoRedefine/>
    <w:rsid w:val="008C5BB5"/>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C5BB5"/>
    <w:rPr>
      <w:rFonts w:ascii="Arial" w:hAnsi="Arial"/>
      <w:b/>
      <w:bCs/>
      <w:spacing w:val="10"/>
      <w:sz w:val="18"/>
      <w:lang w:val="fr-FR" w:eastAsia="en-US" w:bidi="ar-SA"/>
    </w:rPr>
  </w:style>
  <w:style w:type="paragraph" w:customStyle="1" w:styleId="StyleDocnumber">
    <w:name w:val="Style Doc_number"/>
    <w:basedOn w:val="Docoriginal"/>
    <w:rsid w:val="008C5BB5"/>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C5BB5"/>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C5BB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C5BB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C5BB5"/>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8C5BB5"/>
    <w:rPr>
      <w:rFonts w:ascii="Arial" w:hAnsi="Arial"/>
      <w:b/>
      <w:bCs/>
      <w:spacing w:val="10"/>
      <w:lang w:val="en-US" w:eastAsia="en-US" w:bidi="ar-SA"/>
    </w:rPr>
  </w:style>
  <w:style w:type="character" w:customStyle="1" w:styleId="StyleDoclangBold">
    <w:name w:val="Style Doc_lang + Bold"/>
    <w:basedOn w:val="Doclang"/>
    <w:rsid w:val="008C5BB5"/>
    <w:rPr>
      <w:rFonts w:ascii="Arial" w:hAnsi="Arial"/>
      <w:b/>
      <w:bCs/>
      <w:sz w:val="20"/>
      <w:lang w:val="en-US"/>
    </w:rPr>
  </w:style>
  <w:style w:type="paragraph" w:styleId="ListParagraph">
    <w:name w:val="List Paragraph"/>
    <w:basedOn w:val="Normal"/>
    <w:uiPriority w:val="34"/>
    <w:qFormat/>
    <w:rsid w:val="008C5BB5"/>
    <w:pPr>
      <w:ind w:left="720"/>
      <w:contextualSpacing/>
    </w:pPr>
  </w:style>
  <w:style w:type="paragraph" w:customStyle="1" w:styleId="ZchnZchn1">
    <w:name w:val="Zchn Zchn1"/>
    <w:basedOn w:val="Normal"/>
    <w:rsid w:val="008C5BB5"/>
    <w:pPr>
      <w:spacing w:after="160" w:line="240" w:lineRule="exact"/>
      <w:jc w:val="left"/>
    </w:pPr>
    <w:rPr>
      <w:rFonts w:ascii="Verdana" w:eastAsia="PMingLiU" w:hAnsi="Verdana"/>
    </w:rPr>
  </w:style>
  <w:style w:type="paragraph" w:styleId="Subtitle">
    <w:name w:val="Subtitle"/>
    <w:basedOn w:val="Normal"/>
    <w:link w:val="SubtitleChar"/>
    <w:qFormat/>
    <w:rsid w:val="008C5BB5"/>
    <w:pPr>
      <w:jc w:val="center"/>
    </w:pPr>
    <w:rPr>
      <w:rFonts w:ascii="Times New Roman" w:hAnsi="Times New Roman"/>
      <w:b/>
      <w:caps/>
      <w:color w:val="0000FF"/>
      <w:sz w:val="28"/>
    </w:rPr>
  </w:style>
  <w:style w:type="character" w:customStyle="1" w:styleId="SubtitleChar">
    <w:name w:val="Subtitle Char"/>
    <w:basedOn w:val="DefaultParagraphFont"/>
    <w:link w:val="Subtitle"/>
    <w:rsid w:val="008C5BB5"/>
    <w:rPr>
      <w:b/>
      <w:caps/>
      <w:color w:val="0000FF"/>
      <w:sz w:val="28"/>
    </w:rPr>
  </w:style>
  <w:style w:type="paragraph" w:customStyle="1" w:styleId="Endofdocument">
    <w:name w:val="End of document"/>
    <w:basedOn w:val="Normal"/>
    <w:rsid w:val="008C5BB5"/>
    <w:pPr>
      <w:ind w:left="4536"/>
      <w:jc w:val="center"/>
    </w:pPr>
    <w:rPr>
      <w:rFonts w:ascii="Times New Roman" w:hAnsi="Times New Roman"/>
      <w:sz w:val="24"/>
    </w:rPr>
  </w:style>
  <w:style w:type="paragraph" w:customStyle="1" w:styleId="BodyTextKeep">
    <w:name w:val="Body Text Keep"/>
    <w:basedOn w:val="BodyText"/>
    <w:rsid w:val="008C5BB5"/>
    <w:pPr>
      <w:keepNext/>
      <w:spacing w:after="160"/>
      <w:jc w:val="left"/>
    </w:pPr>
    <w:rPr>
      <w:rFonts w:ascii="Times New Roman" w:hAnsi="Times New Roman"/>
    </w:rPr>
  </w:style>
  <w:style w:type="character" w:styleId="Emphasis">
    <w:name w:val="Emphasis"/>
    <w:basedOn w:val="DefaultParagraphFont"/>
    <w:qFormat/>
    <w:rsid w:val="008C5BB5"/>
    <w:rPr>
      <w:i/>
      <w:iCs/>
    </w:rPr>
  </w:style>
  <w:style w:type="character" w:customStyle="1" w:styleId="HeaderChar">
    <w:name w:val="Header Char"/>
    <w:basedOn w:val="DefaultParagraphFont"/>
    <w:link w:val="Header"/>
    <w:uiPriority w:val="99"/>
    <w:rsid w:val="006D3A62"/>
    <w:rPr>
      <w:rFonts w:ascii="Arial" w:hAnsi="Arial"/>
    </w:rPr>
  </w:style>
  <w:style w:type="character" w:styleId="CommentReference">
    <w:name w:val="annotation reference"/>
    <w:basedOn w:val="DefaultParagraphFont"/>
    <w:rsid w:val="008C5BB5"/>
    <w:rPr>
      <w:sz w:val="16"/>
      <w:szCs w:val="16"/>
    </w:rPr>
  </w:style>
  <w:style w:type="paragraph" w:styleId="CommentText">
    <w:name w:val="annotation text"/>
    <w:basedOn w:val="Normal"/>
    <w:link w:val="CommentTextChar"/>
    <w:rsid w:val="008C5BB5"/>
  </w:style>
  <w:style w:type="character" w:customStyle="1" w:styleId="CommentTextChar">
    <w:name w:val="Comment Text Char"/>
    <w:basedOn w:val="DefaultParagraphFont"/>
    <w:link w:val="CommentText"/>
    <w:rsid w:val="008C5BB5"/>
    <w:rPr>
      <w:rFonts w:ascii="Arial" w:hAnsi="Arial"/>
    </w:rPr>
  </w:style>
  <w:style w:type="paragraph" w:styleId="CommentSubject">
    <w:name w:val="annotation subject"/>
    <w:basedOn w:val="CommentText"/>
    <w:next w:val="CommentText"/>
    <w:link w:val="CommentSubjectChar"/>
    <w:rsid w:val="008C5BB5"/>
    <w:rPr>
      <w:b/>
      <w:bCs/>
    </w:rPr>
  </w:style>
  <w:style w:type="character" w:customStyle="1" w:styleId="CommentSubjectChar">
    <w:name w:val="Comment Subject Char"/>
    <w:basedOn w:val="CommentTextChar"/>
    <w:link w:val="CommentSubject"/>
    <w:rsid w:val="008C5BB5"/>
    <w:rPr>
      <w:rFonts w:ascii="Arial" w:hAnsi="Arial"/>
      <w:b/>
      <w:bCs/>
    </w:rPr>
  </w:style>
  <w:style w:type="paragraph" w:styleId="NormalWeb">
    <w:name w:val="Normal (Web)"/>
    <w:basedOn w:val="Normal"/>
    <w:uiPriority w:val="99"/>
    <w:unhideWhenUsed/>
    <w:rsid w:val="008C5BB5"/>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8C5BB5"/>
    <w:pPr>
      <w:keepLines/>
      <w:spacing w:before="480" w:line="276" w:lineRule="auto"/>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8C5BB5"/>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8C5BB5"/>
    <w:rPr>
      <w:rFonts w:ascii="Arial" w:hAnsi="Arial"/>
    </w:rPr>
  </w:style>
  <w:style w:type="paragraph" w:styleId="Caption">
    <w:name w:val="caption"/>
    <w:basedOn w:val="Heading9"/>
    <w:next w:val="Normal"/>
    <w:unhideWhenUsed/>
    <w:qFormat/>
    <w:rsid w:val="008C5BB5"/>
    <w:pPr>
      <w:spacing w:after="120"/>
      <w:jc w:val="center"/>
    </w:pPr>
    <w:rPr>
      <w:rFonts w:eastAsiaTheme="minorEastAsia"/>
      <w:bCs/>
      <w:szCs w:val="18"/>
    </w:rPr>
  </w:style>
  <w:style w:type="paragraph" w:styleId="BodyText3">
    <w:name w:val="Body Text 3"/>
    <w:basedOn w:val="Normal"/>
    <w:link w:val="BodyText3Char"/>
    <w:rsid w:val="00D23EBB"/>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D23EBB"/>
    <w:rPr>
      <w:sz w:val="16"/>
      <w:szCs w:val="16"/>
    </w:rPr>
  </w:style>
  <w:style w:type="paragraph" w:customStyle="1" w:styleId="annexiparanumbered">
    <w:name w:val="annex_i_para_numbered"/>
    <w:basedOn w:val="ListParagraph"/>
    <w:qFormat/>
    <w:rsid w:val="00E96286"/>
    <w:pPr>
      <w:numPr>
        <w:numId w:val="28"/>
      </w:numPr>
      <w:ind w:left="0" w:firstLine="0"/>
    </w:pPr>
  </w:style>
  <w:style w:type="character" w:styleId="FollowedHyperlink">
    <w:name w:val="FollowedHyperlink"/>
    <w:basedOn w:val="DefaultParagraphFont"/>
    <w:semiHidden/>
    <w:unhideWhenUsed/>
    <w:rsid w:val="006F472B"/>
    <w:rPr>
      <w:color w:val="FFCCCC" w:themeColor="followedHyperlink"/>
      <w:u w:val="single"/>
    </w:rPr>
  </w:style>
  <w:style w:type="paragraph" w:customStyle="1" w:styleId="Default">
    <w:name w:val="Default"/>
    <w:rsid w:val="006D099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127AE8"/>
    <w:rPr>
      <w:rFonts w:ascii="Arial" w:hAnsi="Arial"/>
      <w:sz w:val="16"/>
    </w:rPr>
  </w:style>
  <w:style w:type="paragraph" w:styleId="TOC6">
    <w:name w:val="toc 6"/>
    <w:basedOn w:val="Normal"/>
    <w:next w:val="Normal"/>
    <w:autoRedefine/>
    <w:unhideWhenUsed/>
    <w:rsid w:val="00D604FB"/>
    <w:pPr>
      <w:ind w:left="1000"/>
      <w:jc w:val="left"/>
    </w:pPr>
    <w:rPr>
      <w:rFonts w:asciiTheme="minorHAnsi" w:hAnsiTheme="minorHAnsi" w:cstheme="minorHAnsi"/>
    </w:rPr>
  </w:style>
  <w:style w:type="paragraph" w:styleId="TOC7">
    <w:name w:val="toc 7"/>
    <w:basedOn w:val="Normal"/>
    <w:next w:val="Normal"/>
    <w:autoRedefine/>
    <w:unhideWhenUsed/>
    <w:rsid w:val="00D604FB"/>
    <w:pPr>
      <w:ind w:left="1200"/>
      <w:jc w:val="left"/>
    </w:pPr>
    <w:rPr>
      <w:rFonts w:asciiTheme="minorHAnsi" w:hAnsiTheme="minorHAnsi" w:cstheme="minorHAnsi"/>
    </w:rPr>
  </w:style>
  <w:style w:type="paragraph" w:styleId="TOC8">
    <w:name w:val="toc 8"/>
    <w:basedOn w:val="Normal"/>
    <w:next w:val="Normal"/>
    <w:autoRedefine/>
    <w:unhideWhenUsed/>
    <w:rsid w:val="00D604FB"/>
    <w:pPr>
      <w:ind w:left="1400"/>
      <w:jc w:val="left"/>
    </w:pPr>
    <w:rPr>
      <w:rFonts w:asciiTheme="minorHAnsi" w:hAnsiTheme="minorHAnsi" w:cstheme="minorHAnsi"/>
    </w:rPr>
  </w:style>
  <w:style w:type="paragraph" w:styleId="TOC9">
    <w:name w:val="toc 9"/>
    <w:basedOn w:val="Normal"/>
    <w:next w:val="Normal"/>
    <w:autoRedefine/>
    <w:unhideWhenUsed/>
    <w:rsid w:val="00D604FB"/>
    <w:pPr>
      <w:ind w:left="1600"/>
      <w:jc w:val="left"/>
    </w:pPr>
    <w:rPr>
      <w:rFonts w:asciiTheme="minorHAnsi" w:hAnsiTheme="minorHAnsi" w:cstheme="minorHAnsi"/>
    </w:rPr>
  </w:style>
  <w:style w:type="paragraph" w:styleId="Revision">
    <w:name w:val="Revision"/>
    <w:hidden/>
    <w:uiPriority w:val="99"/>
    <w:semiHidden/>
    <w:rsid w:val="00715DD5"/>
    <w:rPr>
      <w:rFonts w:ascii="Arial" w:hAnsi="Arial"/>
    </w:rPr>
  </w:style>
  <w:style w:type="character" w:customStyle="1" w:styleId="FooterChar">
    <w:name w:val="Footer Char"/>
    <w:aliases w:val="doc_path_name Char"/>
    <w:basedOn w:val="DefaultParagraphFont"/>
    <w:link w:val="Footer"/>
    <w:rsid w:val="00F97F1E"/>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48">
      <w:bodyDiv w:val="1"/>
      <w:marLeft w:val="0"/>
      <w:marRight w:val="0"/>
      <w:marTop w:val="0"/>
      <w:marBottom w:val="0"/>
      <w:divBdr>
        <w:top w:val="none" w:sz="0" w:space="0" w:color="auto"/>
        <w:left w:val="none" w:sz="0" w:space="0" w:color="auto"/>
        <w:bottom w:val="none" w:sz="0" w:space="0" w:color="auto"/>
        <w:right w:val="none" w:sz="0" w:space="0" w:color="auto"/>
      </w:divBdr>
    </w:div>
    <w:div w:id="92165376">
      <w:bodyDiv w:val="1"/>
      <w:marLeft w:val="0"/>
      <w:marRight w:val="0"/>
      <w:marTop w:val="0"/>
      <w:marBottom w:val="0"/>
      <w:divBdr>
        <w:top w:val="none" w:sz="0" w:space="0" w:color="auto"/>
        <w:left w:val="none" w:sz="0" w:space="0" w:color="auto"/>
        <w:bottom w:val="none" w:sz="0" w:space="0" w:color="auto"/>
        <w:right w:val="none" w:sz="0" w:space="0" w:color="auto"/>
      </w:divBdr>
    </w:div>
    <w:div w:id="155808169">
      <w:bodyDiv w:val="1"/>
      <w:marLeft w:val="0"/>
      <w:marRight w:val="0"/>
      <w:marTop w:val="0"/>
      <w:marBottom w:val="0"/>
      <w:divBdr>
        <w:top w:val="none" w:sz="0" w:space="0" w:color="auto"/>
        <w:left w:val="none" w:sz="0" w:space="0" w:color="auto"/>
        <w:bottom w:val="none" w:sz="0" w:space="0" w:color="auto"/>
        <w:right w:val="none" w:sz="0" w:space="0" w:color="auto"/>
      </w:divBdr>
    </w:div>
    <w:div w:id="168524786">
      <w:bodyDiv w:val="1"/>
      <w:marLeft w:val="0"/>
      <w:marRight w:val="0"/>
      <w:marTop w:val="0"/>
      <w:marBottom w:val="0"/>
      <w:divBdr>
        <w:top w:val="none" w:sz="0" w:space="0" w:color="auto"/>
        <w:left w:val="none" w:sz="0" w:space="0" w:color="auto"/>
        <w:bottom w:val="none" w:sz="0" w:space="0" w:color="auto"/>
        <w:right w:val="none" w:sz="0" w:space="0" w:color="auto"/>
      </w:divBdr>
    </w:div>
    <w:div w:id="212084630">
      <w:bodyDiv w:val="1"/>
      <w:marLeft w:val="0"/>
      <w:marRight w:val="0"/>
      <w:marTop w:val="0"/>
      <w:marBottom w:val="0"/>
      <w:divBdr>
        <w:top w:val="none" w:sz="0" w:space="0" w:color="auto"/>
        <w:left w:val="none" w:sz="0" w:space="0" w:color="auto"/>
        <w:bottom w:val="none" w:sz="0" w:space="0" w:color="auto"/>
        <w:right w:val="none" w:sz="0" w:space="0" w:color="auto"/>
      </w:divBdr>
    </w:div>
    <w:div w:id="249775556">
      <w:bodyDiv w:val="1"/>
      <w:marLeft w:val="0"/>
      <w:marRight w:val="0"/>
      <w:marTop w:val="0"/>
      <w:marBottom w:val="0"/>
      <w:divBdr>
        <w:top w:val="none" w:sz="0" w:space="0" w:color="auto"/>
        <w:left w:val="none" w:sz="0" w:space="0" w:color="auto"/>
        <w:bottom w:val="none" w:sz="0" w:space="0" w:color="auto"/>
        <w:right w:val="none" w:sz="0" w:space="0" w:color="auto"/>
      </w:divBdr>
    </w:div>
    <w:div w:id="308824917">
      <w:bodyDiv w:val="1"/>
      <w:marLeft w:val="0"/>
      <w:marRight w:val="0"/>
      <w:marTop w:val="0"/>
      <w:marBottom w:val="0"/>
      <w:divBdr>
        <w:top w:val="none" w:sz="0" w:space="0" w:color="auto"/>
        <w:left w:val="none" w:sz="0" w:space="0" w:color="auto"/>
        <w:bottom w:val="none" w:sz="0" w:space="0" w:color="auto"/>
        <w:right w:val="none" w:sz="0" w:space="0" w:color="auto"/>
      </w:divBdr>
    </w:div>
    <w:div w:id="313417167">
      <w:bodyDiv w:val="1"/>
      <w:marLeft w:val="0"/>
      <w:marRight w:val="0"/>
      <w:marTop w:val="0"/>
      <w:marBottom w:val="0"/>
      <w:divBdr>
        <w:top w:val="none" w:sz="0" w:space="0" w:color="auto"/>
        <w:left w:val="none" w:sz="0" w:space="0" w:color="auto"/>
        <w:bottom w:val="none" w:sz="0" w:space="0" w:color="auto"/>
        <w:right w:val="none" w:sz="0" w:space="0" w:color="auto"/>
      </w:divBdr>
    </w:div>
    <w:div w:id="442965057">
      <w:bodyDiv w:val="1"/>
      <w:marLeft w:val="0"/>
      <w:marRight w:val="0"/>
      <w:marTop w:val="0"/>
      <w:marBottom w:val="0"/>
      <w:divBdr>
        <w:top w:val="none" w:sz="0" w:space="0" w:color="auto"/>
        <w:left w:val="none" w:sz="0" w:space="0" w:color="auto"/>
        <w:bottom w:val="none" w:sz="0" w:space="0" w:color="auto"/>
        <w:right w:val="none" w:sz="0" w:space="0" w:color="auto"/>
      </w:divBdr>
    </w:div>
    <w:div w:id="474185602">
      <w:bodyDiv w:val="1"/>
      <w:marLeft w:val="0"/>
      <w:marRight w:val="0"/>
      <w:marTop w:val="0"/>
      <w:marBottom w:val="0"/>
      <w:divBdr>
        <w:top w:val="none" w:sz="0" w:space="0" w:color="auto"/>
        <w:left w:val="none" w:sz="0" w:space="0" w:color="auto"/>
        <w:bottom w:val="none" w:sz="0" w:space="0" w:color="auto"/>
        <w:right w:val="none" w:sz="0" w:space="0" w:color="auto"/>
      </w:divBdr>
    </w:div>
    <w:div w:id="492257031">
      <w:bodyDiv w:val="1"/>
      <w:marLeft w:val="0"/>
      <w:marRight w:val="0"/>
      <w:marTop w:val="0"/>
      <w:marBottom w:val="0"/>
      <w:divBdr>
        <w:top w:val="none" w:sz="0" w:space="0" w:color="auto"/>
        <w:left w:val="none" w:sz="0" w:space="0" w:color="auto"/>
        <w:bottom w:val="none" w:sz="0" w:space="0" w:color="auto"/>
        <w:right w:val="none" w:sz="0" w:space="0" w:color="auto"/>
      </w:divBdr>
    </w:div>
    <w:div w:id="531846026">
      <w:bodyDiv w:val="1"/>
      <w:marLeft w:val="0"/>
      <w:marRight w:val="0"/>
      <w:marTop w:val="0"/>
      <w:marBottom w:val="0"/>
      <w:divBdr>
        <w:top w:val="none" w:sz="0" w:space="0" w:color="auto"/>
        <w:left w:val="none" w:sz="0" w:space="0" w:color="auto"/>
        <w:bottom w:val="none" w:sz="0" w:space="0" w:color="auto"/>
        <w:right w:val="none" w:sz="0" w:space="0" w:color="auto"/>
      </w:divBdr>
    </w:div>
    <w:div w:id="652100428">
      <w:bodyDiv w:val="1"/>
      <w:marLeft w:val="0"/>
      <w:marRight w:val="0"/>
      <w:marTop w:val="0"/>
      <w:marBottom w:val="0"/>
      <w:divBdr>
        <w:top w:val="none" w:sz="0" w:space="0" w:color="auto"/>
        <w:left w:val="none" w:sz="0" w:space="0" w:color="auto"/>
        <w:bottom w:val="none" w:sz="0" w:space="0" w:color="auto"/>
        <w:right w:val="none" w:sz="0" w:space="0" w:color="auto"/>
      </w:divBdr>
    </w:div>
    <w:div w:id="662126569">
      <w:bodyDiv w:val="1"/>
      <w:marLeft w:val="0"/>
      <w:marRight w:val="0"/>
      <w:marTop w:val="0"/>
      <w:marBottom w:val="0"/>
      <w:divBdr>
        <w:top w:val="none" w:sz="0" w:space="0" w:color="auto"/>
        <w:left w:val="none" w:sz="0" w:space="0" w:color="auto"/>
        <w:bottom w:val="none" w:sz="0" w:space="0" w:color="auto"/>
        <w:right w:val="none" w:sz="0" w:space="0" w:color="auto"/>
      </w:divBdr>
    </w:div>
    <w:div w:id="738133268">
      <w:bodyDiv w:val="1"/>
      <w:marLeft w:val="0"/>
      <w:marRight w:val="0"/>
      <w:marTop w:val="0"/>
      <w:marBottom w:val="0"/>
      <w:divBdr>
        <w:top w:val="none" w:sz="0" w:space="0" w:color="auto"/>
        <w:left w:val="none" w:sz="0" w:space="0" w:color="auto"/>
        <w:bottom w:val="none" w:sz="0" w:space="0" w:color="auto"/>
        <w:right w:val="none" w:sz="0" w:space="0" w:color="auto"/>
      </w:divBdr>
    </w:div>
    <w:div w:id="779376500">
      <w:bodyDiv w:val="1"/>
      <w:marLeft w:val="0"/>
      <w:marRight w:val="0"/>
      <w:marTop w:val="0"/>
      <w:marBottom w:val="0"/>
      <w:divBdr>
        <w:top w:val="none" w:sz="0" w:space="0" w:color="auto"/>
        <w:left w:val="none" w:sz="0" w:space="0" w:color="auto"/>
        <w:bottom w:val="none" w:sz="0" w:space="0" w:color="auto"/>
        <w:right w:val="none" w:sz="0" w:space="0" w:color="auto"/>
      </w:divBdr>
    </w:div>
    <w:div w:id="852258775">
      <w:bodyDiv w:val="1"/>
      <w:marLeft w:val="0"/>
      <w:marRight w:val="0"/>
      <w:marTop w:val="0"/>
      <w:marBottom w:val="0"/>
      <w:divBdr>
        <w:top w:val="none" w:sz="0" w:space="0" w:color="auto"/>
        <w:left w:val="none" w:sz="0" w:space="0" w:color="auto"/>
        <w:bottom w:val="none" w:sz="0" w:space="0" w:color="auto"/>
        <w:right w:val="none" w:sz="0" w:space="0" w:color="auto"/>
      </w:divBdr>
    </w:div>
    <w:div w:id="890263195">
      <w:bodyDiv w:val="1"/>
      <w:marLeft w:val="0"/>
      <w:marRight w:val="0"/>
      <w:marTop w:val="0"/>
      <w:marBottom w:val="0"/>
      <w:divBdr>
        <w:top w:val="none" w:sz="0" w:space="0" w:color="auto"/>
        <w:left w:val="none" w:sz="0" w:space="0" w:color="auto"/>
        <w:bottom w:val="none" w:sz="0" w:space="0" w:color="auto"/>
        <w:right w:val="none" w:sz="0" w:space="0" w:color="auto"/>
      </w:divBdr>
    </w:div>
    <w:div w:id="1026563060">
      <w:bodyDiv w:val="1"/>
      <w:marLeft w:val="0"/>
      <w:marRight w:val="0"/>
      <w:marTop w:val="0"/>
      <w:marBottom w:val="0"/>
      <w:divBdr>
        <w:top w:val="none" w:sz="0" w:space="0" w:color="auto"/>
        <w:left w:val="none" w:sz="0" w:space="0" w:color="auto"/>
        <w:bottom w:val="none" w:sz="0" w:space="0" w:color="auto"/>
        <w:right w:val="none" w:sz="0" w:space="0" w:color="auto"/>
      </w:divBdr>
    </w:div>
    <w:div w:id="1124232566">
      <w:bodyDiv w:val="1"/>
      <w:marLeft w:val="0"/>
      <w:marRight w:val="0"/>
      <w:marTop w:val="0"/>
      <w:marBottom w:val="0"/>
      <w:divBdr>
        <w:top w:val="none" w:sz="0" w:space="0" w:color="auto"/>
        <w:left w:val="none" w:sz="0" w:space="0" w:color="auto"/>
        <w:bottom w:val="none" w:sz="0" w:space="0" w:color="auto"/>
        <w:right w:val="none" w:sz="0" w:space="0" w:color="auto"/>
      </w:divBdr>
    </w:div>
    <w:div w:id="1161385599">
      <w:bodyDiv w:val="1"/>
      <w:marLeft w:val="0"/>
      <w:marRight w:val="0"/>
      <w:marTop w:val="0"/>
      <w:marBottom w:val="0"/>
      <w:divBdr>
        <w:top w:val="none" w:sz="0" w:space="0" w:color="auto"/>
        <w:left w:val="none" w:sz="0" w:space="0" w:color="auto"/>
        <w:bottom w:val="none" w:sz="0" w:space="0" w:color="auto"/>
        <w:right w:val="none" w:sz="0" w:space="0" w:color="auto"/>
      </w:divBdr>
    </w:div>
    <w:div w:id="1244922864">
      <w:bodyDiv w:val="1"/>
      <w:marLeft w:val="0"/>
      <w:marRight w:val="0"/>
      <w:marTop w:val="0"/>
      <w:marBottom w:val="0"/>
      <w:divBdr>
        <w:top w:val="none" w:sz="0" w:space="0" w:color="auto"/>
        <w:left w:val="none" w:sz="0" w:space="0" w:color="auto"/>
        <w:bottom w:val="none" w:sz="0" w:space="0" w:color="auto"/>
        <w:right w:val="none" w:sz="0" w:space="0" w:color="auto"/>
      </w:divBdr>
    </w:div>
    <w:div w:id="1545484828">
      <w:bodyDiv w:val="1"/>
      <w:marLeft w:val="0"/>
      <w:marRight w:val="0"/>
      <w:marTop w:val="0"/>
      <w:marBottom w:val="0"/>
      <w:divBdr>
        <w:top w:val="none" w:sz="0" w:space="0" w:color="auto"/>
        <w:left w:val="none" w:sz="0" w:space="0" w:color="auto"/>
        <w:bottom w:val="none" w:sz="0" w:space="0" w:color="auto"/>
        <w:right w:val="none" w:sz="0" w:space="0" w:color="auto"/>
      </w:divBdr>
    </w:div>
    <w:div w:id="1639648907">
      <w:bodyDiv w:val="1"/>
      <w:marLeft w:val="0"/>
      <w:marRight w:val="0"/>
      <w:marTop w:val="0"/>
      <w:marBottom w:val="0"/>
      <w:divBdr>
        <w:top w:val="none" w:sz="0" w:space="0" w:color="auto"/>
        <w:left w:val="none" w:sz="0" w:space="0" w:color="auto"/>
        <w:bottom w:val="none" w:sz="0" w:space="0" w:color="auto"/>
        <w:right w:val="none" w:sz="0" w:space="0" w:color="auto"/>
      </w:divBdr>
    </w:div>
    <w:div w:id="1669140409">
      <w:bodyDiv w:val="1"/>
      <w:marLeft w:val="0"/>
      <w:marRight w:val="0"/>
      <w:marTop w:val="0"/>
      <w:marBottom w:val="0"/>
      <w:divBdr>
        <w:top w:val="none" w:sz="0" w:space="0" w:color="auto"/>
        <w:left w:val="none" w:sz="0" w:space="0" w:color="auto"/>
        <w:bottom w:val="none" w:sz="0" w:space="0" w:color="auto"/>
        <w:right w:val="none" w:sz="0" w:space="0" w:color="auto"/>
      </w:divBdr>
    </w:div>
    <w:div w:id="1677339990">
      <w:bodyDiv w:val="1"/>
      <w:marLeft w:val="0"/>
      <w:marRight w:val="0"/>
      <w:marTop w:val="0"/>
      <w:marBottom w:val="0"/>
      <w:divBdr>
        <w:top w:val="none" w:sz="0" w:space="0" w:color="auto"/>
        <w:left w:val="none" w:sz="0" w:space="0" w:color="auto"/>
        <w:bottom w:val="none" w:sz="0" w:space="0" w:color="auto"/>
        <w:right w:val="none" w:sz="0" w:space="0" w:color="auto"/>
      </w:divBdr>
    </w:div>
    <w:div w:id="1680888559">
      <w:bodyDiv w:val="1"/>
      <w:marLeft w:val="0"/>
      <w:marRight w:val="0"/>
      <w:marTop w:val="0"/>
      <w:marBottom w:val="0"/>
      <w:divBdr>
        <w:top w:val="none" w:sz="0" w:space="0" w:color="auto"/>
        <w:left w:val="none" w:sz="0" w:space="0" w:color="auto"/>
        <w:bottom w:val="none" w:sz="0" w:space="0" w:color="auto"/>
        <w:right w:val="none" w:sz="0" w:space="0" w:color="auto"/>
      </w:divBdr>
    </w:div>
    <w:div w:id="1710835903">
      <w:bodyDiv w:val="1"/>
      <w:marLeft w:val="0"/>
      <w:marRight w:val="0"/>
      <w:marTop w:val="0"/>
      <w:marBottom w:val="0"/>
      <w:divBdr>
        <w:top w:val="none" w:sz="0" w:space="0" w:color="auto"/>
        <w:left w:val="none" w:sz="0" w:space="0" w:color="auto"/>
        <w:bottom w:val="none" w:sz="0" w:space="0" w:color="auto"/>
        <w:right w:val="none" w:sz="0" w:space="0" w:color="auto"/>
      </w:divBdr>
    </w:div>
    <w:div w:id="1859812304">
      <w:bodyDiv w:val="1"/>
      <w:marLeft w:val="0"/>
      <w:marRight w:val="0"/>
      <w:marTop w:val="0"/>
      <w:marBottom w:val="0"/>
      <w:divBdr>
        <w:top w:val="none" w:sz="0" w:space="0" w:color="auto"/>
        <w:left w:val="none" w:sz="0" w:space="0" w:color="auto"/>
        <w:bottom w:val="none" w:sz="0" w:space="0" w:color="auto"/>
        <w:right w:val="none" w:sz="0" w:space="0" w:color="auto"/>
      </w:divBdr>
    </w:div>
    <w:div w:id="1899894496">
      <w:bodyDiv w:val="1"/>
      <w:marLeft w:val="0"/>
      <w:marRight w:val="0"/>
      <w:marTop w:val="0"/>
      <w:marBottom w:val="0"/>
      <w:divBdr>
        <w:top w:val="none" w:sz="0" w:space="0" w:color="auto"/>
        <w:left w:val="none" w:sz="0" w:space="0" w:color="auto"/>
        <w:bottom w:val="none" w:sz="0" w:space="0" w:color="auto"/>
        <w:right w:val="none" w:sz="0" w:space="0" w:color="auto"/>
      </w:divBdr>
    </w:div>
    <w:div w:id="1903759020">
      <w:bodyDiv w:val="1"/>
      <w:marLeft w:val="0"/>
      <w:marRight w:val="0"/>
      <w:marTop w:val="0"/>
      <w:marBottom w:val="0"/>
      <w:divBdr>
        <w:top w:val="none" w:sz="0" w:space="0" w:color="auto"/>
        <w:left w:val="none" w:sz="0" w:space="0" w:color="auto"/>
        <w:bottom w:val="none" w:sz="0" w:space="0" w:color="auto"/>
        <w:right w:val="none" w:sz="0" w:space="0" w:color="auto"/>
      </w:divBdr>
    </w:div>
    <w:div w:id="1906724370">
      <w:bodyDiv w:val="1"/>
      <w:marLeft w:val="0"/>
      <w:marRight w:val="0"/>
      <w:marTop w:val="0"/>
      <w:marBottom w:val="0"/>
      <w:divBdr>
        <w:top w:val="none" w:sz="0" w:space="0" w:color="auto"/>
        <w:left w:val="none" w:sz="0" w:space="0" w:color="auto"/>
        <w:bottom w:val="none" w:sz="0" w:space="0" w:color="auto"/>
        <w:right w:val="none" w:sz="0" w:space="0" w:color="auto"/>
      </w:divBdr>
    </w:div>
    <w:div w:id="1972587870">
      <w:bodyDiv w:val="1"/>
      <w:marLeft w:val="0"/>
      <w:marRight w:val="0"/>
      <w:marTop w:val="0"/>
      <w:marBottom w:val="0"/>
      <w:divBdr>
        <w:top w:val="none" w:sz="0" w:space="0" w:color="auto"/>
        <w:left w:val="none" w:sz="0" w:space="0" w:color="auto"/>
        <w:bottom w:val="none" w:sz="0" w:space="0" w:color="auto"/>
        <w:right w:val="none" w:sz="0" w:space="0" w:color="auto"/>
      </w:divBdr>
    </w:div>
    <w:div w:id="1975330366">
      <w:bodyDiv w:val="1"/>
      <w:marLeft w:val="0"/>
      <w:marRight w:val="0"/>
      <w:marTop w:val="0"/>
      <w:marBottom w:val="0"/>
      <w:divBdr>
        <w:top w:val="none" w:sz="0" w:space="0" w:color="auto"/>
        <w:left w:val="none" w:sz="0" w:space="0" w:color="auto"/>
        <w:bottom w:val="none" w:sz="0" w:space="0" w:color="auto"/>
        <w:right w:val="none" w:sz="0" w:space="0" w:color="auto"/>
      </w:divBdr>
    </w:div>
    <w:div w:id="2080323073">
      <w:bodyDiv w:val="1"/>
      <w:marLeft w:val="0"/>
      <w:marRight w:val="0"/>
      <w:marTop w:val="0"/>
      <w:marBottom w:val="0"/>
      <w:divBdr>
        <w:top w:val="none" w:sz="0" w:space="0" w:color="auto"/>
        <w:left w:val="none" w:sz="0" w:space="0" w:color="auto"/>
        <w:bottom w:val="none" w:sz="0" w:space="0" w:color="auto"/>
        <w:right w:val="none" w:sz="0" w:space="0" w:color="auto"/>
      </w:divBdr>
    </w:div>
    <w:div w:id="2137212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worldseedpartnership.org/" TargetMode="External"/><Relationship Id="rId39" Type="http://schemas.openxmlformats.org/officeDocument/2006/relationships/header" Target="header8.xml"/><Relationship Id="rId21" Type="http://schemas.openxmlformats.org/officeDocument/2006/relationships/image" Target="media/image12.emf"/><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7.emf"/><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footer" Target="footer4.xml"/><Relationship Id="rId45" Type="http://schemas.openxmlformats.org/officeDocument/2006/relationships/footer" Target="footer7.xml"/><Relationship Id="rId53" Type="http://schemas.openxmlformats.org/officeDocument/2006/relationships/header" Target="header14.xml"/><Relationship Id="rId58" Type="http://schemas.openxmlformats.org/officeDocument/2006/relationships/footer" Target="footer14.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0.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ww.upov.int/about/en/benefits_upov_system.html" TargetMode="External"/><Relationship Id="rId30" Type="http://schemas.openxmlformats.org/officeDocument/2006/relationships/image" Target="media/image18.emf"/><Relationship Id="rId35" Type="http://schemas.openxmlformats.org/officeDocument/2006/relationships/footer" Target="footer1.xml"/><Relationship Id="rId43" Type="http://schemas.openxmlformats.org/officeDocument/2006/relationships/footer" Target="footer6.xml"/><Relationship Id="rId48" Type="http://schemas.openxmlformats.org/officeDocument/2006/relationships/footer" Target="footer9.xml"/><Relationship Id="rId56"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hyperlink" Target="https://www.upov.int/about/es/benefits_upov_system.html" TargetMode="External"/><Relationship Id="rId33" Type="http://schemas.openxmlformats.org/officeDocument/2006/relationships/header" Target="header5.xml"/><Relationship Id="rId38" Type="http://schemas.openxmlformats.org/officeDocument/2006/relationships/footer" Target="footer3.xml"/><Relationship Id="rId46" Type="http://schemas.openxmlformats.org/officeDocument/2006/relationships/footer" Target="footer8.xml"/><Relationship Id="rId59" Type="http://schemas.openxmlformats.org/officeDocument/2006/relationships/header" Target="header17.xml"/><Relationship Id="rId20" Type="http://schemas.openxmlformats.org/officeDocument/2006/relationships/image" Target="media/image11.emf"/><Relationship Id="rId41" Type="http://schemas.openxmlformats.org/officeDocument/2006/relationships/footer" Target="footer5.xml"/><Relationship Id="rId54" Type="http://schemas.openxmlformats.org/officeDocument/2006/relationships/footer" Target="footer1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6.emf"/><Relationship Id="rId36" Type="http://schemas.openxmlformats.org/officeDocument/2006/relationships/footer" Target="footer2.xml"/><Relationship Id="rId49" Type="http://schemas.openxmlformats.org/officeDocument/2006/relationships/header" Target="header12.xml"/><Relationship Id="rId57" Type="http://schemas.openxmlformats.org/officeDocument/2006/relationships/footer" Target="footer13.xml"/><Relationship Id="rId10" Type="http://schemas.openxmlformats.org/officeDocument/2006/relationships/header" Target="header2.xml"/><Relationship Id="rId31" Type="http://schemas.openxmlformats.org/officeDocument/2006/relationships/header" Target="header3.xml"/><Relationship Id="rId44" Type="http://schemas.openxmlformats.org/officeDocument/2006/relationships/header" Target="header10.xml"/><Relationship Id="rId52" Type="http://schemas.openxmlformats.org/officeDocument/2006/relationships/footer" Target="footer11.xml"/><Relationship Id="rId60"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about/es/faq.html" TargetMode="External"/><Relationship Id="rId2" Type="http://schemas.openxmlformats.org/officeDocument/2006/relationships/hyperlink" Target="https://www.upov.int/about/es/faq.html" TargetMode="External"/><Relationship Id="rId1" Type="http://schemas.openxmlformats.org/officeDocument/2006/relationships/hyperlink" Target="https://www.upov.int/about/es/faq.html" TargetMode="External"/><Relationship Id="rId4" Type="http://schemas.openxmlformats.org/officeDocument/2006/relationships/hyperlink" Target="https://www.upov.int/edocs/infdocs/es/upov_inf_15.pdf" TargetMode="External"/></Relationships>
</file>

<file path=word/theme/theme1.xml><?xml version="1.0" encoding="utf-8"?>
<a:theme xmlns:a="http://schemas.openxmlformats.org/drawingml/2006/main" name="Budget color theme">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63FC-8860-4BC7-A9A0-CBA269AE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14456</Words>
  <Characters>82402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C/55/4 Rev.</vt:lpstr>
    </vt:vector>
  </TitlesOfParts>
  <Company>UPOV</Company>
  <LinksUpToDate>false</LinksUpToDate>
  <CharactersWithSpaces>96665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C/55/4 Rev.</dc:title>
  <dc:creator>SANCHEZ VIZCAINO GOMEZ Rosa Maria</dc:creator>
  <cp:keywords/>
  <cp:lastModifiedBy>SANTOS Carla Marina</cp:lastModifiedBy>
  <cp:revision>5</cp:revision>
  <cp:lastPrinted>2021-02-05T08:25:00Z</cp:lastPrinted>
  <dcterms:created xsi:type="dcterms:W3CDTF">2021-12-21T10:12:00Z</dcterms:created>
  <dcterms:modified xsi:type="dcterms:W3CDTF">2021-12-23T17:06:00Z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7e56b1e2-e654-48d1-bdd5-44f0ee1ea415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